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A5EC" w14:textId="43CFE9D2" w:rsidR="0019217E" w:rsidRPr="007E75AE" w:rsidRDefault="0019217E" w:rsidP="0019217E">
      <w:pPr>
        <w:rPr>
          <w:rFonts w:eastAsia="Calibri" w:cstheme="minorHAnsi"/>
          <w:color w:val="FF0000"/>
        </w:rPr>
      </w:pPr>
      <w:bookmarkStart w:id="0" w:name="_Toc341702043"/>
      <w:bookmarkStart w:id="1" w:name="_Toc380742621"/>
      <w:bookmarkStart w:id="2" w:name="_Toc380746188"/>
      <w:bookmarkStart w:id="3" w:name="_Toc380746314"/>
      <w:bookmarkStart w:id="4" w:name="_Toc380746595"/>
      <w:r w:rsidRPr="007E75AE">
        <w:rPr>
          <w:rFonts w:eastAsia="Calibri" w:cstheme="minorHAnsi"/>
          <w:color w:val="FF0000"/>
        </w:rPr>
        <w:t xml:space="preserve">An addendum to this </w:t>
      </w:r>
      <w:r>
        <w:rPr>
          <w:rFonts w:eastAsia="Calibri" w:cstheme="minorHAnsi"/>
          <w:color w:val="FF0000"/>
        </w:rPr>
        <w:t>Public Summary Document</w:t>
      </w:r>
      <w:r w:rsidRPr="007E75AE">
        <w:rPr>
          <w:rFonts w:eastAsia="Calibri" w:cstheme="minorHAnsi"/>
          <w:color w:val="FF0000"/>
        </w:rPr>
        <w:t xml:space="preserve"> has been included at the end of the document.</w:t>
      </w:r>
    </w:p>
    <w:p w14:paraId="6976B633" w14:textId="13E70430" w:rsidR="006F4DE1" w:rsidRPr="00ED6EDE" w:rsidRDefault="00EB7B43" w:rsidP="00020E37">
      <w:pPr>
        <w:ind w:left="720" w:hanging="720"/>
        <w:rPr>
          <w:b/>
          <w:sz w:val="36"/>
          <w:szCs w:val="36"/>
        </w:rPr>
      </w:pPr>
      <w:r w:rsidRPr="00ED6EDE">
        <w:rPr>
          <w:b/>
          <w:sz w:val="36"/>
          <w:szCs w:val="36"/>
        </w:rPr>
        <w:t>6</w:t>
      </w:r>
      <w:r w:rsidR="00020E37" w:rsidRPr="00ED6EDE">
        <w:rPr>
          <w:b/>
          <w:sz w:val="36"/>
          <w:szCs w:val="36"/>
        </w:rPr>
        <w:t>.</w:t>
      </w:r>
      <w:r w:rsidRPr="00ED6EDE">
        <w:rPr>
          <w:b/>
          <w:sz w:val="36"/>
          <w:szCs w:val="36"/>
        </w:rPr>
        <w:t>07</w:t>
      </w:r>
      <w:r w:rsidR="00020E37" w:rsidRPr="00ED6EDE">
        <w:rPr>
          <w:b/>
          <w:sz w:val="36"/>
          <w:szCs w:val="36"/>
        </w:rPr>
        <w:tab/>
      </w:r>
      <w:r w:rsidR="006F4DE1" w:rsidRPr="00ED6EDE">
        <w:rPr>
          <w:b/>
          <w:sz w:val="36"/>
          <w:szCs w:val="36"/>
        </w:rPr>
        <w:t>PEMBROLIZUMAB</w:t>
      </w:r>
      <w:r w:rsidR="00020E37" w:rsidRPr="00ED6EDE">
        <w:rPr>
          <w:b/>
          <w:sz w:val="36"/>
          <w:szCs w:val="36"/>
        </w:rPr>
        <w:t xml:space="preserve">, </w:t>
      </w:r>
    </w:p>
    <w:p w14:paraId="5C7010DB" w14:textId="3A9167D9" w:rsidR="006F4DE1" w:rsidRPr="00ED6EDE" w:rsidRDefault="006F4DE1" w:rsidP="006F4DE1">
      <w:pPr>
        <w:ind w:left="720" w:hanging="11"/>
        <w:jc w:val="left"/>
        <w:rPr>
          <w:b/>
          <w:sz w:val="36"/>
          <w:szCs w:val="36"/>
        </w:rPr>
      </w:pPr>
      <w:r w:rsidRPr="00ED6EDE">
        <w:rPr>
          <w:b/>
          <w:sz w:val="36"/>
          <w:szCs w:val="36"/>
        </w:rPr>
        <w:t>Solution concentrat</w:t>
      </w:r>
      <w:r w:rsidR="00DD6DC6">
        <w:rPr>
          <w:b/>
          <w:sz w:val="36"/>
          <w:szCs w:val="36"/>
        </w:rPr>
        <w:t>e</w:t>
      </w:r>
      <w:r w:rsidRPr="00ED6EDE">
        <w:rPr>
          <w:b/>
          <w:sz w:val="36"/>
          <w:szCs w:val="36"/>
        </w:rPr>
        <w:t xml:space="preserve"> for I.V. infusion</w:t>
      </w:r>
      <w:r w:rsidR="00A66CD6" w:rsidRPr="00ED6EDE">
        <w:rPr>
          <w:b/>
          <w:sz w:val="36"/>
          <w:szCs w:val="36"/>
        </w:rPr>
        <w:t xml:space="preserve"> </w:t>
      </w:r>
      <w:r w:rsidRPr="00ED6EDE">
        <w:rPr>
          <w:b/>
          <w:sz w:val="36"/>
          <w:szCs w:val="36"/>
        </w:rPr>
        <w:t>100 mg in 4 mL,</w:t>
      </w:r>
      <w:r w:rsidRPr="00ED6EDE">
        <w:rPr>
          <w:b/>
          <w:sz w:val="36"/>
          <w:szCs w:val="36"/>
        </w:rPr>
        <w:br/>
        <w:t>Keytruda</w:t>
      </w:r>
      <w:r w:rsidRPr="00ED6EDE">
        <w:rPr>
          <w:b/>
          <w:sz w:val="36"/>
          <w:szCs w:val="36"/>
          <w:vertAlign w:val="superscript"/>
        </w:rPr>
        <w:t>®</w:t>
      </w:r>
      <w:r w:rsidRPr="00ED6EDE">
        <w:rPr>
          <w:b/>
          <w:sz w:val="36"/>
          <w:szCs w:val="36"/>
        </w:rPr>
        <w:t>,</w:t>
      </w:r>
      <w:r w:rsidRPr="00ED6EDE">
        <w:rPr>
          <w:b/>
          <w:sz w:val="36"/>
          <w:szCs w:val="36"/>
        </w:rPr>
        <w:br/>
        <w:t>Merck Sharp &amp; Dohme (Australia) Pty Ltd.</w:t>
      </w:r>
    </w:p>
    <w:p w14:paraId="20E116FC" w14:textId="10E9B022" w:rsidR="00020E37" w:rsidRPr="0019217E" w:rsidRDefault="00020E37" w:rsidP="00020E37">
      <w:pPr>
        <w:pStyle w:val="BodyText"/>
        <w:rPr>
          <w:sz w:val="22"/>
          <w:szCs w:val="20"/>
        </w:rPr>
      </w:pPr>
    </w:p>
    <w:p w14:paraId="28944AF2" w14:textId="1A576AD5" w:rsidR="00BA32CB" w:rsidRPr="00ED6EDE" w:rsidRDefault="00BA32CB" w:rsidP="00476B8F">
      <w:pPr>
        <w:pStyle w:val="PBACHeading1"/>
        <w:numPr>
          <w:ilvl w:val="0"/>
          <w:numId w:val="2"/>
        </w:numPr>
        <w:outlineLvl w:val="0"/>
      </w:pPr>
      <w:bookmarkStart w:id="5" w:name="_Toc22898844"/>
      <w:bookmarkStart w:id="6" w:name="_Toc93478142"/>
      <w:r w:rsidRPr="00ED6EDE">
        <w:t>Purpose of submission</w:t>
      </w:r>
      <w:bookmarkEnd w:id="5"/>
      <w:bookmarkEnd w:id="6"/>
    </w:p>
    <w:p w14:paraId="29900260" w14:textId="77777777" w:rsidR="003965D3" w:rsidRDefault="00091909" w:rsidP="00AE632F">
      <w:pPr>
        <w:pStyle w:val="ListParagraph"/>
        <w:widowControl/>
        <w:numPr>
          <w:ilvl w:val="1"/>
          <w:numId w:val="2"/>
        </w:numPr>
        <w:spacing w:after="120"/>
      </w:pPr>
      <w:r w:rsidRPr="00ED6EDE">
        <w:t xml:space="preserve">The Category </w:t>
      </w:r>
      <w:r w:rsidR="006D3512" w:rsidRPr="00ED6EDE">
        <w:t>1</w:t>
      </w:r>
      <w:r w:rsidRPr="00ED6EDE">
        <w:t xml:space="preserve"> submission requested a Section 100 (Efficient Funding of Chemotherapy Program) Authority Required listing for </w:t>
      </w:r>
      <w:r w:rsidR="00AE632F" w:rsidRPr="00ED6EDE">
        <w:t>pembrolizumab for the treatment of patients with advanced endometrial cancer who have disease progression following prior systemic therapy.</w:t>
      </w:r>
    </w:p>
    <w:p w14:paraId="5352757D" w14:textId="165F742C" w:rsidR="00AE632F" w:rsidRPr="00ED6EDE" w:rsidRDefault="00936BF9" w:rsidP="00AE632F">
      <w:pPr>
        <w:pStyle w:val="ListParagraph"/>
        <w:widowControl/>
        <w:numPr>
          <w:ilvl w:val="1"/>
          <w:numId w:val="2"/>
        </w:numPr>
        <w:spacing w:after="120"/>
      </w:pPr>
      <w:r>
        <w:t xml:space="preserve">The submission originally requested listing of </w:t>
      </w:r>
      <w:r w:rsidRPr="00F53848">
        <w:t xml:space="preserve">pembrolizumab, in </w:t>
      </w:r>
      <w:r w:rsidRPr="004458E9">
        <w:rPr>
          <w:rFonts w:cs="Calibri"/>
          <w:snapToGrid/>
          <w:szCs w:val="24"/>
          <w:lang w:eastAsia="en-AU"/>
        </w:rPr>
        <w:t>combination</w:t>
      </w:r>
      <w:r w:rsidRPr="00F53848">
        <w:t xml:space="preserve"> with lenvatinib, </w:t>
      </w:r>
      <w:r>
        <w:t xml:space="preserve">in all patients </w:t>
      </w:r>
      <w:r w:rsidRPr="00F53848">
        <w:t>regardless of biomarker status</w:t>
      </w:r>
      <w:r>
        <w:t>, and listing of</w:t>
      </w:r>
      <w:r w:rsidRPr="00F53848">
        <w:t xml:space="preserve"> pembrolizumab monotherapy for those patients with deficient DNA mismatch repair (dMMR)</w:t>
      </w:r>
      <w:r>
        <w:t xml:space="preserve"> endometrial cancer</w:t>
      </w:r>
      <w:r w:rsidRPr="00F53848">
        <w:t>.</w:t>
      </w:r>
      <w:r w:rsidR="00AE632F" w:rsidRPr="00ED6EDE">
        <w:t xml:space="preserve"> </w:t>
      </w:r>
      <w:r>
        <w:t xml:space="preserve">The </w:t>
      </w:r>
      <w:r w:rsidRPr="00F53848">
        <w:t xml:space="preserve">Advisory Committee on Medicines (ACM) Advice </w:t>
      </w:r>
      <w:r>
        <w:t>became available during evaluation, and subsequently the sponsor updated the requested listing for pembrolizumab to be for use</w:t>
      </w:r>
      <w:r w:rsidR="00AE632F" w:rsidRPr="00ED6EDE">
        <w:t>:</w:t>
      </w:r>
    </w:p>
    <w:p w14:paraId="39836C50" w14:textId="41E5E158" w:rsidR="00AE632F" w:rsidRPr="00ED6EDE" w:rsidRDefault="00091909" w:rsidP="00154214">
      <w:pPr>
        <w:pStyle w:val="ListParagraph"/>
        <w:widowControl/>
        <w:numPr>
          <w:ilvl w:val="0"/>
          <w:numId w:val="19"/>
        </w:numPr>
        <w:spacing w:after="0"/>
        <w:ind w:left="1077" w:hanging="357"/>
      </w:pPr>
      <w:r w:rsidRPr="00ED6EDE">
        <w:t>in combination with lenvatinib for patients with</w:t>
      </w:r>
      <w:r w:rsidR="00AE632F" w:rsidRPr="00ED6EDE">
        <w:t xml:space="preserve"> mismatch repair proficient (pMMR) endometrial cancer; and</w:t>
      </w:r>
    </w:p>
    <w:p w14:paraId="18A10759" w14:textId="5657F2A1" w:rsidR="00091909" w:rsidRPr="00ED6EDE" w:rsidRDefault="00AE632F" w:rsidP="00154214">
      <w:pPr>
        <w:pStyle w:val="ListParagraph"/>
        <w:widowControl/>
        <w:numPr>
          <w:ilvl w:val="0"/>
          <w:numId w:val="19"/>
        </w:numPr>
        <w:spacing w:after="120"/>
      </w:pPr>
      <w:r w:rsidRPr="00ED6EDE">
        <w:t xml:space="preserve">as </w:t>
      </w:r>
      <w:r w:rsidR="00091909" w:rsidRPr="00ED6EDE">
        <w:t>monotherapy for patients with deficient DNA mismatch repair (dMMR)</w:t>
      </w:r>
      <w:r w:rsidR="00900A83" w:rsidRPr="00ED6EDE">
        <w:t xml:space="preserve"> endometrial cancer</w:t>
      </w:r>
      <w:r w:rsidR="00091909" w:rsidRPr="00ED6EDE">
        <w:t>.</w:t>
      </w:r>
    </w:p>
    <w:p w14:paraId="215B2448" w14:textId="3824FD64" w:rsidR="00020E37" w:rsidRPr="00ED6EDE" w:rsidRDefault="00020E37" w:rsidP="00A062E7">
      <w:pPr>
        <w:pStyle w:val="ListParagraph"/>
        <w:widowControl/>
        <w:numPr>
          <w:ilvl w:val="1"/>
          <w:numId w:val="2"/>
        </w:numPr>
        <w:spacing w:after="120"/>
      </w:pPr>
      <w:r w:rsidRPr="00ED6EDE">
        <w:t xml:space="preserve">The requested basis for listing </w:t>
      </w:r>
      <w:r w:rsidR="00066223" w:rsidRPr="00ED6EDE">
        <w:t>was</w:t>
      </w:r>
      <w:r w:rsidRPr="00ED6EDE">
        <w:t xml:space="preserve"> a cost utility analysis </w:t>
      </w:r>
      <w:r w:rsidR="00B66358" w:rsidRPr="00ED6EDE">
        <w:t xml:space="preserve">of pembrolizumab plus lenvatinib </w:t>
      </w:r>
      <w:r w:rsidRPr="00ED6EDE">
        <w:t xml:space="preserve">compared to chemotherapy (doxorubicin or paclitaxel). </w:t>
      </w:r>
      <w:r w:rsidRPr="00ED6EDE">
        <w:rPr>
          <w:snapToGrid/>
        </w:rPr>
        <w:fldChar w:fldCharType="begin"/>
      </w:r>
      <w:r w:rsidRPr="00ED6EDE">
        <w:rPr>
          <w:snapToGrid/>
        </w:rPr>
        <w:instrText xml:space="preserve"> REF _Ref79502454 \h  \* MERGEFORMAT </w:instrText>
      </w:r>
      <w:r w:rsidRPr="00ED6EDE">
        <w:rPr>
          <w:snapToGrid/>
        </w:rPr>
      </w:r>
      <w:r w:rsidRPr="00ED6EDE">
        <w:rPr>
          <w:snapToGrid/>
        </w:rPr>
        <w:fldChar w:fldCharType="separate"/>
      </w:r>
      <w:r w:rsidR="004163DD" w:rsidRPr="004163DD">
        <w:rPr>
          <w:snapToGrid/>
        </w:rPr>
        <w:t>Table 1</w:t>
      </w:r>
      <w:r w:rsidRPr="00ED6EDE">
        <w:rPr>
          <w:snapToGrid/>
        </w:rPr>
        <w:fldChar w:fldCharType="end"/>
      </w:r>
      <w:r w:rsidRPr="00ED6EDE">
        <w:rPr>
          <w:snapToGrid/>
        </w:rPr>
        <w:t xml:space="preserve"> presents the key components of the clinical issue addressed by the submission</w:t>
      </w:r>
      <w:r w:rsidR="00936BF9">
        <w:rPr>
          <w:snapToGrid/>
        </w:rPr>
        <w:t xml:space="preserve"> and</w:t>
      </w:r>
      <w:r w:rsidR="00C04EE6">
        <w:rPr>
          <w:snapToGrid/>
        </w:rPr>
        <w:t xml:space="preserve"> Pre-Sub-Committee Response</w:t>
      </w:r>
      <w:r w:rsidR="00936BF9">
        <w:rPr>
          <w:snapToGrid/>
        </w:rPr>
        <w:t xml:space="preserve"> </w:t>
      </w:r>
      <w:r w:rsidR="00C04EE6">
        <w:rPr>
          <w:snapToGrid/>
        </w:rPr>
        <w:t>(</w:t>
      </w:r>
      <w:r w:rsidR="00936BF9">
        <w:rPr>
          <w:snapToGrid/>
        </w:rPr>
        <w:t>PSCR</w:t>
      </w:r>
      <w:r w:rsidR="00C04EE6">
        <w:rPr>
          <w:snapToGrid/>
        </w:rPr>
        <w:t>)</w:t>
      </w:r>
      <w:r w:rsidRPr="00ED6EDE">
        <w:rPr>
          <w:snapToGrid/>
        </w:rPr>
        <w:t>.</w:t>
      </w:r>
    </w:p>
    <w:p w14:paraId="408B9A19" w14:textId="77973C84" w:rsidR="00020E37" w:rsidRPr="00ED6EDE" w:rsidRDefault="00020E37" w:rsidP="00190CF2">
      <w:pPr>
        <w:keepNext/>
        <w:keepLines/>
      </w:pPr>
      <w:bookmarkStart w:id="7" w:name="_Ref79502454"/>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1</w:t>
      </w:r>
      <w:r w:rsidRPr="00ED6EDE">
        <w:rPr>
          <w:rStyle w:val="CommentReference"/>
        </w:rPr>
        <w:fldChar w:fldCharType="end"/>
      </w:r>
      <w:bookmarkEnd w:id="7"/>
      <w:r w:rsidRPr="00ED6EDE">
        <w:rPr>
          <w:rStyle w:val="CommentReference"/>
        </w:rPr>
        <w:t>: Key components of the clinical issue addressed by the submission</w:t>
      </w:r>
      <w:r w:rsidR="00936BF9">
        <w:rPr>
          <w:rStyle w:val="CommentReference"/>
        </w:rPr>
        <w:t xml:space="preserve"> and PSCR</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27"/>
      </w:tblGrid>
      <w:tr w:rsidR="00020E37" w:rsidRPr="00ED6EDE" w14:paraId="37E30AAD" w14:textId="77777777" w:rsidTr="00066223">
        <w:tc>
          <w:tcPr>
            <w:tcW w:w="1129" w:type="dxa"/>
            <w:vAlign w:val="center"/>
          </w:tcPr>
          <w:p w14:paraId="46A396E9" w14:textId="77777777" w:rsidR="00020E37" w:rsidRPr="00ED6EDE" w:rsidRDefault="00020E37" w:rsidP="00190CF2">
            <w:pPr>
              <w:pStyle w:val="Tabletext"/>
              <w:keepNext/>
              <w:keepLines/>
              <w:rPr>
                <w:b/>
              </w:rPr>
            </w:pPr>
            <w:r w:rsidRPr="00ED6EDE">
              <w:rPr>
                <w:b/>
              </w:rPr>
              <w:t>Component</w:t>
            </w:r>
          </w:p>
        </w:tc>
        <w:tc>
          <w:tcPr>
            <w:tcW w:w="8027" w:type="dxa"/>
            <w:vAlign w:val="center"/>
          </w:tcPr>
          <w:p w14:paraId="0CE13CB8" w14:textId="77777777" w:rsidR="00020E37" w:rsidRPr="00ED6EDE" w:rsidRDefault="00020E37" w:rsidP="00190CF2">
            <w:pPr>
              <w:pStyle w:val="Tabletext"/>
              <w:keepNext/>
              <w:keepLines/>
              <w:jc w:val="center"/>
              <w:rPr>
                <w:b/>
              </w:rPr>
            </w:pPr>
            <w:r w:rsidRPr="00ED6EDE">
              <w:rPr>
                <w:b/>
              </w:rPr>
              <w:t>Description</w:t>
            </w:r>
          </w:p>
        </w:tc>
      </w:tr>
      <w:tr w:rsidR="00020E37" w:rsidRPr="00ED6EDE" w14:paraId="751AB284" w14:textId="77777777" w:rsidTr="00066223">
        <w:tc>
          <w:tcPr>
            <w:tcW w:w="1129" w:type="dxa"/>
            <w:vAlign w:val="center"/>
          </w:tcPr>
          <w:p w14:paraId="1C1D72A8" w14:textId="77777777" w:rsidR="00020E37" w:rsidRPr="00ED6EDE" w:rsidRDefault="00020E37" w:rsidP="00190CF2">
            <w:pPr>
              <w:pStyle w:val="Tabletext"/>
              <w:keepNext/>
              <w:keepLines/>
            </w:pPr>
            <w:r w:rsidRPr="00ED6EDE">
              <w:t>Population</w:t>
            </w:r>
          </w:p>
        </w:tc>
        <w:tc>
          <w:tcPr>
            <w:tcW w:w="8027" w:type="dxa"/>
            <w:vAlign w:val="center"/>
          </w:tcPr>
          <w:p w14:paraId="30C44869" w14:textId="6C2CC5E2" w:rsidR="00020E37" w:rsidRPr="00ED6EDE" w:rsidRDefault="00900A83" w:rsidP="00900A83">
            <w:pPr>
              <w:pStyle w:val="Tabletext"/>
              <w:keepNext/>
              <w:keepLines/>
            </w:pPr>
            <w:r w:rsidRPr="00ED6EDE">
              <w:t>P</w:t>
            </w:r>
            <w:r w:rsidR="00020E37" w:rsidRPr="00ED6EDE">
              <w:t>atients with advanced, recurrent or metastatic endometrial cancer that have progressed following prior treatment</w:t>
            </w:r>
            <w:r w:rsidR="00066223" w:rsidRPr="00ED6EDE">
              <w:t>.</w:t>
            </w:r>
          </w:p>
        </w:tc>
      </w:tr>
      <w:tr w:rsidR="00020E37" w:rsidRPr="00ED6EDE" w14:paraId="723AC25E" w14:textId="77777777" w:rsidTr="00066223">
        <w:tc>
          <w:tcPr>
            <w:tcW w:w="1129" w:type="dxa"/>
            <w:vAlign w:val="center"/>
          </w:tcPr>
          <w:p w14:paraId="1C3F7202" w14:textId="77777777" w:rsidR="00020E37" w:rsidRPr="00ED6EDE" w:rsidRDefault="00020E37" w:rsidP="00190CF2">
            <w:pPr>
              <w:pStyle w:val="Tabletext"/>
              <w:keepNext/>
              <w:keepLines/>
            </w:pPr>
            <w:r w:rsidRPr="00ED6EDE">
              <w:t>Intervention</w:t>
            </w:r>
          </w:p>
        </w:tc>
        <w:tc>
          <w:tcPr>
            <w:tcW w:w="8027" w:type="dxa"/>
          </w:tcPr>
          <w:p w14:paraId="49057A89" w14:textId="27D56BAC" w:rsidR="00B11A5B" w:rsidRPr="00ED6EDE" w:rsidRDefault="00B11A5B" w:rsidP="00AE632F">
            <w:pPr>
              <w:pStyle w:val="Tabletext"/>
              <w:keepNext/>
              <w:keepLines/>
            </w:pPr>
            <w:r w:rsidRPr="00ED6EDE">
              <w:rPr>
                <w:rFonts w:eastAsia="Symbol"/>
              </w:rPr>
              <w:t xml:space="preserve">Pembrolizumab 200 mg IV every 3 weeks </w:t>
            </w:r>
            <w:r w:rsidRPr="00ED6EDE">
              <w:t>for up to 35 cycles</w:t>
            </w:r>
            <w:r w:rsidRPr="00ED6EDE">
              <w:rPr>
                <w:rFonts w:eastAsia="Symbol"/>
              </w:rPr>
              <w:t xml:space="preserve"> as monotherapy (in dMMR) or in combination with lenvatinib 20 mg oral daily (in pMMR).</w:t>
            </w:r>
          </w:p>
        </w:tc>
      </w:tr>
      <w:tr w:rsidR="00020E37" w:rsidRPr="00ED6EDE" w14:paraId="6A10DAA3" w14:textId="77777777" w:rsidTr="00066223">
        <w:tc>
          <w:tcPr>
            <w:tcW w:w="1129" w:type="dxa"/>
            <w:vAlign w:val="center"/>
          </w:tcPr>
          <w:p w14:paraId="533F7FDE" w14:textId="77777777" w:rsidR="00020E37" w:rsidRPr="00ED6EDE" w:rsidRDefault="00020E37" w:rsidP="00190CF2">
            <w:pPr>
              <w:pStyle w:val="Tabletext"/>
              <w:keepNext/>
              <w:keepLines/>
            </w:pPr>
            <w:r w:rsidRPr="00ED6EDE">
              <w:t>Comparator</w:t>
            </w:r>
          </w:p>
        </w:tc>
        <w:tc>
          <w:tcPr>
            <w:tcW w:w="8027" w:type="dxa"/>
            <w:vAlign w:val="center"/>
          </w:tcPr>
          <w:p w14:paraId="46193AE5" w14:textId="77777777" w:rsidR="00020E37" w:rsidRPr="00ED6EDE" w:rsidRDefault="00020E37" w:rsidP="00190CF2">
            <w:pPr>
              <w:pStyle w:val="Tabletext"/>
              <w:keepNext/>
              <w:keepLines/>
            </w:pPr>
            <w:r w:rsidRPr="00ED6EDE">
              <w:t>Doxorubicin 60mg/m</w:t>
            </w:r>
            <w:r w:rsidRPr="00ED6EDE">
              <w:rPr>
                <w:vertAlign w:val="superscript"/>
              </w:rPr>
              <w:t>2</w:t>
            </w:r>
            <w:r w:rsidRPr="00ED6EDE">
              <w:t xml:space="preserve"> IV Q3W or Paclitaxel 80mg/m</w:t>
            </w:r>
            <w:r w:rsidRPr="00ED6EDE">
              <w:rPr>
                <w:vertAlign w:val="superscript"/>
              </w:rPr>
              <w:t>2</w:t>
            </w:r>
            <w:r w:rsidRPr="00ED6EDE">
              <w:t xml:space="preserve"> IV QW (3 weeks on/1 week off).</w:t>
            </w:r>
          </w:p>
          <w:p w14:paraId="50F53576" w14:textId="77777777" w:rsidR="00020E37" w:rsidRPr="00ED6EDE" w:rsidRDefault="00020E37" w:rsidP="00190CF2">
            <w:pPr>
              <w:pStyle w:val="Tabletext"/>
              <w:keepNext/>
              <w:keepLines/>
            </w:pPr>
            <w:r w:rsidRPr="00ED6EDE">
              <w:t>In the dMMR subgroup, a near term comparator is dostarlimab 500mg Q3W for 4 doses, then 1000mg Q6W.</w:t>
            </w:r>
          </w:p>
        </w:tc>
      </w:tr>
      <w:tr w:rsidR="00020E37" w:rsidRPr="00ED6EDE" w14:paraId="2BA461F6" w14:textId="77777777" w:rsidTr="00066223">
        <w:tc>
          <w:tcPr>
            <w:tcW w:w="1129" w:type="dxa"/>
            <w:vAlign w:val="center"/>
          </w:tcPr>
          <w:p w14:paraId="23A09933" w14:textId="77777777" w:rsidR="00020E37" w:rsidRPr="00ED6EDE" w:rsidRDefault="00020E37" w:rsidP="00190CF2">
            <w:pPr>
              <w:pStyle w:val="Tabletext"/>
              <w:keepNext/>
              <w:keepLines/>
            </w:pPr>
            <w:r w:rsidRPr="00ED6EDE">
              <w:t>Outcomes</w:t>
            </w:r>
          </w:p>
        </w:tc>
        <w:tc>
          <w:tcPr>
            <w:tcW w:w="8027" w:type="dxa"/>
            <w:vAlign w:val="center"/>
          </w:tcPr>
          <w:p w14:paraId="63220846" w14:textId="77777777" w:rsidR="00020E37" w:rsidRPr="00ED6EDE" w:rsidRDefault="00020E37" w:rsidP="00190CF2">
            <w:pPr>
              <w:pStyle w:val="Tabletext"/>
              <w:keepNext/>
              <w:keepLines/>
            </w:pPr>
            <w:r w:rsidRPr="00ED6EDE">
              <w:t>Overall survival, progression-free survival, objective response rate, health-related quality of life, safety</w:t>
            </w:r>
          </w:p>
        </w:tc>
      </w:tr>
      <w:tr w:rsidR="00020E37" w:rsidRPr="00ED6EDE" w14:paraId="56E63CE0" w14:textId="77777777" w:rsidTr="00066223">
        <w:tc>
          <w:tcPr>
            <w:tcW w:w="1129" w:type="dxa"/>
            <w:vAlign w:val="center"/>
          </w:tcPr>
          <w:p w14:paraId="5C4EEFDC" w14:textId="77777777" w:rsidR="00020E37" w:rsidRPr="00ED6EDE" w:rsidRDefault="00020E37" w:rsidP="00190CF2">
            <w:pPr>
              <w:pStyle w:val="Tabletext"/>
              <w:keepNext/>
              <w:keepLines/>
            </w:pPr>
            <w:r w:rsidRPr="00ED6EDE">
              <w:t>Clinical claim</w:t>
            </w:r>
          </w:p>
        </w:tc>
        <w:tc>
          <w:tcPr>
            <w:tcW w:w="8027" w:type="dxa"/>
            <w:vAlign w:val="center"/>
          </w:tcPr>
          <w:p w14:paraId="1C4CEB61" w14:textId="622A42F2" w:rsidR="00900A83" w:rsidRPr="00ED6EDE" w:rsidRDefault="00900A83" w:rsidP="00900A83">
            <w:pPr>
              <w:pStyle w:val="Tabletext"/>
              <w:keepNext/>
              <w:keepLines/>
            </w:pPr>
            <w:r w:rsidRPr="00ED6EDE">
              <w:t>Pembrolizumab plus lenvatinib in pMMR: superior in terms of efficacy with an inferior safety profile compared with chemotherapy.</w:t>
            </w:r>
          </w:p>
          <w:p w14:paraId="5AB46DD4" w14:textId="1BF93C6A" w:rsidR="00020E37" w:rsidRPr="00ED6EDE" w:rsidRDefault="00900A83" w:rsidP="00190CF2">
            <w:pPr>
              <w:pStyle w:val="Tabletext"/>
              <w:keepNext/>
              <w:keepLines/>
            </w:pPr>
            <w:r w:rsidRPr="00ED6EDE">
              <w:t>Pembrolizumab monotherapy in dMMR: superior efficacy and safety versus chemotherapy.</w:t>
            </w:r>
          </w:p>
        </w:tc>
      </w:tr>
    </w:tbl>
    <w:p w14:paraId="3F293F5C" w14:textId="3EB31A42" w:rsidR="00AE632F" w:rsidRPr="00ED6EDE" w:rsidRDefault="00020E37" w:rsidP="00190CF2">
      <w:pPr>
        <w:pStyle w:val="TableFooter"/>
        <w:keepNext/>
        <w:keepLines/>
      </w:pPr>
      <w:r w:rsidRPr="00ED6EDE">
        <w:t>Source: Table 1.1-1, p4 of the submission</w:t>
      </w:r>
      <w:r w:rsidR="00900A83" w:rsidRPr="00ED6EDE">
        <w:t>, Table 1, p5 of the PSCR</w:t>
      </w:r>
      <w:r w:rsidRPr="00ED6EDE">
        <w:t xml:space="preserve">. </w:t>
      </w:r>
    </w:p>
    <w:p w14:paraId="59BA3590" w14:textId="75B5FC2E" w:rsidR="00020E37" w:rsidRPr="00ED6EDE" w:rsidRDefault="00020E37" w:rsidP="00190CF2">
      <w:pPr>
        <w:pStyle w:val="TableFooter"/>
        <w:keepNext/>
        <w:keepLines/>
      </w:pPr>
      <w:r w:rsidRPr="00ED6EDE">
        <w:t xml:space="preserve">dMMR = deficient mismatched repair; IV = intravenous; mg= milligram; </w:t>
      </w:r>
      <w:r w:rsidR="00AE632F" w:rsidRPr="00ED6EDE">
        <w:t xml:space="preserve">pMMR = mismatch repair proficient; </w:t>
      </w:r>
      <w:r w:rsidRPr="00ED6EDE">
        <w:t>Q3W = every three weeks; Q6W every six weeks</w:t>
      </w:r>
    </w:p>
    <w:p w14:paraId="0D2098D2" w14:textId="4B644400" w:rsidR="000C3032" w:rsidRDefault="000C3032">
      <w:pPr>
        <w:widowControl/>
        <w:jc w:val="left"/>
      </w:pPr>
      <w:r>
        <w:br w:type="page"/>
      </w:r>
    </w:p>
    <w:p w14:paraId="66E78C43" w14:textId="77777777" w:rsidR="00B46193" w:rsidRPr="00ED6EDE" w:rsidRDefault="00B46193" w:rsidP="00B46193">
      <w:pPr>
        <w:pStyle w:val="PBACHeading1"/>
        <w:numPr>
          <w:ilvl w:val="0"/>
          <w:numId w:val="2"/>
        </w:numPr>
        <w:outlineLvl w:val="0"/>
      </w:pPr>
      <w:bookmarkStart w:id="8" w:name="_Toc22898845"/>
      <w:bookmarkStart w:id="9" w:name="_Toc93478143"/>
      <w:r w:rsidRPr="00ED6EDE">
        <w:lastRenderedPageBreak/>
        <w:t>Background</w:t>
      </w:r>
      <w:bookmarkEnd w:id="8"/>
      <w:bookmarkEnd w:id="9"/>
    </w:p>
    <w:p w14:paraId="5BFCC62C" w14:textId="77777777" w:rsidR="00B46193" w:rsidRPr="00ED6EDE" w:rsidRDefault="00B46193" w:rsidP="00B46193">
      <w:pPr>
        <w:pStyle w:val="4-SubsectionHeading"/>
        <w:rPr>
          <w:i w:val="0"/>
        </w:rPr>
      </w:pPr>
      <w:bookmarkStart w:id="10" w:name="_Toc22897638"/>
      <w:bookmarkStart w:id="11" w:name="_Toc22898846"/>
      <w:bookmarkStart w:id="12" w:name="_Toc93478144"/>
      <w:r w:rsidRPr="00ED6EDE">
        <w:rPr>
          <w:i w:val="0"/>
        </w:rPr>
        <w:t>Registration status</w:t>
      </w:r>
      <w:bookmarkEnd w:id="10"/>
      <w:bookmarkEnd w:id="11"/>
      <w:bookmarkEnd w:id="12"/>
    </w:p>
    <w:p w14:paraId="0B4B6C0A" w14:textId="77777777" w:rsidR="00B46193" w:rsidRPr="00ED6EDE" w:rsidRDefault="00B46193" w:rsidP="00B46193">
      <w:pPr>
        <w:spacing w:after="120"/>
        <w:rPr>
          <w:u w:val="single"/>
        </w:rPr>
      </w:pPr>
      <w:r w:rsidRPr="00ED6EDE">
        <w:rPr>
          <w:u w:val="single"/>
        </w:rPr>
        <w:t>Combination therapy</w:t>
      </w:r>
    </w:p>
    <w:p w14:paraId="677C7E3E" w14:textId="455EC8B9" w:rsidR="00B46193" w:rsidRPr="00ED6EDE" w:rsidRDefault="00B46193" w:rsidP="00B46193">
      <w:pPr>
        <w:pStyle w:val="ListParagraph"/>
        <w:widowControl/>
        <w:numPr>
          <w:ilvl w:val="1"/>
          <w:numId w:val="2"/>
        </w:numPr>
        <w:spacing w:after="120"/>
      </w:pPr>
      <w:r>
        <w:t xml:space="preserve">Pembrolizumab </w:t>
      </w:r>
      <w:r w:rsidR="003E3EC8" w:rsidRPr="003E3EC8">
        <w:t>received TGA approval</w:t>
      </w:r>
      <w:r w:rsidR="003E3EC8" w:rsidRPr="003E3EC8" w:rsidDel="003E3EC8">
        <w:t xml:space="preserve"> </w:t>
      </w:r>
      <w:r w:rsidR="00454067">
        <w:t xml:space="preserve">on 7 </w:t>
      </w:r>
      <w:r>
        <w:t>February 2022</w:t>
      </w:r>
      <w:r w:rsidRPr="00ED6EDE">
        <w:t xml:space="preserve"> for the following indication:</w:t>
      </w:r>
    </w:p>
    <w:p w14:paraId="2437B02E" w14:textId="77777777" w:rsidR="008B4550" w:rsidRPr="008B4550" w:rsidRDefault="00B46193" w:rsidP="00454067">
      <w:pPr>
        <w:pStyle w:val="ListParagraph"/>
        <w:widowControl/>
        <w:spacing w:after="120"/>
      </w:pPr>
      <w:r w:rsidRPr="00ED6EDE">
        <w:t>“pembrolizumab</w:t>
      </w:r>
      <w:r w:rsidR="00454067">
        <w:t xml:space="preserve"> in combination with lenvatinib, is indicated for the treatment of patients with advanced endometrial carcinoma that is not MSI-H or dMMR, who have disease progression following prior systemic therapy in any setting and are not candidates for curative surgery or radiation</w:t>
      </w:r>
      <w:r w:rsidRPr="00ED6EDE">
        <w:t>”.</w:t>
      </w:r>
    </w:p>
    <w:p w14:paraId="6A0303C5" w14:textId="74F98A33" w:rsidR="00B46193" w:rsidRDefault="00B46193" w:rsidP="00B46193">
      <w:pPr>
        <w:pStyle w:val="ListParagraph"/>
        <w:widowControl/>
        <w:numPr>
          <w:ilvl w:val="1"/>
          <w:numId w:val="2"/>
        </w:numPr>
        <w:spacing w:after="120"/>
      </w:pPr>
      <w:r>
        <w:t>As outlined above, t</w:t>
      </w:r>
      <w:r w:rsidRPr="00ED6EDE">
        <w:t xml:space="preserve">his differs from the proposed TGA indication at the time the submission was lodged, which did not restrict use of combination therapy with pembrolizumab and lenvatinib based on mismatch repair status. </w:t>
      </w:r>
      <w:r>
        <w:t xml:space="preserve">The sponsor originally </w:t>
      </w:r>
      <w:r w:rsidRPr="00936BF9">
        <w:t>requested listing of pembrolizumab, in combination with lenvatinib, in all patients regardless of biomarker status, and listing of pembrolizumab monotherapy for those patients with deficient DNA mismatch repair (dMMR) endometrial cancer</w:t>
      </w:r>
      <w:r>
        <w:t>.</w:t>
      </w:r>
    </w:p>
    <w:p w14:paraId="10B4901C" w14:textId="77777777" w:rsidR="00B46193" w:rsidRPr="00ED6EDE" w:rsidRDefault="00B46193" w:rsidP="00B46193">
      <w:pPr>
        <w:pStyle w:val="ListParagraph"/>
        <w:widowControl/>
        <w:numPr>
          <w:ilvl w:val="1"/>
          <w:numId w:val="2"/>
        </w:numPr>
        <w:spacing w:after="120"/>
      </w:pPr>
      <w:r w:rsidRPr="00ED6EDE">
        <w:t>Due to th</w:t>
      </w:r>
      <w:r>
        <w:t>e</w:t>
      </w:r>
      <w:r w:rsidRPr="00ED6EDE">
        <w:t xml:space="preserve"> change to the registered indication, the Pre-Sub-Committee Response (PSCR) amended the proposed treatment algorithm and restriction to:</w:t>
      </w:r>
    </w:p>
    <w:p w14:paraId="7A093917" w14:textId="77777777" w:rsidR="00B46193" w:rsidRPr="00ED6EDE" w:rsidRDefault="00B46193" w:rsidP="00B46193">
      <w:pPr>
        <w:pStyle w:val="ListParagraph"/>
        <w:widowControl/>
        <w:numPr>
          <w:ilvl w:val="0"/>
          <w:numId w:val="15"/>
        </w:numPr>
        <w:spacing w:after="120"/>
        <w:ind w:left="1077" w:hanging="357"/>
        <w:contextualSpacing/>
      </w:pPr>
      <w:r w:rsidRPr="00ED6EDE">
        <w:t xml:space="preserve">pembrolizumab plus lenvatinib in patients with pMMR EC (rather than all-comers, which had been proposed in the submission), </w:t>
      </w:r>
    </w:p>
    <w:p w14:paraId="4EE02D07" w14:textId="77777777" w:rsidR="00B46193" w:rsidRPr="00ED6EDE" w:rsidRDefault="00B46193" w:rsidP="00B46193">
      <w:pPr>
        <w:pStyle w:val="ListParagraph"/>
        <w:widowControl/>
        <w:numPr>
          <w:ilvl w:val="0"/>
          <w:numId w:val="15"/>
        </w:numPr>
        <w:spacing w:after="120"/>
      </w:pPr>
      <w:r w:rsidRPr="00ED6EDE">
        <w:t xml:space="preserve">pembrolizumab monotherapy in patients with dMMR EC. </w:t>
      </w:r>
    </w:p>
    <w:p w14:paraId="092C412F" w14:textId="77777777" w:rsidR="00B46193" w:rsidRPr="00F74659" w:rsidRDefault="00B46193" w:rsidP="00B46193">
      <w:pPr>
        <w:pStyle w:val="ListParagraph"/>
        <w:numPr>
          <w:ilvl w:val="1"/>
          <w:numId w:val="2"/>
        </w:numPr>
      </w:pPr>
      <w:r w:rsidRPr="00F74659">
        <w:t>The sponsor provided the following information in relation of the impact of this change</w:t>
      </w:r>
      <w:r>
        <w:t xml:space="preserve"> to the</w:t>
      </w:r>
      <w:r w:rsidRPr="00F74659">
        <w:t xml:space="preserve"> proposed PBS population: “Given the ITT results of KN775 (combination treatment) were applied in the economic model, and acted as a proxy for KN158 (monotherapy in dMMR), and that the submission requested a PBAC recommendation on the basis of net cost per patient, the change in the TGA indication is not anticipated to impact the estimate of cost effectiveness. Likewise, it does not affect the Section 4 budget impact analysis (also based on net cost per patient). However, the changed TGA indication will mean a change to the restriction wording, which we will clarify in the PSCR once we have confirmation from the TGA.” </w:t>
      </w:r>
    </w:p>
    <w:p w14:paraId="01CD612C" w14:textId="77777777" w:rsidR="00B46193" w:rsidRPr="00ED6EDE" w:rsidRDefault="00B46193" w:rsidP="00B46193">
      <w:pPr>
        <w:pStyle w:val="ListParagraph"/>
        <w:widowControl/>
        <w:numPr>
          <w:ilvl w:val="1"/>
          <w:numId w:val="2"/>
        </w:numPr>
        <w:spacing w:after="120"/>
      </w:pPr>
      <w:r w:rsidRPr="00ED6EDE">
        <w:t xml:space="preserve">As background to the rationale for restricting use of pembrolizumab plus lenvatinib combination therapy to patients with pMMR EC, the </w:t>
      </w:r>
      <w:r w:rsidRPr="00ED6EDE">
        <w:rPr>
          <w:snapToGrid/>
          <w:lang w:eastAsia="en-AU"/>
        </w:rPr>
        <w:t xml:space="preserve">TGA Delegate had </w:t>
      </w:r>
      <w:r w:rsidRPr="00ED6EDE">
        <w:t>requested ACM advice regarding the following questions:</w:t>
      </w:r>
    </w:p>
    <w:p w14:paraId="3F159832" w14:textId="77777777" w:rsidR="00B46193" w:rsidRPr="00ED6EDE" w:rsidRDefault="00B46193" w:rsidP="00B46193">
      <w:pPr>
        <w:pStyle w:val="ListParagraph"/>
        <w:numPr>
          <w:ilvl w:val="0"/>
          <w:numId w:val="14"/>
        </w:numPr>
        <w:spacing w:after="0"/>
        <w:ind w:left="1077" w:hanging="357"/>
      </w:pPr>
      <w:r w:rsidRPr="00ED6EDE">
        <w:t>What is the view of the ACM regarding the contribution of each of lenvatinib and pembrolizumab in the proposed indication?</w:t>
      </w:r>
    </w:p>
    <w:p w14:paraId="3A7C8D62" w14:textId="75121249" w:rsidR="00B46193" w:rsidRPr="00ED6EDE" w:rsidRDefault="00B46193" w:rsidP="00B46193">
      <w:pPr>
        <w:pStyle w:val="ListParagraph"/>
        <w:numPr>
          <w:ilvl w:val="0"/>
          <w:numId w:val="14"/>
        </w:numPr>
        <w:spacing w:after="120"/>
      </w:pPr>
      <w:r w:rsidRPr="00ED6EDE">
        <w:t>What is the view of the ACM regarding the proposed indication that does not define the patient population based on mismatch repair status of the tumour? Is limitation of the indication to mismatch repair proficient tumours warranted? (pembrolizumab and lenvatinib ACM Minutes, December 2021).</w:t>
      </w:r>
    </w:p>
    <w:p w14:paraId="5748C390" w14:textId="77777777" w:rsidR="00B46193" w:rsidRPr="00ED6EDE" w:rsidRDefault="00B46193" w:rsidP="00B46193">
      <w:pPr>
        <w:pStyle w:val="ListParagraph"/>
        <w:widowControl/>
        <w:numPr>
          <w:ilvl w:val="1"/>
          <w:numId w:val="2"/>
        </w:numPr>
        <w:spacing w:after="120"/>
      </w:pPr>
      <w:bookmarkStart w:id="13" w:name="_Ref92744782"/>
      <w:r w:rsidRPr="00ED6EDE">
        <w:rPr>
          <w:snapToGrid/>
          <w:lang w:eastAsia="en-AU"/>
        </w:rPr>
        <w:t>In response to the Delegate’s request for advice, the ACM advised that:</w:t>
      </w:r>
      <w:bookmarkEnd w:id="13"/>
    </w:p>
    <w:p w14:paraId="1D8358C9" w14:textId="77777777" w:rsidR="00B46193" w:rsidRPr="00ED6EDE" w:rsidRDefault="00B46193" w:rsidP="00B46193">
      <w:pPr>
        <w:pStyle w:val="ListParagraph"/>
        <w:numPr>
          <w:ilvl w:val="0"/>
          <w:numId w:val="14"/>
        </w:numPr>
        <w:spacing w:after="0"/>
        <w:ind w:left="1077" w:hanging="357"/>
      </w:pPr>
      <w:r w:rsidRPr="00ED6EDE">
        <w:rPr>
          <w:snapToGrid/>
          <w:lang w:eastAsia="en-AU"/>
        </w:rPr>
        <w:t xml:space="preserve">The combination data in the current application does not allow analysis of the efficacy contribution of each agent. </w:t>
      </w:r>
    </w:p>
    <w:p w14:paraId="52F1D8F5" w14:textId="77777777" w:rsidR="00B46193" w:rsidRPr="00ED6EDE" w:rsidRDefault="00B46193" w:rsidP="00B46193">
      <w:pPr>
        <w:pStyle w:val="ListParagraph"/>
        <w:numPr>
          <w:ilvl w:val="0"/>
          <w:numId w:val="14"/>
        </w:numPr>
        <w:spacing w:after="0"/>
        <w:ind w:left="1077" w:hanging="357"/>
      </w:pPr>
      <w:r w:rsidRPr="00ED6EDE">
        <w:rPr>
          <w:snapToGrid/>
          <w:lang w:eastAsia="en-AU"/>
        </w:rPr>
        <w:t xml:space="preserve">In regard to safety, the ACM highlighted that lenvatinib has known significant toxicity and was of the view that the increase in higher grade TEAEs in lenvatinib/ pembrolizumab therapy was driven predominately by the inclusion of lenvatinib. </w:t>
      </w:r>
    </w:p>
    <w:p w14:paraId="231D02DA" w14:textId="77777777" w:rsidR="00B46193" w:rsidRPr="00ED6EDE" w:rsidRDefault="00B46193" w:rsidP="00B46193">
      <w:pPr>
        <w:pStyle w:val="ListParagraph"/>
        <w:widowControl/>
        <w:numPr>
          <w:ilvl w:val="0"/>
          <w:numId w:val="14"/>
        </w:numPr>
        <w:spacing w:after="120"/>
        <w:ind w:left="1077" w:hanging="357"/>
        <w:contextualSpacing/>
      </w:pPr>
      <w:r w:rsidRPr="00ED6EDE">
        <w:rPr>
          <w:snapToGrid/>
          <w:lang w:eastAsia="en-AU"/>
        </w:rPr>
        <w:t>Pembrolizumab monotherapy has significant activity in the dMMR population, as per the previous KN158 trial. The ACM was of the view that the efficacy of single agent pembrolizumab is similar to the combination data presented in the TGA application, without the toxicity of lenvatinib.</w:t>
      </w:r>
    </w:p>
    <w:p w14:paraId="2B03227D" w14:textId="77777777" w:rsidR="00B46193" w:rsidRPr="00ED6EDE" w:rsidRDefault="00B46193" w:rsidP="00B46193">
      <w:pPr>
        <w:pStyle w:val="ListParagraph"/>
        <w:widowControl/>
        <w:numPr>
          <w:ilvl w:val="0"/>
          <w:numId w:val="14"/>
        </w:numPr>
        <w:spacing w:after="120"/>
        <w:contextualSpacing/>
      </w:pPr>
      <w:r w:rsidRPr="00ED6EDE">
        <w:t>While pembrolizumab and lenvatinib have limited activity as single agents in mismatch repair proficient (pMMR) endometrial cancer, the results of KN775 show the combination has significant efficacy in this population and therefore the risk benefit profile is positive in pMMR endometrial cancer patients.</w:t>
      </w:r>
    </w:p>
    <w:p w14:paraId="324EDF37" w14:textId="77777777" w:rsidR="00B46193" w:rsidRPr="00ED6EDE" w:rsidRDefault="00B46193" w:rsidP="00B46193">
      <w:pPr>
        <w:pStyle w:val="ListParagraph"/>
        <w:widowControl/>
        <w:numPr>
          <w:ilvl w:val="0"/>
          <w:numId w:val="14"/>
        </w:numPr>
        <w:spacing w:after="120"/>
        <w:ind w:left="1077" w:hanging="357"/>
        <w:contextualSpacing/>
      </w:pPr>
      <w:r w:rsidRPr="00ED6EDE">
        <w:t xml:space="preserve">The ACM expressed disappointment that the design of the KN775 trial did not allow efficacy in dMMR patients to be specifically analysed. </w:t>
      </w:r>
    </w:p>
    <w:p w14:paraId="16D6179A" w14:textId="4D1F6357" w:rsidR="00B46193" w:rsidRDefault="00B46193" w:rsidP="00B46193">
      <w:pPr>
        <w:pStyle w:val="ListParagraph"/>
        <w:widowControl/>
        <w:numPr>
          <w:ilvl w:val="0"/>
          <w:numId w:val="14"/>
        </w:numPr>
        <w:spacing w:after="120"/>
      </w:pPr>
      <w:r w:rsidRPr="00ED6EDE">
        <w:t xml:space="preserve">Single agent pembrolizumab is an effective option for patients with dMMR advanced endometrial cancer, without the added toxicity from lenvatinib in the combination therapy. </w:t>
      </w:r>
      <w:r w:rsidRPr="00ED6EDE">
        <w:rPr>
          <w:snapToGrid/>
          <w:lang w:eastAsia="en-AU"/>
        </w:rPr>
        <w:t>(</w:t>
      </w:r>
      <w:r w:rsidRPr="00ED6EDE">
        <w:t>pembrolizumab and lenvatinib ACM Minutes, December 2021).</w:t>
      </w:r>
    </w:p>
    <w:p w14:paraId="2E542186" w14:textId="77777777" w:rsidR="00B46193" w:rsidRPr="00F53848" w:rsidRDefault="00B46193" w:rsidP="00B46193">
      <w:pPr>
        <w:pStyle w:val="ListParagraph"/>
        <w:widowControl/>
        <w:numPr>
          <w:ilvl w:val="1"/>
          <w:numId w:val="2"/>
        </w:numPr>
        <w:spacing w:after="120"/>
      </w:pPr>
      <w:r w:rsidRPr="00F53848">
        <w:t>The ACM noted that the combination therapy was FDA-approved for patients with endometrial cancer that is not microsatellite instability (MSI)-high or dMMR while it was recommended for European Medicines Agency (EMA) approval regardless of biomarker status.</w:t>
      </w:r>
    </w:p>
    <w:p w14:paraId="6C96DC75" w14:textId="77777777" w:rsidR="00B46193" w:rsidRPr="00ED6EDE" w:rsidRDefault="00B46193" w:rsidP="00B46193">
      <w:pPr>
        <w:pStyle w:val="ListParagraph"/>
        <w:widowControl/>
        <w:spacing w:after="120"/>
        <w:ind w:left="0"/>
      </w:pPr>
      <w:r w:rsidRPr="00ED6EDE">
        <w:rPr>
          <w:u w:val="single"/>
        </w:rPr>
        <w:t>Pembrolizumab monotherapy</w:t>
      </w:r>
    </w:p>
    <w:p w14:paraId="729458FB" w14:textId="77777777" w:rsidR="00B46193" w:rsidRPr="00ED6EDE" w:rsidRDefault="00B46193" w:rsidP="00B46193">
      <w:pPr>
        <w:pStyle w:val="ListParagraph"/>
        <w:widowControl/>
        <w:numPr>
          <w:ilvl w:val="1"/>
          <w:numId w:val="2"/>
        </w:numPr>
        <w:spacing w:after="120"/>
      </w:pPr>
      <w:r w:rsidRPr="00ED6EDE">
        <w:t xml:space="preserve">Pembrolizumab monotherapy has provisional registration for the following indication: “unresectable or metastatic solid tumours that are MSI-H or dMMR as determined by a validated test, that have progressed following prior treatment and when there are no satisfactory alternative treatment options. This indication was approved via the provisional approval pathway, based on the pooling of data on objective response rate and response duration across multiple different tissue types in a single-arm trial. Sample sizes for individual tissue types were too small to provide data on clinical utility of the MSI-H/dMMR tests for each of the tissue types, individually. The assumption that MSI-H/dMMR-status is predictive of the treatment effect of pembrolizumab for every tissue type has not been verified. Continued approval for this indication depends on verification and description of clinical benefit in the confirmatory trials.” </w:t>
      </w:r>
    </w:p>
    <w:p w14:paraId="4026855A" w14:textId="0D303216" w:rsidR="00B46193" w:rsidRPr="00ED6EDE" w:rsidRDefault="00B46193" w:rsidP="00B46193">
      <w:pPr>
        <w:pStyle w:val="ListParagraph"/>
        <w:widowControl/>
        <w:numPr>
          <w:ilvl w:val="1"/>
          <w:numId w:val="2"/>
        </w:numPr>
        <w:spacing w:after="120"/>
      </w:pPr>
      <w:r w:rsidRPr="00ED6EDE">
        <w:t>The PSCR stated the provisional registration for this indication has been “</w:t>
      </w:r>
      <w:r w:rsidR="008B4550" w:rsidRPr="008B4550">
        <w:rPr>
          <w:color w:val="000000"/>
          <w:w w:val="61"/>
          <w:shd w:val="solid" w:color="000000" w:fill="000000"/>
          <w:fitText w:val="473" w:id="-1500780800"/>
          <w14:textFill>
            <w14:solidFill>
              <w14:srgbClr w14:val="000000">
                <w14:alpha w14:val="100000"/>
              </w14:srgbClr>
            </w14:solidFill>
          </w14:textFill>
        </w:rPr>
        <w:t>|||  ||</w:t>
      </w:r>
      <w:r w:rsidR="008B4550" w:rsidRPr="008B4550">
        <w:rPr>
          <w:color w:val="000000"/>
          <w:spacing w:val="3"/>
          <w:w w:val="61"/>
          <w:shd w:val="solid" w:color="000000" w:fill="000000"/>
          <w:fitText w:val="473" w:id="-1500780800"/>
          <w14:textFill>
            <w14:solidFill>
              <w14:srgbClr w14:val="000000">
                <w14:alpha w14:val="100000"/>
              </w14:srgbClr>
            </w14:solidFill>
          </w14:textFill>
        </w:rPr>
        <w:t>|</w:t>
      </w:r>
      <w:r w:rsidR="008B4550" w:rsidRPr="008B4550">
        <w:t xml:space="preserve"> </w:t>
      </w:r>
      <w:r w:rsidR="008B4550" w:rsidRPr="008B4550">
        <w:rPr>
          <w:color w:val="000000"/>
          <w:w w:val="61"/>
          <w:shd w:val="solid" w:color="000000" w:fill="000000"/>
          <w:fitText w:val="473" w:id="-1500780799"/>
          <w14:textFill>
            <w14:solidFill>
              <w14:srgbClr w14:val="000000">
                <w14:alpha w14:val="100000"/>
              </w14:srgbClr>
            </w14:solidFill>
          </w14:textFill>
        </w:rPr>
        <w:t>|||  ||</w:t>
      </w:r>
      <w:r w:rsidR="008B4550" w:rsidRPr="008B4550">
        <w:rPr>
          <w:color w:val="000000"/>
          <w:spacing w:val="3"/>
          <w:w w:val="61"/>
          <w:shd w:val="solid" w:color="000000" w:fill="000000"/>
          <w:fitText w:val="473" w:id="-1500780799"/>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98"/>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8"/>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97"/>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7"/>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96"/>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6"/>
          <w14:textFill>
            <w14:solidFill>
              <w14:srgbClr w14:val="000000">
                <w14:alpha w14:val="100000"/>
              </w14:srgbClr>
            </w14:solidFill>
          </w14:textFill>
        </w:rPr>
        <w:t>|</w:t>
      </w:r>
      <w:r w:rsidRPr="00ED6EDE">
        <w:t xml:space="preserve">. This </w:t>
      </w:r>
      <w:r w:rsidR="008B4550" w:rsidRPr="001265BA">
        <w:rPr>
          <w:color w:val="000000"/>
          <w:w w:val="15"/>
          <w:shd w:val="solid" w:color="000000" w:fill="000000"/>
          <w:fitText w:val="-20" w:id="-1500780795"/>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5"/>
          <w14:textFill>
            <w14:solidFill>
              <w14:srgbClr w14:val="000000">
                <w14:alpha w14:val="100000"/>
              </w14:srgbClr>
            </w14:solidFill>
          </w14:textFill>
        </w:rPr>
        <w:t>|</w:t>
      </w:r>
      <w:r w:rsidR="008B4550" w:rsidRPr="008B4550">
        <w:t xml:space="preserve"> </w:t>
      </w:r>
      <w:r w:rsidRPr="00ED6EDE">
        <w:t>was based on data from 155 patients across KN164 (colorectal cancer) and KN158 (other solid tumours), which included only 24 endometrial patients at the time of TGA application… As presented in this submission, the endometrial cohort of KN158 now includes 90 patients.” The confirmatory data for pembrolizumab monotherapy in this indication appears to be subsequent data from KN158 (with longer follow-up and increasing sample size).</w:t>
      </w:r>
      <w:r>
        <w:t xml:space="preserve"> The pre-PBAC response stated that the sponsor “</w:t>
      </w:r>
      <w:r w:rsidR="008B4550" w:rsidRPr="001265BA">
        <w:rPr>
          <w:color w:val="000000"/>
          <w:w w:val="15"/>
          <w:shd w:val="solid" w:color="000000" w:fill="000000"/>
          <w:fitText w:val="-20" w:id="-1500780794"/>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4"/>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93"/>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3"/>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92"/>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2"/>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91"/>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1"/>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90"/>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0"/>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89"/>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89"/>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88"/>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88"/>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87"/>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87"/>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86"/>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86"/>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85"/>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85"/>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84"/>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84"/>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800"/>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800"/>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99"/>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9"/>
          <w14:textFill>
            <w14:solidFill>
              <w14:srgbClr w14:val="000000">
                <w14:alpha w14:val="100000"/>
              </w14:srgbClr>
            </w14:solidFill>
          </w14:textFill>
        </w:rPr>
        <w:t>|</w:t>
      </w:r>
      <w:r w:rsidR="008B4550" w:rsidRPr="008B4550">
        <w:t xml:space="preserve"> </w:t>
      </w:r>
      <w:r w:rsidR="008B4550" w:rsidRPr="001265BA">
        <w:rPr>
          <w:color w:val="000000"/>
          <w:w w:val="15"/>
          <w:shd w:val="solid" w:color="000000" w:fill="000000"/>
          <w:fitText w:val="-20" w:id="-1500780798"/>
          <w14:textFill>
            <w14:solidFill>
              <w14:srgbClr w14:val="000000">
                <w14:alpha w14:val="100000"/>
              </w14:srgbClr>
            </w14:solidFill>
          </w14:textFill>
        </w:rPr>
        <w:t xml:space="preserve">|  </w:t>
      </w:r>
      <w:r w:rsidR="008B4550" w:rsidRPr="001265BA">
        <w:rPr>
          <w:color w:val="000000"/>
          <w:spacing w:val="-69"/>
          <w:w w:val="15"/>
          <w:shd w:val="solid" w:color="000000" w:fill="000000"/>
          <w:fitText w:val="-20" w:id="-1500780798"/>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97"/>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7"/>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96"/>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6"/>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95"/>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5"/>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94"/>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4"/>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93"/>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3"/>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92"/>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2"/>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91"/>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1"/>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90"/>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0"/>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89"/>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89"/>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88"/>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88"/>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87"/>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87"/>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86"/>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86"/>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85"/>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85"/>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84"/>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84"/>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800"/>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800"/>
          <w14:textFill>
            <w14:solidFill>
              <w14:srgbClr w14:val="000000">
                <w14:alpha w14:val="100000"/>
              </w14:srgbClr>
            </w14:solidFill>
          </w14:textFill>
        </w:rPr>
        <w:t>|</w:t>
      </w:r>
      <w:r w:rsidR="008B4550" w:rsidRPr="008B4550">
        <w:t xml:space="preserve"> </w:t>
      </w:r>
      <w:r w:rsidR="008B4550" w:rsidRPr="003E504A">
        <w:rPr>
          <w:color w:val="000000"/>
          <w:w w:val="15"/>
          <w:shd w:val="solid" w:color="000000" w:fill="000000"/>
          <w:fitText w:val="-20" w:id="-1500780799"/>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9"/>
          <w14:textFill>
            <w14:solidFill>
              <w14:srgbClr w14:val="000000">
                <w14:alpha w14:val="100000"/>
              </w14:srgbClr>
            </w14:solidFill>
          </w14:textFill>
        </w:rPr>
        <w:t>|</w:t>
      </w:r>
      <w:r w:rsidRPr="00F74659">
        <w:t>”.</w:t>
      </w:r>
    </w:p>
    <w:p w14:paraId="656D49DF" w14:textId="77777777" w:rsidR="00B46193" w:rsidRPr="00ED6EDE" w:rsidRDefault="00B46193" w:rsidP="00B46193">
      <w:pPr>
        <w:pStyle w:val="ListParagraph"/>
        <w:widowControl/>
        <w:tabs>
          <w:tab w:val="center" w:pos="4153"/>
          <w:tab w:val="right" w:pos="8306"/>
        </w:tabs>
        <w:autoSpaceDE w:val="0"/>
        <w:autoSpaceDN w:val="0"/>
        <w:adjustRightInd w:val="0"/>
        <w:spacing w:after="120"/>
        <w:rPr>
          <w:i/>
        </w:rPr>
      </w:pPr>
      <w:r w:rsidRPr="00ED6EDE">
        <w:rPr>
          <w:i/>
        </w:rPr>
        <w:t>For more detail on PBAC’s view, see section 7 PBAC outcome.</w:t>
      </w:r>
    </w:p>
    <w:p w14:paraId="414F898D" w14:textId="77777777" w:rsidR="00B46193" w:rsidRPr="00ED6EDE" w:rsidRDefault="00B46193" w:rsidP="00B46193">
      <w:pPr>
        <w:pStyle w:val="PBACHeading1"/>
        <w:numPr>
          <w:ilvl w:val="0"/>
          <w:numId w:val="2"/>
        </w:numPr>
        <w:spacing w:after="240"/>
        <w:outlineLvl w:val="0"/>
      </w:pPr>
      <w:bookmarkStart w:id="14" w:name="_Toc22898848"/>
      <w:bookmarkStart w:id="15" w:name="_Toc93478145"/>
      <w:r w:rsidRPr="00ED6EDE">
        <w:t>Requested listing</w:t>
      </w:r>
      <w:bookmarkEnd w:id="14"/>
      <w:bookmarkEnd w:id="15"/>
    </w:p>
    <w:p w14:paraId="235CBFB0" w14:textId="77777777" w:rsidR="00B46193" w:rsidRPr="00285DCC" w:rsidRDefault="00B46193" w:rsidP="00B46193">
      <w:pPr>
        <w:pStyle w:val="ListParagraph"/>
        <w:widowControl/>
        <w:numPr>
          <w:ilvl w:val="1"/>
          <w:numId w:val="2"/>
        </w:numPr>
        <w:spacing w:after="120"/>
      </w:pPr>
      <w:bookmarkStart w:id="16" w:name="_Toc93478146"/>
      <w:r w:rsidRPr="00285DCC">
        <w:t xml:space="preserve">The restrictions proposed in the PSCR are outlined below. </w:t>
      </w:r>
    </w:p>
    <w:p w14:paraId="38329822" w14:textId="77777777" w:rsidR="00B46193" w:rsidRPr="00ED6EDE" w:rsidRDefault="00B46193" w:rsidP="00B46193">
      <w:pPr>
        <w:pStyle w:val="4-SubsectionHeading"/>
        <w:keepLines/>
        <w:rPr>
          <w:i w:val="0"/>
        </w:rPr>
      </w:pPr>
      <w:r w:rsidRPr="00ED6EDE">
        <w:rPr>
          <w:i w:val="0"/>
        </w:rPr>
        <w:t>Elements of listing</w:t>
      </w:r>
      <w:bookmarkEnd w:id="1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751"/>
        <w:gridCol w:w="989"/>
        <w:gridCol w:w="1126"/>
        <w:gridCol w:w="1147"/>
        <w:gridCol w:w="1589"/>
        <w:gridCol w:w="1425"/>
      </w:tblGrid>
      <w:tr w:rsidR="00B46193" w:rsidRPr="00ED6EDE" w14:paraId="2FC531E8" w14:textId="77777777" w:rsidTr="00C90C2B">
        <w:tc>
          <w:tcPr>
            <w:tcW w:w="2880" w:type="dxa"/>
            <w:vAlign w:val="center"/>
          </w:tcPr>
          <w:p w14:paraId="080317FD" w14:textId="77777777" w:rsidR="00B46193" w:rsidRPr="00ED6EDE" w:rsidRDefault="00B46193" w:rsidP="00C90C2B">
            <w:pPr>
              <w:pStyle w:val="Tabletext"/>
              <w:keepNext/>
              <w:keepLines/>
              <w:rPr>
                <w:b/>
                <w:bCs/>
              </w:rPr>
            </w:pPr>
            <w:r w:rsidRPr="00ED6EDE">
              <w:rPr>
                <w:b/>
              </w:rPr>
              <w:t>Name, restriction, manner of administration, form</w:t>
            </w:r>
          </w:p>
        </w:tc>
        <w:tc>
          <w:tcPr>
            <w:tcW w:w="990" w:type="dxa"/>
            <w:vAlign w:val="center"/>
          </w:tcPr>
          <w:p w14:paraId="79BBEAE5" w14:textId="77777777" w:rsidR="00B46193" w:rsidRPr="00ED6EDE" w:rsidRDefault="00B46193" w:rsidP="00C90C2B">
            <w:pPr>
              <w:pStyle w:val="Tabletext"/>
              <w:keepNext/>
              <w:keepLines/>
              <w:jc w:val="center"/>
              <w:rPr>
                <w:b/>
                <w:bCs/>
              </w:rPr>
            </w:pPr>
            <w:r w:rsidRPr="00ED6EDE">
              <w:rPr>
                <w:b/>
              </w:rPr>
              <w:t>Maximum quantity (packs)</w:t>
            </w:r>
          </w:p>
        </w:tc>
        <w:tc>
          <w:tcPr>
            <w:tcW w:w="1140" w:type="dxa"/>
            <w:vAlign w:val="center"/>
          </w:tcPr>
          <w:p w14:paraId="392F56EB" w14:textId="77777777" w:rsidR="00B46193" w:rsidRPr="00ED6EDE" w:rsidRDefault="00B46193" w:rsidP="00C90C2B">
            <w:pPr>
              <w:pStyle w:val="Tabletext"/>
              <w:keepNext/>
              <w:keepLines/>
              <w:jc w:val="center"/>
              <w:rPr>
                <w:b/>
                <w:bCs/>
              </w:rPr>
            </w:pPr>
            <w:r w:rsidRPr="00ED6EDE">
              <w:rPr>
                <w:b/>
              </w:rPr>
              <w:t>Maximum quantity (units)</w:t>
            </w:r>
          </w:p>
        </w:tc>
        <w:tc>
          <w:tcPr>
            <w:tcW w:w="0" w:type="auto"/>
            <w:vAlign w:val="center"/>
          </w:tcPr>
          <w:p w14:paraId="6826356F" w14:textId="77777777" w:rsidR="00B46193" w:rsidRPr="00ED6EDE" w:rsidRDefault="00B46193" w:rsidP="00C90C2B">
            <w:pPr>
              <w:pStyle w:val="Tabletext"/>
              <w:keepNext/>
              <w:keepLines/>
              <w:jc w:val="center"/>
              <w:rPr>
                <w:b/>
                <w:bCs/>
              </w:rPr>
            </w:pPr>
            <w:r w:rsidRPr="00ED6EDE">
              <w:rPr>
                <w:b/>
              </w:rPr>
              <w:t>No. of repeats</w:t>
            </w:r>
          </w:p>
        </w:tc>
        <w:tc>
          <w:tcPr>
            <w:tcW w:w="1640" w:type="dxa"/>
            <w:vAlign w:val="center"/>
          </w:tcPr>
          <w:p w14:paraId="1CDCC8C8" w14:textId="77777777" w:rsidR="00B46193" w:rsidRPr="00ED6EDE" w:rsidRDefault="00B46193" w:rsidP="00C90C2B">
            <w:pPr>
              <w:pStyle w:val="Tabletext"/>
              <w:keepNext/>
              <w:keepLines/>
              <w:jc w:val="center"/>
              <w:rPr>
                <w:b/>
                <w:bCs/>
              </w:rPr>
            </w:pPr>
            <w:r w:rsidRPr="00ED6EDE">
              <w:rPr>
                <w:b/>
              </w:rPr>
              <w:t>Dispensed price for maximum quantity</w:t>
            </w:r>
          </w:p>
        </w:tc>
        <w:tc>
          <w:tcPr>
            <w:tcW w:w="1440" w:type="dxa"/>
            <w:vAlign w:val="center"/>
          </w:tcPr>
          <w:p w14:paraId="5D0F51E2" w14:textId="77777777" w:rsidR="00B46193" w:rsidRPr="00ED6EDE" w:rsidRDefault="00B46193" w:rsidP="00C90C2B">
            <w:pPr>
              <w:pStyle w:val="Tabletext"/>
              <w:keepNext/>
              <w:keepLines/>
              <w:jc w:val="center"/>
              <w:rPr>
                <w:b/>
                <w:bCs/>
              </w:rPr>
            </w:pPr>
            <w:r w:rsidRPr="00ED6EDE">
              <w:rPr>
                <w:b/>
              </w:rPr>
              <w:t>Proprietary name and manufacturer</w:t>
            </w:r>
          </w:p>
        </w:tc>
      </w:tr>
      <w:tr w:rsidR="00B46193" w:rsidRPr="00ED6EDE" w14:paraId="4DC2A317" w14:textId="77777777" w:rsidTr="00C90C2B">
        <w:tc>
          <w:tcPr>
            <w:tcW w:w="2880" w:type="dxa"/>
            <w:vAlign w:val="center"/>
          </w:tcPr>
          <w:p w14:paraId="3B184CDA" w14:textId="77777777" w:rsidR="00B46193" w:rsidRPr="00ED6EDE" w:rsidRDefault="00B46193" w:rsidP="00C90C2B">
            <w:pPr>
              <w:pStyle w:val="Tabletext"/>
              <w:keepNext/>
              <w:keepLines/>
              <w:rPr>
                <w:iCs/>
              </w:rPr>
            </w:pPr>
            <w:r w:rsidRPr="00ED6EDE">
              <w:rPr>
                <w:iCs/>
              </w:rPr>
              <w:t>Lenvatinib</w:t>
            </w:r>
          </w:p>
          <w:p w14:paraId="2E490A2F" w14:textId="77777777" w:rsidR="00B46193" w:rsidRPr="00ED6EDE" w:rsidRDefault="00B46193" w:rsidP="00C90C2B">
            <w:pPr>
              <w:pStyle w:val="Tabletext"/>
              <w:keepNext/>
              <w:keepLines/>
              <w:rPr>
                <w:iCs/>
              </w:rPr>
            </w:pPr>
            <w:r w:rsidRPr="00ED6EDE">
              <w:rPr>
                <w:iCs/>
              </w:rPr>
              <w:t>4 mg/10 mg, 30 Capsules</w:t>
            </w:r>
          </w:p>
        </w:tc>
        <w:tc>
          <w:tcPr>
            <w:tcW w:w="990" w:type="dxa"/>
            <w:vAlign w:val="center"/>
          </w:tcPr>
          <w:p w14:paraId="43186F63" w14:textId="77777777" w:rsidR="00B46193" w:rsidRPr="00ED6EDE" w:rsidRDefault="00B46193" w:rsidP="00C90C2B">
            <w:pPr>
              <w:pStyle w:val="Tabletext"/>
              <w:keepNext/>
              <w:keepLines/>
              <w:jc w:val="center"/>
              <w:rPr>
                <w:rFonts w:ascii="Times" w:hAnsi="Times"/>
                <w:iCs/>
              </w:rPr>
            </w:pPr>
            <w:r w:rsidRPr="00ED6EDE">
              <w:rPr>
                <w:iCs/>
              </w:rPr>
              <w:t>2</w:t>
            </w:r>
          </w:p>
        </w:tc>
        <w:tc>
          <w:tcPr>
            <w:tcW w:w="1140" w:type="dxa"/>
            <w:vAlign w:val="center"/>
          </w:tcPr>
          <w:p w14:paraId="1B75F94A" w14:textId="77777777" w:rsidR="00B46193" w:rsidRPr="00ED6EDE" w:rsidRDefault="00B46193" w:rsidP="00C90C2B">
            <w:pPr>
              <w:pStyle w:val="Tabletext"/>
              <w:keepNext/>
              <w:keepLines/>
              <w:jc w:val="center"/>
              <w:rPr>
                <w:rFonts w:ascii="Times" w:hAnsi="Times"/>
                <w:iCs/>
              </w:rPr>
            </w:pPr>
            <w:r w:rsidRPr="00ED6EDE">
              <w:rPr>
                <w:iCs/>
              </w:rPr>
              <w:t>60 capsules</w:t>
            </w:r>
          </w:p>
        </w:tc>
        <w:tc>
          <w:tcPr>
            <w:tcW w:w="0" w:type="auto"/>
            <w:vAlign w:val="center"/>
          </w:tcPr>
          <w:p w14:paraId="17E95AEF" w14:textId="77777777" w:rsidR="00B46193" w:rsidRPr="00ED6EDE" w:rsidRDefault="00B46193" w:rsidP="00C90C2B">
            <w:pPr>
              <w:pStyle w:val="Tabletext"/>
              <w:keepNext/>
              <w:keepLines/>
              <w:jc w:val="center"/>
              <w:rPr>
                <w:rFonts w:ascii="Times" w:hAnsi="Times"/>
                <w:iCs/>
              </w:rPr>
            </w:pPr>
            <w:r w:rsidRPr="00ED6EDE">
              <w:rPr>
                <w:iCs/>
              </w:rPr>
              <w:t>2</w:t>
            </w:r>
          </w:p>
        </w:tc>
        <w:tc>
          <w:tcPr>
            <w:tcW w:w="1640" w:type="dxa"/>
            <w:vAlign w:val="center"/>
          </w:tcPr>
          <w:p w14:paraId="6E524E80" w14:textId="77777777" w:rsidR="00B46193" w:rsidRPr="00ED6EDE" w:rsidRDefault="00B46193" w:rsidP="00C90C2B">
            <w:pPr>
              <w:pStyle w:val="Tabletext"/>
              <w:keepNext/>
              <w:keepLines/>
              <w:jc w:val="center"/>
              <w:rPr>
                <w:iCs/>
              </w:rPr>
            </w:pPr>
            <w:r w:rsidRPr="00ED6EDE">
              <w:rPr>
                <w:iCs/>
              </w:rPr>
              <w:t>$6,471.22 published price</w:t>
            </w:r>
          </w:p>
        </w:tc>
        <w:tc>
          <w:tcPr>
            <w:tcW w:w="1440" w:type="dxa"/>
            <w:vAlign w:val="center"/>
          </w:tcPr>
          <w:p w14:paraId="669A6FDF" w14:textId="77777777" w:rsidR="00B46193" w:rsidRPr="00ED6EDE" w:rsidRDefault="00B46193" w:rsidP="00C90C2B">
            <w:pPr>
              <w:pStyle w:val="Tabletext"/>
              <w:keepNext/>
              <w:keepLines/>
              <w:jc w:val="center"/>
              <w:rPr>
                <w:rFonts w:ascii="Times" w:hAnsi="Times"/>
                <w:iCs/>
              </w:rPr>
            </w:pPr>
            <w:r w:rsidRPr="00ED6EDE">
              <w:rPr>
                <w:iCs/>
              </w:rPr>
              <w:t>LENVIMA, Eisai Australia Pty Ltd</w:t>
            </w:r>
          </w:p>
        </w:tc>
      </w:tr>
      <w:tr w:rsidR="00B46193" w:rsidRPr="00ED6EDE" w14:paraId="199F93B5" w14:textId="77777777" w:rsidTr="00C90C2B">
        <w:trPr>
          <w:tblHeader/>
        </w:trPr>
        <w:tc>
          <w:tcPr>
            <w:tcW w:w="2880" w:type="dxa"/>
            <w:vAlign w:val="center"/>
          </w:tcPr>
          <w:p w14:paraId="3EF78478" w14:textId="77777777" w:rsidR="00B46193" w:rsidRPr="00ED6EDE" w:rsidRDefault="00B46193" w:rsidP="00C90C2B">
            <w:pPr>
              <w:keepNext/>
              <w:keepLines/>
              <w:jc w:val="left"/>
              <w:rPr>
                <w:rFonts w:ascii="Arial Narrow" w:hAnsi="Arial Narrow"/>
                <w:b/>
                <w:sz w:val="20"/>
                <w:szCs w:val="20"/>
              </w:rPr>
            </w:pPr>
            <w:r w:rsidRPr="00ED6EDE">
              <w:rPr>
                <w:rFonts w:ascii="Arial Narrow" w:hAnsi="Arial Narrow"/>
                <w:b/>
                <w:sz w:val="20"/>
                <w:szCs w:val="20"/>
              </w:rPr>
              <w:t>Name, restriction, manner of administration, form</w:t>
            </w:r>
          </w:p>
        </w:tc>
        <w:tc>
          <w:tcPr>
            <w:tcW w:w="2130" w:type="dxa"/>
            <w:gridSpan w:val="2"/>
            <w:vAlign w:val="center"/>
          </w:tcPr>
          <w:p w14:paraId="38A1C4A3" w14:textId="77777777" w:rsidR="00B46193" w:rsidRPr="00ED6EDE" w:rsidRDefault="00B46193" w:rsidP="00C90C2B">
            <w:pPr>
              <w:keepNext/>
              <w:keepLines/>
              <w:jc w:val="center"/>
              <w:rPr>
                <w:rFonts w:ascii="Arial Narrow" w:hAnsi="Arial Narrow"/>
                <w:b/>
                <w:sz w:val="20"/>
                <w:szCs w:val="20"/>
              </w:rPr>
            </w:pPr>
            <w:r w:rsidRPr="00ED6EDE">
              <w:rPr>
                <w:rFonts w:ascii="Arial Narrow" w:hAnsi="Arial Narrow"/>
                <w:b/>
                <w:sz w:val="20"/>
                <w:szCs w:val="20"/>
              </w:rPr>
              <w:t>Maximum amount (units)</w:t>
            </w:r>
          </w:p>
        </w:tc>
        <w:tc>
          <w:tcPr>
            <w:tcW w:w="1180" w:type="dxa"/>
            <w:vAlign w:val="center"/>
          </w:tcPr>
          <w:p w14:paraId="31018146" w14:textId="77777777" w:rsidR="00B46193" w:rsidRPr="00ED6EDE" w:rsidRDefault="00B46193" w:rsidP="00C90C2B">
            <w:pPr>
              <w:keepNext/>
              <w:keepLines/>
              <w:jc w:val="center"/>
              <w:rPr>
                <w:rFonts w:ascii="Arial Narrow" w:hAnsi="Arial Narrow"/>
                <w:b/>
                <w:sz w:val="20"/>
                <w:szCs w:val="20"/>
              </w:rPr>
            </w:pPr>
            <w:r w:rsidRPr="00ED6EDE">
              <w:rPr>
                <w:rFonts w:ascii="Arial Narrow" w:hAnsi="Arial Narrow"/>
                <w:b/>
                <w:sz w:val="20"/>
                <w:szCs w:val="20"/>
              </w:rPr>
              <w:t>No. of repeats</w:t>
            </w:r>
          </w:p>
        </w:tc>
        <w:tc>
          <w:tcPr>
            <w:tcW w:w="1640" w:type="dxa"/>
            <w:vAlign w:val="center"/>
          </w:tcPr>
          <w:p w14:paraId="21C92F07" w14:textId="77777777" w:rsidR="00B46193" w:rsidRPr="00ED6EDE" w:rsidRDefault="00B46193" w:rsidP="00C90C2B">
            <w:pPr>
              <w:keepNext/>
              <w:keepLines/>
              <w:jc w:val="center"/>
              <w:rPr>
                <w:rFonts w:ascii="Arial Narrow" w:hAnsi="Arial Narrow"/>
                <w:b/>
                <w:sz w:val="20"/>
                <w:szCs w:val="20"/>
              </w:rPr>
            </w:pPr>
            <w:r w:rsidRPr="00ED6EDE">
              <w:rPr>
                <w:rFonts w:ascii="Arial Narrow" w:hAnsi="Arial Narrow"/>
                <w:b/>
                <w:sz w:val="20"/>
                <w:szCs w:val="20"/>
              </w:rPr>
              <w:t>Dispensed price for maximum amount</w:t>
            </w:r>
          </w:p>
        </w:tc>
        <w:tc>
          <w:tcPr>
            <w:tcW w:w="1440" w:type="dxa"/>
            <w:vAlign w:val="center"/>
          </w:tcPr>
          <w:p w14:paraId="3E1DD5CB" w14:textId="77777777" w:rsidR="00B46193" w:rsidRPr="00ED6EDE" w:rsidRDefault="00B46193" w:rsidP="00C90C2B">
            <w:pPr>
              <w:keepNext/>
              <w:keepLines/>
              <w:jc w:val="center"/>
              <w:rPr>
                <w:rFonts w:ascii="Arial Narrow" w:hAnsi="Arial Narrow"/>
                <w:b/>
                <w:sz w:val="20"/>
                <w:szCs w:val="20"/>
              </w:rPr>
            </w:pPr>
            <w:r w:rsidRPr="00ED6EDE">
              <w:rPr>
                <w:rFonts w:ascii="Arial Narrow" w:hAnsi="Arial Narrow"/>
                <w:b/>
                <w:sz w:val="20"/>
                <w:szCs w:val="20"/>
              </w:rPr>
              <w:t>Proprietary name and manufacturer</w:t>
            </w:r>
          </w:p>
        </w:tc>
      </w:tr>
      <w:tr w:rsidR="00B46193" w:rsidRPr="00ED6EDE" w14:paraId="2693E5EC" w14:textId="77777777" w:rsidTr="00C90C2B">
        <w:tc>
          <w:tcPr>
            <w:tcW w:w="2880" w:type="dxa"/>
            <w:vAlign w:val="center"/>
          </w:tcPr>
          <w:p w14:paraId="19F23AC2" w14:textId="77777777" w:rsidR="00B46193" w:rsidRPr="00ED6EDE" w:rsidRDefault="00B46193" w:rsidP="00C90C2B">
            <w:pPr>
              <w:pStyle w:val="Tabletext"/>
              <w:keepNext/>
              <w:keepLines/>
            </w:pPr>
            <w:r w:rsidRPr="00ED6EDE">
              <w:t>Pembrolizumab</w:t>
            </w:r>
          </w:p>
          <w:p w14:paraId="7CC4DA32" w14:textId="77777777" w:rsidR="00B46193" w:rsidRPr="00ED6EDE" w:rsidRDefault="00B46193" w:rsidP="00C90C2B">
            <w:pPr>
              <w:pStyle w:val="Tabletext"/>
              <w:keepNext/>
              <w:keepLines/>
            </w:pPr>
            <w:r w:rsidRPr="00ED6EDE">
              <w:t>100 mg injection, 1 vial</w:t>
            </w:r>
          </w:p>
        </w:tc>
        <w:tc>
          <w:tcPr>
            <w:tcW w:w="2130" w:type="dxa"/>
            <w:gridSpan w:val="2"/>
            <w:vAlign w:val="center"/>
          </w:tcPr>
          <w:p w14:paraId="26F3B96F" w14:textId="77777777" w:rsidR="00B46193" w:rsidRPr="00ED6EDE" w:rsidRDefault="00B46193" w:rsidP="00C90C2B">
            <w:pPr>
              <w:pStyle w:val="Tabletext"/>
              <w:keepNext/>
              <w:keepLines/>
              <w:jc w:val="center"/>
            </w:pPr>
            <w:r w:rsidRPr="00ED6EDE">
              <w:t>200 mg</w:t>
            </w:r>
          </w:p>
          <w:p w14:paraId="6F1DA82B" w14:textId="77777777" w:rsidR="00B46193" w:rsidRPr="00ED6EDE" w:rsidRDefault="00B46193" w:rsidP="00C90C2B">
            <w:pPr>
              <w:pStyle w:val="Tabletext"/>
              <w:keepNext/>
              <w:keepLines/>
              <w:jc w:val="center"/>
            </w:pPr>
          </w:p>
          <w:p w14:paraId="5FC97972" w14:textId="77777777" w:rsidR="00B46193" w:rsidRPr="00ED6EDE" w:rsidRDefault="00B46193" w:rsidP="00C90C2B">
            <w:pPr>
              <w:pStyle w:val="Tabletext"/>
              <w:keepNext/>
              <w:keepLines/>
              <w:jc w:val="center"/>
            </w:pPr>
            <w:r w:rsidRPr="00ED6EDE">
              <w:t>200 mg</w:t>
            </w:r>
          </w:p>
        </w:tc>
        <w:tc>
          <w:tcPr>
            <w:tcW w:w="1180" w:type="dxa"/>
            <w:vAlign w:val="center"/>
          </w:tcPr>
          <w:p w14:paraId="4F45061F" w14:textId="77777777" w:rsidR="00B46193" w:rsidRPr="00ED6EDE" w:rsidRDefault="00B46193" w:rsidP="00C90C2B">
            <w:pPr>
              <w:pStyle w:val="Tabletext"/>
              <w:keepNext/>
              <w:keepLines/>
              <w:jc w:val="center"/>
            </w:pPr>
            <w:r w:rsidRPr="00ED6EDE">
              <w:t>6</w:t>
            </w:r>
          </w:p>
          <w:p w14:paraId="2608A8D5" w14:textId="77777777" w:rsidR="00B46193" w:rsidRPr="00ED6EDE" w:rsidRDefault="00B46193" w:rsidP="00C90C2B">
            <w:pPr>
              <w:pStyle w:val="Tabletext"/>
              <w:keepNext/>
              <w:keepLines/>
              <w:jc w:val="center"/>
            </w:pPr>
          </w:p>
          <w:p w14:paraId="3541B77D" w14:textId="77777777" w:rsidR="00B46193" w:rsidRPr="00ED6EDE" w:rsidRDefault="00B46193" w:rsidP="00C90C2B">
            <w:pPr>
              <w:pStyle w:val="Tabletext"/>
              <w:keepNext/>
              <w:keepLines/>
              <w:jc w:val="center"/>
            </w:pPr>
            <w:r w:rsidRPr="00ED6EDE">
              <w:t>6</w:t>
            </w:r>
          </w:p>
        </w:tc>
        <w:tc>
          <w:tcPr>
            <w:tcW w:w="1640" w:type="dxa"/>
            <w:vAlign w:val="center"/>
          </w:tcPr>
          <w:p w14:paraId="35291485" w14:textId="77777777" w:rsidR="00B46193" w:rsidRPr="00ED6EDE" w:rsidRDefault="00B46193" w:rsidP="00C90C2B">
            <w:pPr>
              <w:pStyle w:val="Tabletext"/>
              <w:keepNext/>
              <w:keepLines/>
              <w:jc w:val="center"/>
            </w:pPr>
            <w:r w:rsidRPr="00ED6EDE">
              <w:t>$7,881.87 (private)</w:t>
            </w:r>
          </w:p>
          <w:p w14:paraId="0405118E" w14:textId="77777777" w:rsidR="00B46193" w:rsidRPr="00ED6EDE" w:rsidRDefault="00B46193" w:rsidP="00C90C2B">
            <w:pPr>
              <w:pStyle w:val="Tabletext"/>
              <w:keepNext/>
              <w:keepLines/>
              <w:jc w:val="center"/>
            </w:pPr>
            <w:r w:rsidRPr="00ED6EDE">
              <w:t>published price</w:t>
            </w:r>
          </w:p>
          <w:p w14:paraId="517F22E4" w14:textId="77777777" w:rsidR="00B46193" w:rsidRPr="00ED6EDE" w:rsidRDefault="00B46193" w:rsidP="00C90C2B">
            <w:pPr>
              <w:pStyle w:val="Tabletext"/>
              <w:keepNext/>
              <w:keepLines/>
              <w:jc w:val="center"/>
            </w:pPr>
            <w:r w:rsidRPr="00ED6EDE">
              <w:t>$7,733.78 (public)</w:t>
            </w:r>
          </w:p>
          <w:p w14:paraId="156A6869" w14:textId="77777777" w:rsidR="00B46193" w:rsidRPr="00ED6EDE" w:rsidRDefault="00B46193" w:rsidP="00C90C2B">
            <w:pPr>
              <w:pStyle w:val="Tabletext"/>
              <w:keepNext/>
              <w:keepLines/>
              <w:jc w:val="center"/>
            </w:pPr>
            <w:r w:rsidRPr="00ED6EDE">
              <w:t>published price</w:t>
            </w:r>
          </w:p>
        </w:tc>
        <w:tc>
          <w:tcPr>
            <w:tcW w:w="1440" w:type="dxa"/>
            <w:vAlign w:val="center"/>
          </w:tcPr>
          <w:p w14:paraId="2E3446FB" w14:textId="77777777" w:rsidR="00B46193" w:rsidRPr="00ED6EDE" w:rsidRDefault="00B46193" w:rsidP="00C90C2B">
            <w:pPr>
              <w:pStyle w:val="Tabletext"/>
              <w:keepNext/>
              <w:keepLines/>
              <w:jc w:val="center"/>
            </w:pPr>
            <w:r w:rsidRPr="00ED6EDE">
              <w:t xml:space="preserve">KEYTRUDA, </w:t>
            </w:r>
            <w:r w:rsidRPr="00ED6EDE">
              <w:rPr>
                <w:rFonts w:eastAsia="Calibri"/>
                <w:sz w:val="18"/>
                <w:szCs w:val="18"/>
              </w:rPr>
              <w:t>Merck Sharp &amp; Dohme (Australia) Pty Ltd</w:t>
            </w:r>
          </w:p>
        </w:tc>
      </w:tr>
    </w:tbl>
    <w:p w14:paraId="2CB7DD09" w14:textId="77777777" w:rsidR="00B46193" w:rsidRPr="00ED6EDE" w:rsidRDefault="00B46193" w:rsidP="00B46193">
      <w:pPr>
        <w:pStyle w:val="ListParagraph"/>
        <w:widowControl/>
        <w:spacing w:after="120"/>
      </w:pPr>
    </w:p>
    <w:p w14:paraId="2836747F" w14:textId="60D4D269" w:rsidR="002C046A" w:rsidRPr="00ED6EDE" w:rsidRDefault="00C76A4B" w:rsidP="00C76A4B">
      <w:pPr>
        <w:widowControl/>
        <w:spacing w:after="160" w:line="259" w:lineRule="auto"/>
        <w:jc w:val="left"/>
        <w:outlineLvl w:val="2"/>
        <w:rPr>
          <w:rFonts w:asciiTheme="minorHAnsi" w:eastAsiaTheme="majorEastAsia" w:hAnsiTheme="minorHAnsi" w:cstheme="majorBidi"/>
          <w:b/>
          <w:snapToGrid/>
          <w:spacing w:val="5"/>
          <w:kern w:val="28"/>
          <w:szCs w:val="24"/>
        </w:rPr>
      </w:pPr>
      <w:r w:rsidRPr="00ED6EDE">
        <w:rPr>
          <w:rFonts w:asciiTheme="minorHAnsi" w:eastAsiaTheme="majorEastAsia" w:hAnsiTheme="minorHAnsi" w:cstheme="majorBidi"/>
          <w:b/>
          <w:snapToGrid/>
          <w:spacing w:val="5"/>
          <w:kern w:val="28"/>
          <w:szCs w:val="24"/>
        </w:rPr>
        <w:t xml:space="preserve">Pembrolizumab (in combination with lenvatinib) </w:t>
      </w:r>
      <w:r w:rsidR="002C046A" w:rsidRPr="00ED6EDE">
        <w:rPr>
          <w:rFonts w:asciiTheme="minorHAnsi" w:eastAsiaTheme="majorEastAsia" w:hAnsiTheme="minorHAnsi" w:cstheme="majorBidi"/>
          <w:b/>
          <w:snapToGrid/>
          <w:spacing w:val="5"/>
          <w:kern w:val="28"/>
          <w:szCs w:val="24"/>
        </w:rPr>
        <w:t xml:space="preserve">for pMMR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B53D4B" w:rsidRPr="00ED6EDE" w14:paraId="7EEB51F5" w14:textId="77777777" w:rsidTr="00B53D4B">
        <w:tc>
          <w:tcPr>
            <w:tcW w:w="5000" w:type="pct"/>
            <w:tcBorders>
              <w:top w:val="single" w:sz="4" w:space="0" w:color="auto"/>
              <w:left w:val="single" w:sz="4" w:space="0" w:color="auto"/>
              <w:bottom w:val="single" w:sz="4" w:space="0" w:color="auto"/>
              <w:right w:val="single" w:sz="4" w:space="0" w:color="auto"/>
            </w:tcBorders>
          </w:tcPr>
          <w:p w14:paraId="3367EDD4" w14:textId="77777777" w:rsidR="00B53D4B" w:rsidRPr="00ED6EDE" w:rsidRDefault="00B53D4B" w:rsidP="002C046A">
            <w:pPr>
              <w:widowControl/>
              <w:rPr>
                <w:rFonts w:ascii="Arial Narrow" w:eastAsia="Calibri" w:hAnsi="Arial Narrow"/>
                <w:snapToGrid/>
                <w:sz w:val="20"/>
                <w:szCs w:val="20"/>
              </w:rPr>
            </w:pPr>
            <w:r w:rsidRPr="00ED6EDE">
              <w:rPr>
                <w:rFonts w:ascii="Arial Narrow" w:eastAsia="Calibri" w:hAnsi="Arial Narrow"/>
                <w:b/>
                <w:snapToGrid/>
                <w:sz w:val="20"/>
                <w:szCs w:val="20"/>
              </w:rPr>
              <w:t xml:space="preserve">Category / Program:   </w:t>
            </w:r>
          </w:p>
          <w:p w14:paraId="351B99E2" w14:textId="77777777" w:rsidR="00B53D4B" w:rsidRPr="00ED6EDE" w:rsidRDefault="00B53D4B" w:rsidP="002C046A">
            <w:pPr>
              <w:widowControl/>
              <w:rPr>
                <w:rFonts w:ascii="Arial Narrow" w:eastAsia="Calibri" w:hAnsi="Arial Narrow"/>
                <w:snapToGrid/>
                <w:sz w:val="20"/>
                <w:szCs w:val="20"/>
              </w:rPr>
            </w:pPr>
            <w:r w:rsidRPr="00ED6EDE">
              <w:rPr>
                <w:rFonts w:ascii="Arial Narrow" w:eastAsia="Calibri" w:hAnsi="Arial Narrow"/>
                <w:snapToGrid/>
                <w:sz w:val="20"/>
                <w:szCs w:val="20"/>
              </w:rPr>
              <w:t xml:space="preserve">Section 100 – Efficient Funding of Chemotherapy Public/Private hospitals     </w:t>
            </w:r>
          </w:p>
        </w:tc>
      </w:tr>
      <w:tr w:rsidR="00B53D4B" w:rsidRPr="00ED6EDE" w14:paraId="3880E1C4" w14:textId="77777777" w:rsidTr="00B53D4B">
        <w:trPr>
          <w:trHeight w:val="240"/>
        </w:trPr>
        <w:tc>
          <w:tcPr>
            <w:tcW w:w="5000" w:type="pct"/>
            <w:tcBorders>
              <w:top w:val="single" w:sz="4" w:space="0" w:color="auto"/>
              <w:left w:val="single" w:sz="4" w:space="0" w:color="auto"/>
              <w:bottom w:val="single" w:sz="4" w:space="0" w:color="auto"/>
              <w:right w:val="single" w:sz="4" w:space="0" w:color="auto"/>
            </w:tcBorders>
          </w:tcPr>
          <w:p w14:paraId="2D9E99D9" w14:textId="77777777" w:rsidR="00B53D4B" w:rsidRPr="00ED6EDE" w:rsidRDefault="00B53D4B" w:rsidP="002C046A">
            <w:pPr>
              <w:widowControl/>
              <w:rPr>
                <w:rFonts w:ascii="Arial Narrow" w:eastAsia="Calibri" w:hAnsi="Arial Narrow"/>
                <w:b/>
                <w:snapToGrid/>
                <w:sz w:val="20"/>
                <w:szCs w:val="20"/>
              </w:rPr>
            </w:pPr>
            <w:r w:rsidRPr="00ED6EDE">
              <w:rPr>
                <w:rFonts w:ascii="Arial Narrow" w:eastAsia="Calibri" w:hAnsi="Arial Narrow"/>
                <w:b/>
                <w:snapToGrid/>
                <w:sz w:val="20"/>
                <w:szCs w:val="20"/>
              </w:rPr>
              <w:t xml:space="preserve">Prescriber type:   </w:t>
            </w:r>
            <w:r w:rsidRPr="00ED6EDE">
              <w:rPr>
                <w:rFonts w:ascii="Arial Narrow" w:eastAsia="Calibri" w:hAnsi="Arial Narrow"/>
                <w:snapToGrid/>
                <w:sz w:val="20"/>
                <w:szCs w:val="20"/>
              </w:rPr>
              <w:fldChar w:fldCharType="begin">
                <w:ffData>
                  <w:name w:val="Check1"/>
                  <w:enabled/>
                  <w:calcOnExit w:val="0"/>
                  <w:checkBox>
                    <w:sizeAuto/>
                    <w:default w:val="0"/>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 xml:space="preserve">Dental    </w:t>
            </w:r>
            <w:r w:rsidRPr="00ED6EDE">
              <w:rPr>
                <w:rFonts w:ascii="Arial Narrow" w:eastAsia="Calibri" w:hAnsi="Arial Narrow"/>
                <w:snapToGrid/>
                <w:sz w:val="20"/>
                <w:szCs w:val="20"/>
              </w:rPr>
              <w:fldChar w:fldCharType="begin">
                <w:ffData>
                  <w:name w:val=""/>
                  <w:enabled/>
                  <w:calcOnExit w:val="0"/>
                  <w:checkBox>
                    <w:sizeAuto/>
                    <w:default w:val="1"/>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 xml:space="preserve">Medical Practitioners    </w:t>
            </w:r>
            <w:r w:rsidRPr="00ED6EDE">
              <w:rPr>
                <w:rFonts w:ascii="Arial Narrow" w:eastAsia="Calibri" w:hAnsi="Arial Narrow"/>
                <w:snapToGrid/>
                <w:sz w:val="20"/>
                <w:szCs w:val="20"/>
              </w:rPr>
              <w:fldChar w:fldCharType="begin">
                <w:ffData>
                  <w:name w:val="Check3"/>
                  <w:enabled/>
                  <w:calcOnExit w:val="0"/>
                  <w:checkBox>
                    <w:sizeAuto/>
                    <w:default w:val="0"/>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 xml:space="preserve">Nurse practitioners     </w:t>
            </w:r>
            <w:r w:rsidRPr="00ED6EDE">
              <w:rPr>
                <w:rFonts w:ascii="Arial Narrow" w:eastAsia="Calibri" w:hAnsi="Arial Narrow"/>
                <w:snapToGrid/>
                <w:sz w:val="20"/>
                <w:szCs w:val="20"/>
              </w:rPr>
              <w:fldChar w:fldCharType="begin">
                <w:ffData>
                  <w:name w:val=""/>
                  <w:enabled/>
                  <w:calcOnExit w:val="0"/>
                  <w:checkBox>
                    <w:sizeAuto/>
                    <w:default w:val="0"/>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 xml:space="preserve">Optometrists    </w:t>
            </w:r>
            <w:r w:rsidRPr="00ED6EDE">
              <w:rPr>
                <w:rFonts w:ascii="Arial Narrow" w:eastAsia="Calibri" w:hAnsi="Arial Narrow"/>
                <w:snapToGrid/>
                <w:sz w:val="20"/>
                <w:szCs w:val="20"/>
              </w:rPr>
              <w:fldChar w:fldCharType="begin">
                <w:ffData>
                  <w:name w:val="Check5"/>
                  <w:enabled/>
                  <w:calcOnExit w:val="0"/>
                  <w:checkBox>
                    <w:sizeAuto/>
                    <w:default w:val="0"/>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Midwives</w:t>
            </w:r>
          </w:p>
        </w:tc>
      </w:tr>
      <w:tr w:rsidR="00B53D4B" w:rsidRPr="00ED6EDE" w14:paraId="78E3E32F" w14:textId="77777777" w:rsidTr="00B53D4B">
        <w:tc>
          <w:tcPr>
            <w:tcW w:w="5000" w:type="pct"/>
            <w:tcBorders>
              <w:top w:val="single" w:sz="4" w:space="0" w:color="auto"/>
              <w:left w:val="single" w:sz="4" w:space="0" w:color="auto"/>
              <w:bottom w:val="single" w:sz="4" w:space="0" w:color="auto"/>
              <w:right w:val="single" w:sz="4" w:space="0" w:color="auto"/>
            </w:tcBorders>
          </w:tcPr>
          <w:p w14:paraId="1C90FF0E" w14:textId="77777777" w:rsidR="00B53D4B" w:rsidRPr="00ED6EDE" w:rsidRDefault="00B53D4B" w:rsidP="002C046A">
            <w:pPr>
              <w:widowControl/>
              <w:rPr>
                <w:rFonts w:ascii="Arial Narrow" w:eastAsia="Calibri" w:hAnsi="Arial Narrow"/>
                <w:b/>
                <w:snapToGrid/>
                <w:sz w:val="20"/>
                <w:szCs w:val="20"/>
              </w:rPr>
            </w:pPr>
            <w:r w:rsidRPr="00ED6EDE">
              <w:rPr>
                <w:rFonts w:ascii="Arial Narrow" w:eastAsia="Calibri" w:hAnsi="Arial Narrow"/>
                <w:b/>
                <w:snapToGrid/>
                <w:sz w:val="20"/>
                <w:szCs w:val="20"/>
              </w:rPr>
              <w:t>Restriction Type – assessment time by Services Australia – Method of obtaining authority approval (if Authority Required)</w:t>
            </w:r>
          </w:p>
          <w:p w14:paraId="17CB9A1C" w14:textId="2DFF8998" w:rsidR="00B53D4B" w:rsidRPr="00ED6EDE" w:rsidRDefault="00B53D4B" w:rsidP="00C76A4B">
            <w:pPr>
              <w:widowControl/>
              <w:rPr>
                <w:rFonts w:ascii="Arial Narrow" w:eastAsia="Calibri" w:hAnsi="Arial Narrow"/>
                <w:snapToGrid/>
                <w:sz w:val="20"/>
                <w:szCs w:val="20"/>
              </w:rPr>
            </w:pPr>
            <w:r w:rsidRPr="00ED6EDE">
              <w:rPr>
                <w:rFonts w:ascii="Arial Narrow" w:eastAsia="Calibri" w:hAnsi="Arial Narrow"/>
                <w:snapToGrid/>
                <w:sz w:val="20"/>
                <w:szCs w:val="20"/>
              </w:rPr>
              <w:fldChar w:fldCharType="begin">
                <w:ffData>
                  <w:name w:val="Check3"/>
                  <w:enabled/>
                  <w:calcOnExit w:val="0"/>
                  <w:checkBox>
                    <w:sizeAuto/>
                    <w:default w:val="1"/>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Authority Required – immediate/real time assessment by Services Australia (telephone/online application avenues)</w:t>
            </w:r>
          </w:p>
        </w:tc>
      </w:tr>
      <w:tr w:rsidR="00B53D4B" w:rsidRPr="00ED6EDE" w14:paraId="34D46112" w14:textId="77777777" w:rsidTr="00B53D4B">
        <w:tc>
          <w:tcPr>
            <w:tcW w:w="5000" w:type="pct"/>
            <w:vAlign w:val="center"/>
          </w:tcPr>
          <w:p w14:paraId="70241F5F" w14:textId="77777777" w:rsidR="00B53D4B" w:rsidRPr="00ED6EDE" w:rsidRDefault="00B53D4B" w:rsidP="002C046A">
            <w:pPr>
              <w:widowControl/>
              <w:jc w:val="left"/>
              <w:rPr>
                <w:rFonts w:ascii="Arial Narrow" w:hAnsi="Arial Narrow" w:cs="Times New Roman"/>
                <w:b/>
                <w:bCs/>
                <w:snapToGrid/>
                <w:sz w:val="20"/>
                <w:szCs w:val="20"/>
                <w:lang w:eastAsia="en-AU"/>
              </w:rPr>
            </w:pPr>
            <w:r w:rsidRPr="00ED6EDE">
              <w:rPr>
                <w:rFonts w:ascii="Arial Narrow" w:hAnsi="Arial Narrow" w:cs="Times New Roman"/>
                <w:b/>
                <w:bCs/>
                <w:snapToGrid/>
                <w:sz w:val="20"/>
                <w:szCs w:val="20"/>
                <w:lang w:eastAsia="en-AU"/>
              </w:rPr>
              <w:t xml:space="preserve">Severity: </w:t>
            </w:r>
            <w:r w:rsidRPr="00ED6EDE">
              <w:rPr>
                <w:rFonts w:ascii="Arial Narrow" w:hAnsi="Arial Narrow" w:cs="Times New Roman"/>
                <w:bCs/>
                <w:snapToGrid/>
                <w:sz w:val="20"/>
                <w:szCs w:val="20"/>
                <w:lang w:eastAsia="en-AU"/>
              </w:rPr>
              <w:t>advanced, metastatic or recurrent</w:t>
            </w:r>
          </w:p>
        </w:tc>
      </w:tr>
      <w:tr w:rsidR="00B53D4B" w:rsidRPr="00ED6EDE" w14:paraId="51906306" w14:textId="77777777" w:rsidTr="00B53D4B">
        <w:tc>
          <w:tcPr>
            <w:tcW w:w="5000" w:type="pct"/>
            <w:vAlign w:val="center"/>
          </w:tcPr>
          <w:p w14:paraId="61068104" w14:textId="77777777" w:rsidR="00B53D4B" w:rsidRPr="00ED6EDE" w:rsidRDefault="00B53D4B" w:rsidP="002C046A">
            <w:pPr>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 xml:space="preserve">Condition: </w:t>
            </w:r>
            <w:r w:rsidRPr="00ED6EDE">
              <w:rPr>
                <w:rFonts w:ascii="Arial Narrow" w:hAnsi="Arial Narrow" w:cs="Times New Roman"/>
                <w:bCs/>
                <w:snapToGrid/>
                <w:sz w:val="20"/>
                <w:szCs w:val="20"/>
                <w:lang w:eastAsia="en-AU"/>
              </w:rPr>
              <w:t>proficient mismatch repair</w:t>
            </w:r>
            <w:r w:rsidRPr="00ED6EDE">
              <w:rPr>
                <w:rFonts w:ascii="Arial Narrow" w:hAnsi="Arial Narrow" w:cs="Times New Roman"/>
                <w:b/>
                <w:bCs/>
                <w:snapToGrid/>
                <w:sz w:val="20"/>
                <w:szCs w:val="20"/>
                <w:lang w:eastAsia="en-AU"/>
              </w:rPr>
              <w:t xml:space="preserve"> </w:t>
            </w:r>
            <w:r w:rsidRPr="00ED6EDE">
              <w:rPr>
                <w:rFonts w:ascii="Arial Narrow" w:hAnsi="Arial Narrow" w:cs="Times New Roman"/>
                <w:bCs/>
                <w:snapToGrid/>
                <w:sz w:val="20"/>
                <w:szCs w:val="20"/>
                <w:lang w:eastAsia="en-AU"/>
              </w:rPr>
              <w:t>endometrial carcinoma</w:t>
            </w:r>
          </w:p>
        </w:tc>
      </w:tr>
      <w:tr w:rsidR="00B53D4B" w:rsidRPr="00ED6EDE" w14:paraId="77665B53" w14:textId="77777777" w:rsidTr="00B53D4B">
        <w:tc>
          <w:tcPr>
            <w:tcW w:w="5000" w:type="pct"/>
            <w:vAlign w:val="center"/>
            <w:hideMark/>
          </w:tcPr>
          <w:p w14:paraId="1710B7C2"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b/>
                <w:bCs/>
                <w:snapToGrid/>
                <w:sz w:val="20"/>
                <w:szCs w:val="20"/>
                <w:lang w:eastAsia="en-AU"/>
              </w:rPr>
              <w:t>Indication:</w:t>
            </w:r>
            <w:r w:rsidRPr="00ED6EDE">
              <w:rPr>
                <w:rFonts w:ascii="Arial Narrow" w:hAnsi="Arial Narrow" w:cs="Times New Roman"/>
                <w:snapToGrid/>
                <w:sz w:val="20"/>
                <w:szCs w:val="20"/>
                <w:lang w:eastAsia="en-AU"/>
              </w:rPr>
              <w:t xml:space="preserve"> Advanced, metastatic or recurrent proficient mismatch repair (pMMR) endometrial carcinoma</w:t>
            </w:r>
          </w:p>
        </w:tc>
      </w:tr>
      <w:tr w:rsidR="00054239" w:rsidRPr="00ED6EDE" w14:paraId="0FFB277C" w14:textId="77777777" w:rsidTr="00054239">
        <w:tc>
          <w:tcPr>
            <w:tcW w:w="5000" w:type="pct"/>
            <w:tcBorders>
              <w:bottom w:val="single" w:sz="4" w:space="0" w:color="auto"/>
            </w:tcBorders>
            <w:shd w:val="clear" w:color="auto" w:fill="D9D9D9" w:themeFill="background1" w:themeFillShade="D9"/>
            <w:vAlign w:val="center"/>
            <w:hideMark/>
          </w:tcPr>
          <w:p w14:paraId="6DEF4A1D"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b/>
                <w:bCs/>
                <w:snapToGrid/>
                <w:sz w:val="20"/>
                <w:szCs w:val="20"/>
                <w:lang w:eastAsia="en-AU"/>
              </w:rPr>
              <w:t>Treatment Phase:</w:t>
            </w:r>
            <w:r w:rsidRPr="00ED6EDE">
              <w:rPr>
                <w:rFonts w:ascii="Arial Narrow" w:hAnsi="Arial Narrow" w:cs="Times New Roman"/>
                <w:snapToGrid/>
                <w:sz w:val="20"/>
                <w:szCs w:val="20"/>
                <w:lang w:eastAsia="en-AU"/>
              </w:rPr>
              <w:t xml:space="preserve"> Initial treatment</w:t>
            </w:r>
          </w:p>
        </w:tc>
      </w:tr>
      <w:tr w:rsidR="00054239" w:rsidRPr="00ED6EDE" w14:paraId="0E51B893" w14:textId="77777777" w:rsidTr="00054239">
        <w:tc>
          <w:tcPr>
            <w:tcW w:w="5000" w:type="pct"/>
            <w:tcBorders>
              <w:bottom w:val="nil"/>
            </w:tcBorders>
            <w:vAlign w:val="center"/>
            <w:hideMark/>
          </w:tcPr>
          <w:p w14:paraId="3EB058F6"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b/>
                <w:bCs/>
                <w:snapToGrid/>
                <w:sz w:val="20"/>
                <w:szCs w:val="20"/>
                <w:lang w:eastAsia="en-AU"/>
              </w:rPr>
              <w:t>Clinical criteria:</w:t>
            </w:r>
          </w:p>
        </w:tc>
      </w:tr>
      <w:tr w:rsidR="00054239" w:rsidRPr="00ED6EDE" w14:paraId="6F993921" w14:textId="77777777" w:rsidTr="00054239">
        <w:tc>
          <w:tcPr>
            <w:tcW w:w="5000" w:type="pct"/>
            <w:tcBorders>
              <w:top w:val="nil"/>
              <w:bottom w:val="nil"/>
            </w:tcBorders>
            <w:vAlign w:val="center"/>
            <w:hideMark/>
          </w:tcPr>
          <w:p w14:paraId="7C3DF2D1" w14:textId="576EF2A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The condition must have progressed on prior platinum-based chemotherapy regimen in the first-line advanced, metastatic or recurrent setting, i.e. not including any platinum-based chemotherapy administered in the neo-adjuvant or adjuvant setting</w:t>
            </w:r>
          </w:p>
        </w:tc>
      </w:tr>
      <w:tr w:rsidR="00054239" w:rsidRPr="00ED6EDE" w14:paraId="40B4F1E5" w14:textId="77777777" w:rsidTr="00054239">
        <w:tc>
          <w:tcPr>
            <w:tcW w:w="5000" w:type="pct"/>
            <w:tcBorders>
              <w:top w:val="nil"/>
              <w:bottom w:val="nil"/>
            </w:tcBorders>
            <w:vAlign w:val="center"/>
            <w:hideMark/>
          </w:tcPr>
          <w:p w14:paraId="5D2A741A"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7D5B1165" w14:textId="77777777" w:rsidTr="00054239">
        <w:tc>
          <w:tcPr>
            <w:tcW w:w="5000" w:type="pct"/>
            <w:tcBorders>
              <w:top w:val="nil"/>
              <w:bottom w:val="nil"/>
            </w:tcBorders>
            <w:vAlign w:val="center"/>
            <w:hideMark/>
          </w:tcPr>
          <w:p w14:paraId="77E3E87E" w14:textId="36DF8CC2"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Patient must not have received prior treatment with a programmed cell death-1 (PD-1) inhibitor or a programmed cell death ligand-1 (PD</w:t>
            </w:r>
            <w:r w:rsidR="00054239" w:rsidRPr="00ED6EDE">
              <w:rPr>
                <w:rFonts w:ascii="Arial Narrow" w:hAnsi="Arial Narrow" w:cs="Times New Roman"/>
                <w:snapToGrid/>
                <w:sz w:val="20"/>
                <w:szCs w:val="20"/>
                <w:lang w:eastAsia="en-AU"/>
              </w:rPr>
              <w:noBreakHyphen/>
            </w:r>
            <w:r w:rsidRPr="00ED6EDE">
              <w:rPr>
                <w:rFonts w:ascii="Arial Narrow" w:hAnsi="Arial Narrow" w:cs="Times New Roman"/>
                <w:snapToGrid/>
                <w:sz w:val="20"/>
                <w:szCs w:val="20"/>
                <w:lang w:eastAsia="en-AU"/>
              </w:rPr>
              <w:t>L1) inhibitor, or prior tyrosine kinase inhibitor for endometrial cancer</w:t>
            </w:r>
          </w:p>
        </w:tc>
      </w:tr>
      <w:tr w:rsidR="00054239" w:rsidRPr="00ED6EDE" w14:paraId="0750E4BE" w14:textId="77777777" w:rsidTr="00054239">
        <w:tc>
          <w:tcPr>
            <w:tcW w:w="5000" w:type="pct"/>
            <w:tcBorders>
              <w:top w:val="nil"/>
              <w:bottom w:val="nil"/>
            </w:tcBorders>
            <w:vAlign w:val="center"/>
            <w:hideMark/>
          </w:tcPr>
          <w:p w14:paraId="79B747F8"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7A676058" w14:textId="77777777" w:rsidTr="00054239">
        <w:tc>
          <w:tcPr>
            <w:tcW w:w="5000" w:type="pct"/>
            <w:tcBorders>
              <w:top w:val="nil"/>
              <w:bottom w:val="nil"/>
            </w:tcBorders>
            <w:vAlign w:val="center"/>
            <w:hideMark/>
          </w:tcPr>
          <w:p w14:paraId="2A14C8C8"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Patient must have a WHO performance status of 0 or 1</w:t>
            </w:r>
          </w:p>
        </w:tc>
      </w:tr>
      <w:tr w:rsidR="00054239" w:rsidRPr="00ED6EDE" w14:paraId="7D8C6142" w14:textId="77777777" w:rsidTr="00054239">
        <w:tc>
          <w:tcPr>
            <w:tcW w:w="5000" w:type="pct"/>
            <w:tcBorders>
              <w:top w:val="nil"/>
              <w:bottom w:val="nil"/>
            </w:tcBorders>
            <w:vAlign w:val="center"/>
          </w:tcPr>
          <w:p w14:paraId="604621D2"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47C7F1E9" w14:textId="77777777" w:rsidTr="00054239">
        <w:tc>
          <w:tcPr>
            <w:tcW w:w="5000" w:type="pct"/>
            <w:tcBorders>
              <w:top w:val="nil"/>
              <w:bottom w:val="nil"/>
            </w:tcBorders>
            <w:vAlign w:val="center"/>
            <w:hideMark/>
          </w:tcPr>
          <w:p w14:paraId="0D210BA2" w14:textId="77777777" w:rsidR="00B53D4B" w:rsidRPr="00ED6EDE" w:rsidRDefault="00B53D4B" w:rsidP="002C046A">
            <w:pPr>
              <w:widowControl/>
              <w:jc w:val="left"/>
              <w:rPr>
                <w:rFonts w:ascii="Arial Narrow" w:hAnsi="Arial Narrow" w:cs="Times New Roman"/>
                <w:snapToGrid/>
                <w:sz w:val="20"/>
                <w:szCs w:val="20"/>
                <w:lang w:eastAsia="en-AU"/>
              </w:rPr>
            </w:pPr>
            <w:bookmarkStart w:id="17" w:name="_Hlk82500379"/>
            <w:r w:rsidRPr="00ED6EDE">
              <w:rPr>
                <w:rFonts w:ascii="Arial Narrow" w:hAnsi="Arial Narrow" w:cs="Times New Roman"/>
                <w:snapToGrid/>
                <w:sz w:val="20"/>
                <w:szCs w:val="20"/>
                <w:lang w:eastAsia="en-AU"/>
              </w:rPr>
              <w:t>Patient must have proficient mismatch repair (pMMR) endometrial cancer, as determined by immunohistochemistry test</w:t>
            </w:r>
          </w:p>
        </w:tc>
      </w:tr>
      <w:bookmarkEnd w:id="17"/>
      <w:tr w:rsidR="00054239" w:rsidRPr="00ED6EDE" w14:paraId="2197B62B" w14:textId="77777777" w:rsidTr="00054239">
        <w:tc>
          <w:tcPr>
            <w:tcW w:w="5000" w:type="pct"/>
            <w:tcBorders>
              <w:top w:val="nil"/>
              <w:bottom w:val="nil"/>
            </w:tcBorders>
            <w:vAlign w:val="center"/>
          </w:tcPr>
          <w:p w14:paraId="595B60A6"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5EF5B368" w14:textId="77777777" w:rsidTr="00054239">
        <w:tc>
          <w:tcPr>
            <w:tcW w:w="5000" w:type="pct"/>
            <w:tcBorders>
              <w:top w:val="nil"/>
              <w:bottom w:val="nil"/>
            </w:tcBorders>
            <w:vAlign w:val="center"/>
          </w:tcPr>
          <w:p w14:paraId="3B7A5402"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eastAsia="Calibri" w:hAnsi="Arial Narrow" w:cs="Arial Narrow"/>
                <w:iCs/>
                <w:snapToGrid/>
                <w:sz w:val="20"/>
                <w:szCs w:val="20"/>
              </w:rPr>
              <w:t>The treatment must be in combination with PBS subsidised lenvatinib for this indication, unless an intolerance to lenvatinib requires a temporary or permanent dose reduction or discontinuation of lenvatinib</w:t>
            </w:r>
          </w:p>
        </w:tc>
      </w:tr>
      <w:tr w:rsidR="00054239" w:rsidRPr="00ED6EDE" w14:paraId="04EAD05D" w14:textId="77777777" w:rsidTr="00054239">
        <w:tc>
          <w:tcPr>
            <w:tcW w:w="5000" w:type="pct"/>
            <w:tcBorders>
              <w:top w:val="nil"/>
              <w:bottom w:val="nil"/>
            </w:tcBorders>
            <w:vAlign w:val="center"/>
          </w:tcPr>
          <w:p w14:paraId="2F4854D2" w14:textId="77777777" w:rsidR="00B53D4B" w:rsidRPr="00ED6EDE" w:rsidRDefault="00B53D4B" w:rsidP="002C046A">
            <w:pPr>
              <w:widowControl/>
              <w:jc w:val="left"/>
              <w:rPr>
                <w:rFonts w:ascii="Arial Narrow" w:eastAsia="Calibri" w:hAnsi="Arial Narrow" w:cs="Arial Narrow"/>
                <w:iCs/>
                <w:snapToGrid/>
                <w:sz w:val="20"/>
                <w:szCs w:val="20"/>
              </w:rPr>
            </w:pPr>
            <w:r w:rsidRPr="00ED6EDE">
              <w:rPr>
                <w:rFonts w:ascii="Arial Narrow" w:eastAsia="Calibri" w:hAnsi="Arial Narrow" w:cs="Arial Narrow"/>
                <w:iCs/>
                <w:snapToGrid/>
                <w:sz w:val="20"/>
                <w:szCs w:val="20"/>
              </w:rPr>
              <w:t>AND</w:t>
            </w:r>
          </w:p>
        </w:tc>
      </w:tr>
      <w:tr w:rsidR="00054239" w:rsidRPr="00ED6EDE" w14:paraId="7AA9B550" w14:textId="77777777" w:rsidTr="00054239">
        <w:tc>
          <w:tcPr>
            <w:tcW w:w="5000" w:type="pct"/>
            <w:tcBorders>
              <w:top w:val="nil"/>
            </w:tcBorders>
            <w:vAlign w:val="center"/>
          </w:tcPr>
          <w:p w14:paraId="04B04DEA" w14:textId="77777777" w:rsidR="00B53D4B" w:rsidRPr="00ED6EDE" w:rsidRDefault="00B53D4B" w:rsidP="002C046A">
            <w:pPr>
              <w:widowControl/>
              <w:jc w:val="left"/>
              <w:rPr>
                <w:rFonts w:ascii="Arial Narrow" w:hAnsi="Arial Narrow" w:cs="Times New Roman"/>
                <w:bCs/>
                <w:snapToGrid/>
                <w:sz w:val="20"/>
                <w:szCs w:val="20"/>
                <w:lang w:eastAsia="en-AU"/>
              </w:rPr>
            </w:pPr>
            <w:r w:rsidRPr="00ED6EDE">
              <w:rPr>
                <w:rFonts w:ascii="Arial Narrow" w:hAnsi="Arial Narrow" w:cs="Times New Roman"/>
                <w:bCs/>
                <w:snapToGrid/>
                <w:sz w:val="20"/>
                <w:szCs w:val="20"/>
                <w:lang w:eastAsia="en-AU"/>
              </w:rPr>
              <w:t>The treatment must not exceed a total of 7 doses under this restriction</w:t>
            </w:r>
          </w:p>
        </w:tc>
      </w:tr>
      <w:tr w:rsidR="00B53D4B" w:rsidRPr="00ED6EDE" w14:paraId="265608C2" w14:textId="77777777" w:rsidTr="00B53D4B">
        <w:tc>
          <w:tcPr>
            <w:tcW w:w="5000" w:type="pct"/>
            <w:vAlign w:val="center"/>
            <w:hideMark/>
          </w:tcPr>
          <w:p w14:paraId="70952FC2" w14:textId="77777777" w:rsidR="00B53D4B" w:rsidRPr="00ED6EDE" w:rsidRDefault="00B53D4B" w:rsidP="002C046A">
            <w:pPr>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Administrative Advice</w:t>
            </w:r>
            <w:r w:rsidRPr="00ED6EDE">
              <w:rPr>
                <w:rFonts w:ascii="Arial Narrow" w:hAnsi="Arial Narrow" w:cs="Times New Roman"/>
                <w:bCs/>
                <w:snapToGrid/>
                <w:sz w:val="20"/>
                <w:szCs w:val="20"/>
                <w:lang w:eastAsia="en-AU"/>
              </w:rPr>
              <w:t>: In the first few months after start of immunotherapy, some patients can have a transient tumour flare with subsequent disease response. When progression is suspected, this should be confirmed through a confirmatory scan, taken at least 4 weeks later</w:t>
            </w:r>
          </w:p>
        </w:tc>
      </w:tr>
      <w:tr w:rsidR="00B53D4B" w:rsidRPr="00ED6EDE" w14:paraId="7759A785" w14:textId="77777777" w:rsidTr="00B53D4B">
        <w:tc>
          <w:tcPr>
            <w:tcW w:w="5000" w:type="pct"/>
            <w:vAlign w:val="center"/>
            <w:hideMark/>
          </w:tcPr>
          <w:p w14:paraId="0EEB63A0" w14:textId="77777777" w:rsidR="00B53D4B" w:rsidRPr="00ED6EDE" w:rsidRDefault="00B53D4B" w:rsidP="002C046A">
            <w:pPr>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Administrative Advice:</w:t>
            </w:r>
            <w:r w:rsidRPr="00ED6EDE">
              <w:rPr>
                <w:rFonts w:ascii="Arial Narrow" w:hAnsi="Arial Narrow" w:cs="Times New Roman"/>
                <w:bCs/>
                <w:snapToGrid/>
                <w:sz w:val="20"/>
                <w:szCs w:val="20"/>
                <w:lang w:eastAsia="en-AU"/>
              </w:rPr>
              <w:t xml:space="preserve"> No increase in the maximum quantity or number of units may be authorised.</w:t>
            </w:r>
          </w:p>
        </w:tc>
      </w:tr>
      <w:tr w:rsidR="00B53D4B" w:rsidRPr="00ED6EDE" w14:paraId="62C4DFB4" w14:textId="77777777" w:rsidTr="00B53D4B">
        <w:tc>
          <w:tcPr>
            <w:tcW w:w="5000" w:type="pct"/>
            <w:vAlign w:val="center"/>
            <w:hideMark/>
          </w:tcPr>
          <w:p w14:paraId="1716DA64" w14:textId="77777777" w:rsidR="00B53D4B" w:rsidRPr="00ED6EDE" w:rsidRDefault="00B53D4B" w:rsidP="002C046A">
            <w:pPr>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Administrative Advice:</w:t>
            </w:r>
            <w:r w:rsidRPr="00ED6EDE">
              <w:rPr>
                <w:rFonts w:ascii="Arial Narrow" w:hAnsi="Arial Narrow" w:cs="Times New Roman"/>
                <w:bCs/>
                <w:snapToGrid/>
                <w:sz w:val="20"/>
                <w:szCs w:val="20"/>
                <w:lang w:eastAsia="en-AU"/>
              </w:rPr>
              <w:t xml:space="preserve"> No increase in the maximum number of repeats may be authorised</w:t>
            </w:r>
          </w:p>
        </w:tc>
      </w:tr>
      <w:tr w:rsidR="00054239" w:rsidRPr="00ED6EDE" w14:paraId="4D349AEF" w14:textId="77777777" w:rsidTr="00054239">
        <w:tc>
          <w:tcPr>
            <w:tcW w:w="5000" w:type="pct"/>
            <w:tcBorders>
              <w:bottom w:val="single" w:sz="4" w:space="0" w:color="auto"/>
            </w:tcBorders>
            <w:shd w:val="clear" w:color="auto" w:fill="D9D9D9" w:themeFill="background1" w:themeFillShade="D9"/>
            <w:vAlign w:val="center"/>
            <w:hideMark/>
          </w:tcPr>
          <w:p w14:paraId="3BDA9FE3" w14:textId="77777777" w:rsidR="00B53D4B" w:rsidRPr="00ED6EDE" w:rsidRDefault="00B53D4B" w:rsidP="002C046A">
            <w:pPr>
              <w:widowControl/>
              <w:rPr>
                <w:rFonts w:ascii="Arial Narrow" w:hAnsi="Arial Narrow"/>
                <w:snapToGrid/>
                <w:sz w:val="20"/>
                <w:szCs w:val="20"/>
                <w:lang w:eastAsia="en-AU"/>
              </w:rPr>
            </w:pPr>
            <w:bookmarkStart w:id="18" w:name="_Hlk82499765"/>
            <w:r w:rsidRPr="00ED6EDE">
              <w:rPr>
                <w:rFonts w:ascii="Arial Narrow" w:hAnsi="Arial Narrow"/>
                <w:b/>
                <w:bCs/>
                <w:snapToGrid/>
                <w:sz w:val="20"/>
                <w:szCs w:val="20"/>
                <w:lang w:eastAsia="en-AU"/>
              </w:rPr>
              <w:t>Treatment Phase:</w:t>
            </w:r>
            <w:r w:rsidRPr="00ED6EDE">
              <w:rPr>
                <w:rFonts w:ascii="Arial Narrow" w:hAnsi="Arial Narrow"/>
                <w:snapToGrid/>
                <w:sz w:val="20"/>
                <w:szCs w:val="20"/>
                <w:lang w:eastAsia="en-AU"/>
              </w:rPr>
              <w:t xml:space="preserve"> </w:t>
            </w:r>
            <w:r w:rsidRPr="00ED6EDE">
              <w:rPr>
                <w:rFonts w:ascii="Arial Narrow" w:hAnsi="Arial Narrow"/>
                <w:bCs/>
                <w:snapToGrid/>
                <w:sz w:val="20"/>
                <w:szCs w:val="20"/>
                <w:lang w:eastAsia="en-AU"/>
              </w:rPr>
              <w:t>Continuing treatment</w:t>
            </w:r>
          </w:p>
        </w:tc>
      </w:tr>
      <w:tr w:rsidR="00054239" w:rsidRPr="00ED6EDE" w14:paraId="792CB0E3" w14:textId="77777777" w:rsidTr="00054239">
        <w:tc>
          <w:tcPr>
            <w:tcW w:w="5000" w:type="pct"/>
            <w:tcBorders>
              <w:bottom w:val="nil"/>
            </w:tcBorders>
            <w:vAlign w:val="center"/>
            <w:hideMark/>
          </w:tcPr>
          <w:p w14:paraId="110EA06A"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b/>
                <w:bCs/>
                <w:snapToGrid/>
                <w:sz w:val="20"/>
                <w:szCs w:val="20"/>
                <w:lang w:eastAsia="en-AU"/>
              </w:rPr>
              <w:t>Clinical criteria:</w:t>
            </w:r>
          </w:p>
        </w:tc>
      </w:tr>
      <w:tr w:rsidR="00054239" w:rsidRPr="00ED6EDE" w14:paraId="10AE1B7A" w14:textId="77777777" w:rsidTr="00054239">
        <w:tc>
          <w:tcPr>
            <w:tcW w:w="5000" w:type="pct"/>
            <w:tcBorders>
              <w:top w:val="nil"/>
              <w:bottom w:val="nil"/>
            </w:tcBorders>
            <w:vAlign w:val="center"/>
            <w:hideMark/>
          </w:tcPr>
          <w:p w14:paraId="649A5B51"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snapToGrid/>
                <w:sz w:val="20"/>
                <w:szCs w:val="20"/>
                <w:lang w:eastAsia="en-AU"/>
              </w:rPr>
              <w:t>Patient must have previously received PBS-subsidised treatment with this drug for this condition</w:t>
            </w:r>
          </w:p>
        </w:tc>
      </w:tr>
      <w:tr w:rsidR="00054239" w:rsidRPr="00ED6EDE" w14:paraId="0CB83218" w14:textId="77777777" w:rsidTr="00054239">
        <w:tc>
          <w:tcPr>
            <w:tcW w:w="5000" w:type="pct"/>
            <w:tcBorders>
              <w:top w:val="nil"/>
              <w:bottom w:val="nil"/>
            </w:tcBorders>
            <w:vAlign w:val="center"/>
          </w:tcPr>
          <w:p w14:paraId="5A1C5A11"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snapToGrid/>
                <w:sz w:val="20"/>
                <w:szCs w:val="20"/>
                <w:lang w:eastAsia="en-AU"/>
              </w:rPr>
              <w:t>AND</w:t>
            </w:r>
          </w:p>
        </w:tc>
      </w:tr>
      <w:tr w:rsidR="00054239" w:rsidRPr="00ED6EDE" w14:paraId="4A3C12BD" w14:textId="77777777" w:rsidTr="00054239">
        <w:tc>
          <w:tcPr>
            <w:tcW w:w="5000" w:type="pct"/>
            <w:tcBorders>
              <w:top w:val="nil"/>
              <w:bottom w:val="nil"/>
            </w:tcBorders>
            <w:vAlign w:val="center"/>
          </w:tcPr>
          <w:p w14:paraId="0A0A5A6F"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snapToGrid/>
                <w:sz w:val="20"/>
                <w:szCs w:val="20"/>
                <w:lang w:eastAsia="en-AU"/>
              </w:rPr>
              <w:t>Patient must not have progressive disease while receiving PBS-subsidised treatment with this drug for this condition.</w:t>
            </w:r>
          </w:p>
        </w:tc>
      </w:tr>
      <w:tr w:rsidR="00054239" w:rsidRPr="00ED6EDE" w14:paraId="1AEE4849" w14:textId="77777777" w:rsidTr="00054239">
        <w:tc>
          <w:tcPr>
            <w:tcW w:w="5000" w:type="pct"/>
            <w:tcBorders>
              <w:top w:val="nil"/>
              <w:bottom w:val="nil"/>
            </w:tcBorders>
            <w:vAlign w:val="center"/>
          </w:tcPr>
          <w:p w14:paraId="27D469DF" w14:textId="77777777" w:rsidR="00B53D4B" w:rsidRPr="00ED6EDE" w:rsidRDefault="00B53D4B" w:rsidP="002C046A">
            <w:pPr>
              <w:widowControl/>
              <w:rPr>
                <w:rFonts w:ascii="Arial Narrow" w:hAnsi="Arial Narrow" w:cs="Calibri"/>
                <w:iCs/>
                <w:snapToGrid/>
                <w:sz w:val="20"/>
                <w:szCs w:val="20"/>
                <w:lang w:eastAsia="en-AU"/>
              </w:rPr>
            </w:pPr>
            <w:r w:rsidRPr="00ED6EDE">
              <w:rPr>
                <w:rFonts w:ascii="Arial Narrow" w:hAnsi="Arial Narrow"/>
                <w:snapToGrid/>
                <w:sz w:val="20"/>
                <w:szCs w:val="20"/>
                <w:lang w:eastAsia="en-AU"/>
              </w:rPr>
              <w:t>AND</w:t>
            </w:r>
          </w:p>
        </w:tc>
      </w:tr>
      <w:tr w:rsidR="00054239" w:rsidRPr="00ED6EDE" w14:paraId="550E3956" w14:textId="77777777" w:rsidTr="00054239">
        <w:tc>
          <w:tcPr>
            <w:tcW w:w="5000" w:type="pct"/>
            <w:tcBorders>
              <w:top w:val="nil"/>
              <w:bottom w:val="nil"/>
            </w:tcBorders>
            <w:vAlign w:val="center"/>
          </w:tcPr>
          <w:p w14:paraId="7B06F5BC"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snapToGrid/>
                <w:sz w:val="20"/>
                <w:szCs w:val="20"/>
                <w:lang w:eastAsia="en-AU"/>
              </w:rPr>
              <w:t>The treatment must be in combination with PBS subsidised lenvatinib for this indication, unless an intolerance to lenvatinib requires a temporary or permanent dose reduction or discontinuation of lenvatinib</w:t>
            </w:r>
          </w:p>
        </w:tc>
      </w:tr>
      <w:tr w:rsidR="00054239" w:rsidRPr="00ED6EDE" w14:paraId="0AE00908" w14:textId="77777777" w:rsidTr="00054239">
        <w:tc>
          <w:tcPr>
            <w:tcW w:w="5000" w:type="pct"/>
            <w:tcBorders>
              <w:top w:val="nil"/>
              <w:bottom w:val="nil"/>
            </w:tcBorders>
            <w:vAlign w:val="center"/>
          </w:tcPr>
          <w:p w14:paraId="178600F9" w14:textId="187B8ACD" w:rsidR="00B53D4B" w:rsidRPr="00ED6EDE" w:rsidRDefault="00054239" w:rsidP="002C046A">
            <w:pPr>
              <w:widowControl/>
              <w:rPr>
                <w:rFonts w:ascii="Arial Narrow" w:hAnsi="Arial Narrow"/>
                <w:snapToGrid/>
                <w:sz w:val="20"/>
                <w:szCs w:val="20"/>
                <w:lang w:eastAsia="en-AU"/>
              </w:rPr>
            </w:pPr>
            <w:r w:rsidRPr="00ED6EDE">
              <w:rPr>
                <w:rFonts w:ascii="Arial Narrow" w:hAnsi="Arial Narrow"/>
                <w:snapToGrid/>
                <w:sz w:val="20"/>
                <w:szCs w:val="20"/>
                <w:lang w:eastAsia="en-AU"/>
              </w:rPr>
              <w:t>AND</w:t>
            </w:r>
          </w:p>
        </w:tc>
      </w:tr>
      <w:tr w:rsidR="00054239" w:rsidRPr="00ED6EDE" w14:paraId="61E2550E" w14:textId="77777777" w:rsidTr="00054239">
        <w:tc>
          <w:tcPr>
            <w:tcW w:w="5000" w:type="pct"/>
            <w:tcBorders>
              <w:top w:val="nil"/>
            </w:tcBorders>
            <w:vAlign w:val="center"/>
            <w:hideMark/>
          </w:tcPr>
          <w:p w14:paraId="27A43718"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snapToGrid/>
                <w:sz w:val="20"/>
                <w:szCs w:val="20"/>
                <w:lang w:eastAsia="en-AU"/>
              </w:rPr>
              <w:t>The treatment must not exceed a total of 35 cycles or up to 24 months of treatment in a lifetime for this condition</w:t>
            </w:r>
          </w:p>
        </w:tc>
      </w:tr>
      <w:tr w:rsidR="00B53D4B" w:rsidRPr="00ED6EDE" w14:paraId="6F93A516" w14:textId="77777777" w:rsidTr="00B53D4B">
        <w:tc>
          <w:tcPr>
            <w:tcW w:w="5000" w:type="pct"/>
            <w:vAlign w:val="center"/>
          </w:tcPr>
          <w:p w14:paraId="083EE2E8" w14:textId="77777777" w:rsidR="00B53D4B" w:rsidRPr="00ED6EDE" w:rsidRDefault="00B53D4B" w:rsidP="002C046A">
            <w:pPr>
              <w:widowControl/>
              <w:rPr>
                <w:rFonts w:ascii="Arial Narrow" w:hAnsi="Arial Narrow"/>
                <w:b/>
                <w:snapToGrid/>
                <w:sz w:val="20"/>
                <w:szCs w:val="20"/>
                <w:lang w:eastAsia="en-AU"/>
              </w:rPr>
            </w:pPr>
            <w:r w:rsidRPr="00ED6EDE">
              <w:rPr>
                <w:rFonts w:ascii="Arial Narrow" w:hAnsi="Arial Narrow"/>
                <w:b/>
                <w:bCs/>
                <w:snapToGrid/>
                <w:sz w:val="20"/>
                <w:szCs w:val="20"/>
                <w:lang w:eastAsia="en-AU"/>
              </w:rPr>
              <w:t xml:space="preserve">Administrative Advice: </w:t>
            </w:r>
            <w:r w:rsidRPr="00ED6EDE">
              <w:rPr>
                <w:rFonts w:ascii="Arial Narrow" w:hAnsi="Arial Narrow"/>
                <w:snapToGrid/>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53D4B" w:rsidRPr="00ED6EDE" w14:paraId="5BBD78B4" w14:textId="77777777" w:rsidTr="00B53D4B">
        <w:tc>
          <w:tcPr>
            <w:tcW w:w="5000" w:type="pct"/>
            <w:vAlign w:val="center"/>
            <w:hideMark/>
          </w:tcPr>
          <w:p w14:paraId="1002EFFD" w14:textId="77777777" w:rsidR="00B53D4B" w:rsidRPr="00ED6EDE" w:rsidRDefault="00B53D4B" w:rsidP="002C046A">
            <w:pPr>
              <w:widowControl/>
              <w:rPr>
                <w:rFonts w:ascii="Arial Narrow" w:hAnsi="Arial Narrow"/>
                <w:b/>
                <w:snapToGrid/>
                <w:sz w:val="20"/>
                <w:szCs w:val="20"/>
                <w:lang w:eastAsia="en-AU"/>
              </w:rPr>
            </w:pPr>
            <w:r w:rsidRPr="00ED6EDE">
              <w:rPr>
                <w:rFonts w:ascii="Arial Narrow" w:hAnsi="Arial Narrow"/>
                <w:b/>
                <w:bCs/>
                <w:snapToGrid/>
                <w:sz w:val="20"/>
                <w:szCs w:val="20"/>
                <w:lang w:eastAsia="en-AU"/>
              </w:rPr>
              <w:t xml:space="preserve">Administrative Advice: </w:t>
            </w:r>
            <w:r w:rsidRPr="00ED6EDE">
              <w:rPr>
                <w:rFonts w:ascii="Arial Narrow" w:hAnsi="Arial Narrow"/>
                <w:snapToGrid/>
                <w:sz w:val="20"/>
                <w:szCs w:val="20"/>
                <w:lang w:eastAsia="en-AU"/>
              </w:rPr>
              <w:t>No increase in the maximum quantity or number of units may be authorised.</w:t>
            </w:r>
          </w:p>
        </w:tc>
      </w:tr>
      <w:tr w:rsidR="00B53D4B" w:rsidRPr="00ED6EDE" w14:paraId="545D8C0A" w14:textId="77777777" w:rsidTr="00B53D4B">
        <w:tc>
          <w:tcPr>
            <w:tcW w:w="5000" w:type="pct"/>
            <w:vAlign w:val="center"/>
          </w:tcPr>
          <w:p w14:paraId="52EFCB78"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b/>
                <w:bCs/>
                <w:snapToGrid/>
                <w:sz w:val="20"/>
                <w:szCs w:val="20"/>
                <w:lang w:eastAsia="en-AU"/>
              </w:rPr>
              <w:t xml:space="preserve">Administrative Advice: </w:t>
            </w:r>
            <w:r w:rsidRPr="00ED6EDE">
              <w:rPr>
                <w:rFonts w:ascii="Arial Narrow" w:hAnsi="Arial Narrow"/>
                <w:snapToGrid/>
                <w:sz w:val="20"/>
                <w:szCs w:val="20"/>
                <w:lang w:eastAsia="en-AU"/>
              </w:rPr>
              <w:t>No increase in the maximum number of repeats may be authorised</w:t>
            </w:r>
          </w:p>
        </w:tc>
      </w:tr>
      <w:tr w:rsidR="00B53D4B" w:rsidRPr="00ED6EDE" w14:paraId="3211C30F" w14:textId="77777777" w:rsidTr="00B53D4B">
        <w:tc>
          <w:tcPr>
            <w:tcW w:w="5000" w:type="pct"/>
            <w:vAlign w:val="center"/>
          </w:tcPr>
          <w:p w14:paraId="54E6B745" w14:textId="77777777" w:rsidR="00B53D4B" w:rsidRPr="00ED6EDE" w:rsidRDefault="00B53D4B" w:rsidP="002C046A">
            <w:pPr>
              <w:widowControl/>
              <w:rPr>
                <w:rFonts w:ascii="Arial Narrow" w:hAnsi="Arial Narrow"/>
                <w:b/>
                <w:bCs/>
                <w:snapToGrid/>
                <w:sz w:val="20"/>
                <w:szCs w:val="20"/>
                <w:lang w:eastAsia="en-AU"/>
              </w:rPr>
            </w:pPr>
            <w:r w:rsidRPr="00ED6EDE">
              <w:rPr>
                <w:rFonts w:ascii="Arial Narrow" w:hAnsi="Arial Narrow"/>
                <w:b/>
                <w:bCs/>
                <w:snapToGrid/>
                <w:sz w:val="20"/>
                <w:szCs w:val="20"/>
                <w:lang w:eastAsia="en-AU"/>
              </w:rPr>
              <w:t>Administrative Advice</w:t>
            </w:r>
            <w:r w:rsidRPr="00ED6EDE">
              <w:rPr>
                <w:rFonts w:ascii="Arial Narrow" w:hAnsi="Arial Narrow"/>
                <w:snapToGrid/>
                <w:sz w:val="20"/>
                <w:szCs w:val="20"/>
                <w:lang w:eastAsia="en-AU"/>
              </w:rPr>
              <w:t xml:space="preserve"> Applications for authorisation under this restriction may be made in real time using the Online PBS Authorities system (see www.servicesaustralia.gov.au/HPOS) or by telephone by contacting Services Australia on 1800 888 333</w:t>
            </w:r>
          </w:p>
        </w:tc>
      </w:tr>
      <w:bookmarkEnd w:id="18"/>
      <w:tr w:rsidR="00054239" w:rsidRPr="00ED6EDE" w14:paraId="778CBEDC" w14:textId="77777777" w:rsidTr="00054239">
        <w:tc>
          <w:tcPr>
            <w:tcW w:w="5000" w:type="pct"/>
            <w:tcBorders>
              <w:bottom w:val="single" w:sz="4" w:space="0" w:color="auto"/>
            </w:tcBorders>
            <w:shd w:val="clear" w:color="auto" w:fill="D9D9D9" w:themeFill="background1" w:themeFillShade="D9"/>
            <w:vAlign w:val="center"/>
            <w:hideMark/>
          </w:tcPr>
          <w:p w14:paraId="2015989F"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b/>
                <w:bCs/>
                <w:snapToGrid/>
                <w:sz w:val="20"/>
                <w:szCs w:val="20"/>
                <w:lang w:eastAsia="en-AU"/>
              </w:rPr>
              <w:t>Treatment Phase:</w:t>
            </w:r>
            <w:r w:rsidRPr="00ED6EDE">
              <w:rPr>
                <w:rFonts w:ascii="Arial Narrow" w:hAnsi="Arial Narrow" w:cs="Times New Roman"/>
                <w:snapToGrid/>
                <w:sz w:val="20"/>
                <w:szCs w:val="20"/>
                <w:lang w:eastAsia="en-AU"/>
              </w:rPr>
              <w:t xml:space="preserve"> Grandfathered</w:t>
            </w:r>
          </w:p>
        </w:tc>
      </w:tr>
      <w:tr w:rsidR="00054239" w:rsidRPr="00ED6EDE" w14:paraId="66730F6A" w14:textId="77777777" w:rsidTr="00054239">
        <w:tc>
          <w:tcPr>
            <w:tcW w:w="5000" w:type="pct"/>
            <w:tcBorders>
              <w:bottom w:val="nil"/>
            </w:tcBorders>
            <w:vAlign w:val="center"/>
            <w:hideMark/>
          </w:tcPr>
          <w:p w14:paraId="0C20EEBA"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b/>
                <w:bCs/>
                <w:snapToGrid/>
                <w:sz w:val="20"/>
                <w:szCs w:val="20"/>
                <w:lang w:eastAsia="en-AU"/>
              </w:rPr>
              <w:t>Clinical criteria:</w:t>
            </w:r>
          </w:p>
        </w:tc>
      </w:tr>
      <w:tr w:rsidR="00054239" w:rsidRPr="00ED6EDE" w14:paraId="52B86A12" w14:textId="77777777" w:rsidTr="00054239">
        <w:tc>
          <w:tcPr>
            <w:tcW w:w="5000" w:type="pct"/>
            <w:tcBorders>
              <w:top w:val="nil"/>
              <w:bottom w:val="nil"/>
            </w:tcBorders>
            <w:vAlign w:val="center"/>
          </w:tcPr>
          <w:p w14:paraId="4D29AC00" w14:textId="77777777" w:rsidR="00B53D4B" w:rsidRPr="00ED6EDE" w:rsidRDefault="00B53D4B" w:rsidP="00021411">
            <w:pPr>
              <w:widowControl/>
              <w:jc w:val="left"/>
              <w:rPr>
                <w:rFonts w:ascii="Arial Narrow" w:hAnsi="Arial Narrow" w:cs="Times New Roman"/>
                <w:bCs/>
                <w:snapToGrid/>
                <w:sz w:val="20"/>
                <w:szCs w:val="20"/>
                <w:lang w:eastAsia="en-AU"/>
              </w:rPr>
            </w:pPr>
            <w:r w:rsidRPr="00ED6EDE">
              <w:rPr>
                <w:rFonts w:ascii="Arial Narrow" w:hAnsi="Arial Narrow" w:cs="Times New Roman"/>
                <w:bCs/>
                <w:snapToGrid/>
                <w:sz w:val="20"/>
                <w:szCs w:val="20"/>
                <w:lang w:eastAsia="en-AU"/>
              </w:rPr>
              <w:t>Patient must have received non-PBS subsidised treatment with this drug for this condition prior to [PBS listing date]</w:t>
            </w:r>
          </w:p>
        </w:tc>
      </w:tr>
      <w:tr w:rsidR="00054239" w:rsidRPr="00ED6EDE" w14:paraId="4588778C" w14:textId="77777777" w:rsidTr="00054239">
        <w:tc>
          <w:tcPr>
            <w:tcW w:w="5000" w:type="pct"/>
            <w:tcBorders>
              <w:top w:val="nil"/>
              <w:bottom w:val="nil"/>
            </w:tcBorders>
            <w:vAlign w:val="center"/>
          </w:tcPr>
          <w:p w14:paraId="6C9C5C29"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112D92B0" w14:textId="77777777" w:rsidTr="00054239">
        <w:tc>
          <w:tcPr>
            <w:tcW w:w="5000" w:type="pct"/>
            <w:tcBorders>
              <w:top w:val="nil"/>
              <w:bottom w:val="nil"/>
            </w:tcBorders>
            <w:vAlign w:val="center"/>
            <w:hideMark/>
          </w:tcPr>
          <w:p w14:paraId="1EB497BB" w14:textId="0D527F82"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The condition must have progressed on prior platinum-based chemotherapy regimen in the first-line advanced, metastatic or recurrent setting, i.e.  not including any platinum-based chemotherapy administered in the neo-adjuvant or adjuvant setting</w:t>
            </w:r>
          </w:p>
        </w:tc>
      </w:tr>
      <w:tr w:rsidR="00054239" w:rsidRPr="00ED6EDE" w14:paraId="3AB2F4FD" w14:textId="77777777" w:rsidTr="00054239">
        <w:tc>
          <w:tcPr>
            <w:tcW w:w="5000" w:type="pct"/>
            <w:tcBorders>
              <w:top w:val="nil"/>
              <w:bottom w:val="nil"/>
            </w:tcBorders>
            <w:vAlign w:val="center"/>
            <w:hideMark/>
          </w:tcPr>
          <w:p w14:paraId="583314D4"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5A90AD21" w14:textId="77777777" w:rsidTr="00054239">
        <w:tc>
          <w:tcPr>
            <w:tcW w:w="5000" w:type="pct"/>
            <w:tcBorders>
              <w:top w:val="nil"/>
              <w:bottom w:val="nil"/>
            </w:tcBorders>
            <w:vAlign w:val="center"/>
          </w:tcPr>
          <w:p w14:paraId="7C4E1536"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Patient must have proficient mismatch repair (pMMR) endometrial cancer, as determined by immunohistochemistry test</w:t>
            </w:r>
          </w:p>
        </w:tc>
      </w:tr>
      <w:tr w:rsidR="00054239" w:rsidRPr="00ED6EDE" w14:paraId="4440721C" w14:textId="77777777" w:rsidTr="00054239">
        <w:tc>
          <w:tcPr>
            <w:tcW w:w="5000" w:type="pct"/>
            <w:tcBorders>
              <w:top w:val="nil"/>
              <w:bottom w:val="nil"/>
            </w:tcBorders>
            <w:vAlign w:val="center"/>
          </w:tcPr>
          <w:p w14:paraId="15B10CB0"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5CED5F5C" w14:textId="77777777" w:rsidTr="00054239">
        <w:tc>
          <w:tcPr>
            <w:tcW w:w="5000" w:type="pct"/>
            <w:tcBorders>
              <w:top w:val="nil"/>
              <w:bottom w:val="nil"/>
            </w:tcBorders>
            <w:vAlign w:val="center"/>
            <w:hideMark/>
          </w:tcPr>
          <w:p w14:paraId="1F88C4AA"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Patient must not have received prior PBS funded treatment with a programmed cell death-1 (PD-1) inhibitor or a programmed cell death ligand-1 (PD-L1) inhibitor or any prior tyrosine kinase inhibitor for endometrial cancer</w:t>
            </w:r>
          </w:p>
        </w:tc>
      </w:tr>
      <w:tr w:rsidR="00054239" w:rsidRPr="00ED6EDE" w14:paraId="3CC72CB4" w14:textId="77777777" w:rsidTr="00054239">
        <w:tc>
          <w:tcPr>
            <w:tcW w:w="5000" w:type="pct"/>
            <w:tcBorders>
              <w:top w:val="nil"/>
              <w:bottom w:val="nil"/>
            </w:tcBorders>
            <w:vAlign w:val="center"/>
            <w:hideMark/>
          </w:tcPr>
          <w:p w14:paraId="7FE2D9B7"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2C8C23E3" w14:textId="77777777" w:rsidTr="00054239">
        <w:tc>
          <w:tcPr>
            <w:tcW w:w="5000" w:type="pct"/>
            <w:tcBorders>
              <w:top w:val="nil"/>
              <w:bottom w:val="nil"/>
            </w:tcBorders>
            <w:vAlign w:val="center"/>
          </w:tcPr>
          <w:p w14:paraId="60CCD173"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Patient must have stable or responding disease</w:t>
            </w:r>
          </w:p>
        </w:tc>
      </w:tr>
      <w:tr w:rsidR="00054239" w:rsidRPr="00ED6EDE" w14:paraId="5F89D2B6" w14:textId="77777777" w:rsidTr="00054239">
        <w:tc>
          <w:tcPr>
            <w:tcW w:w="5000" w:type="pct"/>
            <w:tcBorders>
              <w:top w:val="nil"/>
              <w:bottom w:val="nil"/>
            </w:tcBorders>
            <w:vAlign w:val="center"/>
          </w:tcPr>
          <w:p w14:paraId="79B2E861"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028A0EEA" w14:textId="77777777" w:rsidTr="00054239">
        <w:tc>
          <w:tcPr>
            <w:tcW w:w="5000" w:type="pct"/>
            <w:tcBorders>
              <w:top w:val="nil"/>
              <w:bottom w:val="nil"/>
            </w:tcBorders>
            <w:vAlign w:val="center"/>
            <w:hideMark/>
          </w:tcPr>
          <w:p w14:paraId="605A4807"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Patient must have a WHO performance status of 0 or 1</w:t>
            </w:r>
          </w:p>
        </w:tc>
      </w:tr>
      <w:tr w:rsidR="00054239" w:rsidRPr="00ED6EDE" w14:paraId="0669585D" w14:textId="77777777" w:rsidTr="00054239">
        <w:tc>
          <w:tcPr>
            <w:tcW w:w="5000" w:type="pct"/>
            <w:tcBorders>
              <w:top w:val="nil"/>
              <w:bottom w:val="nil"/>
            </w:tcBorders>
            <w:vAlign w:val="center"/>
          </w:tcPr>
          <w:p w14:paraId="6D558F5A"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67F17701" w14:textId="77777777" w:rsidTr="00054239">
        <w:tc>
          <w:tcPr>
            <w:tcW w:w="5000" w:type="pct"/>
            <w:tcBorders>
              <w:top w:val="nil"/>
              <w:bottom w:val="nil"/>
            </w:tcBorders>
            <w:vAlign w:val="center"/>
          </w:tcPr>
          <w:p w14:paraId="1D23228F" w14:textId="77777777" w:rsidR="00B53D4B" w:rsidRPr="00ED6EDE" w:rsidRDefault="00B53D4B" w:rsidP="00021411">
            <w:pPr>
              <w:widowControl/>
              <w:autoSpaceDE w:val="0"/>
              <w:autoSpaceDN w:val="0"/>
              <w:adjustRightInd w:val="0"/>
              <w:jc w:val="left"/>
              <w:rPr>
                <w:rFonts w:ascii="Arial Narrow" w:eastAsia="Calibri" w:hAnsi="Arial Narrow" w:cs="Arial Narrow"/>
                <w:iCs/>
                <w:snapToGrid/>
                <w:sz w:val="20"/>
                <w:szCs w:val="20"/>
              </w:rPr>
            </w:pPr>
            <w:r w:rsidRPr="00ED6EDE">
              <w:rPr>
                <w:rFonts w:ascii="Arial Narrow" w:eastAsia="Calibri" w:hAnsi="Arial Narrow" w:cs="Arial Narrow"/>
                <w:iCs/>
                <w:snapToGrid/>
                <w:sz w:val="20"/>
                <w:szCs w:val="20"/>
              </w:rPr>
              <w:t>The treatment must be in combination with PBS-subsidised treatment with lenvatinib for this indication, unless an intolerance to lenvatinib requires a temporary or permanent dose reduction or discontinuation of lenvatinib</w:t>
            </w:r>
          </w:p>
        </w:tc>
      </w:tr>
      <w:tr w:rsidR="00054239" w:rsidRPr="00ED6EDE" w14:paraId="1A9250C5" w14:textId="77777777" w:rsidTr="00054239">
        <w:tc>
          <w:tcPr>
            <w:tcW w:w="5000" w:type="pct"/>
            <w:tcBorders>
              <w:top w:val="nil"/>
              <w:bottom w:val="nil"/>
            </w:tcBorders>
            <w:vAlign w:val="center"/>
          </w:tcPr>
          <w:p w14:paraId="07A686E9" w14:textId="77777777" w:rsidR="00B53D4B" w:rsidRPr="00ED6EDE" w:rsidRDefault="00B53D4B" w:rsidP="00021411">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3463810E" w14:textId="77777777" w:rsidTr="00054239">
        <w:tc>
          <w:tcPr>
            <w:tcW w:w="5000" w:type="pct"/>
            <w:tcBorders>
              <w:top w:val="nil"/>
            </w:tcBorders>
            <w:vAlign w:val="center"/>
          </w:tcPr>
          <w:p w14:paraId="79CFCFCA" w14:textId="77777777" w:rsidR="00B53D4B" w:rsidRPr="00ED6EDE" w:rsidRDefault="00B53D4B" w:rsidP="00021411">
            <w:pPr>
              <w:widowControl/>
              <w:jc w:val="left"/>
              <w:rPr>
                <w:rFonts w:ascii="Arial Narrow" w:hAnsi="Arial Narrow" w:cs="Times New Roman"/>
                <w:bCs/>
                <w:snapToGrid/>
                <w:sz w:val="20"/>
                <w:szCs w:val="20"/>
                <w:lang w:eastAsia="en-AU"/>
              </w:rPr>
            </w:pPr>
            <w:r w:rsidRPr="00ED6EDE">
              <w:rPr>
                <w:rFonts w:ascii="Arial Narrow" w:hAnsi="Arial Narrow" w:cs="Times New Roman"/>
                <w:bCs/>
                <w:snapToGrid/>
                <w:sz w:val="20"/>
                <w:szCs w:val="20"/>
                <w:lang w:eastAsia="en-AU"/>
              </w:rPr>
              <w:t>The treatment must not exceed a total of 35 cycles or up to 24 months of treatment in a lifetime for this condition</w:t>
            </w:r>
          </w:p>
        </w:tc>
      </w:tr>
      <w:tr w:rsidR="00B53D4B" w:rsidRPr="00ED6EDE" w14:paraId="3CCD6A1D" w14:textId="77777777" w:rsidTr="00B53D4B">
        <w:tc>
          <w:tcPr>
            <w:tcW w:w="5000" w:type="pct"/>
            <w:vAlign w:val="center"/>
            <w:hideMark/>
          </w:tcPr>
          <w:p w14:paraId="0BE3CA1D" w14:textId="77777777" w:rsidR="00B53D4B" w:rsidRPr="00ED6EDE" w:rsidRDefault="00B53D4B" w:rsidP="00021411">
            <w:pPr>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Administrative Advice</w:t>
            </w:r>
            <w:r w:rsidRPr="00ED6EDE">
              <w:rPr>
                <w:rFonts w:ascii="Arial Narrow" w:hAnsi="Arial Narrow" w:cs="Times New Roman"/>
                <w:bCs/>
                <w:snapToGrid/>
                <w:sz w:val="20"/>
                <w:szCs w:val="20"/>
                <w:lang w:eastAsia="en-AU"/>
              </w:rPr>
              <w:t>: In the first few months after start of immunotherapy, some patients can have a transient tumour flare with subsequent disease response. When progression is suspected, this should be confirmed through a confirmatory scan, taken at least 4 weeks later</w:t>
            </w:r>
          </w:p>
        </w:tc>
      </w:tr>
      <w:tr w:rsidR="00B53D4B" w:rsidRPr="00ED6EDE" w14:paraId="1C8294F6" w14:textId="77777777" w:rsidTr="00B53D4B">
        <w:tc>
          <w:tcPr>
            <w:tcW w:w="5000" w:type="pct"/>
            <w:vAlign w:val="center"/>
            <w:hideMark/>
          </w:tcPr>
          <w:p w14:paraId="291B6F1E" w14:textId="77777777" w:rsidR="00B53D4B" w:rsidRPr="00ED6EDE" w:rsidRDefault="00B53D4B" w:rsidP="00021411">
            <w:pPr>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Administrative Advice:</w:t>
            </w:r>
            <w:r w:rsidRPr="00ED6EDE">
              <w:rPr>
                <w:rFonts w:ascii="Arial Narrow" w:hAnsi="Arial Narrow" w:cs="Times New Roman"/>
                <w:bCs/>
                <w:snapToGrid/>
                <w:sz w:val="20"/>
                <w:szCs w:val="20"/>
                <w:lang w:eastAsia="en-AU"/>
              </w:rPr>
              <w:t xml:space="preserve"> No increase in the maximum quantity or number of units may be authorised.</w:t>
            </w:r>
          </w:p>
        </w:tc>
      </w:tr>
      <w:tr w:rsidR="00B53D4B" w:rsidRPr="00ED6EDE" w14:paraId="293BCED3" w14:textId="77777777" w:rsidTr="00B53D4B">
        <w:tc>
          <w:tcPr>
            <w:tcW w:w="5000" w:type="pct"/>
            <w:vAlign w:val="center"/>
            <w:hideMark/>
          </w:tcPr>
          <w:p w14:paraId="790E00A6" w14:textId="77777777" w:rsidR="00B53D4B" w:rsidRPr="00ED6EDE" w:rsidRDefault="00B53D4B" w:rsidP="00021411">
            <w:pPr>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Administrative Advice:</w:t>
            </w:r>
            <w:r w:rsidRPr="00ED6EDE">
              <w:rPr>
                <w:rFonts w:ascii="Arial Narrow" w:hAnsi="Arial Narrow" w:cs="Times New Roman"/>
                <w:bCs/>
                <w:snapToGrid/>
                <w:sz w:val="20"/>
                <w:szCs w:val="20"/>
                <w:lang w:eastAsia="en-AU"/>
              </w:rPr>
              <w:t xml:space="preserve"> No increase in the maximum number of repeats may be authorised</w:t>
            </w:r>
          </w:p>
        </w:tc>
      </w:tr>
    </w:tbl>
    <w:p w14:paraId="767A4B7E" w14:textId="77777777" w:rsidR="002C046A" w:rsidRPr="00ED6EDE" w:rsidRDefault="002C046A" w:rsidP="002C046A">
      <w:pPr>
        <w:widowControl/>
        <w:spacing w:after="160" w:line="259" w:lineRule="auto"/>
        <w:jc w:val="left"/>
        <w:rPr>
          <w:rFonts w:ascii="Times New Roman" w:eastAsia="Calibri" w:hAnsi="Times New Roman" w:cs="Times New Roman"/>
          <w:snapToGrid/>
          <w:szCs w:val="24"/>
        </w:rPr>
      </w:pPr>
    </w:p>
    <w:p w14:paraId="337D18CF" w14:textId="06EE4230" w:rsidR="00B53D4B" w:rsidRPr="00ED6EDE" w:rsidRDefault="00B53D4B" w:rsidP="00BD60B5">
      <w:pPr>
        <w:keepNext/>
        <w:keepLines/>
        <w:widowControl/>
        <w:spacing w:after="160" w:line="259" w:lineRule="auto"/>
        <w:jc w:val="left"/>
        <w:outlineLvl w:val="2"/>
        <w:rPr>
          <w:rFonts w:asciiTheme="minorHAnsi" w:eastAsiaTheme="majorEastAsia" w:hAnsiTheme="minorHAnsi" w:cstheme="majorBidi"/>
          <w:b/>
          <w:snapToGrid/>
          <w:spacing w:val="5"/>
          <w:kern w:val="28"/>
          <w:szCs w:val="24"/>
        </w:rPr>
      </w:pPr>
      <w:r w:rsidRPr="00ED6EDE">
        <w:rPr>
          <w:rFonts w:asciiTheme="minorHAnsi" w:eastAsiaTheme="majorEastAsia" w:hAnsiTheme="minorHAnsi" w:cstheme="majorBidi"/>
          <w:b/>
          <w:snapToGrid/>
          <w:spacing w:val="5"/>
          <w:kern w:val="28"/>
          <w:szCs w:val="24"/>
        </w:rPr>
        <w:t xml:space="preserve">Lenvatinib (in combination with pembrolizumab) for pMMR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B53D4B" w:rsidRPr="00ED6EDE" w14:paraId="62FCC850" w14:textId="77777777" w:rsidTr="00021411">
        <w:trPr>
          <w:trHeight w:val="421"/>
        </w:trPr>
        <w:tc>
          <w:tcPr>
            <w:tcW w:w="5000" w:type="pct"/>
            <w:tcBorders>
              <w:top w:val="single" w:sz="4" w:space="0" w:color="auto"/>
              <w:left w:val="single" w:sz="4" w:space="0" w:color="auto"/>
              <w:bottom w:val="single" w:sz="4" w:space="0" w:color="auto"/>
              <w:right w:val="single" w:sz="4" w:space="0" w:color="auto"/>
            </w:tcBorders>
          </w:tcPr>
          <w:p w14:paraId="5F3C59D6" w14:textId="77777777" w:rsidR="00B53D4B" w:rsidRPr="00ED6EDE" w:rsidRDefault="00B53D4B" w:rsidP="00BD60B5">
            <w:pPr>
              <w:keepNext/>
              <w:keepLines/>
              <w:widowControl/>
              <w:rPr>
                <w:rFonts w:ascii="Arial Narrow" w:eastAsia="Calibri" w:hAnsi="Arial Narrow"/>
                <w:snapToGrid/>
                <w:sz w:val="20"/>
                <w:szCs w:val="20"/>
              </w:rPr>
            </w:pPr>
            <w:r w:rsidRPr="00ED6EDE">
              <w:rPr>
                <w:rFonts w:ascii="Arial Narrow" w:eastAsia="Calibri" w:hAnsi="Arial Narrow"/>
                <w:b/>
                <w:snapToGrid/>
                <w:sz w:val="20"/>
                <w:szCs w:val="20"/>
              </w:rPr>
              <w:t xml:space="preserve">Category / Program:   </w:t>
            </w:r>
          </w:p>
          <w:p w14:paraId="294F51AB" w14:textId="77777777" w:rsidR="00B53D4B" w:rsidRPr="00ED6EDE" w:rsidRDefault="00B53D4B" w:rsidP="00BD60B5">
            <w:pPr>
              <w:keepNext/>
              <w:keepLines/>
              <w:widowControl/>
              <w:rPr>
                <w:rFonts w:ascii="Arial Narrow" w:eastAsia="Calibri" w:hAnsi="Arial Narrow"/>
                <w:snapToGrid/>
                <w:sz w:val="20"/>
                <w:szCs w:val="20"/>
              </w:rPr>
            </w:pPr>
            <w:r w:rsidRPr="00ED6EDE">
              <w:rPr>
                <w:rFonts w:ascii="Arial Narrow" w:eastAsia="Calibri" w:hAnsi="Arial Narrow"/>
                <w:snapToGrid/>
                <w:sz w:val="20"/>
                <w:szCs w:val="20"/>
              </w:rPr>
              <w:t xml:space="preserve">Section 100 – Efficient Funding of Chemotherapy Public/Private hospitals     </w:t>
            </w:r>
          </w:p>
        </w:tc>
      </w:tr>
      <w:tr w:rsidR="00B53D4B" w:rsidRPr="00ED6EDE" w14:paraId="7963CB78" w14:textId="77777777" w:rsidTr="00021411">
        <w:trPr>
          <w:trHeight w:val="235"/>
        </w:trPr>
        <w:tc>
          <w:tcPr>
            <w:tcW w:w="5000" w:type="pct"/>
            <w:tcBorders>
              <w:top w:val="single" w:sz="4" w:space="0" w:color="auto"/>
              <w:left w:val="single" w:sz="4" w:space="0" w:color="auto"/>
              <w:bottom w:val="single" w:sz="4" w:space="0" w:color="auto"/>
              <w:right w:val="single" w:sz="4" w:space="0" w:color="auto"/>
            </w:tcBorders>
          </w:tcPr>
          <w:p w14:paraId="35F454BE" w14:textId="77777777" w:rsidR="00B53D4B" w:rsidRPr="00ED6EDE" w:rsidRDefault="00B53D4B" w:rsidP="00BD60B5">
            <w:pPr>
              <w:keepNext/>
              <w:keepLines/>
              <w:widowControl/>
              <w:rPr>
                <w:rFonts w:ascii="Arial Narrow" w:eastAsia="Calibri" w:hAnsi="Arial Narrow"/>
                <w:b/>
                <w:snapToGrid/>
                <w:sz w:val="20"/>
                <w:szCs w:val="20"/>
              </w:rPr>
            </w:pPr>
            <w:r w:rsidRPr="00ED6EDE">
              <w:rPr>
                <w:rFonts w:ascii="Arial Narrow" w:eastAsia="Calibri" w:hAnsi="Arial Narrow"/>
                <w:b/>
                <w:snapToGrid/>
                <w:sz w:val="20"/>
                <w:szCs w:val="20"/>
              </w:rPr>
              <w:t xml:space="preserve">Prescriber type:   </w:t>
            </w:r>
            <w:r w:rsidRPr="00ED6EDE">
              <w:rPr>
                <w:rFonts w:ascii="Arial Narrow" w:eastAsia="Calibri" w:hAnsi="Arial Narrow"/>
                <w:snapToGrid/>
                <w:sz w:val="20"/>
                <w:szCs w:val="20"/>
              </w:rPr>
              <w:fldChar w:fldCharType="begin">
                <w:ffData>
                  <w:name w:val="Check1"/>
                  <w:enabled/>
                  <w:calcOnExit w:val="0"/>
                  <w:checkBox>
                    <w:sizeAuto/>
                    <w:default w:val="0"/>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 xml:space="preserve">Dental    </w:t>
            </w:r>
            <w:r w:rsidRPr="00ED6EDE">
              <w:rPr>
                <w:rFonts w:ascii="Arial Narrow" w:eastAsia="Calibri" w:hAnsi="Arial Narrow"/>
                <w:snapToGrid/>
                <w:sz w:val="20"/>
                <w:szCs w:val="20"/>
              </w:rPr>
              <w:fldChar w:fldCharType="begin">
                <w:ffData>
                  <w:name w:val=""/>
                  <w:enabled/>
                  <w:calcOnExit w:val="0"/>
                  <w:checkBox>
                    <w:sizeAuto/>
                    <w:default w:val="1"/>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 xml:space="preserve">Medical Practitioners    </w:t>
            </w:r>
            <w:r w:rsidRPr="00ED6EDE">
              <w:rPr>
                <w:rFonts w:ascii="Arial Narrow" w:eastAsia="Calibri" w:hAnsi="Arial Narrow"/>
                <w:snapToGrid/>
                <w:sz w:val="20"/>
                <w:szCs w:val="20"/>
              </w:rPr>
              <w:fldChar w:fldCharType="begin">
                <w:ffData>
                  <w:name w:val="Check3"/>
                  <w:enabled/>
                  <w:calcOnExit w:val="0"/>
                  <w:checkBox>
                    <w:sizeAuto/>
                    <w:default w:val="0"/>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 xml:space="preserve">Nurse practitioners     </w:t>
            </w:r>
            <w:r w:rsidRPr="00ED6EDE">
              <w:rPr>
                <w:rFonts w:ascii="Arial Narrow" w:eastAsia="Calibri" w:hAnsi="Arial Narrow"/>
                <w:snapToGrid/>
                <w:sz w:val="20"/>
                <w:szCs w:val="20"/>
              </w:rPr>
              <w:fldChar w:fldCharType="begin">
                <w:ffData>
                  <w:name w:val=""/>
                  <w:enabled/>
                  <w:calcOnExit w:val="0"/>
                  <w:checkBox>
                    <w:sizeAuto/>
                    <w:default w:val="0"/>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 xml:space="preserve">Optometrists    </w:t>
            </w:r>
            <w:r w:rsidRPr="00ED6EDE">
              <w:rPr>
                <w:rFonts w:ascii="Arial Narrow" w:eastAsia="Calibri" w:hAnsi="Arial Narrow"/>
                <w:snapToGrid/>
                <w:sz w:val="20"/>
                <w:szCs w:val="20"/>
              </w:rPr>
              <w:fldChar w:fldCharType="begin">
                <w:ffData>
                  <w:name w:val="Check5"/>
                  <w:enabled/>
                  <w:calcOnExit w:val="0"/>
                  <w:checkBox>
                    <w:sizeAuto/>
                    <w:default w:val="0"/>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Midwives</w:t>
            </w:r>
          </w:p>
        </w:tc>
      </w:tr>
      <w:tr w:rsidR="00B53D4B" w:rsidRPr="00ED6EDE" w14:paraId="557697D1" w14:textId="77777777" w:rsidTr="00021411">
        <w:trPr>
          <w:trHeight w:val="460"/>
        </w:trPr>
        <w:tc>
          <w:tcPr>
            <w:tcW w:w="5000" w:type="pct"/>
            <w:tcBorders>
              <w:top w:val="single" w:sz="4" w:space="0" w:color="auto"/>
              <w:left w:val="single" w:sz="4" w:space="0" w:color="auto"/>
              <w:bottom w:val="single" w:sz="4" w:space="0" w:color="auto"/>
              <w:right w:val="single" w:sz="4" w:space="0" w:color="auto"/>
            </w:tcBorders>
          </w:tcPr>
          <w:p w14:paraId="00ED8A2B" w14:textId="77777777" w:rsidR="00B53D4B" w:rsidRPr="00ED6EDE" w:rsidRDefault="00B53D4B" w:rsidP="00BD60B5">
            <w:pPr>
              <w:keepNext/>
              <w:keepLines/>
              <w:widowControl/>
              <w:rPr>
                <w:rFonts w:ascii="Arial Narrow" w:eastAsia="Calibri" w:hAnsi="Arial Narrow"/>
                <w:b/>
                <w:snapToGrid/>
                <w:sz w:val="20"/>
                <w:szCs w:val="20"/>
              </w:rPr>
            </w:pPr>
            <w:r w:rsidRPr="00ED6EDE">
              <w:rPr>
                <w:rFonts w:ascii="Arial Narrow" w:eastAsia="Calibri" w:hAnsi="Arial Narrow"/>
                <w:b/>
                <w:snapToGrid/>
                <w:sz w:val="20"/>
                <w:szCs w:val="20"/>
              </w:rPr>
              <w:t>Restriction Type – assessment time by Services Australia – Method of obtaining authority approval (if Authority Required)</w:t>
            </w:r>
          </w:p>
          <w:p w14:paraId="33DA36D7" w14:textId="77777777" w:rsidR="00B53D4B" w:rsidRPr="00ED6EDE" w:rsidRDefault="00B53D4B" w:rsidP="00BD60B5">
            <w:pPr>
              <w:keepNext/>
              <w:keepLines/>
              <w:widowControl/>
              <w:rPr>
                <w:rFonts w:ascii="Arial Narrow" w:eastAsia="Calibri" w:hAnsi="Arial Narrow"/>
                <w:snapToGrid/>
                <w:sz w:val="20"/>
                <w:szCs w:val="20"/>
              </w:rPr>
            </w:pPr>
            <w:r w:rsidRPr="00ED6EDE">
              <w:rPr>
                <w:rFonts w:ascii="Arial Narrow" w:eastAsia="Calibri" w:hAnsi="Arial Narrow"/>
                <w:snapToGrid/>
                <w:sz w:val="20"/>
                <w:szCs w:val="20"/>
              </w:rPr>
              <w:fldChar w:fldCharType="begin">
                <w:ffData>
                  <w:name w:val="Check3"/>
                  <w:enabled/>
                  <w:calcOnExit w:val="0"/>
                  <w:checkBox>
                    <w:sizeAuto/>
                    <w:default w:val="1"/>
                  </w:checkBox>
                </w:ffData>
              </w:fldChar>
            </w:r>
            <w:r w:rsidRPr="00ED6EDE">
              <w:rPr>
                <w:rFonts w:ascii="Arial Narrow" w:eastAsia="Calibri" w:hAnsi="Arial Narrow"/>
                <w:snapToGrid/>
                <w:sz w:val="20"/>
                <w:szCs w:val="20"/>
              </w:rPr>
              <w:instrText xml:space="preserve"> FORMCHECKBOX </w:instrText>
            </w:r>
            <w:r w:rsidR="003E504A">
              <w:rPr>
                <w:rFonts w:ascii="Arial Narrow" w:eastAsia="Calibri" w:hAnsi="Arial Narrow"/>
                <w:snapToGrid/>
                <w:sz w:val="20"/>
                <w:szCs w:val="20"/>
              </w:rPr>
            </w:r>
            <w:r w:rsidR="003E504A">
              <w:rPr>
                <w:rFonts w:ascii="Arial Narrow" w:eastAsia="Calibri" w:hAnsi="Arial Narrow"/>
                <w:snapToGrid/>
                <w:sz w:val="20"/>
                <w:szCs w:val="20"/>
              </w:rPr>
              <w:fldChar w:fldCharType="separate"/>
            </w:r>
            <w:r w:rsidRPr="00ED6EDE">
              <w:rPr>
                <w:rFonts w:ascii="Arial Narrow" w:eastAsia="Calibri" w:hAnsi="Arial Narrow"/>
                <w:snapToGrid/>
                <w:sz w:val="20"/>
                <w:szCs w:val="20"/>
              </w:rPr>
              <w:fldChar w:fldCharType="end"/>
            </w:r>
            <w:r w:rsidRPr="00ED6EDE">
              <w:rPr>
                <w:rFonts w:ascii="Arial Narrow" w:eastAsia="Calibri" w:hAnsi="Arial Narrow"/>
                <w:snapToGrid/>
                <w:sz w:val="20"/>
                <w:szCs w:val="20"/>
              </w:rPr>
              <w:t>Authority Required – immediate/real time assessment by Services Australia (telephone/online application avenues)</w:t>
            </w:r>
          </w:p>
        </w:tc>
      </w:tr>
      <w:tr w:rsidR="00B53D4B" w:rsidRPr="00ED6EDE" w14:paraId="10A3E852" w14:textId="77777777" w:rsidTr="00021411">
        <w:trPr>
          <w:trHeight w:val="210"/>
        </w:trPr>
        <w:tc>
          <w:tcPr>
            <w:tcW w:w="5000" w:type="pct"/>
            <w:vAlign w:val="center"/>
          </w:tcPr>
          <w:p w14:paraId="5CA06733" w14:textId="77777777" w:rsidR="00B53D4B" w:rsidRPr="00ED6EDE" w:rsidRDefault="00B53D4B" w:rsidP="00BD60B5">
            <w:pPr>
              <w:keepNext/>
              <w:keepLines/>
              <w:widowControl/>
              <w:jc w:val="left"/>
              <w:rPr>
                <w:rFonts w:ascii="Arial Narrow" w:hAnsi="Arial Narrow" w:cs="Times New Roman"/>
                <w:b/>
                <w:bCs/>
                <w:snapToGrid/>
                <w:sz w:val="20"/>
                <w:szCs w:val="20"/>
                <w:lang w:eastAsia="en-AU"/>
              </w:rPr>
            </w:pPr>
            <w:r w:rsidRPr="00ED6EDE">
              <w:rPr>
                <w:rFonts w:ascii="Arial Narrow" w:hAnsi="Arial Narrow" w:cs="Times New Roman"/>
                <w:b/>
                <w:bCs/>
                <w:snapToGrid/>
                <w:sz w:val="20"/>
                <w:szCs w:val="20"/>
                <w:lang w:eastAsia="en-AU"/>
              </w:rPr>
              <w:t xml:space="preserve">Severity: </w:t>
            </w:r>
            <w:r w:rsidRPr="00ED6EDE">
              <w:rPr>
                <w:rFonts w:ascii="Arial Narrow" w:hAnsi="Arial Narrow" w:cs="Times New Roman"/>
                <w:bCs/>
                <w:snapToGrid/>
                <w:sz w:val="20"/>
                <w:szCs w:val="20"/>
                <w:lang w:eastAsia="en-AU"/>
              </w:rPr>
              <w:t>advanced, metastatic or recurrent</w:t>
            </w:r>
          </w:p>
        </w:tc>
      </w:tr>
      <w:tr w:rsidR="00B53D4B" w:rsidRPr="00ED6EDE" w14:paraId="49FFD7AC" w14:textId="77777777" w:rsidTr="00021411">
        <w:trPr>
          <w:trHeight w:val="210"/>
        </w:trPr>
        <w:tc>
          <w:tcPr>
            <w:tcW w:w="5000" w:type="pct"/>
            <w:vAlign w:val="center"/>
          </w:tcPr>
          <w:p w14:paraId="55196335" w14:textId="77777777" w:rsidR="00B53D4B" w:rsidRPr="00ED6EDE" w:rsidRDefault="00B53D4B" w:rsidP="00BD60B5">
            <w:pPr>
              <w:keepNext/>
              <w:keepLines/>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 xml:space="preserve">Condition: </w:t>
            </w:r>
            <w:r w:rsidRPr="00ED6EDE">
              <w:rPr>
                <w:rFonts w:ascii="Arial Narrow" w:hAnsi="Arial Narrow" w:cs="Times New Roman"/>
                <w:bCs/>
                <w:snapToGrid/>
                <w:sz w:val="20"/>
                <w:szCs w:val="20"/>
                <w:lang w:eastAsia="en-AU"/>
              </w:rPr>
              <w:t>endometrial carcinoma</w:t>
            </w:r>
          </w:p>
        </w:tc>
      </w:tr>
      <w:tr w:rsidR="00B53D4B" w:rsidRPr="00ED6EDE" w14:paraId="752E966E" w14:textId="77777777" w:rsidTr="00021411">
        <w:trPr>
          <w:trHeight w:val="150"/>
        </w:trPr>
        <w:tc>
          <w:tcPr>
            <w:tcW w:w="5000" w:type="pct"/>
            <w:vAlign w:val="center"/>
            <w:hideMark/>
          </w:tcPr>
          <w:p w14:paraId="6771008A" w14:textId="77777777" w:rsidR="00B53D4B" w:rsidRPr="00ED6EDE" w:rsidRDefault="00B53D4B" w:rsidP="00BD60B5">
            <w:pPr>
              <w:keepNext/>
              <w:keepLines/>
              <w:widowControl/>
              <w:jc w:val="left"/>
              <w:rPr>
                <w:rFonts w:ascii="Arial Narrow" w:hAnsi="Arial Narrow" w:cs="Times New Roman"/>
                <w:snapToGrid/>
                <w:sz w:val="20"/>
                <w:szCs w:val="20"/>
                <w:lang w:eastAsia="en-AU"/>
              </w:rPr>
            </w:pPr>
            <w:r w:rsidRPr="00ED6EDE">
              <w:rPr>
                <w:rFonts w:ascii="Arial Narrow" w:hAnsi="Arial Narrow" w:cs="Times New Roman"/>
                <w:b/>
                <w:bCs/>
                <w:snapToGrid/>
                <w:sz w:val="20"/>
                <w:szCs w:val="20"/>
                <w:lang w:eastAsia="en-AU"/>
              </w:rPr>
              <w:t>Indication:</w:t>
            </w:r>
            <w:r w:rsidRPr="00ED6EDE">
              <w:rPr>
                <w:rFonts w:ascii="Arial Narrow" w:hAnsi="Arial Narrow" w:cs="Times New Roman"/>
                <w:snapToGrid/>
                <w:sz w:val="20"/>
                <w:szCs w:val="20"/>
                <w:lang w:eastAsia="en-AU"/>
              </w:rPr>
              <w:t xml:space="preserve"> Advanced, metastatic or recurrent endometrial carcinoma</w:t>
            </w:r>
          </w:p>
        </w:tc>
      </w:tr>
      <w:tr w:rsidR="00054239" w:rsidRPr="00ED6EDE" w14:paraId="3516C278" w14:textId="77777777" w:rsidTr="00054239">
        <w:trPr>
          <w:trHeight w:val="210"/>
        </w:trPr>
        <w:tc>
          <w:tcPr>
            <w:tcW w:w="5000" w:type="pct"/>
            <w:tcBorders>
              <w:bottom w:val="single" w:sz="4" w:space="0" w:color="auto"/>
            </w:tcBorders>
            <w:shd w:val="clear" w:color="auto" w:fill="D9D9D9" w:themeFill="background1" w:themeFillShade="D9"/>
            <w:vAlign w:val="center"/>
            <w:hideMark/>
          </w:tcPr>
          <w:p w14:paraId="249CF95A"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b/>
                <w:bCs/>
                <w:snapToGrid/>
                <w:sz w:val="20"/>
                <w:szCs w:val="20"/>
                <w:lang w:eastAsia="en-AU"/>
              </w:rPr>
              <w:t>Treatment Phase:</w:t>
            </w:r>
            <w:r w:rsidRPr="00ED6EDE">
              <w:rPr>
                <w:rFonts w:ascii="Arial Narrow" w:hAnsi="Arial Narrow" w:cs="Times New Roman"/>
                <w:snapToGrid/>
                <w:sz w:val="20"/>
                <w:szCs w:val="20"/>
                <w:lang w:eastAsia="en-AU"/>
              </w:rPr>
              <w:t xml:space="preserve"> Initial treatment</w:t>
            </w:r>
          </w:p>
        </w:tc>
      </w:tr>
      <w:tr w:rsidR="00054239" w:rsidRPr="00ED6EDE" w14:paraId="0F6ECCE6" w14:textId="77777777" w:rsidTr="00054239">
        <w:trPr>
          <w:trHeight w:val="34"/>
        </w:trPr>
        <w:tc>
          <w:tcPr>
            <w:tcW w:w="5000" w:type="pct"/>
            <w:tcBorders>
              <w:bottom w:val="nil"/>
            </w:tcBorders>
            <w:vAlign w:val="center"/>
            <w:hideMark/>
          </w:tcPr>
          <w:p w14:paraId="4D7B54BE"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Clinical criteria:</w:t>
            </w:r>
          </w:p>
        </w:tc>
      </w:tr>
      <w:tr w:rsidR="00054239" w:rsidRPr="00ED6EDE" w14:paraId="78B56AF2" w14:textId="77777777" w:rsidTr="00054239">
        <w:trPr>
          <w:trHeight w:val="239"/>
        </w:trPr>
        <w:tc>
          <w:tcPr>
            <w:tcW w:w="5000" w:type="pct"/>
            <w:tcBorders>
              <w:top w:val="nil"/>
              <w:bottom w:val="nil"/>
            </w:tcBorders>
            <w:vAlign w:val="center"/>
            <w:hideMark/>
          </w:tcPr>
          <w:p w14:paraId="1DCA65F0"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The condition must have progressed on prior platinum-based chemotherapy regimen in the first-line advanced, metastatic or recurrent setting, i.e.  not including any platinum-based chemotherapy administered in the neo-adjuvant or adjuvant setting</w:t>
            </w:r>
          </w:p>
        </w:tc>
      </w:tr>
      <w:tr w:rsidR="00054239" w:rsidRPr="00ED6EDE" w14:paraId="07487F08" w14:textId="77777777" w:rsidTr="00054239">
        <w:trPr>
          <w:trHeight w:val="210"/>
        </w:trPr>
        <w:tc>
          <w:tcPr>
            <w:tcW w:w="5000" w:type="pct"/>
            <w:tcBorders>
              <w:top w:val="nil"/>
              <w:bottom w:val="nil"/>
            </w:tcBorders>
            <w:vAlign w:val="center"/>
            <w:hideMark/>
          </w:tcPr>
          <w:p w14:paraId="16D86933"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5A2128A9" w14:textId="77777777" w:rsidTr="00054239">
        <w:trPr>
          <w:trHeight w:val="146"/>
        </w:trPr>
        <w:tc>
          <w:tcPr>
            <w:tcW w:w="5000" w:type="pct"/>
            <w:tcBorders>
              <w:top w:val="nil"/>
              <w:bottom w:val="nil"/>
            </w:tcBorders>
            <w:vAlign w:val="center"/>
            <w:hideMark/>
          </w:tcPr>
          <w:p w14:paraId="3E9E4DF3"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Patient must not have received prior treatment with lenvatinib for endometrial cancer and the patient must not have received prior treatment with a programmed cell death-1 (PD-1) inhibitor or a programmed cell death ligand-1 (PD-L1) inhibitor for endometrial cancer</w:t>
            </w:r>
          </w:p>
        </w:tc>
      </w:tr>
      <w:tr w:rsidR="00054239" w:rsidRPr="00ED6EDE" w14:paraId="53EB55D4" w14:textId="77777777" w:rsidTr="00054239">
        <w:trPr>
          <w:trHeight w:val="210"/>
        </w:trPr>
        <w:tc>
          <w:tcPr>
            <w:tcW w:w="5000" w:type="pct"/>
            <w:tcBorders>
              <w:top w:val="nil"/>
              <w:bottom w:val="nil"/>
            </w:tcBorders>
            <w:vAlign w:val="center"/>
            <w:hideMark/>
          </w:tcPr>
          <w:p w14:paraId="3A57C347"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622F7602" w14:textId="77777777" w:rsidTr="00054239">
        <w:trPr>
          <w:trHeight w:val="210"/>
        </w:trPr>
        <w:tc>
          <w:tcPr>
            <w:tcW w:w="5000" w:type="pct"/>
            <w:tcBorders>
              <w:top w:val="nil"/>
              <w:bottom w:val="nil"/>
            </w:tcBorders>
            <w:vAlign w:val="center"/>
          </w:tcPr>
          <w:p w14:paraId="2A5A3852"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Clinical criteria: (combination treatment)</w:t>
            </w:r>
          </w:p>
        </w:tc>
      </w:tr>
      <w:tr w:rsidR="00054239" w:rsidRPr="00ED6EDE" w14:paraId="4F56EB77" w14:textId="77777777" w:rsidTr="00054239">
        <w:trPr>
          <w:trHeight w:val="113"/>
        </w:trPr>
        <w:tc>
          <w:tcPr>
            <w:tcW w:w="5000" w:type="pct"/>
            <w:tcBorders>
              <w:top w:val="nil"/>
              <w:bottom w:val="nil"/>
            </w:tcBorders>
            <w:vAlign w:val="center"/>
          </w:tcPr>
          <w:p w14:paraId="5407EE89"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Patient must have proficient mismatch repair (pMMR) endometrial cancer, as determined by immunohistochemistry test</w:t>
            </w:r>
          </w:p>
        </w:tc>
      </w:tr>
      <w:tr w:rsidR="00054239" w:rsidRPr="00ED6EDE" w14:paraId="3703BF69" w14:textId="77777777" w:rsidTr="00054239">
        <w:trPr>
          <w:trHeight w:val="210"/>
        </w:trPr>
        <w:tc>
          <w:tcPr>
            <w:tcW w:w="5000" w:type="pct"/>
            <w:tcBorders>
              <w:top w:val="nil"/>
              <w:bottom w:val="nil"/>
            </w:tcBorders>
            <w:vAlign w:val="center"/>
            <w:hideMark/>
          </w:tcPr>
          <w:p w14:paraId="30FB62A2"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Patient must have a WHO performance status of 0 or 1</w:t>
            </w:r>
          </w:p>
        </w:tc>
      </w:tr>
      <w:tr w:rsidR="00054239" w:rsidRPr="00ED6EDE" w14:paraId="4EC4E5D5" w14:textId="77777777" w:rsidTr="00054239">
        <w:trPr>
          <w:trHeight w:val="210"/>
        </w:trPr>
        <w:tc>
          <w:tcPr>
            <w:tcW w:w="5000" w:type="pct"/>
            <w:tcBorders>
              <w:top w:val="nil"/>
              <w:bottom w:val="nil"/>
            </w:tcBorders>
            <w:vAlign w:val="center"/>
          </w:tcPr>
          <w:p w14:paraId="2AF9DDF6" w14:textId="77777777" w:rsidR="00B53D4B" w:rsidRPr="00ED6EDE" w:rsidRDefault="00B53D4B" w:rsidP="002C046A">
            <w:pPr>
              <w:widowControl/>
              <w:jc w:val="left"/>
              <w:rPr>
                <w:rFonts w:ascii="Arial Narrow" w:hAnsi="Arial Narrow" w:cs="Times New Roman"/>
                <w:snapToGrid/>
                <w:sz w:val="20"/>
                <w:szCs w:val="20"/>
                <w:lang w:eastAsia="en-AU"/>
              </w:rPr>
            </w:pPr>
            <w:r w:rsidRPr="00ED6EDE">
              <w:rPr>
                <w:rFonts w:ascii="Arial Narrow" w:hAnsi="Arial Narrow" w:cs="Times New Roman"/>
                <w:snapToGrid/>
                <w:sz w:val="20"/>
                <w:szCs w:val="20"/>
                <w:lang w:eastAsia="en-AU"/>
              </w:rPr>
              <w:t>AND</w:t>
            </w:r>
          </w:p>
        </w:tc>
      </w:tr>
      <w:tr w:rsidR="00054239" w:rsidRPr="00ED6EDE" w14:paraId="0B883742" w14:textId="77777777" w:rsidTr="00054239">
        <w:trPr>
          <w:trHeight w:val="210"/>
        </w:trPr>
        <w:tc>
          <w:tcPr>
            <w:tcW w:w="5000" w:type="pct"/>
            <w:tcBorders>
              <w:top w:val="nil"/>
            </w:tcBorders>
            <w:vAlign w:val="center"/>
          </w:tcPr>
          <w:p w14:paraId="70947CE4" w14:textId="77777777" w:rsidR="00B53D4B" w:rsidRPr="00ED6EDE" w:rsidRDefault="00B53D4B" w:rsidP="002C046A">
            <w:pPr>
              <w:widowControl/>
              <w:autoSpaceDE w:val="0"/>
              <w:autoSpaceDN w:val="0"/>
              <w:adjustRightInd w:val="0"/>
              <w:jc w:val="left"/>
              <w:rPr>
                <w:rFonts w:ascii="Arial Narrow" w:eastAsia="Calibri" w:hAnsi="Arial Narrow" w:cs="Arial Narrow"/>
                <w:iCs/>
                <w:snapToGrid/>
                <w:sz w:val="20"/>
                <w:szCs w:val="20"/>
              </w:rPr>
            </w:pPr>
            <w:r w:rsidRPr="00ED6EDE">
              <w:rPr>
                <w:rFonts w:ascii="Arial Narrow" w:eastAsia="Calibri" w:hAnsi="Arial Narrow" w:cs="Arial Narrow"/>
                <w:iCs/>
                <w:snapToGrid/>
                <w:sz w:val="20"/>
                <w:szCs w:val="20"/>
              </w:rPr>
              <w:t>The treatment must be in combination with PBS-subsidised treatment with pembrolizumab for this condition</w:t>
            </w:r>
          </w:p>
        </w:tc>
      </w:tr>
      <w:tr w:rsidR="00B53D4B" w:rsidRPr="00ED6EDE" w14:paraId="18289AD2" w14:textId="77777777" w:rsidTr="00021411">
        <w:trPr>
          <w:trHeight w:val="34"/>
        </w:trPr>
        <w:tc>
          <w:tcPr>
            <w:tcW w:w="5000" w:type="pct"/>
            <w:vAlign w:val="center"/>
            <w:hideMark/>
          </w:tcPr>
          <w:p w14:paraId="1CDE5326" w14:textId="77777777" w:rsidR="00B53D4B" w:rsidRPr="00ED6EDE" w:rsidRDefault="00B53D4B" w:rsidP="002C046A">
            <w:pPr>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Administrative Advice:</w:t>
            </w:r>
            <w:r w:rsidRPr="00ED6EDE">
              <w:rPr>
                <w:rFonts w:ascii="Arial Narrow" w:hAnsi="Arial Narrow" w:cs="Times New Roman"/>
                <w:bCs/>
                <w:snapToGrid/>
                <w:sz w:val="20"/>
                <w:szCs w:val="20"/>
                <w:lang w:eastAsia="en-AU"/>
              </w:rPr>
              <w:t xml:space="preserve"> No increase in the maximum quantity or number of units may be authorised.</w:t>
            </w:r>
          </w:p>
        </w:tc>
      </w:tr>
      <w:tr w:rsidR="00B53D4B" w:rsidRPr="00ED6EDE" w14:paraId="1CC30311" w14:textId="77777777" w:rsidTr="00021411">
        <w:trPr>
          <w:trHeight w:val="67"/>
        </w:trPr>
        <w:tc>
          <w:tcPr>
            <w:tcW w:w="5000" w:type="pct"/>
            <w:vAlign w:val="center"/>
            <w:hideMark/>
          </w:tcPr>
          <w:p w14:paraId="7BBD0057" w14:textId="77777777" w:rsidR="00B53D4B" w:rsidRPr="00ED6EDE" w:rsidRDefault="00B53D4B" w:rsidP="002C046A">
            <w:pPr>
              <w:widowControl/>
              <w:jc w:val="left"/>
              <w:rPr>
                <w:rFonts w:ascii="Arial Narrow" w:hAnsi="Arial Narrow" w:cs="Times New Roman"/>
                <w:bCs/>
                <w:snapToGrid/>
                <w:sz w:val="20"/>
                <w:szCs w:val="20"/>
                <w:lang w:eastAsia="en-AU"/>
              </w:rPr>
            </w:pPr>
            <w:r w:rsidRPr="00ED6EDE">
              <w:rPr>
                <w:rFonts w:ascii="Arial Narrow" w:hAnsi="Arial Narrow" w:cs="Times New Roman"/>
                <w:b/>
                <w:bCs/>
                <w:snapToGrid/>
                <w:sz w:val="20"/>
                <w:szCs w:val="20"/>
                <w:lang w:eastAsia="en-AU"/>
              </w:rPr>
              <w:t>Administrative Advice:</w:t>
            </w:r>
            <w:r w:rsidRPr="00ED6EDE">
              <w:rPr>
                <w:rFonts w:ascii="Arial Narrow" w:hAnsi="Arial Narrow" w:cs="Times New Roman"/>
                <w:bCs/>
                <w:snapToGrid/>
                <w:sz w:val="20"/>
                <w:szCs w:val="20"/>
                <w:lang w:eastAsia="en-AU"/>
              </w:rPr>
              <w:t xml:space="preserve"> No increase in the maximum number of repeats may be authorised</w:t>
            </w:r>
          </w:p>
        </w:tc>
      </w:tr>
      <w:tr w:rsidR="00054239" w:rsidRPr="00ED6EDE" w14:paraId="1106A0A9" w14:textId="77777777" w:rsidTr="00054239">
        <w:tc>
          <w:tcPr>
            <w:tcW w:w="5000" w:type="pct"/>
            <w:tcBorders>
              <w:bottom w:val="single" w:sz="4" w:space="0" w:color="auto"/>
            </w:tcBorders>
            <w:shd w:val="clear" w:color="auto" w:fill="D9D9D9" w:themeFill="background1" w:themeFillShade="D9"/>
            <w:vAlign w:val="center"/>
            <w:hideMark/>
          </w:tcPr>
          <w:p w14:paraId="295DDD7C"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b/>
                <w:bCs/>
                <w:snapToGrid/>
                <w:sz w:val="20"/>
                <w:szCs w:val="20"/>
                <w:lang w:eastAsia="en-AU"/>
              </w:rPr>
              <w:t>Treatment Phase:</w:t>
            </w:r>
            <w:r w:rsidRPr="00ED6EDE">
              <w:rPr>
                <w:rFonts w:ascii="Arial Narrow" w:hAnsi="Arial Narrow"/>
                <w:snapToGrid/>
                <w:sz w:val="20"/>
                <w:szCs w:val="20"/>
                <w:lang w:eastAsia="en-AU"/>
              </w:rPr>
              <w:t xml:space="preserve"> </w:t>
            </w:r>
            <w:r w:rsidRPr="00ED6EDE">
              <w:rPr>
                <w:rFonts w:ascii="Arial Narrow" w:hAnsi="Arial Narrow"/>
                <w:bCs/>
                <w:snapToGrid/>
                <w:sz w:val="20"/>
                <w:szCs w:val="20"/>
                <w:lang w:eastAsia="en-AU"/>
              </w:rPr>
              <w:t>Continuing treatment</w:t>
            </w:r>
          </w:p>
        </w:tc>
      </w:tr>
      <w:tr w:rsidR="00054239" w:rsidRPr="00ED6EDE" w14:paraId="20A80C2E" w14:textId="77777777" w:rsidTr="00054239">
        <w:tc>
          <w:tcPr>
            <w:tcW w:w="5000" w:type="pct"/>
            <w:tcBorders>
              <w:bottom w:val="nil"/>
            </w:tcBorders>
            <w:vAlign w:val="center"/>
            <w:hideMark/>
          </w:tcPr>
          <w:p w14:paraId="41F64B00"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b/>
                <w:bCs/>
                <w:snapToGrid/>
                <w:sz w:val="20"/>
                <w:szCs w:val="20"/>
                <w:lang w:eastAsia="en-AU"/>
              </w:rPr>
              <w:t>Clinical criteria:</w:t>
            </w:r>
          </w:p>
        </w:tc>
      </w:tr>
      <w:tr w:rsidR="00054239" w:rsidRPr="00ED6EDE" w14:paraId="2CB1BD89" w14:textId="77777777" w:rsidTr="00054239">
        <w:tc>
          <w:tcPr>
            <w:tcW w:w="5000" w:type="pct"/>
            <w:tcBorders>
              <w:top w:val="nil"/>
              <w:bottom w:val="nil"/>
            </w:tcBorders>
            <w:vAlign w:val="center"/>
            <w:hideMark/>
          </w:tcPr>
          <w:p w14:paraId="0313E12A"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snapToGrid/>
                <w:sz w:val="20"/>
                <w:szCs w:val="20"/>
                <w:lang w:eastAsia="en-AU"/>
              </w:rPr>
              <w:t>Patient must have previously received PBS-subsidised treatment with this drug for this condition</w:t>
            </w:r>
          </w:p>
        </w:tc>
      </w:tr>
      <w:tr w:rsidR="00054239" w:rsidRPr="00ED6EDE" w14:paraId="6EDEC36F" w14:textId="77777777" w:rsidTr="00054239">
        <w:tc>
          <w:tcPr>
            <w:tcW w:w="5000" w:type="pct"/>
            <w:tcBorders>
              <w:top w:val="nil"/>
              <w:bottom w:val="nil"/>
            </w:tcBorders>
            <w:vAlign w:val="center"/>
          </w:tcPr>
          <w:p w14:paraId="38D8C3DD"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snapToGrid/>
                <w:sz w:val="20"/>
                <w:szCs w:val="20"/>
                <w:lang w:eastAsia="en-AU"/>
              </w:rPr>
              <w:t>AND</w:t>
            </w:r>
          </w:p>
        </w:tc>
      </w:tr>
      <w:tr w:rsidR="00054239" w:rsidRPr="00ED6EDE" w14:paraId="33682938" w14:textId="77777777" w:rsidTr="00054239">
        <w:tc>
          <w:tcPr>
            <w:tcW w:w="5000" w:type="pct"/>
            <w:tcBorders>
              <w:top w:val="nil"/>
              <w:bottom w:val="nil"/>
            </w:tcBorders>
            <w:vAlign w:val="center"/>
          </w:tcPr>
          <w:p w14:paraId="600B7A85"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snapToGrid/>
                <w:sz w:val="20"/>
                <w:szCs w:val="20"/>
                <w:lang w:eastAsia="en-AU"/>
              </w:rPr>
              <w:t>Patient must not have progressive disease while receiving PBS-subsidised treatment with this drug for this condition.</w:t>
            </w:r>
          </w:p>
        </w:tc>
      </w:tr>
      <w:tr w:rsidR="00054239" w:rsidRPr="00ED6EDE" w14:paraId="3187F723" w14:textId="77777777" w:rsidTr="00054239">
        <w:tc>
          <w:tcPr>
            <w:tcW w:w="5000" w:type="pct"/>
            <w:tcBorders>
              <w:top w:val="nil"/>
              <w:bottom w:val="nil"/>
            </w:tcBorders>
            <w:vAlign w:val="center"/>
          </w:tcPr>
          <w:p w14:paraId="6F01C24D" w14:textId="77777777" w:rsidR="00B53D4B" w:rsidRPr="00ED6EDE" w:rsidRDefault="00B53D4B" w:rsidP="002C046A">
            <w:pPr>
              <w:widowControl/>
              <w:rPr>
                <w:rFonts w:ascii="Arial Narrow" w:hAnsi="Arial Narrow" w:cs="Calibri"/>
                <w:iCs/>
                <w:snapToGrid/>
                <w:sz w:val="20"/>
                <w:szCs w:val="20"/>
                <w:lang w:eastAsia="en-AU"/>
              </w:rPr>
            </w:pPr>
            <w:r w:rsidRPr="00ED6EDE">
              <w:rPr>
                <w:rFonts w:ascii="Arial Narrow" w:hAnsi="Arial Narrow"/>
                <w:snapToGrid/>
                <w:sz w:val="20"/>
                <w:szCs w:val="20"/>
                <w:lang w:eastAsia="en-AU"/>
              </w:rPr>
              <w:t>AND</w:t>
            </w:r>
          </w:p>
        </w:tc>
      </w:tr>
      <w:tr w:rsidR="00054239" w:rsidRPr="00ED6EDE" w14:paraId="2D2CA8AC" w14:textId="77777777" w:rsidTr="00054239">
        <w:tc>
          <w:tcPr>
            <w:tcW w:w="5000" w:type="pct"/>
            <w:tcBorders>
              <w:top w:val="nil"/>
            </w:tcBorders>
            <w:vAlign w:val="center"/>
          </w:tcPr>
          <w:p w14:paraId="300E3C50" w14:textId="77777777" w:rsidR="00B53D4B" w:rsidRPr="00ED6EDE" w:rsidRDefault="00B53D4B" w:rsidP="002C046A">
            <w:pPr>
              <w:widowControl/>
              <w:rPr>
                <w:rFonts w:ascii="Arial Narrow" w:hAnsi="Arial Narrow"/>
                <w:bCs/>
                <w:snapToGrid/>
                <w:sz w:val="20"/>
                <w:szCs w:val="20"/>
                <w:lang w:eastAsia="en-AU"/>
              </w:rPr>
            </w:pPr>
            <w:r w:rsidRPr="00ED6EDE">
              <w:rPr>
                <w:rFonts w:ascii="Arial Narrow" w:hAnsi="Arial Narrow"/>
                <w:bCs/>
                <w:snapToGrid/>
                <w:sz w:val="20"/>
                <w:szCs w:val="20"/>
                <w:lang w:eastAsia="en-AU"/>
              </w:rPr>
              <w:t>The treatment must be in combination with PBS-subsidised treatment with pembrolizumab for this condition</w:t>
            </w:r>
          </w:p>
        </w:tc>
      </w:tr>
      <w:tr w:rsidR="00B53D4B" w:rsidRPr="00ED6EDE" w14:paraId="0311D698" w14:textId="77777777" w:rsidTr="00021411">
        <w:tc>
          <w:tcPr>
            <w:tcW w:w="5000" w:type="pct"/>
            <w:vAlign w:val="center"/>
            <w:hideMark/>
          </w:tcPr>
          <w:p w14:paraId="1E176887" w14:textId="77777777" w:rsidR="00B53D4B" w:rsidRPr="00ED6EDE" w:rsidRDefault="00B53D4B" w:rsidP="002C046A">
            <w:pPr>
              <w:widowControl/>
              <w:rPr>
                <w:rFonts w:ascii="Arial Narrow" w:hAnsi="Arial Narrow"/>
                <w:b/>
                <w:snapToGrid/>
                <w:sz w:val="20"/>
                <w:szCs w:val="20"/>
                <w:lang w:eastAsia="en-AU"/>
              </w:rPr>
            </w:pPr>
            <w:r w:rsidRPr="00ED6EDE">
              <w:rPr>
                <w:rFonts w:ascii="Arial Narrow" w:hAnsi="Arial Narrow"/>
                <w:b/>
                <w:bCs/>
                <w:snapToGrid/>
                <w:sz w:val="20"/>
                <w:szCs w:val="20"/>
                <w:lang w:eastAsia="en-AU"/>
              </w:rPr>
              <w:t xml:space="preserve">Administrative Advice: </w:t>
            </w:r>
            <w:r w:rsidRPr="00ED6EDE">
              <w:rPr>
                <w:rFonts w:ascii="Arial Narrow" w:hAnsi="Arial Narrow"/>
                <w:snapToGrid/>
                <w:sz w:val="20"/>
                <w:szCs w:val="20"/>
                <w:lang w:eastAsia="en-AU"/>
              </w:rPr>
              <w:t>No increase in the maximum quantity or number of units may be authorised.</w:t>
            </w:r>
          </w:p>
        </w:tc>
      </w:tr>
      <w:tr w:rsidR="00B53D4B" w:rsidRPr="00ED6EDE" w14:paraId="6B52E1FC" w14:textId="77777777" w:rsidTr="00021411">
        <w:tc>
          <w:tcPr>
            <w:tcW w:w="5000" w:type="pct"/>
            <w:vAlign w:val="center"/>
          </w:tcPr>
          <w:p w14:paraId="76711581" w14:textId="77777777" w:rsidR="00B53D4B" w:rsidRPr="00ED6EDE" w:rsidRDefault="00B53D4B" w:rsidP="002C046A">
            <w:pPr>
              <w:widowControl/>
              <w:rPr>
                <w:rFonts w:ascii="Arial Narrow" w:hAnsi="Arial Narrow"/>
                <w:snapToGrid/>
                <w:sz w:val="20"/>
                <w:szCs w:val="20"/>
                <w:lang w:eastAsia="en-AU"/>
              </w:rPr>
            </w:pPr>
            <w:r w:rsidRPr="00ED6EDE">
              <w:rPr>
                <w:rFonts w:ascii="Arial Narrow" w:hAnsi="Arial Narrow"/>
                <w:b/>
                <w:bCs/>
                <w:snapToGrid/>
                <w:sz w:val="20"/>
                <w:szCs w:val="20"/>
                <w:lang w:eastAsia="en-AU"/>
              </w:rPr>
              <w:t xml:space="preserve">Administrative Advice: </w:t>
            </w:r>
            <w:r w:rsidRPr="00ED6EDE">
              <w:rPr>
                <w:rFonts w:ascii="Arial Narrow" w:hAnsi="Arial Narrow"/>
                <w:snapToGrid/>
                <w:sz w:val="20"/>
                <w:szCs w:val="20"/>
                <w:lang w:eastAsia="en-AU"/>
              </w:rPr>
              <w:t>No increase in the maximum number of repeats may be authorised</w:t>
            </w:r>
          </w:p>
        </w:tc>
      </w:tr>
      <w:tr w:rsidR="00B53D4B" w:rsidRPr="00ED6EDE" w14:paraId="5571A55A" w14:textId="77777777" w:rsidTr="00021411">
        <w:tc>
          <w:tcPr>
            <w:tcW w:w="5000" w:type="pct"/>
            <w:vAlign w:val="center"/>
          </w:tcPr>
          <w:p w14:paraId="539D5278" w14:textId="77777777" w:rsidR="00B53D4B" w:rsidRPr="00ED6EDE" w:rsidRDefault="00B53D4B" w:rsidP="002C046A">
            <w:pPr>
              <w:widowControl/>
              <w:rPr>
                <w:rFonts w:ascii="Arial Narrow" w:hAnsi="Arial Narrow"/>
                <w:b/>
                <w:bCs/>
                <w:snapToGrid/>
                <w:sz w:val="20"/>
                <w:szCs w:val="20"/>
                <w:lang w:eastAsia="en-AU"/>
              </w:rPr>
            </w:pPr>
            <w:r w:rsidRPr="00ED6EDE">
              <w:rPr>
                <w:rFonts w:ascii="Arial Narrow" w:hAnsi="Arial Narrow"/>
                <w:b/>
                <w:bCs/>
                <w:snapToGrid/>
                <w:sz w:val="20"/>
                <w:szCs w:val="20"/>
                <w:lang w:eastAsia="en-AU"/>
              </w:rPr>
              <w:t>Administrative Advice</w:t>
            </w:r>
            <w:r w:rsidRPr="00ED6EDE">
              <w:rPr>
                <w:rFonts w:ascii="Arial Narrow" w:hAnsi="Arial Narrow"/>
                <w:snapToGrid/>
                <w:sz w:val="20"/>
                <w:szCs w:val="20"/>
                <w:lang w:eastAsia="en-AU"/>
              </w:rPr>
              <w:t xml:space="preserve"> Applications for authorisation under this restriction may be made in real time using the Online PBS Authorities system (see www.servicesaustralia.gov.au/HPOS) or by telephone by contacting Services Australia on 1800 888 333</w:t>
            </w:r>
          </w:p>
        </w:tc>
      </w:tr>
      <w:tr w:rsidR="00054239" w:rsidRPr="00ED6EDE" w14:paraId="0C1690F4" w14:textId="77777777" w:rsidTr="00054239">
        <w:tc>
          <w:tcPr>
            <w:tcW w:w="5000" w:type="pct"/>
            <w:tcBorders>
              <w:bottom w:val="single" w:sz="4" w:space="0" w:color="auto"/>
            </w:tcBorders>
            <w:shd w:val="clear" w:color="auto" w:fill="D9D9D9" w:themeFill="background1" w:themeFillShade="D9"/>
            <w:vAlign w:val="center"/>
            <w:hideMark/>
          </w:tcPr>
          <w:p w14:paraId="6A95B390"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b/>
                <w:bCs/>
                <w:sz w:val="20"/>
                <w:szCs w:val="20"/>
                <w:lang w:eastAsia="en-AU"/>
              </w:rPr>
              <w:t>Treatment Phase:</w:t>
            </w:r>
            <w:r w:rsidRPr="00ED6EDE">
              <w:rPr>
                <w:rFonts w:ascii="Arial Narrow" w:hAnsi="Arial Narrow"/>
                <w:sz w:val="20"/>
                <w:szCs w:val="20"/>
                <w:lang w:eastAsia="en-AU"/>
              </w:rPr>
              <w:t xml:space="preserve"> Grandfathered</w:t>
            </w:r>
          </w:p>
        </w:tc>
      </w:tr>
      <w:tr w:rsidR="00054239" w:rsidRPr="00ED6EDE" w14:paraId="0344C270" w14:textId="77777777" w:rsidTr="00054239">
        <w:tc>
          <w:tcPr>
            <w:tcW w:w="5000" w:type="pct"/>
            <w:tcBorders>
              <w:bottom w:val="nil"/>
            </w:tcBorders>
            <w:vAlign w:val="center"/>
            <w:hideMark/>
          </w:tcPr>
          <w:p w14:paraId="48E13897"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b/>
                <w:bCs/>
                <w:sz w:val="20"/>
                <w:szCs w:val="20"/>
                <w:lang w:eastAsia="en-AU"/>
              </w:rPr>
              <w:t>Clinical criteria:</w:t>
            </w:r>
          </w:p>
        </w:tc>
      </w:tr>
      <w:tr w:rsidR="00054239" w:rsidRPr="00ED6EDE" w14:paraId="60268427" w14:textId="77777777" w:rsidTr="00054239">
        <w:tc>
          <w:tcPr>
            <w:tcW w:w="5000" w:type="pct"/>
            <w:tcBorders>
              <w:top w:val="nil"/>
              <w:bottom w:val="nil"/>
            </w:tcBorders>
            <w:vAlign w:val="center"/>
          </w:tcPr>
          <w:p w14:paraId="6989A25C" w14:textId="77777777" w:rsidR="00021411" w:rsidRPr="00ED6EDE" w:rsidRDefault="00021411" w:rsidP="002C2E6F">
            <w:pPr>
              <w:keepNext/>
              <w:keepLines/>
              <w:rPr>
                <w:rFonts w:ascii="Arial Narrow" w:hAnsi="Arial Narrow"/>
                <w:bCs/>
                <w:sz w:val="20"/>
                <w:szCs w:val="20"/>
                <w:lang w:eastAsia="en-AU"/>
              </w:rPr>
            </w:pPr>
            <w:r w:rsidRPr="00ED6EDE">
              <w:rPr>
                <w:rFonts w:ascii="Arial Narrow" w:hAnsi="Arial Narrow"/>
                <w:bCs/>
                <w:sz w:val="20"/>
                <w:szCs w:val="20"/>
                <w:lang w:eastAsia="en-AU"/>
              </w:rPr>
              <w:t>Patient must have received non-PBS subsidised treatment with this drug for this condition prior to [PBS listing date]</w:t>
            </w:r>
          </w:p>
        </w:tc>
      </w:tr>
      <w:tr w:rsidR="00054239" w:rsidRPr="00ED6EDE" w14:paraId="5A6FD890" w14:textId="77777777" w:rsidTr="00054239">
        <w:tc>
          <w:tcPr>
            <w:tcW w:w="5000" w:type="pct"/>
            <w:tcBorders>
              <w:top w:val="nil"/>
              <w:bottom w:val="nil"/>
            </w:tcBorders>
            <w:vAlign w:val="center"/>
          </w:tcPr>
          <w:p w14:paraId="23D26B6C"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AND</w:t>
            </w:r>
          </w:p>
        </w:tc>
      </w:tr>
      <w:tr w:rsidR="00054239" w:rsidRPr="00ED6EDE" w14:paraId="73E245D3" w14:textId="77777777" w:rsidTr="00054239">
        <w:tc>
          <w:tcPr>
            <w:tcW w:w="5000" w:type="pct"/>
            <w:tcBorders>
              <w:top w:val="nil"/>
              <w:bottom w:val="nil"/>
            </w:tcBorders>
            <w:vAlign w:val="center"/>
            <w:hideMark/>
          </w:tcPr>
          <w:p w14:paraId="089FC201" w14:textId="70816710" w:rsidR="00021411" w:rsidRPr="00ED6EDE" w:rsidRDefault="00021411" w:rsidP="00FA1629">
            <w:pPr>
              <w:keepNext/>
              <w:keepLines/>
              <w:rPr>
                <w:rFonts w:ascii="Arial Narrow" w:hAnsi="Arial Narrow"/>
                <w:sz w:val="20"/>
                <w:szCs w:val="20"/>
                <w:lang w:eastAsia="en-AU"/>
              </w:rPr>
            </w:pPr>
            <w:r w:rsidRPr="00ED6EDE">
              <w:rPr>
                <w:rFonts w:ascii="Arial Narrow" w:hAnsi="Arial Narrow"/>
                <w:sz w:val="20"/>
                <w:szCs w:val="20"/>
                <w:lang w:eastAsia="en-AU"/>
              </w:rPr>
              <w:t>The condition must have progressed on prior platinum-based chemotherapy regimen in the first-line advanced, metastatic or recurrent setting, i.e.  not including any platinum-based chemotherapy administered in the neo-adjuvant or adjuvant setting</w:t>
            </w:r>
          </w:p>
        </w:tc>
      </w:tr>
      <w:tr w:rsidR="00054239" w:rsidRPr="00ED6EDE" w14:paraId="309220C1" w14:textId="77777777" w:rsidTr="00054239">
        <w:tc>
          <w:tcPr>
            <w:tcW w:w="5000" w:type="pct"/>
            <w:tcBorders>
              <w:top w:val="nil"/>
              <w:bottom w:val="nil"/>
            </w:tcBorders>
            <w:vAlign w:val="center"/>
            <w:hideMark/>
          </w:tcPr>
          <w:p w14:paraId="1D67C235"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AND</w:t>
            </w:r>
          </w:p>
        </w:tc>
      </w:tr>
      <w:tr w:rsidR="00054239" w:rsidRPr="00ED6EDE" w14:paraId="288FBBAD" w14:textId="77777777" w:rsidTr="00054239">
        <w:tc>
          <w:tcPr>
            <w:tcW w:w="5000" w:type="pct"/>
            <w:tcBorders>
              <w:top w:val="nil"/>
              <w:bottom w:val="nil"/>
            </w:tcBorders>
            <w:vAlign w:val="center"/>
          </w:tcPr>
          <w:p w14:paraId="19673CAF"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Patient must have proficient mismatch repair (pMMR) endometrial cancer, as determined by immunohistochemistry test</w:t>
            </w:r>
          </w:p>
        </w:tc>
      </w:tr>
      <w:tr w:rsidR="00054239" w:rsidRPr="00ED6EDE" w14:paraId="7EB3F7F3" w14:textId="77777777" w:rsidTr="00054239">
        <w:tc>
          <w:tcPr>
            <w:tcW w:w="5000" w:type="pct"/>
            <w:tcBorders>
              <w:top w:val="nil"/>
              <w:bottom w:val="nil"/>
            </w:tcBorders>
            <w:vAlign w:val="center"/>
          </w:tcPr>
          <w:p w14:paraId="2F9EEB41"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AND</w:t>
            </w:r>
          </w:p>
        </w:tc>
      </w:tr>
      <w:tr w:rsidR="00054239" w:rsidRPr="00ED6EDE" w14:paraId="4555DF2F" w14:textId="77777777" w:rsidTr="00054239">
        <w:tc>
          <w:tcPr>
            <w:tcW w:w="5000" w:type="pct"/>
            <w:tcBorders>
              <w:top w:val="nil"/>
              <w:bottom w:val="nil"/>
            </w:tcBorders>
            <w:vAlign w:val="center"/>
            <w:hideMark/>
          </w:tcPr>
          <w:p w14:paraId="7867E8AB"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Patient must not have received prior PBS funded treatment with a programmed cell death-1 (PD-1) inhibitor or a programmed cell death ligand-1 (PD-L1) inhibitor or any prior tyrosine kinase inhibitor for endometrial cancer</w:t>
            </w:r>
          </w:p>
        </w:tc>
      </w:tr>
      <w:tr w:rsidR="00054239" w:rsidRPr="00ED6EDE" w14:paraId="0AACCE61" w14:textId="77777777" w:rsidTr="00054239">
        <w:tc>
          <w:tcPr>
            <w:tcW w:w="5000" w:type="pct"/>
            <w:tcBorders>
              <w:top w:val="nil"/>
              <w:bottom w:val="nil"/>
            </w:tcBorders>
            <w:vAlign w:val="center"/>
            <w:hideMark/>
          </w:tcPr>
          <w:p w14:paraId="1A2EA641"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AND</w:t>
            </w:r>
          </w:p>
        </w:tc>
      </w:tr>
      <w:tr w:rsidR="00054239" w:rsidRPr="00ED6EDE" w14:paraId="41708100" w14:textId="77777777" w:rsidTr="00054239">
        <w:tc>
          <w:tcPr>
            <w:tcW w:w="5000" w:type="pct"/>
            <w:tcBorders>
              <w:top w:val="nil"/>
              <w:bottom w:val="nil"/>
            </w:tcBorders>
            <w:vAlign w:val="center"/>
          </w:tcPr>
          <w:p w14:paraId="05BD1237"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Patient must have stable or responding disease</w:t>
            </w:r>
          </w:p>
        </w:tc>
      </w:tr>
      <w:tr w:rsidR="00054239" w:rsidRPr="00ED6EDE" w14:paraId="2F513BE4" w14:textId="77777777" w:rsidTr="00054239">
        <w:tc>
          <w:tcPr>
            <w:tcW w:w="5000" w:type="pct"/>
            <w:tcBorders>
              <w:top w:val="nil"/>
              <w:bottom w:val="nil"/>
            </w:tcBorders>
            <w:vAlign w:val="center"/>
          </w:tcPr>
          <w:p w14:paraId="07F078A6"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AND</w:t>
            </w:r>
          </w:p>
        </w:tc>
      </w:tr>
      <w:tr w:rsidR="00054239" w:rsidRPr="00ED6EDE" w14:paraId="3BA82FFC" w14:textId="77777777" w:rsidTr="00054239">
        <w:tc>
          <w:tcPr>
            <w:tcW w:w="5000" w:type="pct"/>
            <w:tcBorders>
              <w:top w:val="nil"/>
              <w:bottom w:val="nil"/>
            </w:tcBorders>
            <w:vAlign w:val="center"/>
            <w:hideMark/>
          </w:tcPr>
          <w:p w14:paraId="1F7A8E0C"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Patient must have a WHO performance status of 0 or 1</w:t>
            </w:r>
          </w:p>
        </w:tc>
      </w:tr>
      <w:tr w:rsidR="00054239" w:rsidRPr="00ED6EDE" w14:paraId="57F02F8B" w14:textId="77777777" w:rsidTr="00054239">
        <w:tc>
          <w:tcPr>
            <w:tcW w:w="5000" w:type="pct"/>
            <w:tcBorders>
              <w:top w:val="nil"/>
              <w:bottom w:val="nil"/>
            </w:tcBorders>
            <w:vAlign w:val="center"/>
          </w:tcPr>
          <w:p w14:paraId="13950BBE" w14:textId="77777777" w:rsidR="00021411" w:rsidRPr="00ED6EDE" w:rsidRDefault="00021411" w:rsidP="002C2E6F">
            <w:pPr>
              <w:keepNext/>
              <w:keepLines/>
              <w:rPr>
                <w:rFonts w:ascii="Arial Narrow" w:hAnsi="Arial Narrow"/>
                <w:sz w:val="20"/>
                <w:szCs w:val="20"/>
                <w:lang w:eastAsia="en-AU"/>
              </w:rPr>
            </w:pPr>
            <w:r w:rsidRPr="00ED6EDE">
              <w:rPr>
                <w:rFonts w:ascii="Arial Narrow" w:hAnsi="Arial Narrow"/>
                <w:sz w:val="20"/>
                <w:szCs w:val="20"/>
                <w:lang w:eastAsia="en-AU"/>
              </w:rPr>
              <w:t>AND</w:t>
            </w:r>
          </w:p>
        </w:tc>
      </w:tr>
      <w:tr w:rsidR="00054239" w:rsidRPr="00ED6EDE" w14:paraId="757FD015" w14:textId="77777777" w:rsidTr="00054239">
        <w:tc>
          <w:tcPr>
            <w:tcW w:w="5000" w:type="pct"/>
            <w:tcBorders>
              <w:top w:val="nil"/>
            </w:tcBorders>
            <w:vAlign w:val="center"/>
          </w:tcPr>
          <w:p w14:paraId="7D385773" w14:textId="77777777" w:rsidR="00021411" w:rsidRPr="00ED6EDE" w:rsidRDefault="00021411" w:rsidP="002C2E6F">
            <w:pPr>
              <w:keepNext/>
              <w:keepLines/>
              <w:autoSpaceDE w:val="0"/>
              <w:autoSpaceDN w:val="0"/>
              <w:adjustRightInd w:val="0"/>
              <w:rPr>
                <w:rFonts w:ascii="Arial Narrow" w:eastAsia="Calibri" w:hAnsi="Arial Narrow" w:cs="Arial Narrow"/>
                <w:iCs/>
                <w:sz w:val="20"/>
                <w:szCs w:val="20"/>
              </w:rPr>
            </w:pPr>
            <w:r w:rsidRPr="00ED6EDE">
              <w:rPr>
                <w:rFonts w:ascii="Arial Narrow" w:eastAsia="Calibri" w:hAnsi="Arial Narrow" w:cs="Arial Narrow"/>
                <w:iCs/>
                <w:sz w:val="20"/>
                <w:szCs w:val="20"/>
              </w:rPr>
              <w:t>The treatment must be in combination with PBS-subsidised treatment with pembrolizumab for this condition</w:t>
            </w:r>
          </w:p>
        </w:tc>
      </w:tr>
      <w:tr w:rsidR="00021411" w:rsidRPr="00ED6EDE" w14:paraId="71D722C2" w14:textId="77777777" w:rsidTr="00021411">
        <w:tc>
          <w:tcPr>
            <w:tcW w:w="5000" w:type="pct"/>
            <w:vAlign w:val="center"/>
            <w:hideMark/>
          </w:tcPr>
          <w:p w14:paraId="355DFD9C" w14:textId="77777777" w:rsidR="00021411" w:rsidRPr="00ED6EDE" w:rsidRDefault="00021411" w:rsidP="002C2E6F">
            <w:pPr>
              <w:keepNext/>
              <w:keepLines/>
              <w:rPr>
                <w:rFonts w:ascii="Arial Narrow" w:hAnsi="Arial Narrow"/>
                <w:bCs/>
                <w:sz w:val="20"/>
                <w:szCs w:val="20"/>
                <w:lang w:eastAsia="en-AU"/>
              </w:rPr>
            </w:pPr>
            <w:r w:rsidRPr="00ED6EDE">
              <w:rPr>
                <w:rFonts w:ascii="Arial Narrow" w:hAnsi="Arial Narrow"/>
                <w:b/>
                <w:bCs/>
                <w:sz w:val="20"/>
                <w:szCs w:val="20"/>
                <w:lang w:eastAsia="en-AU"/>
              </w:rPr>
              <w:t>Administrative Advice</w:t>
            </w:r>
            <w:r w:rsidRPr="00ED6EDE">
              <w:rPr>
                <w:rFonts w:ascii="Arial Narrow" w:hAnsi="Arial Narrow"/>
                <w:bCs/>
                <w:sz w:val="20"/>
                <w:szCs w:val="20"/>
                <w:lang w:eastAsia="en-AU"/>
              </w:rPr>
              <w:t>: In the first few months after start of immunotherapy, some patients can have a transient tumour flare with subsequent disease response. When progression is suspected, this should be confirmed through a confirmatory scan, taken at least 4 weeks later</w:t>
            </w:r>
          </w:p>
        </w:tc>
      </w:tr>
      <w:tr w:rsidR="00021411" w:rsidRPr="00ED6EDE" w14:paraId="57D997F5" w14:textId="77777777" w:rsidTr="00021411">
        <w:tc>
          <w:tcPr>
            <w:tcW w:w="5000" w:type="pct"/>
            <w:vAlign w:val="center"/>
            <w:hideMark/>
          </w:tcPr>
          <w:p w14:paraId="6B1D2321" w14:textId="77777777" w:rsidR="00021411" w:rsidRPr="00ED6EDE" w:rsidRDefault="00021411" w:rsidP="002C2E6F">
            <w:pPr>
              <w:keepNext/>
              <w:keepLines/>
              <w:rPr>
                <w:rFonts w:ascii="Arial Narrow" w:hAnsi="Arial Narrow"/>
                <w:bCs/>
                <w:sz w:val="20"/>
                <w:szCs w:val="20"/>
                <w:lang w:eastAsia="en-AU"/>
              </w:rPr>
            </w:pPr>
            <w:r w:rsidRPr="00ED6EDE">
              <w:rPr>
                <w:rFonts w:ascii="Arial Narrow" w:hAnsi="Arial Narrow"/>
                <w:b/>
                <w:bCs/>
                <w:sz w:val="20"/>
                <w:szCs w:val="20"/>
                <w:lang w:eastAsia="en-AU"/>
              </w:rPr>
              <w:t>Administrative Advice:</w:t>
            </w:r>
            <w:r w:rsidRPr="00ED6EDE">
              <w:rPr>
                <w:rFonts w:ascii="Arial Narrow" w:hAnsi="Arial Narrow"/>
                <w:bCs/>
                <w:sz w:val="20"/>
                <w:szCs w:val="20"/>
                <w:lang w:eastAsia="en-AU"/>
              </w:rPr>
              <w:t xml:space="preserve"> No increase in the maximum quantity or number of units may be authorised.</w:t>
            </w:r>
          </w:p>
        </w:tc>
      </w:tr>
      <w:tr w:rsidR="00021411" w:rsidRPr="00ED6EDE" w14:paraId="5184F809" w14:textId="77777777" w:rsidTr="00021411">
        <w:tc>
          <w:tcPr>
            <w:tcW w:w="5000" w:type="pct"/>
            <w:vAlign w:val="center"/>
            <w:hideMark/>
          </w:tcPr>
          <w:p w14:paraId="50B52CD0" w14:textId="77777777" w:rsidR="00021411" w:rsidRPr="00ED6EDE" w:rsidRDefault="00021411" w:rsidP="002C2E6F">
            <w:pPr>
              <w:keepNext/>
              <w:keepLines/>
              <w:rPr>
                <w:rFonts w:ascii="Arial Narrow" w:hAnsi="Arial Narrow"/>
                <w:bCs/>
                <w:sz w:val="20"/>
                <w:szCs w:val="20"/>
                <w:lang w:eastAsia="en-AU"/>
              </w:rPr>
            </w:pPr>
            <w:r w:rsidRPr="00ED6EDE">
              <w:rPr>
                <w:rFonts w:ascii="Arial Narrow" w:hAnsi="Arial Narrow"/>
                <w:b/>
                <w:bCs/>
                <w:sz w:val="20"/>
                <w:szCs w:val="20"/>
                <w:lang w:eastAsia="en-AU"/>
              </w:rPr>
              <w:t>Administrative Advice:</w:t>
            </w:r>
            <w:r w:rsidRPr="00ED6EDE">
              <w:rPr>
                <w:rFonts w:ascii="Arial Narrow" w:hAnsi="Arial Narrow"/>
                <w:bCs/>
                <w:sz w:val="20"/>
                <w:szCs w:val="20"/>
                <w:lang w:eastAsia="en-AU"/>
              </w:rPr>
              <w:t xml:space="preserve"> No increase in the maximum number of repeats may be authorised</w:t>
            </w:r>
          </w:p>
        </w:tc>
      </w:tr>
    </w:tbl>
    <w:p w14:paraId="2D1B92CF" w14:textId="3D56D6F3" w:rsidR="000C5E2C" w:rsidRPr="00ED6EDE" w:rsidRDefault="000C5E2C" w:rsidP="00B53D4B">
      <w:pPr>
        <w:pStyle w:val="4-SubsectionHeading"/>
        <w:outlineLvl w:val="2"/>
        <w:rPr>
          <w:i w:val="0"/>
          <w:sz w:val="24"/>
          <w:szCs w:val="24"/>
        </w:rPr>
      </w:pPr>
      <w:bookmarkStart w:id="19" w:name="_Toc93478148"/>
      <w:r w:rsidRPr="00ED6EDE">
        <w:rPr>
          <w:i w:val="0"/>
          <w:sz w:val="24"/>
          <w:szCs w:val="24"/>
        </w:rPr>
        <w:t>Pembrolizumab monotherapy</w:t>
      </w:r>
      <w:r w:rsidR="00B53D4B" w:rsidRPr="00ED6EDE">
        <w:rPr>
          <w:i w:val="0"/>
          <w:sz w:val="24"/>
          <w:szCs w:val="24"/>
        </w:rPr>
        <w:t xml:space="preserve"> for dMMR</w:t>
      </w:r>
      <w:bookmarkEnd w:id="19"/>
    </w:p>
    <w:tbl>
      <w:tblPr>
        <w:tblW w:w="5000" w:type="pct"/>
        <w:tblInd w:w="-5" w:type="dxa"/>
        <w:tblLook w:val="0000" w:firstRow="0" w:lastRow="0" w:firstColumn="0" w:lastColumn="0" w:noHBand="0" w:noVBand="0"/>
      </w:tblPr>
      <w:tblGrid>
        <w:gridCol w:w="1728"/>
        <w:gridCol w:w="7289"/>
      </w:tblGrid>
      <w:tr w:rsidR="000C5E2C" w:rsidRPr="00ED6EDE" w14:paraId="30415F35" w14:textId="77777777" w:rsidTr="00021411">
        <w:trPr>
          <w:cantSplit/>
        </w:trPr>
        <w:tc>
          <w:tcPr>
            <w:tcW w:w="9017" w:type="dxa"/>
            <w:gridSpan w:val="2"/>
            <w:tcBorders>
              <w:top w:val="single" w:sz="4" w:space="0" w:color="auto"/>
              <w:left w:val="single" w:sz="4" w:space="0" w:color="auto"/>
              <w:bottom w:val="single" w:sz="4" w:space="0" w:color="auto"/>
              <w:right w:val="single" w:sz="4" w:space="0" w:color="auto"/>
            </w:tcBorders>
          </w:tcPr>
          <w:p w14:paraId="2FAD8E85" w14:textId="77777777" w:rsidR="000C5E2C" w:rsidRPr="00ED6EDE" w:rsidRDefault="000C5E2C" w:rsidP="00BC038A">
            <w:pPr>
              <w:pStyle w:val="Tabletext"/>
              <w:rPr>
                <w:b/>
                <w:bCs/>
                <w:color w:val="000000" w:themeColor="text1"/>
                <w:szCs w:val="20"/>
              </w:rPr>
            </w:pPr>
            <w:r w:rsidRPr="00ED6EDE">
              <w:rPr>
                <w:b/>
                <w:bCs/>
                <w:color w:val="000000" w:themeColor="text1"/>
                <w:szCs w:val="20"/>
              </w:rPr>
              <w:t>Pembrolizumab monotherapy</w:t>
            </w:r>
          </w:p>
        </w:tc>
      </w:tr>
      <w:tr w:rsidR="000C5E2C" w:rsidRPr="00ED6EDE" w14:paraId="0227B539" w14:textId="77777777" w:rsidTr="00021411">
        <w:trPr>
          <w:cantSplit/>
        </w:trPr>
        <w:tc>
          <w:tcPr>
            <w:tcW w:w="1728" w:type="dxa"/>
            <w:tcBorders>
              <w:top w:val="single" w:sz="4" w:space="0" w:color="auto"/>
              <w:left w:val="single" w:sz="4" w:space="0" w:color="auto"/>
              <w:bottom w:val="single" w:sz="4" w:space="0" w:color="auto"/>
              <w:right w:val="single" w:sz="4" w:space="0" w:color="auto"/>
            </w:tcBorders>
          </w:tcPr>
          <w:p w14:paraId="56EE3464" w14:textId="77777777" w:rsidR="000C5E2C" w:rsidRPr="00ED6EDE" w:rsidRDefault="000C5E2C" w:rsidP="00BC038A">
            <w:pPr>
              <w:pStyle w:val="Tabletext"/>
              <w:rPr>
                <w:b/>
              </w:rPr>
            </w:pPr>
            <w:r w:rsidRPr="00ED6EDE">
              <w:rPr>
                <w:b/>
              </w:rPr>
              <w:t>Severity:</w:t>
            </w:r>
          </w:p>
        </w:tc>
        <w:tc>
          <w:tcPr>
            <w:tcW w:w="7289" w:type="dxa"/>
            <w:tcBorders>
              <w:top w:val="single" w:sz="4" w:space="0" w:color="auto"/>
              <w:left w:val="single" w:sz="4" w:space="0" w:color="auto"/>
              <w:bottom w:val="single" w:sz="4" w:space="0" w:color="auto"/>
              <w:right w:val="single" w:sz="4" w:space="0" w:color="auto"/>
            </w:tcBorders>
          </w:tcPr>
          <w:p w14:paraId="0B5CCCC1" w14:textId="77777777" w:rsidR="000C5E2C" w:rsidRPr="00ED6EDE" w:rsidRDefault="000C5E2C" w:rsidP="00BC038A">
            <w:pPr>
              <w:pStyle w:val="Tabletext"/>
              <w:rPr>
                <w:color w:val="000000" w:themeColor="text1"/>
                <w:szCs w:val="20"/>
              </w:rPr>
            </w:pPr>
            <w:r w:rsidRPr="00ED6EDE">
              <w:rPr>
                <w:color w:val="000000" w:themeColor="text1"/>
                <w:szCs w:val="20"/>
              </w:rPr>
              <w:t>Advanced, metastatic or recurrent</w:t>
            </w:r>
          </w:p>
        </w:tc>
      </w:tr>
      <w:tr w:rsidR="000C5E2C" w:rsidRPr="00ED6EDE" w14:paraId="04A05352" w14:textId="77777777" w:rsidTr="00021411">
        <w:trPr>
          <w:cantSplit/>
        </w:trPr>
        <w:tc>
          <w:tcPr>
            <w:tcW w:w="1728" w:type="dxa"/>
            <w:tcBorders>
              <w:top w:val="single" w:sz="4" w:space="0" w:color="auto"/>
              <w:left w:val="single" w:sz="4" w:space="0" w:color="auto"/>
              <w:bottom w:val="single" w:sz="4" w:space="0" w:color="auto"/>
              <w:right w:val="single" w:sz="4" w:space="0" w:color="auto"/>
            </w:tcBorders>
          </w:tcPr>
          <w:p w14:paraId="48600C85" w14:textId="77777777" w:rsidR="000C5E2C" w:rsidRPr="00ED6EDE" w:rsidRDefault="000C5E2C" w:rsidP="00BC038A">
            <w:pPr>
              <w:pStyle w:val="Tabletext"/>
              <w:rPr>
                <w:b/>
              </w:rPr>
            </w:pPr>
            <w:r w:rsidRPr="00ED6EDE">
              <w:rPr>
                <w:b/>
              </w:rPr>
              <w:t>Condition:</w:t>
            </w:r>
          </w:p>
        </w:tc>
        <w:tc>
          <w:tcPr>
            <w:tcW w:w="7289" w:type="dxa"/>
            <w:tcBorders>
              <w:top w:val="single" w:sz="4" w:space="0" w:color="auto"/>
              <w:left w:val="single" w:sz="4" w:space="0" w:color="auto"/>
              <w:bottom w:val="single" w:sz="4" w:space="0" w:color="auto"/>
              <w:right w:val="single" w:sz="4" w:space="0" w:color="auto"/>
            </w:tcBorders>
          </w:tcPr>
          <w:p w14:paraId="27CD28BB" w14:textId="77777777" w:rsidR="000C5E2C" w:rsidRPr="00ED6EDE" w:rsidRDefault="000C5E2C" w:rsidP="00BC038A">
            <w:pPr>
              <w:pStyle w:val="Tabletext"/>
              <w:rPr>
                <w:color w:val="000000" w:themeColor="text1"/>
                <w:szCs w:val="20"/>
              </w:rPr>
            </w:pPr>
            <w:r w:rsidRPr="00ED6EDE">
              <w:rPr>
                <w:color w:val="000000" w:themeColor="text1"/>
                <w:szCs w:val="20"/>
              </w:rPr>
              <w:t>Deficient mismatch repair (dMMR) endometrial carcinoma</w:t>
            </w:r>
          </w:p>
        </w:tc>
      </w:tr>
      <w:tr w:rsidR="000C5E2C" w:rsidRPr="00ED6EDE" w14:paraId="0A326B1E" w14:textId="77777777" w:rsidTr="00021411">
        <w:trPr>
          <w:cantSplit/>
        </w:trPr>
        <w:tc>
          <w:tcPr>
            <w:tcW w:w="1728" w:type="dxa"/>
            <w:tcBorders>
              <w:top w:val="single" w:sz="4" w:space="0" w:color="auto"/>
              <w:left w:val="single" w:sz="4" w:space="0" w:color="auto"/>
              <w:bottom w:val="single" w:sz="4" w:space="0" w:color="auto"/>
              <w:right w:val="single" w:sz="4" w:space="0" w:color="auto"/>
            </w:tcBorders>
          </w:tcPr>
          <w:p w14:paraId="15A92BE9" w14:textId="77777777" w:rsidR="000C5E2C" w:rsidRPr="00ED6EDE" w:rsidRDefault="000C5E2C" w:rsidP="00BC038A">
            <w:pPr>
              <w:pStyle w:val="Tabletext"/>
              <w:rPr>
                <w:b/>
              </w:rPr>
            </w:pPr>
            <w:r w:rsidRPr="00ED6EDE">
              <w:rPr>
                <w:b/>
              </w:rPr>
              <w:t>PBS Indication:</w:t>
            </w:r>
          </w:p>
        </w:tc>
        <w:tc>
          <w:tcPr>
            <w:tcW w:w="7289" w:type="dxa"/>
            <w:tcBorders>
              <w:top w:val="single" w:sz="4" w:space="0" w:color="auto"/>
              <w:left w:val="single" w:sz="4" w:space="0" w:color="auto"/>
              <w:bottom w:val="single" w:sz="4" w:space="0" w:color="auto"/>
              <w:right w:val="single" w:sz="4" w:space="0" w:color="auto"/>
            </w:tcBorders>
          </w:tcPr>
          <w:p w14:paraId="16064930" w14:textId="77777777" w:rsidR="000C5E2C" w:rsidRPr="00ED6EDE" w:rsidRDefault="000C5E2C" w:rsidP="00BC038A">
            <w:pPr>
              <w:pStyle w:val="Tabletext"/>
              <w:rPr>
                <w:color w:val="000000" w:themeColor="text1"/>
                <w:szCs w:val="20"/>
              </w:rPr>
            </w:pPr>
            <w:r w:rsidRPr="00ED6EDE">
              <w:rPr>
                <w:color w:val="000000" w:themeColor="text1"/>
                <w:szCs w:val="20"/>
              </w:rPr>
              <w:t>Advanced, metastatic or recurrent  deficient mismatch repair (dMMR) endometrial carcinoma</w:t>
            </w:r>
          </w:p>
        </w:tc>
      </w:tr>
      <w:tr w:rsidR="000C5E2C" w:rsidRPr="00ED6EDE" w14:paraId="648B206A" w14:textId="77777777" w:rsidTr="00021411">
        <w:trPr>
          <w:cantSplit/>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4059C" w14:textId="77777777" w:rsidR="000C5E2C" w:rsidRPr="00ED6EDE" w:rsidRDefault="000C5E2C" w:rsidP="00BC038A">
            <w:pPr>
              <w:pStyle w:val="Tabletext"/>
              <w:rPr>
                <w:b/>
              </w:rPr>
            </w:pPr>
            <w:r w:rsidRPr="00ED6EDE">
              <w:rPr>
                <w:b/>
              </w:rPr>
              <w:t>Treatment phase:</w:t>
            </w:r>
          </w:p>
        </w:tc>
        <w:tc>
          <w:tcPr>
            <w:tcW w:w="7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815DB" w14:textId="77777777" w:rsidR="000C5E2C" w:rsidRPr="00ED6EDE" w:rsidRDefault="000C5E2C" w:rsidP="00BC038A">
            <w:pPr>
              <w:pStyle w:val="Tabletext"/>
              <w:rPr>
                <w:color w:val="000000" w:themeColor="text1"/>
                <w:szCs w:val="20"/>
              </w:rPr>
            </w:pPr>
            <w:r w:rsidRPr="00ED6EDE">
              <w:rPr>
                <w:color w:val="000000" w:themeColor="text1"/>
                <w:szCs w:val="20"/>
              </w:rPr>
              <w:t>Initial</w:t>
            </w:r>
          </w:p>
        </w:tc>
      </w:tr>
      <w:tr w:rsidR="000C5E2C" w:rsidRPr="00ED6EDE" w14:paraId="0F452D5B" w14:textId="77777777" w:rsidTr="00021411">
        <w:trPr>
          <w:cantSplit/>
        </w:trPr>
        <w:tc>
          <w:tcPr>
            <w:tcW w:w="1728" w:type="dxa"/>
            <w:tcBorders>
              <w:top w:val="single" w:sz="4" w:space="0" w:color="auto"/>
              <w:left w:val="single" w:sz="4" w:space="0" w:color="auto"/>
              <w:bottom w:val="single" w:sz="4" w:space="0" w:color="auto"/>
              <w:right w:val="single" w:sz="4" w:space="0" w:color="auto"/>
            </w:tcBorders>
          </w:tcPr>
          <w:p w14:paraId="486762A4" w14:textId="77777777" w:rsidR="000C5E2C" w:rsidRPr="00ED6EDE" w:rsidRDefault="000C5E2C" w:rsidP="00BC038A">
            <w:pPr>
              <w:pStyle w:val="Tabletext"/>
              <w:rPr>
                <w:b/>
              </w:rPr>
            </w:pPr>
            <w:r w:rsidRPr="00ED6EDE">
              <w:rPr>
                <w:b/>
              </w:rPr>
              <w:t>Restriction:</w:t>
            </w:r>
          </w:p>
          <w:p w14:paraId="41400924" w14:textId="77777777" w:rsidR="000C5E2C" w:rsidRPr="00ED6EDE" w:rsidRDefault="000C5E2C" w:rsidP="00BC038A">
            <w:pPr>
              <w:pStyle w:val="Tabletext"/>
              <w:rPr>
                <w:b/>
              </w:rPr>
            </w:pPr>
          </w:p>
        </w:tc>
        <w:tc>
          <w:tcPr>
            <w:tcW w:w="7289" w:type="dxa"/>
            <w:tcBorders>
              <w:top w:val="single" w:sz="4" w:space="0" w:color="auto"/>
              <w:left w:val="single" w:sz="4" w:space="0" w:color="auto"/>
              <w:bottom w:val="single" w:sz="4" w:space="0" w:color="auto"/>
              <w:right w:val="single" w:sz="4" w:space="0" w:color="auto"/>
            </w:tcBorders>
          </w:tcPr>
          <w:p w14:paraId="50AB8291" w14:textId="77777777" w:rsidR="000C5E2C" w:rsidRPr="00ED6EDE" w:rsidRDefault="000C5E2C" w:rsidP="00BC038A">
            <w:pPr>
              <w:pStyle w:val="Tabletext"/>
              <w:rPr>
                <w:color w:val="000000" w:themeColor="text1"/>
                <w:szCs w:val="20"/>
              </w:rPr>
            </w:pPr>
            <w:r w:rsidRPr="00ED6EDE">
              <w:rPr>
                <w:color w:val="000000" w:themeColor="text1"/>
                <w:szCs w:val="20"/>
              </w:rPr>
              <w:fldChar w:fldCharType="begin">
                <w:ffData>
                  <w:name w:val="Check3"/>
                  <w:enabled/>
                  <w:calcOnExit w:val="0"/>
                  <w:checkBox>
                    <w:sizeAuto/>
                    <w:default w:val="1"/>
                  </w:checkBox>
                </w:ffData>
              </w:fldChar>
            </w:r>
            <w:r w:rsidRPr="00ED6EDE">
              <w:rPr>
                <w:color w:val="000000" w:themeColor="text1"/>
                <w:szCs w:val="20"/>
              </w:rPr>
              <w:instrText xml:space="preserve"> FORMCHECKBOX </w:instrText>
            </w:r>
            <w:r w:rsidR="003E504A">
              <w:rPr>
                <w:color w:val="000000" w:themeColor="text1"/>
                <w:szCs w:val="20"/>
              </w:rPr>
            </w:r>
            <w:r w:rsidR="003E504A">
              <w:rPr>
                <w:color w:val="000000" w:themeColor="text1"/>
                <w:szCs w:val="20"/>
              </w:rPr>
              <w:fldChar w:fldCharType="separate"/>
            </w:r>
            <w:r w:rsidRPr="00ED6EDE">
              <w:rPr>
                <w:color w:val="000000" w:themeColor="text1"/>
                <w:szCs w:val="20"/>
              </w:rPr>
              <w:fldChar w:fldCharType="end"/>
            </w:r>
            <w:r w:rsidRPr="00ED6EDE">
              <w:rPr>
                <w:color w:val="000000" w:themeColor="text1"/>
                <w:szCs w:val="20"/>
              </w:rPr>
              <w:t>Authority Required – Telephone</w:t>
            </w:r>
          </w:p>
          <w:p w14:paraId="5EBCE25F" w14:textId="77777777" w:rsidR="000C5E2C" w:rsidRPr="00ED6EDE" w:rsidRDefault="000C5E2C" w:rsidP="00BC038A">
            <w:pPr>
              <w:pStyle w:val="Tabletext"/>
              <w:rPr>
                <w:color w:val="000000" w:themeColor="text1"/>
                <w:szCs w:val="20"/>
              </w:rPr>
            </w:pPr>
            <w:r w:rsidRPr="00ED6EDE">
              <w:rPr>
                <w:color w:val="000000" w:themeColor="text1"/>
                <w:szCs w:val="20"/>
              </w:rPr>
              <w:fldChar w:fldCharType="begin">
                <w:ffData>
                  <w:name w:val="Check5"/>
                  <w:enabled/>
                  <w:calcOnExit w:val="0"/>
                  <w:checkBox>
                    <w:sizeAuto/>
                    <w:default w:val="1"/>
                  </w:checkBox>
                </w:ffData>
              </w:fldChar>
            </w:r>
            <w:r w:rsidRPr="00ED6EDE">
              <w:rPr>
                <w:color w:val="000000" w:themeColor="text1"/>
                <w:szCs w:val="20"/>
              </w:rPr>
              <w:instrText xml:space="preserve"> FORMCHECKBOX </w:instrText>
            </w:r>
            <w:r w:rsidR="003E504A">
              <w:rPr>
                <w:color w:val="000000" w:themeColor="text1"/>
                <w:szCs w:val="20"/>
              </w:rPr>
            </w:r>
            <w:r w:rsidR="003E504A">
              <w:rPr>
                <w:color w:val="000000" w:themeColor="text1"/>
                <w:szCs w:val="20"/>
              </w:rPr>
              <w:fldChar w:fldCharType="separate"/>
            </w:r>
            <w:r w:rsidRPr="00ED6EDE">
              <w:rPr>
                <w:color w:val="000000" w:themeColor="text1"/>
                <w:szCs w:val="20"/>
              </w:rPr>
              <w:fldChar w:fldCharType="end"/>
            </w:r>
            <w:r w:rsidRPr="00ED6EDE">
              <w:rPr>
                <w:color w:val="000000" w:themeColor="text1"/>
                <w:szCs w:val="20"/>
              </w:rPr>
              <w:t>Authority Required – Electronic</w:t>
            </w:r>
          </w:p>
        </w:tc>
      </w:tr>
      <w:tr w:rsidR="000C5E2C" w:rsidRPr="00ED6EDE" w14:paraId="6FD4B6FA" w14:textId="77777777" w:rsidTr="00021411">
        <w:trPr>
          <w:cantSplit/>
        </w:trPr>
        <w:tc>
          <w:tcPr>
            <w:tcW w:w="1728" w:type="dxa"/>
            <w:tcBorders>
              <w:top w:val="single" w:sz="4" w:space="0" w:color="auto"/>
              <w:left w:val="single" w:sz="4" w:space="0" w:color="auto"/>
              <w:bottom w:val="single" w:sz="4" w:space="0" w:color="auto"/>
              <w:right w:val="single" w:sz="4" w:space="0" w:color="auto"/>
            </w:tcBorders>
          </w:tcPr>
          <w:p w14:paraId="6BE9C38A" w14:textId="77777777" w:rsidR="000C5E2C" w:rsidRPr="00ED6EDE" w:rsidRDefault="000C5E2C" w:rsidP="00BC038A">
            <w:pPr>
              <w:pStyle w:val="Tabletext"/>
              <w:rPr>
                <w:b/>
              </w:rPr>
            </w:pPr>
            <w:r w:rsidRPr="00ED6EDE">
              <w:rPr>
                <w:b/>
              </w:rPr>
              <w:t>Clinical criteria:</w:t>
            </w:r>
          </w:p>
          <w:p w14:paraId="01FF69EA" w14:textId="77777777" w:rsidR="000C5E2C" w:rsidRPr="00ED6EDE" w:rsidRDefault="000C5E2C" w:rsidP="00BC038A">
            <w:pPr>
              <w:pStyle w:val="Tabletext"/>
              <w:rPr>
                <w:b/>
              </w:rPr>
            </w:pPr>
          </w:p>
        </w:tc>
        <w:tc>
          <w:tcPr>
            <w:tcW w:w="7289" w:type="dxa"/>
            <w:tcBorders>
              <w:top w:val="single" w:sz="4" w:space="0" w:color="auto"/>
              <w:left w:val="single" w:sz="4" w:space="0" w:color="auto"/>
              <w:bottom w:val="single" w:sz="4" w:space="0" w:color="auto"/>
              <w:right w:val="single" w:sz="4" w:space="0" w:color="auto"/>
            </w:tcBorders>
          </w:tcPr>
          <w:p w14:paraId="3E8EF553" w14:textId="77777777" w:rsidR="000C5E2C" w:rsidRPr="00ED6EDE" w:rsidRDefault="000C5E2C" w:rsidP="00BC038A">
            <w:pPr>
              <w:pStyle w:val="Tabletext"/>
              <w:rPr>
                <w:color w:val="000000" w:themeColor="text1"/>
                <w:szCs w:val="20"/>
              </w:rPr>
            </w:pPr>
            <w:r w:rsidRPr="00ED6EDE">
              <w:rPr>
                <w:color w:val="000000" w:themeColor="text1"/>
                <w:szCs w:val="20"/>
              </w:rPr>
              <w:t>The condition must have progressed on prior platinum-based chemotherapy regimen in the first-line advanced, metastatic or recurrent setting, i.e.  not including any platinum-based chemotherapy administered in the neo-adjuvant or adjuvant setting</w:t>
            </w:r>
          </w:p>
          <w:p w14:paraId="0D66374A"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2563DCF7" w14:textId="77777777" w:rsidR="000C5E2C" w:rsidRPr="00ED6EDE" w:rsidRDefault="000C5E2C" w:rsidP="00BC038A">
            <w:pPr>
              <w:pStyle w:val="Tabletext"/>
              <w:rPr>
                <w:color w:val="000000" w:themeColor="text1"/>
                <w:szCs w:val="20"/>
              </w:rPr>
            </w:pPr>
            <w:r w:rsidRPr="00ED6EDE">
              <w:rPr>
                <w:color w:val="000000" w:themeColor="text1"/>
                <w:szCs w:val="20"/>
              </w:rPr>
              <w:t>Patient must not have received prior treatment with a programmed cell death-1 (PD-1) inhibitor or a programmed cell death ligand-1 (PD-L1) inhibitor for endometrial cancer</w:t>
            </w:r>
          </w:p>
          <w:p w14:paraId="0320A35C"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1627B9AC" w14:textId="77777777" w:rsidR="000C5E2C" w:rsidRPr="00ED6EDE" w:rsidRDefault="000C5E2C" w:rsidP="00BC038A">
            <w:pPr>
              <w:pStyle w:val="Tabletext"/>
              <w:rPr>
                <w:color w:val="000000" w:themeColor="text1"/>
                <w:szCs w:val="20"/>
              </w:rPr>
            </w:pPr>
            <w:r w:rsidRPr="00ED6EDE">
              <w:rPr>
                <w:color w:val="000000" w:themeColor="text1"/>
                <w:szCs w:val="20"/>
              </w:rPr>
              <w:t>Patient must have a WHO performance status of 0 or 1</w:t>
            </w:r>
          </w:p>
          <w:p w14:paraId="0D0AA646"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6C998B0B" w14:textId="77777777" w:rsidR="000C5E2C" w:rsidRPr="00ED6EDE" w:rsidRDefault="000C5E2C" w:rsidP="00BC038A">
            <w:pPr>
              <w:pStyle w:val="Tabletext"/>
              <w:rPr>
                <w:color w:val="000000" w:themeColor="text1"/>
                <w:szCs w:val="20"/>
              </w:rPr>
            </w:pPr>
            <w:r w:rsidRPr="00ED6EDE">
              <w:rPr>
                <w:color w:val="000000" w:themeColor="text1"/>
                <w:szCs w:val="20"/>
              </w:rPr>
              <w:t xml:space="preserve">Patient must have deficient mismatch repair (dMMR) endometrial cancer, as determined by immunohistochemistry test </w:t>
            </w:r>
          </w:p>
          <w:p w14:paraId="59780700"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6CB17B51" w14:textId="77777777" w:rsidR="000C5E2C" w:rsidRPr="00ED6EDE" w:rsidRDefault="000C5E2C" w:rsidP="00BC038A">
            <w:pPr>
              <w:pStyle w:val="Tabletext"/>
              <w:rPr>
                <w:color w:val="000000" w:themeColor="text1"/>
                <w:szCs w:val="20"/>
              </w:rPr>
            </w:pPr>
            <w:r w:rsidRPr="00ED6EDE">
              <w:rPr>
                <w:color w:val="000000" w:themeColor="text1"/>
                <w:szCs w:val="20"/>
              </w:rPr>
              <w:t>The treatment must not exceed a total of 7 doses under this restriction</w:t>
            </w:r>
          </w:p>
        </w:tc>
      </w:tr>
      <w:tr w:rsidR="000C5E2C" w:rsidRPr="00ED6EDE" w14:paraId="00E3D23B" w14:textId="77777777" w:rsidTr="00021411">
        <w:trPr>
          <w:cantSplit/>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7CE27" w14:textId="77777777" w:rsidR="000C5E2C" w:rsidRPr="00ED6EDE" w:rsidRDefault="000C5E2C" w:rsidP="00BC038A">
            <w:pPr>
              <w:pStyle w:val="Tabletext"/>
              <w:rPr>
                <w:b/>
              </w:rPr>
            </w:pPr>
            <w:r w:rsidRPr="00ED6EDE">
              <w:rPr>
                <w:b/>
              </w:rPr>
              <w:t>Treatment phase:</w:t>
            </w:r>
          </w:p>
        </w:tc>
        <w:tc>
          <w:tcPr>
            <w:tcW w:w="7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CA647" w14:textId="77777777" w:rsidR="000C5E2C" w:rsidRPr="00ED6EDE" w:rsidRDefault="000C5E2C" w:rsidP="00BC038A">
            <w:pPr>
              <w:pStyle w:val="Tabletext"/>
              <w:rPr>
                <w:color w:val="000000" w:themeColor="text1"/>
                <w:szCs w:val="20"/>
              </w:rPr>
            </w:pPr>
            <w:r w:rsidRPr="00ED6EDE">
              <w:rPr>
                <w:color w:val="000000" w:themeColor="text1"/>
                <w:szCs w:val="20"/>
              </w:rPr>
              <w:t>Continuing</w:t>
            </w:r>
          </w:p>
        </w:tc>
      </w:tr>
      <w:tr w:rsidR="000C5E2C" w:rsidRPr="00ED6EDE" w14:paraId="3EFB0862" w14:textId="77777777" w:rsidTr="00021411">
        <w:trPr>
          <w:cantSplit/>
        </w:trPr>
        <w:tc>
          <w:tcPr>
            <w:tcW w:w="1728" w:type="dxa"/>
            <w:tcBorders>
              <w:top w:val="single" w:sz="4" w:space="0" w:color="auto"/>
              <w:left w:val="single" w:sz="4" w:space="0" w:color="auto"/>
              <w:bottom w:val="single" w:sz="4" w:space="0" w:color="auto"/>
              <w:right w:val="single" w:sz="4" w:space="0" w:color="auto"/>
            </w:tcBorders>
          </w:tcPr>
          <w:p w14:paraId="3F04CC25" w14:textId="77777777" w:rsidR="000C5E2C" w:rsidRPr="00ED6EDE" w:rsidRDefault="000C5E2C" w:rsidP="00BC038A">
            <w:pPr>
              <w:pStyle w:val="Tabletext"/>
              <w:rPr>
                <w:b/>
              </w:rPr>
            </w:pPr>
            <w:r w:rsidRPr="00ED6EDE">
              <w:rPr>
                <w:b/>
              </w:rPr>
              <w:t>Clinical criteria:</w:t>
            </w:r>
          </w:p>
        </w:tc>
        <w:tc>
          <w:tcPr>
            <w:tcW w:w="7289" w:type="dxa"/>
            <w:tcBorders>
              <w:top w:val="single" w:sz="4" w:space="0" w:color="auto"/>
              <w:left w:val="single" w:sz="4" w:space="0" w:color="auto"/>
              <w:bottom w:val="single" w:sz="4" w:space="0" w:color="auto"/>
              <w:right w:val="single" w:sz="4" w:space="0" w:color="auto"/>
            </w:tcBorders>
          </w:tcPr>
          <w:p w14:paraId="36186F73" w14:textId="77777777" w:rsidR="000C5E2C" w:rsidRPr="00ED6EDE" w:rsidRDefault="000C5E2C" w:rsidP="00BC038A">
            <w:pPr>
              <w:pStyle w:val="Tabletext"/>
              <w:rPr>
                <w:color w:val="000000" w:themeColor="text1"/>
                <w:szCs w:val="20"/>
              </w:rPr>
            </w:pPr>
            <w:r w:rsidRPr="00ED6EDE">
              <w:rPr>
                <w:color w:val="000000" w:themeColor="text1"/>
                <w:szCs w:val="20"/>
              </w:rPr>
              <w:t>Patient must have previously received PBS-subsidised treatment with this drug for this condition</w:t>
            </w:r>
          </w:p>
          <w:p w14:paraId="62786312"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3F7D90A4" w14:textId="77777777" w:rsidR="000C5E2C" w:rsidRPr="00ED6EDE" w:rsidRDefault="000C5E2C" w:rsidP="00BC038A">
            <w:pPr>
              <w:pStyle w:val="Tabletext"/>
              <w:rPr>
                <w:color w:val="000000" w:themeColor="text1"/>
                <w:szCs w:val="20"/>
              </w:rPr>
            </w:pPr>
            <w:r w:rsidRPr="00ED6EDE">
              <w:rPr>
                <w:color w:val="000000" w:themeColor="text1"/>
                <w:szCs w:val="20"/>
              </w:rPr>
              <w:t>Patient must not have progressive disease while receiving PBS-subsidised treatment with this drug for this condition</w:t>
            </w:r>
          </w:p>
          <w:p w14:paraId="4F22BB05"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026D87AF" w14:textId="77777777" w:rsidR="000C5E2C" w:rsidRPr="00ED6EDE" w:rsidRDefault="000C5E2C" w:rsidP="00BC038A">
            <w:pPr>
              <w:pStyle w:val="Tabletext"/>
              <w:rPr>
                <w:color w:val="000000" w:themeColor="text1"/>
                <w:szCs w:val="20"/>
              </w:rPr>
            </w:pPr>
            <w:r w:rsidRPr="00ED6EDE">
              <w:rPr>
                <w:color w:val="000000" w:themeColor="text1"/>
                <w:szCs w:val="20"/>
              </w:rPr>
              <w:t>The treatment must not exceed a total of 35 cycles or up to 24 months of treatment in a lifetime for this condition</w:t>
            </w:r>
          </w:p>
        </w:tc>
      </w:tr>
      <w:tr w:rsidR="000C5E2C" w:rsidRPr="00ED6EDE" w14:paraId="72C57DD6" w14:textId="77777777" w:rsidTr="00021411">
        <w:trPr>
          <w:cantSplit/>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E0723" w14:textId="77777777" w:rsidR="000C5E2C" w:rsidRPr="00ED6EDE" w:rsidRDefault="000C5E2C" w:rsidP="00BC038A">
            <w:pPr>
              <w:pStyle w:val="Tabletext"/>
              <w:rPr>
                <w:b/>
              </w:rPr>
            </w:pPr>
            <w:r w:rsidRPr="00ED6EDE">
              <w:rPr>
                <w:b/>
              </w:rPr>
              <w:t>Treatment Phase:</w:t>
            </w:r>
          </w:p>
        </w:tc>
        <w:tc>
          <w:tcPr>
            <w:tcW w:w="7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49BAF" w14:textId="77777777" w:rsidR="000C5E2C" w:rsidRPr="00ED6EDE" w:rsidRDefault="000C5E2C" w:rsidP="00BC038A">
            <w:pPr>
              <w:pStyle w:val="Tabletext"/>
              <w:rPr>
                <w:color w:val="000000" w:themeColor="text1"/>
                <w:szCs w:val="20"/>
              </w:rPr>
            </w:pPr>
            <w:r w:rsidRPr="00ED6EDE">
              <w:rPr>
                <w:color w:val="000000" w:themeColor="text1"/>
                <w:szCs w:val="20"/>
              </w:rPr>
              <w:t>Grandfathered</w:t>
            </w:r>
          </w:p>
        </w:tc>
      </w:tr>
      <w:tr w:rsidR="000C5E2C" w:rsidRPr="00ED6EDE" w14:paraId="0C68FDE8" w14:textId="77777777" w:rsidTr="00021411">
        <w:trPr>
          <w:cantSplit/>
        </w:trPr>
        <w:tc>
          <w:tcPr>
            <w:tcW w:w="1728" w:type="dxa"/>
            <w:tcBorders>
              <w:top w:val="single" w:sz="4" w:space="0" w:color="auto"/>
              <w:left w:val="single" w:sz="4" w:space="0" w:color="auto"/>
              <w:bottom w:val="single" w:sz="4" w:space="0" w:color="auto"/>
              <w:right w:val="single" w:sz="4" w:space="0" w:color="auto"/>
            </w:tcBorders>
          </w:tcPr>
          <w:p w14:paraId="1D795EEC" w14:textId="77777777" w:rsidR="000C5E2C" w:rsidRPr="00ED6EDE" w:rsidRDefault="000C5E2C" w:rsidP="00BC038A">
            <w:pPr>
              <w:pStyle w:val="Tabletext"/>
              <w:rPr>
                <w:b/>
              </w:rPr>
            </w:pPr>
            <w:r w:rsidRPr="00ED6EDE">
              <w:rPr>
                <w:b/>
              </w:rPr>
              <w:t>Clinical Criteria:</w:t>
            </w:r>
          </w:p>
        </w:tc>
        <w:tc>
          <w:tcPr>
            <w:tcW w:w="7289" w:type="dxa"/>
            <w:tcBorders>
              <w:top w:val="single" w:sz="4" w:space="0" w:color="auto"/>
              <w:left w:val="single" w:sz="4" w:space="0" w:color="auto"/>
              <w:bottom w:val="single" w:sz="4" w:space="0" w:color="auto"/>
              <w:right w:val="single" w:sz="4" w:space="0" w:color="auto"/>
            </w:tcBorders>
          </w:tcPr>
          <w:p w14:paraId="543B5807" w14:textId="77777777" w:rsidR="000C5E2C" w:rsidRPr="00ED6EDE" w:rsidRDefault="000C5E2C" w:rsidP="00BC038A">
            <w:pPr>
              <w:pStyle w:val="Tabletext"/>
              <w:rPr>
                <w:color w:val="000000" w:themeColor="text1"/>
                <w:szCs w:val="20"/>
              </w:rPr>
            </w:pPr>
            <w:r w:rsidRPr="00ED6EDE">
              <w:rPr>
                <w:color w:val="000000" w:themeColor="text1"/>
                <w:szCs w:val="20"/>
              </w:rPr>
              <w:t>Patient must have received non-PBS subsidised treatment with this drug for this condition prior to [PBS listing date]</w:t>
            </w:r>
          </w:p>
          <w:p w14:paraId="03ACEBA6"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1BD8F063" w14:textId="77777777" w:rsidR="000C5E2C" w:rsidRPr="00ED6EDE" w:rsidRDefault="000C5E2C" w:rsidP="00BC038A">
            <w:pPr>
              <w:pStyle w:val="Tabletext"/>
              <w:rPr>
                <w:color w:val="000000" w:themeColor="text1"/>
                <w:szCs w:val="20"/>
              </w:rPr>
            </w:pPr>
            <w:r w:rsidRPr="00ED6EDE">
              <w:rPr>
                <w:color w:val="000000" w:themeColor="text1"/>
                <w:szCs w:val="20"/>
              </w:rPr>
              <w:t>The condition must have progressed on prior platinum-based chemotherapy regimen in the first-line advanced, metastatic or recurrent setting, i.e.  not including any platinum-based chemotherapy administered in the neo-adjuvant or adjuvant setting</w:t>
            </w:r>
          </w:p>
          <w:p w14:paraId="6C8AB877"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20D39768" w14:textId="77777777" w:rsidR="000C5E2C" w:rsidRPr="00ED6EDE" w:rsidRDefault="000C5E2C" w:rsidP="00BC038A">
            <w:pPr>
              <w:pStyle w:val="Tabletext"/>
              <w:rPr>
                <w:color w:val="000000" w:themeColor="text1"/>
                <w:szCs w:val="20"/>
              </w:rPr>
            </w:pPr>
            <w:r w:rsidRPr="00ED6EDE">
              <w:rPr>
                <w:color w:val="000000" w:themeColor="text1"/>
                <w:szCs w:val="20"/>
              </w:rPr>
              <w:t>Patient must not have received prior PBS funded treatment with a programmed cell death-1 (PD-1) inhibitor or a programmed cell death ligand-1 (PD-L1) inhibitor for endometrial cancer</w:t>
            </w:r>
          </w:p>
          <w:p w14:paraId="70643317"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4F08F00B" w14:textId="77777777" w:rsidR="000C5E2C" w:rsidRPr="00ED6EDE" w:rsidRDefault="000C5E2C" w:rsidP="00BC038A">
            <w:pPr>
              <w:pStyle w:val="Tabletext"/>
              <w:rPr>
                <w:color w:val="000000" w:themeColor="text1"/>
                <w:szCs w:val="20"/>
              </w:rPr>
            </w:pPr>
            <w:r w:rsidRPr="00ED6EDE">
              <w:rPr>
                <w:color w:val="000000" w:themeColor="text1"/>
                <w:szCs w:val="20"/>
              </w:rPr>
              <w:t>Patient must have stable or responding disease</w:t>
            </w:r>
          </w:p>
          <w:p w14:paraId="24EDA50C"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4BE18909" w14:textId="77777777" w:rsidR="000C5E2C" w:rsidRPr="00ED6EDE" w:rsidRDefault="000C5E2C" w:rsidP="00BC038A">
            <w:pPr>
              <w:pStyle w:val="Tabletext"/>
              <w:rPr>
                <w:color w:val="000000" w:themeColor="text1"/>
                <w:szCs w:val="20"/>
              </w:rPr>
            </w:pPr>
            <w:r w:rsidRPr="00ED6EDE">
              <w:rPr>
                <w:color w:val="000000" w:themeColor="text1"/>
                <w:szCs w:val="20"/>
              </w:rPr>
              <w:t>Patient must have a WHO performance status of 0 or 1</w:t>
            </w:r>
          </w:p>
          <w:p w14:paraId="265309A5"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5AA5BD95" w14:textId="77777777" w:rsidR="000C5E2C" w:rsidRPr="00ED6EDE" w:rsidRDefault="000C5E2C" w:rsidP="00BC038A">
            <w:pPr>
              <w:pStyle w:val="Tabletext"/>
              <w:rPr>
                <w:color w:val="000000" w:themeColor="text1"/>
                <w:szCs w:val="20"/>
              </w:rPr>
            </w:pPr>
            <w:r w:rsidRPr="00ED6EDE">
              <w:rPr>
                <w:color w:val="000000" w:themeColor="text1"/>
                <w:szCs w:val="20"/>
              </w:rPr>
              <w:t>Patient must have deficient mismatch repair (dMMR) endometrial cancer, as determined by immunohistochemistry test</w:t>
            </w:r>
          </w:p>
          <w:p w14:paraId="2366D147" w14:textId="77777777" w:rsidR="000C5E2C" w:rsidRPr="00ED6EDE" w:rsidRDefault="000C5E2C" w:rsidP="00BC038A">
            <w:pPr>
              <w:pStyle w:val="Tabletext"/>
              <w:rPr>
                <w:color w:val="000000" w:themeColor="text1"/>
                <w:szCs w:val="20"/>
              </w:rPr>
            </w:pPr>
            <w:r w:rsidRPr="00ED6EDE">
              <w:rPr>
                <w:color w:val="000000" w:themeColor="text1"/>
                <w:szCs w:val="20"/>
              </w:rPr>
              <w:t>AND</w:t>
            </w:r>
          </w:p>
          <w:p w14:paraId="3A774398" w14:textId="77777777" w:rsidR="000C5E2C" w:rsidRPr="00ED6EDE" w:rsidRDefault="000C5E2C" w:rsidP="00BC038A">
            <w:pPr>
              <w:pStyle w:val="Tabletext"/>
              <w:rPr>
                <w:color w:val="000000" w:themeColor="text1"/>
                <w:szCs w:val="20"/>
              </w:rPr>
            </w:pPr>
            <w:r w:rsidRPr="00ED6EDE">
              <w:rPr>
                <w:color w:val="000000" w:themeColor="text1"/>
                <w:szCs w:val="20"/>
              </w:rPr>
              <w:t>The treatment must not exceed a total of 35 cycles or up to 24 months of treatment in a lifetime for this condition</w:t>
            </w:r>
          </w:p>
        </w:tc>
      </w:tr>
    </w:tbl>
    <w:p w14:paraId="0788EB52" w14:textId="77777777" w:rsidR="000C5E2C" w:rsidRPr="00ED6EDE" w:rsidRDefault="000C5E2C" w:rsidP="000C5E2C"/>
    <w:p w14:paraId="6A0D7EA1" w14:textId="496CB5D1" w:rsidR="006366B0" w:rsidRPr="00ED6EDE" w:rsidRDefault="006366B0" w:rsidP="006366B0">
      <w:pPr>
        <w:pStyle w:val="ListParagraph"/>
        <w:widowControl/>
        <w:numPr>
          <w:ilvl w:val="1"/>
          <w:numId w:val="2"/>
        </w:numPr>
        <w:spacing w:after="120"/>
      </w:pPr>
      <w:bookmarkStart w:id="20" w:name="_Ref95374621"/>
      <w:r w:rsidRPr="00ED6EDE">
        <w:t xml:space="preserve">The submission noted that lenvatinib and pembrolizumab are each marketed by different companies. The Competition and Consumer Act 2010 prohibits concerted practices, anti-competitive agreements and cartel conduct. In the agreed final outcomes of </w:t>
      </w:r>
      <w:r w:rsidR="00C90C2B">
        <w:t xml:space="preserve">a </w:t>
      </w:r>
      <w:r w:rsidRPr="00ED6EDE">
        <w:t>pre-submission meeting, the Department acknowledged that “Provision of list prices and requesting the PBAC make a recommendation on the basis of a net cost per patient is an acceptable way of navigating the challenges of intercompany working”.</w:t>
      </w:r>
      <w:bookmarkEnd w:id="20"/>
    </w:p>
    <w:p w14:paraId="22BFE38C" w14:textId="77777777" w:rsidR="006366B0" w:rsidRDefault="006366B0" w:rsidP="006366B0">
      <w:pPr>
        <w:pStyle w:val="ListParagraph"/>
        <w:widowControl/>
        <w:numPr>
          <w:ilvl w:val="1"/>
          <w:numId w:val="2"/>
        </w:numPr>
        <w:spacing w:after="120"/>
      </w:pPr>
      <w:bookmarkStart w:id="21" w:name="_Ref95374632"/>
      <w:r w:rsidRPr="00ED6EDE">
        <w:t>Based on this, the submission only used the publicly available list prices in the economic analysis and financial estimates sections. A combined drug acquisition cost per patient was calculated and used in the economic and financial sections as a proxy for an effective price. No specific price per pack of lenvatinib or per vial of pembrolizumab were proposed in the submission.</w:t>
      </w:r>
      <w:bookmarkEnd w:id="21"/>
      <w:r w:rsidRPr="00ED6EDE">
        <w:t xml:space="preserve"> </w:t>
      </w:r>
    </w:p>
    <w:p w14:paraId="04FC405C" w14:textId="05FE0F5C" w:rsidR="00CB5632" w:rsidRDefault="00B47AE0" w:rsidP="0027315C">
      <w:pPr>
        <w:pStyle w:val="ListParagraph"/>
        <w:widowControl/>
        <w:numPr>
          <w:ilvl w:val="1"/>
          <w:numId w:val="2"/>
        </w:numPr>
        <w:spacing w:after="120"/>
      </w:pPr>
      <w:r w:rsidRPr="00ED6EDE">
        <w:rPr>
          <w:iCs/>
        </w:rPr>
        <w:t xml:space="preserve">The proposed restriction </w:t>
      </w:r>
      <w:r w:rsidR="0027315C">
        <w:rPr>
          <w:iCs/>
        </w:rPr>
        <w:t>included the criterion: ‘</w:t>
      </w:r>
      <w:r w:rsidR="0027315C" w:rsidRPr="0027315C">
        <w:rPr>
          <w:iCs/>
        </w:rPr>
        <w:t>Patient must have received a prior platinum-based chemotherapy regimen in the advanced, metastatic or recurrent setting, i.e. not including any platinum-based chemotherapy administered in the neo-adjuvant or adjuvant setting</w:t>
      </w:r>
      <w:r w:rsidR="0027315C">
        <w:rPr>
          <w:iCs/>
        </w:rPr>
        <w:t xml:space="preserve">’. </w:t>
      </w:r>
      <w:r w:rsidR="00CB5632">
        <w:rPr>
          <w:iCs/>
        </w:rPr>
        <w:t xml:space="preserve">The PBAC </w:t>
      </w:r>
      <w:r w:rsidR="00CB5632">
        <w:t xml:space="preserve">advised that this should be amended to: </w:t>
      </w:r>
      <w:r w:rsidR="00CB5632" w:rsidRPr="00185795">
        <w:t>‘Patient must have received a prior platinum-based chemotherapy regimen for this condition’</w:t>
      </w:r>
      <w:r w:rsidR="00CB5632">
        <w:t xml:space="preserve"> so as to: </w:t>
      </w:r>
    </w:p>
    <w:p w14:paraId="54791C55" w14:textId="57674BE0" w:rsidR="00CB5632" w:rsidRDefault="00CB5632" w:rsidP="00CB5632">
      <w:pPr>
        <w:pStyle w:val="ListParagraph"/>
        <w:numPr>
          <w:ilvl w:val="0"/>
          <w:numId w:val="14"/>
        </w:numPr>
        <w:spacing w:after="0"/>
        <w:ind w:left="1077" w:hanging="357"/>
      </w:pPr>
      <w:r>
        <w:t xml:space="preserve">allow use in patients who received </w:t>
      </w:r>
      <w:r w:rsidRPr="00185795">
        <w:t>platinum-based chemotherapy</w:t>
      </w:r>
      <w:r>
        <w:t xml:space="preserve"> in later lines, consistent with the KN775 trial </w:t>
      </w:r>
      <w:r>
        <w:rPr>
          <w:iCs/>
        </w:rPr>
        <w:t>in which</w:t>
      </w:r>
      <w:r w:rsidRPr="00ED6EDE">
        <w:rPr>
          <w:iCs/>
        </w:rPr>
        <w:t xml:space="preserve"> 9.7% of patients had received prior palliative hormonal therapy</w:t>
      </w:r>
      <w:r>
        <w:t xml:space="preserve">; </w:t>
      </w:r>
    </w:p>
    <w:p w14:paraId="234D557E" w14:textId="5203401A" w:rsidR="00CB5632" w:rsidRDefault="00CB5632" w:rsidP="00CB5632">
      <w:pPr>
        <w:pStyle w:val="ListParagraph"/>
        <w:numPr>
          <w:ilvl w:val="0"/>
          <w:numId w:val="14"/>
        </w:numPr>
        <w:spacing w:after="0"/>
        <w:ind w:left="1077" w:hanging="357"/>
      </w:pPr>
      <w:r>
        <w:t xml:space="preserve">allow use in patients who progress after platinum-based chemotherapy (rather than requiring the patient to have ‘progressed on’ platinum-based chemotherapy); and </w:t>
      </w:r>
    </w:p>
    <w:p w14:paraId="6162CE4C" w14:textId="74660F8A" w:rsidR="00CB5632" w:rsidRPr="00CB5632" w:rsidRDefault="00CB5632" w:rsidP="00CB5632">
      <w:pPr>
        <w:pStyle w:val="ListParagraph"/>
        <w:numPr>
          <w:ilvl w:val="0"/>
          <w:numId w:val="14"/>
        </w:numPr>
        <w:spacing w:after="120"/>
        <w:ind w:left="1077" w:hanging="357"/>
      </w:pPr>
      <w:r>
        <w:t>remove the distinction between the</w:t>
      </w:r>
      <w:r w:rsidRPr="0027315C">
        <w:t xml:space="preserve"> platinum-based chemotherapy</w:t>
      </w:r>
      <w:r>
        <w:t xml:space="preserve"> having been </w:t>
      </w:r>
      <w:r w:rsidRPr="0027315C">
        <w:t xml:space="preserve">administered in the </w:t>
      </w:r>
      <w:r>
        <w:t>(</w:t>
      </w:r>
      <w:r w:rsidRPr="0027315C">
        <w:t>neo</w:t>
      </w:r>
      <w:r>
        <w:t>)</w:t>
      </w:r>
      <w:r w:rsidRPr="0027315C">
        <w:t xml:space="preserve">adjuvant </w:t>
      </w:r>
      <w:r>
        <w:t>versus the advanced</w:t>
      </w:r>
      <w:r w:rsidRPr="0027315C">
        <w:t xml:space="preserve"> setting</w:t>
      </w:r>
      <w:r>
        <w:t xml:space="preserve">, given there can be overlap between these settings. </w:t>
      </w:r>
    </w:p>
    <w:p w14:paraId="1DF9982B" w14:textId="22627AF6" w:rsidR="00107607" w:rsidRDefault="00107607" w:rsidP="007E1BD2">
      <w:pPr>
        <w:pStyle w:val="ListParagraph"/>
        <w:widowControl/>
        <w:numPr>
          <w:ilvl w:val="1"/>
          <w:numId w:val="2"/>
        </w:numPr>
        <w:spacing w:after="120"/>
      </w:pPr>
      <w:r w:rsidRPr="00ED6EDE">
        <w:rPr>
          <w:iCs/>
        </w:rPr>
        <w:t xml:space="preserve">The proposed restrictions limit treatment to patients with an </w:t>
      </w:r>
      <w:bookmarkStart w:id="22" w:name="_Hlk92733486"/>
      <w:r w:rsidRPr="00ED6EDE">
        <w:rPr>
          <w:iCs/>
        </w:rPr>
        <w:t>Eastern Cooperative Oncology Group (ECOG) performance status of 0 or 1</w:t>
      </w:r>
      <w:r w:rsidR="002D32AD">
        <w:rPr>
          <w:iCs/>
        </w:rPr>
        <w:t xml:space="preserve">, which </w:t>
      </w:r>
      <w:bookmarkEnd w:id="22"/>
      <w:r w:rsidRPr="00ED6EDE">
        <w:rPr>
          <w:iCs/>
        </w:rPr>
        <w:t xml:space="preserve">aligned </w:t>
      </w:r>
      <w:r w:rsidR="002D32AD">
        <w:rPr>
          <w:iCs/>
        </w:rPr>
        <w:t>with KN775</w:t>
      </w:r>
      <w:r w:rsidRPr="00ED6EDE">
        <w:rPr>
          <w:iCs/>
        </w:rPr>
        <w:t>.</w:t>
      </w:r>
      <w:r w:rsidRPr="00ED6EDE">
        <w:t xml:space="preserve"> </w:t>
      </w:r>
      <w:r w:rsidR="00DF7DCA" w:rsidRPr="00ED6EDE">
        <w:t xml:space="preserve">The ESC </w:t>
      </w:r>
      <w:r w:rsidR="00285DCC">
        <w:t xml:space="preserve">and PBAC </w:t>
      </w:r>
      <w:r w:rsidR="00DF7DCA" w:rsidRPr="00ED6EDE">
        <w:t xml:space="preserve">considered </w:t>
      </w:r>
      <w:r w:rsidR="00D15088" w:rsidRPr="00ED6EDE">
        <w:t>this criterion was reasonable for pembrolizumab plus lenvatinib combination therapy given the p</w:t>
      </w:r>
      <w:r w:rsidR="002D32AD">
        <w:t>otential for</w:t>
      </w:r>
      <w:r w:rsidR="00D15088" w:rsidRPr="00ED6EDE">
        <w:t xml:space="preserve"> toxicity</w:t>
      </w:r>
      <w:r w:rsidR="007E1BD2" w:rsidRPr="00ED6EDE">
        <w:t>.</w:t>
      </w:r>
    </w:p>
    <w:p w14:paraId="0A75FF45" w14:textId="3160EDE0" w:rsidR="001C2E74" w:rsidRDefault="002D32AD" w:rsidP="007E1BD2">
      <w:pPr>
        <w:pStyle w:val="ListParagraph"/>
        <w:widowControl/>
        <w:numPr>
          <w:ilvl w:val="1"/>
          <w:numId w:val="2"/>
        </w:numPr>
        <w:spacing w:after="120"/>
      </w:pPr>
      <w:r w:rsidRPr="00ED6EDE">
        <w:t>The proposed restrictions allow use of either pembrolizumab or lenvatinib as single agents if a patient develops an intolerance</w:t>
      </w:r>
      <w:r>
        <w:t xml:space="preserve">. The PBAC considered that </w:t>
      </w:r>
      <w:r w:rsidR="00F50B46">
        <w:t>use of pembrolizumab as a single a</w:t>
      </w:r>
      <w:r w:rsidR="00774CBC">
        <w:t>gent should also be permitted in patients in whom lenvatinib is contraindicated.</w:t>
      </w:r>
    </w:p>
    <w:p w14:paraId="2FA0607A" w14:textId="77715E04" w:rsidR="006366B0" w:rsidRPr="00ED6EDE" w:rsidRDefault="006366B0" w:rsidP="006366B0">
      <w:pPr>
        <w:pStyle w:val="3Bodytext"/>
        <w:numPr>
          <w:ilvl w:val="1"/>
          <w:numId w:val="2"/>
        </w:numPr>
        <w:jc w:val="both"/>
      </w:pPr>
      <w:r w:rsidRPr="00ED6EDE">
        <w:t>The submission proposed an ‘Authority Required – immediate/real time assessment by Services Australia (telephone/onli</w:t>
      </w:r>
      <w:r>
        <w:t>ne application avenues)’ listing, however t</w:t>
      </w:r>
      <w:r w:rsidRPr="00ED6EDE">
        <w:t xml:space="preserve">he PBAC </w:t>
      </w:r>
      <w:r>
        <w:t>considered that an</w:t>
      </w:r>
      <w:r w:rsidRPr="00ED6EDE">
        <w:t xml:space="preserve"> </w:t>
      </w:r>
      <w:r>
        <w:t>‘</w:t>
      </w:r>
      <w:r w:rsidRPr="00761312">
        <w:t>Authority Required (</w:t>
      </w:r>
      <w:r>
        <w:t>streamlined)’</w:t>
      </w:r>
      <w:r w:rsidRPr="00761312">
        <w:t xml:space="preserve"> listing </w:t>
      </w:r>
      <w:r>
        <w:t>would be more appropriate</w:t>
      </w:r>
      <w:r w:rsidRPr="00ED6EDE">
        <w:t xml:space="preserve">. </w:t>
      </w:r>
    </w:p>
    <w:p w14:paraId="14995044" w14:textId="204B0247" w:rsidR="00ED6EDE" w:rsidRPr="00ED6EDE" w:rsidRDefault="00ED6EDE" w:rsidP="00ED6EDE">
      <w:pPr>
        <w:pStyle w:val="ListParagraph"/>
        <w:widowControl/>
        <w:tabs>
          <w:tab w:val="center" w:pos="4153"/>
          <w:tab w:val="right" w:pos="8306"/>
        </w:tabs>
        <w:autoSpaceDE w:val="0"/>
        <w:autoSpaceDN w:val="0"/>
        <w:adjustRightInd w:val="0"/>
        <w:spacing w:after="120"/>
        <w:rPr>
          <w:i/>
        </w:rPr>
      </w:pPr>
      <w:r>
        <w:rPr>
          <w:i/>
        </w:rPr>
        <w:t>F</w:t>
      </w:r>
      <w:r w:rsidRPr="00ED6EDE">
        <w:rPr>
          <w:i/>
        </w:rPr>
        <w:t>or more detail on PBAC’s view, see section 7 PBAC outcome.</w:t>
      </w:r>
    </w:p>
    <w:p w14:paraId="14CC1027" w14:textId="77777777" w:rsidR="000C5E2C" w:rsidRPr="00ED6EDE" w:rsidRDefault="000C5E2C" w:rsidP="00476B8F">
      <w:pPr>
        <w:pStyle w:val="PBACHeading1"/>
        <w:numPr>
          <w:ilvl w:val="0"/>
          <w:numId w:val="2"/>
        </w:numPr>
        <w:outlineLvl w:val="0"/>
      </w:pPr>
      <w:bookmarkStart w:id="23" w:name="_Toc22898849"/>
      <w:bookmarkStart w:id="24" w:name="_Toc93478149"/>
      <w:r w:rsidRPr="00ED6EDE">
        <w:t>Population and disease</w:t>
      </w:r>
      <w:bookmarkEnd w:id="23"/>
      <w:bookmarkEnd w:id="24"/>
    </w:p>
    <w:p w14:paraId="48BAAFBA" w14:textId="77777777" w:rsidR="00020E37" w:rsidRPr="00ED6EDE" w:rsidRDefault="00020E37" w:rsidP="00020E37"/>
    <w:p w14:paraId="06C345DB" w14:textId="2A74C1B0" w:rsidR="00DB1712" w:rsidRPr="00ED6EDE" w:rsidRDefault="00020E37" w:rsidP="005D2C4E">
      <w:pPr>
        <w:pStyle w:val="ListParagraph"/>
        <w:widowControl/>
        <w:numPr>
          <w:ilvl w:val="1"/>
          <w:numId w:val="2"/>
        </w:numPr>
        <w:spacing w:after="120"/>
        <w:rPr>
          <w:iCs/>
        </w:rPr>
      </w:pPr>
      <w:bookmarkStart w:id="25" w:name="_Ref92980320"/>
      <w:r w:rsidRPr="00ED6EDE">
        <w:rPr>
          <w:rFonts w:cstheme="minorHAnsi"/>
        </w:rPr>
        <w:t xml:space="preserve">Endometrial cancer is the most common gynaecological cancer in Australia and the </w:t>
      </w:r>
      <w:r w:rsidR="003965D3">
        <w:rPr>
          <w:rFonts w:cstheme="minorHAnsi"/>
        </w:rPr>
        <w:t>fifth</w:t>
      </w:r>
      <w:r w:rsidRPr="00ED6EDE">
        <w:rPr>
          <w:rFonts w:cstheme="minorHAnsi"/>
        </w:rPr>
        <w:t xml:space="preserve"> most diagnosed cancer in Australian women (2016).</w:t>
      </w:r>
      <w:r w:rsidRPr="00ED6EDE">
        <w:rPr>
          <w:rStyle w:val="FootnoteReference"/>
          <w:rFonts w:cstheme="minorHAnsi"/>
        </w:rPr>
        <w:footnoteReference w:id="1"/>
      </w:r>
      <w:r w:rsidRPr="00ED6EDE">
        <w:rPr>
          <w:rFonts w:cstheme="minorHAnsi"/>
        </w:rPr>
        <w:t xml:space="preserve"> The incidence has risen 18% over the last 5 years</w:t>
      </w:r>
      <w:r w:rsidRPr="00ED6EDE">
        <w:rPr>
          <w:rStyle w:val="FootnoteReference"/>
          <w:rFonts w:cstheme="minorHAnsi"/>
        </w:rPr>
        <w:t xml:space="preserve"> </w:t>
      </w:r>
      <w:r w:rsidRPr="00ED6EDE">
        <w:t>(AIHW  2021)</w:t>
      </w:r>
      <w:r w:rsidRPr="00ED6EDE">
        <w:rPr>
          <w:rFonts w:cstheme="minorHAnsi"/>
        </w:rPr>
        <w:t>. Most patients are postmenopausal and diagnosed after the age of 55, but the submission</w:t>
      </w:r>
      <w:r w:rsidR="00D04D9E" w:rsidRPr="00ED6EDE">
        <w:rPr>
          <w:rFonts w:cstheme="minorHAnsi"/>
        </w:rPr>
        <w:t xml:space="preserve"> </w:t>
      </w:r>
      <w:r w:rsidRPr="00ED6EDE">
        <w:rPr>
          <w:rFonts w:cstheme="minorHAnsi"/>
        </w:rPr>
        <w:t>states that endometrial cancer is increasingly being diagnosed in younger women. Endometrioid carcinoma is the most common histologic type of endometrial cancer, and typically present</w:t>
      </w:r>
      <w:r w:rsidR="003965D3">
        <w:rPr>
          <w:rFonts w:cstheme="minorHAnsi"/>
        </w:rPr>
        <w:t>s</w:t>
      </w:r>
      <w:r w:rsidRPr="00ED6EDE">
        <w:rPr>
          <w:rFonts w:cstheme="minorHAnsi"/>
        </w:rPr>
        <w:t xml:space="preserve"> at an early stage with abnormal uterine bleeding, with a favourable prognosis. However, approximately 13% of all endometrial cancers recur (Fung Kee Fung 2006) and 18% of patients are diagnosed in the advanced or metastatic settings</w:t>
      </w:r>
      <w:r w:rsidRPr="00ED6EDE">
        <w:rPr>
          <w:vertAlign w:val="superscript"/>
        </w:rPr>
        <w:footnoteReference w:id="2"/>
      </w:r>
      <w:r w:rsidRPr="00ED6EDE">
        <w:rPr>
          <w:rFonts w:cstheme="minorHAnsi"/>
        </w:rPr>
        <w:t>. These cases are associated with a poor prognosis with a five-year relative survival of under 16%</w:t>
      </w:r>
      <w:r w:rsidRPr="00ED6EDE">
        <w:rPr>
          <w:rFonts w:cstheme="minorHAnsi"/>
          <w:vertAlign w:val="superscript"/>
        </w:rPr>
        <w:t xml:space="preserve"> </w:t>
      </w:r>
      <w:r w:rsidRPr="00ED6EDE">
        <w:rPr>
          <w:rFonts w:cstheme="minorHAnsi"/>
        </w:rPr>
        <w:t>(AIHW 2021).</w:t>
      </w:r>
      <w:r w:rsidR="00AB30AD" w:rsidRPr="00ED6EDE">
        <w:rPr>
          <w:rFonts w:cstheme="minorHAnsi"/>
        </w:rPr>
        <w:t xml:space="preserve"> </w:t>
      </w:r>
    </w:p>
    <w:p w14:paraId="3CF43FBF" w14:textId="1FB5D40A" w:rsidR="00020E37" w:rsidRPr="00ED6EDE" w:rsidRDefault="00020E37" w:rsidP="00A062E7">
      <w:pPr>
        <w:pStyle w:val="ListParagraph"/>
        <w:widowControl/>
        <w:numPr>
          <w:ilvl w:val="1"/>
          <w:numId w:val="2"/>
        </w:numPr>
        <w:rPr>
          <w:iCs/>
        </w:rPr>
      </w:pPr>
      <w:r w:rsidRPr="00ED6EDE">
        <w:rPr>
          <w:rFonts w:cstheme="minorHAnsi"/>
        </w:rPr>
        <w:t xml:space="preserve">Endometrial cancers </w:t>
      </w:r>
      <w:r w:rsidR="00B47AE0" w:rsidRPr="00ED6EDE">
        <w:rPr>
          <w:rFonts w:cstheme="minorHAnsi"/>
        </w:rPr>
        <w:t xml:space="preserve">can </w:t>
      </w:r>
      <w:r w:rsidRPr="00ED6EDE">
        <w:rPr>
          <w:rFonts w:cstheme="minorHAnsi"/>
        </w:rPr>
        <w:t xml:space="preserve">be divided into </w:t>
      </w:r>
      <w:r w:rsidR="00583F34">
        <w:rPr>
          <w:rFonts w:cstheme="minorHAnsi"/>
        </w:rPr>
        <w:t xml:space="preserve">pMMR or dMMR </w:t>
      </w:r>
      <w:r w:rsidRPr="00ED6EDE">
        <w:rPr>
          <w:rFonts w:cstheme="minorHAnsi"/>
        </w:rPr>
        <w:t>tumours.</w:t>
      </w:r>
      <w:r w:rsidR="009D668F" w:rsidRPr="00ED6EDE">
        <w:rPr>
          <w:rFonts w:cstheme="minorHAnsi"/>
        </w:rPr>
        <w:t xml:space="preserve"> </w:t>
      </w:r>
      <w:r w:rsidR="009D668F" w:rsidRPr="00ED6EDE">
        <w:rPr>
          <w:rFonts w:cstheme="minorHAnsi"/>
          <w:iCs/>
        </w:rPr>
        <w:t>Currently, MMR status does not affect the decision to administer chemotherapy</w:t>
      </w:r>
      <w:r w:rsidR="00CF2817" w:rsidRPr="00ED6EDE">
        <w:rPr>
          <w:rFonts w:cstheme="minorHAnsi"/>
          <w:iCs/>
        </w:rPr>
        <w:t xml:space="preserve"> in the second line setting</w:t>
      </w:r>
      <w:r w:rsidR="009D668F" w:rsidRPr="00ED6EDE">
        <w:rPr>
          <w:rFonts w:cstheme="minorHAnsi"/>
          <w:iCs/>
        </w:rPr>
        <w:t xml:space="preserve">. </w:t>
      </w:r>
      <w:r w:rsidR="00B47AE0" w:rsidRPr="00ED6EDE">
        <w:rPr>
          <w:rFonts w:cstheme="minorHAnsi"/>
          <w:iCs/>
        </w:rPr>
        <w:t xml:space="preserve">In its </w:t>
      </w:r>
      <w:r w:rsidR="00597B7E" w:rsidRPr="00ED6EDE">
        <w:rPr>
          <w:rFonts w:cstheme="minorHAnsi"/>
          <w:iCs/>
        </w:rPr>
        <w:t xml:space="preserve">consideration of ‘Testing for mismatch repair deficiency (dMMR) in endometrial cancer to help determine eligibility for PBS-subsidised dostarlimab’, </w:t>
      </w:r>
      <w:r w:rsidR="00B47AE0" w:rsidRPr="00ED6EDE">
        <w:rPr>
          <w:rFonts w:cstheme="minorHAnsi"/>
          <w:iCs/>
        </w:rPr>
        <w:t xml:space="preserve">the MSAC PASC </w:t>
      </w:r>
      <w:r w:rsidR="00597B7E" w:rsidRPr="00ED6EDE">
        <w:rPr>
          <w:rFonts w:cstheme="minorHAnsi"/>
          <w:iCs/>
        </w:rPr>
        <w:t>noted that the prognostic value of the dMMR biomarker in EC was currently limited. (1674 Ratified PICO, p5)</w:t>
      </w:r>
      <w:bookmarkEnd w:id="25"/>
      <w:r w:rsidR="00597B7E" w:rsidRPr="00ED6EDE">
        <w:rPr>
          <w:rFonts w:cstheme="minorHAnsi"/>
          <w:iCs/>
        </w:rPr>
        <w:t xml:space="preserve"> </w:t>
      </w:r>
    </w:p>
    <w:p w14:paraId="3329BEA3" w14:textId="22374FD2" w:rsidR="003032C9" w:rsidRPr="00ED6EDE" w:rsidRDefault="003032C9" w:rsidP="005D2C4E">
      <w:pPr>
        <w:pStyle w:val="ListParagraph"/>
        <w:widowControl/>
        <w:numPr>
          <w:ilvl w:val="1"/>
          <w:numId w:val="2"/>
        </w:numPr>
        <w:spacing w:after="120"/>
        <w:rPr>
          <w:iCs/>
        </w:rPr>
      </w:pPr>
      <w:r w:rsidRPr="00ED6EDE">
        <w:rPr>
          <w:rFonts w:cstheme="minorHAnsi"/>
        </w:rPr>
        <w:t xml:space="preserve">The submission considered that dMMR testing was routine in practice, and had both diagnostic and prognostic utility.  </w:t>
      </w:r>
    </w:p>
    <w:p w14:paraId="2C1C874C" w14:textId="09B38387" w:rsidR="006B3F25" w:rsidRPr="00ED6EDE" w:rsidRDefault="006B3F25" w:rsidP="005D2C4E">
      <w:pPr>
        <w:pStyle w:val="ListParagraph"/>
        <w:widowControl/>
        <w:numPr>
          <w:ilvl w:val="1"/>
          <w:numId w:val="2"/>
        </w:numPr>
        <w:spacing w:after="120"/>
        <w:rPr>
          <w:snapToGrid/>
          <w:lang w:eastAsia="en-AU"/>
        </w:rPr>
      </w:pPr>
      <w:r w:rsidRPr="00ED6EDE">
        <w:rPr>
          <w:snapToGrid/>
          <w:lang w:eastAsia="en-AU"/>
        </w:rPr>
        <w:t xml:space="preserve">The TGA Delegate’s overview noted that </w:t>
      </w:r>
      <w:r w:rsidR="00A06CDF" w:rsidRPr="00ED6EDE">
        <w:rPr>
          <w:snapToGrid/>
          <w:lang w:eastAsia="en-AU"/>
        </w:rPr>
        <w:t>“</w:t>
      </w:r>
      <w:r w:rsidRPr="00ED6EDE">
        <w:rPr>
          <w:snapToGrid/>
          <w:lang w:eastAsia="en-AU"/>
        </w:rPr>
        <w:t xml:space="preserve">pMMR tumours have different gene expression and typically, but not invariably, a different immune phenotype to </w:t>
      </w:r>
      <w:r w:rsidR="00A06CDF" w:rsidRPr="00ED6EDE">
        <w:rPr>
          <w:snapToGrid/>
          <w:lang w:eastAsia="en-AU"/>
        </w:rPr>
        <w:t>dMMR</w:t>
      </w:r>
      <w:r w:rsidRPr="00ED6EDE">
        <w:rPr>
          <w:snapToGrid/>
          <w:lang w:eastAsia="en-AU"/>
        </w:rPr>
        <w:t xml:space="preserve"> tumours. Fewer neoantigens are likely to be presented in </w:t>
      </w:r>
      <w:r w:rsidR="00DB1712" w:rsidRPr="00ED6EDE">
        <w:rPr>
          <w:snapToGrid/>
          <w:lang w:eastAsia="en-AU"/>
        </w:rPr>
        <w:t>pMMR</w:t>
      </w:r>
      <w:r w:rsidRPr="00ED6EDE">
        <w:rPr>
          <w:snapToGrid/>
          <w:lang w:eastAsia="en-AU"/>
        </w:rPr>
        <w:t xml:space="preserve"> tumours, including the expression of PD-L1. Preservation of MMR typically impacts the response of the tumour to checkpoint inhibitors and other treatment strategies, so combination therapies are an approach of interest.” (p7 of Delegate’s Overview).</w:t>
      </w:r>
    </w:p>
    <w:p w14:paraId="013E5FAD" w14:textId="5FD5A198" w:rsidR="00020E37" w:rsidRPr="003965D3" w:rsidRDefault="002C046A" w:rsidP="005D2C4E">
      <w:pPr>
        <w:pStyle w:val="ListParagraph"/>
        <w:widowControl/>
        <w:numPr>
          <w:ilvl w:val="1"/>
          <w:numId w:val="2"/>
        </w:numPr>
        <w:spacing w:after="120"/>
        <w:rPr>
          <w:iCs/>
        </w:rPr>
      </w:pPr>
      <w:r w:rsidRPr="00ED6EDE">
        <w:rPr>
          <w:rFonts w:cstheme="minorHAnsi"/>
        </w:rPr>
        <w:t>The place in therapy proposed by the submission was for use</w:t>
      </w:r>
      <w:r w:rsidR="00020E37" w:rsidRPr="00ED6EDE">
        <w:rPr>
          <w:rFonts w:cstheme="minorHAnsi"/>
        </w:rPr>
        <w:t xml:space="preserve"> after failure of first line platinum based chemotherapy.</w:t>
      </w:r>
      <w:r w:rsidR="00CF2817" w:rsidRPr="00ED6EDE">
        <w:rPr>
          <w:rFonts w:cstheme="minorHAnsi"/>
        </w:rPr>
        <w:t xml:space="preserve"> </w:t>
      </w:r>
      <w:r w:rsidR="00BA3A5B" w:rsidRPr="00ED6EDE">
        <w:rPr>
          <w:rFonts w:cstheme="minorHAnsi"/>
        </w:rPr>
        <w:t xml:space="preserve">Based on the TGA indication, </w:t>
      </w:r>
      <w:r w:rsidR="00DB1712" w:rsidRPr="00ED6EDE">
        <w:rPr>
          <w:rFonts w:cstheme="minorHAnsi"/>
        </w:rPr>
        <w:t xml:space="preserve">the </w:t>
      </w:r>
      <w:r w:rsidR="00BA3A5B" w:rsidRPr="00ED6EDE">
        <w:rPr>
          <w:rFonts w:cstheme="minorHAnsi"/>
        </w:rPr>
        <w:t xml:space="preserve">PSCR proposed that the </w:t>
      </w:r>
      <w:r w:rsidR="00DB1712" w:rsidRPr="00ED6EDE">
        <w:rPr>
          <w:rFonts w:cstheme="minorHAnsi"/>
        </w:rPr>
        <w:t>combination would be used in patients with pMMR tumours, while pembrolizumab monotherapy would be used in those with dMMR tumours.</w:t>
      </w:r>
    </w:p>
    <w:p w14:paraId="21A52720" w14:textId="7336FC0A" w:rsidR="003965D3" w:rsidRPr="00ED6EDE" w:rsidRDefault="003965D3" w:rsidP="005D2C4E">
      <w:pPr>
        <w:pStyle w:val="ListParagraph"/>
        <w:widowControl/>
        <w:numPr>
          <w:ilvl w:val="1"/>
          <w:numId w:val="2"/>
        </w:numPr>
        <w:spacing w:after="120"/>
        <w:rPr>
          <w:iCs/>
        </w:rPr>
      </w:pPr>
      <w:r>
        <w:rPr>
          <w:rFonts w:cstheme="minorHAnsi"/>
        </w:rPr>
        <w:t xml:space="preserve">The PBAC noted that a range of Phase III randomised, controlled trials are underway investigating the use of immunotherapies in the first-line setting. </w:t>
      </w:r>
    </w:p>
    <w:p w14:paraId="164CC3CC" w14:textId="77777777" w:rsidR="000C5E2C" w:rsidRPr="00ED6EDE" w:rsidRDefault="000C5E2C" w:rsidP="00476B8F">
      <w:pPr>
        <w:pStyle w:val="PBACHeading1"/>
        <w:numPr>
          <w:ilvl w:val="0"/>
          <w:numId w:val="2"/>
        </w:numPr>
        <w:outlineLvl w:val="0"/>
      </w:pPr>
      <w:bookmarkStart w:id="26" w:name="_Toc22898850"/>
      <w:bookmarkStart w:id="27" w:name="_Toc93478150"/>
      <w:r w:rsidRPr="00ED6EDE">
        <w:t>Comparator</w:t>
      </w:r>
      <w:bookmarkEnd w:id="26"/>
      <w:bookmarkEnd w:id="27"/>
    </w:p>
    <w:p w14:paraId="67F6CD86" w14:textId="2D75B48D" w:rsidR="00020E37" w:rsidRPr="00ED6EDE" w:rsidRDefault="00020E37" w:rsidP="005D2C4E">
      <w:pPr>
        <w:pStyle w:val="ListParagraph"/>
        <w:widowControl/>
        <w:numPr>
          <w:ilvl w:val="1"/>
          <w:numId w:val="2"/>
        </w:numPr>
        <w:spacing w:after="120"/>
      </w:pPr>
      <w:r w:rsidRPr="00ED6EDE">
        <w:t xml:space="preserve">The submission nominated doxorubicin or paclitaxel as the main comparators. The main arguments provided in support of this nomination were that though there is no standard of care for patients with advanced, recurrent or metastatic endometrial cancer who have progressed on prior systemic platinum-based chemotherapy, these are the most commonly used agents in the second line both overseas and in Australia. </w:t>
      </w:r>
      <w:r w:rsidR="00710036" w:rsidRPr="00ED6EDE">
        <w:rPr>
          <w:iCs/>
        </w:rPr>
        <w:t>This was likely reasonable though no evidence was provided to support the claim regarding the prevalence of usage in Australia</w:t>
      </w:r>
      <w:r w:rsidR="00936C85" w:rsidRPr="00ED6EDE">
        <w:rPr>
          <w:iCs/>
        </w:rPr>
        <w:t>.</w:t>
      </w:r>
      <w:r w:rsidR="00AC2E84" w:rsidRPr="00ED6EDE">
        <w:rPr>
          <w:iCs/>
        </w:rPr>
        <w:t xml:space="preserve"> </w:t>
      </w:r>
    </w:p>
    <w:p w14:paraId="02376F3E" w14:textId="216935FE" w:rsidR="00020E37" w:rsidRPr="00ED6EDE" w:rsidRDefault="00020E37" w:rsidP="005D2C4E">
      <w:pPr>
        <w:pStyle w:val="ListParagraph"/>
        <w:widowControl/>
        <w:numPr>
          <w:ilvl w:val="1"/>
          <w:numId w:val="2"/>
        </w:numPr>
        <w:spacing w:after="120"/>
      </w:pPr>
      <w:r w:rsidRPr="00ED6EDE">
        <w:t xml:space="preserve">The submission noted that in rare cases, a patient who has had a long interval between the completion of systemic treatment and progression may be prescribed a rechallenge with carboplatin plus paclitaxel. The submission considered this does not occur frequently, as most patients progress rapidly. </w:t>
      </w:r>
      <w:r w:rsidR="00AE0E40" w:rsidRPr="00ED6EDE">
        <w:rPr>
          <w:iCs/>
        </w:rPr>
        <w:t xml:space="preserve">It should be acknowledged that hormonal therapies may also be used in the second line setting particularly in patients with positive estrogen receptors, though the response </w:t>
      </w:r>
      <w:r w:rsidR="00F8743D" w:rsidRPr="00ED6EDE">
        <w:rPr>
          <w:iCs/>
        </w:rPr>
        <w:t>i</w:t>
      </w:r>
      <w:r w:rsidR="00AE0E40" w:rsidRPr="00ED6EDE">
        <w:rPr>
          <w:iCs/>
        </w:rPr>
        <w:t xml:space="preserve">s modest. </w:t>
      </w:r>
      <w:r w:rsidR="00AE0E40" w:rsidRPr="00ED6EDE">
        <w:rPr>
          <w:rStyle w:val="FootnoteReference"/>
          <w:iCs/>
        </w:rPr>
        <w:footnoteReference w:id="3"/>
      </w:r>
      <w:r w:rsidR="00AE0E40" w:rsidRPr="00ED6EDE">
        <w:t xml:space="preserve">  </w:t>
      </w:r>
    </w:p>
    <w:p w14:paraId="23B33DAB" w14:textId="16C5DAC8" w:rsidR="00020E37" w:rsidRDefault="00020E37" w:rsidP="005D2C4E">
      <w:pPr>
        <w:pStyle w:val="ListParagraph"/>
        <w:widowControl/>
        <w:numPr>
          <w:ilvl w:val="1"/>
          <w:numId w:val="2"/>
        </w:numPr>
        <w:spacing w:after="120"/>
      </w:pPr>
      <w:r w:rsidRPr="00ED6EDE">
        <w:t xml:space="preserve">The submission also nominated dostarlimab, a PD-1 inhibitor, as a potential near </w:t>
      </w:r>
      <w:r w:rsidR="00186865">
        <w:t xml:space="preserve">market </w:t>
      </w:r>
      <w:r w:rsidRPr="00ED6EDE">
        <w:t>comparator in the dMMR subgroup of the target population</w:t>
      </w:r>
      <w:r w:rsidR="000A4E7D" w:rsidRPr="00ED6EDE">
        <w:t>.</w:t>
      </w:r>
    </w:p>
    <w:p w14:paraId="6307A652" w14:textId="77777777" w:rsidR="00ED6EDE" w:rsidRPr="00ED6EDE" w:rsidRDefault="00ED6EDE" w:rsidP="00ED6EDE">
      <w:pPr>
        <w:pStyle w:val="ListParagraph"/>
        <w:widowControl/>
        <w:tabs>
          <w:tab w:val="center" w:pos="4153"/>
          <w:tab w:val="right" w:pos="8306"/>
        </w:tabs>
        <w:autoSpaceDE w:val="0"/>
        <w:autoSpaceDN w:val="0"/>
        <w:adjustRightInd w:val="0"/>
        <w:spacing w:after="120"/>
        <w:rPr>
          <w:i/>
        </w:rPr>
      </w:pPr>
      <w:r w:rsidRPr="00ED6EDE">
        <w:rPr>
          <w:i/>
        </w:rPr>
        <w:t>For more detail on PBAC’s view, see section 7 PBAC outcome.</w:t>
      </w:r>
    </w:p>
    <w:p w14:paraId="4B0960CE" w14:textId="77777777" w:rsidR="000C5E2C" w:rsidRPr="00ED6EDE" w:rsidRDefault="000C5E2C" w:rsidP="00476B8F">
      <w:pPr>
        <w:pStyle w:val="PBACHeading1"/>
        <w:numPr>
          <w:ilvl w:val="0"/>
          <w:numId w:val="2"/>
        </w:numPr>
        <w:outlineLvl w:val="0"/>
      </w:pPr>
      <w:bookmarkStart w:id="28" w:name="_Toc93478151"/>
      <w:r w:rsidRPr="00ED6EDE">
        <w:t>Consideration of the evidence</w:t>
      </w:r>
      <w:bookmarkEnd w:id="28"/>
    </w:p>
    <w:p w14:paraId="137F7496" w14:textId="0F216502" w:rsidR="00020E37" w:rsidRDefault="00020E37" w:rsidP="00020E37"/>
    <w:p w14:paraId="670E2CFC" w14:textId="77777777" w:rsidR="00ED6EDE" w:rsidRPr="00676C6D" w:rsidRDefault="00ED6EDE" w:rsidP="00676C6D">
      <w:pPr>
        <w:pStyle w:val="Heading2"/>
      </w:pPr>
      <w:r w:rsidRPr="00676C6D">
        <w:t>Sponsor hearing</w:t>
      </w:r>
    </w:p>
    <w:p w14:paraId="0970F9DE" w14:textId="618E5362" w:rsidR="002B1B97" w:rsidRPr="002B1B97" w:rsidRDefault="00ED6EDE" w:rsidP="00D22BFA">
      <w:pPr>
        <w:pStyle w:val="ListParagraph"/>
        <w:widowControl/>
        <w:numPr>
          <w:ilvl w:val="1"/>
          <w:numId w:val="2"/>
        </w:numPr>
        <w:spacing w:after="120"/>
      </w:pPr>
      <w:r w:rsidRPr="00ED6EDE">
        <w:t>The sponsor requested a hearing for this item</w:t>
      </w:r>
      <w:r w:rsidRPr="00875532">
        <w:t xml:space="preserve">. The clinician </w:t>
      </w:r>
      <w:r w:rsidR="00BB34D2" w:rsidRPr="00875532">
        <w:t xml:space="preserve">discussed the </w:t>
      </w:r>
      <w:r w:rsidR="0061405C" w:rsidRPr="00875532">
        <w:t xml:space="preserve">current </w:t>
      </w:r>
      <w:r w:rsidR="00BB34D2" w:rsidRPr="00875532">
        <w:t xml:space="preserve">lack of options for patients </w:t>
      </w:r>
      <w:r w:rsidR="0061405C" w:rsidRPr="00875532">
        <w:t xml:space="preserve">who have progressed </w:t>
      </w:r>
      <w:r w:rsidR="00BB34D2" w:rsidRPr="00875532">
        <w:t>after first-line therapy</w:t>
      </w:r>
      <w:r w:rsidR="002B1B97" w:rsidRPr="00875532">
        <w:t>,</w:t>
      </w:r>
      <w:r w:rsidR="0061405C" w:rsidRPr="00875532">
        <w:t xml:space="preserve"> with immunotherapies being the f</w:t>
      </w:r>
      <w:r w:rsidR="00BB34D2" w:rsidRPr="00875532">
        <w:t xml:space="preserve">irst major advance </w:t>
      </w:r>
      <w:r w:rsidR="00875532">
        <w:t>in</w:t>
      </w:r>
      <w:r w:rsidR="00BB34D2" w:rsidRPr="00875532">
        <w:t xml:space="preserve"> </w:t>
      </w:r>
      <w:r w:rsidR="0061405C" w:rsidRPr="00875532">
        <w:t xml:space="preserve">endometrial cancer </w:t>
      </w:r>
      <w:r w:rsidR="00D36674">
        <w:t xml:space="preserve">treatment </w:t>
      </w:r>
      <w:r w:rsidR="00875532">
        <w:t xml:space="preserve">for </w:t>
      </w:r>
      <w:r w:rsidR="0061405C" w:rsidRPr="00875532">
        <w:t xml:space="preserve">decades. The </w:t>
      </w:r>
      <w:r w:rsidR="00875532">
        <w:t>clinician discussed</w:t>
      </w:r>
      <w:r w:rsidR="0061405C" w:rsidRPr="00875532">
        <w:t xml:space="preserve"> the be</w:t>
      </w:r>
      <w:r w:rsidR="00BB34D2" w:rsidRPr="00875532">
        <w:t>nefit</w:t>
      </w:r>
      <w:r w:rsidR="0061405C" w:rsidRPr="00875532">
        <w:t xml:space="preserve">s of pembrolizumab </w:t>
      </w:r>
      <w:r w:rsidR="00BB34D2" w:rsidRPr="00875532">
        <w:t>mono</w:t>
      </w:r>
      <w:r w:rsidR="0061405C" w:rsidRPr="00875532">
        <w:t>therapy</w:t>
      </w:r>
      <w:r w:rsidR="00BB34D2" w:rsidRPr="00875532">
        <w:t xml:space="preserve"> in</w:t>
      </w:r>
      <w:r w:rsidR="0061405C" w:rsidRPr="00875532">
        <w:t xml:space="preserve"> </w:t>
      </w:r>
      <w:r w:rsidR="00BB34D2" w:rsidRPr="00875532">
        <w:t xml:space="preserve">dMMR </w:t>
      </w:r>
      <w:r w:rsidR="00875532">
        <w:t xml:space="preserve">patients </w:t>
      </w:r>
      <w:r w:rsidR="00A02777" w:rsidRPr="00875532">
        <w:t>including the long median duration of response observed</w:t>
      </w:r>
      <w:r w:rsidR="00A02777">
        <w:t xml:space="preserve"> in the single-arm </w:t>
      </w:r>
      <w:r w:rsidR="00875532">
        <w:t xml:space="preserve">KN158 </w:t>
      </w:r>
      <w:r w:rsidR="00A02777">
        <w:t>study.</w:t>
      </w:r>
      <w:r w:rsidR="00875532" w:rsidRPr="00875532">
        <w:t xml:space="preserve"> </w:t>
      </w:r>
      <w:r w:rsidR="00875532">
        <w:t xml:space="preserve">The presenter also outlined the results of the KN775 combination therapy trial and discussed </w:t>
      </w:r>
      <w:r w:rsidR="00875532" w:rsidRPr="00875532">
        <w:t>that clinicians are able to manage lenvatinib toxicity</w:t>
      </w:r>
      <w:r w:rsidR="00875532">
        <w:t>.</w:t>
      </w:r>
    </w:p>
    <w:p w14:paraId="41FB73D3" w14:textId="77777777" w:rsidR="00ED6EDE" w:rsidRPr="00A02777" w:rsidRDefault="00ED6EDE" w:rsidP="00D6101F">
      <w:pPr>
        <w:pStyle w:val="Heading2"/>
      </w:pPr>
      <w:r w:rsidRPr="00A02777">
        <w:t>Consumer comments</w:t>
      </w:r>
    </w:p>
    <w:p w14:paraId="6697427D" w14:textId="5D71ABA5" w:rsidR="00ED6EDE" w:rsidRPr="00A02777" w:rsidRDefault="00ED6EDE" w:rsidP="00ED6EDE">
      <w:pPr>
        <w:pStyle w:val="ListParagraph"/>
        <w:widowControl/>
        <w:numPr>
          <w:ilvl w:val="1"/>
          <w:numId w:val="2"/>
        </w:numPr>
        <w:spacing w:after="120"/>
      </w:pPr>
      <w:r w:rsidRPr="00A02777">
        <w:t>The PBAC noted and welcomed the input from health care professionals (</w:t>
      </w:r>
      <w:r w:rsidR="00676C6D" w:rsidRPr="00A02777">
        <w:t>3</w:t>
      </w:r>
      <w:r w:rsidRPr="00A02777">
        <w:t>) and organisations (</w:t>
      </w:r>
      <w:r w:rsidR="00A02777" w:rsidRPr="00A02777">
        <w:t>2</w:t>
      </w:r>
      <w:r w:rsidRPr="00A02777">
        <w:t xml:space="preserve">) via the Consumer Comments facility on the PBS website. </w:t>
      </w:r>
      <w:r w:rsidR="00A02777" w:rsidRPr="00A02777">
        <w:t xml:space="preserve">The comments outlined the high unmet need for effective therapies to treat this condition, and the statistically significant and clinically meaningful gain in OS observed in the KN775 trial. </w:t>
      </w:r>
      <w:r w:rsidR="00875532">
        <w:t>One health care professional</w:t>
      </w:r>
      <w:r w:rsidR="00A02777" w:rsidRPr="00A02777">
        <w:t xml:space="preserve"> outlined that it is standard practice for </w:t>
      </w:r>
      <w:r w:rsidR="00875532">
        <w:t>clinicians</w:t>
      </w:r>
      <w:r w:rsidR="00A02777" w:rsidRPr="00A02777">
        <w:t xml:space="preserve"> to </w:t>
      </w:r>
      <w:r w:rsidR="00A02777">
        <w:t>make decisions based on t</w:t>
      </w:r>
      <w:r w:rsidR="00A02777" w:rsidRPr="00A02777">
        <w:t xml:space="preserve">he benefits versus risks of treatment, </w:t>
      </w:r>
      <w:r w:rsidR="00875532">
        <w:t>further</w:t>
      </w:r>
      <w:r w:rsidR="00A02777" w:rsidRPr="00A02777">
        <w:t xml:space="preserve"> stating that </w:t>
      </w:r>
      <w:r w:rsidR="00875532">
        <w:t xml:space="preserve">they considered </w:t>
      </w:r>
      <w:r w:rsidR="00A02777" w:rsidRPr="00A02777">
        <w:t xml:space="preserve">it </w:t>
      </w:r>
      <w:r w:rsidR="00875532">
        <w:t>to be</w:t>
      </w:r>
      <w:r w:rsidR="00A02777" w:rsidRPr="00A02777">
        <w:t xml:space="preserve"> important </w:t>
      </w:r>
      <w:r w:rsidR="00875532">
        <w:t xml:space="preserve">for </w:t>
      </w:r>
      <w:r w:rsidR="00A02777" w:rsidRPr="00A02777">
        <w:t>patients with dMMR endometrial cancer to have the option of either combination or monotherapy.</w:t>
      </w:r>
    </w:p>
    <w:p w14:paraId="6C7EC964" w14:textId="221869C5" w:rsidR="00ED6EDE" w:rsidRPr="00ED6EDE" w:rsidRDefault="00ED6EDE" w:rsidP="00D22BFA">
      <w:pPr>
        <w:pStyle w:val="ListParagraph"/>
        <w:widowControl/>
        <w:numPr>
          <w:ilvl w:val="1"/>
          <w:numId w:val="2"/>
        </w:numPr>
        <w:spacing w:after="120"/>
      </w:pPr>
      <w:r w:rsidRPr="00ED6EDE">
        <w:t>The Medical Oncology Group of Australia (MOGA) also expressed i</w:t>
      </w:r>
      <w:r w:rsidR="002B1B97">
        <w:t>ts strong support for this</w:t>
      </w:r>
      <w:r w:rsidRPr="00ED6EDE">
        <w:t xml:space="preserve"> submission, categorising it as one of the therapies of “highest priority for PBS listing” on the basis of the </w:t>
      </w:r>
      <w:r w:rsidR="00875532">
        <w:t>KN</w:t>
      </w:r>
      <w:r w:rsidR="002B1B97">
        <w:t>775 and KN158 studies.</w:t>
      </w:r>
      <w:r w:rsidRPr="00ED6EDE">
        <w:t xml:space="preserve"> The PBAC noted that the MOGA presented a European Society for Medical Oncology Magnitude of Clinical Benefit Scale (ESMO-MCBS) for </w:t>
      </w:r>
      <w:r w:rsidR="002B1B97">
        <w:t>pembrolizumab plus lenvatinib combination therapy</w:t>
      </w:r>
      <w:r w:rsidRPr="00ED6EDE">
        <w:t xml:space="preserve">, which was limited to </w:t>
      </w:r>
      <w:r w:rsidR="002B1B97">
        <w:t>4</w:t>
      </w:r>
      <w:r w:rsidRPr="00ED6EDE">
        <w:t xml:space="preserve"> (out of a maximum of 5, where 5 and 4 represent the grade</w:t>
      </w:r>
      <w:r w:rsidR="002B1B97">
        <w:t>s with substantial improvement)</w:t>
      </w:r>
      <w:r w:rsidRPr="00ED6EDE">
        <w:t xml:space="preserve"> based on a comparison with </w:t>
      </w:r>
      <w:r w:rsidR="002B1B97">
        <w:t>chemotherapy; and, for pembrolizumab monotherapy, was limited to 3 based on a single-arm study.</w:t>
      </w:r>
      <w:r w:rsidR="002B1B97">
        <w:rPr>
          <w:rStyle w:val="FootnoteReference"/>
        </w:rPr>
        <w:footnoteReference w:id="4"/>
      </w:r>
      <w:r w:rsidR="002B1B97">
        <w:t xml:space="preserve">  </w:t>
      </w:r>
      <w:r w:rsidRPr="00ED6EDE">
        <w:t>·</w:t>
      </w:r>
    </w:p>
    <w:p w14:paraId="1BA85EEF" w14:textId="5B70FD8B" w:rsidR="00020E37" w:rsidRPr="00ED6EDE" w:rsidRDefault="00020E37" w:rsidP="00020E37">
      <w:pPr>
        <w:pStyle w:val="Heading2"/>
      </w:pPr>
      <w:bookmarkStart w:id="29" w:name="_Toc93478152"/>
      <w:r w:rsidRPr="00ED6EDE">
        <w:t>Clinical trials</w:t>
      </w:r>
      <w:r w:rsidR="00786F54" w:rsidRPr="00ED6EDE">
        <w:t xml:space="preserve"> and studies</w:t>
      </w:r>
      <w:bookmarkEnd w:id="29"/>
    </w:p>
    <w:p w14:paraId="254EB265" w14:textId="77777777" w:rsidR="00020E37" w:rsidRPr="00ED6EDE" w:rsidRDefault="00020E37" w:rsidP="00020E37"/>
    <w:p w14:paraId="571E8FAD" w14:textId="6EC3ED4F" w:rsidR="00020E37" w:rsidRPr="00ED6EDE" w:rsidRDefault="00020E37" w:rsidP="005D2C4E">
      <w:pPr>
        <w:pStyle w:val="ListParagraph"/>
        <w:widowControl/>
        <w:numPr>
          <w:ilvl w:val="1"/>
          <w:numId w:val="2"/>
        </w:numPr>
        <w:spacing w:after="120"/>
      </w:pPr>
      <w:r w:rsidRPr="00ED6EDE">
        <w:t>The submission was based on one randomised controlled trial comparing pembrolizumab plus lenvatinib to placebo (</w:t>
      </w:r>
      <w:r w:rsidR="006B6889" w:rsidRPr="00ED6EDE">
        <w:t xml:space="preserve">Keynote-775, referred to as </w:t>
      </w:r>
      <w:r w:rsidRPr="00ED6EDE">
        <w:t>KN775; N = 827) and single arm studies of pembrolizumab plus lenvatinib (KN146; N</w:t>
      </w:r>
      <w:r w:rsidR="00710A90" w:rsidRPr="00ED6EDE">
        <w:t> </w:t>
      </w:r>
      <w:r w:rsidRPr="00ED6EDE">
        <w:t xml:space="preserve">=124), pembrolizumab monotherapy (KN158; N=90) and lenvatinib monotherapy (E-204; N=133). </w:t>
      </w:r>
    </w:p>
    <w:p w14:paraId="636B8D00" w14:textId="1F1F7255" w:rsidR="00020E37" w:rsidRPr="00ED6EDE" w:rsidRDefault="00020E37" w:rsidP="00A062E7">
      <w:pPr>
        <w:pStyle w:val="ListParagraph"/>
        <w:widowControl/>
        <w:numPr>
          <w:ilvl w:val="1"/>
          <w:numId w:val="2"/>
        </w:numPr>
      </w:pPr>
      <w:r w:rsidRPr="00ED6EDE">
        <w:rPr>
          <w:rFonts w:cs="Calibri"/>
          <w:snapToGrid/>
          <w:szCs w:val="24"/>
          <w:lang w:eastAsia="en-AU"/>
        </w:rPr>
        <w:t xml:space="preserve">Details of the trials </w:t>
      </w:r>
      <w:r w:rsidR="00786F54" w:rsidRPr="00ED6EDE">
        <w:rPr>
          <w:rFonts w:cs="Calibri"/>
          <w:snapToGrid/>
          <w:szCs w:val="24"/>
          <w:lang w:eastAsia="en-AU"/>
        </w:rPr>
        <w:t xml:space="preserve">and studies </w:t>
      </w:r>
      <w:r w:rsidRPr="00ED6EDE">
        <w:rPr>
          <w:rFonts w:cs="Calibri"/>
          <w:snapToGrid/>
          <w:szCs w:val="24"/>
          <w:lang w:eastAsia="en-AU"/>
        </w:rPr>
        <w:t xml:space="preserve">presented in the submission are provided in the table below.  </w:t>
      </w:r>
    </w:p>
    <w:p w14:paraId="300D2E6A" w14:textId="15249892" w:rsidR="00020E37" w:rsidRPr="00ED6EDE" w:rsidRDefault="00020E37" w:rsidP="005D2C4E">
      <w:pPr>
        <w:keepNext/>
        <w:keepLines/>
        <w:rPr>
          <w:rFonts w:ascii="Arial Narrow" w:hAnsi="Arial Narrow"/>
          <w:b/>
          <w:sz w:val="20"/>
          <w:szCs w:val="16"/>
        </w:rPr>
      </w:pPr>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2</w:t>
      </w:r>
      <w:r w:rsidRPr="00ED6EDE">
        <w:rPr>
          <w:rStyle w:val="CommentReference"/>
        </w:rPr>
        <w:fldChar w:fldCharType="end"/>
      </w:r>
      <w:r w:rsidRPr="00ED6EDE">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020E37" w:rsidRPr="00ED6EDE" w14:paraId="132AC905" w14:textId="77777777" w:rsidTr="00A06CDF">
        <w:trPr>
          <w:cantSplit/>
          <w:tblHeader/>
        </w:trPr>
        <w:tc>
          <w:tcPr>
            <w:tcW w:w="796" w:type="pct"/>
            <w:vAlign w:val="center"/>
          </w:tcPr>
          <w:p w14:paraId="04BA6430" w14:textId="77777777" w:rsidR="00020E37" w:rsidRPr="00ED6EDE" w:rsidRDefault="00020E37" w:rsidP="005D2C4E">
            <w:pPr>
              <w:pStyle w:val="Tabletext"/>
              <w:keepNext/>
              <w:keepLines/>
              <w:rPr>
                <w:b/>
              </w:rPr>
            </w:pPr>
            <w:r w:rsidRPr="00ED6EDE">
              <w:rPr>
                <w:b/>
              </w:rPr>
              <w:t>Trial ID</w:t>
            </w:r>
          </w:p>
        </w:tc>
        <w:tc>
          <w:tcPr>
            <w:tcW w:w="3027" w:type="pct"/>
            <w:vAlign w:val="center"/>
          </w:tcPr>
          <w:p w14:paraId="7DA24A71" w14:textId="77777777" w:rsidR="00020E37" w:rsidRPr="00ED6EDE" w:rsidRDefault="00020E37" w:rsidP="005D2C4E">
            <w:pPr>
              <w:pStyle w:val="Tabletext"/>
              <w:keepNext/>
              <w:keepLines/>
              <w:jc w:val="center"/>
              <w:rPr>
                <w:b/>
              </w:rPr>
            </w:pPr>
            <w:r w:rsidRPr="00ED6EDE">
              <w:rPr>
                <w:b/>
              </w:rPr>
              <w:t>Protocol title/ Publication title</w:t>
            </w:r>
          </w:p>
        </w:tc>
        <w:tc>
          <w:tcPr>
            <w:tcW w:w="1177" w:type="pct"/>
            <w:vAlign w:val="center"/>
          </w:tcPr>
          <w:p w14:paraId="560EDC6B" w14:textId="77777777" w:rsidR="00020E37" w:rsidRPr="00ED6EDE" w:rsidRDefault="00020E37" w:rsidP="005D2C4E">
            <w:pPr>
              <w:pStyle w:val="Tabletext"/>
              <w:keepNext/>
              <w:keepLines/>
              <w:jc w:val="center"/>
              <w:rPr>
                <w:b/>
              </w:rPr>
            </w:pPr>
            <w:r w:rsidRPr="00ED6EDE">
              <w:rPr>
                <w:b/>
              </w:rPr>
              <w:t>Publication citation</w:t>
            </w:r>
          </w:p>
        </w:tc>
      </w:tr>
      <w:tr w:rsidR="00020E37" w:rsidRPr="00ED6EDE" w14:paraId="49753B1C" w14:textId="77777777" w:rsidTr="00A06CDF">
        <w:trPr>
          <w:cantSplit/>
          <w:tblHeader/>
        </w:trPr>
        <w:tc>
          <w:tcPr>
            <w:tcW w:w="796" w:type="pct"/>
            <w:vAlign w:val="center"/>
          </w:tcPr>
          <w:p w14:paraId="6B6E779E" w14:textId="77777777" w:rsidR="00020E37" w:rsidRPr="00ED6EDE" w:rsidRDefault="00020E37" w:rsidP="005D2C4E">
            <w:pPr>
              <w:pStyle w:val="Tabletext"/>
              <w:keepNext/>
              <w:keepLines/>
              <w:rPr>
                <w:b/>
              </w:rPr>
            </w:pPr>
            <w:r w:rsidRPr="00ED6EDE">
              <w:rPr>
                <w:b/>
              </w:rPr>
              <w:t>Pembrolizumab Plus lenvatinib</w:t>
            </w:r>
          </w:p>
        </w:tc>
        <w:tc>
          <w:tcPr>
            <w:tcW w:w="3027" w:type="pct"/>
            <w:vAlign w:val="center"/>
          </w:tcPr>
          <w:p w14:paraId="07EFC816" w14:textId="77777777" w:rsidR="00020E37" w:rsidRPr="00ED6EDE" w:rsidRDefault="00020E37" w:rsidP="005D2C4E">
            <w:pPr>
              <w:pStyle w:val="Tabletext"/>
              <w:keepNext/>
              <w:keepLines/>
              <w:jc w:val="center"/>
              <w:rPr>
                <w:b/>
              </w:rPr>
            </w:pPr>
          </w:p>
        </w:tc>
        <w:tc>
          <w:tcPr>
            <w:tcW w:w="1177" w:type="pct"/>
            <w:vAlign w:val="center"/>
          </w:tcPr>
          <w:p w14:paraId="14DBA5D3" w14:textId="77777777" w:rsidR="00020E37" w:rsidRPr="00ED6EDE" w:rsidRDefault="00020E37" w:rsidP="005D2C4E">
            <w:pPr>
              <w:pStyle w:val="Tabletext"/>
              <w:keepNext/>
              <w:keepLines/>
              <w:jc w:val="center"/>
              <w:rPr>
                <w:b/>
              </w:rPr>
            </w:pPr>
          </w:p>
        </w:tc>
      </w:tr>
      <w:tr w:rsidR="00020E37" w:rsidRPr="00ED6EDE" w14:paraId="0E785F29" w14:textId="77777777" w:rsidTr="00A06CDF">
        <w:trPr>
          <w:cantSplit/>
        </w:trPr>
        <w:tc>
          <w:tcPr>
            <w:tcW w:w="796" w:type="pct"/>
            <w:tcBorders>
              <w:bottom w:val="nil"/>
            </w:tcBorders>
            <w:vAlign w:val="center"/>
          </w:tcPr>
          <w:p w14:paraId="31698880" w14:textId="77777777" w:rsidR="00020E37" w:rsidRPr="00ED6EDE" w:rsidRDefault="00020E37" w:rsidP="005D2C4E">
            <w:pPr>
              <w:pStyle w:val="Tabletext"/>
              <w:keepNext/>
              <w:keepLines/>
              <w:rPr>
                <w:rFonts w:ascii="Times" w:hAnsi="Times"/>
              </w:rPr>
            </w:pPr>
          </w:p>
        </w:tc>
        <w:tc>
          <w:tcPr>
            <w:tcW w:w="3027" w:type="pct"/>
            <w:tcBorders>
              <w:bottom w:val="nil"/>
            </w:tcBorders>
            <w:vAlign w:val="center"/>
          </w:tcPr>
          <w:p w14:paraId="38A65C7C" w14:textId="77777777" w:rsidR="00020E37" w:rsidRPr="00ED6EDE" w:rsidRDefault="00020E37" w:rsidP="005D2C4E">
            <w:pPr>
              <w:pStyle w:val="Tabletext"/>
              <w:keepNext/>
              <w:keepLines/>
              <w:rPr>
                <w:szCs w:val="18"/>
              </w:rPr>
            </w:pPr>
            <w:r w:rsidRPr="00ED6EDE">
              <w:rPr>
                <w:szCs w:val="18"/>
              </w:rPr>
              <w:t>A Multicenter, Open-label, Randomized, Phase 3 Trial to Compare the Efficacy and Safety of Lenvatinib in Combination with Pembrolizumab Versus Treatment of Physician’s Choice in Participants with Advanced Endometrial Cancer. Clinical Study Report</w:t>
            </w:r>
          </w:p>
        </w:tc>
        <w:tc>
          <w:tcPr>
            <w:tcW w:w="1177" w:type="pct"/>
            <w:tcBorders>
              <w:bottom w:val="nil"/>
            </w:tcBorders>
            <w:vAlign w:val="center"/>
          </w:tcPr>
          <w:p w14:paraId="6136CD8C" w14:textId="77777777" w:rsidR="00020E37" w:rsidRPr="00ED6EDE" w:rsidRDefault="00020E37" w:rsidP="005D2C4E">
            <w:pPr>
              <w:pStyle w:val="Tabletext"/>
              <w:keepNext/>
              <w:keepLines/>
              <w:rPr>
                <w:rFonts w:ascii="Times" w:hAnsi="Times"/>
              </w:rPr>
            </w:pPr>
            <w:r w:rsidRPr="00ED6EDE">
              <w:t>February 2021.</w:t>
            </w:r>
          </w:p>
        </w:tc>
      </w:tr>
      <w:tr w:rsidR="00020E37" w:rsidRPr="00ED6EDE" w14:paraId="3812C7D0" w14:textId="77777777" w:rsidTr="00A06CDF">
        <w:trPr>
          <w:cantSplit/>
        </w:trPr>
        <w:tc>
          <w:tcPr>
            <w:tcW w:w="796" w:type="pct"/>
            <w:tcBorders>
              <w:top w:val="nil"/>
              <w:bottom w:val="nil"/>
            </w:tcBorders>
            <w:vAlign w:val="center"/>
          </w:tcPr>
          <w:p w14:paraId="3AE75F91" w14:textId="77777777" w:rsidR="00020E37" w:rsidRPr="00ED6EDE" w:rsidRDefault="00020E37" w:rsidP="005D2C4E">
            <w:pPr>
              <w:pStyle w:val="Tabletext"/>
              <w:keepNext/>
              <w:keepLines/>
            </w:pPr>
            <w:r w:rsidRPr="00ED6EDE">
              <w:t>Keynote 775 (Study 309)</w:t>
            </w:r>
          </w:p>
        </w:tc>
        <w:tc>
          <w:tcPr>
            <w:tcW w:w="3027" w:type="pct"/>
            <w:tcBorders>
              <w:top w:val="nil"/>
              <w:bottom w:val="nil"/>
            </w:tcBorders>
            <w:vAlign w:val="center"/>
          </w:tcPr>
          <w:p w14:paraId="594A15F1" w14:textId="77777777" w:rsidR="00020E37" w:rsidRPr="00ED6EDE" w:rsidRDefault="00020E37" w:rsidP="005D2C4E">
            <w:pPr>
              <w:pStyle w:val="Tabletext"/>
              <w:keepNext/>
              <w:keepLines/>
              <w:rPr>
                <w:szCs w:val="18"/>
                <w:lang w:eastAsia="en-AU"/>
              </w:rPr>
            </w:pPr>
            <w:proofErr w:type="spellStart"/>
            <w:r w:rsidRPr="00ED6EDE">
              <w:t>V.Makker</w:t>
            </w:r>
            <w:proofErr w:type="spellEnd"/>
            <w:r w:rsidRPr="00ED6EDE">
              <w:t>. et al. A multicenter, open label, randomized, phase 3 study to compare the efficacy and safety of lenvatinib in combination with pembrolizumab vs treatment of physician’s choice in patients with advanced endometrial cancer: Study 309/KEYNOTE 775</w:t>
            </w:r>
          </w:p>
        </w:tc>
        <w:tc>
          <w:tcPr>
            <w:tcW w:w="1177" w:type="pct"/>
            <w:tcBorders>
              <w:top w:val="nil"/>
              <w:bottom w:val="nil"/>
            </w:tcBorders>
            <w:vAlign w:val="center"/>
          </w:tcPr>
          <w:p w14:paraId="0A389758" w14:textId="77777777" w:rsidR="00020E37" w:rsidRPr="00ED6EDE" w:rsidRDefault="00020E37" w:rsidP="005D2C4E">
            <w:pPr>
              <w:pStyle w:val="Tabletext"/>
              <w:keepNext/>
              <w:keepLines/>
              <w:rPr>
                <w:szCs w:val="18"/>
                <w:lang w:eastAsia="en-AU"/>
              </w:rPr>
            </w:pPr>
            <w:r w:rsidRPr="00ED6EDE">
              <w:rPr>
                <w:szCs w:val="18"/>
                <w:lang w:eastAsia="en-AU"/>
              </w:rPr>
              <w:t>Virtual Annual Meeting on Women’s Cancer. SGO 2021 [Abstract]</w:t>
            </w:r>
          </w:p>
        </w:tc>
      </w:tr>
      <w:tr w:rsidR="00020E37" w:rsidRPr="00ED6EDE" w14:paraId="660AD0E4" w14:textId="77777777" w:rsidTr="00A06CDF">
        <w:trPr>
          <w:cantSplit/>
        </w:trPr>
        <w:tc>
          <w:tcPr>
            <w:tcW w:w="796" w:type="pct"/>
            <w:tcBorders>
              <w:top w:val="nil"/>
              <w:bottom w:val="nil"/>
            </w:tcBorders>
            <w:vAlign w:val="center"/>
          </w:tcPr>
          <w:p w14:paraId="43883CEC" w14:textId="77777777" w:rsidR="00020E37" w:rsidRPr="00ED6EDE" w:rsidRDefault="00020E37" w:rsidP="00522D2D">
            <w:pPr>
              <w:pStyle w:val="Tabletext"/>
            </w:pPr>
          </w:p>
        </w:tc>
        <w:tc>
          <w:tcPr>
            <w:tcW w:w="3027" w:type="pct"/>
            <w:tcBorders>
              <w:top w:val="nil"/>
              <w:bottom w:val="nil"/>
            </w:tcBorders>
            <w:vAlign w:val="center"/>
          </w:tcPr>
          <w:p w14:paraId="5C95F2B7" w14:textId="77777777" w:rsidR="00020E37" w:rsidRPr="00ED6EDE" w:rsidRDefault="00020E37" w:rsidP="00522D2D">
            <w:pPr>
              <w:pStyle w:val="Tabletext"/>
              <w:rPr>
                <w:szCs w:val="18"/>
                <w:lang w:eastAsia="en-AU"/>
              </w:rPr>
            </w:pPr>
            <w:r w:rsidRPr="00ED6EDE">
              <w:rPr>
                <w:szCs w:val="18"/>
                <w:lang w:eastAsia="en-AU"/>
              </w:rPr>
              <w:t xml:space="preserve">Colombo N, et al. Outcomes by Histology and Prior Therapy with Lenvatinib plus Pembrolizumab vs Treatment of Physician’s Choice in Patients with Advanced Endometrial Cancer (Study 309/ KEYNOTE-775).  </w:t>
            </w:r>
          </w:p>
        </w:tc>
        <w:tc>
          <w:tcPr>
            <w:tcW w:w="1177" w:type="pct"/>
            <w:tcBorders>
              <w:top w:val="nil"/>
              <w:bottom w:val="nil"/>
            </w:tcBorders>
            <w:vAlign w:val="center"/>
          </w:tcPr>
          <w:p w14:paraId="7F8D2D2B" w14:textId="77777777" w:rsidR="00020E37" w:rsidRPr="00ED6EDE" w:rsidRDefault="00020E37" w:rsidP="00522D2D">
            <w:pPr>
              <w:pStyle w:val="Tabletext"/>
              <w:rPr>
                <w:iCs/>
                <w:szCs w:val="18"/>
                <w:lang w:eastAsia="en-AU"/>
              </w:rPr>
            </w:pPr>
            <w:r w:rsidRPr="00ED6EDE">
              <w:rPr>
                <w:iCs/>
              </w:rPr>
              <w:t>ESMO 2021 [Abstract]</w:t>
            </w:r>
          </w:p>
        </w:tc>
      </w:tr>
      <w:tr w:rsidR="00020E37" w:rsidRPr="00ED6EDE" w14:paraId="6B82EED9" w14:textId="77777777" w:rsidTr="00A06CDF">
        <w:trPr>
          <w:cantSplit/>
        </w:trPr>
        <w:tc>
          <w:tcPr>
            <w:tcW w:w="796" w:type="pct"/>
            <w:tcBorders>
              <w:bottom w:val="nil"/>
            </w:tcBorders>
            <w:vAlign w:val="center"/>
          </w:tcPr>
          <w:p w14:paraId="47FCA7D9" w14:textId="77777777" w:rsidR="00020E37" w:rsidRPr="00ED6EDE" w:rsidRDefault="00020E37" w:rsidP="00522D2D">
            <w:pPr>
              <w:pStyle w:val="Tabletext"/>
              <w:rPr>
                <w:rFonts w:ascii="Times" w:hAnsi="Times"/>
              </w:rPr>
            </w:pPr>
          </w:p>
        </w:tc>
        <w:tc>
          <w:tcPr>
            <w:tcW w:w="3027" w:type="pct"/>
            <w:tcBorders>
              <w:bottom w:val="nil"/>
            </w:tcBorders>
            <w:vAlign w:val="center"/>
          </w:tcPr>
          <w:p w14:paraId="42C014B0" w14:textId="75B4291C" w:rsidR="00020E37" w:rsidRPr="00ED6EDE" w:rsidRDefault="00020E37" w:rsidP="00522D2D">
            <w:pPr>
              <w:pStyle w:val="Tabletext"/>
            </w:pPr>
            <w:r w:rsidRPr="00ED6EDE">
              <w:t xml:space="preserve">A Multicenter, Open-Label Phase 1b/2 Trial of Lenvatinib (E7080) Plus Pembrolizumab in Subjects With Selected Solid </w:t>
            </w:r>
            <w:proofErr w:type="spellStart"/>
            <w:r w:rsidRPr="00ED6EDE">
              <w:t>Tumors</w:t>
            </w:r>
            <w:proofErr w:type="spellEnd"/>
            <w:r w:rsidRPr="00ED6EDE">
              <w:t xml:space="preserve">. </w:t>
            </w:r>
            <w:r w:rsidR="007D348A" w:rsidRPr="00ED6EDE">
              <w:t>Clinical</w:t>
            </w:r>
            <w:r w:rsidRPr="00ED6EDE">
              <w:t xml:space="preserve"> study report.</w:t>
            </w:r>
          </w:p>
        </w:tc>
        <w:tc>
          <w:tcPr>
            <w:tcW w:w="1177" w:type="pct"/>
            <w:tcBorders>
              <w:bottom w:val="nil"/>
            </w:tcBorders>
            <w:vAlign w:val="center"/>
          </w:tcPr>
          <w:p w14:paraId="5DE66A25" w14:textId="77777777" w:rsidR="00020E37" w:rsidRPr="00ED6EDE" w:rsidRDefault="00020E37" w:rsidP="00522D2D">
            <w:pPr>
              <w:pStyle w:val="Tabletext"/>
            </w:pPr>
            <w:r w:rsidRPr="00ED6EDE">
              <w:t>Date not provided.</w:t>
            </w:r>
          </w:p>
        </w:tc>
      </w:tr>
      <w:tr w:rsidR="00020E37" w:rsidRPr="00ED6EDE" w14:paraId="69FC7AA3" w14:textId="77777777" w:rsidTr="00A06CDF">
        <w:trPr>
          <w:cantSplit/>
        </w:trPr>
        <w:tc>
          <w:tcPr>
            <w:tcW w:w="796" w:type="pct"/>
            <w:tcBorders>
              <w:top w:val="nil"/>
              <w:bottom w:val="nil"/>
            </w:tcBorders>
            <w:vAlign w:val="center"/>
          </w:tcPr>
          <w:p w14:paraId="1911D9C5" w14:textId="77777777" w:rsidR="00020E37" w:rsidRPr="00ED6EDE" w:rsidRDefault="00020E37" w:rsidP="00522D2D">
            <w:pPr>
              <w:pStyle w:val="Tabletext"/>
            </w:pPr>
            <w:r w:rsidRPr="00ED6EDE">
              <w:t>Keynote 146 (E7080; A001-111)</w:t>
            </w:r>
          </w:p>
        </w:tc>
        <w:tc>
          <w:tcPr>
            <w:tcW w:w="3027" w:type="pct"/>
            <w:tcBorders>
              <w:top w:val="nil"/>
              <w:bottom w:val="nil"/>
            </w:tcBorders>
            <w:vAlign w:val="center"/>
          </w:tcPr>
          <w:p w14:paraId="5CDC1370" w14:textId="77777777" w:rsidR="00020E37" w:rsidRPr="00ED6EDE" w:rsidRDefault="00020E37" w:rsidP="00522D2D">
            <w:pPr>
              <w:pStyle w:val="Tabletext"/>
              <w:rPr>
                <w:szCs w:val="18"/>
              </w:rPr>
            </w:pPr>
            <w:r w:rsidRPr="00ED6EDE">
              <w:rPr>
                <w:szCs w:val="18"/>
              </w:rPr>
              <w:t xml:space="preserve">Makker V, Taylor MH, </w:t>
            </w:r>
            <w:proofErr w:type="spellStart"/>
            <w:r w:rsidRPr="00ED6EDE">
              <w:rPr>
                <w:szCs w:val="18"/>
              </w:rPr>
              <w:t>Aghajanian</w:t>
            </w:r>
            <w:proofErr w:type="spellEnd"/>
            <w:r w:rsidRPr="00ED6EDE">
              <w:rPr>
                <w:szCs w:val="18"/>
              </w:rPr>
              <w:t xml:space="preserve"> C, Oaknin A, </w:t>
            </w:r>
            <w:proofErr w:type="spellStart"/>
            <w:r w:rsidRPr="00ED6EDE">
              <w:rPr>
                <w:szCs w:val="18"/>
              </w:rPr>
              <w:t>Mier</w:t>
            </w:r>
            <w:proofErr w:type="spellEnd"/>
            <w:r w:rsidRPr="00ED6EDE">
              <w:rPr>
                <w:szCs w:val="18"/>
              </w:rPr>
              <w:t xml:space="preserve"> J, Cohn AL, Romeo M, </w:t>
            </w:r>
            <w:proofErr w:type="spellStart"/>
            <w:r w:rsidRPr="00ED6EDE">
              <w:rPr>
                <w:szCs w:val="18"/>
              </w:rPr>
              <w:t>Bratos</w:t>
            </w:r>
            <w:proofErr w:type="spellEnd"/>
            <w:r w:rsidRPr="00ED6EDE">
              <w:rPr>
                <w:szCs w:val="18"/>
              </w:rPr>
              <w:t xml:space="preserve"> R, Brose MS, </w:t>
            </w:r>
            <w:proofErr w:type="spellStart"/>
            <w:r w:rsidRPr="00ED6EDE">
              <w:rPr>
                <w:szCs w:val="18"/>
              </w:rPr>
              <w:t>DiSimone</w:t>
            </w:r>
            <w:proofErr w:type="spellEnd"/>
            <w:r w:rsidRPr="00ED6EDE">
              <w:rPr>
                <w:szCs w:val="18"/>
              </w:rPr>
              <w:t xml:space="preserve"> C, Messing M, Stepan DE, </w:t>
            </w:r>
            <w:proofErr w:type="spellStart"/>
            <w:r w:rsidRPr="00ED6EDE">
              <w:rPr>
                <w:szCs w:val="18"/>
              </w:rPr>
              <w:t>Dutcus</w:t>
            </w:r>
            <w:proofErr w:type="spellEnd"/>
            <w:r w:rsidRPr="00ED6EDE">
              <w:rPr>
                <w:szCs w:val="18"/>
              </w:rPr>
              <w:t xml:space="preserve"> CE, Wu J, Schmidt EV, Orlowski R, Sachdev P, Shumaker R, Casado </w:t>
            </w:r>
            <w:proofErr w:type="spellStart"/>
            <w:r w:rsidRPr="00ED6EDE">
              <w:rPr>
                <w:szCs w:val="18"/>
              </w:rPr>
              <w:t>Herraez</w:t>
            </w:r>
            <w:proofErr w:type="spellEnd"/>
            <w:r w:rsidRPr="00ED6EDE">
              <w:rPr>
                <w:szCs w:val="18"/>
              </w:rPr>
              <w:t xml:space="preserve"> A. Lenvatinib Plus Pembrolizumab in Patients With Advanced Endometrial Cancer.</w:t>
            </w:r>
          </w:p>
        </w:tc>
        <w:tc>
          <w:tcPr>
            <w:tcW w:w="1177" w:type="pct"/>
            <w:tcBorders>
              <w:top w:val="nil"/>
              <w:bottom w:val="nil"/>
            </w:tcBorders>
            <w:vAlign w:val="center"/>
          </w:tcPr>
          <w:p w14:paraId="01E2845C" w14:textId="77777777" w:rsidR="00020E37" w:rsidRPr="00ED6EDE" w:rsidRDefault="00020E37" w:rsidP="00522D2D">
            <w:pPr>
              <w:pStyle w:val="Tabletext"/>
            </w:pPr>
            <w:r w:rsidRPr="00ED6EDE">
              <w:t>J Clin Oncol. 2020;38(26):2981-2992</w:t>
            </w:r>
          </w:p>
        </w:tc>
      </w:tr>
      <w:tr w:rsidR="00020E37" w:rsidRPr="00ED6EDE" w14:paraId="74B75EDF" w14:textId="77777777" w:rsidTr="00A06CDF">
        <w:trPr>
          <w:cantSplit/>
        </w:trPr>
        <w:tc>
          <w:tcPr>
            <w:tcW w:w="796" w:type="pct"/>
            <w:tcBorders>
              <w:top w:val="nil"/>
              <w:bottom w:val="nil"/>
            </w:tcBorders>
            <w:vAlign w:val="center"/>
          </w:tcPr>
          <w:p w14:paraId="15F9A86B" w14:textId="77777777" w:rsidR="00020E37" w:rsidRPr="00ED6EDE" w:rsidRDefault="00020E37" w:rsidP="00522D2D">
            <w:pPr>
              <w:pStyle w:val="Tabletext"/>
            </w:pPr>
          </w:p>
        </w:tc>
        <w:tc>
          <w:tcPr>
            <w:tcW w:w="3027" w:type="pct"/>
            <w:tcBorders>
              <w:top w:val="nil"/>
              <w:bottom w:val="nil"/>
            </w:tcBorders>
            <w:vAlign w:val="center"/>
          </w:tcPr>
          <w:p w14:paraId="25BEDC40" w14:textId="77777777" w:rsidR="00020E37" w:rsidRPr="00ED6EDE" w:rsidRDefault="00020E37" w:rsidP="00522D2D">
            <w:pPr>
              <w:pStyle w:val="Tabletext"/>
              <w:rPr>
                <w:szCs w:val="18"/>
              </w:rPr>
            </w:pPr>
            <w:r w:rsidRPr="00ED6EDE">
              <w:t xml:space="preserve">Makker V, </w:t>
            </w:r>
            <w:proofErr w:type="spellStart"/>
            <w:r w:rsidRPr="00ED6EDE">
              <w:t>Rasco</w:t>
            </w:r>
            <w:proofErr w:type="spellEnd"/>
            <w:r w:rsidRPr="00ED6EDE">
              <w:t xml:space="preserve"> DW, </w:t>
            </w:r>
            <w:proofErr w:type="spellStart"/>
            <w:r w:rsidRPr="00ED6EDE">
              <w:t>Vogelzang</w:t>
            </w:r>
            <w:proofErr w:type="spellEnd"/>
            <w:r w:rsidRPr="00ED6EDE">
              <w:t xml:space="preserve"> NJ, et al. Lenvatinib + pembrolizumab in patients with advanced endometrial carcinoma: Updated results.</w:t>
            </w:r>
          </w:p>
        </w:tc>
        <w:tc>
          <w:tcPr>
            <w:tcW w:w="1177" w:type="pct"/>
            <w:tcBorders>
              <w:top w:val="nil"/>
              <w:bottom w:val="nil"/>
            </w:tcBorders>
            <w:vAlign w:val="center"/>
          </w:tcPr>
          <w:p w14:paraId="261452C0" w14:textId="77777777" w:rsidR="00020E37" w:rsidRPr="00ED6EDE" w:rsidRDefault="00020E37" w:rsidP="00522D2D">
            <w:pPr>
              <w:pStyle w:val="Tabletext"/>
            </w:pPr>
            <w:r w:rsidRPr="00ED6EDE">
              <w:t xml:space="preserve">J Clin Oncol, 2018 (suppl; </w:t>
            </w:r>
            <w:proofErr w:type="spellStart"/>
            <w:r w:rsidRPr="00ED6EDE">
              <w:t>abstr</w:t>
            </w:r>
            <w:proofErr w:type="spellEnd"/>
            <w:r w:rsidRPr="00ED6EDE">
              <w:t xml:space="preserve"> 5596). Presented at: 54</w:t>
            </w:r>
            <w:r w:rsidRPr="00ED6EDE">
              <w:rPr>
                <w:vertAlign w:val="superscript"/>
              </w:rPr>
              <w:t>th</w:t>
            </w:r>
            <w:r w:rsidRPr="00ED6EDE">
              <w:t xml:space="preserve"> Annual Meeting of the American Society of Clinical Oncology (ASCO); 2018 Jun 1–5; Chicago, IL. ASCO poster no. 420.</w:t>
            </w:r>
          </w:p>
        </w:tc>
      </w:tr>
      <w:tr w:rsidR="00020E37" w:rsidRPr="00ED6EDE" w14:paraId="165B601A" w14:textId="77777777" w:rsidTr="00A06CDF">
        <w:trPr>
          <w:cantSplit/>
        </w:trPr>
        <w:tc>
          <w:tcPr>
            <w:tcW w:w="796" w:type="pct"/>
            <w:tcBorders>
              <w:top w:val="nil"/>
              <w:bottom w:val="nil"/>
            </w:tcBorders>
            <w:vAlign w:val="center"/>
          </w:tcPr>
          <w:p w14:paraId="39BF8A06" w14:textId="77777777" w:rsidR="00020E37" w:rsidRPr="00ED6EDE" w:rsidRDefault="00020E37" w:rsidP="00522D2D">
            <w:pPr>
              <w:pStyle w:val="Tabletext"/>
            </w:pPr>
          </w:p>
        </w:tc>
        <w:tc>
          <w:tcPr>
            <w:tcW w:w="3027" w:type="pct"/>
            <w:tcBorders>
              <w:top w:val="nil"/>
              <w:bottom w:val="nil"/>
            </w:tcBorders>
            <w:vAlign w:val="center"/>
          </w:tcPr>
          <w:p w14:paraId="041EC926" w14:textId="77777777" w:rsidR="00020E37" w:rsidRPr="00ED6EDE" w:rsidRDefault="00020E37" w:rsidP="00522D2D">
            <w:pPr>
              <w:pStyle w:val="Tabletext"/>
            </w:pPr>
            <w:r w:rsidRPr="00ED6EDE">
              <w:t xml:space="preserve">Makker V, </w:t>
            </w:r>
            <w:proofErr w:type="spellStart"/>
            <w:r w:rsidRPr="00ED6EDE">
              <w:t>Rasco</w:t>
            </w:r>
            <w:proofErr w:type="spellEnd"/>
            <w:r w:rsidRPr="00ED6EDE">
              <w:t xml:space="preserve"> D, </w:t>
            </w:r>
            <w:proofErr w:type="spellStart"/>
            <w:r w:rsidRPr="00ED6EDE">
              <w:t>Dutcus</w:t>
            </w:r>
            <w:proofErr w:type="spellEnd"/>
            <w:r w:rsidRPr="00ED6EDE">
              <w:t xml:space="preserve"> C, et al. A phase 1b/2 trial of lenvatinib (LEN) plus pembrolizumab (Pembro) in patients (Pts) with endometrial carcinoma.</w:t>
            </w:r>
          </w:p>
        </w:tc>
        <w:tc>
          <w:tcPr>
            <w:tcW w:w="1177" w:type="pct"/>
            <w:tcBorders>
              <w:top w:val="nil"/>
              <w:bottom w:val="nil"/>
            </w:tcBorders>
            <w:vAlign w:val="center"/>
          </w:tcPr>
          <w:p w14:paraId="2C17566D" w14:textId="77777777" w:rsidR="00020E37" w:rsidRPr="00ED6EDE" w:rsidRDefault="00020E37" w:rsidP="00522D2D">
            <w:pPr>
              <w:pStyle w:val="Tabletext"/>
            </w:pPr>
            <w:r w:rsidRPr="00ED6EDE">
              <w:t>Presented at: 53</w:t>
            </w:r>
            <w:r w:rsidRPr="00ED6EDE">
              <w:rPr>
                <w:vertAlign w:val="superscript"/>
              </w:rPr>
              <w:t>rd</w:t>
            </w:r>
            <w:r w:rsidRPr="00ED6EDE">
              <w:t xml:space="preserve"> Annual Meeting of the American Society of Clinical Oncology (ASCO); 2017 Jun 2-6; Chicago, IL. ASCO abstract no. 5598, poster no. 420</w:t>
            </w:r>
          </w:p>
        </w:tc>
      </w:tr>
      <w:tr w:rsidR="00020E37" w:rsidRPr="00ED6EDE" w14:paraId="742AF774" w14:textId="77777777" w:rsidTr="00A06CDF">
        <w:trPr>
          <w:cantSplit/>
        </w:trPr>
        <w:tc>
          <w:tcPr>
            <w:tcW w:w="796" w:type="pct"/>
            <w:tcBorders>
              <w:top w:val="nil"/>
              <w:bottom w:val="single" w:sz="4" w:space="0" w:color="auto"/>
            </w:tcBorders>
            <w:vAlign w:val="center"/>
          </w:tcPr>
          <w:p w14:paraId="4A828A61" w14:textId="77777777" w:rsidR="00020E37" w:rsidRPr="00ED6EDE" w:rsidRDefault="00020E37" w:rsidP="00522D2D">
            <w:pPr>
              <w:pStyle w:val="Tabletext"/>
            </w:pPr>
          </w:p>
        </w:tc>
        <w:tc>
          <w:tcPr>
            <w:tcW w:w="3027" w:type="pct"/>
            <w:tcBorders>
              <w:top w:val="nil"/>
              <w:bottom w:val="single" w:sz="4" w:space="0" w:color="auto"/>
            </w:tcBorders>
            <w:vAlign w:val="center"/>
          </w:tcPr>
          <w:p w14:paraId="0D038947" w14:textId="77777777" w:rsidR="00020E37" w:rsidRPr="00ED6EDE" w:rsidRDefault="00020E37" w:rsidP="00522D2D">
            <w:pPr>
              <w:pStyle w:val="Tabletext"/>
            </w:pPr>
            <w:r w:rsidRPr="00ED6EDE">
              <w:t xml:space="preserve">Makker V, </w:t>
            </w:r>
            <w:proofErr w:type="spellStart"/>
            <w:r w:rsidRPr="00ED6EDE">
              <w:t>Rasco</w:t>
            </w:r>
            <w:proofErr w:type="spellEnd"/>
            <w:r w:rsidRPr="00ED6EDE">
              <w:t xml:space="preserve"> D, </w:t>
            </w:r>
            <w:proofErr w:type="spellStart"/>
            <w:r w:rsidRPr="00ED6EDE">
              <w:t>Vogelzang</w:t>
            </w:r>
            <w:proofErr w:type="spellEnd"/>
            <w:r w:rsidRPr="00ED6EDE">
              <w:t xml:space="preserve"> NJ, Brose MS, Cohn AL, </w:t>
            </w:r>
            <w:proofErr w:type="spellStart"/>
            <w:r w:rsidRPr="00ED6EDE">
              <w:t>Mier</w:t>
            </w:r>
            <w:proofErr w:type="spellEnd"/>
            <w:r w:rsidRPr="00ED6EDE">
              <w:t xml:space="preserve"> J, et al. Lenvatinib plus pembrolizumab in patients with advanced endometrial cancer: an interim analysis of a multicentre, open-label, single-arm, phase 2 trial.</w:t>
            </w:r>
          </w:p>
        </w:tc>
        <w:tc>
          <w:tcPr>
            <w:tcW w:w="1177" w:type="pct"/>
            <w:tcBorders>
              <w:top w:val="nil"/>
              <w:bottom w:val="single" w:sz="4" w:space="0" w:color="auto"/>
            </w:tcBorders>
            <w:vAlign w:val="center"/>
          </w:tcPr>
          <w:p w14:paraId="5BB61AB2" w14:textId="77777777" w:rsidR="00020E37" w:rsidRPr="00ED6EDE" w:rsidRDefault="00020E37" w:rsidP="00522D2D">
            <w:pPr>
              <w:pStyle w:val="Tabletext"/>
            </w:pPr>
            <w:r w:rsidRPr="00ED6EDE">
              <w:t>Lancet Oncol. 2019;20(5):711-8.</w:t>
            </w:r>
          </w:p>
        </w:tc>
      </w:tr>
      <w:tr w:rsidR="00020E37" w:rsidRPr="00ED6EDE" w14:paraId="4D394FD9" w14:textId="77777777" w:rsidTr="00A06CDF">
        <w:trPr>
          <w:cantSplit/>
        </w:trPr>
        <w:tc>
          <w:tcPr>
            <w:tcW w:w="796" w:type="pct"/>
            <w:tcBorders>
              <w:top w:val="single" w:sz="4" w:space="0" w:color="auto"/>
              <w:bottom w:val="single" w:sz="4" w:space="0" w:color="auto"/>
            </w:tcBorders>
            <w:vAlign w:val="center"/>
          </w:tcPr>
          <w:p w14:paraId="2F640059" w14:textId="77777777" w:rsidR="00020E37" w:rsidRPr="00ED6EDE" w:rsidRDefault="00020E37" w:rsidP="00522D2D">
            <w:pPr>
              <w:pStyle w:val="Tabletext"/>
            </w:pPr>
          </w:p>
        </w:tc>
        <w:tc>
          <w:tcPr>
            <w:tcW w:w="3027" w:type="pct"/>
            <w:tcBorders>
              <w:top w:val="single" w:sz="4" w:space="0" w:color="auto"/>
              <w:bottom w:val="single" w:sz="4" w:space="0" w:color="auto"/>
            </w:tcBorders>
            <w:vAlign w:val="center"/>
          </w:tcPr>
          <w:p w14:paraId="2A6E1CB1" w14:textId="77777777" w:rsidR="00020E37" w:rsidRPr="00ED6EDE" w:rsidRDefault="00020E37" w:rsidP="00522D2D">
            <w:pPr>
              <w:pStyle w:val="Tabletext"/>
            </w:pPr>
            <w:r w:rsidRPr="00ED6EDE">
              <w:t xml:space="preserve">Taylor M, </w:t>
            </w:r>
            <w:proofErr w:type="spellStart"/>
            <w:r w:rsidRPr="00ED6EDE">
              <w:t>Dutcus</w:t>
            </w:r>
            <w:proofErr w:type="spellEnd"/>
            <w:r w:rsidRPr="00ED6EDE">
              <w:t xml:space="preserve"> CE, Schmidt E, et al. A phase 1b trial of lenvatinib (LEN) plus pembrolizumab (PEM) in patients with selected solid </w:t>
            </w:r>
            <w:proofErr w:type="spellStart"/>
            <w:r w:rsidRPr="00ED6EDE">
              <w:t>tumors</w:t>
            </w:r>
            <w:proofErr w:type="spellEnd"/>
            <w:r w:rsidRPr="00ED6EDE">
              <w:t>.</w:t>
            </w:r>
          </w:p>
        </w:tc>
        <w:tc>
          <w:tcPr>
            <w:tcW w:w="1177" w:type="pct"/>
            <w:tcBorders>
              <w:top w:val="single" w:sz="4" w:space="0" w:color="auto"/>
              <w:bottom w:val="single" w:sz="4" w:space="0" w:color="auto"/>
            </w:tcBorders>
            <w:vAlign w:val="center"/>
          </w:tcPr>
          <w:p w14:paraId="5D4F7B48" w14:textId="77777777" w:rsidR="00020E37" w:rsidRPr="00ED6EDE" w:rsidRDefault="00020E37" w:rsidP="00522D2D">
            <w:pPr>
              <w:pStyle w:val="Tabletext"/>
            </w:pPr>
            <w:r w:rsidRPr="00ED6EDE">
              <w:t>Ann Oncol. 2016;27 (suppl 6):266-295. Presented at: European Society of Medical Oncology (ESMO) 2016 Congress; 2016 Oct 7-11; Copenhagen, Denmark. Abstract 776PD.</w:t>
            </w:r>
          </w:p>
        </w:tc>
      </w:tr>
      <w:tr w:rsidR="00020E37" w:rsidRPr="00ED6EDE" w14:paraId="6D825462" w14:textId="77777777" w:rsidTr="00A06CDF">
        <w:trPr>
          <w:cantSplit/>
        </w:trPr>
        <w:tc>
          <w:tcPr>
            <w:tcW w:w="796" w:type="pct"/>
            <w:tcBorders>
              <w:top w:val="single" w:sz="4" w:space="0" w:color="auto"/>
              <w:bottom w:val="single" w:sz="4" w:space="0" w:color="auto"/>
            </w:tcBorders>
            <w:vAlign w:val="center"/>
          </w:tcPr>
          <w:p w14:paraId="2AB917BE" w14:textId="77777777" w:rsidR="00020E37" w:rsidRPr="00ED6EDE" w:rsidRDefault="00020E37" w:rsidP="00522D2D">
            <w:pPr>
              <w:pStyle w:val="Tabletext"/>
              <w:rPr>
                <w:b/>
                <w:bCs/>
              </w:rPr>
            </w:pPr>
            <w:r w:rsidRPr="00ED6EDE">
              <w:rPr>
                <w:b/>
                <w:bCs/>
              </w:rPr>
              <w:t xml:space="preserve">Lenvatinib </w:t>
            </w:r>
          </w:p>
        </w:tc>
        <w:tc>
          <w:tcPr>
            <w:tcW w:w="3027" w:type="pct"/>
            <w:tcBorders>
              <w:top w:val="single" w:sz="4" w:space="0" w:color="auto"/>
              <w:bottom w:val="single" w:sz="4" w:space="0" w:color="auto"/>
            </w:tcBorders>
            <w:vAlign w:val="center"/>
          </w:tcPr>
          <w:p w14:paraId="19D09AAF" w14:textId="77777777" w:rsidR="00020E37" w:rsidRPr="00ED6EDE" w:rsidRDefault="00020E37" w:rsidP="00522D2D">
            <w:pPr>
              <w:pStyle w:val="Tabletext"/>
            </w:pPr>
          </w:p>
        </w:tc>
        <w:tc>
          <w:tcPr>
            <w:tcW w:w="1177" w:type="pct"/>
            <w:tcBorders>
              <w:top w:val="single" w:sz="4" w:space="0" w:color="auto"/>
              <w:bottom w:val="single" w:sz="4" w:space="0" w:color="auto"/>
            </w:tcBorders>
            <w:vAlign w:val="center"/>
          </w:tcPr>
          <w:p w14:paraId="72CAEA10" w14:textId="77777777" w:rsidR="00020E37" w:rsidRPr="00ED6EDE" w:rsidRDefault="00020E37" w:rsidP="00522D2D">
            <w:pPr>
              <w:pStyle w:val="Tabletext"/>
            </w:pPr>
          </w:p>
        </w:tc>
      </w:tr>
      <w:tr w:rsidR="00020E37" w:rsidRPr="00ED6EDE" w14:paraId="0B1B2562" w14:textId="77777777" w:rsidTr="00A06CDF">
        <w:trPr>
          <w:cantSplit/>
        </w:trPr>
        <w:tc>
          <w:tcPr>
            <w:tcW w:w="796" w:type="pct"/>
            <w:tcBorders>
              <w:top w:val="single" w:sz="4" w:space="0" w:color="auto"/>
              <w:bottom w:val="single" w:sz="4" w:space="0" w:color="auto"/>
            </w:tcBorders>
            <w:vAlign w:val="center"/>
          </w:tcPr>
          <w:p w14:paraId="3BEC1515" w14:textId="77777777" w:rsidR="00020E37" w:rsidRPr="00ED6EDE" w:rsidRDefault="00020E37" w:rsidP="00522D2D">
            <w:pPr>
              <w:pStyle w:val="Tabletext"/>
            </w:pPr>
            <w:r w:rsidRPr="00ED6EDE">
              <w:t>E 7080-G000-204 (E204)</w:t>
            </w:r>
          </w:p>
        </w:tc>
        <w:tc>
          <w:tcPr>
            <w:tcW w:w="3027" w:type="pct"/>
            <w:tcBorders>
              <w:top w:val="single" w:sz="4" w:space="0" w:color="auto"/>
              <w:bottom w:val="single" w:sz="4" w:space="0" w:color="auto"/>
            </w:tcBorders>
            <w:vAlign w:val="center"/>
          </w:tcPr>
          <w:p w14:paraId="6AF1AC9B" w14:textId="77777777" w:rsidR="00020E37" w:rsidRPr="00ED6EDE" w:rsidRDefault="00020E37" w:rsidP="00522D2D">
            <w:pPr>
              <w:pStyle w:val="Tabletext"/>
            </w:pPr>
            <w:proofErr w:type="spellStart"/>
            <w:r w:rsidRPr="00ED6EDE">
              <w:t>Vergote</w:t>
            </w:r>
            <w:proofErr w:type="spellEnd"/>
            <w:r w:rsidRPr="00ED6EDE">
              <w:t xml:space="preserve"> I., Powell M.A., </w:t>
            </w:r>
            <w:proofErr w:type="spellStart"/>
            <w:r w:rsidRPr="00ED6EDE">
              <w:t>Teneriello</w:t>
            </w:r>
            <w:proofErr w:type="spellEnd"/>
            <w:r w:rsidRPr="00ED6EDE">
              <w:t xml:space="preserve"> M.G., Miller D.S., Garcia A.A., </w:t>
            </w:r>
            <w:proofErr w:type="spellStart"/>
            <w:r w:rsidRPr="00ED6EDE">
              <w:t>Mikheeva</w:t>
            </w:r>
            <w:proofErr w:type="spellEnd"/>
            <w:r w:rsidRPr="00ED6EDE">
              <w:t xml:space="preserve"> O.N., </w:t>
            </w:r>
            <w:proofErr w:type="spellStart"/>
            <w:r w:rsidRPr="00ED6EDE">
              <w:t>Bidzinski</w:t>
            </w:r>
            <w:proofErr w:type="spellEnd"/>
            <w:r w:rsidRPr="00ED6EDE">
              <w:t xml:space="preserve"> M., </w:t>
            </w:r>
            <w:proofErr w:type="spellStart"/>
            <w:r w:rsidRPr="00ED6EDE">
              <w:t>Cebotaru</w:t>
            </w:r>
            <w:proofErr w:type="spellEnd"/>
            <w:r w:rsidRPr="00ED6EDE">
              <w:t xml:space="preserve"> C.L., </w:t>
            </w:r>
            <w:proofErr w:type="spellStart"/>
            <w:r w:rsidRPr="00ED6EDE">
              <w:t>Dutcus</w:t>
            </w:r>
            <w:proofErr w:type="spellEnd"/>
            <w:r w:rsidRPr="00ED6EDE">
              <w:t xml:space="preserve"> C.E., Ren M., </w:t>
            </w:r>
            <w:proofErr w:type="spellStart"/>
            <w:r w:rsidRPr="00ED6EDE">
              <w:t>Kadowaki</w:t>
            </w:r>
            <w:proofErr w:type="spellEnd"/>
            <w:r w:rsidRPr="00ED6EDE">
              <w:t xml:space="preserve"> T., </w:t>
            </w:r>
            <w:proofErr w:type="spellStart"/>
            <w:r w:rsidRPr="00ED6EDE">
              <w:t>Funahashi</w:t>
            </w:r>
            <w:proofErr w:type="spellEnd"/>
            <w:r w:rsidRPr="00ED6EDE">
              <w:t xml:space="preserve"> Y., Penson R.T.  Second-line lenvatinib in patients with recurrent endometrial cancer. </w:t>
            </w:r>
          </w:p>
        </w:tc>
        <w:tc>
          <w:tcPr>
            <w:tcW w:w="1177" w:type="pct"/>
            <w:tcBorders>
              <w:top w:val="single" w:sz="4" w:space="0" w:color="auto"/>
              <w:bottom w:val="single" w:sz="4" w:space="0" w:color="auto"/>
            </w:tcBorders>
            <w:vAlign w:val="center"/>
          </w:tcPr>
          <w:p w14:paraId="54779850" w14:textId="77777777" w:rsidR="00020E37" w:rsidRPr="00ED6EDE" w:rsidRDefault="00020E37" w:rsidP="00522D2D">
            <w:pPr>
              <w:pStyle w:val="Tabletext"/>
              <w:rPr>
                <w:rFonts w:ascii="Times" w:hAnsi="Times"/>
              </w:rPr>
            </w:pPr>
            <w:r w:rsidRPr="00ED6EDE">
              <w:t>Gynecologic Oncology 2020 156:3 (575-582).</w:t>
            </w:r>
          </w:p>
        </w:tc>
      </w:tr>
      <w:tr w:rsidR="00020E37" w:rsidRPr="00ED6EDE" w14:paraId="5146CCFC" w14:textId="77777777" w:rsidTr="00A06CDF">
        <w:trPr>
          <w:cantSplit/>
        </w:trPr>
        <w:tc>
          <w:tcPr>
            <w:tcW w:w="796" w:type="pct"/>
            <w:tcBorders>
              <w:top w:val="single" w:sz="4" w:space="0" w:color="auto"/>
              <w:bottom w:val="single" w:sz="4" w:space="0" w:color="auto"/>
            </w:tcBorders>
            <w:vAlign w:val="center"/>
          </w:tcPr>
          <w:p w14:paraId="2B75DECB" w14:textId="77777777" w:rsidR="00020E37" w:rsidRPr="00ED6EDE" w:rsidRDefault="00020E37" w:rsidP="00522D2D">
            <w:pPr>
              <w:pStyle w:val="Tabletext"/>
            </w:pPr>
            <w:r w:rsidRPr="00ED6EDE">
              <w:t>Pembrolizumab</w:t>
            </w:r>
          </w:p>
        </w:tc>
        <w:tc>
          <w:tcPr>
            <w:tcW w:w="3027" w:type="pct"/>
            <w:tcBorders>
              <w:top w:val="single" w:sz="4" w:space="0" w:color="auto"/>
              <w:bottom w:val="single" w:sz="4" w:space="0" w:color="auto"/>
            </w:tcBorders>
            <w:vAlign w:val="center"/>
          </w:tcPr>
          <w:p w14:paraId="63F0E271" w14:textId="77777777" w:rsidR="00020E37" w:rsidRPr="00ED6EDE" w:rsidRDefault="00020E37" w:rsidP="00522D2D">
            <w:pPr>
              <w:pStyle w:val="Tabletext"/>
              <w:rPr>
                <w:szCs w:val="18"/>
              </w:rPr>
            </w:pPr>
          </w:p>
        </w:tc>
        <w:tc>
          <w:tcPr>
            <w:tcW w:w="1177" w:type="pct"/>
            <w:tcBorders>
              <w:top w:val="single" w:sz="4" w:space="0" w:color="auto"/>
              <w:bottom w:val="single" w:sz="4" w:space="0" w:color="auto"/>
            </w:tcBorders>
            <w:vAlign w:val="center"/>
          </w:tcPr>
          <w:p w14:paraId="2B2BFAF2" w14:textId="77777777" w:rsidR="00020E37" w:rsidRPr="00ED6EDE" w:rsidRDefault="00020E37" w:rsidP="00522D2D">
            <w:pPr>
              <w:pStyle w:val="Tabletext"/>
            </w:pPr>
          </w:p>
        </w:tc>
      </w:tr>
      <w:tr w:rsidR="00020E37" w:rsidRPr="00ED6EDE" w14:paraId="72CE570C" w14:textId="77777777" w:rsidTr="00A06CDF">
        <w:trPr>
          <w:cantSplit/>
        </w:trPr>
        <w:tc>
          <w:tcPr>
            <w:tcW w:w="796" w:type="pct"/>
            <w:tcBorders>
              <w:top w:val="single" w:sz="4" w:space="0" w:color="auto"/>
              <w:bottom w:val="single" w:sz="4" w:space="0" w:color="auto"/>
            </w:tcBorders>
            <w:vAlign w:val="center"/>
          </w:tcPr>
          <w:p w14:paraId="2432CCCB" w14:textId="77777777" w:rsidR="00020E37" w:rsidRPr="00ED6EDE" w:rsidRDefault="00020E37" w:rsidP="00522D2D">
            <w:pPr>
              <w:pStyle w:val="Tabletext"/>
            </w:pPr>
            <w:r w:rsidRPr="00ED6EDE">
              <w:t>Keynote 158</w:t>
            </w:r>
          </w:p>
        </w:tc>
        <w:tc>
          <w:tcPr>
            <w:tcW w:w="3027" w:type="pct"/>
            <w:tcBorders>
              <w:top w:val="single" w:sz="4" w:space="0" w:color="auto"/>
              <w:bottom w:val="single" w:sz="4" w:space="0" w:color="auto"/>
            </w:tcBorders>
            <w:vAlign w:val="center"/>
          </w:tcPr>
          <w:p w14:paraId="4BE75B24" w14:textId="77777777" w:rsidR="00020E37" w:rsidRPr="00ED6EDE" w:rsidRDefault="00020E37" w:rsidP="00522D2D">
            <w:pPr>
              <w:pStyle w:val="Tabletext"/>
              <w:rPr>
                <w:szCs w:val="18"/>
              </w:rPr>
            </w:pPr>
            <w:r w:rsidRPr="00ED6EDE">
              <w:t xml:space="preserve">O’Malley et al. Pembrolizumab in Patients with Microsatellite Instability-High (MSI-H) Advanced Endometrial Cancer: Updated Results From KEYNOTE 158.   </w:t>
            </w:r>
          </w:p>
        </w:tc>
        <w:tc>
          <w:tcPr>
            <w:tcW w:w="1177" w:type="pct"/>
            <w:tcBorders>
              <w:top w:val="single" w:sz="4" w:space="0" w:color="auto"/>
              <w:bottom w:val="single" w:sz="4" w:space="0" w:color="auto"/>
            </w:tcBorders>
            <w:vAlign w:val="center"/>
          </w:tcPr>
          <w:p w14:paraId="05A0544A" w14:textId="77777777" w:rsidR="00020E37" w:rsidRPr="00ED6EDE" w:rsidRDefault="00020E37" w:rsidP="00522D2D">
            <w:pPr>
              <w:pStyle w:val="Tabletext"/>
            </w:pPr>
            <w:r w:rsidRPr="00ED6EDE">
              <w:t>ESMO 2021 virtual meeting presentation</w:t>
            </w:r>
          </w:p>
        </w:tc>
      </w:tr>
      <w:tr w:rsidR="00020E37" w:rsidRPr="00ED6EDE" w14:paraId="0435FA94" w14:textId="77777777" w:rsidTr="00A06CDF">
        <w:trPr>
          <w:cantSplit/>
        </w:trPr>
        <w:tc>
          <w:tcPr>
            <w:tcW w:w="5000" w:type="pct"/>
            <w:gridSpan w:val="3"/>
            <w:tcBorders>
              <w:top w:val="single" w:sz="4" w:space="0" w:color="auto"/>
              <w:bottom w:val="single" w:sz="4" w:space="0" w:color="auto"/>
            </w:tcBorders>
            <w:vAlign w:val="center"/>
          </w:tcPr>
          <w:p w14:paraId="70EE6217" w14:textId="01181448" w:rsidR="00020E37" w:rsidRPr="00ED6EDE" w:rsidRDefault="00020E37" w:rsidP="00522D2D">
            <w:pPr>
              <w:pStyle w:val="Tabletext"/>
              <w:rPr>
                <w:b/>
              </w:rPr>
            </w:pPr>
            <w:r w:rsidRPr="00ED6EDE">
              <w:rPr>
                <w:b/>
              </w:rPr>
              <w:t>Dosta</w:t>
            </w:r>
            <w:r w:rsidR="007D348A" w:rsidRPr="00ED6EDE">
              <w:rPr>
                <w:b/>
              </w:rPr>
              <w:t>r</w:t>
            </w:r>
            <w:r w:rsidRPr="00ED6EDE">
              <w:rPr>
                <w:b/>
              </w:rPr>
              <w:t>limab (Near market comparator)</w:t>
            </w:r>
          </w:p>
        </w:tc>
      </w:tr>
      <w:tr w:rsidR="00020E37" w:rsidRPr="00ED6EDE" w14:paraId="5D648016" w14:textId="77777777" w:rsidTr="00A06CDF">
        <w:trPr>
          <w:cantSplit/>
        </w:trPr>
        <w:tc>
          <w:tcPr>
            <w:tcW w:w="796" w:type="pct"/>
            <w:tcBorders>
              <w:top w:val="single" w:sz="4" w:space="0" w:color="auto"/>
              <w:bottom w:val="single" w:sz="4" w:space="0" w:color="auto"/>
            </w:tcBorders>
            <w:vAlign w:val="center"/>
          </w:tcPr>
          <w:p w14:paraId="25DABABC" w14:textId="77777777" w:rsidR="00020E37" w:rsidRPr="00ED6EDE" w:rsidRDefault="00020E37" w:rsidP="00522D2D">
            <w:pPr>
              <w:pStyle w:val="Tabletext"/>
            </w:pPr>
            <w:r w:rsidRPr="00ED6EDE">
              <w:t>GARNET</w:t>
            </w:r>
          </w:p>
        </w:tc>
        <w:tc>
          <w:tcPr>
            <w:tcW w:w="3027" w:type="pct"/>
            <w:tcBorders>
              <w:top w:val="single" w:sz="4" w:space="0" w:color="auto"/>
              <w:bottom w:val="single" w:sz="4" w:space="0" w:color="auto"/>
            </w:tcBorders>
            <w:vAlign w:val="center"/>
          </w:tcPr>
          <w:p w14:paraId="533A9643" w14:textId="77777777" w:rsidR="00020E37" w:rsidRPr="00ED6EDE" w:rsidRDefault="00020E37" w:rsidP="00522D2D">
            <w:pPr>
              <w:pStyle w:val="Tabletext"/>
              <w:rPr>
                <w:szCs w:val="18"/>
              </w:rPr>
            </w:pPr>
            <w:r w:rsidRPr="00ED6EDE">
              <w:rPr>
                <w:szCs w:val="18"/>
              </w:rPr>
              <w:t xml:space="preserve">Oaknin A,. Tinker A, Gilbert L, Samouëlian V, Mathews C, Brown J,  </w:t>
            </w:r>
            <w:proofErr w:type="spellStart"/>
            <w:r w:rsidRPr="00ED6EDE">
              <w:rPr>
                <w:szCs w:val="18"/>
              </w:rPr>
              <w:t>Barretina-Ginesta</w:t>
            </w:r>
            <w:proofErr w:type="spellEnd"/>
            <w:r w:rsidRPr="00ED6EDE">
              <w:rPr>
                <w:szCs w:val="18"/>
              </w:rPr>
              <w:t xml:space="preserve"> MP, Moreno V; </w:t>
            </w:r>
            <w:proofErr w:type="spellStart"/>
            <w:r w:rsidRPr="00ED6EDE">
              <w:rPr>
                <w:szCs w:val="18"/>
              </w:rPr>
              <w:t>Gravina</w:t>
            </w:r>
            <w:proofErr w:type="spellEnd"/>
            <w:r w:rsidRPr="00ED6EDE">
              <w:rPr>
                <w:szCs w:val="18"/>
              </w:rPr>
              <w:t xml:space="preserve"> A, </w:t>
            </w:r>
            <w:proofErr w:type="spellStart"/>
            <w:r w:rsidRPr="00ED6EDE">
              <w:rPr>
                <w:szCs w:val="18"/>
              </w:rPr>
              <w:t>Abdeddaim</w:t>
            </w:r>
            <w:proofErr w:type="spellEnd"/>
            <w:r w:rsidRPr="00ED6EDE">
              <w:rPr>
                <w:szCs w:val="18"/>
              </w:rPr>
              <w:t xml:space="preserve"> C, Banerjee S, Guo W, </w:t>
            </w:r>
            <w:proofErr w:type="spellStart"/>
            <w:r w:rsidRPr="00ED6EDE">
              <w:rPr>
                <w:szCs w:val="18"/>
              </w:rPr>
              <w:t>Danaee</w:t>
            </w:r>
            <w:proofErr w:type="spellEnd"/>
            <w:r w:rsidRPr="00ED6EDE">
              <w:rPr>
                <w:szCs w:val="18"/>
              </w:rPr>
              <w:t xml:space="preserve"> H, Im E, Sabatier R. Clinical Activity and Safety of the Anti–Programmed Death 1 Monoclonal Antibody Dostarlimab for Patients With Recurrent or Advanced Mismatch Repair–Deficient Endometrial Cancer: A Nonrandomized Phase 1 Clinical Trial.</w:t>
            </w:r>
          </w:p>
        </w:tc>
        <w:tc>
          <w:tcPr>
            <w:tcW w:w="1177" w:type="pct"/>
            <w:tcBorders>
              <w:top w:val="single" w:sz="4" w:space="0" w:color="auto"/>
              <w:bottom w:val="single" w:sz="4" w:space="0" w:color="auto"/>
            </w:tcBorders>
            <w:vAlign w:val="center"/>
          </w:tcPr>
          <w:p w14:paraId="09A36BA0" w14:textId="77777777" w:rsidR="00020E37" w:rsidRPr="00ED6EDE" w:rsidRDefault="00020E37" w:rsidP="00522D2D">
            <w:pPr>
              <w:pStyle w:val="Tabletext"/>
            </w:pPr>
            <w:r w:rsidRPr="00ED6EDE">
              <w:t>JAMA Oncology 2020; 6(11):1766-1772.</w:t>
            </w:r>
          </w:p>
        </w:tc>
      </w:tr>
    </w:tbl>
    <w:p w14:paraId="7392B736" w14:textId="77777777" w:rsidR="00020E37" w:rsidRPr="00ED6EDE" w:rsidRDefault="00020E37" w:rsidP="00020E37">
      <w:pPr>
        <w:pStyle w:val="TableFooter"/>
        <w:rPr>
          <w:sz w:val="20"/>
        </w:rPr>
      </w:pPr>
      <w:r w:rsidRPr="00ED6EDE">
        <w:t xml:space="preserve">Source: Table 2.2-1, p34-37 of the submission. </w:t>
      </w:r>
    </w:p>
    <w:p w14:paraId="5E8B900C" w14:textId="77777777" w:rsidR="00020E37" w:rsidRPr="00ED6EDE" w:rsidRDefault="00020E37" w:rsidP="00020E37"/>
    <w:p w14:paraId="2B21F8E6" w14:textId="2E729020" w:rsidR="00020E37" w:rsidRPr="00ED6EDE" w:rsidRDefault="00020E37" w:rsidP="00A062E7">
      <w:pPr>
        <w:pStyle w:val="ListParagraph"/>
        <w:widowControl/>
        <w:numPr>
          <w:ilvl w:val="1"/>
          <w:numId w:val="2"/>
        </w:numPr>
      </w:pPr>
      <w:r w:rsidRPr="00ED6EDE">
        <w:t xml:space="preserve">The key features of the </w:t>
      </w:r>
      <w:r w:rsidR="00990D34" w:rsidRPr="00ED6EDE">
        <w:t xml:space="preserve">included </w:t>
      </w:r>
      <w:r w:rsidRPr="00ED6EDE">
        <w:t>randomised trial</w:t>
      </w:r>
      <w:r w:rsidR="00990D34" w:rsidRPr="00ED6EDE">
        <w:t xml:space="preserve"> and studies</w:t>
      </w:r>
      <w:r w:rsidRPr="00ED6EDE">
        <w:t xml:space="preserve"> are summarised in the table below.</w:t>
      </w:r>
    </w:p>
    <w:p w14:paraId="51564F8B" w14:textId="205C2174" w:rsidR="00020E37" w:rsidRPr="00ED6EDE" w:rsidRDefault="00020E37" w:rsidP="00020E37">
      <w:pPr>
        <w:keepNext/>
        <w:keepLines/>
        <w:rPr>
          <w:rStyle w:val="CommentReference"/>
        </w:rPr>
      </w:pPr>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3</w:t>
      </w:r>
      <w:r w:rsidRPr="00ED6EDE">
        <w:rPr>
          <w:rStyle w:val="CommentReference"/>
        </w:rPr>
        <w:fldChar w:fldCharType="end"/>
      </w:r>
      <w:r w:rsidRPr="00ED6ED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6"/>
        <w:gridCol w:w="1142"/>
        <w:gridCol w:w="1647"/>
        <w:gridCol w:w="631"/>
        <w:gridCol w:w="1796"/>
        <w:gridCol w:w="1443"/>
        <w:gridCol w:w="1372"/>
      </w:tblGrid>
      <w:tr w:rsidR="00020E37" w:rsidRPr="00ED6EDE" w14:paraId="0EDC6C11" w14:textId="77777777" w:rsidTr="00522D2D">
        <w:tc>
          <w:tcPr>
            <w:tcW w:w="547" w:type="pct"/>
            <w:shd w:val="clear" w:color="auto" w:fill="auto"/>
            <w:vAlign w:val="center"/>
          </w:tcPr>
          <w:p w14:paraId="773665FA" w14:textId="77777777" w:rsidR="00020E37" w:rsidRPr="00ED6EDE" w:rsidRDefault="00020E37" w:rsidP="00522D2D">
            <w:pPr>
              <w:pStyle w:val="Tabletext"/>
              <w:keepNext/>
              <w:keepLines/>
              <w:rPr>
                <w:b/>
              </w:rPr>
            </w:pPr>
            <w:r w:rsidRPr="00ED6EDE">
              <w:rPr>
                <w:b/>
              </w:rPr>
              <w:t>Trial</w:t>
            </w:r>
          </w:p>
        </w:tc>
        <w:tc>
          <w:tcPr>
            <w:tcW w:w="633" w:type="pct"/>
            <w:shd w:val="clear" w:color="auto" w:fill="auto"/>
            <w:vAlign w:val="center"/>
          </w:tcPr>
          <w:p w14:paraId="7CF329E4" w14:textId="77777777" w:rsidR="00020E37" w:rsidRPr="00ED6EDE" w:rsidRDefault="00020E37" w:rsidP="00522D2D">
            <w:pPr>
              <w:pStyle w:val="Tabletext"/>
              <w:keepNext/>
              <w:keepLines/>
              <w:jc w:val="center"/>
              <w:rPr>
                <w:b/>
              </w:rPr>
            </w:pPr>
            <w:r w:rsidRPr="00ED6EDE">
              <w:rPr>
                <w:b/>
              </w:rPr>
              <w:t>N</w:t>
            </w:r>
          </w:p>
        </w:tc>
        <w:tc>
          <w:tcPr>
            <w:tcW w:w="913" w:type="pct"/>
            <w:shd w:val="clear" w:color="auto" w:fill="auto"/>
            <w:vAlign w:val="center"/>
          </w:tcPr>
          <w:p w14:paraId="179B1C9F" w14:textId="77777777" w:rsidR="00020E37" w:rsidRPr="00ED6EDE" w:rsidRDefault="00020E37" w:rsidP="00522D2D">
            <w:pPr>
              <w:pStyle w:val="Tabletext"/>
              <w:keepNext/>
              <w:keepLines/>
              <w:jc w:val="center"/>
              <w:rPr>
                <w:b/>
              </w:rPr>
            </w:pPr>
            <w:r w:rsidRPr="00ED6EDE">
              <w:rPr>
                <w:b/>
              </w:rPr>
              <w:t>Design/ duration</w:t>
            </w:r>
          </w:p>
        </w:tc>
        <w:tc>
          <w:tcPr>
            <w:tcW w:w="350" w:type="pct"/>
            <w:shd w:val="clear" w:color="auto" w:fill="auto"/>
            <w:vAlign w:val="center"/>
          </w:tcPr>
          <w:p w14:paraId="34A5BEED" w14:textId="77777777" w:rsidR="00020E37" w:rsidRPr="00ED6EDE" w:rsidRDefault="00020E37" w:rsidP="00522D2D">
            <w:pPr>
              <w:pStyle w:val="Tabletext"/>
              <w:keepNext/>
              <w:keepLines/>
              <w:jc w:val="center"/>
              <w:rPr>
                <w:b/>
              </w:rPr>
            </w:pPr>
            <w:r w:rsidRPr="00ED6EDE">
              <w:rPr>
                <w:b/>
              </w:rPr>
              <w:t>Risk of bias</w:t>
            </w:r>
          </w:p>
        </w:tc>
        <w:tc>
          <w:tcPr>
            <w:tcW w:w="996" w:type="pct"/>
            <w:shd w:val="clear" w:color="auto" w:fill="auto"/>
            <w:vAlign w:val="center"/>
          </w:tcPr>
          <w:p w14:paraId="559A68A8" w14:textId="77777777" w:rsidR="00020E37" w:rsidRPr="00ED6EDE" w:rsidRDefault="00020E37" w:rsidP="00522D2D">
            <w:pPr>
              <w:pStyle w:val="Tabletext"/>
              <w:keepNext/>
              <w:keepLines/>
              <w:jc w:val="center"/>
              <w:rPr>
                <w:b/>
              </w:rPr>
            </w:pPr>
            <w:r w:rsidRPr="00ED6EDE">
              <w:rPr>
                <w:b/>
              </w:rPr>
              <w:t>Patient population</w:t>
            </w:r>
          </w:p>
        </w:tc>
        <w:tc>
          <w:tcPr>
            <w:tcW w:w="800" w:type="pct"/>
            <w:shd w:val="clear" w:color="auto" w:fill="auto"/>
            <w:vAlign w:val="center"/>
          </w:tcPr>
          <w:p w14:paraId="1FADD7B7" w14:textId="77777777" w:rsidR="00020E37" w:rsidRPr="00ED6EDE" w:rsidRDefault="00020E37" w:rsidP="00522D2D">
            <w:pPr>
              <w:pStyle w:val="Tabletext"/>
              <w:keepNext/>
              <w:keepLines/>
              <w:jc w:val="center"/>
              <w:rPr>
                <w:b/>
              </w:rPr>
            </w:pPr>
            <w:r w:rsidRPr="00ED6EDE">
              <w:rPr>
                <w:b/>
              </w:rPr>
              <w:t>Outcome(s)</w:t>
            </w:r>
          </w:p>
        </w:tc>
        <w:tc>
          <w:tcPr>
            <w:tcW w:w="761" w:type="pct"/>
            <w:shd w:val="clear" w:color="auto" w:fill="auto"/>
            <w:vAlign w:val="center"/>
          </w:tcPr>
          <w:p w14:paraId="6B39436C" w14:textId="77777777" w:rsidR="00020E37" w:rsidRPr="00ED6EDE" w:rsidRDefault="00020E37" w:rsidP="00522D2D">
            <w:pPr>
              <w:pStyle w:val="Tabletext"/>
              <w:keepNext/>
              <w:keepLines/>
              <w:jc w:val="center"/>
              <w:rPr>
                <w:b/>
              </w:rPr>
            </w:pPr>
            <w:r w:rsidRPr="00ED6EDE">
              <w:rPr>
                <w:b/>
              </w:rPr>
              <w:t>Use in modelled evaluation</w:t>
            </w:r>
          </w:p>
        </w:tc>
      </w:tr>
      <w:tr w:rsidR="00020E37" w:rsidRPr="00ED6EDE" w14:paraId="2CFC112C" w14:textId="77777777" w:rsidTr="00522D2D">
        <w:tc>
          <w:tcPr>
            <w:tcW w:w="5000" w:type="pct"/>
            <w:gridSpan w:val="7"/>
            <w:shd w:val="clear" w:color="auto" w:fill="auto"/>
            <w:vAlign w:val="center"/>
          </w:tcPr>
          <w:p w14:paraId="392A75F5" w14:textId="77777777" w:rsidR="00020E37" w:rsidRPr="00ED6EDE" w:rsidRDefault="00020E37" w:rsidP="00522D2D">
            <w:pPr>
              <w:pStyle w:val="Tabletext"/>
              <w:keepNext/>
              <w:keepLines/>
              <w:rPr>
                <w:b/>
              </w:rPr>
            </w:pPr>
            <w:r w:rsidRPr="00ED6EDE">
              <w:t>Combination pembrolizumab plus lenvatinib</w:t>
            </w:r>
          </w:p>
        </w:tc>
      </w:tr>
      <w:tr w:rsidR="00020E37" w:rsidRPr="00ED6EDE" w14:paraId="4EA56B11" w14:textId="77777777" w:rsidTr="00522D2D">
        <w:tc>
          <w:tcPr>
            <w:tcW w:w="547" w:type="pct"/>
            <w:shd w:val="clear" w:color="auto" w:fill="auto"/>
            <w:vAlign w:val="center"/>
          </w:tcPr>
          <w:p w14:paraId="5D2B7E4E" w14:textId="77777777" w:rsidR="00020E37" w:rsidRPr="00ED6EDE" w:rsidRDefault="00020E37" w:rsidP="00522D2D">
            <w:pPr>
              <w:pStyle w:val="Tabletext"/>
              <w:keepNext/>
              <w:keepLines/>
            </w:pPr>
            <w:r w:rsidRPr="00ED6EDE">
              <w:t>KN775</w:t>
            </w:r>
          </w:p>
        </w:tc>
        <w:tc>
          <w:tcPr>
            <w:tcW w:w="633" w:type="pct"/>
            <w:shd w:val="clear" w:color="auto" w:fill="auto"/>
            <w:vAlign w:val="center"/>
          </w:tcPr>
          <w:p w14:paraId="68994E73" w14:textId="77777777" w:rsidR="00020E37" w:rsidRPr="00ED6EDE" w:rsidRDefault="00020E37" w:rsidP="00522D2D">
            <w:pPr>
              <w:pStyle w:val="Tabletext"/>
              <w:keepNext/>
              <w:keepLines/>
              <w:jc w:val="center"/>
            </w:pPr>
            <w:r w:rsidRPr="00ED6EDE">
              <w:t>827</w:t>
            </w:r>
          </w:p>
        </w:tc>
        <w:tc>
          <w:tcPr>
            <w:tcW w:w="913" w:type="pct"/>
            <w:shd w:val="clear" w:color="auto" w:fill="auto"/>
            <w:vAlign w:val="center"/>
          </w:tcPr>
          <w:p w14:paraId="5C6382FE" w14:textId="77777777" w:rsidR="00020E37" w:rsidRPr="00ED6EDE" w:rsidRDefault="00020E37" w:rsidP="00522D2D">
            <w:pPr>
              <w:pStyle w:val="Tabletext"/>
              <w:keepNext/>
              <w:keepLines/>
              <w:jc w:val="center"/>
            </w:pPr>
            <w:r w:rsidRPr="00ED6EDE">
              <w:t>R, MC, OL</w:t>
            </w:r>
          </w:p>
          <w:p w14:paraId="70A535B8" w14:textId="77777777" w:rsidR="00020E37" w:rsidRPr="00ED6EDE" w:rsidRDefault="00020E37" w:rsidP="00522D2D">
            <w:pPr>
              <w:pStyle w:val="Tabletext"/>
              <w:keepNext/>
              <w:keepLines/>
              <w:jc w:val="center"/>
            </w:pPr>
            <w:r w:rsidRPr="00ED6EDE">
              <w:t>Median F/U 11.4 mths</w:t>
            </w:r>
          </w:p>
        </w:tc>
        <w:tc>
          <w:tcPr>
            <w:tcW w:w="350" w:type="pct"/>
            <w:shd w:val="clear" w:color="auto" w:fill="auto"/>
            <w:vAlign w:val="center"/>
          </w:tcPr>
          <w:p w14:paraId="0D0ABFD2" w14:textId="77777777" w:rsidR="00020E37" w:rsidRPr="00ED6EDE" w:rsidRDefault="00020E37" w:rsidP="00522D2D">
            <w:pPr>
              <w:pStyle w:val="Tabletext"/>
              <w:keepNext/>
              <w:keepLines/>
              <w:jc w:val="center"/>
            </w:pPr>
            <w:r w:rsidRPr="00ED6EDE">
              <w:t>Low</w:t>
            </w:r>
          </w:p>
        </w:tc>
        <w:tc>
          <w:tcPr>
            <w:tcW w:w="996" w:type="pct"/>
            <w:shd w:val="clear" w:color="auto" w:fill="auto"/>
            <w:vAlign w:val="center"/>
          </w:tcPr>
          <w:p w14:paraId="706D8506" w14:textId="71F1C496" w:rsidR="00020E37" w:rsidRPr="00ED6EDE" w:rsidRDefault="00020E37" w:rsidP="00013F3B">
            <w:pPr>
              <w:pStyle w:val="Tabletext"/>
              <w:keepNext/>
              <w:keepLines/>
              <w:jc w:val="center"/>
            </w:pPr>
            <w:r w:rsidRPr="00ED6EDE">
              <w:t>All comers</w:t>
            </w:r>
            <w:r w:rsidR="00013F3B" w:rsidRPr="00ED6EDE">
              <w:t xml:space="preserve"> </w:t>
            </w:r>
            <w:r w:rsidRPr="00ED6EDE">
              <w:t>(84% pMMR: 16% dMMR)</w:t>
            </w:r>
          </w:p>
        </w:tc>
        <w:tc>
          <w:tcPr>
            <w:tcW w:w="800" w:type="pct"/>
            <w:shd w:val="clear" w:color="auto" w:fill="auto"/>
            <w:vAlign w:val="center"/>
          </w:tcPr>
          <w:p w14:paraId="349517B0" w14:textId="77777777" w:rsidR="00020E37" w:rsidRPr="00ED6EDE" w:rsidRDefault="00020E37" w:rsidP="00522D2D">
            <w:pPr>
              <w:pStyle w:val="Tabletext"/>
              <w:keepNext/>
              <w:keepLines/>
              <w:jc w:val="center"/>
            </w:pPr>
            <w:r w:rsidRPr="00ED6EDE">
              <w:t>OS, PFS, ORR HRQoL</w:t>
            </w:r>
          </w:p>
        </w:tc>
        <w:tc>
          <w:tcPr>
            <w:tcW w:w="761" w:type="pct"/>
            <w:shd w:val="clear" w:color="auto" w:fill="auto"/>
            <w:vAlign w:val="center"/>
          </w:tcPr>
          <w:p w14:paraId="56BA92FA" w14:textId="77777777" w:rsidR="00020E37" w:rsidRPr="00ED6EDE" w:rsidRDefault="00020E37" w:rsidP="00522D2D">
            <w:pPr>
              <w:pStyle w:val="Tabletext"/>
              <w:keepNext/>
              <w:keepLines/>
              <w:jc w:val="center"/>
            </w:pPr>
            <w:r w:rsidRPr="00ED6EDE">
              <w:t>Yes</w:t>
            </w:r>
          </w:p>
        </w:tc>
      </w:tr>
      <w:tr w:rsidR="00020E37" w:rsidRPr="00ED6EDE" w14:paraId="3D21204B" w14:textId="77777777" w:rsidTr="00522D2D">
        <w:tc>
          <w:tcPr>
            <w:tcW w:w="547" w:type="pct"/>
            <w:shd w:val="clear" w:color="auto" w:fill="auto"/>
            <w:vAlign w:val="center"/>
          </w:tcPr>
          <w:p w14:paraId="3B095ABF" w14:textId="77777777" w:rsidR="00020E37" w:rsidRPr="00ED6EDE" w:rsidRDefault="00020E37" w:rsidP="00522D2D">
            <w:pPr>
              <w:pStyle w:val="Tabletext"/>
              <w:keepNext/>
              <w:keepLines/>
            </w:pPr>
            <w:r w:rsidRPr="00ED6EDE">
              <w:t>KN146 (cohort 3-2L)</w:t>
            </w:r>
          </w:p>
        </w:tc>
        <w:tc>
          <w:tcPr>
            <w:tcW w:w="633" w:type="pct"/>
            <w:shd w:val="clear" w:color="auto" w:fill="auto"/>
            <w:vAlign w:val="center"/>
          </w:tcPr>
          <w:p w14:paraId="70EB169E" w14:textId="77777777" w:rsidR="00020E37" w:rsidRPr="00ED6EDE" w:rsidRDefault="00020E37" w:rsidP="00522D2D">
            <w:pPr>
              <w:pStyle w:val="Tabletext"/>
              <w:keepNext/>
              <w:keepLines/>
              <w:jc w:val="center"/>
            </w:pPr>
            <w:r w:rsidRPr="00ED6EDE">
              <w:t>124 (108 in primary analysis)</w:t>
            </w:r>
          </w:p>
        </w:tc>
        <w:tc>
          <w:tcPr>
            <w:tcW w:w="913" w:type="pct"/>
            <w:shd w:val="clear" w:color="auto" w:fill="auto"/>
            <w:vAlign w:val="center"/>
          </w:tcPr>
          <w:p w14:paraId="05CFA550" w14:textId="77777777" w:rsidR="00020E37" w:rsidRPr="00ED6EDE" w:rsidRDefault="00020E37" w:rsidP="00522D2D">
            <w:pPr>
              <w:pStyle w:val="Tabletext"/>
              <w:keepNext/>
              <w:keepLines/>
              <w:jc w:val="center"/>
            </w:pPr>
            <w:r w:rsidRPr="00ED6EDE">
              <w:t>SAS, median F/U 18.7 mths</w:t>
            </w:r>
          </w:p>
          <w:p w14:paraId="0A058F8F" w14:textId="1A6B2C32" w:rsidR="00020E37" w:rsidRPr="00ED6EDE" w:rsidRDefault="00020E37" w:rsidP="00522D2D">
            <w:pPr>
              <w:pStyle w:val="Tabletext"/>
              <w:keepNext/>
              <w:keepLines/>
              <w:jc w:val="center"/>
              <w:rPr>
                <w:vertAlign w:val="superscript"/>
              </w:rPr>
            </w:pPr>
            <w:r w:rsidRPr="00ED6EDE">
              <w:t>“Basket” study</w:t>
            </w:r>
            <w:r w:rsidR="00B67C78" w:rsidRPr="00ED6EDE">
              <w:t xml:space="preserve"> </w:t>
            </w:r>
            <w:r w:rsidR="00B67C78" w:rsidRPr="00ED6EDE">
              <w:rPr>
                <w:vertAlign w:val="superscript"/>
              </w:rPr>
              <w:t>a</w:t>
            </w:r>
          </w:p>
        </w:tc>
        <w:tc>
          <w:tcPr>
            <w:tcW w:w="350" w:type="pct"/>
            <w:shd w:val="clear" w:color="auto" w:fill="auto"/>
            <w:vAlign w:val="center"/>
          </w:tcPr>
          <w:p w14:paraId="12611BD9" w14:textId="77777777" w:rsidR="00020E37" w:rsidRPr="00ED6EDE" w:rsidRDefault="00020E37" w:rsidP="00522D2D">
            <w:pPr>
              <w:pStyle w:val="Tabletext"/>
              <w:keepNext/>
              <w:keepLines/>
              <w:jc w:val="center"/>
            </w:pPr>
            <w:r w:rsidRPr="00ED6EDE">
              <w:t>High</w:t>
            </w:r>
          </w:p>
        </w:tc>
        <w:tc>
          <w:tcPr>
            <w:tcW w:w="996" w:type="pct"/>
            <w:shd w:val="clear" w:color="auto" w:fill="auto"/>
            <w:vAlign w:val="center"/>
          </w:tcPr>
          <w:p w14:paraId="3275FE78" w14:textId="77777777" w:rsidR="00020E37" w:rsidRPr="00ED6EDE" w:rsidRDefault="00020E37" w:rsidP="00522D2D">
            <w:pPr>
              <w:pStyle w:val="Tabletext"/>
              <w:keepNext/>
              <w:keepLines/>
              <w:jc w:val="center"/>
            </w:pPr>
            <w:r w:rsidRPr="00ED6EDE">
              <w:t>All comers (87% pMMR: 10% dMMR)</w:t>
            </w:r>
          </w:p>
        </w:tc>
        <w:tc>
          <w:tcPr>
            <w:tcW w:w="800" w:type="pct"/>
            <w:shd w:val="clear" w:color="auto" w:fill="auto"/>
            <w:vAlign w:val="center"/>
          </w:tcPr>
          <w:p w14:paraId="73B002A1" w14:textId="77777777" w:rsidR="00020E37" w:rsidRPr="00ED6EDE" w:rsidRDefault="00020E37" w:rsidP="00522D2D">
            <w:pPr>
              <w:pStyle w:val="Tabletext"/>
              <w:keepNext/>
              <w:keepLines/>
              <w:jc w:val="center"/>
            </w:pPr>
            <w:r w:rsidRPr="00ED6EDE">
              <w:t>ORR at Week 24; ORR, DOR, PFS, OS,</w:t>
            </w:r>
          </w:p>
        </w:tc>
        <w:tc>
          <w:tcPr>
            <w:tcW w:w="761" w:type="pct"/>
            <w:shd w:val="clear" w:color="auto" w:fill="auto"/>
            <w:vAlign w:val="center"/>
          </w:tcPr>
          <w:p w14:paraId="4261CDCE" w14:textId="77777777" w:rsidR="00020E37" w:rsidRPr="00ED6EDE" w:rsidRDefault="00020E37" w:rsidP="00522D2D">
            <w:pPr>
              <w:pStyle w:val="Tabletext"/>
              <w:keepNext/>
              <w:keepLines/>
              <w:jc w:val="center"/>
            </w:pPr>
            <w:r w:rsidRPr="00ED6EDE">
              <w:t>Not used</w:t>
            </w:r>
          </w:p>
        </w:tc>
      </w:tr>
      <w:tr w:rsidR="00020E37" w:rsidRPr="00ED6EDE" w14:paraId="57D45012" w14:textId="77777777" w:rsidTr="00522D2D">
        <w:trPr>
          <w:trHeight w:val="197"/>
        </w:trPr>
        <w:tc>
          <w:tcPr>
            <w:tcW w:w="5000" w:type="pct"/>
            <w:gridSpan w:val="7"/>
            <w:shd w:val="clear" w:color="auto" w:fill="auto"/>
            <w:vAlign w:val="center"/>
          </w:tcPr>
          <w:p w14:paraId="3AE0A986" w14:textId="396EF51F" w:rsidR="00020E37" w:rsidRPr="00ED6EDE" w:rsidRDefault="00020E37" w:rsidP="009D153E">
            <w:pPr>
              <w:pStyle w:val="Tabletext"/>
              <w:keepNext/>
              <w:keepLines/>
            </w:pPr>
            <w:r w:rsidRPr="00ED6EDE">
              <w:t xml:space="preserve">Pembrolizumab </w:t>
            </w:r>
            <w:r w:rsidR="009D153E">
              <w:t>m</w:t>
            </w:r>
            <w:r w:rsidRPr="00ED6EDE">
              <w:t>onotherapy</w:t>
            </w:r>
          </w:p>
        </w:tc>
      </w:tr>
      <w:tr w:rsidR="00020E37" w:rsidRPr="00ED6EDE" w14:paraId="1497385F" w14:textId="77777777" w:rsidTr="00522D2D">
        <w:tc>
          <w:tcPr>
            <w:tcW w:w="547" w:type="pct"/>
            <w:shd w:val="clear" w:color="auto" w:fill="auto"/>
            <w:vAlign w:val="center"/>
          </w:tcPr>
          <w:p w14:paraId="0710ACF1" w14:textId="77777777" w:rsidR="00020E37" w:rsidRPr="00ED6EDE" w:rsidRDefault="00020E37" w:rsidP="00522D2D">
            <w:pPr>
              <w:pStyle w:val="Tabletext"/>
              <w:keepNext/>
              <w:keepLines/>
            </w:pPr>
            <w:r w:rsidRPr="00ED6EDE">
              <w:t>KN158 (cohort D+K)</w:t>
            </w:r>
          </w:p>
        </w:tc>
        <w:tc>
          <w:tcPr>
            <w:tcW w:w="633" w:type="pct"/>
            <w:shd w:val="clear" w:color="auto" w:fill="auto"/>
            <w:vAlign w:val="center"/>
          </w:tcPr>
          <w:p w14:paraId="25C74A55" w14:textId="77777777" w:rsidR="00020E37" w:rsidRPr="00ED6EDE" w:rsidRDefault="00020E37" w:rsidP="00522D2D">
            <w:pPr>
              <w:pStyle w:val="Tabletext"/>
              <w:keepNext/>
              <w:keepLines/>
              <w:jc w:val="center"/>
            </w:pPr>
            <w:r w:rsidRPr="00ED6EDE">
              <w:t>90 EC patient</w:t>
            </w:r>
          </w:p>
        </w:tc>
        <w:tc>
          <w:tcPr>
            <w:tcW w:w="913" w:type="pct"/>
            <w:shd w:val="clear" w:color="auto" w:fill="auto"/>
            <w:vAlign w:val="center"/>
          </w:tcPr>
          <w:p w14:paraId="697B5BDE" w14:textId="6E0B7F0A" w:rsidR="00020E37" w:rsidRPr="00ED6EDE" w:rsidRDefault="00020E37" w:rsidP="00522D2D">
            <w:pPr>
              <w:pStyle w:val="Tabletext"/>
              <w:keepNext/>
              <w:keepLines/>
              <w:jc w:val="center"/>
              <w:rPr>
                <w:vertAlign w:val="superscript"/>
              </w:rPr>
            </w:pPr>
            <w:r w:rsidRPr="00ED6EDE">
              <w:t>SAS, Median F/U 16.5 months; “</w:t>
            </w:r>
            <w:r w:rsidR="00B67C78" w:rsidRPr="00ED6EDE">
              <w:t>B</w:t>
            </w:r>
            <w:r w:rsidRPr="00ED6EDE">
              <w:t>asket” study</w:t>
            </w:r>
            <w:r w:rsidR="00B67C78" w:rsidRPr="00ED6EDE">
              <w:t xml:space="preserve"> </w:t>
            </w:r>
            <w:r w:rsidR="00B67C78" w:rsidRPr="00ED6EDE">
              <w:rPr>
                <w:vertAlign w:val="superscript"/>
              </w:rPr>
              <w:t>b</w:t>
            </w:r>
          </w:p>
        </w:tc>
        <w:tc>
          <w:tcPr>
            <w:tcW w:w="350" w:type="pct"/>
            <w:shd w:val="clear" w:color="auto" w:fill="auto"/>
            <w:vAlign w:val="center"/>
          </w:tcPr>
          <w:p w14:paraId="3C804E4E" w14:textId="77777777" w:rsidR="00020E37" w:rsidRPr="00ED6EDE" w:rsidRDefault="00020E37" w:rsidP="00522D2D">
            <w:pPr>
              <w:pStyle w:val="Tabletext"/>
              <w:keepNext/>
              <w:keepLines/>
              <w:jc w:val="center"/>
            </w:pPr>
            <w:r w:rsidRPr="00ED6EDE">
              <w:t>High</w:t>
            </w:r>
          </w:p>
        </w:tc>
        <w:tc>
          <w:tcPr>
            <w:tcW w:w="996" w:type="pct"/>
            <w:shd w:val="clear" w:color="auto" w:fill="auto"/>
            <w:vAlign w:val="center"/>
          </w:tcPr>
          <w:p w14:paraId="2148ED71" w14:textId="77777777" w:rsidR="00020E37" w:rsidRPr="00ED6EDE" w:rsidRDefault="00020E37" w:rsidP="00522D2D">
            <w:pPr>
              <w:pStyle w:val="Tabletext"/>
              <w:keepNext/>
              <w:keepLines/>
              <w:jc w:val="center"/>
            </w:pPr>
            <w:r w:rsidRPr="00ED6EDE">
              <w:t>dMMR patients</w:t>
            </w:r>
          </w:p>
        </w:tc>
        <w:tc>
          <w:tcPr>
            <w:tcW w:w="800" w:type="pct"/>
            <w:shd w:val="clear" w:color="auto" w:fill="auto"/>
            <w:vAlign w:val="center"/>
          </w:tcPr>
          <w:p w14:paraId="05C9B922" w14:textId="64072E6C" w:rsidR="00020E37" w:rsidRPr="00ED6EDE" w:rsidRDefault="00020E37" w:rsidP="00522D2D">
            <w:pPr>
              <w:pStyle w:val="Tabletext"/>
              <w:keepNext/>
              <w:keepLines/>
              <w:jc w:val="center"/>
            </w:pPr>
            <w:r w:rsidRPr="00ED6EDE">
              <w:t>ORR by cohort, ORR b</w:t>
            </w:r>
            <w:r w:rsidR="00A14878" w:rsidRPr="00ED6EDE">
              <w:t>y</w:t>
            </w:r>
            <w:r w:rsidRPr="00ED6EDE">
              <w:t xml:space="preserve"> biomarker, DoR, PFS, OS</w:t>
            </w:r>
          </w:p>
        </w:tc>
        <w:tc>
          <w:tcPr>
            <w:tcW w:w="761" w:type="pct"/>
            <w:shd w:val="clear" w:color="auto" w:fill="auto"/>
            <w:vAlign w:val="center"/>
          </w:tcPr>
          <w:p w14:paraId="26CFFFDB" w14:textId="77777777" w:rsidR="00020E37" w:rsidRPr="00ED6EDE" w:rsidRDefault="00020E37" w:rsidP="00522D2D">
            <w:pPr>
              <w:pStyle w:val="Tabletext"/>
              <w:keepNext/>
              <w:keepLines/>
              <w:jc w:val="center"/>
            </w:pPr>
            <w:r w:rsidRPr="00ED6EDE">
              <w:t>Not used</w:t>
            </w:r>
          </w:p>
        </w:tc>
      </w:tr>
      <w:tr w:rsidR="00020E37" w:rsidRPr="00ED6EDE" w14:paraId="0CBECD1C" w14:textId="77777777" w:rsidTr="00522D2D">
        <w:trPr>
          <w:trHeight w:val="75"/>
        </w:trPr>
        <w:tc>
          <w:tcPr>
            <w:tcW w:w="5000" w:type="pct"/>
            <w:gridSpan w:val="7"/>
            <w:shd w:val="clear" w:color="auto" w:fill="auto"/>
            <w:vAlign w:val="center"/>
          </w:tcPr>
          <w:p w14:paraId="085A56C1" w14:textId="5B4BDFB1" w:rsidR="00020E37" w:rsidRPr="00ED6EDE" w:rsidRDefault="00020E37" w:rsidP="009D153E">
            <w:pPr>
              <w:pStyle w:val="Tabletext"/>
              <w:keepNext/>
              <w:keepLines/>
            </w:pPr>
            <w:r w:rsidRPr="00ED6EDE">
              <w:t xml:space="preserve">Lenvatinib </w:t>
            </w:r>
            <w:r w:rsidR="009D153E">
              <w:t>m</w:t>
            </w:r>
            <w:r w:rsidRPr="00ED6EDE">
              <w:t>onotherapy</w:t>
            </w:r>
          </w:p>
        </w:tc>
      </w:tr>
      <w:tr w:rsidR="00020E37" w:rsidRPr="00ED6EDE" w14:paraId="5FB50CDD" w14:textId="77777777" w:rsidTr="00522D2D">
        <w:tc>
          <w:tcPr>
            <w:tcW w:w="547" w:type="pct"/>
            <w:shd w:val="clear" w:color="auto" w:fill="auto"/>
            <w:vAlign w:val="center"/>
          </w:tcPr>
          <w:p w14:paraId="0ECF57FB" w14:textId="77777777" w:rsidR="00020E37" w:rsidRPr="00ED6EDE" w:rsidRDefault="00020E37" w:rsidP="00522D2D">
            <w:pPr>
              <w:pStyle w:val="Tabletext"/>
              <w:keepNext/>
              <w:keepLines/>
            </w:pPr>
            <w:r w:rsidRPr="00ED6EDE">
              <w:t>E-204</w:t>
            </w:r>
          </w:p>
        </w:tc>
        <w:tc>
          <w:tcPr>
            <w:tcW w:w="633" w:type="pct"/>
            <w:shd w:val="clear" w:color="auto" w:fill="auto"/>
            <w:vAlign w:val="center"/>
          </w:tcPr>
          <w:p w14:paraId="436F037D" w14:textId="77777777" w:rsidR="00020E37" w:rsidRPr="00ED6EDE" w:rsidRDefault="00020E37" w:rsidP="00522D2D">
            <w:pPr>
              <w:pStyle w:val="Tabletext"/>
              <w:keepNext/>
              <w:keepLines/>
              <w:jc w:val="center"/>
            </w:pPr>
            <w:r w:rsidRPr="00ED6EDE">
              <w:t>133</w:t>
            </w:r>
          </w:p>
        </w:tc>
        <w:tc>
          <w:tcPr>
            <w:tcW w:w="913" w:type="pct"/>
            <w:shd w:val="clear" w:color="auto" w:fill="auto"/>
            <w:vAlign w:val="center"/>
          </w:tcPr>
          <w:p w14:paraId="14E59AF2" w14:textId="77777777" w:rsidR="00020E37" w:rsidRPr="00ED6EDE" w:rsidRDefault="00020E37" w:rsidP="00522D2D">
            <w:pPr>
              <w:pStyle w:val="Tabletext"/>
              <w:keepNext/>
              <w:keepLines/>
              <w:jc w:val="center"/>
            </w:pPr>
            <w:r w:rsidRPr="00ED6EDE">
              <w:t>SAS, OL, Median F/U 9.6 months</w:t>
            </w:r>
          </w:p>
        </w:tc>
        <w:tc>
          <w:tcPr>
            <w:tcW w:w="350" w:type="pct"/>
            <w:shd w:val="clear" w:color="auto" w:fill="auto"/>
            <w:vAlign w:val="center"/>
          </w:tcPr>
          <w:p w14:paraId="4775E2CC" w14:textId="77777777" w:rsidR="00020E37" w:rsidRPr="00ED6EDE" w:rsidRDefault="00020E37" w:rsidP="00522D2D">
            <w:pPr>
              <w:pStyle w:val="Tabletext"/>
              <w:keepNext/>
              <w:keepLines/>
              <w:jc w:val="center"/>
            </w:pPr>
            <w:r w:rsidRPr="00ED6EDE">
              <w:t>High</w:t>
            </w:r>
          </w:p>
        </w:tc>
        <w:tc>
          <w:tcPr>
            <w:tcW w:w="996" w:type="pct"/>
            <w:shd w:val="clear" w:color="auto" w:fill="auto"/>
            <w:vAlign w:val="center"/>
          </w:tcPr>
          <w:p w14:paraId="108A7E62" w14:textId="2D3020A0" w:rsidR="00020E37" w:rsidRPr="00ED6EDE" w:rsidRDefault="00020E37" w:rsidP="00522D2D">
            <w:pPr>
              <w:pStyle w:val="Tabletext"/>
              <w:keepNext/>
              <w:keepLines/>
              <w:jc w:val="center"/>
              <w:rPr>
                <w:vertAlign w:val="superscript"/>
              </w:rPr>
            </w:pPr>
            <w:r w:rsidRPr="00ED6EDE">
              <w:t>All comers</w:t>
            </w:r>
            <w:r w:rsidR="00C707F4" w:rsidRPr="00ED6EDE">
              <w:t xml:space="preserve"> </w:t>
            </w:r>
            <w:r w:rsidR="00C707F4" w:rsidRPr="00ED6EDE">
              <w:rPr>
                <w:vertAlign w:val="superscript"/>
              </w:rPr>
              <w:t>a</w:t>
            </w:r>
          </w:p>
        </w:tc>
        <w:tc>
          <w:tcPr>
            <w:tcW w:w="800" w:type="pct"/>
            <w:shd w:val="clear" w:color="auto" w:fill="auto"/>
            <w:vAlign w:val="center"/>
          </w:tcPr>
          <w:p w14:paraId="2C1F3A03" w14:textId="77777777" w:rsidR="00020E37" w:rsidRPr="00ED6EDE" w:rsidRDefault="00020E37" w:rsidP="00522D2D">
            <w:pPr>
              <w:pStyle w:val="Tabletext"/>
              <w:keepNext/>
              <w:keepLines/>
              <w:jc w:val="center"/>
            </w:pPr>
            <w:r w:rsidRPr="00ED6EDE">
              <w:t xml:space="preserve">ORR by cohort, PFS, OS, </w:t>
            </w:r>
          </w:p>
        </w:tc>
        <w:tc>
          <w:tcPr>
            <w:tcW w:w="761" w:type="pct"/>
            <w:shd w:val="clear" w:color="auto" w:fill="auto"/>
            <w:vAlign w:val="center"/>
          </w:tcPr>
          <w:p w14:paraId="450158B6" w14:textId="77777777" w:rsidR="00020E37" w:rsidRPr="00ED6EDE" w:rsidRDefault="00020E37" w:rsidP="00522D2D">
            <w:pPr>
              <w:pStyle w:val="Tabletext"/>
              <w:keepNext/>
              <w:keepLines/>
              <w:jc w:val="center"/>
            </w:pPr>
            <w:r w:rsidRPr="00ED6EDE">
              <w:t xml:space="preserve">Not used </w:t>
            </w:r>
          </w:p>
        </w:tc>
      </w:tr>
      <w:tr w:rsidR="00020E37" w:rsidRPr="00ED6EDE" w14:paraId="15CA056C" w14:textId="77777777" w:rsidTr="00522D2D">
        <w:tc>
          <w:tcPr>
            <w:tcW w:w="5000" w:type="pct"/>
            <w:gridSpan w:val="7"/>
            <w:shd w:val="clear" w:color="auto" w:fill="auto"/>
            <w:vAlign w:val="center"/>
          </w:tcPr>
          <w:p w14:paraId="3FBB76D1" w14:textId="77777777" w:rsidR="00020E37" w:rsidRPr="00ED6EDE" w:rsidRDefault="00020E37" w:rsidP="00522D2D">
            <w:pPr>
              <w:pStyle w:val="Tabletext"/>
              <w:keepNext/>
              <w:keepLines/>
            </w:pPr>
            <w:r w:rsidRPr="00ED6EDE">
              <w:t>Dostarlimab (near market comparator)</w:t>
            </w:r>
          </w:p>
        </w:tc>
      </w:tr>
      <w:tr w:rsidR="00020E37" w:rsidRPr="00ED6EDE" w14:paraId="29583E71" w14:textId="77777777" w:rsidTr="00522D2D">
        <w:tc>
          <w:tcPr>
            <w:tcW w:w="547" w:type="pct"/>
            <w:shd w:val="clear" w:color="auto" w:fill="auto"/>
            <w:vAlign w:val="center"/>
          </w:tcPr>
          <w:p w14:paraId="023EBD61" w14:textId="77777777" w:rsidR="00020E37" w:rsidRPr="00ED6EDE" w:rsidRDefault="00020E37" w:rsidP="00522D2D">
            <w:pPr>
              <w:pStyle w:val="Tabletext"/>
              <w:keepNext/>
              <w:keepLines/>
            </w:pPr>
            <w:r w:rsidRPr="00ED6EDE">
              <w:t>GARNET</w:t>
            </w:r>
          </w:p>
        </w:tc>
        <w:tc>
          <w:tcPr>
            <w:tcW w:w="633" w:type="pct"/>
            <w:shd w:val="clear" w:color="auto" w:fill="auto"/>
            <w:vAlign w:val="center"/>
          </w:tcPr>
          <w:p w14:paraId="3BF3EE1B" w14:textId="77777777" w:rsidR="00020E37" w:rsidRPr="00ED6EDE" w:rsidRDefault="00020E37" w:rsidP="00522D2D">
            <w:pPr>
              <w:pStyle w:val="Tabletext"/>
              <w:keepNext/>
              <w:keepLines/>
              <w:jc w:val="center"/>
            </w:pPr>
            <w:r w:rsidRPr="00ED6EDE">
              <w:t>79</w:t>
            </w:r>
          </w:p>
        </w:tc>
        <w:tc>
          <w:tcPr>
            <w:tcW w:w="913" w:type="pct"/>
            <w:shd w:val="clear" w:color="auto" w:fill="auto"/>
            <w:vAlign w:val="center"/>
          </w:tcPr>
          <w:p w14:paraId="180260AC" w14:textId="77777777" w:rsidR="00020E37" w:rsidRPr="00ED6EDE" w:rsidRDefault="00020E37" w:rsidP="00522D2D">
            <w:pPr>
              <w:pStyle w:val="Tabletext"/>
              <w:keepNext/>
              <w:keepLines/>
              <w:jc w:val="center"/>
            </w:pPr>
            <w:r w:rsidRPr="00ED6EDE">
              <w:t>SAS, OL, F/U not presented</w:t>
            </w:r>
          </w:p>
        </w:tc>
        <w:tc>
          <w:tcPr>
            <w:tcW w:w="350" w:type="pct"/>
            <w:shd w:val="clear" w:color="auto" w:fill="auto"/>
            <w:vAlign w:val="center"/>
          </w:tcPr>
          <w:p w14:paraId="2E436F51" w14:textId="77777777" w:rsidR="00020E37" w:rsidRPr="00ED6EDE" w:rsidRDefault="00020E37" w:rsidP="00522D2D">
            <w:pPr>
              <w:pStyle w:val="Tabletext"/>
              <w:keepNext/>
              <w:keepLines/>
              <w:jc w:val="center"/>
            </w:pPr>
            <w:r w:rsidRPr="00ED6EDE">
              <w:t>High</w:t>
            </w:r>
          </w:p>
        </w:tc>
        <w:tc>
          <w:tcPr>
            <w:tcW w:w="996" w:type="pct"/>
            <w:shd w:val="clear" w:color="auto" w:fill="auto"/>
            <w:vAlign w:val="center"/>
          </w:tcPr>
          <w:p w14:paraId="6C123F2E" w14:textId="77777777" w:rsidR="00020E37" w:rsidRPr="00ED6EDE" w:rsidRDefault="00020E37" w:rsidP="00522D2D">
            <w:pPr>
              <w:pStyle w:val="Tabletext"/>
              <w:keepNext/>
              <w:keepLines/>
              <w:jc w:val="center"/>
            </w:pPr>
            <w:r w:rsidRPr="00ED6EDE">
              <w:t>dMMR</w:t>
            </w:r>
          </w:p>
        </w:tc>
        <w:tc>
          <w:tcPr>
            <w:tcW w:w="800" w:type="pct"/>
            <w:shd w:val="clear" w:color="auto" w:fill="auto"/>
            <w:vAlign w:val="center"/>
          </w:tcPr>
          <w:p w14:paraId="130EAFDD" w14:textId="77777777" w:rsidR="00020E37" w:rsidRPr="00ED6EDE" w:rsidRDefault="00020E37" w:rsidP="00522D2D">
            <w:pPr>
              <w:pStyle w:val="Tabletext"/>
              <w:keepNext/>
              <w:keepLines/>
              <w:jc w:val="center"/>
            </w:pPr>
            <w:r w:rsidRPr="00ED6EDE">
              <w:t>OS, PFS, ORR</w:t>
            </w:r>
          </w:p>
        </w:tc>
        <w:tc>
          <w:tcPr>
            <w:tcW w:w="761" w:type="pct"/>
            <w:shd w:val="clear" w:color="auto" w:fill="auto"/>
            <w:vAlign w:val="center"/>
          </w:tcPr>
          <w:p w14:paraId="357D7758" w14:textId="77777777" w:rsidR="00020E37" w:rsidRPr="00ED6EDE" w:rsidRDefault="00020E37" w:rsidP="00522D2D">
            <w:pPr>
              <w:pStyle w:val="Tabletext"/>
              <w:keepNext/>
              <w:keepLines/>
              <w:jc w:val="center"/>
            </w:pPr>
            <w:r w:rsidRPr="00ED6EDE">
              <w:t>Not used</w:t>
            </w:r>
          </w:p>
        </w:tc>
      </w:tr>
    </w:tbl>
    <w:p w14:paraId="396035DD" w14:textId="77777777" w:rsidR="00020E37" w:rsidRPr="00ED6EDE" w:rsidRDefault="00020E37" w:rsidP="00020E37">
      <w:pPr>
        <w:pStyle w:val="TableFooter"/>
        <w:keepNext/>
        <w:keepLines/>
      </w:pPr>
      <w:r w:rsidRPr="00ED6EDE">
        <w:t xml:space="preserve">Source: p29 of the submission.  </w:t>
      </w:r>
    </w:p>
    <w:p w14:paraId="3AFF3DB2" w14:textId="17C71C30" w:rsidR="00020E37" w:rsidRPr="00ED6EDE" w:rsidRDefault="00020E37" w:rsidP="00020E37">
      <w:pPr>
        <w:pStyle w:val="TableFooter"/>
        <w:keepNext/>
        <w:keepLines/>
      </w:pPr>
      <w:r w:rsidRPr="00ED6EDE">
        <w:t>DB=double blind; dMMR = deficient mismatch repair</w:t>
      </w:r>
      <w:r w:rsidR="00B67C78" w:rsidRPr="00ED6EDE">
        <w:t>;</w:t>
      </w:r>
      <w:r w:rsidRPr="00ED6EDE">
        <w:t xml:space="preserve"> DoR= duration of response</w:t>
      </w:r>
      <w:r w:rsidR="00B67C78" w:rsidRPr="00ED6EDE">
        <w:t>; EC = endometrial carcinoma;</w:t>
      </w:r>
      <w:r w:rsidRPr="00ED6EDE">
        <w:t xml:space="preserve"> F/U = follow-up MC=multi-centre; </w:t>
      </w:r>
      <w:r w:rsidR="001551EC" w:rsidRPr="00ED6EDE">
        <w:t>MSI-H = microsatellite instability high</w:t>
      </w:r>
      <w:r w:rsidR="00C00ED4" w:rsidRPr="00ED6EDE">
        <w:t xml:space="preserve">; </w:t>
      </w:r>
      <w:r w:rsidRPr="00ED6EDE">
        <w:t>OL=open label; ORR = objective response rate; OS=overall survival; PFS=progression-free survival; pMMR = proficient mismatch repair; R=randomised. SAS = single arm study</w:t>
      </w:r>
    </w:p>
    <w:p w14:paraId="4BC8C43B" w14:textId="4A3306A8" w:rsidR="00AE6453" w:rsidRPr="00ED6EDE" w:rsidRDefault="00C707F4" w:rsidP="00020E37">
      <w:pPr>
        <w:pStyle w:val="TableFooter"/>
        <w:keepNext/>
        <w:keepLines/>
      </w:pPr>
      <w:r w:rsidRPr="00ED6EDE">
        <w:rPr>
          <w:vertAlign w:val="superscript"/>
        </w:rPr>
        <w:t>a</w:t>
      </w:r>
      <w:r w:rsidRPr="00ED6EDE">
        <w:t xml:space="preserve"> </w:t>
      </w:r>
      <w:proofErr w:type="spellStart"/>
      <w:r w:rsidR="00F8743D" w:rsidRPr="00ED6EDE">
        <w:t>A</w:t>
      </w:r>
      <w:proofErr w:type="spellEnd"/>
      <w:r w:rsidR="00F8743D" w:rsidRPr="00ED6EDE">
        <w:t xml:space="preserve"> </w:t>
      </w:r>
      <w:r w:rsidR="00AE6453" w:rsidRPr="00ED6EDE">
        <w:t xml:space="preserve">total of </w:t>
      </w:r>
      <w:r w:rsidR="00B67C78" w:rsidRPr="00ED6EDE">
        <w:t>290 patients (286 treated) with different cancers enrolled in KN146 of which 125 had EC</w:t>
      </w:r>
    </w:p>
    <w:p w14:paraId="6876F8FE" w14:textId="1D0F812A" w:rsidR="00AE6453" w:rsidRPr="00ED6EDE" w:rsidRDefault="00AE6453" w:rsidP="00020E37">
      <w:pPr>
        <w:pStyle w:val="TableFooter"/>
        <w:keepNext/>
        <w:keepLines/>
      </w:pPr>
      <w:r w:rsidRPr="00ED6EDE">
        <w:rPr>
          <w:vertAlign w:val="superscript"/>
        </w:rPr>
        <w:t xml:space="preserve">b </w:t>
      </w:r>
      <w:r w:rsidR="001551EC" w:rsidRPr="00ED6EDE">
        <w:rPr>
          <w:vertAlign w:val="superscript"/>
        </w:rPr>
        <w:t xml:space="preserve"> </w:t>
      </w:r>
      <w:r w:rsidR="00F8743D" w:rsidRPr="00ED6EDE">
        <w:t>A t</w:t>
      </w:r>
      <w:r w:rsidR="001551EC" w:rsidRPr="00ED6EDE">
        <w:t>otal of 1</w:t>
      </w:r>
      <w:r w:rsidR="00F8743D" w:rsidRPr="00ED6EDE">
        <w:t>,</w:t>
      </w:r>
      <w:r w:rsidR="001551EC" w:rsidRPr="00ED6EDE">
        <w:t>595 patients with different cancers enrolled in KN158 of which 90 had MSI-H/dMMR EC</w:t>
      </w:r>
    </w:p>
    <w:p w14:paraId="1A47F8FF" w14:textId="7032E6B2" w:rsidR="00DB60E6" w:rsidRPr="00ED6EDE" w:rsidRDefault="00AE6453" w:rsidP="00020E37">
      <w:pPr>
        <w:pStyle w:val="TableFooter"/>
        <w:keepNext/>
        <w:keepLines/>
      </w:pPr>
      <w:r w:rsidRPr="00ED6EDE">
        <w:rPr>
          <w:vertAlign w:val="superscript"/>
        </w:rPr>
        <w:t>c</w:t>
      </w:r>
      <w:r w:rsidRPr="00ED6EDE">
        <w:t xml:space="preserve"> </w:t>
      </w:r>
      <w:r w:rsidR="00C707F4" w:rsidRPr="00ED6EDE">
        <w:t>assumption, MMR status not measured as part of E-204</w:t>
      </w:r>
    </w:p>
    <w:p w14:paraId="6CEEAA68" w14:textId="6C4B3AB0" w:rsidR="00020E37" w:rsidRPr="00ED6EDE" w:rsidRDefault="00020E37" w:rsidP="00020E37"/>
    <w:p w14:paraId="1D1751A0" w14:textId="74638336" w:rsidR="00633347" w:rsidRPr="00ED6EDE" w:rsidRDefault="00FD1FB9" w:rsidP="005D2C4E">
      <w:pPr>
        <w:pStyle w:val="ListParagraph"/>
        <w:widowControl/>
        <w:numPr>
          <w:ilvl w:val="1"/>
          <w:numId w:val="2"/>
        </w:numPr>
        <w:spacing w:after="120"/>
        <w:rPr>
          <w:iCs/>
        </w:rPr>
      </w:pPr>
      <w:r w:rsidRPr="00ED6EDE">
        <w:t>The c</w:t>
      </w:r>
      <w:r w:rsidR="00633347" w:rsidRPr="00ED6EDE">
        <w:t>omparative efficacy of the pembrolizumab plus lenvatinib combination in all</w:t>
      </w:r>
      <w:r w:rsidR="00710A90" w:rsidRPr="00ED6EDE">
        <w:noBreakHyphen/>
      </w:r>
      <w:r w:rsidR="00633347" w:rsidRPr="00ED6EDE">
        <w:t xml:space="preserve">comers </w:t>
      </w:r>
      <w:r w:rsidR="00B47AE0" w:rsidRPr="00ED6EDE">
        <w:t xml:space="preserve">(i.e. in pMMR and dMMR patients) </w:t>
      </w:r>
      <w:r w:rsidR="00633347" w:rsidRPr="00ED6EDE">
        <w:t xml:space="preserve">was supported by the KN775 trial. However, KN775 did not have a pembrolizumab monotherapy arm. Instead, </w:t>
      </w:r>
      <w:r w:rsidRPr="00ED6EDE">
        <w:t xml:space="preserve">to support the efficacy of pembrolizumab monotherapy, </w:t>
      </w:r>
      <w:r w:rsidR="00633347" w:rsidRPr="00ED6EDE">
        <w:t xml:space="preserve">the submission relied on the results of the single arm KN158 and a side by side comparison with KN775 in the dMMR subpopulation. </w:t>
      </w:r>
    </w:p>
    <w:p w14:paraId="4306E313" w14:textId="4B1C6D60" w:rsidR="00020E37" w:rsidRPr="00ED6EDE" w:rsidRDefault="00020E37" w:rsidP="005D2C4E">
      <w:pPr>
        <w:pStyle w:val="ListParagraph"/>
        <w:widowControl/>
        <w:numPr>
          <w:ilvl w:val="1"/>
          <w:numId w:val="2"/>
        </w:numPr>
        <w:spacing w:after="120"/>
        <w:rPr>
          <w:iCs/>
        </w:rPr>
      </w:pPr>
      <w:r w:rsidRPr="00ED6EDE">
        <w:rPr>
          <w:iCs/>
        </w:rPr>
        <w:t xml:space="preserve">The remaining studies </w:t>
      </w:r>
      <w:r w:rsidR="00A06CDF" w:rsidRPr="00ED6EDE">
        <w:rPr>
          <w:iCs/>
        </w:rPr>
        <w:t xml:space="preserve">(i.e. other than KN775) </w:t>
      </w:r>
      <w:r w:rsidR="00F8743D" w:rsidRPr="00ED6EDE">
        <w:rPr>
          <w:iCs/>
        </w:rPr>
        <w:t>were</w:t>
      </w:r>
      <w:r w:rsidRPr="00ED6EDE">
        <w:rPr>
          <w:iCs/>
        </w:rPr>
        <w:t xml:space="preserve"> </w:t>
      </w:r>
      <w:proofErr w:type="gramStart"/>
      <w:r w:rsidR="001C0EA5" w:rsidRPr="00ED6EDE">
        <w:rPr>
          <w:iCs/>
        </w:rPr>
        <w:t>non randomised</w:t>
      </w:r>
      <w:proofErr w:type="gramEnd"/>
      <w:r w:rsidR="001C0EA5" w:rsidRPr="00ED6EDE">
        <w:rPr>
          <w:iCs/>
        </w:rPr>
        <w:t>, single arm studies</w:t>
      </w:r>
      <w:r w:rsidRPr="00ED6EDE">
        <w:rPr>
          <w:iCs/>
        </w:rPr>
        <w:t xml:space="preserve">, </w:t>
      </w:r>
      <w:r w:rsidR="00F8743D" w:rsidRPr="00ED6EDE">
        <w:rPr>
          <w:iCs/>
        </w:rPr>
        <w:t>and</w:t>
      </w:r>
      <w:r w:rsidRPr="00ED6EDE">
        <w:rPr>
          <w:iCs/>
        </w:rPr>
        <w:t xml:space="preserve"> would be expected to have a high risk of</w:t>
      </w:r>
      <w:r w:rsidR="001C0EA5" w:rsidRPr="00ED6EDE">
        <w:rPr>
          <w:iCs/>
        </w:rPr>
        <w:t xml:space="preserve"> selection</w:t>
      </w:r>
      <w:r w:rsidRPr="00ED6EDE">
        <w:rPr>
          <w:iCs/>
        </w:rPr>
        <w:t xml:space="preserve"> bias</w:t>
      </w:r>
      <w:r w:rsidR="00D82149" w:rsidRPr="00ED6EDE">
        <w:rPr>
          <w:iCs/>
        </w:rPr>
        <w:t>, and the lack of a control arm prevented any pre-specified statistical comparison.</w:t>
      </w:r>
      <w:r w:rsidRPr="00ED6EDE">
        <w:rPr>
          <w:iCs/>
        </w:rPr>
        <w:t xml:space="preserve"> </w:t>
      </w:r>
    </w:p>
    <w:p w14:paraId="7A421CB3" w14:textId="283EC315" w:rsidR="00020E37" w:rsidRDefault="0057115E" w:rsidP="005D2C4E">
      <w:pPr>
        <w:pStyle w:val="ListParagraph"/>
        <w:widowControl/>
        <w:numPr>
          <w:ilvl w:val="1"/>
          <w:numId w:val="2"/>
        </w:numPr>
        <w:spacing w:after="120"/>
        <w:rPr>
          <w:iCs/>
        </w:rPr>
      </w:pPr>
      <w:bookmarkStart w:id="30" w:name="_Ref90228564"/>
      <w:r w:rsidRPr="00ED6EDE">
        <w:t xml:space="preserve">The submission stated that in KN775, the total family-wise error rate (Type I error) among the primary PFS and OS </w:t>
      </w:r>
      <w:r w:rsidR="00633347" w:rsidRPr="00ED6EDE">
        <w:t>outcomes</w:t>
      </w:r>
      <w:r w:rsidRPr="00ED6EDE">
        <w:t xml:space="preserve">, ORR analysis, and for </w:t>
      </w:r>
      <w:r w:rsidR="00907F18" w:rsidRPr="00ED6EDE">
        <w:t xml:space="preserve">both the </w:t>
      </w:r>
      <w:r w:rsidRPr="00ED6EDE">
        <w:t xml:space="preserve">pMMR and all-comer </w:t>
      </w:r>
      <w:r w:rsidR="00907F18" w:rsidRPr="00ED6EDE">
        <w:t xml:space="preserve">patients </w:t>
      </w:r>
      <w:r w:rsidRPr="00ED6EDE">
        <w:t xml:space="preserve">was controlled at one-sided 0.025 level. </w:t>
      </w:r>
      <w:r w:rsidRPr="00ED6EDE">
        <w:rPr>
          <w:iCs/>
        </w:rPr>
        <w:t>A</w:t>
      </w:r>
      <w:r w:rsidR="00020E37" w:rsidRPr="00ED6EDE">
        <w:rPr>
          <w:iCs/>
        </w:rPr>
        <w:t>nalyses in the dMMR subgroup of KN775 were not included in the alpha spending</w:t>
      </w:r>
      <w:r w:rsidR="00DC6F9D" w:rsidRPr="00ED6EDE">
        <w:rPr>
          <w:iCs/>
        </w:rPr>
        <w:t xml:space="preserve"> as part of the planned statistical analysis</w:t>
      </w:r>
      <w:r w:rsidR="00C62E1D">
        <w:rPr>
          <w:iCs/>
        </w:rPr>
        <w:t>;</w:t>
      </w:r>
      <w:r w:rsidR="00FD1FB9" w:rsidRPr="00ED6EDE">
        <w:rPr>
          <w:iCs/>
        </w:rPr>
        <w:t xml:space="preserve"> thus</w:t>
      </w:r>
      <w:r w:rsidR="00C62E1D">
        <w:rPr>
          <w:iCs/>
        </w:rPr>
        <w:t>, while</w:t>
      </w:r>
      <w:r w:rsidR="00020E37" w:rsidRPr="00ED6EDE">
        <w:rPr>
          <w:iCs/>
        </w:rPr>
        <w:t xml:space="preserve"> </w:t>
      </w:r>
      <w:r w:rsidR="00C62E1D" w:rsidRPr="00C62E1D">
        <w:rPr>
          <w:iCs/>
        </w:rPr>
        <w:t>KN775 was stratified for MMR status</w:t>
      </w:r>
      <w:r w:rsidR="00C62E1D">
        <w:rPr>
          <w:iCs/>
        </w:rPr>
        <w:t>,</w:t>
      </w:r>
      <w:r w:rsidR="00C62E1D" w:rsidRPr="00ED6EDE">
        <w:rPr>
          <w:iCs/>
        </w:rPr>
        <w:t xml:space="preserve"> </w:t>
      </w:r>
      <w:r w:rsidR="00020E37" w:rsidRPr="00ED6EDE">
        <w:rPr>
          <w:iCs/>
        </w:rPr>
        <w:t>the results for the dMMR subgroup</w:t>
      </w:r>
      <w:r w:rsidR="00DC6F9D" w:rsidRPr="00ED6EDE">
        <w:rPr>
          <w:iCs/>
        </w:rPr>
        <w:t xml:space="preserve"> </w:t>
      </w:r>
      <w:r w:rsidR="00020E37" w:rsidRPr="00ED6EDE">
        <w:rPr>
          <w:iCs/>
        </w:rPr>
        <w:t>should be considered exploratory.</w:t>
      </w:r>
      <w:bookmarkEnd w:id="30"/>
    </w:p>
    <w:p w14:paraId="55540632" w14:textId="581B6507" w:rsidR="00020E37" w:rsidRPr="00ED6EDE" w:rsidRDefault="00DC6F9D" w:rsidP="00A062E7">
      <w:pPr>
        <w:pStyle w:val="ListParagraph"/>
        <w:widowControl/>
        <w:numPr>
          <w:ilvl w:val="1"/>
          <w:numId w:val="2"/>
        </w:numPr>
        <w:rPr>
          <w:iCs/>
        </w:rPr>
      </w:pPr>
      <w:bookmarkStart w:id="31" w:name="_Ref90293253"/>
      <w:r w:rsidRPr="00ED6EDE">
        <w:t xml:space="preserve">Patients randomised to pembrolizumab plus lenvatinib in KN775 </w:t>
      </w:r>
      <w:r w:rsidR="007731A1" w:rsidRPr="00ED6EDE">
        <w:t xml:space="preserve">were treated with pembrolizumab for up to </w:t>
      </w:r>
      <w:r w:rsidR="008A1212" w:rsidRPr="00ED6EDE">
        <w:t>35 cycles (</w:t>
      </w:r>
      <w:r w:rsidR="007731A1" w:rsidRPr="00ED6EDE">
        <w:t>two years</w:t>
      </w:r>
      <w:r w:rsidR="008A1212" w:rsidRPr="00ED6EDE">
        <w:t>)</w:t>
      </w:r>
      <w:r w:rsidR="00800BE7" w:rsidRPr="00ED6EDE">
        <w:t>.</w:t>
      </w:r>
      <w:r w:rsidR="008A1212" w:rsidRPr="00ED6EDE">
        <w:t xml:space="preserve"> </w:t>
      </w:r>
      <w:r w:rsidR="00800BE7" w:rsidRPr="00ED6EDE">
        <w:t>However, patients who stop</w:t>
      </w:r>
      <w:r w:rsidR="00FD1FB9" w:rsidRPr="00ED6EDE">
        <w:t>ped</w:t>
      </w:r>
      <w:r w:rsidR="00800BE7" w:rsidRPr="00ED6EDE">
        <w:t xml:space="preserve"> treatment with stable disease or better </w:t>
      </w:r>
      <w:r w:rsidR="00FD1FB9" w:rsidRPr="00ED6EDE">
        <w:t>were</w:t>
      </w:r>
      <w:r w:rsidR="00800BE7" w:rsidRPr="00ED6EDE">
        <w:t xml:space="preserve"> eligible for up to an additional year of treatment with pembrolizumab (17 cycles) ± lenvatinib if they progress</w:t>
      </w:r>
      <w:r w:rsidR="00FD1FB9" w:rsidRPr="00ED6EDE">
        <w:t>ed</w:t>
      </w:r>
      <w:r w:rsidR="00800BE7" w:rsidRPr="00ED6EDE">
        <w:t xml:space="preserve"> after stopping study treatment. </w:t>
      </w:r>
      <w:r w:rsidR="00020E37" w:rsidRPr="00ED6EDE">
        <w:rPr>
          <w:iCs/>
        </w:rPr>
        <w:t xml:space="preserve">The discontinuation rules for pembrolizumab in KN775 were not consistent with the proposed restriction, as patients would not be eligible for </w:t>
      </w:r>
      <w:r w:rsidR="002A73E1" w:rsidRPr="00ED6EDE">
        <w:rPr>
          <w:iCs/>
        </w:rPr>
        <w:t xml:space="preserve">additional </w:t>
      </w:r>
      <w:r w:rsidR="00020E37" w:rsidRPr="00ED6EDE">
        <w:rPr>
          <w:iCs/>
        </w:rPr>
        <w:t xml:space="preserve">pembrolizumab if they have progressive disease. This </w:t>
      </w:r>
      <w:r w:rsidR="00A06CDF" w:rsidRPr="00ED6EDE">
        <w:rPr>
          <w:iCs/>
        </w:rPr>
        <w:t>may</w:t>
      </w:r>
      <w:r w:rsidR="00020E37" w:rsidRPr="00ED6EDE">
        <w:rPr>
          <w:iCs/>
        </w:rPr>
        <w:t xml:space="preserve"> affect the applicability </w:t>
      </w:r>
      <w:r w:rsidR="00A06CDF" w:rsidRPr="00ED6EDE">
        <w:rPr>
          <w:iCs/>
        </w:rPr>
        <w:t xml:space="preserve">of efficacy estimates from KN775 and also the </w:t>
      </w:r>
      <w:r w:rsidR="00020E37" w:rsidRPr="00ED6EDE">
        <w:rPr>
          <w:iCs/>
        </w:rPr>
        <w:t>time on treatment (ToT) estimates</w:t>
      </w:r>
      <w:r w:rsidR="0094342C" w:rsidRPr="00ED6EDE">
        <w:rPr>
          <w:iCs/>
        </w:rPr>
        <w:t xml:space="preserve"> </w:t>
      </w:r>
      <w:r w:rsidR="00A06CDF" w:rsidRPr="00ED6EDE">
        <w:rPr>
          <w:iCs/>
        </w:rPr>
        <w:t>used</w:t>
      </w:r>
      <w:r w:rsidR="0094342C" w:rsidRPr="00ED6EDE">
        <w:rPr>
          <w:iCs/>
        </w:rPr>
        <w:t xml:space="preserve"> </w:t>
      </w:r>
      <w:r w:rsidR="00020E37" w:rsidRPr="00ED6EDE">
        <w:rPr>
          <w:iCs/>
        </w:rPr>
        <w:t>in the economic evaluation</w:t>
      </w:r>
      <w:r w:rsidR="0094342C" w:rsidRPr="00ED6EDE">
        <w:rPr>
          <w:iCs/>
        </w:rPr>
        <w:t>. I</w:t>
      </w:r>
      <w:r w:rsidR="003E110D" w:rsidRPr="00ED6EDE">
        <w:rPr>
          <w:iCs/>
        </w:rPr>
        <w:t xml:space="preserve">t was noted that 9% of patients in </w:t>
      </w:r>
      <w:r w:rsidR="00AF75E7" w:rsidRPr="00ED6EDE">
        <w:rPr>
          <w:iCs/>
        </w:rPr>
        <w:t xml:space="preserve">the pembrolizumab plus lenvatinib arm </w:t>
      </w:r>
      <w:r w:rsidR="00FD1FB9" w:rsidRPr="00ED6EDE">
        <w:rPr>
          <w:iCs/>
        </w:rPr>
        <w:t>of</w:t>
      </w:r>
      <w:r w:rsidR="00AF75E7" w:rsidRPr="00ED6EDE">
        <w:rPr>
          <w:iCs/>
        </w:rPr>
        <w:t xml:space="preserve"> </w:t>
      </w:r>
      <w:r w:rsidR="003E110D" w:rsidRPr="00ED6EDE">
        <w:rPr>
          <w:iCs/>
        </w:rPr>
        <w:t xml:space="preserve">KN775 remained on treatment after </w:t>
      </w:r>
      <w:r w:rsidR="00701334" w:rsidRPr="00ED6EDE">
        <w:rPr>
          <w:iCs/>
        </w:rPr>
        <w:t>24 months</w:t>
      </w:r>
      <w:r w:rsidR="003E110D" w:rsidRPr="00ED6EDE">
        <w:rPr>
          <w:iCs/>
        </w:rPr>
        <w:t xml:space="preserve"> based on the ToT data provided in the economic evaluation in the submission</w:t>
      </w:r>
      <w:r w:rsidR="00020E37" w:rsidRPr="00ED6EDE">
        <w:rPr>
          <w:iCs/>
        </w:rPr>
        <w:t>.</w:t>
      </w:r>
      <w:bookmarkEnd w:id="31"/>
      <w:r w:rsidR="00020E37" w:rsidRPr="00ED6EDE">
        <w:rPr>
          <w:iCs/>
        </w:rPr>
        <w:t xml:space="preserve"> </w:t>
      </w:r>
      <w:r w:rsidR="00D07C78" w:rsidRPr="00ED6EDE">
        <w:t>The PSCR (p4) noted that the maximum ToT for pembrolizumab</w:t>
      </w:r>
      <w:r w:rsidR="00701334" w:rsidRPr="00ED6EDE">
        <w:t xml:space="preserve"> in the economic model</w:t>
      </w:r>
      <w:r w:rsidR="00D07C78" w:rsidRPr="00ED6EDE">
        <w:t xml:space="preserve"> was set at 24 months to reflect the</w:t>
      </w:r>
      <w:r w:rsidR="00701334" w:rsidRPr="00ED6EDE">
        <w:t xml:space="preserve"> proposed</w:t>
      </w:r>
      <w:r w:rsidR="00D07C78" w:rsidRPr="00ED6EDE">
        <w:t xml:space="preserve"> PBS </w:t>
      </w:r>
      <w:r w:rsidR="00701334" w:rsidRPr="00ED6EDE">
        <w:t>listing</w:t>
      </w:r>
      <w:r w:rsidR="00D07C78" w:rsidRPr="00ED6EDE">
        <w:t>.</w:t>
      </w:r>
    </w:p>
    <w:p w14:paraId="7BCFF907" w14:textId="77777777" w:rsidR="00020E37" w:rsidRPr="00F200ED" w:rsidRDefault="00020E37" w:rsidP="00020E37">
      <w:pPr>
        <w:pStyle w:val="Heading2"/>
      </w:pPr>
      <w:bookmarkStart w:id="32" w:name="_Toc93478153"/>
      <w:r w:rsidRPr="00F200ED">
        <w:t>Comparative effectiveness</w:t>
      </w:r>
      <w:bookmarkEnd w:id="32"/>
    </w:p>
    <w:p w14:paraId="7491729B" w14:textId="77777777" w:rsidR="00020E37" w:rsidRPr="00ED6EDE" w:rsidRDefault="00020E37" w:rsidP="00020E37">
      <w:pPr>
        <w:widowControl/>
      </w:pPr>
    </w:p>
    <w:p w14:paraId="0AE6A843" w14:textId="3B041C1B" w:rsidR="00020E37" w:rsidRPr="00ED6EDE" w:rsidRDefault="00020E37" w:rsidP="005D2C4E">
      <w:pPr>
        <w:pStyle w:val="ListParagraph"/>
        <w:widowControl/>
        <w:numPr>
          <w:ilvl w:val="1"/>
          <w:numId w:val="2"/>
        </w:numPr>
        <w:spacing w:after="120"/>
        <w:rPr>
          <w:color w:val="000000" w:themeColor="text1"/>
        </w:rPr>
      </w:pPr>
      <w:r w:rsidRPr="00ED6EDE">
        <w:rPr>
          <w:rFonts w:cs="Calibri"/>
          <w:snapToGrid/>
          <w:color w:val="000000" w:themeColor="text1"/>
          <w:szCs w:val="24"/>
          <w:lang w:eastAsia="en-AU"/>
        </w:rPr>
        <w:t xml:space="preserve">A summary of the OS and PFS results </w:t>
      </w:r>
      <w:r w:rsidR="009B1505" w:rsidRPr="00ED6EDE">
        <w:rPr>
          <w:rFonts w:cs="Calibri"/>
          <w:snapToGrid/>
          <w:color w:val="000000" w:themeColor="text1"/>
          <w:szCs w:val="24"/>
          <w:lang w:eastAsia="en-AU"/>
        </w:rPr>
        <w:t>from the included trials and studies is</w:t>
      </w:r>
      <w:r w:rsidRPr="00ED6EDE">
        <w:rPr>
          <w:rFonts w:cs="Calibri"/>
          <w:snapToGrid/>
          <w:color w:val="000000" w:themeColor="text1"/>
          <w:szCs w:val="24"/>
          <w:lang w:eastAsia="en-AU"/>
        </w:rPr>
        <w:t xml:space="preserve"> presented in </w:t>
      </w:r>
      <w:r w:rsidRPr="00ED6EDE">
        <w:fldChar w:fldCharType="begin"/>
      </w:r>
      <w:r w:rsidRPr="00ED6EDE">
        <w:instrText xml:space="preserve"> REF _Ref89982742 \h  \* MERGEFORMAT </w:instrText>
      </w:r>
      <w:r w:rsidRPr="00ED6EDE">
        <w:fldChar w:fldCharType="separate"/>
      </w:r>
      <w:r w:rsidR="004163DD" w:rsidRPr="004163DD">
        <w:t>Table 4</w:t>
      </w:r>
      <w:r w:rsidRPr="00ED6EDE">
        <w:fldChar w:fldCharType="end"/>
      </w:r>
      <w:r w:rsidRPr="00ED6EDE">
        <w:t>.</w:t>
      </w:r>
    </w:p>
    <w:p w14:paraId="4DD1C0DF" w14:textId="793639CF" w:rsidR="00020E37" w:rsidRPr="00ED6EDE" w:rsidRDefault="00020E37" w:rsidP="00020E37">
      <w:pPr>
        <w:keepNext/>
        <w:keepLines/>
        <w:rPr>
          <w:rStyle w:val="CommentReference"/>
        </w:rPr>
      </w:pPr>
      <w:bookmarkStart w:id="33" w:name="_Ref89982742"/>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4</w:t>
      </w:r>
      <w:r w:rsidRPr="00ED6EDE">
        <w:rPr>
          <w:rStyle w:val="CommentReference"/>
        </w:rPr>
        <w:fldChar w:fldCharType="end"/>
      </w:r>
      <w:bookmarkEnd w:id="33"/>
      <w:r w:rsidRPr="00ED6EDE">
        <w:rPr>
          <w:rStyle w:val="CommentReference"/>
        </w:rPr>
        <w:t xml:space="preserve">: Summary of OS and PFS for combination treatment and monotherapy </w:t>
      </w:r>
    </w:p>
    <w:tbl>
      <w:tblPr>
        <w:tblStyle w:val="TableGrid10"/>
        <w:tblW w:w="5082" w:type="pct"/>
        <w:tblLayout w:type="fixed"/>
        <w:tblCellMar>
          <w:left w:w="11" w:type="dxa"/>
          <w:right w:w="11" w:type="dxa"/>
        </w:tblCellMar>
        <w:tblLook w:val="04A0" w:firstRow="1" w:lastRow="0" w:firstColumn="1" w:lastColumn="0" w:noHBand="0" w:noVBand="1"/>
      </w:tblPr>
      <w:tblGrid>
        <w:gridCol w:w="423"/>
        <w:gridCol w:w="378"/>
        <w:gridCol w:w="1037"/>
        <w:gridCol w:w="891"/>
        <w:gridCol w:w="6"/>
        <w:gridCol w:w="887"/>
        <w:gridCol w:w="6"/>
        <w:gridCol w:w="976"/>
        <w:gridCol w:w="893"/>
        <w:gridCol w:w="6"/>
        <w:gridCol w:w="887"/>
        <w:gridCol w:w="6"/>
        <w:gridCol w:w="887"/>
        <w:gridCol w:w="6"/>
        <w:gridCol w:w="888"/>
        <w:gridCol w:w="6"/>
        <w:gridCol w:w="976"/>
        <w:gridCol w:w="6"/>
      </w:tblGrid>
      <w:tr w:rsidR="00020E37" w:rsidRPr="00ED6EDE" w14:paraId="53F86FF4" w14:textId="77777777" w:rsidTr="00710A90">
        <w:tc>
          <w:tcPr>
            <w:tcW w:w="801" w:type="dxa"/>
            <w:gridSpan w:val="2"/>
            <w:vMerge w:val="restart"/>
            <w:vAlign w:val="center"/>
          </w:tcPr>
          <w:p w14:paraId="02E0FD23" w14:textId="77777777" w:rsidR="00020E37" w:rsidRPr="00ED6EDE" w:rsidRDefault="00020E37" w:rsidP="00522D2D">
            <w:pPr>
              <w:pStyle w:val="Tabletext"/>
              <w:keepNext/>
              <w:keepLines/>
              <w:rPr>
                <w:b/>
                <w:bCs/>
              </w:rPr>
            </w:pPr>
            <w:r w:rsidRPr="00ED6EDE">
              <w:rPr>
                <w:b/>
                <w:bCs/>
              </w:rPr>
              <w:t>Trial/</w:t>
            </w:r>
          </w:p>
          <w:p w14:paraId="0C5BDE31" w14:textId="77777777" w:rsidR="00020E37" w:rsidRPr="00ED6EDE" w:rsidRDefault="00020E37" w:rsidP="00522D2D">
            <w:pPr>
              <w:pStyle w:val="Tabletext"/>
              <w:keepNext/>
              <w:keepLines/>
              <w:rPr>
                <w:b/>
                <w:bCs/>
              </w:rPr>
            </w:pPr>
            <w:r w:rsidRPr="00ED6EDE">
              <w:rPr>
                <w:b/>
                <w:bCs/>
              </w:rPr>
              <w:t>study</w:t>
            </w:r>
          </w:p>
        </w:tc>
        <w:tc>
          <w:tcPr>
            <w:tcW w:w="2827" w:type="dxa"/>
            <w:gridSpan w:val="5"/>
            <w:vMerge w:val="restart"/>
            <w:vAlign w:val="center"/>
          </w:tcPr>
          <w:p w14:paraId="3B67B34D" w14:textId="77777777" w:rsidR="00020E37" w:rsidRPr="00ED6EDE" w:rsidRDefault="00020E37" w:rsidP="00522D2D">
            <w:pPr>
              <w:pStyle w:val="Tabletext"/>
              <w:keepNext/>
              <w:keepLines/>
              <w:jc w:val="center"/>
              <w:rPr>
                <w:b/>
                <w:bCs/>
              </w:rPr>
            </w:pPr>
            <w:r w:rsidRPr="00ED6EDE">
              <w:rPr>
                <w:b/>
                <w:bCs/>
              </w:rPr>
              <w:t>All comers</w:t>
            </w:r>
          </w:p>
        </w:tc>
        <w:tc>
          <w:tcPr>
            <w:tcW w:w="5537" w:type="dxa"/>
            <w:gridSpan w:val="11"/>
            <w:vAlign w:val="center"/>
          </w:tcPr>
          <w:p w14:paraId="145675F8" w14:textId="77777777" w:rsidR="00020E37" w:rsidRPr="00ED6EDE" w:rsidRDefault="00020E37" w:rsidP="00522D2D">
            <w:pPr>
              <w:pStyle w:val="Tabletext"/>
              <w:keepNext/>
              <w:keepLines/>
              <w:jc w:val="center"/>
              <w:rPr>
                <w:b/>
                <w:bCs/>
              </w:rPr>
            </w:pPr>
            <w:r w:rsidRPr="00ED6EDE">
              <w:rPr>
                <w:b/>
                <w:bCs/>
              </w:rPr>
              <w:t>Subgroups</w:t>
            </w:r>
          </w:p>
        </w:tc>
      </w:tr>
      <w:tr w:rsidR="00020E37" w:rsidRPr="00ED6EDE" w14:paraId="63F0A639" w14:textId="77777777" w:rsidTr="00710A90">
        <w:tc>
          <w:tcPr>
            <w:tcW w:w="801" w:type="dxa"/>
            <w:gridSpan w:val="2"/>
            <w:vMerge/>
            <w:vAlign w:val="center"/>
          </w:tcPr>
          <w:p w14:paraId="7CEBBAB4" w14:textId="77777777" w:rsidR="00020E37" w:rsidRPr="00ED6EDE" w:rsidRDefault="00020E37" w:rsidP="00522D2D">
            <w:pPr>
              <w:pStyle w:val="Tabletext"/>
              <w:keepNext/>
              <w:keepLines/>
            </w:pPr>
          </w:p>
        </w:tc>
        <w:tc>
          <w:tcPr>
            <w:tcW w:w="2827" w:type="dxa"/>
            <w:gridSpan w:val="5"/>
            <w:vMerge/>
            <w:vAlign w:val="center"/>
          </w:tcPr>
          <w:p w14:paraId="7A668E23" w14:textId="77777777" w:rsidR="00020E37" w:rsidRPr="00ED6EDE" w:rsidRDefault="00020E37" w:rsidP="00522D2D">
            <w:pPr>
              <w:pStyle w:val="Tabletext"/>
              <w:keepNext/>
              <w:keepLines/>
              <w:jc w:val="center"/>
            </w:pPr>
          </w:p>
        </w:tc>
        <w:tc>
          <w:tcPr>
            <w:tcW w:w="2768" w:type="dxa"/>
            <w:gridSpan w:val="5"/>
            <w:vAlign w:val="center"/>
          </w:tcPr>
          <w:p w14:paraId="4B67D391" w14:textId="77777777" w:rsidR="00020E37" w:rsidRPr="00ED6EDE" w:rsidRDefault="00020E37" w:rsidP="00522D2D">
            <w:pPr>
              <w:pStyle w:val="Tabletext"/>
              <w:keepNext/>
              <w:keepLines/>
              <w:jc w:val="center"/>
              <w:rPr>
                <w:b/>
                <w:bCs/>
              </w:rPr>
            </w:pPr>
            <w:r w:rsidRPr="00ED6EDE">
              <w:rPr>
                <w:b/>
                <w:bCs/>
              </w:rPr>
              <w:t>pMMR</w:t>
            </w:r>
          </w:p>
        </w:tc>
        <w:tc>
          <w:tcPr>
            <w:tcW w:w="2769" w:type="dxa"/>
            <w:gridSpan w:val="6"/>
            <w:vAlign w:val="center"/>
          </w:tcPr>
          <w:p w14:paraId="692C4F72" w14:textId="77777777" w:rsidR="00020E37" w:rsidRPr="00ED6EDE" w:rsidRDefault="00020E37" w:rsidP="00522D2D">
            <w:pPr>
              <w:pStyle w:val="Tabletext"/>
              <w:keepNext/>
              <w:keepLines/>
              <w:jc w:val="center"/>
              <w:rPr>
                <w:b/>
                <w:bCs/>
              </w:rPr>
            </w:pPr>
            <w:r w:rsidRPr="00ED6EDE">
              <w:rPr>
                <w:b/>
                <w:bCs/>
              </w:rPr>
              <w:t>dMMR</w:t>
            </w:r>
          </w:p>
        </w:tc>
      </w:tr>
      <w:tr w:rsidR="00020E37" w:rsidRPr="00ED6EDE" w14:paraId="6A007B9C" w14:textId="77777777" w:rsidTr="00710A90">
        <w:tc>
          <w:tcPr>
            <w:tcW w:w="801" w:type="dxa"/>
            <w:gridSpan w:val="2"/>
            <w:vMerge/>
            <w:vAlign w:val="center"/>
          </w:tcPr>
          <w:p w14:paraId="2225C26F" w14:textId="77777777" w:rsidR="00020E37" w:rsidRPr="00ED6EDE" w:rsidRDefault="00020E37" w:rsidP="00522D2D">
            <w:pPr>
              <w:pStyle w:val="Tabletext"/>
              <w:keepNext/>
              <w:keepLines/>
            </w:pPr>
          </w:p>
        </w:tc>
        <w:tc>
          <w:tcPr>
            <w:tcW w:w="1934" w:type="dxa"/>
            <w:gridSpan w:val="3"/>
            <w:vAlign w:val="center"/>
          </w:tcPr>
          <w:p w14:paraId="1DA0DB1E" w14:textId="77777777" w:rsidR="00020E37" w:rsidRPr="00ED6EDE" w:rsidRDefault="00020E37" w:rsidP="00522D2D">
            <w:pPr>
              <w:pStyle w:val="Tabletext"/>
              <w:keepNext/>
              <w:keepLines/>
              <w:jc w:val="center"/>
              <w:rPr>
                <w:b/>
                <w:bCs/>
              </w:rPr>
            </w:pPr>
            <w:r w:rsidRPr="00ED6EDE">
              <w:rPr>
                <w:b/>
                <w:bCs/>
              </w:rPr>
              <w:t>Median (months [95% CI])</w:t>
            </w:r>
          </w:p>
        </w:tc>
        <w:tc>
          <w:tcPr>
            <w:tcW w:w="893" w:type="dxa"/>
            <w:gridSpan w:val="2"/>
            <w:vAlign w:val="center"/>
          </w:tcPr>
          <w:p w14:paraId="3F02C99E" w14:textId="77777777" w:rsidR="00020E37" w:rsidRPr="00ED6EDE" w:rsidRDefault="00020E37" w:rsidP="00522D2D">
            <w:pPr>
              <w:pStyle w:val="Tabletext"/>
              <w:keepNext/>
              <w:keepLines/>
              <w:jc w:val="center"/>
              <w:rPr>
                <w:b/>
                <w:bCs/>
              </w:rPr>
            </w:pPr>
            <w:r w:rsidRPr="00ED6EDE">
              <w:rPr>
                <w:b/>
                <w:bCs/>
              </w:rPr>
              <w:t>HR (95% CI)</w:t>
            </w:r>
          </w:p>
        </w:tc>
        <w:tc>
          <w:tcPr>
            <w:tcW w:w="1875" w:type="dxa"/>
            <w:gridSpan w:val="3"/>
            <w:vAlign w:val="center"/>
          </w:tcPr>
          <w:p w14:paraId="68FD8352" w14:textId="77777777" w:rsidR="00020E37" w:rsidRPr="00ED6EDE" w:rsidRDefault="00020E37" w:rsidP="00522D2D">
            <w:pPr>
              <w:pStyle w:val="Tabletext"/>
              <w:keepNext/>
              <w:keepLines/>
              <w:jc w:val="center"/>
              <w:rPr>
                <w:b/>
                <w:bCs/>
              </w:rPr>
            </w:pPr>
            <w:r w:rsidRPr="00ED6EDE">
              <w:rPr>
                <w:b/>
                <w:bCs/>
              </w:rPr>
              <w:t>Median (months [95% CI])</w:t>
            </w:r>
          </w:p>
        </w:tc>
        <w:tc>
          <w:tcPr>
            <w:tcW w:w="893" w:type="dxa"/>
            <w:gridSpan w:val="2"/>
            <w:vAlign w:val="center"/>
          </w:tcPr>
          <w:p w14:paraId="60A3C138" w14:textId="77777777" w:rsidR="00020E37" w:rsidRPr="00ED6EDE" w:rsidRDefault="00020E37" w:rsidP="00522D2D">
            <w:pPr>
              <w:pStyle w:val="Tabletext"/>
              <w:keepNext/>
              <w:keepLines/>
              <w:jc w:val="center"/>
              <w:rPr>
                <w:b/>
                <w:bCs/>
              </w:rPr>
            </w:pPr>
            <w:r w:rsidRPr="00ED6EDE">
              <w:rPr>
                <w:b/>
                <w:bCs/>
              </w:rPr>
              <w:t>HR (95% CI)</w:t>
            </w:r>
          </w:p>
        </w:tc>
        <w:tc>
          <w:tcPr>
            <w:tcW w:w="1787" w:type="dxa"/>
            <w:gridSpan w:val="4"/>
            <w:vAlign w:val="center"/>
          </w:tcPr>
          <w:p w14:paraId="053878C9" w14:textId="77777777" w:rsidR="00020E37" w:rsidRPr="00ED6EDE" w:rsidRDefault="00020E37" w:rsidP="00522D2D">
            <w:pPr>
              <w:pStyle w:val="Tabletext"/>
              <w:keepNext/>
              <w:keepLines/>
              <w:jc w:val="center"/>
              <w:rPr>
                <w:b/>
                <w:bCs/>
              </w:rPr>
            </w:pPr>
            <w:r w:rsidRPr="00ED6EDE">
              <w:rPr>
                <w:b/>
                <w:bCs/>
              </w:rPr>
              <w:t>Median (months [95% CI])</w:t>
            </w:r>
          </w:p>
        </w:tc>
        <w:tc>
          <w:tcPr>
            <w:tcW w:w="982" w:type="dxa"/>
            <w:gridSpan w:val="2"/>
            <w:vAlign w:val="center"/>
          </w:tcPr>
          <w:p w14:paraId="627E58A9" w14:textId="77777777" w:rsidR="00020E37" w:rsidRPr="00ED6EDE" w:rsidRDefault="00020E37" w:rsidP="00522D2D">
            <w:pPr>
              <w:pStyle w:val="Tabletext"/>
              <w:keepNext/>
              <w:keepLines/>
              <w:jc w:val="center"/>
              <w:rPr>
                <w:b/>
                <w:bCs/>
              </w:rPr>
            </w:pPr>
            <w:r w:rsidRPr="00ED6EDE">
              <w:rPr>
                <w:b/>
                <w:bCs/>
              </w:rPr>
              <w:t>HR (95% CI)</w:t>
            </w:r>
          </w:p>
          <w:p w14:paraId="241C3A97" w14:textId="77777777" w:rsidR="00020E37" w:rsidRPr="00ED6EDE" w:rsidRDefault="00020E37" w:rsidP="00522D2D">
            <w:pPr>
              <w:pStyle w:val="Tabletext"/>
              <w:keepNext/>
              <w:keepLines/>
              <w:jc w:val="center"/>
              <w:rPr>
                <w:b/>
                <w:bCs/>
              </w:rPr>
            </w:pPr>
          </w:p>
        </w:tc>
      </w:tr>
      <w:tr w:rsidR="00020E37" w:rsidRPr="00ED6EDE" w14:paraId="5DA3D2BD" w14:textId="77777777" w:rsidTr="00710A90">
        <w:trPr>
          <w:gridAfter w:val="1"/>
          <w:wAfter w:w="6" w:type="dxa"/>
        </w:trPr>
        <w:tc>
          <w:tcPr>
            <w:tcW w:w="801" w:type="dxa"/>
            <w:gridSpan w:val="2"/>
            <w:vMerge/>
            <w:vAlign w:val="center"/>
          </w:tcPr>
          <w:p w14:paraId="2F92F7D3" w14:textId="77777777" w:rsidR="00020E37" w:rsidRPr="00ED6EDE" w:rsidRDefault="00020E37" w:rsidP="00522D2D">
            <w:pPr>
              <w:pStyle w:val="Tabletext"/>
              <w:keepNext/>
              <w:keepLines/>
            </w:pPr>
          </w:p>
        </w:tc>
        <w:tc>
          <w:tcPr>
            <w:tcW w:w="1037" w:type="dxa"/>
            <w:vAlign w:val="center"/>
          </w:tcPr>
          <w:p w14:paraId="343A1F90" w14:textId="77777777" w:rsidR="00020E37" w:rsidRPr="00ED6EDE" w:rsidRDefault="00020E37" w:rsidP="00522D2D">
            <w:pPr>
              <w:pStyle w:val="Tabletext"/>
              <w:keepNext/>
              <w:keepLines/>
              <w:jc w:val="center"/>
              <w:rPr>
                <w:b/>
                <w:bCs/>
              </w:rPr>
            </w:pPr>
            <w:r w:rsidRPr="00ED6EDE">
              <w:rPr>
                <w:b/>
                <w:bCs/>
              </w:rPr>
              <w:t>Tx</w:t>
            </w:r>
          </w:p>
        </w:tc>
        <w:tc>
          <w:tcPr>
            <w:tcW w:w="891" w:type="dxa"/>
            <w:vAlign w:val="center"/>
          </w:tcPr>
          <w:p w14:paraId="34D99CD9" w14:textId="77777777" w:rsidR="00020E37" w:rsidRPr="00ED6EDE" w:rsidRDefault="00020E37" w:rsidP="00522D2D">
            <w:pPr>
              <w:pStyle w:val="Tabletext"/>
              <w:keepNext/>
              <w:keepLines/>
              <w:jc w:val="center"/>
              <w:rPr>
                <w:b/>
                <w:bCs/>
              </w:rPr>
            </w:pPr>
            <w:r w:rsidRPr="00ED6EDE">
              <w:rPr>
                <w:b/>
                <w:bCs/>
              </w:rPr>
              <w:t>Chemo</w:t>
            </w:r>
          </w:p>
        </w:tc>
        <w:tc>
          <w:tcPr>
            <w:tcW w:w="893" w:type="dxa"/>
            <w:gridSpan w:val="2"/>
            <w:vAlign w:val="center"/>
          </w:tcPr>
          <w:p w14:paraId="1B62F9E4" w14:textId="77777777" w:rsidR="00020E37" w:rsidRPr="00ED6EDE" w:rsidRDefault="00020E37" w:rsidP="00522D2D">
            <w:pPr>
              <w:pStyle w:val="Tabletext"/>
              <w:keepNext/>
              <w:keepLines/>
              <w:jc w:val="center"/>
            </w:pPr>
          </w:p>
        </w:tc>
        <w:tc>
          <w:tcPr>
            <w:tcW w:w="982" w:type="dxa"/>
            <w:gridSpan w:val="2"/>
            <w:vAlign w:val="center"/>
          </w:tcPr>
          <w:p w14:paraId="3F195720" w14:textId="77777777" w:rsidR="00020E37" w:rsidRPr="00ED6EDE" w:rsidRDefault="00020E37" w:rsidP="00522D2D">
            <w:pPr>
              <w:pStyle w:val="Tabletext"/>
              <w:keepNext/>
              <w:keepLines/>
              <w:jc w:val="center"/>
              <w:rPr>
                <w:b/>
                <w:bCs/>
              </w:rPr>
            </w:pPr>
            <w:r w:rsidRPr="00ED6EDE">
              <w:rPr>
                <w:b/>
                <w:bCs/>
              </w:rPr>
              <w:t>Tx</w:t>
            </w:r>
          </w:p>
        </w:tc>
        <w:tc>
          <w:tcPr>
            <w:tcW w:w="893" w:type="dxa"/>
            <w:vAlign w:val="center"/>
          </w:tcPr>
          <w:p w14:paraId="4A304269" w14:textId="77777777" w:rsidR="00020E37" w:rsidRPr="00ED6EDE" w:rsidRDefault="00020E37" w:rsidP="00522D2D">
            <w:pPr>
              <w:pStyle w:val="Tabletext"/>
              <w:keepNext/>
              <w:keepLines/>
              <w:jc w:val="center"/>
              <w:rPr>
                <w:b/>
                <w:bCs/>
              </w:rPr>
            </w:pPr>
            <w:r w:rsidRPr="00ED6EDE">
              <w:rPr>
                <w:b/>
                <w:bCs/>
              </w:rPr>
              <w:t>Chemo</w:t>
            </w:r>
          </w:p>
        </w:tc>
        <w:tc>
          <w:tcPr>
            <w:tcW w:w="893" w:type="dxa"/>
            <w:gridSpan w:val="2"/>
            <w:vAlign w:val="center"/>
          </w:tcPr>
          <w:p w14:paraId="3870A38A" w14:textId="77777777" w:rsidR="00020E37" w:rsidRPr="00ED6EDE" w:rsidRDefault="00020E37" w:rsidP="00522D2D">
            <w:pPr>
              <w:pStyle w:val="Tabletext"/>
              <w:keepNext/>
              <w:keepLines/>
              <w:jc w:val="center"/>
            </w:pPr>
          </w:p>
        </w:tc>
        <w:tc>
          <w:tcPr>
            <w:tcW w:w="893" w:type="dxa"/>
            <w:gridSpan w:val="2"/>
            <w:vAlign w:val="center"/>
          </w:tcPr>
          <w:p w14:paraId="543EC677" w14:textId="77777777" w:rsidR="00020E37" w:rsidRPr="00ED6EDE" w:rsidRDefault="00020E37" w:rsidP="00522D2D">
            <w:pPr>
              <w:pStyle w:val="Tabletext"/>
              <w:keepNext/>
              <w:keepLines/>
              <w:jc w:val="center"/>
              <w:rPr>
                <w:b/>
                <w:bCs/>
              </w:rPr>
            </w:pPr>
            <w:r w:rsidRPr="00ED6EDE">
              <w:rPr>
                <w:b/>
                <w:bCs/>
              </w:rPr>
              <w:t>Tx</w:t>
            </w:r>
          </w:p>
        </w:tc>
        <w:tc>
          <w:tcPr>
            <w:tcW w:w="894" w:type="dxa"/>
            <w:gridSpan w:val="2"/>
            <w:vAlign w:val="center"/>
          </w:tcPr>
          <w:p w14:paraId="07509B33" w14:textId="77777777" w:rsidR="00020E37" w:rsidRPr="00ED6EDE" w:rsidRDefault="00020E37" w:rsidP="00522D2D">
            <w:pPr>
              <w:pStyle w:val="Tabletext"/>
              <w:keepNext/>
              <w:keepLines/>
              <w:jc w:val="center"/>
              <w:rPr>
                <w:b/>
                <w:bCs/>
              </w:rPr>
            </w:pPr>
            <w:r w:rsidRPr="00ED6EDE">
              <w:rPr>
                <w:b/>
                <w:bCs/>
              </w:rPr>
              <w:t>Chemo</w:t>
            </w:r>
          </w:p>
        </w:tc>
        <w:tc>
          <w:tcPr>
            <w:tcW w:w="982" w:type="dxa"/>
            <w:gridSpan w:val="2"/>
            <w:vAlign w:val="center"/>
          </w:tcPr>
          <w:p w14:paraId="3A5EB072" w14:textId="77777777" w:rsidR="00020E37" w:rsidRPr="00ED6EDE" w:rsidRDefault="00020E37" w:rsidP="00522D2D">
            <w:pPr>
              <w:pStyle w:val="Tabletext"/>
              <w:keepNext/>
              <w:keepLines/>
              <w:jc w:val="center"/>
              <w:rPr>
                <w:b/>
                <w:bCs/>
              </w:rPr>
            </w:pPr>
          </w:p>
        </w:tc>
      </w:tr>
      <w:tr w:rsidR="00020E37" w:rsidRPr="00ED6EDE" w14:paraId="344B95C7" w14:textId="77777777" w:rsidTr="00710A90">
        <w:trPr>
          <w:gridAfter w:val="1"/>
          <w:wAfter w:w="6" w:type="dxa"/>
        </w:trPr>
        <w:tc>
          <w:tcPr>
            <w:tcW w:w="423" w:type="dxa"/>
            <w:vMerge w:val="restart"/>
            <w:vAlign w:val="center"/>
          </w:tcPr>
          <w:p w14:paraId="70D887E1" w14:textId="77777777" w:rsidR="00020E37" w:rsidRPr="00ED6EDE" w:rsidRDefault="00020E37" w:rsidP="00522D2D">
            <w:pPr>
              <w:pStyle w:val="Tabletext"/>
              <w:keepNext/>
              <w:keepLines/>
            </w:pPr>
            <w:r w:rsidRPr="00ED6EDE">
              <w:t>KN-775</w:t>
            </w:r>
          </w:p>
        </w:tc>
        <w:tc>
          <w:tcPr>
            <w:tcW w:w="378" w:type="dxa"/>
            <w:vAlign w:val="center"/>
          </w:tcPr>
          <w:p w14:paraId="3DE1C02B" w14:textId="77777777" w:rsidR="00020E37" w:rsidRPr="00ED6EDE" w:rsidRDefault="00020E37" w:rsidP="00522D2D">
            <w:pPr>
              <w:pStyle w:val="Tabletext"/>
              <w:keepNext/>
              <w:keepLines/>
            </w:pPr>
            <w:r w:rsidRPr="00ED6EDE">
              <w:t>N</w:t>
            </w:r>
          </w:p>
        </w:tc>
        <w:tc>
          <w:tcPr>
            <w:tcW w:w="1037" w:type="dxa"/>
            <w:vAlign w:val="center"/>
          </w:tcPr>
          <w:p w14:paraId="18960E29" w14:textId="77777777" w:rsidR="00020E37" w:rsidRPr="00ED6EDE" w:rsidRDefault="00020E37" w:rsidP="00522D2D">
            <w:pPr>
              <w:pStyle w:val="Tabletext"/>
              <w:keepNext/>
              <w:keepLines/>
              <w:jc w:val="center"/>
            </w:pPr>
            <w:r w:rsidRPr="00ED6EDE">
              <w:t>411</w:t>
            </w:r>
          </w:p>
        </w:tc>
        <w:tc>
          <w:tcPr>
            <w:tcW w:w="891" w:type="dxa"/>
            <w:vAlign w:val="center"/>
          </w:tcPr>
          <w:p w14:paraId="4FA9FAE2" w14:textId="77777777" w:rsidR="00020E37" w:rsidRPr="00ED6EDE" w:rsidRDefault="00020E37" w:rsidP="00522D2D">
            <w:pPr>
              <w:pStyle w:val="Tabletext"/>
              <w:keepNext/>
              <w:keepLines/>
              <w:jc w:val="center"/>
            </w:pPr>
            <w:r w:rsidRPr="00ED6EDE">
              <w:t>416</w:t>
            </w:r>
          </w:p>
        </w:tc>
        <w:tc>
          <w:tcPr>
            <w:tcW w:w="893" w:type="dxa"/>
            <w:gridSpan w:val="2"/>
            <w:vAlign w:val="center"/>
          </w:tcPr>
          <w:p w14:paraId="470A8E96" w14:textId="77777777" w:rsidR="00020E37" w:rsidRPr="00ED6EDE" w:rsidRDefault="00020E37" w:rsidP="00522D2D">
            <w:pPr>
              <w:pStyle w:val="Tabletext"/>
              <w:keepNext/>
              <w:keepLines/>
              <w:jc w:val="center"/>
            </w:pPr>
          </w:p>
        </w:tc>
        <w:tc>
          <w:tcPr>
            <w:tcW w:w="982" w:type="dxa"/>
            <w:gridSpan w:val="2"/>
            <w:vAlign w:val="center"/>
          </w:tcPr>
          <w:p w14:paraId="7B0CEC33" w14:textId="77777777" w:rsidR="00020E37" w:rsidRPr="00ED6EDE" w:rsidRDefault="00020E37" w:rsidP="00522D2D">
            <w:pPr>
              <w:pStyle w:val="Tabletext"/>
              <w:keepNext/>
              <w:keepLines/>
              <w:jc w:val="center"/>
            </w:pPr>
            <w:r w:rsidRPr="00ED6EDE">
              <w:t>346</w:t>
            </w:r>
          </w:p>
        </w:tc>
        <w:tc>
          <w:tcPr>
            <w:tcW w:w="893" w:type="dxa"/>
            <w:vAlign w:val="center"/>
          </w:tcPr>
          <w:p w14:paraId="39CE6D51" w14:textId="77777777" w:rsidR="00020E37" w:rsidRPr="00ED6EDE" w:rsidRDefault="00020E37" w:rsidP="00522D2D">
            <w:pPr>
              <w:pStyle w:val="Tabletext"/>
              <w:keepNext/>
              <w:keepLines/>
              <w:jc w:val="center"/>
            </w:pPr>
            <w:r w:rsidRPr="00ED6EDE">
              <w:t>351</w:t>
            </w:r>
          </w:p>
        </w:tc>
        <w:tc>
          <w:tcPr>
            <w:tcW w:w="893" w:type="dxa"/>
            <w:gridSpan w:val="2"/>
            <w:vAlign w:val="center"/>
          </w:tcPr>
          <w:p w14:paraId="3F44A1F4" w14:textId="77777777" w:rsidR="00020E37" w:rsidRPr="00ED6EDE" w:rsidRDefault="00020E37" w:rsidP="00522D2D">
            <w:pPr>
              <w:pStyle w:val="Tabletext"/>
              <w:keepNext/>
              <w:keepLines/>
              <w:jc w:val="center"/>
            </w:pPr>
            <w:r w:rsidRPr="00ED6EDE">
              <w:t>–</w:t>
            </w:r>
          </w:p>
        </w:tc>
        <w:tc>
          <w:tcPr>
            <w:tcW w:w="893" w:type="dxa"/>
            <w:gridSpan w:val="2"/>
            <w:vAlign w:val="center"/>
          </w:tcPr>
          <w:p w14:paraId="4705EC33" w14:textId="77777777" w:rsidR="00020E37" w:rsidRPr="00ED6EDE" w:rsidRDefault="00020E37" w:rsidP="00522D2D">
            <w:pPr>
              <w:pStyle w:val="Tabletext"/>
              <w:keepNext/>
              <w:keepLines/>
              <w:jc w:val="center"/>
            </w:pPr>
            <w:r w:rsidRPr="00ED6EDE">
              <w:t>65</w:t>
            </w:r>
          </w:p>
        </w:tc>
        <w:tc>
          <w:tcPr>
            <w:tcW w:w="894" w:type="dxa"/>
            <w:gridSpan w:val="2"/>
            <w:vAlign w:val="center"/>
          </w:tcPr>
          <w:p w14:paraId="49434335" w14:textId="77777777" w:rsidR="00020E37" w:rsidRPr="00ED6EDE" w:rsidRDefault="00020E37" w:rsidP="00522D2D">
            <w:pPr>
              <w:pStyle w:val="Tabletext"/>
              <w:keepNext/>
              <w:keepLines/>
              <w:jc w:val="center"/>
            </w:pPr>
            <w:r w:rsidRPr="00ED6EDE">
              <w:t>65</w:t>
            </w:r>
          </w:p>
        </w:tc>
        <w:tc>
          <w:tcPr>
            <w:tcW w:w="982" w:type="dxa"/>
            <w:gridSpan w:val="2"/>
            <w:vAlign w:val="center"/>
          </w:tcPr>
          <w:p w14:paraId="34762A90" w14:textId="77777777" w:rsidR="00020E37" w:rsidRPr="00ED6EDE" w:rsidRDefault="00020E37" w:rsidP="00522D2D">
            <w:pPr>
              <w:pStyle w:val="Tabletext"/>
              <w:keepNext/>
              <w:keepLines/>
              <w:jc w:val="center"/>
            </w:pPr>
            <w:r w:rsidRPr="00ED6EDE">
              <w:t>–</w:t>
            </w:r>
          </w:p>
        </w:tc>
      </w:tr>
      <w:tr w:rsidR="00020E37" w:rsidRPr="00ED6EDE" w14:paraId="2BA0EB6E" w14:textId="77777777" w:rsidTr="00710A90">
        <w:trPr>
          <w:gridAfter w:val="1"/>
          <w:wAfter w:w="6" w:type="dxa"/>
        </w:trPr>
        <w:tc>
          <w:tcPr>
            <w:tcW w:w="423" w:type="dxa"/>
            <w:vMerge/>
            <w:vAlign w:val="center"/>
          </w:tcPr>
          <w:p w14:paraId="52BDC75D" w14:textId="77777777" w:rsidR="00020E37" w:rsidRPr="00ED6EDE" w:rsidRDefault="00020E37" w:rsidP="00522D2D">
            <w:pPr>
              <w:pStyle w:val="Tabletext"/>
              <w:keepNext/>
              <w:keepLines/>
            </w:pPr>
          </w:p>
        </w:tc>
        <w:tc>
          <w:tcPr>
            <w:tcW w:w="378" w:type="dxa"/>
            <w:vAlign w:val="center"/>
          </w:tcPr>
          <w:p w14:paraId="55960CFB" w14:textId="77777777" w:rsidR="00020E37" w:rsidRPr="00ED6EDE" w:rsidRDefault="00020E37" w:rsidP="00522D2D">
            <w:pPr>
              <w:pStyle w:val="Tabletext"/>
              <w:keepNext/>
              <w:keepLines/>
            </w:pPr>
            <w:r w:rsidRPr="00ED6EDE">
              <w:t>OS</w:t>
            </w:r>
          </w:p>
        </w:tc>
        <w:tc>
          <w:tcPr>
            <w:tcW w:w="1037" w:type="dxa"/>
            <w:vAlign w:val="center"/>
          </w:tcPr>
          <w:p w14:paraId="787CDCFC" w14:textId="77777777" w:rsidR="00020E37" w:rsidRPr="00ED6EDE" w:rsidRDefault="00020E37" w:rsidP="00522D2D">
            <w:pPr>
              <w:pStyle w:val="Tabletext"/>
              <w:keepNext/>
              <w:keepLines/>
              <w:jc w:val="center"/>
            </w:pPr>
            <w:r w:rsidRPr="00ED6EDE">
              <w:t>18.3</w:t>
            </w:r>
          </w:p>
          <w:p w14:paraId="6936ADA6" w14:textId="77777777" w:rsidR="00020E37" w:rsidRPr="00ED6EDE" w:rsidRDefault="00020E37" w:rsidP="00522D2D">
            <w:pPr>
              <w:pStyle w:val="Tabletext"/>
              <w:keepNext/>
              <w:keepLines/>
              <w:jc w:val="center"/>
              <w:rPr>
                <w:vertAlign w:val="superscript"/>
              </w:rPr>
            </w:pPr>
            <w:r w:rsidRPr="00ED6EDE">
              <w:t>(15.2, 20.5)</w:t>
            </w:r>
            <w:r w:rsidRPr="00ED6EDE">
              <w:rPr>
                <w:vertAlign w:val="superscript"/>
              </w:rPr>
              <w:t>b</w:t>
            </w:r>
          </w:p>
        </w:tc>
        <w:tc>
          <w:tcPr>
            <w:tcW w:w="891" w:type="dxa"/>
            <w:vAlign w:val="center"/>
          </w:tcPr>
          <w:p w14:paraId="71B0AE1D" w14:textId="77777777" w:rsidR="00020E37" w:rsidRPr="00ED6EDE" w:rsidRDefault="00020E37" w:rsidP="00522D2D">
            <w:pPr>
              <w:pStyle w:val="Tabletext"/>
              <w:keepNext/>
              <w:keepLines/>
              <w:jc w:val="center"/>
            </w:pPr>
            <w:r w:rsidRPr="00ED6EDE">
              <w:t>11.4</w:t>
            </w:r>
          </w:p>
          <w:p w14:paraId="2214958F" w14:textId="77777777" w:rsidR="00020E37" w:rsidRPr="00ED6EDE" w:rsidRDefault="00020E37" w:rsidP="00522D2D">
            <w:pPr>
              <w:pStyle w:val="Tabletext"/>
              <w:keepNext/>
              <w:keepLines/>
              <w:jc w:val="center"/>
            </w:pPr>
            <w:r w:rsidRPr="00ED6EDE">
              <w:t>(10.5, 12.9)</w:t>
            </w:r>
          </w:p>
        </w:tc>
        <w:tc>
          <w:tcPr>
            <w:tcW w:w="893" w:type="dxa"/>
            <w:gridSpan w:val="2"/>
            <w:vAlign w:val="center"/>
          </w:tcPr>
          <w:p w14:paraId="0ABA4EB7" w14:textId="77777777" w:rsidR="00020E37" w:rsidRPr="00ED6EDE" w:rsidRDefault="00020E37" w:rsidP="00522D2D">
            <w:pPr>
              <w:pStyle w:val="Tabletext"/>
              <w:keepNext/>
              <w:keepLines/>
              <w:jc w:val="center"/>
              <w:rPr>
                <w:b/>
                <w:bCs/>
              </w:rPr>
            </w:pPr>
            <w:r w:rsidRPr="00ED6EDE">
              <w:rPr>
                <w:b/>
                <w:bCs/>
              </w:rPr>
              <w:t xml:space="preserve">0.62 </w:t>
            </w:r>
            <w:r w:rsidRPr="00ED6EDE">
              <w:rPr>
                <w:b/>
                <w:bCs/>
                <w:vertAlign w:val="superscript"/>
              </w:rPr>
              <w:t>c</w:t>
            </w:r>
            <w:r w:rsidRPr="00ED6EDE">
              <w:rPr>
                <w:b/>
                <w:bCs/>
              </w:rPr>
              <w:t xml:space="preserve"> </w:t>
            </w:r>
          </w:p>
          <w:p w14:paraId="286A8C10" w14:textId="77777777" w:rsidR="00020E37" w:rsidRPr="00ED6EDE" w:rsidRDefault="00020E37" w:rsidP="00522D2D">
            <w:pPr>
              <w:pStyle w:val="Tabletext"/>
              <w:keepNext/>
              <w:keepLines/>
              <w:jc w:val="center"/>
              <w:rPr>
                <w:b/>
                <w:bCs/>
              </w:rPr>
            </w:pPr>
            <w:r w:rsidRPr="00ED6EDE">
              <w:rPr>
                <w:b/>
                <w:bCs/>
              </w:rPr>
              <w:t>(0.51, 0.75)</w:t>
            </w:r>
          </w:p>
        </w:tc>
        <w:tc>
          <w:tcPr>
            <w:tcW w:w="982" w:type="dxa"/>
            <w:gridSpan w:val="2"/>
            <w:vAlign w:val="center"/>
          </w:tcPr>
          <w:p w14:paraId="1A8C0387" w14:textId="77777777" w:rsidR="00020E37" w:rsidRPr="00ED6EDE" w:rsidRDefault="00020E37" w:rsidP="00522D2D">
            <w:pPr>
              <w:pStyle w:val="Tabletext"/>
              <w:keepNext/>
              <w:keepLines/>
              <w:jc w:val="center"/>
            </w:pPr>
            <w:r w:rsidRPr="00ED6EDE">
              <w:t>17.4</w:t>
            </w:r>
          </w:p>
          <w:p w14:paraId="087010FD" w14:textId="77777777" w:rsidR="00020E37" w:rsidRPr="00ED6EDE" w:rsidRDefault="00020E37" w:rsidP="00522D2D">
            <w:pPr>
              <w:pStyle w:val="Tabletext"/>
              <w:keepNext/>
              <w:keepLines/>
              <w:jc w:val="center"/>
              <w:rPr>
                <w:vertAlign w:val="superscript"/>
              </w:rPr>
            </w:pPr>
            <w:r w:rsidRPr="00ED6EDE">
              <w:t>(14.2, 19.9)</w:t>
            </w:r>
            <w:r w:rsidRPr="00ED6EDE">
              <w:rPr>
                <w:vertAlign w:val="superscript"/>
              </w:rPr>
              <w:t>b</w:t>
            </w:r>
          </w:p>
        </w:tc>
        <w:tc>
          <w:tcPr>
            <w:tcW w:w="893" w:type="dxa"/>
            <w:vAlign w:val="center"/>
          </w:tcPr>
          <w:p w14:paraId="4E485D33" w14:textId="77777777" w:rsidR="00020E37" w:rsidRPr="00ED6EDE" w:rsidRDefault="00020E37" w:rsidP="00522D2D">
            <w:pPr>
              <w:pStyle w:val="Tabletext"/>
              <w:keepNext/>
              <w:keepLines/>
              <w:jc w:val="center"/>
            </w:pPr>
            <w:r w:rsidRPr="00ED6EDE">
              <w:t>12.0</w:t>
            </w:r>
          </w:p>
          <w:p w14:paraId="492C5C92" w14:textId="77777777" w:rsidR="00020E37" w:rsidRPr="00ED6EDE" w:rsidRDefault="00020E37" w:rsidP="00522D2D">
            <w:pPr>
              <w:pStyle w:val="Tabletext"/>
              <w:keepNext/>
              <w:keepLines/>
              <w:jc w:val="center"/>
            </w:pPr>
            <w:r w:rsidRPr="00ED6EDE">
              <w:t>(10.8, 13.3)</w:t>
            </w:r>
          </w:p>
        </w:tc>
        <w:tc>
          <w:tcPr>
            <w:tcW w:w="893" w:type="dxa"/>
            <w:gridSpan w:val="2"/>
            <w:vAlign w:val="center"/>
          </w:tcPr>
          <w:p w14:paraId="45E82E39" w14:textId="77777777" w:rsidR="00020E37" w:rsidRPr="00ED6EDE" w:rsidRDefault="00020E37" w:rsidP="00522D2D">
            <w:pPr>
              <w:pStyle w:val="Tabletext"/>
              <w:keepNext/>
              <w:keepLines/>
              <w:jc w:val="center"/>
              <w:rPr>
                <w:b/>
                <w:bCs/>
                <w:vertAlign w:val="superscript"/>
              </w:rPr>
            </w:pPr>
            <w:r w:rsidRPr="00ED6EDE">
              <w:rPr>
                <w:b/>
                <w:bCs/>
              </w:rPr>
              <w:t xml:space="preserve">0.68 </w:t>
            </w:r>
            <w:r w:rsidRPr="00ED6EDE">
              <w:rPr>
                <w:b/>
                <w:bCs/>
                <w:vertAlign w:val="superscript"/>
              </w:rPr>
              <w:t>c</w:t>
            </w:r>
          </w:p>
          <w:p w14:paraId="77420ABC" w14:textId="77777777" w:rsidR="00020E37" w:rsidRPr="00ED6EDE" w:rsidRDefault="00020E37" w:rsidP="00522D2D">
            <w:pPr>
              <w:pStyle w:val="Tabletext"/>
              <w:keepNext/>
              <w:keepLines/>
              <w:jc w:val="center"/>
              <w:rPr>
                <w:b/>
                <w:bCs/>
              </w:rPr>
            </w:pPr>
            <w:r w:rsidRPr="00ED6EDE">
              <w:rPr>
                <w:b/>
                <w:bCs/>
              </w:rPr>
              <w:t>(0.56, 0.84)</w:t>
            </w:r>
          </w:p>
        </w:tc>
        <w:tc>
          <w:tcPr>
            <w:tcW w:w="893" w:type="dxa"/>
            <w:gridSpan w:val="2"/>
            <w:vAlign w:val="center"/>
          </w:tcPr>
          <w:p w14:paraId="3BA2B9D2" w14:textId="77777777" w:rsidR="00020E37" w:rsidRPr="00ED6EDE" w:rsidRDefault="00020E37" w:rsidP="00522D2D">
            <w:pPr>
              <w:pStyle w:val="Tabletext"/>
              <w:keepNext/>
              <w:keepLines/>
              <w:jc w:val="center"/>
            </w:pPr>
            <w:r w:rsidRPr="00ED6EDE">
              <w:t>NR</w:t>
            </w:r>
          </w:p>
          <w:p w14:paraId="6CBF79F0" w14:textId="77777777" w:rsidR="00020E37" w:rsidRPr="00ED6EDE" w:rsidRDefault="00020E37" w:rsidP="00522D2D">
            <w:pPr>
              <w:pStyle w:val="Tabletext"/>
              <w:keepNext/>
              <w:keepLines/>
              <w:jc w:val="center"/>
              <w:rPr>
                <w:vertAlign w:val="superscript"/>
              </w:rPr>
            </w:pPr>
            <w:r w:rsidRPr="00ED6EDE">
              <w:t>(NR, NR)</w:t>
            </w:r>
            <w:r w:rsidRPr="00ED6EDE">
              <w:rPr>
                <w:vertAlign w:val="superscript"/>
              </w:rPr>
              <w:t>b</w:t>
            </w:r>
          </w:p>
        </w:tc>
        <w:tc>
          <w:tcPr>
            <w:tcW w:w="894" w:type="dxa"/>
            <w:gridSpan w:val="2"/>
            <w:vAlign w:val="center"/>
          </w:tcPr>
          <w:p w14:paraId="08B5E56D" w14:textId="77777777" w:rsidR="00020E37" w:rsidRPr="00ED6EDE" w:rsidRDefault="00020E37" w:rsidP="00522D2D">
            <w:pPr>
              <w:pStyle w:val="Tabletext"/>
              <w:keepNext/>
              <w:keepLines/>
              <w:jc w:val="center"/>
            </w:pPr>
            <w:r w:rsidRPr="00ED6EDE">
              <w:t>8.6</w:t>
            </w:r>
          </w:p>
          <w:p w14:paraId="452F362D" w14:textId="77777777" w:rsidR="00020E37" w:rsidRPr="00ED6EDE" w:rsidRDefault="00020E37" w:rsidP="00522D2D">
            <w:pPr>
              <w:pStyle w:val="Tabletext"/>
              <w:keepNext/>
              <w:keepLines/>
              <w:jc w:val="center"/>
            </w:pPr>
            <w:r w:rsidRPr="00ED6EDE">
              <w:t>(5.5, 12.9)</w:t>
            </w:r>
          </w:p>
        </w:tc>
        <w:tc>
          <w:tcPr>
            <w:tcW w:w="982" w:type="dxa"/>
            <w:gridSpan w:val="2"/>
            <w:vAlign w:val="center"/>
          </w:tcPr>
          <w:p w14:paraId="3F3E434D" w14:textId="77777777" w:rsidR="00020E37" w:rsidRPr="00ED6EDE" w:rsidRDefault="00020E37" w:rsidP="00522D2D">
            <w:pPr>
              <w:pStyle w:val="Tabletext"/>
              <w:keepNext/>
              <w:keepLines/>
              <w:jc w:val="center"/>
              <w:rPr>
                <w:vertAlign w:val="superscript"/>
              </w:rPr>
            </w:pPr>
            <w:r w:rsidRPr="00ED6EDE">
              <w:t xml:space="preserve">0.37 </w:t>
            </w:r>
            <w:r w:rsidRPr="00ED6EDE">
              <w:rPr>
                <w:vertAlign w:val="superscript"/>
              </w:rPr>
              <w:t>d</w:t>
            </w:r>
          </w:p>
          <w:p w14:paraId="52A8AA7A" w14:textId="77777777" w:rsidR="00020E37" w:rsidRPr="00ED6EDE" w:rsidRDefault="00020E37" w:rsidP="00522D2D">
            <w:pPr>
              <w:pStyle w:val="Tabletext"/>
              <w:keepNext/>
              <w:keepLines/>
              <w:jc w:val="center"/>
            </w:pPr>
            <w:r w:rsidRPr="00ED6EDE">
              <w:t>(0.22, 0.62)</w:t>
            </w:r>
          </w:p>
        </w:tc>
      </w:tr>
      <w:tr w:rsidR="00020E37" w:rsidRPr="00ED6EDE" w14:paraId="449F448E" w14:textId="77777777" w:rsidTr="00710A90">
        <w:trPr>
          <w:gridAfter w:val="1"/>
          <w:wAfter w:w="6" w:type="dxa"/>
        </w:trPr>
        <w:tc>
          <w:tcPr>
            <w:tcW w:w="423" w:type="dxa"/>
            <w:vMerge/>
            <w:vAlign w:val="center"/>
          </w:tcPr>
          <w:p w14:paraId="57749E05" w14:textId="77777777" w:rsidR="00020E37" w:rsidRPr="00ED6EDE" w:rsidRDefault="00020E37" w:rsidP="00522D2D">
            <w:pPr>
              <w:pStyle w:val="Tabletext"/>
              <w:keepNext/>
              <w:keepLines/>
            </w:pPr>
          </w:p>
        </w:tc>
        <w:tc>
          <w:tcPr>
            <w:tcW w:w="378" w:type="dxa"/>
            <w:vAlign w:val="center"/>
          </w:tcPr>
          <w:p w14:paraId="2FDF1576" w14:textId="77777777" w:rsidR="00020E37" w:rsidRPr="00ED6EDE" w:rsidRDefault="00020E37" w:rsidP="00522D2D">
            <w:pPr>
              <w:pStyle w:val="Tabletext"/>
              <w:keepNext/>
              <w:keepLines/>
            </w:pPr>
            <w:r w:rsidRPr="00ED6EDE">
              <w:t>PFS</w:t>
            </w:r>
          </w:p>
        </w:tc>
        <w:tc>
          <w:tcPr>
            <w:tcW w:w="1037" w:type="dxa"/>
            <w:vAlign w:val="center"/>
          </w:tcPr>
          <w:p w14:paraId="1C471C12" w14:textId="77777777" w:rsidR="00020E37" w:rsidRPr="00ED6EDE" w:rsidRDefault="00020E37" w:rsidP="00522D2D">
            <w:pPr>
              <w:pStyle w:val="Tabletext"/>
              <w:keepNext/>
              <w:keepLines/>
              <w:jc w:val="center"/>
            </w:pPr>
            <w:r w:rsidRPr="00ED6EDE">
              <w:t>7.2</w:t>
            </w:r>
          </w:p>
          <w:p w14:paraId="6F0CADF6" w14:textId="77777777" w:rsidR="00020E37" w:rsidRPr="00ED6EDE" w:rsidRDefault="00020E37" w:rsidP="00522D2D">
            <w:pPr>
              <w:pStyle w:val="Tabletext"/>
              <w:keepNext/>
              <w:keepLines/>
              <w:jc w:val="center"/>
            </w:pPr>
            <w:r w:rsidRPr="00ED6EDE">
              <w:t>(5.7, 7.6)</w:t>
            </w:r>
          </w:p>
        </w:tc>
        <w:tc>
          <w:tcPr>
            <w:tcW w:w="891" w:type="dxa"/>
            <w:tcBorders>
              <w:bottom w:val="single" w:sz="4" w:space="0" w:color="auto"/>
            </w:tcBorders>
            <w:vAlign w:val="center"/>
          </w:tcPr>
          <w:p w14:paraId="547AA4E3" w14:textId="77777777" w:rsidR="00020E37" w:rsidRPr="00ED6EDE" w:rsidRDefault="00020E37" w:rsidP="00522D2D">
            <w:pPr>
              <w:pStyle w:val="Tabletext"/>
              <w:keepNext/>
              <w:keepLines/>
              <w:jc w:val="center"/>
            </w:pPr>
            <w:r w:rsidRPr="00ED6EDE">
              <w:t>3.8</w:t>
            </w:r>
          </w:p>
          <w:p w14:paraId="00146F50" w14:textId="77777777" w:rsidR="00020E37" w:rsidRPr="00ED6EDE" w:rsidRDefault="00020E37" w:rsidP="00522D2D">
            <w:pPr>
              <w:pStyle w:val="Tabletext"/>
              <w:keepNext/>
              <w:keepLines/>
              <w:jc w:val="center"/>
            </w:pPr>
            <w:r w:rsidRPr="00ED6EDE">
              <w:t>(3.6, 4.2)</w:t>
            </w:r>
          </w:p>
        </w:tc>
        <w:tc>
          <w:tcPr>
            <w:tcW w:w="893" w:type="dxa"/>
            <w:gridSpan w:val="2"/>
            <w:tcBorders>
              <w:bottom w:val="single" w:sz="4" w:space="0" w:color="auto"/>
            </w:tcBorders>
            <w:vAlign w:val="center"/>
          </w:tcPr>
          <w:p w14:paraId="2AFEF12F" w14:textId="77777777" w:rsidR="00020E37" w:rsidRPr="00ED6EDE" w:rsidRDefault="00020E37" w:rsidP="00522D2D">
            <w:pPr>
              <w:pStyle w:val="Tabletext"/>
              <w:keepNext/>
              <w:keepLines/>
              <w:jc w:val="center"/>
              <w:rPr>
                <w:b/>
                <w:bCs/>
              </w:rPr>
            </w:pPr>
            <w:r w:rsidRPr="00ED6EDE">
              <w:rPr>
                <w:b/>
                <w:bCs/>
              </w:rPr>
              <w:t xml:space="preserve">0.56 </w:t>
            </w:r>
            <w:r w:rsidRPr="00ED6EDE">
              <w:rPr>
                <w:b/>
                <w:bCs/>
                <w:vertAlign w:val="superscript"/>
              </w:rPr>
              <w:t>c</w:t>
            </w:r>
            <w:r w:rsidRPr="00ED6EDE">
              <w:rPr>
                <w:b/>
                <w:bCs/>
              </w:rPr>
              <w:t xml:space="preserve"> </w:t>
            </w:r>
          </w:p>
          <w:p w14:paraId="1177567E" w14:textId="77777777" w:rsidR="00020E37" w:rsidRPr="00ED6EDE" w:rsidRDefault="00020E37" w:rsidP="00522D2D">
            <w:pPr>
              <w:pStyle w:val="Tabletext"/>
              <w:keepNext/>
              <w:keepLines/>
              <w:jc w:val="center"/>
              <w:rPr>
                <w:b/>
                <w:bCs/>
              </w:rPr>
            </w:pPr>
            <w:r w:rsidRPr="00ED6EDE">
              <w:rPr>
                <w:b/>
                <w:bCs/>
              </w:rPr>
              <w:t>(0.47, 0.66)</w:t>
            </w:r>
          </w:p>
        </w:tc>
        <w:tc>
          <w:tcPr>
            <w:tcW w:w="982" w:type="dxa"/>
            <w:gridSpan w:val="2"/>
            <w:vAlign w:val="center"/>
          </w:tcPr>
          <w:p w14:paraId="2A3DECA7" w14:textId="77777777" w:rsidR="00020E37" w:rsidRPr="00ED6EDE" w:rsidRDefault="00020E37" w:rsidP="00522D2D">
            <w:pPr>
              <w:pStyle w:val="Tabletext"/>
              <w:keepNext/>
              <w:keepLines/>
              <w:jc w:val="center"/>
            </w:pPr>
            <w:r w:rsidRPr="00ED6EDE">
              <w:t>6.6</w:t>
            </w:r>
          </w:p>
          <w:p w14:paraId="24AC8415" w14:textId="77777777" w:rsidR="00020E37" w:rsidRPr="00ED6EDE" w:rsidRDefault="00020E37" w:rsidP="00522D2D">
            <w:pPr>
              <w:pStyle w:val="Tabletext"/>
              <w:keepNext/>
              <w:keepLines/>
              <w:jc w:val="center"/>
            </w:pPr>
            <w:r w:rsidRPr="00ED6EDE">
              <w:t>(5.6, 7.4)</w:t>
            </w:r>
          </w:p>
        </w:tc>
        <w:tc>
          <w:tcPr>
            <w:tcW w:w="893" w:type="dxa"/>
            <w:tcBorders>
              <w:bottom w:val="single" w:sz="4" w:space="0" w:color="auto"/>
            </w:tcBorders>
            <w:vAlign w:val="center"/>
          </w:tcPr>
          <w:p w14:paraId="0953E310" w14:textId="77777777" w:rsidR="00020E37" w:rsidRPr="00ED6EDE" w:rsidRDefault="00020E37" w:rsidP="00522D2D">
            <w:pPr>
              <w:pStyle w:val="Tabletext"/>
              <w:keepNext/>
              <w:keepLines/>
              <w:jc w:val="center"/>
            </w:pPr>
            <w:r w:rsidRPr="00ED6EDE">
              <w:t>3.8</w:t>
            </w:r>
          </w:p>
          <w:p w14:paraId="723A9096" w14:textId="77777777" w:rsidR="00020E37" w:rsidRPr="00ED6EDE" w:rsidRDefault="00020E37" w:rsidP="00522D2D">
            <w:pPr>
              <w:pStyle w:val="Tabletext"/>
              <w:keepNext/>
              <w:keepLines/>
              <w:jc w:val="center"/>
            </w:pPr>
            <w:r w:rsidRPr="00ED6EDE">
              <w:t>(3.6, 5.0)</w:t>
            </w:r>
          </w:p>
        </w:tc>
        <w:tc>
          <w:tcPr>
            <w:tcW w:w="893" w:type="dxa"/>
            <w:gridSpan w:val="2"/>
            <w:tcBorders>
              <w:bottom w:val="single" w:sz="4" w:space="0" w:color="auto"/>
            </w:tcBorders>
            <w:vAlign w:val="center"/>
          </w:tcPr>
          <w:p w14:paraId="4BC9B809" w14:textId="77777777" w:rsidR="00020E37" w:rsidRPr="00ED6EDE" w:rsidRDefault="00020E37" w:rsidP="00522D2D">
            <w:pPr>
              <w:pStyle w:val="Tabletext"/>
              <w:keepNext/>
              <w:keepLines/>
              <w:jc w:val="center"/>
              <w:rPr>
                <w:b/>
                <w:bCs/>
                <w:vertAlign w:val="superscript"/>
              </w:rPr>
            </w:pPr>
            <w:r w:rsidRPr="00ED6EDE">
              <w:rPr>
                <w:b/>
                <w:bCs/>
              </w:rPr>
              <w:t xml:space="preserve">0.60 </w:t>
            </w:r>
            <w:r w:rsidRPr="00ED6EDE">
              <w:rPr>
                <w:b/>
                <w:bCs/>
                <w:vertAlign w:val="superscript"/>
              </w:rPr>
              <w:t>c</w:t>
            </w:r>
          </w:p>
          <w:p w14:paraId="14A620B1" w14:textId="77777777" w:rsidR="00020E37" w:rsidRPr="00ED6EDE" w:rsidRDefault="00020E37" w:rsidP="00522D2D">
            <w:pPr>
              <w:pStyle w:val="Tabletext"/>
              <w:keepNext/>
              <w:keepLines/>
              <w:jc w:val="center"/>
              <w:rPr>
                <w:b/>
                <w:bCs/>
              </w:rPr>
            </w:pPr>
            <w:r w:rsidRPr="00ED6EDE">
              <w:rPr>
                <w:b/>
                <w:bCs/>
              </w:rPr>
              <w:t>(0.50, 0.72)</w:t>
            </w:r>
          </w:p>
        </w:tc>
        <w:tc>
          <w:tcPr>
            <w:tcW w:w="893" w:type="dxa"/>
            <w:gridSpan w:val="2"/>
            <w:vAlign w:val="center"/>
          </w:tcPr>
          <w:p w14:paraId="4440DD99" w14:textId="77777777" w:rsidR="00020E37" w:rsidRPr="00ED6EDE" w:rsidRDefault="00020E37" w:rsidP="00522D2D">
            <w:pPr>
              <w:pStyle w:val="Tabletext"/>
              <w:keepNext/>
              <w:keepLines/>
              <w:jc w:val="center"/>
            </w:pPr>
            <w:r w:rsidRPr="00ED6EDE">
              <w:t>10.7</w:t>
            </w:r>
          </w:p>
          <w:p w14:paraId="0782125F" w14:textId="77777777" w:rsidR="00020E37" w:rsidRPr="00ED6EDE" w:rsidRDefault="00020E37" w:rsidP="00522D2D">
            <w:pPr>
              <w:pStyle w:val="Tabletext"/>
              <w:keepNext/>
              <w:keepLines/>
              <w:jc w:val="center"/>
            </w:pPr>
            <w:r w:rsidRPr="00ED6EDE">
              <w:t>(5.6, NR)</w:t>
            </w:r>
          </w:p>
        </w:tc>
        <w:tc>
          <w:tcPr>
            <w:tcW w:w="894" w:type="dxa"/>
            <w:gridSpan w:val="2"/>
            <w:tcBorders>
              <w:bottom w:val="single" w:sz="4" w:space="0" w:color="auto"/>
            </w:tcBorders>
            <w:vAlign w:val="center"/>
          </w:tcPr>
          <w:p w14:paraId="24078D8C" w14:textId="77777777" w:rsidR="00020E37" w:rsidRPr="00ED6EDE" w:rsidRDefault="00020E37" w:rsidP="00522D2D">
            <w:pPr>
              <w:pStyle w:val="Tabletext"/>
              <w:keepNext/>
              <w:keepLines/>
              <w:jc w:val="center"/>
            </w:pPr>
            <w:r w:rsidRPr="00ED6EDE">
              <w:t>3.7</w:t>
            </w:r>
          </w:p>
          <w:p w14:paraId="50CDEED4" w14:textId="77777777" w:rsidR="00020E37" w:rsidRPr="00ED6EDE" w:rsidRDefault="00020E37" w:rsidP="00522D2D">
            <w:pPr>
              <w:pStyle w:val="Tabletext"/>
              <w:keepNext/>
              <w:keepLines/>
              <w:jc w:val="center"/>
            </w:pPr>
            <w:r w:rsidRPr="00ED6EDE">
              <w:t>(3.1, 4.4)</w:t>
            </w:r>
          </w:p>
        </w:tc>
        <w:tc>
          <w:tcPr>
            <w:tcW w:w="982" w:type="dxa"/>
            <w:gridSpan w:val="2"/>
            <w:tcBorders>
              <w:bottom w:val="single" w:sz="4" w:space="0" w:color="auto"/>
            </w:tcBorders>
            <w:vAlign w:val="center"/>
          </w:tcPr>
          <w:p w14:paraId="075012FC" w14:textId="77777777" w:rsidR="00020E37" w:rsidRPr="00ED6EDE" w:rsidRDefault="00020E37" w:rsidP="00522D2D">
            <w:pPr>
              <w:pStyle w:val="Tabletext"/>
              <w:keepNext/>
              <w:keepLines/>
              <w:jc w:val="center"/>
              <w:rPr>
                <w:vertAlign w:val="superscript"/>
              </w:rPr>
            </w:pPr>
            <w:r w:rsidRPr="00ED6EDE">
              <w:t xml:space="preserve">0.36 </w:t>
            </w:r>
            <w:r w:rsidRPr="00ED6EDE">
              <w:rPr>
                <w:vertAlign w:val="superscript"/>
              </w:rPr>
              <w:t>d</w:t>
            </w:r>
          </w:p>
          <w:p w14:paraId="25F50A77" w14:textId="77777777" w:rsidR="00020E37" w:rsidRPr="00ED6EDE" w:rsidRDefault="00020E37" w:rsidP="00522D2D">
            <w:pPr>
              <w:pStyle w:val="Tabletext"/>
              <w:keepNext/>
              <w:keepLines/>
              <w:jc w:val="center"/>
            </w:pPr>
            <w:r w:rsidRPr="00ED6EDE">
              <w:t>(0.23, 0.57)</w:t>
            </w:r>
          </w:p>
        </w:tc>
      </w:tr>
      <w:tr w:rsidR="00020E37" w:rsidRPr="00ED6EDE" w14:paraId="2EF216F2" w14:textId="77777777" w:rsidTr="00710A90">
        <w:trPr>
          <w:gridAfter w:val="1"/>
          <w:wAfter w:w="6" w:type="dxa"/>
        </w:trPr>
        <w:tc>
          <w:tcPr>
            <w:tcW w:w="423" w:type="dxa"/>
            <w:vMerge w:val="restart"/>
            <w:vAlign w:val="center"/>
          </w:tcPr>
          <w:p w14:paraId="2D15E6CF" w14:textId="77777777" w:rsidR="00020E37" w:rsidRPr="00ED6EDE" w:rsidRDefault="00020E37" w:rsidP="00522D2D">
            <w:pPr>
              <w:pStyle w:val="Tabletext"/>
              <w:keepNext/>
              <w:keepLines/>
            </w:pPr>
            <w:r w:rsidRPr="00ED6EDE">
              <w:t>KN-146</w:t>
            </w:r>
          </w:p>
        </w:tc>
        <w:tc>
          <w:tcPr>
            <w:tcW w:w="378" w:type="dxa"/>
            <w:vAlign w:val="center"/>
          </w:tcPr>
          <w:p w14:paraId="3C446A44" w14:textId="77777777" w:rsidR="00020E37" w:rsidRPr="00ED6EDE" w:rsidRDefault="00020E37" w:rsidP="00522D2D">
            <w:pPr>
              <w:pStyle w:val="Tabletext"/>
              <w:keepNext/>
              <w:keepLines/>
            </w:pPr>
            <w:r w:rsidRPr="00ED6EDE">
              <w:t>N</w:t>
            </w:r>
          </w:p>
        </w:tc>
        <w:tc>
          <w:tcPr>
            <w:tcW w:w="1037" w:type="dxa"/>
            <w:vAlign w:val="center"/>
          </w:tcPr>
          <w:p w14:paraId="27AD8F17" w14:textId="77777777" w:rsidR="00020E37" w:rsidRPr="00ED6EDE" w:rsidRDefault="00020E37" w:rsidP="00522D2D">
            <w:pPr>
              <w:pStyle w:val="Tabletext"/>
              <w:keepNext/>
              <w:keepLines/>
              <w:jc w:val="center"/>
            </w:pPr>
            <w:r w:rsidRPr="00ED6EDE">
              <w:t>108</w:t>
            </w:r>
          </w:p>
        </w:tc>
        <w:tc>
          <w:tcPr>
            <w:tcW w:w="1784" w:type="dxa"/>
            <w:gridSpan w:val="3"/>
            <w:tcBorders>
              <w:bottom w:val="nil"/>
            </w:tcBorders>
            <w:shd w:val="clear" w:color="auto" w:fill="BFBFBF" w:themeFill="background1" w:themeFillShade="BF"/>
            <w:vAlign w:val="center"/>
          </w:tcPr>
          <w:p w14:paraId="48573DC5" w14:textId="77777777" w:rsidR="00020E37" w:rsidRPr="00ED6EDE" w:rsidRDefault="00020E37" w:rsidP="00522D2D">
            <w:pPr>
              <w:pStyle w:val="Tabletext"/>
              <w:keepNext/>
              <w:keepLines/>
              <w:jc w:val="center"/>
            </w:pPr>
          </w:p>
        </w:tc>
        <w:tc>
          <w:tcPr>
            <w:tcW w:w="982" w:type="dxa"/>
            <w:gridSpan w:val="2"/>
            <w:vAlign w:val="center"/>
          </w:tcPr>
          <w:p w14:paraId="55E9954B" w14:textId="77777777" w:rsidR="00020E37" w:rsidRPr="00ED6EDE" w:rsidRDefault="00020E37" w:rsidP="00522D2D">
            <w:pPr>
              <w:pStyle w:val="Tabletext"/>
              <w:keepNext/>
              <w:keepLines/>
              <w:jc w:val="center"/>
            </w:pPr>
            <w:r w:rsidRPr="00ED6EDE">
              <w:t>94</w:t>
            </w:r>
          </w:p>
        </w:tc>
        <w:tc>
          <w:tcPr>
            <w:tcW w:w="1786" w:type="dxa"/>
            <w:gridSpan w:val="3"/>
            <w:tcBorders>
              <w:bottom w:val="nil"/>
            </w:tcBorders>
            <w:shd w:val="clear" w:color="auto" w:fill="BFBFBF" w:themeFill="background1" w:themeFillShade="BF"/>
            <w:vAlign w:val="center"/>
          </w:tcPr>
          <w:p w14:paraId="7D113935" w14:textId="77777777" w:rsidR="00020E37" w:rsidRPr="00ED6EDE" w:rsidRDefault="00020E37" w:rsidP="00522D2D">
            <w:pPr>
              <w:pStyle w:val="Tabletext"/>
              <w:keepNext/>
              <w:keepLines/>
              <w:jc w:val="center"/>
            </w:pPr>
          </w:p>
        </w:tc>
        <w:tc>
          <w:tcPr>
            <w:tcW w:w="893" w:type="dxa"/>
            <w:gridSpan w:val="2"/>
            <w:vAlign w:val="center"/>
          </w:tcPr>
          <w:p w14:paraId="18CC93BA" w14:textId="77777777" w:rsidR="00020E37" w:rsidRPr="00ED6EDE" w:rsidRDefault="00020E37" w:rsidP="00522D2D">
            <w:pPr>
              <w:pStyle w:val="Tabletext"/>
              <w:keepNext/>
              <w:keepLines/>
              <w:jc w:val="center"/>
            </w:pPr>
            <w:r w:rsidRPr="00ED6EDE">
              <w:t>11</w:t>
            </w:r>
          </w:p>
        </w:tc>
        <w:tc>
          <w:tcPr>
            <w:tcW w:w="1876" w:type="dxa"/>
            <w:gridSpan w:val="4"/>
            <w:tcBorders>
              <w:bottom w:val="nil"/>
            </w:tcBorders>
            <w:shd w:val="clear" w:color="auto" w:fill="BFBFBF" w:themeFill="background1" w:themeFillShade="BF"/>
            <w:vAlign w:val="center"/>
          </w:tcPr>
          <w:p w14:paraId="7B4C0894" w14:textId="77777777" w:rsidR="00020E37" w:rsidRPr="00ED6EDE" w:rsidRDefault="00020E37" w:rsidP="00522D2D">
            <w:pPr>
              <w:pStyle w:val="Tabletext"/>
              <w:keepNext/>
              <w:keepLines/>
              <w:jc w:val="center"/>
            </w:pPr>
          </w:p>
        </w:tc>
      </w:tr>
      <w:tr w:rsidR="00020E37" w:rsidRPr="00ED6EDE" w14:paraId="448B9AEB" w14:textId="77777777" w:rsidTr="00710A90">
        <w:trPr>
          <w:gridAfter w:val="1"/>
          <w:wAfter w:w="6" w:type="dxa"/>
        </w:trPr>
        <w:tc>
          <w:tcPr>
            <w:tcW w:w="423" w:type="dxa"/>
            <w:vMerge/>
            <w:vAlign w:val="center"/>
          </w:tcPr>
          <w:p w14:paraId="1866FB16" w14:textId="77777777" w:rsidR="00020E37" w:rsidRPr="00ED6EDE" w:rsidRDefault="00020E37" w:rsidP="00522D2D">
            <w:pPr>
              <w:pStyle w:val="Tabletext"/>
              <w:keepNext/>
              <w:keepLines/>
            </w:pPr>
          </w:p>
        </w:tc>
        <w:tc>
          <w:tcPr>
            <w:tcW w:w="378" w:type="dxa"/>
            <w:vAlign w:val="center"/>
          </w:tcPr>
          <w:p w14:paraId="41BB452C" w14:textId="77777777" w:rsidR="00020E37" w:rsidRPr="00ED6EDE" w:rsidRDefault="00020E37" w:rsidP="00522D2D">
            <w:pPr>
              <w:pStyle w:val="Tabletext"/>
              <w:keepNext/>
              <w:keepLines/>
            </w:pPr>
            <w:r w:rsidRPr="00ED6EDE">
              <w:t>OS</w:t>
            </w:r>
          </w:p>
        </w:tc>
        <w:tc>
          <w:tcPr>
            <w:tcW w:w="1037" w:type="dxa"/>
            <w:vAlign w:val="center"/>
          </w:tcPr>
          <w:p w14:paraId="48597C14" w14:textId="77777777" w:rsidR="00020E37" w:rsidRPr="00ED6EDE" w:rsidRDefault="00020E37" w:rsidP="00522D2D">
            <w:pPr>
              <w:pStyle w:val="Tabletext"/>
              <w:keepNext/>
              <w:keepLines/>
              <w:jc w:val="center"/>
            </w:pPr>
            <w:r w:rsidRPr="00ED6EDE">
              <w:t>16.7</w:t>
            </w:r>
          </w:p>
          <w:p w14:paraId="2BF9F5F7" w14:textId="77777777" w:rsidR="00020E37" w:rsidRPr="00ED6EDE" w:rsidRDefault="00020E37" w:rsidP="00522D2D">
            <w:pPr>
              <w:pStyle w:val="Tabletext"/>
              <w:keepNext/>
              <w:keepLines/>
              <w:jc w:val="center"/>
            </w:pPr>
            <w:r w:rsidRPr="00ED6EDE">
              <w:t>(15.0, NR)</w:t>
            </w:r>
          </w:p>
        </w:tc>
        <w:tc>
          <w:tcPr>
            <w:tcW w:w="1784" w:type="dxa"/>
            <w:gridSpan w:val="3"/>
            <w:tcBorders>
              <w:top w:val="nil"/>
              <w:bottom w:val="nil"/>
            </w:tcBorders>
            <w:shd w:val="clear" w:color="auto" w:fill="BFBFBF" w:themeFill="background1" w:themeFillShade="BF"/>
            <w:vAlign w:val="center"/>
          </w:tcPr>
          <w:p w14:paraId="2F5DD162" w14:textId="77777777" w:rsidR="00020E37" w:rsidRPr="00ED6EDE" w:rsidRDefault="00020E37" w:rsidP="00522D2D">
            <w:pPr>
              <w:pStyle w:val="Tabletext"/>
              <w:keepNext/>
              <w:keepLines/>
              <w:jc w:val="center"/>
            </w:pPr>
          </w:p>
        </w:tc>
        <w:tc>
          <w:tcPr>
            <w:tcW w:w="982" w:type="dxa"/>
            <w:gridSpan w:val="2"/>
            <w:vAlign w:val="center"/>
          </w:tcPr>
          <w:p w14:paraId="3D366F79" w14:textId="77777777" w:rsidR="00020E37" w:rsidRPr="00ED6EDE" w:rsidRDefault="00020E37" w:rsidP="00522D2D">
            <w:pPr>
              <w:pStyle w:val="Tabletext"/>
              <w:keepNext/>
              <w:keepLines/>
              <w:jc w:val="center"/>
            </w:pPr>
            <w:r w:rsidRPr="00ED6EDE">
              <w:t>16.4</w:t>
            </w:r>
          </w:p>
          <w:p w14:paraId="6C5F4ABF" w14:textId="77777777" w:rsidR="00020E37" w:rsidRPr="00ED6EDE" w:rsidRDefault="00020E37" w:rsidP="00522D2D">
            <w:pPr>
              <w:pStyle w:val="Tabletext"/>
              <w:keepNext/>
              <w:keepLines/>
              <w:jc w:val="center"/>
            </w:pPr>
            <w:r w:rsidRPr="00ED6EDE">
              <w:t>(13.5, 25.9)</w:t>
            </w:r>
          </w:p>
        </w:tc>
        <w:tc>
          <w:tcPr>
            <w:tcW w:w="1786" w:type="dxa"/>
            <w:gridSpan w:val="3"/>
            <w:tcBorders>
              <w:top w:val="nil"/>
              <w:bottom w:val="nil"/>
            </w:tcBorders>
            <w:shd w:val="clear" w:color="auto" w:fill="BFBFBF" w:themeFill="background1" w:themeFillShade="BF"/>
            <w:vAlign w:val="center"/>
          </w:tcPr>
          <w:p w14:paraId="1EC380C4" w14:textId="77777777" w:rsidR="00020E37" w:rsidRPr="00ED6EDE" w:rsidRDefault="00020E37" w:rsidP="00522D2D">
            <w:pPr>
              <w:pStyle w:val="Tabletext"/>
              <w:keepNext/>
              <w:keepLines/>
              <w:jc w:val="center"/>
            </w:pPr>
          </w:p>
        </w:tc>
        <w:tc>
          <w:tcPr>
            <w:tcW w:w="893" w:type="dxa"/>
            <w:gridSpan w:val="2"/>
            <w:vAlign w:val="center"/>
          </w:tcPr>
          <w:p w14:paraId="4D2FB0F3" w14:textId="77777777" w:rsidR="00020E37" w:rsidRPr="00ED6EDE" w:rsidRDefault="00020E37" w:rsidP="00522D2D">
            <w:pPr>
              <w:pStyle w:val="Tabletext"/>
              <w:keepNext/>
              <w:keepLines/>
              <w:jc w:val="center"/>
            </w:pPr>
            <w:r w:rsidRPr="00ED6EDE">
              <w:t>NR</w:t>
            </w:r>
          </w:p>
          <w:p w14:paraId="39A43AA3" w14:textId="77777777" w:rsidR="00020E37" w:rsidRPr="00ED6EDE" w:rsidRDefault="00020E37" w:rsidP="00522D2D">
            <w:pPr>
              <w:pStyle w:val="Tabletext"/>
              <w:keepNext/>
              <w:keepLines/>
              <w:jc w:val="center"/>
            </w:pPr>
            <w:r w:rsidRPr="00ED6EDE">
              <w:t>(7.4, NR)</w:t>
            </w:r>
          </w:p>
        </w:tc>
        <w:tc>
          <w:tcPr>
            <w:tcW w:w="1876" w:type="dxa"/>
            <w:gridSpan w:val="4"/>
            <w:tcBorders>
              <w:top w:val="nil"/>
              <w:bottom w:val="nil"/>
            </w:tcBorders>
            <w:shd w:val="clear" w:color="auto" w:fill="BFBFBF" w:themeFill="background1" w:themeFillShade="BF"/>
            <w:vAlign w:val="center"/>
          </w:tcPr>
          <w:p w14:paraId="6C6A4951" w14:textId="77777777" w:rsidR="00020E37" w:rsidRPr="00ED6EDE" w:rsidRDefault="00020E37" w:rsidP="00522D2D">
            <w:pPr>
              <w:pStyle w:val="Tabletext"/>
              <w:keepNext/>
              <w:keepLines/>
              <w:jc w:val="center"/>
            </w:pPr>
          </w:p>
        </w:tc>
      </w:tr>
      <w:tr w:rsidR="00020E37" w:rsidRPr="00ED6EDE" w14:paraId="3BDFA7C0" w14:textId="77777777" w:rsidTr="00710A90">
        <w:trPr>
          <w:gridAfter w:val="1"/>
          <w:wAfter w:w="6" w:type="dxa"/>
        </w:trPr>
        <w:tc>
          <w:tcPr>
            <w:tcW w:w="423" w:type="dxa"/>
            <w:vMerge/>
            <w:vAlign w:val="center"/>
          </w:tcPr>
          <w:p w14:paraId="3AC2F1D4" w14:textId="77777777" w:rsidR="00020E37" w:rsidRPr="00ED6EDE" w:rsidRDefault="00020E37" w:rsidP="00522D2D">
            <w:pPr>
              <w:pStyle w:val="Tabletext"/>
              <w:keepNext/>
              <w:keepLines/>
            </w:pPr>
          </w:p>
        </w:tc>
        <w:tc>
          <w:tcPr>
            <w:tcW w:w="378" w:type="dxa"/>
            <w:vAlign w:val="center"/>
          </w:tcPr>
          <w:p w14:paraId="63C41E4A" w14:textId="77777777" w:rsidR="00020E37" w:rsidRPr="00ED6EDE" w:rsidRDefault="00020E37" w:rsidP="00522D2D">
            <w:pPr>
              <w:pStyle w:val="Tabletext"/>
              <w:keepNext/>
              <w:keepLines/>
            </w:pPr>
            <w:r w:rsidRPr="00ED6EDE">
              <w:t>PFS</w:t>
            </w:r>
          </w:p>
        </w:tc>
        <w:tc>
          <w:tcPr>
            <w:tcW w:w="1037" w:type="dxa"/>
            <w:vAlign w:val="center"/>
          </w:tcPr>
          <w:p w14:paraId="49E05AE4" w14:textId="77777777" w:rsidR="00710A90" w:rsidRPr="00ED6EDE" w:rsidRDefault="00020E37" w:rsidP="00522D2D">
            <w:pPr>
              <w:pStyle w:val="Tabletext"/>
              <w:keepNext/>
              <w:keepLines/>
              <w:jc w:val="center"/>
            </w:pPr>
            <w:r w:rsidRPr="00ED6EDE">
              <w:t xml:space="preserve">7.5 </w:t>
            </w:r>
          </w:p>
          <w:p w14:paraId="75CAF9A3" w14:textId="5332407A" w:rsidR="00020E37" w:rsidRPr="00ED6EDE" w:rsidRDefault="00020E37" w:rsidP="00522D2D">
            <w:pPr>
              <w:pStyle w:val="Tabletext"/>
              <w:keepNext/>
              <w:keepLines/>
              <w:jc w:val="center"/>
            </w:pPr>
            <w:r w:rsidRPr="00ED6EDE">
              <w:t>(5.0, 8.3)</w:t>
            </w:r>
          </w:p>
        </w:tc>
        <w:tc>
          <w:tcPr>
            <w:tcW w:w="1784" w:type="dxa"/>
            <w:gridSpan w:val="3"/>
            <w:tcBorders>
              <w:top w:val="nil"/>
              <w:bottom w:val="nil"/>
            </w:tcBorders>
            <w:shd w:val="clear" w:color="auto" w:fill="BFBFBF" w:themeFill="background1" w:themeFillShade="BF"/>
            <w:vAlign w:val="center"/>
          </w:tcPr>
          <w:p w14:paraId="06D7CC9E" w14:textId="77777777" w:rsidR="00020E37" w:rsidRPr="00ED6EDE" w:rsidRDefault="00020E37" w:rsidP="00522D2D">
            <w:pPr>
              <w:pStyle w:val="Tabletext"/>
              <w:keepNext/>
              <w:keepLines/>
              <w:jc w:val="center"/>
            </w:pPr>
          </w:p>
        </w:tc>
        <w:tc>
          <w:tcPr>
            <w:tcW w:w="982" w:type="dxa"/>
            <w:gridSpan w:val="2"/>
            <w:vAlign w:val="center"/>
          </w:tcPr>
          <w:p w14:paraId="1FD17A2E" w14:textId="77777777" w:rsidR="00020E37" w:rsidRPr="00ED6EDE" w:rsidRDefault="00020E37" w:rsidP="00522D2D">
            <w:pPr>
              <w:pStyle w:val="Tabletext"/>
              <w:keepNext/>
              <w:keepLines/>
              <w:jc w:val="center"/>
            </w:pPr>
            <w:r w:rsidRPr="00ED6EDE">
              <w:t>5.4</w:t>
            </w:r>
          </w:p>
          <w:p w14:paraId="4248F3B4" w14:textId="77777777" w:rsidR="00020E37" w:rsidRPr="00ED6EDE" w:rsidRDefault="00020E37" w:rsidP="00522D2D">
            <w:pPr>
              <w:pStyle w:val="Tabletext"/>
              <w:keepNext/>
              <w:keepLines/>
              <w:jc w:val="center"/>
            </w:pPr>
            <w:r w:rsidRPr="00ED6EDE">
              <w:t>(4.4, 7.6)</w:t>
            </w:r>
          </w:p>
        </w:tc>
        <w:tc>
          <w:tcPr>
            <w:tcW w:w="1786" w:type="dxa"/>
            <w:gridSpan w:val="3"/>
            <w:tcBorders>
              <w:top w:val="nil"/>
              <w:bottom w:val="nil"/>
            </w:tcBorders>
            <w:shd w:val="clear" w:color="auto" w:fill="BFBFBF" w:themeFill="background1" w:themeFillShade="BF"/>
            <w:vAlign w:val="center"/>
          </w:tcPr>
          <w:p w14:paraId="03BA14B0" w14:textId="77777777" w:rsidR="00020E37" w:rsidRPr="00ED6EDE" w:rsidRDefault="00020E37" w:rsidP="00522D2D">
            <w:pPr>
              <w:pStyle w:val="Tabletext"/>
              <w:keepNext/>
              <w:keepLines/>
              <w:jc w:val="center"/>
            </w:pPr>
          </w:p>
        </w:tc>
        <w:tc>
          <w:tcPr>
            <w:tcW w:w="893" w:type="dxa"/>
            <w:gridSpan w:val="2"/>
            <w:vAlign w:val="center"/>
          </w:tcPr>
          <w:p w14:paraId="4062C4AC" w14:textId="77777777" w:rsidR="00710A90" w:rsidRPr="00ED6EDE" w:rsidRDefault="00020E37" w:rsidP="00522D2D">
            <w:pPr>
              <w:pStyle w:val="Tabletext"/>
              <w:keepNext/>
              <w:keepLines/>
              <w:jc w:val="center"/>
            </w:pPr>
            <w:r w:rsidRPr="00ED6EDE">
              <w:t xml:space="preserve">18.9 </w:t>
            </w:r>
          </w:p>
          <w:p w14:paraId="14B864AE" w14:textId="3F0BBD1D" w:rsidR="00020E37" w:rsidRPr="00ED6EDE" w:rsidRDefault="00020E37" w:rsidP="00522D2D">
            <w:pPr>
              <w:pStyle w:val="Tabletext"/>
              <w:keepNext/>
              <w:keepLines/>
              <w:jc w:val="center"/>
            </w:pPr>
            <w:r w:rsidRPr="00ED6EDE">
              <w:t>(3.9, NE)</w:t>
            </w:r>
          </w:p>
        </w:tc>
        <w:tc>
          <w:tcPr>
            <w:tcW w:w="1876" w:type="dxa"/>
            <w:gridSpan w:val="4"/>
            <w:tcBorders>
              <w:top w:val="nil"/>
              <w:bottom w:val="nil"/>
            </w:tcBorders>
            <w:shd w:val="clear" w:color="auto" w:fill="BFBFBF" w:themeFill="background1" w:themeFillShade="BF"/>
            <w:vAlign w:val="center"/>
          </w:tcPr>
          <w:p w14:paraId="00FB184B" w14:textId="77777777" w:rsidR="00020E37" w:rsidRPr="00ED6EDE" w:rsidRDefault="00020E37" w:rsidP="00522D2D">
            <w:pPr>
              <w:pStyle w:val="Tabletext"/>
              <w:keepNext/>
              <w:keepLines/>
              <w:jc w:val="center"/>
            </w:pPr>
          </w:p>
        </w:tc>
      </w:tr>
      <w:tr w:rsidR="00020E37" w:rsidRPr="00ED6EDE" w14:paraId="2E1304E7" w14:textId="77777777" w:rsidTr="00710A90">
        <w:tc>
          <w:tcPr>
            <w:tcW w:w="423" w:type="dxa"/>
            <w:vMerge w:val="restart"/>
            <w:vAlign w:val="center"/>
          </w:tcPr>
          <w:p w14:paraId="0E333491" w14:textId="77777777" w:rsidR="00020E37" w:rsidRPr="00ED6EDE" w:rsidRDefault="00020E37" w:rsidP="00522D2D">
            <w:pPr>
              <w:pStyle w:val="Tabletext"/>
              <w:keepNext/>
              <w:keepLines/>
            </w:pPr>
            <w:r w:rsidRPr="00ED6EDE">
              <w:t>KN-158</w:t>
            </w:r>
            <w:r w:rsidRPr="00ED6EDE">
              <w:rPr>
                <w:vertAlign w:val="superscript"/>
              </w:rPr>
              <w:t>a</w:t>
            </w:r>
            <w:r w:rsidRPr="00ED6EDE">
              <w:t xml:space="preserve"> </w:t>
            </w:r>
          </w:p>
          <w:p w14:paraId="5D744603" w14:textId="77777777" w:rsidR="00020E37" w:rsidRPr="00ED6EDE" w:rsidRDefault="00020E37" w:rsidP="00522D2D">
            <w:pPr>
              <w:pStyle w:val="Tabletext"/>
              <w:keepNext/>
              <w:keepLines/>
            </w:pPr>
          </w:p>
        </w:tc>
        <w:tc>
          <w:tcPr>
            <w:tcW w:w="378" w:type="dxa"/>
            <w:vAlign w:val="center"/>
          </w:tcPr>
          <w:p w14:paraId="50AEC8CA" w14:textId="77777777" w:rsidR="00020E37" w:rsidRPr="00ED6EDE" w:rsidRDefault="00020E37" w:rsidP="00522D2D">
            <w:pPr>
              <w:pStyle w:val="Tabletext"/>
              <w:keepNext/>
              <w:keepLines/>
            </w:pPr>
            <w:r w:rsidRPr="00ED6EDE">
              <w:t>N</w:t>
            </w:r>
          </w:p>
        </w:tc>
        <w:tc>
          <w:tcPr>
            <w:tcW w:w="2827" w:type="dxa"/>
            <w:gridSpan w:val="5"/>
            <w:tcBorders>
              <w:top w:val="nil"/>
              <w:bottom w:val="nil"/>
            </w:tcBorders>
            <w:shd w:val="clear" w:color="auto" w:fill="BFBFBF" w:themeFill="background1" w:themeFillShade="BF"/>
            <w:vAlign w:val="center"/>
          </w:tcPr>
          <w:p w14:paraId="5C59D635" w14:textId="77777777" w:rsidR="00020E37" w:rsidRPr="00ED6EDE" w:rsidRDefault="00020E37" w:rsidP="00522D2D">
            <w:pPr>
              <w:pStyle w:val="Tabletext"/>
              <w:keepNext/>
              <w:keepLines/>
              <w:jc w:val="center"/>
            </w:pPr>
          </w:p>
        </w:tc>
        <w:tc>
          <w:tcPr>
            <w:tcW w:w="2768" w:type="dxa"/>
            <w:gridSpan w:val="5"/>
            <w:tcBorders>
              <w:top w:val="nil"/>
              <w:bottom w:val="nil"/>
            </w:tcBorders>
            <w:shd w:val="clear" w:color="auto" w:fill="BFBFBF" w:themeFill="background1" w:themeFillShade="BF"/>
            <w:vAlign w:val="center"/>
          </w:tcPr>
          <w:p w14:paraId="7D7B8D83" w14:textId="77777777" w:rsidR="00020E37" w:rsidRPr="00ED6EDE" w:rsidRDefault="00020E37" w:rsidP="00522D2D">
            <w:pPr>
              <w:pStyle w:val="Tabletext"/>
              <w:keepNext/>
              <w:keepLines/>
              <w:jc w:val="center"/>
            </w:pPr>
          </w:p>
        </w:tc>
        <w:tc>
          <w:tcPr>
            <w:tcW w:w="893" w:type="dxa"/>
            <w:gridSpan w:val="2"/>
            <w:vAlign w:val="center"/>
          </w:tcPr>
          <w:p w14:paraId="07F0C7C4" w14:textId="77777777" w:rsidR="00020E37" w:rsidRPr="00ED6EDE" w:rsidRDefault="00020E37" w:rsidP="00522D2D">
            <w:pPr>
              <w:pStyle w:val="Tabletext"/>
              <w:keepNext/>
              <w:keepLines/>
              <w:jc w:val="center"/>
            </w:pPr>
            <w:r w:rsidRPr="00ED6EDE">
              <w:t>79</w:t>
            </w:r>
          </w:p>
        </w:tc>
        <w:tc>
          <w:tcPr>
            <w:tcW w:w="1876" w:type="dxa"/>
            <w:gridSpan w:val="4"/>
            <w:tcBorders>
              <w:top w:val="nil"/>
              <w:bottom w:val="nil"/>
            </w:tcBorders>
            <w:shd w:val="clear" w:color="auto" w:fill="BFBFBF" w:themeFill="background1" w:themeFillShade="BF"/>
            <w:vAlign w:val="center"/>
          </w:tcPr>
          <w:p w14:paraId="3B2C5058" w14:textId="77777777" w:rsidR="00020E37" w:rsidRPr="00ED6EDE" w:rsidRDefault="00020E37" w:rsidP="00522D2D">
            <w:pPr>
              <w:pStyle w:val="Tabletext"/>
              <w:keepNext/>
              <w:keepLines/>
              <w:jc w:val="center"/>
            </w:pPr>
          </w:p>
        </w:tc>
      </w:tr>
      <w:tr w:rsidR="00020E37" w:rsidRPr="00ED6EDE" w14:paraId="028D3605" w14:textId="77777777" w:rsidTr="00710A90">
        <w:tc>
          <w:tcPr>
            <w:tcW w:w="423" w:type="dxa"/>
            <w:vMerge/>
            <w:vAlign w:val="center"/>
          </w:tcPr>
          <w:p w14:paraId="2AAFEFF4" w14:textId="77777777" w:rsidR="00020E37" w:rsidRPr="00ED6EDE" w:rsidRDefault="00020E37" w:rsidP="00522D2D">
            <w:pPr>
              <w:pStyle w:val="Tabletext"/>
              <w:keepNext/>
              <w:keepLines/>
            </w:pPr>
          </w:p>
        </w:tc>
        <w:tc>
          <w:tcPr>
            <w:tcW w:w="378" w:type="dxa"/>
            <w:vAlign w:val="center"/>
          </w:tcPr>
          <w:p w14:paraId="3A953BE8" w14:textId="77777777" w:rsidR="00020E37" w:rsidRPr="00ED6EDE" w:rsidRDefault="00020E37" w:rsidP="00522D2D">
            <w:pPr>
              <w:pStyle w:val="Tabletext"/>
              <w:keepNext/>
              <w:keepLines/>
            </w:pPr>
            <w:r w:rsidRPr="00ED6EDE">
              <w:t>OS</w:t>
            </w:r>
          </w:p>
        </w:tc>
        <w:tc>
          <w:tcPr>
            <w:tcW w:w="2827" w:type="dxa"/>
            <w:gridSpan w:val="5"/>
            <w:tcBorders>
              <w:top w:val="nil"/>
              <w:bottom w:val="nil"/>
            </w:tcBorders>
            <w:shd w:val="clear" w:color="auto" w:fill="BFBFBF" w:themeFill="background1" w:themeFillShade="BF"/>
            <w:vAlign w:val="center"/>
          </w:tcPr>
          <w:p w14:paraId="0A280C13" w14:textId="77777777" w:rsidR="00020E37" w:rsidRPr="00ED6EDE" w:rsidRDefault="00020E37" w:rsidP="00522D2D">
            <w:pPr>
              <w:pStyle w:val="Tabletext"/>
              <w:keepNext/>
              <w:keepLines/>
              <w:jc w:val="center"/>
            </w:pPr>
          </w:p>
        </w:tc>
        <w:tc>
          <w:tcPr>
            <w:tcW w:w="2768" w:type="dxa"/>
            <w:gridSpan w:val="5"/>
            <w:tcBorders>
              <w:top w:val="nil"/>
              <w:bottom w:val="nil"/>
            </w:tcBorders>
            <w:shd w:val="clear" w:color="auto" w:fill="BFBFBF" w:themeFill="background1" w:themeFillShade="BF"/>
            <w:vAlign w:val="center"/>
          </w:tcPr>
          <w:p w14:paraId="3D63F1BF" w14:textId="77777777" w:rsidR="00020E37" w:rsidRPr="00ED6EDE" w:rsidRDefault="00020E37" w:rsidP="00522D2D">
            <w:pPr>
              <w:pStyle w:val="Tabletext"/>
              <w:keepNext/>
              <w:keepLines/>
              <w:jc w:val="center"/>
            </w:pPr>
          </w:p>
        </w:tc>
        <w:tc>
          <w:tcPr>
            <w:tcW w:w="893" w:type="dxa"/>
            <w:gridSpan w:val="2"/>
            <w:vAlign w:val="center"/>
          </w:tcPr>
          <w:p w14:paraId="3E3DF2BF" w14:textId="77777777" w:rsidR="00020E37" w:rsidRPr="00ED6EDE" w:rsidRDefault="00020E37" w:rsidP="00522D2D">
            <w:pPr>
              <w:pStyle w:val="Tabletext"/>
              <w:keepNext/>
              <w:keepLines/>
              <w:jc w:val="center"/>
            </w:pPr>
            <w:r w:rsidRPr="00ED6EDE">
              <w:t>NR</w:t>
            </w:r>
          </w:p>
          <w:p w14:paraId="6996525D" w14:textId="77777777" w:rsidR="00020E37" w:rsidRPr="00ED6EDE" w:rsidRDefault="00020E37" w:rsidP="00522D2D">
            <w:pPr>
              <w:pStyle w:val="Tabletext"/>
              <w:keepNext/>
              <w:keepLines/>
              <w:jc w:val="center"/>
            </w:pPr>
            <w:r w:rsidRPr="00ED6EDE">
              <w:t>(27.2, NR)</w:t>
            </w:r>
          </w:p>
        </w:tc>
        <w:tc>
          <w:tcPr>
            <w:tcW w:w="1876" w:type="dxa"/>
            <w:gridSpan w:val="4"/>
            <w:tcBorders>
              <w:top w:val="nil"/>
              <w:bottom w:val="nil"/>
            </w:tcBorders>
            <w:shd w:val="clear" w:color="auto" w:fill="BFBFBF" w:themeFill="background1" w:themeFillShade="BF"/>
            <w:vAlign w:val="center"/>
          </w:tcPr>
          <w:p w14:paraId="46E2B6D7" w14:textId="77777777" w:rsidR="00020E37" w:rsidRPr="00ED6EDE" w:rsidRDefault="00020E37" w:rsidP="00522D2D">
            <w:pPr>
              <w:pStyle w:val="Tabletext"/>
              <w:keepNext/>
              <w:keepLines/>
              <w:jc w:val="center"/>
            </w:pPr>
          </w:p>
        </w:tc>
      </w:tr>
      <w:tr w:rsidR="00020E37" w:rsidRPr="00ED6EDE" w14:paraId="797A27CB" w14:textId="77777777" w:rsidTr="00710A90">
        <w:tc>
          <w:tcPr>
            <w:tcW w:w="423" w:type="dxa"/>
            <w:vMerge/>
            <w:vAlign w:val="center"/>
          </w:tcPr>
          <w:p w14:paraId="7E5DFE1B" w14:textId="77777777" w:rsidR="00020E37" w:rsidRPr="00ED6EDE" w:rsidRDefault="00020E37" w:rsidP="00522D2D">
            <w:pPr>
              <w:pStyle w:val="Tabletext"/>
              <w:keepNext/>
              <w:keepLines/>
            </w:pPr>
          </w:p>
        </w:tc>
        <w:tc>
          <w:tcPr>
            <w:tcW w:w="378" w:type="dxa"/>
            <w:vAlign w:val="center"/>
          </w:tcPr>
          <w:p w14:paraId="76EA5D06" w14:textId="77777777" w:rsidR="00020E37" w:rsidRPr="00ED6EDE" w:rsidRDefault="00020E37" w:rsidP="00522D2D">
            <w:pPr>
              <w:pStyle w:val="Tabletext"/>
              <w:keepNext/>
              <w:keepLines/>
            </w:pPr>
            <w:r w:rsidRPr="00ED6EDE">
              <w:t>PFS</w:t>
            </w:r>
          </w:p>
        </w:tc>
        <w:tc>
          <w:tcPr>
            <w:tcW w:w="2827" w:type="dxa"/>
            <w:gridSpan w:val="5"/>
            <w:tcBorders>
              <w:top w:val="nil"/>
              <w:bottom w:val="nil"/>
            </w:tcBorders>
            <w:shd w:val="clear" w:color="auto" w:fill="BFBFBF" w:themeFill="background1" w:themeFillShade="BF"/>
            <w:vAlign w:val="center"/>
          </w:tcPr>
          <w:p w14:paraId="17FFB2D5" w14:textId="77777777" w:rsidR="00020E37" w:rsidRPr="00ED6EDE" w:rsidRDefault="00020E37" w:rsidP="00522D2D">
            <w:pPr>
              <w:pStyle w:val="Tabletext"/>
              <w:keepNext/>
              <w:keepLines/>
              <w:jc w:val="center"/>
            </w:pPr>
          </w:p>
        </w:tc>
        <w:tc>
          <w:tcPr>
            <w:tcW w:w="2768" w:type="dxa"/>
            <w:gridSpan w:val="5"/>
            <w:tcBorders>
              <w:top w:val="nil"/>
              <w:bottom w:val="nil"/>
            </w:tcBorders>
            <w:shd w:val="clear" w:color="auto" w:fill="BFBFBF" w:themeFill="background1" w:themeFillShade="BF"/>
            <w:vAlign w:val="center"/>
          </w:tcPr>
          <w:p w14:paraId="477C4E66" w14:textId="77777777" w:rsidR="00020E37" w:rsidRPr="00ED6EDE" w:rsidRDefault="00020E37" w:rsidP="00522D2D">
            <w:pPr>
              <w:pStyle w:val="Tabletext"/>
              <w:keepNext/>
              <w:keepLines/>
              <w:jc w:val="center"/>
            </w:pPr>
          </w:p>
        </w:tc>
        <w:tc>
          <w:tcPr>
            <w:tcW w:w="893" w:type="dxa"/>
            <w:gridSpan w:val="2"/>
            <w:vAlign w:val="center"/>
          </w:tcPr>
          <w:p w14:paraId="06D881AA" w14:textId="77777777" w:rsidR="00020E37" w:rsidRPr="00ED6EDE" w:rsidRDefault="00020E37" w:rsidP="00522D2D">
            <w:pPr>
              <w:pStyle w:val="Tabletext"/>
              <w:keepNext/>
              <w:keepLines/>
              <w:jc w:val="center"/>
            </w:pPr>
            <w:r w:rsidRPr="00ED6EDE">
              <w:t>13.1</w:t>
            </w:r>
          </w:p>
          <w:p w14:paraId="3AF30BBC" w14:textId="77777777" w:rsidR="00020E37" w:rsidRPr="00ED6EDE" w:rsidRDefault="00020E37" w:rsidP="00522D2D">
            <w:pPr>
              <w:pStyle w:val="Tabletext"/>
              <w:keepNext/>
              <w:keepLines/>
              <w:jc w:val="center"/>
            </w:pPr>
            <w:r w:rsidRPr="00ED6EDE">
              <w:t>(4.3, 34.4)</w:t>
            </w:r>
          </w:p>
        </w:tc>
        <w:tc>
          <w:tcPr>
            <w:tcW w:w="1876" w:type="dxa"/>
            <w:gridSpan w:val="4"/>
            <w:tcBorders>
              <w:top w:val="nil"/>
              <w:bottom w:val="nil"/>
            </w:tcBorders>
            <w:shd w:val="clear" w:color="auto" w:fill="BFBFBF" w:themeFill="background1" w:themeFillShade="BF"/>
            <w:vAlign w:val="center"/>
          </w:tcPr>
          <w:p w14:paraId="1915EEE3" w14:textId="77777777" w:rsidR="00020E37" w:rsidRPr="00ED6EDE" w:rsidRDefault="00020E37" w:rsidP="00522D2D">
            <w:pPr>
              <w:pStyle w:val="Tabletext"/>
              <w:keepNext/>
              <w:keepLines/>
              <w:jc w:val="center"/>
            </w:pPr>
          </w:p>
        </w:tc>
      </w:tr>
      <w:tr w:rsidR="00020E37" w:rsidRPr="00ED6EDE" w14:paraId="0B9DED7C" w14:textId="77777777" w:rsidTr="00710A90">
        <w:trPr>
          <w:gridAfter w:val="1"/>
          <w:wAfter w:w="6" w:type="dxa"/>
        </w:trPr>
        <w:tc>
          <w:tcPr>
            <w:tcW w:w="423" w:type="dxa"/>
            <w:vMerge w:val="restart"/>
            <w:vAlign w:val="center"/>
          </w:tcPr>
          <w:p w14:paraId="5E5592D3" w14:textId="77777777" w:rsidR="00020E37" w:rsidRPr="00ED6EDE" w:rsidRDefault="00020E37" w:rsidP="00522D2D">
            <w:pPr>
              <w:pStyle w:val="Tabletext"/>
              <w:keepNext/>
              <w:keepLines/>
            </w:pPr>
            <w:r w:rsidRPr="00ED6EDE">
              <w:t>E-204</w:t>
            </w:r>
          </w:p>
        </w:tc>
        <w:tc>
          <w:tcPr>
            <w:tcW w:w="378" w:type="dxa"/>
            <w:vAlign w:val="center"/>
          </w:tcPr>
          <w:p w14:paraId="13EEA111" w14:textId="77777777" w:rsidR="00020E37" w:rsidRPr="00ED6EDE" w:rsidRDefault="00020E37" w:rsidP="00522D2D">
            <w:pPr>
              <w:pStyle w:val="Tabletext"/>
              <w:keepNext/>
              <w:keepLines/>
            </w:pPr>
            <w:r w:rsidRPr="00ED6EDE">
              <w:t>N</w:t>
            </w:r>
          </w:p>
        </w:tc>
        <w:tc>
          <w:tcPr>
            <w:tcW w:w="1037" w:type="dxa"/>
            <w:vAlign w:val="center"/>
          </w:tcPr>
          <w:p w14:paraId="44A5B8AE" w14:textId="77777777" w:rsidR="00020E37" w:rsidRPr="00ED6EDE" w:rsidRDefault="00020E37" w:rsidP="00522D2D">
            <w:pPr>
              <w:pStyle w:val="Tabletext"/>
              <w:keepNext/>
              <w:keepLines/>
              <w:jc w:val="center"/>
            </w:pPr>
            <w:r w:rsidRPr="00ED6EDE">
              <w:t>133</w:t>
            </w:r>
          </w:p>
        </w:tc>
        <w:tc>
          <w:tcPr>
            <w:tcW w:w="1784" w:type="dxa"/>
            <w:gridSpan w:val="3"/>
            <w:tcBorders>
              <w:top w:val="nil"/>
              <w:bottom w:val="nil"/>
            </w:tcBorders>
            <w:shd w:val="clear" w:color="auto" w:fill="BFBFBF" w:themeFill="background1" w:themeFillShade="BF"/>
            <w:vAlign w:val="center"/>
          </w:tcPr>
          <w:p w14:paraId="24AACB32" w14:textId="77777777" w:rsidR="00020E37" w:rsidRPr="00ED6EDE" w:rsidRDefault="00020E37" w:rsidP="00522D2D">
            <w:pPr>
              <w:pStyle w:val="Tabletext"/>
              <w:keepNext/>
              <w:keepLines/>
              <w:jc w:val="center"/>
            </w:pPr>
          </w:p>
        </w:tc>
        <w:tc>
          <w:tcPr>
            <w:tcW w:w="2768" w:type="dxa"/>
            <w:gridSpan w:val="5"/>
            <w:tcBorders>
              <w:top w:val="nil"/>
              <w:bottom w:val="nil"/>
            </w:tcBorders>
            <w:shd w:val="clear" w:color="auto" w:fill="BFBFBF" w:themeFill="background1" w:themeFillShade="BF"/>
            <w:vAlign w:val="center"/>
          </w:tcPr>
          <w:p w14:paraId="47420ACA" w14:textId="77777777" w:rsidR="00020E37" w:rsidRPr="00ED6EDE" w:rsidRDefault="00020E37" w:rsidP="00522D2D">
            <w:pPr>
              <w:pStyle w:val="Tabletext"/>
              <w:keepNext/>
              <w:keepLines/>
              <w:jc w:val="center"/>
            </w:pPr>
          </w:p>
        </w:tc>
        <w:tc>
          <w:tcPr>
            <w:tcW w:w="2769" w:type="dxa"/>
            <w:gridSpan w:val="6"/>
            <w:tcBorders>
              <w:top w:val="nil"/>
              <w:bottom w:val="nil"/>
            </w:tcBorders>
            <w:shd w:val="clear" w:color="auto" w:fill="BFBFBF" w:themeFill="background1" w:themeFillShade="BF"/>
            <w:vAlign w:val="center"/>
          </w:tcPr>
          <w:p w14:paraId="4BA4C81D" w14:textId="77777777" w:rsidR="00020E37" w:rsidRPr="00ED6EDE" w:rsidRDefault="00020E37" w:rsidP="00522D2D">
            <w:pPr>
              <w:pStyle w:val="Tabletext"/>
              <w:keepNext/>
              <w:keepLines/>
              <w:jc w:val="center"/>
            </w:pPr>
          </w:p>
        </w:tc>
      </w:tr>
      <w:tr w:rsidR="00020E37" w:rsidRPr="00ED6EDE" w14:paraId="3C7B013F" w14:textId="77777777" w:rsidTr="00710A90">
        <w:trPr>
          <w:gridAfter w:val="1"/>
          <w:wAfter w:w="6" w:type="dxa"/>
        </w:trPr>
        <w:tc>
          <w:tcPr>
            <w:tcW w:w="423" w:type="dxa"/>
            <w:vMerge/>
            <w:vAlign w:val="center"/>
          </w:tcPr>
          <w:p w14:paraId="44AC6592" w14:textId="77777777" w:rsidR="00020E37" w:rsidRPr="00ED6EDE" w:rsidRDefault="00020E37" w:rsidP="00522D2D">
            <w:pPr>
              <w:pStyle w:val="Tabletext"/>
              <w:keepNext/>
              <w:keepLines/>
            </w:pPr>
          </w:p>
        </w:tc>
        <w:tc>
          <w:tcPr>
            <w:tcW w:w="378" w:type="dxa"/>
            <w:vAlign w:val="center"/>
          </w:tcPr>
          <w:p w14:paraId="24C15C5F" w14:textId="77777777" w:rsidR="00020E37" w:rsidRPr="00ED6EDE" w:rsidRDefault="00020E37" w:rsidP="00522D2D">
            <w:pPr>
              <w:pStyle w:val="Tabletext"/>
              <w:keepNext/>
              <w:keepLines/>
            </w:pPr>
            <w:r w:rsidRPr="00ED6EDE">
              <w:t>OS</w:t>
            </w:r>
          </w:p>
        </w:tc>
        <w:tc>
          <w:tcPr>
            <w:tcW w:w="1037" w:type="dxa"/>
            <w:vAlign w:val="center"/>
          </w:tcPr>
          <w:p w14:paraId="2901632F" w14:textId="77777777" w:rsidR="00020E37" w:rsidRPr="00ED6EDE" w:rsidRDefault="00020E37" w:rsidP="00522D2D">
            <w:pPr>
              <w:pStyle w:val="Tabletext"/>
              <w:keepNext/>
              <w:keepLines/>
              <w:jc w:val="center"/>
            </w:pPr>
            <w:r w:rsidRPr="00ED6EDE">
              <w:t>10.6</w:t>
            </w:r>
          </w:p>
          <w:p w14:paraId="3546BE2B" w14:textId="77777777" w:rsidR="00020E37" w:rsidRPr="00ED6EDE" w:rsidRDefault="00020E37" w:rsidP="00522D2D">
            <w:pPr>
              <w:pStyle w:val="Tabletext"/>
              <w:keepNext/>
              <w:keepLines/>
              <w:jc w:val="center"/>
            </w:pPr>
            <w:r w:rsidRPr="00ED6EDE">
              <w:t>(8.9, 14.9)</w:t>
            </w:r>
          </w:p>
        </w:tc>
        <w:tc>
          <w:tcPr>
            <w:tcW w:w="1784" w:type="dxa"/>
            <w:gridSpan w:val="3"/>
            <w:tcBorders>
              <w:top w:val="nil"/>
              <w:bottom w:val="nil"/>
            </w:tcBorders>
            <w:shd w:val="clear" w:color="auto" w:fill="BFBFBF" w:themeFill="background1" w:themeFillShade="BF"/>
            <w:vAlign w:val="center"/>
          </w:tcPr>
          <w:p w14:paraId="75FA4505" w14:textId="77777777" w:rsidR="00020E37" w:rsidRPr="00ED6EDE" w:rsidRDefault="00020E37" w:rsidP="00522D2D">
            <w:pPr>
              <w:pStyle w:val="Tabletext"/>
              <w:keepNext/>
              <w:keepLines/>
              <w:jc w:val="center"/>
            </w:pPr>
          </w:p>
        </w:tc>
        <w:tc>
          <w:tcPr>
            <w:tcW w:w="2768" w:type="dxa"/>
            <w:gridSpan w:val="5"/>
            <w:tcBorders>
              <w:top w:val="nil"/>
              <w:bottom w:val="nil"/>
            </w:tcBorders>
            <w:shd w:val="clear" w:color="auto" w:fill="BFBFBF" w:themeFill="background1" w:themeFillShade="BF"/>
            <w:vAlign w:val="center"/>
          </w:tcPr>
          <w:p w14:paraId="1D36C302" w14:textId="77777777" w:rsidR="00020E37" w:rsidRPr="00ED6EDE" w:rsidRDefault="00020E37" w:rsidP="00522D2D">
            <w:pPr>
              <w:pStyle w:val="Tabletext"/>
              <w:keepNext/>
              <w:keepLines/>
              <w:jc w:val="center"/>
            </w:pPr>
          </w:p>
        </w:tc>
        <w:tc>
          <w:tcPr>
            <w:tcW w:w="2769" w:type="dxa"/>
            <w:gridSpan w:val="6"/>
            <w:tcBorders>
              <w:top w:val="nil"/>
              <w:bottom w:val="nil"/>
            </w:tcBorders>
            <w:shd w:val="clear" w:color="auto" w:fill="BFBFBF" w:themeFill="background1" w:themeFillShade="BF"/>
            <w:vAlign w:val="center"/>
          </w:tcPr>
          <w:p w14:paraId="58E3F6AC" w14:textId="77777777" w:rsidR="00020E37" w:rsidRPr="00ED6EDE" w:rsidRDefault="00020E37" w:rsidP="00522D2D">
            <w:pPr>
              <w:pStyle w:val="Tabletext"/>
              <w:keepNext/>
              <w:keepLines/>
              <w:jc w:val="center"/>
            </w:pPr>
          </w:p>
        </w:tc>
      </w:tr>
      <w:tr w:rsidR="00020E37" w:rsidRPr="00ED6EDE" w14:paraId="2865FF38" w14:textId="77777777" w:rsidTr="00710A90">
        <w:trPr>
          <w:gridAfter w:val="1"/>
          <w:wAfter w:w="6" w:type="dxa"/>
        </w:trPr>
        <w:tc>
          <w:tcPr>
            <w:tcW w:w="423" w:type="dxa"/>
            <w:vMerge/>
            <w:vAlign w:val="center"/>
          </w:tcPr>
          <w:p w14:paraId="55EBA2C8" w14:textId="77777777" w:rsidR="00020E37" w:rsidRPr="00ED6EDE" w:rsidRDefault="00020E37" w:rsidP="00522D2D">
            <w:pPr>
              <w:pStyle w:val="Tabletext"/>
              <w:keepNext/>
              <w:keepLines/>
            </w:pPr>
          </w:p>
        </w:tc>
        <w:tc>
          <w:tcPr>
            <w:tcW w:w="378" w:type="dxa"/>
            <w:vAlign w:val="center"/>
          </w:tcPr>
          <w:p w14:paraId="4BD0A4C7" w14:textId="77777777" w:rsidR="00020E37" w:rsidRPr="00ED6EDE" w:rsidRDefault="00020E37" w:rsidP="00522D2D">
            <w:pPr>
              <w:pStyle w:val="Tabletext"/>
              <w:keepNext/>
              <w:keepLines/>
            </w:pPr>
            <w:r w:rsidRPr="00ED6EDE">
              <w:t>PFS</w:t>
            </w:r>
          </w:p>
        </w:tc>
        <w:tc>
          <w:tcPr>
            <w:tcW w:w="1037" w:type="dxa"/>
            <w:vAlign w:val="center"/>
          </w:tcPr>
          <w:p w14:paraId="39A03C33" w14:textId="77777777" w:rsidR="00710A90" w:rsidRPr="00ED6EDE" w:rsidRDefault="00020E37" w:rsidP="00522D2D">
            <w:pPr>
              <w:pStyle w:val="Tabletext"/>
              <w:keepNext/>
              <w:keepLines/>
              <w:jc w:val="center"/>
            </w:pPr>
            <w:r w:rsidRPr="00ED6EDE">
              <w:t xml:space="preserve">5.6 </w:t>
            </w:r>
          </w:p>
          <w:p w14:paraId="1E4E4322" w14:textId="79E3F7A4" w:rsidR="00020E37" w:rsidRPr="00ED6EDE" w:rsidRDefault="00020E37" w:rsidP="00522D2D">
            <w:pPr>
              <w:pStyle w:val="Tabletext"/>
              <w:keepNext/>
              <w:keepLines/>
              <w:jc w:val="center"/>
            </w:pPr>
            <w:r w:rsidRPr="00ED6EDE">
              <w:t>(3.7, 6.3)</w:t>
            </w:r>
          </w:p>
        </w:tc>
        <w:tc>
          <w:tcPr>
            <w:tcW w:w="1784" w:type="dxa"/>
            <w:gridSpan w:val="3"/>
            <w:tcBorders>
              <w:top w:val="nil"/>
              <w:bottom w:val="single" w:sz="4" w:space="0" w:color="auto"/>
            </w:tcBorders>
            <w:shd w:val="clear" w:color="auto" w:fill="BFBFBF" w:themeFill="background1" w:themeFillShade="BF"/>
            <w:vAlign w:val="center"/>
          </w:tcPr>
          <w:p w14:paraId="3B7224DA" w14:textId="77777777" w:rsidR="00020E37" w:rsidRPr="00ED6EDE" w:rsidRDefault="00020E37" w:rsidP="00522D2D">
            <w:pPr>
              <w:pStyle w:val="Tabletext"/>
              <w:keepNext/>
              <w:keepLines/>
              <w:jc w:val="center"/>
            </w:pPr>
          </w:p>
        </w:tc>
        <w:tc>
          <w:tcPr>
            <w:tcW w:w="2768" w:type="dxa"/>
            <w:gridSpan w:val="5"/>
            <w:tcBorders>
              <w:top w:val="nil"/>
            </w:tcBorders>
            <w:shd w:val="clear" w:color="auto" w:fill="BFBFBF" w:themeFill="background1" w:themeFillShade="BF"/>
            <w:vAlign w:val="center"/>
          </w:tcPr>
          <w:p w14:paraId="24FC8D33" w14:textId="77777777" w:rsidR="00020E37" w:rsidRPr="00ED6EDE" w:rsidRDefault="00020E37" w:rsidP="00522D2D">
            <w:pPr>
              <w:pStyle w:val="Tabletext"/>
              <w:keepNext/>
              <w:keepLines/>
              <w:jc w:val="center"/>
            </w:pPr>
          </w:p>
        </w:tc>
        <w:tc>
          <w:tcPr>
            <w:tcW w:w="2769" w:type="dxa"/>
            <w:gridSpan w:val="6"/>
            <w:tcBorders>
              <w:top w:val="nil"/>
            </w:tcBorders>
            <w:shd w:val="clear" w:color="auto" w:fill="BFBFBF" w:themeFill="background1" w:themeFillShade="BF"/>
            <w:vAlign w:val="center"/>
          </w:tcPr>
          <w:p w14:paraId="07C19461" w14:textId="77777777" w:rsidR="00020E37" w:rsidRPr="00ED6EDE" w:rsidRDefault="00020E37" w:rsidP="00522D2D">
            <w:pPr>
              <w:pStyle w:val="Tabletext"/>
              <w:keepNext/>
              <w:keepLines/>
              <w:jc w:val="center"/>
            </w:pPr>
          </w:p>
        </w:tc>
      </w:tr>
    </w:tbl>
    <w:p w14:paraId="6BFCC0BD" w14:textId="77777777" w:rsidR="00020E37" w:rsidRPr="00ED6EDE" w:rsidRDefault="00020E37" w:rsidP="00764B19">
      <w:pPr>
        <w:pStyle w:val="Tabletext"/>
      </w:pPr>
      <w:r w:rsidRPr="00ED6EDE">
        <w:t>Source: Table 2.5-2, p74 of the submission. CI = confidence interval; dMMR = deficient mismatch repair; HR = hazard ratio; OS = overall survival; PFS = progression free survival;  pMMR = proficient mismatch repair.</w:t>
      </w:r>
    </w:p>
    <w:p w14:paraId="5A7AF1BE" w14:textId="5CE28A64" w:rsidR="00020E37" w:rsidRPr="00ED6EDE" w:rsidRDefault="00020E37" w:rsidP="00764B19">
      <w:pPr>
        <w:pStyle w:val="Tabletext"/>
      </w:pPr>
      <w:r w:rsidRPr="00ED6EDE">
        <w:rPr>
          <w:vertAlign w:val="superscript"/>
        </w:rPr>
        <w:t>a</w:t>
      </w:r>
      <w:r w:rsidR="00710A90" w:rsidRPr="00ED6EDE">
        <w:t xml:space="preserve"> </w:t>
      </w:r>
      <w:r w:rsidRPr="00ED6EDE">
        <w:t>(PEM) (Cohort D+K)</w:t>
      </w:r>
    </w:p>
    <w:p w14:paraId="3998F332" w14:textId="3ABFDCE2" w:rsidR="00020E37" w:rsidRPr="00ED6EDE" w:rsidRDefault="00020E37" w:rsidP="00764B19">
      <w:pPr>
        <w:pStyle w:val="Tabletext"/>
      </w:pPr>
      <w:r w:rsidRPr="00ED6EDE">
        <w:rPr>
          <w:vertAlign w:val="superscript"/>
        </w:rPr>
        <w:t>b</w:t>
      </w:r>
      <w:r w:rsidR="00710A90" w:rsidRPr="00ED6EDE">
        <w:t xml:space="preserve"> </w:t>
      </w:r>
      <w:r w:rsidRPr="00ED6EDE">
        <w:t>From product-limit (Kaplan-Meier) method for censored data.</w:t>
      </w:r>
    </w:p>
    <w:p w14:paraId="3BB69197" w14:textId="5229FFD4" w:rsidR="00020E37" w:rsidRPr="00ED6EDE" w:rsidRDefault="00020E37" w:rsidP="00764B19">
      <w:pPr>
        <w:pStyle w:val="Tabletext"/>
      </w:pPr>
      <w:r w:rsidRPr="00ED6EDE">
        <w:rPr>
          <w:vertAlign w:val="superscript"/>
        </w:rPr>
        <w:t>c</w:t>
      </w:r>
      <w:r w:rsidR="00710A90" w:rsidRPr="00ED6EDE">
        <w:t xml:space="preserve"> </w:t>
      </w:r>
      <w:r w:rsidRPr="00ED6EDE">
        <w:t xml:space="preserve">p&lt;0.0001 </w:t>
      </w:r>
    </w:p>
    <w:p w14:paraId="65FC322F" w14:textId="608EAF28" w:rsidR="00020E37" w:rsidRPr="00ED6EDE" w:rsidRDefault="00020E37" w:rsidP="00764B19">
      <w:pPr>
        <w:pStyle w:val="Tabletext"/>
      </w:pPr>
      <w:r w:rsidRPr="00ED6EDE">
        <w:rPr>
          <w:vertAlign w:val="superscript"/>
        </w:rPr>
        <w:t>d</w:t>
      </w:r>
      <w:r w:rsidR="00710A90" w:rsidRPr="00ED6EDE">
        <w:t xml:space="preserve"> </w:t>
      </w:r>
      <w:r w:rsidRPr="00ED6EDE">
        <w:t xml:space="preserve">nominally p&lt;0.0001 as per submission, but not part of formal statistical analysis plan and should be considered exploratory </w:t>
      </w:r>
    </w:p>
    <w:p w14:paraId="335ACCAB" w14:textId="77777777" w:rsidR="002A73E1" w:rsidRPr="00ED6EDE" w:rsidRDefault="002A73E1" w:rsidP="00764B19">
      <w:pPr>
        <w:pStyle w:val="Tabletext"/>
      </w:pPr>
      <w:r w:rsidRPr="00ED6EDE">
        <w:t>Note that the alpha value for PFS in KN775 was 0.0005 due to multiplicity adjustments, therefore a 95% confidence interval may not be informative</w:t>
      </w:r>
    </w:p>
    <w:p w14:paraId="171E173C" w14:textId="77777777" w:rsidR="00020E37" w:rsidRPr="00ED6EDE" w:rsidRDefault="00020E37" w:rsidP="00764B19">
      <w:pPr>
        <w:pStyle w:val="Tabletext"/>
      </w:pPr>
      <w:r w:rsidRPr="00ED6EDE">
        <w:t xml:space="preserve">Text in bold indicate statistically significant results </w:t>
      </w:r>
    </w:p>
    <w:p w14:paraId="2DDF05D7" w14:textId="671D8102" w:rsidR="005222C5" w:rsidRPr="00ED6EDE" w:rsidRDefault="005222C5" w:rsidP="0049336B">
      <w:pPr>
        <w:pStyle w:val="5-SubsectionSubheading"/>
        <w:jc w:val="left"/>
        <w:rPr>
          <w:u w:val="single"/>
        </w:rPr>
      </w:pPr>
      <w:r w:rsidRPr="00ED6EDE">
        <w:rPr>
          <w:u w:val="single"/>
        </w:rPr>
        <w:t>Overall Survival</w:t>
      </w:r>
      <w:r w:rsidR="00F52155" w:rsidRPr="00ED6EDE">
        <w:rPr>
          <w:u w:val="single"/>
        </w:rPr>
        <w:t>: combination therapy</w:t>
      </w:r>
    </w:p>
    <w:p w14:paraId="308EEE77" w14:textId="150A0925" w:rsidR="00020E37" w:rsidRPr="003D5CA9" w:rsidRDefault="00020E37" w:rsidP="005D2C4E">
      <w:pPr>
        <w:pStyle w:val="ListParagraph"/>
        <w:widowControl/>
        <w:numPr>
          <w:ilvl w:val="1"/>
          <w:numId w:val="2"/>
        </w:numPr>
        <w:spacing w:after="120"/>
      </w:pPr>
      <w:r w:rsidRPr="00ED6EDE">
        <w:rPr>
          <w:color w:val="000000" w:themeColor="text1"/>
        </w:rPr>
        <w:t xml:space="preserve">At the first interim analysis (IA1) of KN775, </w:t>
      </w:r>
      <w:r w:rsidR="00E57222" w:rsidRPr="00ED6EDE">
        <w:rPr>
          <w:color w:val="000000" w:themeColor="text1"/>
        </w:rPr>
        <w:t>after a median follow up of 1</w:t>
      </w:r>
      <w:r w:rsidR="004F15C8" w:rsidRPr="00ED6EDE">
        <w:rPr>
          <w:color w:val="000000" w:themeColor="text1"/>
        </w:rPr>
        <w:t>1.4</w:t>
      </w:r>
      <w:r w:rsidR="00E57222" w:rsidRPr="00ED6EDE">
        <w:rPr>
          <w:color w:val="000000" w:themeColor="text1"/>
        </w:rPr>
        <w:t xml:space="preserve"> months</w:t>
      </w:r>
      <w:r w:rsidR="00223E67" w:rsidRPr="00ED6EDE">
        <w:rPr>
          <w:color w:val="000000" w:themeColor="text1"/>
        </w:rPr>
        <w:t>,</w:t>
      </w:r>
      <w:r w:rsidR="0031715F" w:rsidRPr="00ED6EDE">
        <w:rPr>
          <w:color w:val="000000" w:themeColor="text1"/>
        </w:rPr>
        <w:t xml:space="preserve"> </w:t>
      </w:r>
      <w:r w:rsidRPr="00ED6EDE">
        <w:rPr>
          <w:color w:val="000000" w:themeColor="text1"/>
        </w:rPr>
        <w:t>patients in the pembrolizumab plus lenvatinib arm had a median survival that was significantly longer than those participants randomised to the c</w:t>
      </w:r>
      <w:r w:rsidR="00BC2689" w:rsidRPr="00ED6EDE">
        <w:rPr>
          <w:color w:val="000000" w:themeColor="text1"/>
        </w:rPr>
        <w:t>hemotherapy a</w:t>
      </w:r>
      <w:r w:rsidRPr="00ED6EDE">
        <w:rPr>
          <w:color w:val="000000" w:themeColor="text1"/>
        </w:rPr>
        <w:t>rm (median OS 18.3 months (95% CI 15.2, 20.5) v</w:t>
      </w:r>
      <w:r w:rsidR="00A06CDF" w:rsidRPr="00ED6EDE">
        <w:rPr>
          <w:color w:val="000000" w:themeColor="text1"/>
        </w:rPr>
        <w:t>ersus</w:t>
      </w:r>
      <w:r w:rsidRPr="00ED6EDE">
        <w:rPr>
          <w:color w:val="000000" w:themeColor="text1"/>
        </w:rPr>
        <w:t xml:space="preserve"> 11.4 months (95% CI 10.5, 12.9), HR = 0.62 (95% CI 0.51, 0.75)) in the all-comers population. The submission considered that this represent</w:t>
      </w:r>
      <w:r w:rsidR="00FD1FB9" w:rsidRPr="00ED6EDE">
        <w:rPr>
          <w:color w:val="000000" w:themeColor="text1"/>
        </w:rPr>
        <w:t>ed</w:t>
      </w:r>
      <w:r w:rsidRPr="00ED6EDE">
        <w:rPr>
          <w:color w:val="000000" w:themeColor="text1"/>
        </w:rPr>
        <w:t xml:space="preserve"> a clinically </w:t>
      </w:r>
      <w:r w:rsidRPr="00ED6EDE">
        <w:t xml:space="preserve">meaningful improvement in median survival of 6.9 months. </w:t>
      </w:r>
      <w:r w:rsidRPr="00ED6EDE">
        <w:rPr>
          <w:iCs/>
        </w:rPr>
        <w:t>The point estimate for the</w:t>
      </w:r>
      <w:r w:rsidR="00BC2689" w:rsidRPr="00ED6EDE">
        <w:rPr>
          <w:iCs/>
        </w:rPr>
        <w:t xml:space="preserve"> overall survival (</w:t>
      </w:r>
      <w:r w:rsidRPr="00ED6EDE">
        <w:rPr>
          <w:iCs/>
        </w:rPr>
        <w:t>OS</w:t>
      </w:r>
      <w:r w:rsidR="00BC2689" w:rsidRPr="00ED6EDE">
        <w:rPr>
          <w:iCs/>
        </w:rPr>
        <w:t>) hazard ratio (</w:t>
      </w:r>
      <w:r w:rsidRPr="00ED6EDE">
        <w:rPr>
          <w:iCs/>
        </w:rPr>
        <w:t>HR</w:t>
      </w:r>
      <w:r w:rsidR="00BC2689" w:rsidRPr="00ED6EDE">
        <w:rPr>
          <w:iCs/>
        </w:rPr>
        <w:t>)</w:t>
      </w:r>
      <w:r w:rsidRPr="00ED6EDE">
        <w:rPr>
          <w:iCs/>
        </w:rPr>
        <w:t xml:space="preserve"> in KN775 for the all</w:t>
      </w:r>
      <w:r w:rsidR="00FD1FB9" w:rsidRPr="00ED6EDE">
        <w:rPr>
          <w:iCs/>
        </w:rPr>
        <w:t>-</w:t>
      </w:r>
      <w:r w:rsidRPr="00ED6EDE">
        <w:rPr>
          <w:iCs/>
        </w:rPr>
        <w:t>comers population met the proposed MCID of OS HR = 0.75</w:t>
      </w:r>
      <w:r w:rsidR="00435F0D" w:rsidRPr="00ED6EDE">
        <w:rPr>
          <w:iCs/>
        </w:rPr>
        <w:t>, which was based on the statistical power calculation in KN775</w:t>
      </w:r>
      <w:r w:rsidRPr="00ED6EDE">
        <w:rPr>
          <w:iCs/>
        </w:rPr>
        <w:t xml:space="preserve">. </w:t>
      </w:r>
    </w:p>
    <w:p w14:paraId="1E0132CE" w14:textId="393C1DB4" w:rsidR="00A44F69" w:rsidRDefault="00A44F69" w:rsidP="005802EF">
      <w:pPr>
        <w:pStyle w:val="ListParagraph"/>
        <w:widowControl/>
        <w:numPr>
          <w:ilvl w:val="1"/>
          <w:numId w:val="2"/>
        </w:numPr>
        <w:spacing w:after="120"/>
      </w:pPr>
      <w:r>
        <w:t xml:space="preserve">The PBAC noted that the HR for OS was 0.68 (95% CI: 0.56, 0.84) in the pMMR subgroup, which was similar to the HR in the ITT </w:t>
      </w:r>
      <w:r w:rsidR="002604EC">
        <w:t xml:space="preserve">population </w:t>
      </w:r>
      <w:r>
        <w:t xml:space="preserve">of 0.62 (95% CI: 0.51, 0.75). </w:t>
      </w:r>
      <w:r w:rsidR="009F05EC">
        <w:t>The PBAC further noted the HR in the dMMR subgroup was 0.37 (95% CI: 0.22, 0.62)</w:t>
      </w:r>
      <w:r w:rsidR="00C62E1D">
        <w:t>,</w:t>
      </w:r>
      <w:r w:rsidR="009F05EC">
        <w:t xml:space="preserve"> but acknowledged this was an exploratory analysis.</w:t>
      </w:r>
    </w:p>
    <w:p w14:paraId="3A055C6F" w14:textId="2CEAF73A" w:rsidR="00593AB1" w:rsidRPr="00ED6EDE" w:rsidRDefault="007703B8" w:rsidP="00593AB1">
      <w:pPr>
        <w:pStyle w:val="ListParagraph"/>
        <w:widowControl/>
        <w:numPr>
          <w:ilvl w:val="1"/>
          <w:numId w:val="2"/>
        </w:numPr>
        <w:spacing w:after="120"/>
      </w:pPr>
      <w:r w:rsidRPr="00ED6EDE">
        <w:fldChar w:fldCharType="begin"/>
      </w:r>
      <w:r w:rsidRPr="00ED6EDE">
        <w:instrText xml:space="preserve"> REF _Ref96080881 \h  \* MERGEFORMAT </w:instrText>
      </w:r>
      <w:r w:rsidRPr="00ED6EDE">
        <w:fldChar w:fldCharType="separate"/>
      </w:r>
      <w:r w:rsidR="004163DD" w:rsidRPr="004163DD">
        <w:t>Figure 1</w:t>
      </w:r>
      <w:r w:rsidRPr="00ED6EDE">
        <w:fldChar w:fldCharType="end"/>
      </w:r>
      <w:r w:rsidRPr="00ED6EDE">
        <w:t xml:space="preserve"> </w:t>
      </w:r>
      <w:r w:rsidR="00593AB1" w:rsidRPr="00ED6EDE">
        <w:t>illustrates the Kaplan-Meier estimates of OS in the pMMR and all-comers populations in KN775. Separation of the curves occurred about 3.5 months after initiation of the study. Although heavily censored, the submission noted that the curves continue to separate. The submission considered this demonstrated the significant improvement in survival for pa</w:t>
      </w:r>
      <w:r w:rsidR="003D5CA9">
        <w:t xml:space="preserve">tients in </w:t>
      </w:r>
      <w:r w:rsidR="00593AB1" w:rsidRPr="00ED6EDE">
        <w:t xml:space="preserve">the pembrolizumab plus lenvatinib arm compared to those </w:t>
      </w:r>
      <w:r w:rsidR="003D5CA9">
        <w:t>i</w:t>
      </w:r>
      <w:r w:rsidR="00593AB1" w:rsidRPr="00ED6EDE">
        <w:t>n the chemotherapy arm of KN775.</w:t>
      </w:r>
      <w:r w:rsidR="003D5CA9">
        <w:t xml:space="preserve"> </w:t>
      </w:r>
    </w:p>
    <w:p w14:paraId="7C2FE67A" w14:textId="7AB59B70" w:rsidR="00593AB1" w:rsidRPr="00ED6EDE" w:rsidRDefault="00593AB1" w:rsidP="00593AB1">
      <w:pPr>
        <w:pStyle w:val="Caption"/>
        <w:keepNext/>
        <w:spacing w:after="0"/>
        <w:ind w:left="426" w:hanging="426"/>
        <w:jc w:val="left"/>
        <w:rPr>
          <w:rStyle w:val="CommentReference"/>
          <w:b/>
          <w:bCs w:val="0"/>
          <w:color w:val="000000" w:themeColor="text1"/>
        </w:rPr>
      </w:pPr>
      <w:bookmarkStart w:id="34" w:name="_Ref96080881"/>
      <w:r w:rsidRPr="00ED6EDE">
        <w:rPr>
          <w:rStyle w:val="CommentReference"/>
          <w:b/>
          <w:bCs w:val="0"/>
          <w:color w:val="000000" w:themeColor="text1"/>
        </w:rPr>
        <w:t xml:space="preserve">Figure </w:t>
      </w:r>
      <w:r w:rsidRPr="00ED6EDE">
        <w:rPr>
          <w:rStyle w:val="CommentReference"/>
          <w:b/>
          <w:bCs w:val="0"/>
          <w:color w:val="000000" w:themeColor="text1"/>
        </w:rPr>
        <w:fldChar w:fldCharType="begin"/>
      </w:r>
      <w:r w:rsidRPr="00ED6EDE">
        <w:rPr>
          <w:rStyle w:val="CommentReference"/>
          <w:b/>
          <w:bCs w:val="0"/>
          <w:color w:val="000000" w:themeColor="text1"/>
        </w:rPr>
        <w:instrText xml:space="preserve"> SEQ Figure \* MERGEFORMAT </w:instrText>
      </w:r>
      <w:r w:rsidRPr="00ED6EDE">
        <w:rPr>
          <w:rStyle w:val="CommentReference"/>
          <w:b/>
          <w:bCs w:val="0"/>
          <w:color w:val="000000" w:themeColor="text1"/>
        </w:rPr>
        <w:fldChar w:fldCharType="separate"/>
      </w:r>
      <w:r w:rsidR="004163DD">
        <w:rPr>
          <w:rStyle w:val="CommentReference"/>
          <w:b/>
          <w:bCs w:val="0"/>
          <w:noProof/>
          <w:color w:val="000000" w:themeColor="text1"/>
        </w:rPr>
        <w:t>1</w:t>
      </w:r>
      <w:r w:rsidRPr="00ED6EDE">
        <w:rPr>
          <w:rStyle w:val="CommentReference"/>
          <w:b/>
          <w:bCs w:val="0"/>
          <w:color w:val="000000" w:themeColor="text1"/>
        </w:rPr>
        <w:fldChar w:fldCharType="end"/>
      </w:r>
      <w:bookmarkEnd w:id="34"/>
      <w:r w:rsidRPr="00ED6EDE">
        <w:rPr>
          <w:rStyle w:val="CommentReference"/>
          <w:b/>
          <w:bCs w:val="0"/>
          <w:color w:val="000000" w:themeColor="text1"/>
        </w:rPr>
        <w:t xml:space="preserve">: KN775 Kaplan-Meier estimates of OS in </w:t>
      </w:r>
      <w:r w:rsidR="001F6D60" w:rsidRPr="00ED6EDE">
        <w:rPr>
          <w:rStyle w:val="CommentReference"/>
          <w:b/>
          <w:bCs w:val="0"/>
          <w:color w:val="000000" w:themeColor="text1"/>
        </w:rPr>
        <w:t xml:space="preserve">the </w:t>
      </w:r>
      <w:r w:rsidRPr="00ED6EDE">
        <w:rPr>
          <w:rStyle w:val="CommentReference"/>
          <w:b/>
          <w:bCs w:val="0"/>
          <w:color w:val="000000" w:themeColor="text1"/>
        </w:rPr>
        <w:t xml:space="preserve">pMMR and all-comer </w:t>
      </w:r>
      <w:r w:rsidR="001F6D60" w:rsidRPr="00ED6EDE">
        <w:rPr>
          <w:rStyle w:val="CommentReference"/>
          <w:b/>
          <w:bCs w:val="0"/>
          <w:color w:val="000000" w:themeColor="text1"/>
        </w:rPr>
        <w:t xml:space="preserve">(ITT) </w:t>
      </w:r>
      <w:r w:rsidRPr="00ED6EDE">
        <w:rPr>
          <w:rStyle w:val="CommentReference"/>
          <w:b/>
          <w:bCs w:val="0"/>
          <w:color w:val="000000" w:themeColor="text1"/>
        </w:rPr>
        <w:t>population</w:t>
      </w:r>
      <w:r w:rsidR="001F6D60" w:rsidRPr="00ED6EDE">
        <w:rPr>
          <w:rStyle w:val="CommentReference"/>
          <w:b/>
          <w:bCs w:val="0"/>
          <w:color w:val="000000" w:themeColor="text1"/>
        </w:rPr>
        <w:t>s</w:t>
      </w:r>
    </w:p>
    <w:p w14:paraId="54A9E150" w14:textId="77777777" w:rsidR="00593AB1" w:rsidRPr="00ED6EDE" w:rsidRDefault="00593AB1" w:rsidP="00593AB1">
      <w:pPr>
        <w:jc w:val="left"/>
      </w:pPr>
      <w:r w:rsidRPr="00ED6EDE">
        <w:rPr>
          <w:noProof/>
          <w:lang w:eastAsia="en-AU"/>
        </w:rPr>
        <w:drawing>
          <wp:inline distT="0" distB="0" distL="0" distR="0" wp14:anchorId="0EBCA34F" wp14:editId="7D22887B">
            <wp:extent cx="5409045" cy="5243123"/>
            <wp:effectExtent l="0" t="0" r="1270" b="0"/>
            <wp:docPr id="14" name="Content Placeholder 3" descr="Figure 1: KN775 Kaplan-Meier estimates of OS in the pMMR and all-comer (ITT) populations">
              <a:extLst xmlns:a="http://schemas.openxmlformats.org/drawingml/2006/main">
                <a:ext uri="{FF2B5EF4-FFF2-40B4-BE49-F238E27FC236}">
                  <a16:creationId xmlns:a16="http://schemas.microsoft.com/office/drawing/2014/main" id="{6B67EAF7-BABE-EB4C-83CA-3BE808918CD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3" descr="Figure 1: KN775 Kaplan-Meier estimates of OS in the pMMR and all-comer (ITT) populations">
                      <a:extLst>
                        <a:ext uri="{FF2B5EF4-FFF2-40B4-BE49-F238E27FC236}">
                          <a16:creationId xmlns:a16="http://schemas.microsoft.com/office/drawing/2014/main" id="{6B67EAF7-BABE-EB4C-83CA-3BE808918CDC}"/>
                        </a:ext>
                      </a:extLst>
                    </pic:cNvPr>
                    <pic:cNvPicPr>
                      <a:picLocks noGrp="1" noChangeAspect="1"/>
                    </pic:cNvPicPr>
                  </pic:nvPicPr>
                  <pic:blipFill>
                    <a:blip r:embed="rId8"/>
                    <a:stretch>
                      <a:fillRect/>
                    </a:stretch>
                  </pic:blipFill>
                  <pic:spPr>
                    <a:xfrm>
                      <a:off x="0" y="0"/>
                      <a:ext cx="5409045" cy="5243123"/>
                    </a:xfrm>
                    <a:prstGeom prst="rect">
                      <a:avLst/>
                    </a:prstGeom>
                  </pic:spPr>
                </pic:pic>
              </a:graphicData>
            </a:graphic>
          </wp:inline>
        </w:drawing>
      </w:r>
    </w:p>
    <w:p w14:paraId="143591CE" w14:textId="77777777" w:rsidR="00593AB1" w:rsidRPr="00ED6EDE" w:rsidRDefault="00593AB1" w:rsidP="00593AB1">
      <w:pPr>
        <w:pStyle w:val="TableFooter"/>
        <w:jc w:val="left"/>
      </w:pPr>
      <w:r w:rsidRPr="00ED6EDE">
        <w:t>Source: Makker, V et al. Lenvatinib plus Pembrolizumab for Advanced Endometrial Cancer. N Engl J Med 2022; 386:437-448</w:t>
      </w:r>
    </w:p>
    <w:p w14:paraId="0A88FEB4" w14:textId="66275A35" w:rsidR="00593AB1" w:rsidRPr="00ED6EDE" w:rsidRDefault="00593AB1" w:rsidP="00593AB1">
      <w:pPr>
        <w:widowControl/>
        <w:spacing w:after="120"/>
        <w:rPr>
          <w:rFonts w:ascii="Arial Narrow" w:hAnsi="Arial Narrow"/>
          <w:sz w:val="18"/>
        </w:rPr>
      </w:pPr>
      <w:r w:rsidRPr="00ED6EDE">
        <w:rPr>
          <w:rFonts w:ascii="Arial Narrow" w:hAnsi="Arial Narrow"/>
          <w:sz w:val="18"/>
        </w:rPr>
        <w:t>CI = confidence interval: mo = months</w:t>
      </w:r>
    </w:p>
    <w:p w14:paraId="765F1CAD" w14:textId="7C23E773" w:rsidR="00020E37" w:rsidRPr="00ED6EDE" w:rsidRDefault="00D0513B" w:rsidP="005D2C4E">
      <w:pPr>
        <w:pStyle w:val="ListParagraph"/>
        <w:widowControl/>
        <w:numPr>
          <w:ilvl w:val="1"/>
          <w:numId w:val="2"/>
        </w:numPr>
        <w:spacing w:after="120"/>
      </w:pPr>
      <w:r w:rsidRPr="00ED6EDE">
        <w:rPr>
          <w:iCs/>
        </w:rPr>
        <w:t>The ESC noted that, at the data-cut provided</w:t>
      </w:r>
      <w:r w:rsidR="00395B13" w:rsidRPr="00ED6EDE">
        <w:rPr>
          <w:iCs/>
        </w:rPr>
        <w:t xml:space="preserve">, the </w:t>
      </w:r>
      <w:r w:rsidRPr="00ED6EDE">
        <w:rPr>
          <w:iCs/>
        </w:rPr>
        <w:t xml:space="preserve">median follow-up </w:t>
      </w:r>
      <w:r w:rsidR="00395B13" w:rsidRPr="00ED6EDE">
        <w:rPr>
          <w:iCs/>
        </w:rPr>
        <w:t>was</w:t>
      </w:r>
      <w:r w:rsidRPr="00ED6EDE">
        <w:rPr>
          <w:iCs/>
        </w:rPr>
        <w:t xml:space="preserve"> 11.4 months</w:t>
      </w:r>
      <w:r w:rsidR="00395B13" w:rsidRPr="00ED6EDE">
        <w:rPr>
          <w:iCs/>
        </w:rPr>
        <w:t xml:space="preserve"> and</w:t>
      </w:r>
      <w:r w:rsidRPr="00ED6EDE">
        <w:rPr>
          <w:iCs/>
        </w:rPr>
        <w:t xml:space="preserve"> 46% (188/411) of patients had died in the pembrolizumab plus lenvatinib arm. </w:t>
      </w:r>
      <w:r w:rsidR="00020E37" w:rsidRPr="00ED6EDE" w:rsidDel="00D70806">
        <w:rPr>
          <w:iCs/>
        </w:rPr>
        <w:t xml:space="preserve">The </w:t>
      </w:r>
      <w:r w:rsidR="00F52155" w:rsidRPr="00ED6EDE">
        <w:rPr>
          <w:iCs/>
        </w:rPr>
        <w:t>ESC</w:t>
      </w:r>
      <w:r w:rsidR="00020E37" w:rsidRPr="00ED6EDE" w:rsidDel="00D70806">
        <w:rPr>
          <w:iCs/>
        </w:rPr>
        <w:t xml:space="preserve"> considered that</w:t>
      </w:r>
      <w:r w:rsidR="001F6D60" w:rsidRPr="00ED6EDE">
        <w:rPr>
          <w:iCs/>
        </w:rPr>
        <w:t>, given the relatively short duration of follow-up, the</w:t>
      </w:r>
      <w:r w:rsidR="00020E37" w:rsidRPr="00ED6EDE" w:rsidDel="00D70806">
        <w:rPr>
          <w:iCs/>
        </w:rPr>
        <w:t xml:space="preserve"> </w:t>
      </w:r>
      <w:r w:rsidR="001F6D60" w:rsidRPr="00ED6EDE">
        <w:rPr>
          <w:iCs/>
        </w:rPr>
        <w:t>O</w:t>
      </w:r>
      <w:r w:rsidR="00020E37" w:rsidRPr="00ED6EDE" w:rsidDel="00D70806">
        <w:rPr>
          <w:iCs/>
        </w:rPr>
        <w:t>S data w</w:t>
      </w:r>
      <w:r w:rsidR="00F8743D" w:rsidRPr="00ED6EDE">
        <w:rPr>
          <w:iCs/>
        </w:rPr>
        <w:t>ere</w:t>
      </w:r>
      <w:r w:rsidR="00020E37" w:rsidRPr="00ED6EDE" w:rsidDel="00D70806">
        <w:rPr>
          <w:iCs/>
        </w:rPr>
        <w:t xml:space="preserve"> immature but indicated a potential survival benefit</w:t>
      </w:r>
      <w:r w:rsidR="00A06CDF" w:rsidRPr="00ED6EDE">
        <w:rPr>
          <w:iCs/>
        </w:rPr>
        <w:t>.</w:t>
      </w:r>
    </w:p>
    <w:p w14:paraId="48869E67" w14:textId="60CEE22D" w:rsidR="00020E37" w:rsidRPr="00ED6EDE" w:rsidRDefault="00020E37" w:rsidP="005D2C4E">
      <w:pPr>
        <w:pStyle w:val="ListParagraph"/>
        <w:widowControl/>
        <w:numPr>
          <w:ilvl w:val="1"/>
          <w:numId w:val="2"/>
        </w:numPr>
        <w:spacing w:after="120"/>
      </w:pPr>
      <w:r w:rsidRPr="00ED6EDE">
        <w:rPr>
          <w:color w:val="000000" w:themeColor="text1"/>
        </w:rPr>
        <w:t xml:space="preserve">The submission considered that </w:t>
      </w:r>
      <w:r w:rsidRPr="00ED6EDE">
        <w:t xml:space="preserve">the phase II single arm study in pembrolizumab plus lenvatinib participants (KN146) supported this survival estimate, with a median </w:t>
      </w:r>
      <w:r w:rsidR="00BC2689" w:rsidRPr="00ED6EDE">
        <w:t xml:space="preserve">OS </w:t>
      </w:r>
      <w:r w:rsidRPr="00ED6EDE">
        <w:t>of 16.7 months (95% CI 15.0, not reached)</w:t>
      </w:r>
      <w:r w:rsidR="00733AD8" w:rsidRPr="00ED6EDE">
        <w:t xml:space="preserve"> at median follow up of 18.7 months</w:t>
      </w:r>
      <w:r w:rsidRPr="00ED6EDE">
        <w:t xml:space="preserve">. The submission acknowledged that the median survival in KN146 was lower than in KN775, which was likely due to the fact that </w:t>
      </w:r>
      <w:r w:rsidR="006C5C96" w:rsidRPr="00ED6EDE">
        <w:t xml:space="preserve">the </w:t>
      </w:r>
      <w:r w:rsidRPr="00ED6EDE">
        <w:t xml:space="preserve">cohort of patients in KN146 were more heavily pre-treated; </w:t>
      </w:r>
      <w:r w:rsidR="00733AD8" w:rsidRPr="00ED6EDE">
        <w:t xml:space="preserve">as </w:t>
      </w:r>
      <w:r w:rsidRPr="00ED6EDE">
        <w:t>27.7% of patients in the pembrolizumab plus lenvatinib arm of KN775 had received 2 prior lines of treatment, whilst in KN146, 37.0% of patients had received 2 prior line</w:t>
      </w:r>
      <w:r w:rsidR="00B66805" w:rsidRPr="00ED6EDE">
        <w:t>s</w:t>
      </w:r>
      <w:r w:rsidRPr="00ED6EDE">
        <w:t xml:space="preserve"> of systemic therapy, and an additional 10.2% had received 3 prior lines of systemic therapy. </w:t>
      </w:r>
    </w:p>
    <w:p w14:paraId="6F77ADFB" w14:textId="1F78B776" w:rsidR="00020E37" w:rsidRPr="00ED6EDE" w:rsidRDefault="00020E37" w:rsidP="005D2C4E">
      <w:pPr>
        <w:pStyle w:val="ListParagraph"/>
        <w:widowControl/>
        <w:numPr>
          <w:ilvl w:val="1"/>
          <w:numId w:val="2"/>
        </w:numPr>
        <w:spacing w:after="120"/>
      </w:pPr>
      <w:r w:rsidRPr="00ED6EDE">
        <w:t>In contrast, for the lenvatinib monotherapy phase II single arm study (E-204), patients treated with lenvatinib monotherapy reported a median OS of 10.6 months (95% CI 8.9, 14.9), which was similar to</w:t>
      </w:r>
      <w:r w:rsidR="00BC2689" w:rsidRPr="00ED6EDE">
        <w:t xml:space="preserve"> the median OS seen in the chemotherapy</w:t>
      </w:r>
      <w:r w:rsidRPr="00ED6EDE">
        <w:t xml:space="preserve"> arm of KN775 </w:t>
      </w:r>
      <w:r w:rsidR="000E0C02" w:rsidRPr="00ED6EDE">
        <w:t xml:space="preserve">of </w:t>
      </w:r>
      <w:r w:rsidRPr="00ED6EDE">
        <w:t>11.4 months (95% CI 10.5, 12.9)</w:t>
      </w:r>
      <w:r w:rsidRPr="00ED6EDE">
        <w:rPr>
          <w:iCs/>
        </w:rPr>
        <w:t>.</w:t>
      </w:r>
    </w:p>
    <w:p w14:paraId="06883D12" w14:textId="7C26F4B5" w:rsidR="00F52155" w:rsidRPr="00ED6EDE" w:rsidRDefault="00F52155" w:rsidP="00F52155">
      <w:pPr>
        <w:pStyle w:val="5-SubsectionSubheading"/>
        <w:jc w:val="left"/>
        <w:rPr>
          <w:u w:val="single"/>
        </w:rPr>
      </w:pPr>
      <w:r w:rsidRPr="00ED6EDE">
        <w:rPr>
          <w:u w:val="single"/>
        </w:rPr>
        <w:t>Overall Survival: pembrolizumab monotherapy (dMMR)</w:t>
      </w:r>
    </w:p>
    <w:p w14:paraId="5D5A6AD8" w14:textId="6BA27945" w:rsidR="00020E37" w:rsidRPr="00ED6EDE" w:rsidRDefault="00020E37" w:rsidP="005D2C4E">
      <w:pPr>
        <w:pStyle w:val="ListParagraph"/>
        <w:widowControl/>
        <w:numPr>
          <w:ilvl w:val="1"/>
          <w:numId w:val="2"/>
        </w:numPr>
        <w:spacing w:after="120"/>
      </w:pPr>
      <w:r w:rsidRPr="00ED6EDE">
        <w:t xml:space="preserve">Cohorts D and K in the KN158 study did not include an all-comers population (dMMR only). Consequently, no data for pembrolizumab monotherapy in the </w:t>
      </w:r>
      <w:r w:rsidR="00B47AE0" w:rsidRPr="00ED6EDE">
        <w:t>pMMR</w:t>
      </w:r>
      <w:r w:rsidRPr="00ED6EDE">
        <w:t xml:space="preserve"> population is available.</w:t>
      </w:r>
    </w:p>
    <w:p w14:paraId="5C1361C4" w14:textId="20F5FD5B" w:rsidR="00D66BCF" w:rsidRPr="00ED6EDE" w:rsidRDefault="00677DB1" w:rsidP="005D2C4E">
      <w:pPr>
        <w:pStyle w:val="ListParagraph"/>
        <w:widowControl/>
        <w:numPr>
          <w:ilvl w:val="1"/>
          <w:numId w:val="2"/>
        </w:numPr>
        <w:spacing w:after="120"/>
        <w:rPr>
          <w:iCs/>
        </w:rPr>
      </w:pPr>
      <w:r w:rsidRPr="00ED6EDE">
        <w:t xml:space="preserve">The submission noted that in the dMMR subgroups of KN775, KN146 and KN158, median OS was yet to be reached for either the pembrolizumab plus lenvatinib combination (KN775 and KN146) or for pembrolizumab monotherapy (KN158). </w:t>
      </w:r>
    </w:p>
    <w:p w14:paraId="65322D90" w14:textId="31578B54" w:rsidR="00702B33" w:rsidRPr="00ED6EDE" w:rsidRDefault="00677DB1" w:rsidP="005D2C4E">
      <w:pPr>
        <w:pStyle w:val="ListParagraph"/>
        <w:widowControl/>
        <w:numPr>
          <w:ilvl w:val="1"/>
          <w:numId w:val="2"/>
        </w:numPr>
        <w:spacing w:after="120"/>
        <w:rPr>
          <w:iCs/>
        </w:rPr>
      </w:pPr>
      <w:bookmarkStart w:id="35" w:name="_Ref90230430"/>
      <w:r w:rsidRPr="00ED6EDE">
        <w:t>The submission also noted that</w:t>
      </w:r>
      <w:r w:rsidR="003D5CA9">
        <w:t>,</w:t>
      </w:r>
      <w:r w:rsidRPr="00ED6EDE">
        <w:t xml:space="preserve"> </w:t>
      </w:r>
      <w:r w:rsidR="003D5CA9" w:rsidRPr="00ED6EDE">
        <w:t xml:space="preserve">in the chemotherapy arm </w:t>
      </w:r>
      <w:r w:rsidR="003D5CA9">
        <w:t xml:space="preserve">of KN775, </w:t>
      </w:r>
      <w:r w:rsidRPr="00ED6EDE">
        <w:t xml:space="preserve">median OS </w:t>
      </w:r>
      <w:r w:rsidR="00702B33" w:rsidRPr="00ED6EDE">
        <w:t>in the dMMR subgroup</w:t>
      </w:r>
      <w:r w:rsidR="003D5CA9">
        <w:t xml:space="preserve"> wa</w:t>
      </w:r>
      <w:r w:rsidRPr="00ED6EDE">
        <w:t xml:space="preserve">s 3.4 months </w:t>
      </w:r>
      <w:r w:rsidR="00701334" w:rsidRPr="00ED6EDE">
        <w:t>shorte</w:t>
      </w:r>
      <w:r w:rsidRPr="00ED6EDE">
        <w:t>r than that in the pMMR subgroup, indicating that for patients with the dMMR subtype chemotherapy is less effective.</w:t>
      </w:r>
      <w:r w:rsidR="00702B33" w:rsidRPr="00ED6EDE">
        <w:t xml:space="preserve"> The submission also stated that this reduced efficacy with chemotherapy in an advanced dMMR tumour was similar to that seen in dMMR colorectal cancer, which was seen in the KN177 dMMR mCRC study, </w:t>
      </w:r>
      <w:r w:rsidR="00FB17C2">
        <w:t>which</w:t>
      </w:r>
      <w:r w:rsidR="00702B33" w:rsidRPr="00ED6EDE">
        <w:t xml:space="preserve"> was provided as the evidence for the PBAC recommendation for this indication in March 2021.</w:t>
      </w:r>
    </w:p>
    <w:p w14:paraId="13048E82" w14:textId="7840DBBE" w:rsidR="00677DB1" w:rsidRPr="00ED6EDE" w:rsidRDefault="002C2E6F" w:rsidP="005D2C4E">
      <w:pPr>
        <w:pStyle w:val="ListParagraph"/>
        <w:widowControl/>
        <w:numPr>
          <w:ilvl w:val="1"/>
          <w:numId w:val="2"/>
        </w:numPr>
        <w:spacing w:after="120"/>
        <w:rPr>
          <w:iCs/>
        </w:rPr>
      </w:pPr>
      <w:bookmarkStart w:id="36" w:name="_Ref92743988"/>
      <w:r w:rsidRPr="00ED6EDE">
        <w:rPr>
          <w:iCs/>
        </w:rPr>
        <w:t>The</w:t>
      </w:r>
      <w:r w:rsidR="003D5CA9">
        <w:rPr>
          <w:iCs/>
        </w:rPr>
        <w:t xml:space="preserve"> evaluation considered the</w:t>
      </w:r>
      <w:r w:rsidRPr="00ED6EDE">
        <w:rPr>
          <w:iCs/>
        </w:rPr>
        <w:t>re was no strong evidence to support the assertion that chemotherapy is less effective in patients with dMMR tumours compared to pMMR tumours</w:t>
      </w:r>
      <w:r w:rsidRPr="00ED6EDE" w:rsidDel="002C2E6F">
        <w:rPr>
          <w:iCs/>
        </w:rPr>
        <w:t xml:space="preserve"> </w:t>
      </w:r>
      <w:r w:rsidRPr="00ED6EDE">
        <w:rPr>
          <w:iCs/>
        </w:rPr>
        <w:t>g</w:t>
      </w:r>
      <w:r w:rsidR="00677DB1" w:rsidRPr="00ED6EDE">
        <w:rPr>
          <w:iCs/>
        </w:rPr>
        <w:t>iven</w:t>
      </w:r>
      <w:r w:rsidRPr="00ED6EDE">
        <w:rPr>
          <w:iCs/>
        </w:rPr>
        <w:t>:</w:t>
      </w:r>
      <w:r w:rsidR="00677DB1" w:rsidRPr="00ED6EDE">
        <w:rPr>
          <w:iCs/>
        </w:rPr>
        <w:t xml:space="preserve"> the small sample size of the dMMR subgroup</w:t>
      </w:r>
      <w:r w:rsidRPr="00ED6EDE">
        <w:rPr>
          <w:iCs/>
        </w:rPr>
        <w:t>;</w:t>
      </w:r>
      <w:r w:rsidR="00677DB1" w:rsidRPr="00ED6EDE">
        <w:rPr>
          <w:iCs/>
        </w:rPr>
        <w:t xml:space="preserve"> and the wide confidence interval for OS in patients treated with chemotherapy which overlap for pMMR (median OS = 12.0 months, 95%CI 10.8, 13.3) and dMMR (median OS = 8.6 months, 95%CI 5.5, 12.9). The observed point difference in median OS in the chemotherapy arm between dMMR and pMMR may be due to chance.</w:t>
      </w:r>
      <w:bookmarkEnd w:id="35"/>
      <w:r w:rsidR="005B3F88" w:rsidRPr="00ED6EDE">
        <w:rPr>
          <w:iCs/>
        </w:rPr>
        <w:t xml:space="preserve"> </w:t>
      </w:r>
      <w:r w:rsidR="00DD15BC" w:rsidRPr="00ED6EDE">
        <w:rPr>
          <w:iCs/>
        </w:rPr>
        <w:t>As noted in paragraph</w:t>
      </w:r>
      <w:r w:rsidR="001216C8">
        <w:rPr>
          <w:iCs/>
        </w:rPr>
        <w:t xml:space="preserve"> 4.2</w:t>
      </w:r>
      <w:r w:rsidR="005B3F88" w:rsidRPr="00ED6EDE">
        <w:rPr>
          <w:iCs/>
        </w:rPr>
        <w:t>,</w:t>
      </w:r>
      <w:r w:rsidR="005A624E" w:rsidRPr="00ED6EDE">
        <w:rPr>
          <w:iCs/>
        </w:rPr>
        <w:t xml:space="preserve"> </w:t>
      </w:r>
      <w:r w:rsidR="001F48D4" w:rsidRPr="00ED6EDE">
        <w:rPr>
          <w:iCs/>
        </w:rPr>
        <w:t xml:space="preserve">the </w:t>
      </w:r>
      <w:r w:rsidR="00D057BD" w:rsidRPr="00ED6EDE">
        <w:rPr>
          <w:iCs/>
        </w:rPr>
        <w:t xml:space="preserve">MSAC </w:t>
      </w:r>
      <w:r w:rsidR="001F48D4" w:rsidRPr="00ED6EDE">
        <w:rPr>
          <w:iCs/>
        </w:rPr>
        <w:t>PASC</w:t>
      </w:r>
      <w:r w:rsidR="005B3F88" w:rsidRPr="00ED6EDE">
        <w:rPr>
          <w:iCs/>
        </w:rPr>
        <w:t xml:space="preserve"> </w:t>
      </w:r>
      <w:r w:rsidR="001F48D4" w:rsidRPr="00ED6EDE">
        <w:rPr>
          <w:iCs/>
        </w:rPr>
        <w:t xml:space="preserve">noted that </w:t>
      </w:r>
      <w:r w:rsidR="00B50953" w:rsidRPr="00ED6EDE">
        <w:rPr>
          <w:iCs/>
        </w:rPr>
        <w:t xml:space="preserve">the prognostic value of the dMMR biomarker </w:t>
      </w:r>
      <w:r w:rsidR="00DD55A5" w:rsidRPr="00ED6EDE">
        <w:rPr>
          <w:iCs/>
        </w:rPr>
        <w:t xml:space="preserve">in EC </w:t>
      </w:r>
      <w:r w:rsidR="00B50953" w:rsidRPr="00ED6EDE">
        <w:rPr>
          <w:iCs/>
        </w:rPr>
        <w:t>was currently limited (1674 Ratified PICO, p5)</w:t>
      </w:r>
      <w:bookmarkEnd w:id="36"/>
      <w:r w:rsidR="001216C8">
        <w:rPr>
          <w:iCs/>
        </w:rPr>
        <w:t>.</w:t>
      </w:r>
    </w:p>
    <w:p w14:paraId="3F2AC21D" w14:textId="0CF14A3A" w:rsidR="00677DB1" w:rsidRPr="00ED6EDE" w:rsidRDefault="00C8143E" w:rsidP="005D2C4E">
      <w:pPr>
        <w:pStyle w:val="ListParagraph"/>
        <w:widowControl/>
        <w:numPr>
          <w:ilvl w:val="1"/>
          <w:numId w:val="2"/>
        </w:numPr>
        <w:spacing w:after="120"/>
        <w:rPr>
          <w:iCs/>
        </w:rPr>
      </w:pPr>
      <w:r w:rsidRPr="00ED6EDE">
        <w:t xml:space="preserve">A </w:t>
      </w:r>
      <w:r w:rsidR="00F52155" w:rsidRPr="00ED6EDE">
        <w:t xml:space="preserve">naïve indirect </w:t>
      </w:r>
      <w:r w:rsidRPr="00ED6EDE">
        <w:t xml:space="preserve">comparison of the OS at landmark time points between KN775 and KN158 in the dMMR population is presented in </w:t>
      </w:r>
      <w:r w:rsidRPr="00ED6EDE">
        <w:fldChar w:fldCharType="begin"/>
      </w:r>
      <w:r w:rsidRPr="00ED6EDE">
        <w:instrText xml:space="preserve"> REF _Ref90228222 \h  \* MERGEFORMAT </w:instrText>
      </w:r>
      <w:r w:rsidRPr="00ED6EDE">
        <w:fldChar w:fldCharType="separate"/>
      </w:r>
      <w:r w:rsidR="004163DD" w:rsidRPr="004163DD">
        <w:t>Table 5</w:t>
      </w:r>
      <w:r w:rsidRPr="00ED6EDE">
        <w:fldChar w:fldCharType="end"/>
      </w:r>
      <w:r w:rsidRPr="00ED6EDE">
        <w:t>.</w:t>
      </w:r>
    </w:p>
    <w:p w14:paraId="110621B3" w14:textId="1C90DACD" w:rsidR="00C8143E" w:rsidRPr="00ED6EDE" w:rsidRDefault="00C8143E" w:rsidP="00F52155">
      <w:pPr>
        <w:keepNext/>
        <w:keepLines/>
        <w:rPr>
          <w:rFonts w:ascii="Arial Narrow" w:hAnsi="Arial Narrow"/>
          <w:b/>
          <w:bCs/>
          <w:sz w:val="20"/>
          <w:szCs w:val="20"/>
        </w:rPr>
      </w:pPr>
      <w:bookmarkStart w:id="37" w:name="_Ref90228222"/>
      <w:r w:rsidRPr="00ED6EDE">
        <w:rPr>
          <w:rFonts w:ascii="Arial Narrow" w:hAnsi="Arial Narrow"/>
          <w:b/>
          <w:bCs/>
          <w:sz w:val="20"/>
          <w:szCs w:val="20"/>
        </w:rPr>
        <w:t xml:space="preserve">Table </w:t>
      </w:r>
      <w:r w:rsidRPr="00ED6EDE">
        <w:rPr>
          <w:rFonts w:ascii="Arial Narrow" w:hAnsi="Arial Narrow"/>
          <w:b/>
          <w:bCs/>
          <w:sz w:val="20"/>
          <w:szCs w:val="20"/>
        </w:rPr>
        <w:fldChar w:fldCharType="begin"/>
      </w:r>
      <w:r w:rsidRPr="00ED6EDE">
        <w:rPr>
          <w:rFonts w:ascii="Arial Narrow" w:hAnsi="Arial Narrow"/>
          <w:b/>
          <w:bCs/>
          <w:sz w:val="20"/>
          <w:szCs w:val="20"/>
        </w:rPr>
        <w:instrText xml:space="preserve"> SEQ Table \* ARABIC </w:instrText>
      </w:r>
      <w:r w:rsidRPr="00ED6EDE">
        <w:rPr>
          <w:rFonts w:ascii="Arial Narrow" w:hAnsi="Arial Narrow"/>
          <w:b/>
          <w:bCs/>
          <w:sz w:val="20"/>
          <w:szCs w:val="20"/>
        </w:rPr>
        <w:fldChar w:fldCharType="separate"/>
      </w:r>
      <w:r w:rsidR="004163DD">
        <w:rPr>
          <w:rFonts w:ascii="Arial Narrow" w:hAnsi="Arial Narrow"/>
          <w:b/>
          <w:bCs/>
          <w:noProof/>
          <w:sz w:val="20"/>
          <w:szCs w:val="20"/>
        </w:rPr>
        <w:t>5</w:t>
      </w:r>
      <w:r w:rsidRPr="00ED6EDE">
        <w:rPr>
          <w:rFonts w:ascii="Arial Narrow" w:hAnsi="Arial Narrow"/>
          <w:b/>
          <w:bCs/>
          <w:sz w:val="20"/>
          <w:szCs w:val="20"/>
        </w:rPr>
        <w:fldChar w:fldCharType="end"/>
      </w:r>
      <w:bookmarkEnd w:id="37"/>
      <w:r w:rsidRPr="00ED6EDE">
        <w:rPr>
          <w:rFonts w:ascii="Arial Narrow" w:hAnsi="Arial Narrow"/>
          <w:b/>
          <w:bCs/>
          <w:sz w:val="20"/>
          <w:szCs w:val="20"/>
        </w:rPr>
        <w:t>: Comparison of OS at landmark timepoints between KN775 and KN158</w:t>
      </w:r>
      <w:r w:rsidR="00070F4B" w:rsidRPr="00ED6EDE">
        <w:rPr>
          <w:rFonts w:ascii="Arial Narrow" w:hAnsi="Arial Narrow"/>
          <w:b/>
          <w:bCs/>
          <w:sz w:val="20"/>
          <w:szCs w:val="20"/>
        </w:rPr>
        <w:t xml:space="preserve"> in dMMR patients</w:t>
      </w:r>
    </w:p>
    <w:tbl>
      <w:tblPr>
        <w:tblStyle w:val="ASD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57"/>
        <w:gridCol w:w="2217"/>
        <w:gridCol w:w="2287"/>
      </w:tblGrid>
      <w:tr w:rsidR="00C8143E" w:rsidRPr="00ED6EDE" w14:paraId="260E3D9A" w14:textId="77777777" w:rsidTr="00522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477AD0" w14:textId="77777777" w:rsidR="00C8143E" w:rsidRPr="00ED6EDE" w:rsidRDefault="00C8143E" w:rsidP="00F52155">
            <w:pPr>
              <w:keepNext/>
              <w:keepLines/>
              <w:spacing w:after="0" w:line="240" w:lineRule="auto"/>
              <w:rPr>
                <w:rFonts w:ascii="Arial Narrow" w:hAnsi="Arial Narrow"/>
                <w:sz w:val="20"/>
                <w:szCs w:val="20"/>
              </w:rPr>
            </w:pPr>
            <w:r w:rsidRPr="00ED6EDE">
              <w:rPr>
                <w:rFonts w:ascii="Arial Narrow" w:hAnsi="Arial Narrow"/>
                <w:sz w:val="20"/>
                <w:szCs w:val="20"/>
              </w:rPr>
              <w:t>OS time point</w:t>
            </w:r>
          </w:p>
        </w:tc>
        <w:tc>
          <w:tcPr>
            <w:tcW w:w="5174"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83F4C89" w14:textId="77777777" w:rsidR="00C8143E" w:rsidRPr="00ED6EDE" w:rsidRDefault="00C8143E" w:rsidP="00F52155">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KN775</w:t>
            </w:r>
          </w:p>
        </w:tc>
        <w:tc>
          <w:tcPr>
            <w:tcW w:w="228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F680ED8" w14:textId="77777777" w:rsidR="00C8143E" w:rsidRPr="00ED6EDE" w:rsidRDefault="00C8143E" w:rsidP="00F52155">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KN158 (Cohorts D + K)</w:t>
            </w:r>
          </w:p>
        </w:tc>
      </w:tr>
      <w:tr w:rsidR="00C8143E" w:rsidRPr="00ED6EDE" w14:paraId="35AFD7B9" w14:textId="77777777" w:rsidTr="00522D2D">
        <w:trPr>
          <w:trHeight w:val="454"/>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0B5DFB37" w14:textId="77777777" w:rsidR="00C8143E" w:rsidRPr="00ED6EDE" w:rsidRDefault="00C8143E" w:rsidP="00F52155">
            <w:pPr>
              <w:keepNext/>
              <w:keepLines/>
              <w:spacing w:after="0" w:line="240" w:lineRule="auto"/>
              <w:rPr>
                <w:rFonts w:ascii="Arial Narrow" w:hAnsi="Arial Narrow"/>
                <w:sz w:val="20"/>
                <w:szCs w:val="20"/>
              </w:rPr>
            </w:pPr>
          </w:p>
        </w:tc>
        <w:tc>
          <w:tcPr>
            <w:tcW w:w="2957" w:type="dxa"/>
            <w:shd w:val="clear" w:color="auto" w:fill="auto"/>
            <w:vAlign w:val="center"/>
          </w:tcPr>
          <w:p w14:paraId="2F7B1E49"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D6EDE">
              <w:rPr>
                <w:rFonts w:ascii="Arial Narrow" w:hAnsi="Arial Narrow"/>
                <w:b/>
                <w:bCs/>
                <w:sz w:val="20"/>
                <w:szCs w:val="20"/>
              </w:rPr>
              <w:t>Pembrolizumab + Lenvatinib</w:t>
            </w:r>
          </w:p>
          <w:p w14:paraId="06C86AE9"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D6EDE">
              <w:rPr>
                <w:rFonts w:ascii="Arial Narrow" w:hAnsi="Arial Narrow"/>
                <w:b/>
                <w:bCs/>
                <w:sz w:val="20"/>
                <w:szCs w:val="20"/>
              </w:rPr>
              <w:t>(N=65)</w:t>
            </w:r>
            <w:r w:rsidR="00DD3759" w:rsidRPr="00ED6EDE">
              <w:rPr>
                <w:rFonts w:ascii="Arial Narrow" w:hAnsi="Arial Narrow"/>
                <w:b/>
                <w:bCs/>
                <w:sz w:val="20"/>
                <w:szCs w:val="20"/>
              </w:rPr>
              <w:t xml:space="preserve"> </w:t>
            </w:r>
            <w:r w:rsidRPr="00ED6EDE">
              <w:rPr>
                <w:rFonts w:ascii="Arial Narrow" w:hAnsi="Arial Narrow"/>
                <w:b/>
                <w:bCs/>
                <w:sz w:val="20"/>
                <w:szCs w:val="20"/>
              </w:rPr>
              <w:t>% (95% CI)</w:t>
            </w:r>
          </w:p>
        </w:tc>
        <w:tc>
          <w:tcPr>
            <w:tcW w:w="2217" w:type="dxa"/>
            <w:shd w:val="clear" w:color="auto" w:fill="auto"/>
            <w:vAlign w:val="center"/>
          </w:tcPr>
          <w:p w14:paraId="51BA3001" w14:textId="1F78FE60" w:rsidR="00C8143E" w:rsidRPr="00ED6EDE" w:rsidRDefault="00BC2689"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D6EDE">
              <w:rPr>
                <w:rFonts w:ascii="Arial Narrow" w:hAnsi="Arial Narrow"/>
                <w:b/>
                <w:bCs/>
                <w:sz w:val="20"/>
                <w:szCs w:val="20"/>
              </w:rPr>
              <w:t>C</w:t>
            </w:r>
            <w:r w:rsidR="00C8143E" w:rsidRPr="00ED6EDE">
              <w:rPr>
                <w:rFonts w:ascii="Arial Narrow" w:hAnsi="Arial Narrow"/>
                <w:b/>
                <w:bCs/>
                <w:sz w:val="20"/>
                <w:szCs w:val="20"/>
              </w:rPr>
              <w:t>hemotherapy</w:t>
            </w:r>
          </w:p>
          <w:p w14:paraId="4F1F5909" w14:textId="65CD19B6"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D6EDE">
              <w:rPr>
                <w:rFonts w:ascii="Arial Narrow" w:hAnsi="Arial Narrow"/>
                <w:b/>
                <w:bCs/>
                <w:sz w:val="20"/>
                <w:szCs w:val="20"/>
              </w:rPr>
              <w:t>(N=65)</w:t>
            </w:r>
            <w:r w:rsidR="00DD3759" w:rsidRPr="00ED6EDE">
              <w:rPr>
                <w:rFonts w:ascii="Arial Narrow" w:hAnsi="Arial Narrow"/>
                <w:b/>
                <w:bCs/>
                <w:sz w:val="20"/>
                <w:szCs w:val="20"/>
              </w:rPr>
              <w:t xml:space="preserve"> </w:t>
            </w:r>
            <w:r w:rsidRPr="00ED6EDE">
              <w:rPr>
                <w:rFonts w:ascii="Arial Narrow" w:hAnsi="Arial Narrow"/>
                <w:b/>
                <w:bCs/>
                <w:sz w:val="20"/>
                <w:szCs w:val="20"/>
              </w:rPr>
              <w:t>% (95% CI)</w:t>
            </w:r>
          </w:p>
        </w:tc>
        <w:tc>
          <w:tcPr>
            <w:tcW w:w="2287" w:type="dxa"/>
            <w:shd w:val="clear" w:color="auto" w:fill="auto"/>
            <w:vAlign w:val="center"/>
          </w:tcPr>
          <w:p w14:paraId="00A77F45"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D6EDE">
              <w:rPr>
                <w:rFonts w:ascii="Arial Narrow" w:hAnsi="Arial Narrow"/>
                <w:b/>
                <w:bCs/>
                <w:sz w:val="20"/>
                <w:szCs w:val="20"/>
              </w:rPr>
              <w:t>Pembrolizumab</w:t>
            </w:r>
          </w:p>
          <w:p w14:paraId="4D4A47C3" w14:textId="53716E30"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ED6EDE">
              <w:rPr>
                <w:rFonts w:ascii="Arial Narrow" w:hAnsi="Arial Narrow"/>
                <w:b/>
                <w:bCs/>
                <w:sz w:val="20"/>
                <w:szCs w:val="20"/>
              </w:rPr>
              <w:t>(N=79)</w:t>
            </w:r>
            <w:r w:rsidR="00DD3759" w:rsidRPr="00ED6EDE">
              <w:rPr>
                <w:rFonts w:ascii="Arial Narrow" w:hAnsi="Arial Narrow"/>
                <w:b/>
                <w:bCs/>
                <w:sz w:val="20"/>
                <w:szCs w:val="20"/>
              </w:rPr>
              <w:t xml:space="preserve"> </w:t>
            </w:r>
            <w:r w:rsidRPr="00ED6EDE">
              <w:rPr>
                <w:rFonts w:ascii="Arial Narrow" w:hAnsi="Arial Narrow"/>
                <w:b/>
                <w:bCs/>
                <w:sz w:val="20"/>
                <w:szCs w:val="20"/>
              </w:rPr>
              <w:t>%</w:t>
            </w:r>
            <w:r w:rsidRPr="00ED6EDE">
              <w:rPr>
                <w:rFonts w:ascii="Arial Narrow" w:hAnsi="Arial Narrow"/>
                <w:b/>
                <w:bCs/>
                <w:sz w:val="20"/>
                <w:szCs w:val="20"/>
                <w:vertAlign w:val="superscript"/>
              </w:rPr>
              <w:t>a</w:t>
            </w:r>
          </w:p>
        </w:tc>
      </w:tr>
      <w:tr w:rsidR="00C8143E" w:rsidRPr="00ED6EDE" w14:paraId="1329C459" w14:textId="77777777" w:rsidTr="00522D2D">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5F3A821" w14:textId="77777777" w:rsidR="00C8143E" w:rsidRPr="00ED6EDE" w:rsidRDefault="00C8143E" w:rsidP="00F52155">
            <w:pPr>
              <w:keepNext/>
              <w:keepLines/>
              <w:spacing w:after="0" w:line="240" w:lineRule="auto"/>
              <w:rPr>
                <w:rFonts w:ascii="Arial Narrow" w:hAnsi="Arial Narrow"/>
                <w:sz w:val="20"/>
                <w:szCs w:val="20"/>
              </w:rPr>
            </w:pPr>
            <w:r w:rsidRPr="00ED6EDE">
              <w:rPr>
                <w:rFonts w:ascii="Arial Narrow" w:hAnsi="Arial Narrow"/>
                <w:sz w:val="20"/>
                <w:szCs w:val="20"/>
              </w:rPr>
              <w:t>6 months</w:t>
            </w:r>
          </w:p>
        </w:tc>
        <w:tc>
          <w:tcPr>
            <w:tcW w:w="2957" w:type="dxa"/>
            <w:shd w:val="clear" w:color="auto" w:fill="auto"/>
            <w:vAlign w:val="center"/>
          </w:tcPr>
          <w:p w14:paraId="5F85BE3F"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80.0 (68.1, 87.9)</w:t>
            </w:r>
          </w:p>
        </w:tc>
        <w:tc>
          <w:tcPr>
            <w:tcW w:w="2217" w:type="dxa"/>
            <w:shd w:val="clear" w:color="auto" w:fill="auto"/>
            <w:vAlign w:val="center"/>
          </w:tcPr>
          <w:p w14:paraId="28E062EF"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61.7 (48.5, 72.5)</w:t>
            </w:r>
          </w:p>
        </w:tc>
        <w:tc>
          <w:tcPr>
            <w:tcW w:w="2287" w:type="dxa"/>
            <w:shd w:val="clear" w:color="auto" w:fill="auto"/>
            <w:vAlign w:val="center"/>
          </w:tcPr>
          <w:p w14:paraId="434041D1"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82.3</w:t>
            </w:r>
          </w:p>
        </w:tc>
      </w:tr>
      <w:tr w:rsidR="00C8143E" w:rsidRPr="00ED6EDE" w14:paraId="542436D9" w14:textId="77777777" w:rsidTr="00522D2D">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45E4081" w14:textId="77777777" w:rsidR="00C8143E" w:rsidRPr="00ED6EDE" w:rsidRDefault="00C8143E" w:rsidP="00F52155">
            <w:pPr>
              <w:keepNext/>
              <w:keepLines/>
              <w:spacing w:after="0" w:line="240" w:lineRule="auto"/>
              <w:rPr>
                <w:rFonts w:ascii="Arial Narrow" w:hAnsi="Arial Narrow"/>
                <w:sz w:val="20"/>
                <w:szCs w:val="20"/>
              </w:rPr>
            </w:pPr>
            <w:r w:rsidRPr="00ED6EDE">
              <w:rPr>
                <w:rFonts w:ascii="Arial Narrow" w:hAnsi="Arial Narrow"/>
                <w:sz w:val="20"/>
                <w:szCs w:val="20"/>
              </w:rPr>
              <w:t>12 months</w:t>
            </w:r>
          </w:p>
        </w:tc>
        <w:tc>
          <w:tcPr>
            <w:tcW w:w="2957" w:type="dxa"/>
            <w:shd w:val="clear" w:color="auto" w:fill="auto"/>
            <w:vAlign w:val="center"/>
          </w:tcPr>
          <w:p w14:paraId="6EDD7B36"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67.2 (54.2, 77.2)</w:t>
            </w:r>
          </w:p>
        </w:tc>
        <w:tc>
          <w:tcPr>
            <w:tcW w:w="2217" w:type="dxa"/>
            <w:shd w:val="clear" w:color="auto" w:fill="auto"/>
            <w:vAlign w:val="center"/>
          </w:tcPr>
          <w:p w14:paraId="41CCCB77"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39.1 (26.7, 51.3)</w:t>
            </w:r>
          </w:p>
        </w:tc>
        <w:tc>
          <w:tcPr>
            <w:tcW w:w="2287" w:type="dxa"/>
            <w:shd w:val="clear" w:color="auto" w:fill="auto"/>
            <w:vAlign w:val="center"/>
          </w:tcPr>
          <w:p w14:paraId="68A67004"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69.4</w:t>
            </w:r>
          </w:p>
        </w:tc>
      </w:tr>
      <w:tr w:rsidR="00C8143E" w:rsidRPr="00ED6EDE" w14:paraId="24F7EC05" w14:textId="77777777" w:rsidTr="00522D2D">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0C59042B" w14:textId="77777777" w:rsidR="00C8143E" w:rsidRPr="00ED6EDE" w:rsidRDefault="00C8143E" w:rsidP="00F52155">
            <w:pPr>
              <w:keepNext/>
              <w:keepLines/>
              <w:spacing w:after="0" w:line="240" w:lineRule="auto"/>
              <w:rPr>
                <w:rFonts w:ascii="Arial Narrow" w:hAnsi="Arial Narrow"/>
                <w:sz w:val="20"/>
                <w:szCs w:val="20"/>
              </w:rPr>
            </w:pPr>
            <w:r w:rsidRPr="00ED6EDE">
              <w:rPr>
                <w:rFonts w:ascii="Arial Narrow" w:hAnsi="Arial Narrow"/>
                <w:sz w:val="20"/>
                <w:szCs w:val="20"/>
              </w:rPr>
              <w:t>18 months</w:t>
            </w:r>
          </w:p>
        </w:tc>
        <w:tc>
          <w:tcPr>
            <w:tcW w:w="2957" w:type="dxa"/>
            <w:shd w:val="clear" w:color="auto" w:fill="auto"/>
            <w:vAlign w:val="center"/>
          </w:tcPr>
          <w:p w14:paraId="4E019739"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63.5 (50.3, 74.1)</w:t>
            </w:r>
          </w:p>
        </w:tc>
        <w:tc>
          <w:tcPr>
            <w:tcW w:w="2217" w:type="dxa"/>
            <w:shd w:val="clear" w:color="auto" w:fill="auto"/>
            <w:vAlign w:val="center"/>
          </w:tcPr>
          <w:p w14:paraId="2E1348FD"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25.8 (14.2, 39.0)</w:t>
            </w:r>
          </w:p>
        </w:tc>
        <w:tc>
          <w:tcPr>
            <w:tcW w:w="2287" w:type="dxa"/>
            <w:shd w:val="clear" w:color="auto" w:fill="auto"/>
            <w:vAlign w:val="center"/>
          </w:tcPr>
          <w:p w14:paraId="34E3DF3D"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67.9</w:t>
            </w:r>
          </w:p>
        </w:tc>
      </w:tr>
      <w:tr w:rsidR="00C8143E" w:rsidRPr="00ED6EDE" w14:paraId="35D7B434" w14:textId="77777777" w:rsidTr="00522D2D">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62652E2" w14:textId="77777777" w:rsidR="00C8143E" w:rsidRPr="00ED6EDE" w:rsidRDefault="00C8143E" w:rsidP="00F52155">
            <w:pPr>
              <w:keepNext/>
              <w:keepLines/>
              <w:spacing w:after="0" w:line="240" w:lineRule="auto"/>
              <w:rPr>
                <w:rFonts w:ascii="Arial Narrow" w:hAnsi="Arial Narrow"/>
                <w:sz w:val="20"/>
                <w:szCs w:val="20"/>
              </w:rPr>
            </w:pPr>
            <w:r w:rsidRPr="00ED6EDE">
              <w:rPr>
                <w:rFonts w:ascii="Arial Narrow" w:hAnsi="Arial Narrow"/>
                <w:sz w:val="20"/>
                <w:szCs w:val="20"/>
              </w:rPr>
              <w:t>24 months</w:t>
            </w:r>
          </w:p>
        </w:tc>
        <w:tc>
          <w:tcPr>
            <w:tcW w:w="2957" w:type="dxa"/>
            <w:shd w:val="clear" w:color="auto" w:fill="auto"/>
            <w:vAlign w:val="center"/>
          </w:tcPr>
          <w:p w14:paraId="1746847E"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63.5 (50.3, 74.1)</w:t>
            </w:r>
          </w:p>
        </w:tc>
        <w:tc>
          <w:tcPr>
            <w:tcW w:w="2217" w:type="dxa"/>
            <w:shd w:val="clear" w:color="auto" w:fill="auto"/>
            <w:vAlign w:val="center"/>
          </w:tcPr>
          <w:p w14:paraId="075587D4"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25.8 (14.2, 39.0)</w:t>
            </w:r>
          </w:p>
        </w:tc>
        <w:tc>
          <w:tcPr>
            <w:tcW w:w="2287" w:type="dxa"/>
            <w:shd w:val="clear" w:color="auto" w:fill="auto"/>
            <w:vAlign w:val="center"/>
          </w:tcPr>
          <w:p w14:paraId="77489060"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64.0</w:t>
            </w:r>
          </w:p>
        </w:tc>
      </w:tr>
      <w:tr w:rsidR="00C8143E" w:rsidRPr="00ED6EDE" w14:paraId="346708DB" w14:textId="77777777" w:rsidTr="00522D2D">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F28F626" w14:textId="77777777" w:rsidR="00C8143E" w:rsidRPr="00ED6EDE" w:rsidRDefault="00C8143E" w:rsidP="00F52155">
            <w:pPr>
              <w:keepNext/>
              <w:keepLines/>
              <w:spacing w:after="0" w:line="240" w:lineRule="auto"/>
              <w:rPr>
                <w:rFonts w:ascii="Arial Narrow" w:hAnsi="Arial Narrow"/>
                <w:sz w:val="20"/>
                <w:szCs w:val="20"/>
              </w:rPr>
            </w:pPr>
            <w:r w:rsidRPr="00ED6EDE">
              <w:rPr>
                <w:rFonts w:ascii="Arial Narrow" w:hAnsi="Arial Narrow"/>
                <w:sz w:val="20"/>
                <w:szCs w:val="20"/>
              </w:rPr>
              <w:t>36 months</w:t>
            </w:r>
          </w:p>
        </w:tc>
        <w:tc>
          <w:tcPr>
            <w:tcW w:w="2957" w:type="dxa"/>
            <w:shd w:val="clear" w:color="auto" w:fill="auto"/>
            <w:vAlign w:val="center"/>
          </w:tcPr>
          <w:p w14:paraId="5177DFAD"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NR</w:t>
            </w:r>
          </w:p>
        </w:tc>
        <w:tc>
          <w:tcPr>
            <w:tcW w:w="2217" w:type="dxa"/>
            <w:shd w:val="clear" w:color="auto" w:fill="auto"/>
            <w:vAlign w:val="center"/>
          </w:tcPr>
          <w:p w14:paraId="7ECCE1CF"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NR</w:t>
            </w:r>
          </w:p>
        </w:tc>
        <w:tc>
          <w:tcPr>
            <w:tcW w:w="2287" w:type="dxa"/>
            <w:shd w:val="clear" w:color="auto" w:fill="auto"/>
            <w:vAlign w:val="center"/>
          </w:tcPr>
          <w:p w14:paraId="14FFCCF8" w14:textId="77777777" w:rsidR="00C8143E" w:rsidRPr="00ED6EDE" w:rsidRDefault="00C8143E" w:rsidP="00F52155">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ED6EDE">
              <w:rPr>
                <w:rFonts w:ascii="Arial Narrow" w:hAnsi="Arial Narrow"/>
                <w:sz w:val="20"/>
                <w:szCs w:val="20"/>
              </w:rPr>
              <w:t>60.1</w:t>
            </w:r>
          </w:p>
        </w:tc>
      </w:tr>
    </w:tbl>
    <w:p w14:paraId="7BA0C0F9" w14:textId="36C865F7" w:rsidR="00C8143E" w:rsidRPr="00ED6EDE" w:rsidRDefault="00C8143E" w:rsidP="00F52155">
      <w:pPr>
        <w:pStyle w:val="TableFooter"/>
        <w:keepNext/>
        <w:keepLines/>
      </w:pPr>
      <w:r w:rsidRPr="00ED6EDE">
        <w:t>Source: Table 2.5-6, p82 of the submission</w:t>
      </w:r>
      <w:r w:rsidR="00403898" w:rsidRPr="00ED6EDE">
        <w:t>. CI = confidence interval; NR = not reported; OS = overall survival</w:t>
      </w:r>
    </w:p>
    <w:p w14:paraId="61181228" w14:textId="77777777" w:rsidR="00C8143E" w:rsidRPr="00ED6EDE" w:rsidRDefault="00C8143E" w:rsidP="00F52155">
      <w:pPr>
        <w:pStyle w:val="TableFooter"/>
        <w:keepNext/>
        <w:keepLines/>
        <w:spacing w:after="240"/>
      </w:pPr>
      <w:r w:rsidRPr="00ED6EDE">
        <w:rPr>
          <w:vertAlign w:val="superscript"/>
        </w:rPr>
        <w:t>a</w:t>
      </w:r>
      <w:r w:rsidRPr="00ED6EDE">
        <w:t xml:space="preserve"> 95% CI not presented for OS rates.</w:t>
      </w:r>
    </w:p>
    <w:p w14:paraId="3842EC98" w14:textId="1280A13E" w:rsidR="00C24104" w:rsidRPr="00ED6EDE" w:rsidRDefault="002C2E6F" w:rsidP="005D2C4E">
      <w:pPr>
        <w:pStyle w:val="ListParagraph"/>
        <w:widowControl/>
        <w:numPr>
          <w:ilvl w:val="1"/>
          <w:numId w:val="2"/>
        </w:numPr>
        <w:spacing w:after="120"/>
        <w:rPr>
          <w:iCs/>
        </w:rPr>
      </w:pPr>
      <w:r w:rsidRPr="00ED6EDE">
        <w:rPr>
          <w:iCs/>
        </w:rPr>
        <w:t>T</w:t>
      </w:r>
      <w:r w:rsidR="00DE5E06" w:rsidRPr="00ED6EDE">
        <w:rPr>
          <w:iCs/>
        </w:rPr>
        <w:t>he proportion of patients remain</w:t>
      </w:r>
      <w:r w:rsidRPr="00ED6EDE">
        <w:rPr>
          <w:iCs/>
        </w:rPr>
        <w:t>ing</w:t>
      </w:r>
      <w:r w:rsidR="00DE5E06" w:rsidRPr="00ED6EDE">
        <w:rPr>
          <w:iCs/>
        </w:rPr>
        <w:t xml:space="preserve"> alive at the same time points were similar for the dMMR patients randomised to pembrolizumab plus lenvatinib in KN775 and patients treated with pembrolizumab monotherapy in KN158, and appear to be higher than patients treated with chemotherapy in KN775</w:t>
      </w:r>
      <w:r w:rsidRPr="00ED6EDE">
        <w:rPr>
          <w:iCs/>
        </w:rPr>
        <w:t>. However</w:t>
      </w:r>
      <w:r w:rsidR="00DE5E06" w:rsidRPr="00ED6EDE">
        <w:rPr>
          <w:iCs/>
        </w:rPr>
        <w:t xml:space="preserve">, the </w:t>
      </w:r>
      <w:r w:rsidR="00D723B1">
        <w:rPr>
          <w:iCs/>
        </w:rPr>
        <w:t xml:space="preserve">evaluation, ESC and PBAC considered that the </w:t>
      </w:r>
      <w:r w:rsidR="00DE5E06" w:rsidRPr="00ED6EDE">
        <w:rPr>
          <w:iCs/>
        </w:rPr>
        <w:t>results should be interpreted with caution as</w:t>
      </w:r>
      <w:r w:rsidR="00D7043A">
        <w:rPr>
          <w:iCs/>
        </w:rPr>
        <w:t>:</w:t>
      </w:r>
      <w:r w:rsidR="00DE5E06" w:rsidRPr="00ED6EDE">
        <w:rPr>
          <w:iCs/>
        </w:rPr>
        <w:t xml:space="preserve"> </w:t>
      </w:r>
    </w:p>
    <w:p w14:paraId="49BD47D9" w14:textId="6391D6B0" w:rsidR="00C24104" w:rsidRPr="00ED6EDE" w:rsidRDefault="00C24104" w:rsidP="00154214">
      <w:pPr>
        <w:pStyle w:val="ListParagraph"/>
        <w:widowControl/>
        <w:numPr>
          <w:ilvl w:val="0"/>
          <w:numId w:val="13"/>
        </w:numPr>
        <w:ind w:left="1134" w:hanging="425"/>
        <w:contextualSpacing/>
        <w:rPr>
          <w:iCs/>
        </w:rPr>
      </w:pPr>
      <w:r w:rsidRPr="00ED6EDE">
        <w:rPr>
          <w:iCs/>
        </w:rPr>
        <w:t xml:space="preserve">As noted in paragraph </w:t>
      </w:r>
      <w:r w:rsidRPr="00ED6EDE">
        <w:rPr>
          <w:iCs/>
        </w:rPr>
        <w:fldChar w:fldCharType="begin"/>
      </w:r>
      <w:r w:rsidRPr="00ED6EDE">
        <w:rPr>
          <w:iCs/>
        </w:rPr>
        <w:instrText xml:space="preserve"> REF _Ref90228564 \r \h  \* MERGEFORMAT </w:instrText>
      </w:r>
      <w:r w:rsidRPr="00ED6EDE">
        <w:rPr>
          <w:iCs/>
        </w:rPr>
      </w:r>
      <w:r w:rsidRPr="00ED6EDE">
        <w:rPr>
          <w:iCs/>
        </w:rPr>
        <w:fldChar w:fldCharType="separate"/>
      </w:r>
      <w:r w:rsidR="004163DD">
        <w:rPr>
          <w:iCs/>
        </w:rPr>
        <w:t>6.9</w:t>
      </w:r>
      <w:r w:rsidRPr="00ED6EDE">
        <w:rPr>
          <w:iCs/>
        </w:rPr>
        <w:fldChar w:fldCharType="end"/>
      </w:r>
      <w:r w:rsidRPr="00ED6EDE">
        <w:rPr>
          <w:iCs/>
        </w:rPr>
        <w:t>, analysis of the dMMR subgroup in KN775 should be considered exploratory;</w:t>
      </w:r>
    </w:p>
    <w:p w14:paraId="37A8BA95" w14:textId="080657B8" w:rsidR="00F52155" w:rsidRPr="00ED6EDE" w:rsidRDefault="00F52155" w:rsidP="00154214">
      <w:pPr>
        <w:pStyle w:val="ListParagraph"/>
        <w:widowControl/>
        <w:numPr>
          <w:ilvl w:val="0"/>
          <w:numId w:val="13"/>
        </w:numPr>
        <w:ind w:left="1134" w:hanging="425"/>
        <w:contextualSpacing/>
        <w:rPr>
          <w:iCs/>
        </w:rPr>
      </w:pPr>
      <w:r w:rsidRPr="00ED6EDE">
        <w:rPr>
          <w:iCs/>
        </w:rPr>
        <w:t>KN158 was a</w:t>
      </w:r>
      <w:r w:rsidR="00C4512E" w:rsidRPr="00ED6EDE">
        <w:rPr>
          <w:iCs/>
        </w:rPr>
        <w:t xml:space="preserve"> relatively</w:t>
      </w:r>
      <w:r w:rsidRPr="00ED6EDE">
        <w:rPr>
          <w:iCs/>
        </w:rPr>
        <w:t xml:space="preserve"> small phase 2 study</w:t>
      </w:r>
      <w:r w:rsidR="00395B13" w:rsidRPr="00ED6EDE">
        <w:rPr>
          <w:iCs/>
        </w:rPr>
        <w:t>;</w:t>
      </w:r>
    </w:p>
    <w:p w14:paraId="433CF27C" w14:textId="6F14A3ED" w:rsidR="00C24104" w:rsidRPr="00ED6EDE" w:rsidRDefault="00C24104" w:rsidP="00154214">
      <w:pPr>
        <w:pStyle w:val="ListParagraph"/>
        <w:widowControl/>
        <w:numPr>
          <w:ilvl w:val="0"/>
          <w:numId w:val="13"/>
        </w:numPr>
        <w:ind w:left="1134" w:hanging="425"/>
        <w:contextualSpacing/>
        <w:rPr>
          <w:iCs/>
        </w:rPr>
      </w:pPr>
      <w:r w:rsidRPr="00ED6EDE">
        <w:rPr>
          <w:iCs/>
        </w:rPr>
        <w:t xml:space="preserve">The </w:t>
      </w:r>
      <w:r w:rsidR="00DE5E06" w:rsidRPr="00ED6EDE">
        <w:rPr>
          <w:iCs/>
        </w:rPr>
        <w:t xml:space="preserve">comparison of a single arm study (KN158) with the comparator </w:t>
      </w:r>
      <w:r w:rsidR="00637C7B" w:rsidRPr="00ED6EDE">
        <w:rPr>
          <w:iCs/>
        </w:rPr>
        <w:t xml:space="preserve">arm </w:t>
      </w:r>
      <w:r w:rsidR="00DE5E06" w:rsidRPr="00ED6EDE">
        <w:rPr>
          <w:iCs/>
        </w:rPr>
        <w:t xml:space="preserve">of another trial (KN775) </w:t>
      </w:r>
      <w:r w:rsidR="00070F4B" w:rsidRPr="00ED6EDE">
        <w:rPr>
          <w:iCs/>
        </w:rPr>
        <w:t xml:space="preserve">was </w:t>
      </w:r>
      <w:r w:rsidR="00DE5E06" w:rsidRPr="00ED6EDE">
        <w:rPr>
          <w:iCs/>
        </w:rPr>
        <w:t>associated with a significant degree of bias</w:t>
      </w:r>
      <w:r w:rsidR="009178EC" w:rsidRPr="00ED6EDE">
        <w:rPr>
          <w:iCs/>
        </w:rPr>
        <w:t>. Without randomised allocation, there is a high risk of</w:t>
      </w:r>
      <w:r w:rsidR="00C36D0D" w:rsidRPr="00ED6EDE">
        <w:rPr>
          <w:iCs/>
        </w:rPr>
        <w:t xml:space="preserve"> selection bias</w:t>
      </w:r>
      <w:r w:rsidR="009178EC" w:rsidRPr="00ED6EDE">
        <w:rPr>
          <w:iCs/>
        </w:rPr>
        <w:t>. The open label nature of the studies increased the risk of</w:t>
      </w:r>
      <w:r w:rsidR="00C36D0D" w:rsidRPr="00ED6EDE">
        <w:rPr>
          <w:iCs/>
        </w:rPr>
        <w:t xml:space="preserve"> detection bias</w:t>
      </w:r>
      <w:r w:rsidR="00DE5E06" w:rsidRPr="00ED6EDE">
        <w:rPr>
          <w:iCs/>
        </w:rPr>
        <w:t xml:space="preserve"> and </w:t>
      </w:r>
      <w:r w:rsidR="009178EC" w:rsidRPr="00ED6EDE">
        <w:rPr>
          <w:iCs/>
        </w:rPr>
        <w:t>the single arm study did not allow for any pre-specified statistical comparisons.</w:t>
      </w:r>
      <w:r w:rsidR="006322D1" w:rsidRPr="00ED6EDE">
        <w:rPr>
          <w:iCs/>
        </w:rPr>
        <w:t xml:space="preserve"> Moreover, by using only one arm of the KN775 trial, any benefit associated with randomisation </w:t>
      </w:r>
      <w:r w:rsidR="000842E4" w:rsidRPr="00ED6EDE">
        <w:rPr>
          <w:iCs/>
        </w:rPr>
        <w:t xml:space="preserve">in KN775 </w:t>
      </w:r>
      <w:r w:rsidR="008063E7" w:rsidRPr="00ED6EDE">
        <w:rPr>
          <w:iCs/>
        </w:rPr>
        <w:t>wa</w:t>
      </w:r>
      <w:r w:rsidR="006322D1" w:rsidRPr="00ED6EDE">
        <w:rPr>
          <w:iCs/>
        </w:rPr>
        <w:t>s lost</w:t>
      </w:r>
      <w:r w:rsidR="008063E7" w:rsidRPr="00ED6EDE">
        <w:rPr>
          <w:iCs/>
        </w:rPr>
        <w:t xml:space="preserve"> and patients between the two studies </w:t>
      </w:r>
      <w:r w:rsidR="00DA562E" w:rsidRPr="00ED6EDE">
        <w:rPr>
          <w:iCs/>
        </w:rPr>
        <w:t>may not be comparable and unobserved confounders may exist due to the nature of the comparison;</w:t>
      </w:r>
      <w:r w:rsidR="006322D1" w:rsidRPr="00ED6EDE">
        <w:rPr>
          <w:iCs/>
        </w:rPr>
        <w:t xml:space="preserve"> </w:t>
      </w:r>
    </w:p>
    <w:p w14:paraId="51864309" w14:textId="26CA8691" w:rsidR="00DE5E06" w:rsidRPr="00ED6EDE" w:rsidRDefault="00C24104" w:rsidP="00154214">
      <w:pPr>
        <w:pStyle w:val="ListParagraph"/>
        <w:widowControl/>
        <w:numPr>
          <w:ilvl w:val="0"/>
          <w:numId w:val="13"/>
        </w:numPr>
        <w:ind w:left="1134" w:hanging="425"/>
        <w:rPr>
          <w:iCs/>
        </w:rPr>
      </w:pPr>
      <w:r w:rsidRPr="00ED6EDE">
        <w:rPr>
          <w:iCs/>
        </w:rPr>
        <w:t>T</w:t>
      </w:r>
      <w:r w:rsidR="00DE5E06" w:rsidRPr="00ED6EDE">
        <w:rPr>
          <w:iCs/>
        </w:rPr>
        <w:t xml:space="preserve">he submission </w:t>
      </w:r>
      <w:r w:rsidR="00384485" w:rsidRPr="00ED6EDE">
        <w:rPr>
          <w:iCs/>
        </w:rPr>
        <w:t>did</w:t>
      </w:r>
      <w:r w:rsidR="00DE5E06" w:rsidRPr="00ED6EDE">
        <w:rPr>
          <w:iCs/>
        </w:rPr>
        <w:t xml:space="preserve"> not provide an </w:t>
      </w:r>
      <w:r w:rsidR="00384485" w:rsidRPr="00ED6EDE">
        <w:rPr>
          <w:iCs/>
        </w:rPr>
        <w:t xml:space="preserve">estimate of the </w:t>
      </w:r>
      <w:r w:rsidR="00DE5E06" w:rsidRPr="00ED6EDE">
        <w:rPr>
          <w:iCs/>
        </w:rPr>
        <w:t>incremental benefit of pembrolizumab monotherapy</w:t>
      </w:r>
      <w:r w:rsidR="00384485" w:rsidRPr="00ED6EDE">
        <w:rPr>
          <w:iCs/>
        </w:rPr>
        <w:t xml:space="preserve"> versus chemotherapy</w:t>
      </w:r>
      <w:r w:rsidRPr="00ED6EDE">
        <w:rPr>
          <w:iCs/>
        </w:rPr>
        <w:t xml:space="preserve"> </w:t>
      </w:r>
      <w:r w:rsidR="001C593E" w:rsidRPr="00ED6EDE">
        <w:rPr>
          <w:iCs/>
        </w:rPr>
        <w:t xml:space="preserve">in dMMR patients. </w:t>
      </w:r>
    </w:p>
    <w:p w14:paraId="3C235EF7" w14:textId="10BB6D4C" w:rsidR="004F22F9" w:rsidRPr="00ED6EDE" w:rsidRDefault="00D7043A" w:rsidP="0049336B">
      <w:pPr>
        <w:pStyle w:val="5-SubsectionSubheading"/>
        <w:rPr>
          <w:u w:val="single"/>
        </w:rPr>
      </w:pPr>
      <w:r>
        <w:rPr>
          <w:u w:val="single"/>
        </w:rPr>
        <w:t>Progression f</w:t>
      </w:r>
      <w:r w:rsidR="004F22F9" w:rsidRPr="00ED6EDE">
        <w:rPr>
          <w:u w:val="single"/>
        </w:rPr>
        <w:t xml:space="preserve">ree </w:t>
      </w:r>
      <w:r>
        <w:rPr>
          <w:u w:val="single"/>
        </w:rPr>
        <w:t>s</w:t>
      </w:r>
      <w:r w:rsidR="004F22F9" w:rsidRPr="00ED6EDE">
        <w:rPr>
          <w:u w:val="single"/>
        </w:rPr>
        <w:t>urvival</w:t>
      </w:r>
    </w:p>
    <w:p w14:paraId="39917F20" w14:textId="576E573D" w:rsidR="00E71261" w:rsidRPr="00ED6EDE" w:rsidRDefault="00677DB1" w:rsidP="00E71261">
      <w:pPr>
        <w:pStyle w:val="ListParagraph"/>
        <w:widowControl/>
        <w:numPr>
          <w:ilvl w:val="1"/>
          <w:numId w:val="2"/>
        </w:numPr>
        <w:spacing w:after="120"/>
      </w:pPr>
      <w:r w:rsidRPr="00ED6EDE">
        <w:t>The submission stated that the PFS data presented in KN775 demonstrated that pembrolizumab and lenvatinib provides a clinically meaningful improvement for patients, reducing the risk of progression by</w:t>
      </w:r>
      <w:r w:rsidR="00E71261" w:rsidRPr="00ED6EDE">
        <w:t xml:space="preserve"> </w:t>
      </w:r>
      <w:r w:rsidRPr="00ED6EDE">
        <w:t>40% in the pMMR cohort (HR</w:t>
      </w:r>
      <w:r w:rsidR="00C62E1D">
        <w:t>:</w:t>
      </w:r>
      <w:r w:rsidRPr="00ED6EDE">
        <w:t xml:space="preserve"> 0.60 (95% CI</w:t>
      </w:r>
      <w:r w:rsidR="00C62E1D">
        <w:t>:</w:t>
      </w:r>
      <w:r w:rsidRPr="00ED6EDE">
        <w:t xml:space="preserve"> 0.50, 0.72)</w:t>
      </w:r>
      <w:r w:rsidR="00C62E1D">
        <w:t xml:space="preserve"> and by 44% in the ITT cohort (HR: 0.56 (95% CI: 0.47, 0.66)</w:t>
      </w:r>
      <w:r w:rsidR="00E71261" w:rsidRPr="00ED6EDE">
        <w:t>.</w:t>
      </w:r>
    </w:p>
    <w:p w14:paraId="680A2C19" w14:textId="12B890D2" w:rsidR="001F6D60" w:rsidRPr="00ED6EDE" w:rsidRDefault="007703B8" w:rsidP="001F6D60">
      <w:pPr>
        <w:pStyle w:val="ListParagraph"/>
        <w:widowControl/>
        <w:numPr>
          <w:ilvl w:val="1"/>
          <w:numId w:val="2"/>
        </w:numPr>
        <w:spacing w:after="120"/>
        <w:rPr>
          <w:b/>
          <w:color w:val="000000" w:themeColor="text1"/>
        </w:rPr>
      </w:pPr>
      <w:r w:rsidRPr="00ED6EDE">
        <w:t>The figures below</w:t>
      </w:r>
      <w:r w:rsidR="001F6D60" w:rsidRPr="00ED6EDE">
        <w:t xml:space="preserve"> present the Kaplan Meier curves for PFS in KN775 </w:t>
      </w:r>
      <w:r w:rsidR="001F6D60" w:rsidRPr="00ED6EDE">
        <w:rPr>
          <w:iCs/>
        </w:rPr>
        <w:t>in the pMMR and</w:t>
      </w:r>
      <w:r w:rsidR="001F6D60" w:rsidRPr="00ED6EDE">
        <w:t xml:space="preserve"> all</w:t>
      </w:r>
      <w:r w:rsidR="00D07C78" w:rsidRPr="00ED6EDE">
        <w:noBreakHyphen/>
      </w:r>
      <w:r w:rsidR="001F6D60" w:rsidRPr="00ED6EDE">
        <w:t>comers populations.</w:t>
      </w:r>
    </w:p>
    <w:p w14:paraId="0037900C" w14:textId="51EE6A75" w:rsidR="001F6D60" w:rsidRPr="00ED6EDE" w:rsidRDefault="001F6D60" w:rsidP="001F6D60">
      <w:pPr>
        <w:pStyle w:val="Caption"/>
        <w:keepNext/>
        <w:spacing w:after="0"/>
        <w:ind w:left="426" w:hanging="426"/>
        <w:jc w:val="left"/>
        <w:rPr>
          <w:rStyle w:val="CommentReference"/>
          <w:b/>
          <w:bCs w:val="0"/>
          <w:color w:val="000000" w:themeColor="text1"/>
        </w:rPr>
      </w:pPr>
      <w:r w:rsidRPr="00ED6EDE">
        <w:rPr>
          <w:rStyle w:val="CommentReference"/>
          <w:b/>
          <w:bCs w:val="0"/>
          <w:color w:val="000000" w:themeColor="text1"/>
        </w:rPr>
        <w:t xml:space="preserve">Figure </w:t>
      </w:r>
      <w:r w:rsidRPr="00ED6EDE">
        <w:rPr>
          <w:rStyle w:val="CommentReference"/>
          <w:b/>
          <w:bCs w:val="0"/>
          <w:color w:val="000000" w:themeColor="text1"/>
        </w:rPr>
        <w:fldChar w:fldCharType="begin"/>
      </w:r>
      <w:r w:rsidRPr="00ED6EDE">
        <w:rPr>
          <w:rStyle w:val="CommentReference"/>
          <w:b/>
          <w:bCs w:val="0"/>
          <w:color w:val="000000" w:themeColor="text1"/>
        </w:rPr>
        <w:instrText xml:space="preserve"> SEQ Figure \* MERGEFORMAT </w:instrText>
      </w:r>
      <w:r w:rsidRPr="00ED6EDE">
        <w:rPr>
          <w:rStyle w:val="CommentReference"/>
          <w:b/>
          <w:bCs w:val="0"/>
          <w:color w:val="000000" w:themeColor="text1"/>
        </w:rPr>
        <w:fldChar w:fldCharType="separate"/>
      </w:r>
      <w:r w:rsidR="004163DD">
        <w:rPr>
          <w:rStyle w:val="CommentReference"/>
          <w:b/>
          <w:bCs w:val="0"/>
          <w:noProof/>
          <w:color w:val="000000" w:themeColor="text1"/>
        </w:rPr>
        <w:t>2</w:t>
      </w:r>
      <w:r w:rsidRPr="00ED6EDE">
        <w:rPr>
          <w:rStyle w:val="CommentReference"/>
          <w:b/>
          <w:bCs w:val="0"/>
          <w:color w:val="000000" w:themeColor="text1"/>
        </w:rPr>
        <w:fldChar w:fldCharType="end"/>
      </w:r>
      <w:r w:rsidRPr="00ED6EDE">
        <w:rPr>
          <w:rStyle w:val="CommentReference"/>
          <w:b/>
          <w:bCs w:val="0"/>
          <w:color w:val="000000" w:themeColor="text1"/>
        </w:rPr>
        <w:t>: KN775 Kaplan-Meier estimates of PFS in the pMMR and all-comer (ITT) populations</w:t>
      </w:r>
    </w:p>
    <w:p w14:paraId="6E7C252E" w14:textId="526E4105" w:rsidR="001F6D60" w:rsidRPr="00ED6EDE" w:rsidRDefault="001F6D60" w:rsidP="001F6D60">
      <w:pPr>
        <w:jc w:val="left"/>
        <w:rPr>
          <w:noProof/>
        </w:rPr>
      </w:pPr>
      <w:r w:rsidRPr="00ED6EDE">
        <w:rPr>
          <w:noProof/>
          <w:snapToGrid/>
          <w:lang w:eastAsia="en-AU"/>
        </w:rPr>
        <w:drawing>
          <wp:inline distT="0" distB="0" distL="0" distR="0" wp14:anchorId="6248FA96" wp14:editId="670A792F">
            <wp:extent cx="4876800" cy="4739577"/>
            <wp:effectExtent l="0" t="0" r="0" b="4445"/>
            <wp:docPr id="16" name="Picture 16" descr="Figure 2: KN775 Kaplan-Meier estimates of PFS in the pMMR and all-comer (ITT)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2: KN775 Kaplan-Meier estimates of PFS in the pMMR and all-comer (ITT) populations"/>
                    <pic:cNvPicPr/>
                  </pic:nvPicPr>
                  <pic:blipFill>
                    <a:blip r:embed="rId9"/>
                    <a:stretch>
                      <a:fillRect/>
                    </a:stretch>
                  </pic:blipFill>
                  <pic:spPr>
                    <a:xfrm>
                      <a:off x="0" y="0"/>
                      <a:ext cx="4889686" cy="4752101"/>
                    </a:xfrm>
                    <a:prstGeom prst="rect">
                      <a:avLst/>
                    </a:prstGeom>
                  </pic:spPr>
                </pic:pic>
              </a:graphicData>
            </a:graphic>
          </wp:inline>
        </w:drawing>
      </w:r>
    </w:p>
    <w:p w14:paraId="32174B32" w14:textId="77777777" w:rsidR="001F6D60" w:rsidRPr="00ED6EDE" w:rsidRDefault="001F6D60" w:rsidP="001F6D60">
      <w:pPr>
        <w:pStyle w:val="TableFooter"/>
        <w:jc w:val="left"/>
      </w:pPr>
      <w:r w:rsidRPr="00ED6EDE">
        <w:t>Source: Makker, V et al. Lenvatinib plus Pembrolizumab for Advanced Endometrial Cancer. N Engl J Med 2022; 386:437-448</w:t>
      </w:r>
    </w:p>
    <w:p w14:paraId="42AC9CC6" w14:textId="77777777" w:rsidR="001F6D60" w:rsidRPr="00ED6EDE" w:rsidRDefault="001F6D60" w:rsidP="001F6D60">
      <w:pPr>
        <w:widowControl/>
        <w:spacing w:after="120"/>
        <w:rPr>
          <w:rFonts w:ascii="Arial Narrow" w:hAnsi="Arial Narrow"/>
          <w:sz w:val="18"/>
        </w:rPr>
      </w:pPr>
      <w:r w:rsidRPr="00ED6EDE">
        <w:rPr>
          <w:rFonts w:ascii="Arial Narrow" w:hAnsi="Arial Narrow"/>
          <w:sz w:val="18"/>
        </w:rPr>
        <w:t>CI = confidence interval: mo = months</w:t>
      </w:r>
    </w:p>
    <w:p w14:paraId="3189FD09" w14:textId="45573365" w:rsidR="00384485" w:rsidRPr="00ED6EDE" w:rsidRDefault="00677DB1" w:rsidP="005D2C4E">
      <w:pPr>
        <w:pStyle w:val="ListParagraph"/>
        <w:widowControl/>
        <w:numPr>
          <w:ilvl w:val="1"/>
          <w:numId w:val="2"/>
        </w:numPr>
        <w:spacing w:after="120"/>
      </w:pPr>
      <w:r w:rsidRPr="00ED6EDE">
        <w:t xml:space="preserve">The submission </w:t>
      </w:r>
      <w:r w:rsidR="00E71261" w:rsidRPr="00ED6EDE">
        <w:t>state</w:t>
      </w:r>
      <w:r w:rsidRPr="00ED6EDE">
        <w:t xml:space="preserve">d that the KN158 data demonstrated that for </w:t>
      </w:r>
      <w:r w:rsidR="00E71261" w:rsidRPr="00ED6EDE">
        <w:t>dMMR</w:t>
      </w:r>
      <w:r w:rsidRPr="00ED6EDE">
        <w:t xml:space="preserve"> patients, pembrolizumab monotherapy may provide a comparable </w:t>
      </w:r>
      <w:r w:rsidR="00070F4B" w:rsidRPr="00ED6EDE">
        <w:t xml:space="preserve">PFS </w:t>
      </w:r>
      <w:r w:rsidRPr="00ED6EDE">
        <w:t xml:space="preserve">benefit (13.1 months vs 10.7 months) to that observed with the combination therapy. </w:t>
      </w:r>
    </w:p>
    <w:p w14:paraId="69657EA3" w14:textId="58F57DD5" w:rsidR="00677DB1" w:rsidRPr="00ED6EDE" w:rsidRDefault="00384485" w:rsidP="005D2C4E">
      <w:pPr>
        <w:pStyle w:val="ListParagraph"/>
        <w:widowControl/>
        <w:numPr>
          <w:ilvl w:val="1"/>
          <w:numId w:val="2"/>
        </w:numPr>
        <w:spacing w:after="120"/>
      </w:pPr>
      <w:r w:rsidRPr="00ED6EDE">
        <w:rPr>
          <w:iCs/>
        </w:rPr>
        <w:t>F</w:t>
      </w:r>
      <w:r w:rsidR="00677DB1" w:rsidRPr="00ED6EDE">
        <w:rPr>
          <w:iCs/>
        </w:rPr>
        <w:t>or the all-comers population and the pMMR cohort, the point estimate for the PFS HR does not meet the proposed MCID of PFS HR = 0.55</w:t>
      </w:r>
      <w:r w:rsidRPr="00ED6EDE">
        <w:rPr>
          <w:iCs/>
        </w:rPr>
        <w:t>. W</w:t>
      </w:r>
      <w:r w:rsidR="00677DB1" w:rsidRPr="00ED6EDE">
        <w:rPr>
          <w:iCs/>
        </w:rPr>
        <w:t>hile the point estimate for the PFS HR in the dMMR cohort met the proposed MCID, the dMMR cohort was not part of the formal statistical analysis plan therefore results from this subgroup should be considered exploratory.</w:t>
      </w:r>
    </w:p>
    <w:p w14:paraId="742449E4" w14:textId="0D199A90" w:rsidR="004F22F9" w:rsidRPr="00ED6EDE" w:rsidRDefault="004F22F9" w:rsidP="0049336B">
      <w:pPr>
        <w:pStyle w:val="5-SubsectionSubheading"/>
        <w:jc w:val="left"/>
        <w:rPr>
          <w:u w:val="single"/>
        </w:rPr>
      </w:pPr>
      <w:r w:rsidRPr="00ED6EDE">
        <w:rPr>
          <w:u w:val="single"/>
        </w:rPr>
        <w:t xml:space="preserve">Health related Quality of Life </w:t>
      </w:r>
    </w:p>
    <w:p w14:paraId="237C6D43" w14:textId="77777777" w:rsidR="001018E7" w:rsidRPr="00ED6EDE" w:rsidRDefault="0077312B" w:rsidP="005D2C4E">
      <w:pPr>
        <w:pStyle w:val="ListParagraph"/>
        <w:widowControl/>
        <w:numPr>
          <w:ilvl w:val="1"/>
          <w:numId w:val="2"/>
        </w:numPr>
        <w:spacing w:after="120"/>
      </w:pPr>
      <w:r w:rsidRPr="00ED6EDE">
        <w:t>Health related quality of life (</w:t>
      </w:r>
      <w:r w:rsidR="00020E37" w:rsidRPr="00ED6EDE">
        <w:t>HRQoL</w:t>
      </w:r>
      <w:r w:rsidRPr="00ED6EDE">
        <w:t>)</w:t>
      </w:r>
      <w:r w:rsidR="00020E37" w:rsidRPr="00ED6EDE">
        <w:t xml:space="preserve">, as measured by the global health status/quality of life (GHS/QoL) score from the </w:t>
      </w:r>
      <w:r w:rsidRPr="00ED6EDE">
        <w:t>European Organisation for Research and Treatment of Cancer Quality of Life Questionnaire (</w:t>
      </w:r>
      <w:r w:rsidR="00020E37" w:rsidRPr="00ED6EDE">
        <w:t>EORTC-QLQ30</w:t>
      </w:r>
      <w:r w:rsidRPr="00ED6EDE">
        <w:t>)</w:t>
      </w:r>
      <w:r w:rsidR="00020E37" w:rsidRPr="00ED6EDE">
        <w:t xml:space="preserve">, was a secondary outcome of the KN775 trial, whereas the EORTC QLQ-C30 physical functioning score EORTC QLQ-EN24 urological symptoms score, and the EQ-5D-5L VAS score were exploratory endpoints. There were no patient reported outcomes or questionnaires included in any of the included single arm studies. </w:t>
      </w:r>
    </w:p>
    <w:p w14:paraId="3FAB5932" w14:textId="6AE8F350" w:rsidR="00020E37" w:rsidRPr="00ED6EDE" w:rsidRDefault="001018E7" w:rsidP="005D2C4E">
      <w:pPr>
        <w:pStyle w:val="ListParagraph"/>
        <w:widowControl/>
        <w:numPr>
          <w:ilvl w:val="1"/>
          <w:numId w:val="2"/>
        </w:numPr>
        <w:spacing w:after="120"/>
      </w:pPr>
      <w:r w:rsidRPr="00ED6EDE">
        <w:t>In KN775, t</w:t>
      </w:r>
      <w:r w:rsidR="00020E37" w:rsidRPr="00ED6EDE">
        <w:t xml:space="preserve">here were no statistically significant differences between treatments in change from baseline in QLQ-C30 scores. The submission stated that there were no differences in the EORTC QLQ-C30 physical functioning scores, the EQ-5D, and the EORTC EN-24 urologic symptoms scores between the pembrolizumab plus lenvatinib arm and the chemotherapy arm. </w:t>
      </w:r>
    </w:p>
    <w:p w14:paraId="58CAD30C" w14:textId="77777777" w:rsidR="00020E37" w:rsidRPr="00F200ED" w:rsidRDefault="00020E37" w:rsidP="00020E37">
      <w:pPr>
        <w:pStyle w:val="Heading2"/>
      </w:pPr>
      <w:bookmarkStart w:id="38" w:name="_Toc93478154"/>
      <w:r w:rsidRPr="00F200ED">
        <w:t>Comparative harms</w:t>
      </w:r>
      <w:bookmarkEnd w:id="38"/>
    </w:p>
    <w:p w14:paraId="780F5669" w14:textId="77777777" w:rsidR="00020E37" w:rsidRPr="00ED6EDE" w:rsidRDefault="00020E37" w:rsidP="00020E37">
      <w:pPr>
        <w:ind w:left="720" w:hanging="720"/>
      </w:pPr>
    </w:p>
    <w:p w14:paraId="7F72FF4A" w14:textId="543EF27F" w:rsidR="00D51B93" w:rsidRPr="00ED6EDE" w:rsidRDefault="00020E37" w:rsidP="005D2C4E">
      <w:pPr>
        <w:pStyle w:val="ListParagraph"/>
        <w:widowControl/>
        <w:numPr>
          <w:ilvl w:val="1"/>
          <w:numId w:val="2"/>
        </w:numPr>
        <w:spacing w:after="120"/>
        <w:rPr>
          <w:color w:val="000000" w:themeColor="text1"/>
        </w:rPr>
      </w:pPr>
      <w:r w:rsidRPr="00ED6EDE">
        <w:fldChar w:fldCharType="begin"/>
      </w:r>
      <w:r w:rsidRPr="00ED6EDE">
        <w:instrText xml:space="preserve"> REF _Ref90028185 \h  \* MERGEFORMAT </w:instrText>
      </w:r>
      <w:r w:rsidRPr="00ED6EDE">
        <w:fldChar w:fldCharType="separate"/>
      </w:r>
      <w:r w:rsidR="004163DD" w:rsidRPr="004163DD">
        <w:t>Table 6</w:t>
      </w:r>
      <w:r w:rsidRPr="00ED6EDE">
        <w:fldChar w:fldCharType="end"/>
      </w:r>
      <w:r w:rsidRPr="00ED6EDE">
        <w:t xml:space="preserve"> presents</w:t>
      </w:r>
      <w:r w:rsidRPr="00ED6EDE">
        <w:rPr>
          <w:color w:val="000000" w:themeColor="text1"/>
        </w:rPr>
        <w:t xml:space="preserve"> a summary of </w:t>
      </w:r>
      <w:r w:rsidR="00D51B93" w:rsidRPr="00ED6EDE">
        <w:rPr>
          <w:color w:val="000000" w:themeColor="text1"/>
        </w:rPr>
        <w:t>t</w:t>
      </w:r>
      <w:r w:rsidRPr="00ED6EDE">
        <w:rPr>
          <w:color w:val="000000" w:themeColor="text1"/>
        </w:rPr>
        <w:t xml:space="preserve">reatment related </w:t>
      </w:r>
      <w:r w:rsidR="00D51B93" w:rsidRPr="00ED6EDE">
        <w:rPr>
          <w:color w:val="000000" w:themeColor="text1"/>
        </w:rPr>
        <w:t>a</w:t>
      </w:r>
      <w:r w:rsidRPr="00ED6EDE">
        <w:rPr>
          <w:color w:val="000000" w:themeColor="text1"/>
        </w:rPr>
        <w:t xml:space="preserve">dverse events (TEAE) </w:t>
      </w:r>
      <w:r w:rsidR="004E0717" w:rsidRPr="00ED6EDE">
        <w:rPr>
          <w:color w:val="000000" w:themeColor="text1"/>
        </w:rPr>
        <w:t>i</w:t>
      </w:r>
      <w:r w:rsidRPr="00ED6EDE">
        <w:rPr>
          <w:color w:val="000000" w:themeColor="text1"/>
        </w:rPr>
        <w:t>n KN775</w:t>
      </w:r>
      <w:r w:rsidR="00476177" w:rsidRPr="00ED6EDE">
        <w:rPr>
          <w:color w:val="000000" w:themeColor="text1"/>
        </w:rPr>
        <w:t xml:space="preserve"> in the all-comers population (i.e. including dMMR and pMMR patients)</w:t>
      </w:r>
      <w:r w:rsidRPr="00ED6EDE">
        <w:rPr>
          <w:color w:val="000000" w:themeColor="text1"/>
        </w:rPr>
        <w:t>.</w:t>
      </w:r>
    </w:p>
    <w:p w14:paraId="79B8B18A" w14:textId="684ABCCF" w:rsidR="00020E37" w:rsidRPr="00ED6EDE" w:rsidRDefault="00020E37" w:rsidP="00D51B93">
      <w:pPr>
        <w:keepNext/>
        <w:keepLines/>
      </w:pPr>
      <w:bookmarkStart w:id="39" w:name="_Ref90028185"/>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6</w:t>
      </w:r>
      <w:r w:rsidRPr="00ED6EDE">
        <w:rPr>
          <w:rStyle w:val="CommentReference"/>
        </w:rPr>
        <w:fldChar w:fldCharType="end"/>
      </w:r>
      <w:bookmarkEnd w:id="39"/>
      <w:r w:rsidRPr="00ED6EDE">
        <w:rPr>
          <w:rStyle w:val="CommentReference"/>
        </w:rPr>
        <w:t xml:space="preserve">: </w:t>
      </w:r>
      <w:r w:rsidRPr="00ED6EDE">
        <w:rPr>
          <w:rStyle w:val="CommentReference"/>
          <w:color w:val="000000" w:themeColor="text1"/>
        </w:rPr>
        <w:t xml:space="preserve">Treatment Related Adverse Events </w:t>
      </w:r>
      <w:r w:rsidR="004E0717" w:rsidRPr="00ED6EDE">
        <w:rPr>
          <w:rStyle w:val="CommentReference"/>
          <w:color w:val="000000" w:themeColor="text1"/>
        </w:rPr>
        <w:t xml:space="preserve">(unadjusted) </w:t>
      </w:r>
      <w:r w:rsidR="00384485" w:rsidRPr="00ED6EDE">
        <w:rPr>
          <w:rStyle w:val="CommentReference"/>
          <w:color w:val="000000" w:themeColor="text1"/>
        </w:rPr>
        <w:t>with combination</w:t>
      </w:r>
      <w:r w:rsidRPr="00ED6EDE">
        <w:rPr>
          <w:rStyle w:val="CommentReference"/>
          <w:color w:val="000000" w:themeColor="text1"/>
        </w:rPr>
        <w:t xml:space="preserve"> therapy </w:t>
      </w:r>
      <w:r w:rsidR="00991FA9" w:rsidRPr="00ED6EDE">
        <w:rPr>
          <w:rStyle w:val="CommentReference"/>
          <w:color w:val="000000" w:themeColor="text1"/>
        </w:rPr>
        <w:t xml:space="preserve">in </w:t>
      </w:r>
      <w:r w:rsidRPr="00ED6EDE">
        <w:rPr>
          <w:rStyle w:val="CommentReference"/>
          <w:color w:val="000000" w:themeColor="text1"/>
        </w:rPr>
        <w:t xml:space="preserve">KN775 </w:t>
      </w:r>
      <w:r w:rsidR="00476177" w:rsidRPr="00ED6EDE">
        <w:rPr>
          <w:rStyle w:val="CommentReference"/>
          <w:color w:val="000000" w:themeColor="text1"/>
        </w:rPr>
        <w:t>all-comers</w:t>
      </w:r>
      <w:r w:rsidRPr="00ED6EDE">
        <w:rPr>
          <w:rStyle w:val="CommentReference"/>
          <w:color w:val="000000" w:themeColor="text1"/>
        </w:rPr>
        <w:t xml:space="preserve"> </w:t>
      </w:r>
      <w:r w:rsidR="00476177" w:rsidRPr="00ED6EDE">
        <w:rPr>
          <w:rStyle w:val="CommentReference"/>
          <w:color w:val="000000" w:themeColor="text1"/>
        </w:rPr>
        <w:t>p</w:t>
      </w:r>
      <w:r w:rsidRPr="00ED6EDE">
        <w:rPr>
          <w:rStyle w:val="CommentReference"/>
          <w:color w:val="000000" w:themeColor="text1"/>
        </w:rPr>
        <w:t>opulation</w:t>
      </w:r>
    </w:p>
    <w:tbl>
      <w:tblPr>
        <w:tblStyle w:val="TableGrid10"/>
        <w:tblpPr w:leftFromText="187" w:rightFromText="187" w:vertAnchor="text" w:horzAnchor="margin" w:tblpY="1"/>
        <w:tblOverlap w:val="never"/>
        <w:tblW w:w="5000" w:type="pct"/>
        <w:tblLayout w:type="fixed"/>
        <w:tblCellMar>
          <w:left w:w="29" w:type="dxa"/>
          <w:right w:w="29" w:type="dxa"/>
        </w:tblCellMar>
        <w:tblLook w:val="04A0" w:firstRow="1" w:lastRow="0" w:firstColumn="1" w:lastColumn="0" w:noHBand="0" w:noVBand="1"/>
      </w:tblPr>
      <w:tblGrid>
        <w:gridCol w:w="1889"/>
        <w:gridCol w:w="2145"/>
        <w:gridCol w:w="1115"/>
        <w:gridCol w:w="1254"/>
        <w:gridCol w:w="1254"/>
        <w:gridCol w:w="1360"/>
      </w:tblGrid>
      <w:tr w:rsidR="00384485" w:rsidRPr="00ED6EDE" w14:paraId="135FBF9D" w14:textId="77777777" w:rsidTr="00A22612">
        <w:trPr>
          <w:trHeight w:val="132"/>
        </w:trPr>
        <w:tc>
          <w:tcPr>
            <w:tcW w:w="4034" w:type="dxa"/>
            <w:gridSpan w:val="2"/>
            <w:vMerge w:val="restart"/>
            <w:vAlign w:val="center"/>
          </w:tcPr>
          <w:p w14:paraId="3D7FFE7C" w14:textId="77777777" w:rsidR="00384485" w:rsidRPr="00ED6EDE" w:rsidRDefault="00384485" w:rsidP="00D51B93">
            <w:pPr>
              <w:pStyle w:val="Tabletext"/>
              <w:keepNext/>
              <w:keepLines/>
              <w:widowControl w:val="0"/>
              <w:rPr>
                <w:b/>
                <w:bCs/>
              </w:rPr>
            </w:pPr>
            <w:r w:rsidRPr="00ED6EDE">
              <w:rPr>
                <w:b/>
                <w:bCs/>
              </w:rPr>
              <w:t>All Comers</w:t>
            </w:r>
          </w:p>
        </w:tc>
        <w:tc>
          <w:tcPr>
            <w:tcW w:w="3623" w:type="dxa"/>
            <w:gridSpan w:val="3"/>
            <w:vAlign w:val="center"/>
          </w:tcPr>
          <w:p w14:paraId="72529E8E" w14:textId="1146F3C3" w:rsidR="00384485" w:rsidRPr="00ED6EDE" w:rsidRDefault="00384485" w:rsidP="00D51B93">
            <w:pPr>
              <w:pStyle w:val="Tabletext"/>
              <w:keepNext/>
              <w:keepLines/>
              <w:widowControl w:val="0"/>
              <w:jc w:val="center"/>
              <w:rPr>
                <w:b/>
                <w:bCs/>
              </w:rPr>
            </w:pPr>
            <w:r w:rsidRPr="00ED6EDE">
              <w:rPr>
                <w:b/>
                <w:bCs/>
              </w:rPr>
              <w:t>KN775</w:t>
            </w:r>
          </w:p>
        </w:tc>
        <w:tc>
          <w:tcPr>
            <w:tcW w:w="1360" w:type="dxa"/>
            <w:vMerge w:val="restart"/>
            <w:vAlign w:val="center"/>
          </w:tcPr>
          <w:p w14:paraId="6699A0AC" w14:textId="77777777" w:rsidR="00384485" w:rsidRPr="00ED6EDE" w:rsidRDefault="00384485" w:rsidP="00D51B93">
            <w:pPr>
              <w:pStyle w:val="Tabletext"/>
              <w:keepNext/>
              <w:keepLines/>
              <w:widowControl w:val="0"/>
              <w:jc w:val="center"/>
              <w:rPr>
                <w:rFonts w:eastAsia="Calibri"/>
                <w:b/>
                <w:bCs/>
                <w:iCs/>
              </w:rPr>
            </w:pPr>
            <w:r w:rsidRPr="00ED6EDE">
              <w:rPr>
                <w:rFonts w:eastAsia="Calibri"/>
                <w:b/>
                <w:bCs/>
                <w:iCs/>
              </w:rPr>
              <w:t>Risk Difference</w:t>
            </w:r>
          </w:p>
          <w:p w14:paraId="2EB5E6B0" w14:textId="77777777" w:rsidR="00384485" w:rsidRPr="00ED6EDE" w:rsidRDefault="00384485" w:rsidP="00D51B93">
            <w:pPr>
              <w:pStyle w:val="Tabletext"/>
              <w:keepNext/>
              <w:keepLines/>
              <w:widowControl w:val="0"/>
              <w:jc w:val="center"/>
              <w:rPr>
                <w:rFonts w:eastAsia="Calibri"/>
                <w:b/>
                <w:bCs/>
                <w:iCs/>
              </w:rPr>
            </w:pPr>
            <w:r w:rsidRPr="00ED6EDE">
              <w:rPr>
                <w:rFonts w:eastAsia="Calibri"/>
                <w:b/>
                <w:bCs/>
                <w:iCs/>
              </w:rPr>
              <w:t>(95% CI)</w:t>
            </w:r>
          </w:p>
        </w:tc>
      </w:tr>
      <w:tr w:rsidR="00020E37" w:rsidRPr="00ED6EDE" w14:paraId="13B12888" w14:textId="77777777" w:rsidTr="00A22612">
        <w:trPr>
          <w:trHeight w:val="185"/>
        </w:trPr>
        <w:tc>
          <w:tcPr>
            <w:tcW w:w="4034" w:type="dxa"/>
            <w:gridSpan w:val="2"/>
            <w:vMerge/>
            <w:vAlign w:val="center"/>
          </w:tcPr>
          <w:p w14:paraId="20758F6F" w14:textId="77777777" w:rsidR="00020E37" w:rsidRPr="00ED6EDE" w:rsidRDefault="00020E37" w:rsidP="00D51B93">
            <w:pPr>
              <w:pStyle w:val="Tabletext"/>
              <w:keepNext/>
              <w:keepLines/>
              <w:widowControl w:val="0"/>
              <w:rPr>
                <w:b/>
                <w:bCs/>
              </w:rPr>
            </w:pPr>
          </w:p>
        </w:tc>
        <w:tc>
          <w:tcPr>
            <w:tcW w:w="2369" w:type="dxa"/>
            <w:gridSpan w:val="2"/>
            <w:vAlign w:val="center"/>
          </w:tcPr>
          <w:p w14:paraId="590C69D8" w14:textId="77777777" w:rsidR="00020E37" w:rsidRPr="00ED6EDE" w:rsidRDefault="00020E37" w:rsidP="00D51B93">
            <w:pPr>
              <w:pStyle w:val="Tabletext"/>
              <w:keepNext/>
              <w:keepLines/>
              <w:widowControl w:val="0"/>
              <w:jc w:val="center"/>
              <w:rPr>
                <w:b/>
                <w:bCs/>
              </w:rPr>
            </w:pPr>
            <w:r w:rsidRPr="00ED6EDE">
              <w:rPr>
                <w:b/>
                <w:bCs/>
              </w:rPr>
              <w:t>PEM+LEN (N=406)</w:t>
            </w:r>
          </w:p>
          <w:p w14:paraId="4C45591D" w14:textId="77777777" w:rsidR="00020E37" w:rsidRPr="00ED6EDE" w:rsidRDefault="00020E37" w:rsidP="00D51B93">
            <w:pPr>
              <w:pStyle w:val="Tabletext"/>
              <w:keepNext/>
              <w:keepLines/>
              <w:widowControl w:val="0"/>
              <w:jc w:val="center"/>
              <w:rPr>
                <w:b/>
                <w:bCs/>
              </w:rPr>
            </w:pPr>
            <w:r w:rsidRPr="00ED6EDE">
              <w:rPr>
                <w:b/>
                <w:bCs/>
              </w:rPr>
              <w:t>n (%)</w:t>
            </w:r>
          </w:p>
        </w:tc>
        <w:tc>
          <w:tcPr>
            <w:tcW w:w="1254" w:type="dxa"/>
            <w:vAlign w:val="center"/>
          </w:tcPr>
          <w:p w14:paraId="1B78789E" w14:textId="77777777" w:rsidR="00020E37" w:rsidRPr="00ED6EDE" w:rsidRDefault="00020E37" w:rsidP="00D51B93">
            <w:pPr>
              <w:pStyle w:val="Tabletext"/>
              <w:keepNext/>
              <w:keepLines/>
              <w:widowControl w:val="0"/>
              <w:jc w:val="center"/>
              <w:rPr>
                <w:b/>
                <w:bCs/>
              </w:rPr>
            </w:pPr>
            <w:r w:rsidRPr="00ED6EDE">
              <w:rPr>
                <w:b/>
                <w:bCs/>
              </w:rPr>
              <w:t>Chemo (N=388)</w:t>
            </w:r>
          </w:p>
          <w:p w14:paraId="77B7F905" w14:textId="77777777" w:rsidR="00020E37" w:rsidRPr="00ED6EDE" w:rsidRDefault="00020E37" w:rsidP="00D51B93">
            <w:pPr>
              <w:pStyle w:val="Tabletext"/>
              <w:keepNext/>
              <w:keepLines/>
              <w:widowControl w:val="0"/>
              <w:jc w:val="center"/>
              <w:rPr>
                <w:b/>
                <w:bCs/>
              </w:rPr>
            </w:pPr>
            <w:r w:rsidRPr="00ED6EDE">
              <w:rPr>
                <w:b/>
                <w:bCs/>
              </w:rPr>
              <w:t>n (%)</w:t>
            </w:r>
          </w:p>
        </w:tc>
        <w:tc>
          <w:tcPr>
            <w:tcW w:w="1360" w:type="dxa"/>
            <w:vMerge/>
            <w:vAlign w:val="center"/>
          </w:tcPr>
          <w:p w14:paraId="67D93AC9" w14:textId="77777777" w:rsidR="00020E37" w:rsidRPr="00ED6EDE" w:rsidRDefault="00020E37" w:rsidP="00D51B93">
            <w:pPr>
              <w:pStyle w:val="Tabletext"/>
              <w:keepNext/>
              <w:keepLines/>
              <w:widowControl w:val="0"/>
              <w:jc w:val="center"/>
              <w:rPr>
                <w:rFonts w:eastAsia="Calibri"/>
                <w:b/>
                <w:bCs/>
                <w:iCs/>
              </w:rPr>
            </w:pPr>
          </w:p>
        </w:tc>
      </w:tr>
      <w:tr w:rsidR="00020E37" w:rsidRPr="00ED6EDE" w14:paraId="495514E5" w14:textId="77777777" w:rsidTr="00A22612">
        <w:trPr>
          <w:trHeight w:val="141"/>
        </w:trPr>
        <w:tc>
          <w:tcPr>
            <w:tcW w:w="1889" w:type="dxa"/>
            <w:vMerge w:val="restart"/>
            <w:vAlign w:val="center"/>
          </w:tcPr>
          <w:p w14:paraId="0E6CB862" w14:textId="43F17F45" w:rsidR="00020E37" w:rsidRPr="00ED6EDE" w:rsidRDefault="00D51B93" w:rsidP="00D51B93">
            <w:pPr>
              <w:pStyle w:val="Tabletext"/>
              <w:keepNext/>
              <w:keepLines/>
              <w:widowControl w:val="0"/>
              <w:rPr>
                <w:vertAlign w:val="superscript"/>
              </w:rPr>
            </w:pPr>
            <w:r w:rsidRPr="00ED6EDE">
              <w:t xml:space="preserve">Patients </w:t>
            </w:r>
            <w:r w:rsidR="00020E37" w:rsidRPr="00ED6EDE">
              <w:t xml:space="preserve">with </w:t>
            </w:r>
            <w:r w:rsidRPr="00ED6EDE">
              <w:t>a</w:t>
            </w:r>
            <w:r w:rsidR="00020E37" w:rsidRPr="00ED6EDE">
              <w:t>ny TEAE</w:t>
            </w:r>
            <w:r w:rsidR="00020E37" w:rsidRPr="00ED6EDE">
              <w:rPr>
                <w:vertAlign w:val="superscript"/>
              </w:rPr>
              <w:t>a</w:t>
            </w:r>
          </w:p>
        </w:tc>
        <w:tc>
          <w:tcPr>
            <w:tcW w:w="2145" w:type="dxa"/>
            <w:vAlign w:val="center"/>
          </w:tcPr>
          <w:p w14:paraId="7BEA4C4F" w14:textId="77777777" w:rsidR="00020E37" w:rsidRPr="00ED6EDE" w:rsidRDefault="00020E37" w:rsidP="00D51B93">
            <w:pPr>
              <w:pStyle w:val="Tabletext"/>
              <w:keepNext/>
              <w:keepLines/>
              <w:widowControl w:val="0"/>
            </w:pPr>
            <w:r w:rsidRPr="00ED6EDE">
              <w:t>Any TEAEs (one or more adverse events)</w:t>
            </w:r>
          </w:p>
        </w:tc>
        <w:tc>
          <w:tcPr>
            <w:tcW w:w="2369" w:type="dxa"/>
            <w:gridSpan w:val="2"/>
            <w:vAlign w:val="center"/>
          </w:tcPr>
          <w:p w14:paraId="667E6231" w14:textId="77777777" w:rsidR="00020E37" w:rsidRPr="00ED6EDE" w:rsidRDefault="00020E37" w:rsidP="00D51B93">
            <w:pPr>
              <w:pStyle w:val="Tabletext"/>
              <w:keepNext/>
              <w:keepLines/>
              <w:widowControl w:val="0"/>
              <w:jc w:val="center"/>
            </w:pPr>
            <w:r w:rsidRPr="00ED6EDE">
              <w:t>405 (99.8)</w:t>
            </w:r>
          </w:p>
        </w:tc>
        <w:tc>
          <w:tcPr>
            <w:tcW w:w="1254" w:type="dxa"/>
            <w:vAlign w:val="center"/>
          </w:tcPr>
          <w:p w14:paraId="1989D66F" w14:textId="77777777" w:rsidR="00020E37" w:rsidRPr="00ED6EDE" w:rsidRDefault="00020E37" w:rsidP="00D51B93">
            <w:pPr>
              <w:pStyle w:val="Tabletext"/>
              <w:keepNext/>
              <w:keepLines/>
              <w:widowControl w:val="0"/>
              <w:jc w:val="center"/>
            </w:pPr>
            <w:r w:rsidRPr="00ED6EDE">
              <w:t>386 (99.5)</w:t>
            </w:r>
          </w:p>
        </w:tc>
        <w:tc>
          <w:tcPr>
            <w:tcW w:w="1360" w:type="dxa"/>
            <w:vAlign w:val="center"/>
          </w:tcPr>
          <w:p w14:paraId="57F411A0" w14:textId="77777777" w:rsidR="00020E37" w:rsidRPr="00ED6EDE" w:rsidRDefault="00020E37" w:rsidP="00D51B93">
            <w:pPr>
              <w:pStyle w:val="Tabletext"/>
              <w:keepNext/>
              <w:keepLines/>
              <w:widowControl w:val="0"/>
              <w:jc w:val="center"/>
              <w:rPr>
                <w:iCs/>
              </w:rPr>
            </w:pPr>
            <w:r w:rsidRPr="00ED6EDE">
              <w:rPr>
                <w:iCs/>
              </w:rPr>
              <w:t>0 (-0.01, 0.01)</w:t>
            </w:r>
          </w:p>
        </w:tc>
      </w:tr>
      <w:tr w:rsidR="00020E37" w:rsidRPr="00ED6EDE" w14:paraId="1DCE5953" w14:textId="77777777" w:rsidTr="00A22612">
        <w:trPr>
          <w:trHeight w:val="221"/>
        </w:trPr>
        <w:tc>
          <w:tcPr>
            <w:tcW w:w="1889" w:type="dxa"/>
            <w:vMerge/>
            <w:vAlign w:val="center"/>
          </w:tcPr>
          <w:p w14:paraId="600F7300" w14:textId="77777777" w:rsidR="00020E37" w:rsidRPr="00ED6EDE" w:rsidRDefault="00020E37" w:rsidP="00D51B93">
            <w:pPr>
              <w:pStyle w:val="Tabletext"/>
              <w:keepNext/>
              <w:keepLines/>
              <w:widowControl w:val="0"/>
            </w:pPr>
          </w:p>
        </w:tc>
        <w:tc>
          <w:tcPr>
            <w:tcW w:w="2145" w:type="dxa"/>
            <w:vAlign w:val="center"/>
          </w:tcPr>
          <w:p w14:paraId="4BBBB0B9" w14:textId="77777777" w:rsidR="00020E37" w:rsidRPr="00ED6EDE" w:rsidRDefault="00020E37" w:rsidP="00D51B93">
            <w:pPr>
              <w:pStyle w:val="Tabletext"/>
              <w:keepNext/>
              <w:keepLines/>
              <w:widowControl w:val="0"/>
            </w:pPr>
            <w:r w:rsidRPr="00ED6EDE">
              <w:t>Treatment related TEAEs</w:t>
            </w:r>
          </w:p>
        </w:tc>
        <w:tc>
          <w:tcPr>
            <w:tcW w:w="2369" w:type="dxa"/>
            <w:gridSpan w:val="2"/>
            <w:vAlign w:val="center"/>
          </w:tcPr>
          <w:p w14:paraId="7A778E5B" w14:textId="77777777" w:rsidR="00020E37" w:rsidRPr="00ED6EDE" w:rsidRDefault="00020E37" w:rsidP="00D51B93">
            <w:pPr>
              <w:pStyle w:val="Tabletext"/>
              <w:keepNext/>
              <w:keepLines/>
              <w:widowControl w:val="0"/>
              <w:jc w:val="center"/>
            </w:pPr>
            <w:r w:rsidRPr="00ED6EDE">
              <w:t>395 (97.3)</w:t>
            </w:r>
          </w:p>
        </w:tc>
        <w:tc>
          <w:tcPr>
            <w:tcW w:w="1254" w:type="dxa"/>
            <w:vAlign w:val="center"/>
          </w:tcPr>
          <w:p w14:paraId="579D4180" w14:textId="77777777" w:rsidR="00020E37" w:rsidRPr="00ED6EDE" w:rsidRDefault="00020E37" w:rsidP="00D51B93">
            <w:pPr>
              <w:pStyle w:val="Tabletext"/>
              <w:keepNext/>
              <w:keepLines/>
              <w:widowControl w:val="0"/>
              <w:jc w:val="center"/>
            </w:pPr>
            <w:r w:rsidRPr="00ED6EDE">
              <w:t>364 (93.8)</w:t>
            </w:r>
          </w:p>
        </w:tc>
        <w:tc>
          <w:tcPr>
            <w:tcW w:w="1360" w:type="dxa"/>
            <w:vAlign w:val="center"/>
          </w:tcPr>
          <w:p w14:paraId="46E6C2DC" w14:textId="77777777" w:rsidR="00020E37" w:rsidRPr="00ED6EDE" w:rsidRDefault="00020E37" w:rsidP="00D51B93">
            <w:pPr>
              <w:pStyle w:val="Tabletext"/>
              <w:keepNext/>
              <w:keepLines/>
              <w:widowControl w:val="0"/>
              <w:jc w:val="center"/>
              <w:rPr>
                <w:iCs/>
              </w:rPr>
            </w:pPr>
            <w:r w:rsidRPr="00ED6EDE">
              <w:rPr>
                <w:iCs/>
              </w:rPr>
              <w:t>0.03 (0.01, 0.06)</w:t>
            </w:r>
          </w:p>
        </w:tc>
      </w:tr>
      <w:tr w:rsidR="00020E37" w:rsidRPr="00ED6EDE" w14:paraId="258AA0B3" w14:textId="77777777" w:rsidTr="00A22612">
        <w:trPr>
          <w:trHeight w:val="175"/>
        </w:trPr>
        <w:tc>
          <w:tcPr>
            <w:tcW w:w="1889" w:type="dxa"/>
            <w:vMerge/>
            <w:vAlign w:val="center"/>
          </w:tcPr>
          <w:p w14:paraId="1045921B" w14:textId="77777777" w:rsidR="00020E37" w:rsidRPr="00ED6EDE" w:rsidRDefault="00020E37" w:rsidP="00D51B93">
            <w:pPr>
              <w:pStyle w:val="Tabletext"/>
              <w:keepNext/>
              <w:keepLines/>
              <w:widowControl w:val="0"/>
            </w:pPr>
          </w:p>
        </w:tc>
        <w:tc>
          <w:tcPr>
            <w:tcW w:w="2145" w:type="dxa"/>
            <w:vAlign w:val="center"/>
          </w:tcPr>
          <w:p w14:paraId="5802DE30" w14:textId="77777777" w:rsidR="00020E37" w:rsidRPr="00ED6EDE" w:rsidRDefault="00020E37" w:rsidP="00D51B93">
            <w:pPr>
              <w:pStyle w:val="Tabletext"/>
              <w:keepNext/>
              <w:keepLines/>
              <w:widowControl w:val="0"/>
            </w:pPr>
            <w:r w:rsidRPr="00ED6EDE">
              <w:t xml:space="preserve">Severe TEAEs </w:t>
            </w:r>
          </w:p>
          <w:p w14:paraId="0112C31D" w14:textId="77777777" w:rsidR="00020E37" w:rsidRPr="00ED6EDE" w:rsidRDefault="00020E37" w:rsidP="00D51B93">
            <w:pPr>
              <w:pStyle w:val="Tabletext"/>
              <w:keepNext/>
              <w:keepLines/>
              <w:widowControl w:val="0"/>
            </w:pPr>
            <w:r w:rsidRPr="00ED6EDE">
              <w:t>(CTCAE Grade 3 or above)</w:t>
            </w:r>
          </w:p>
        </w:tc>
        <w:tc>
          <w:tcPr>
            <w:tcW w:w="2369" w:type="dxa"/>
            <w:gridSpan w:val="2"/>
            <w:vAlign w:val="center"/>
          </w:tcPr>
          <w:p w14:paraId="47D3E3AF" w14:textId="77777777" w:rsidR="00020E37" w:rsidRPr="00ED6EDE" w:rsidRDefault="00020E37" w:rsidP="00D51B93">
            <w:pPr>
              <w:pStyle w:val="Tabletext"/>
              <w:keepNext/>
              <w:keepLines/>
              <w:widowControl w:val="0"/>
              <w:jc w:val="center"/>
            </w:pPr>
            <w:r w:rsidRPr="00ED6EDE">
              <w:t>316 (77.8)</w:t>
            </w:r>
          </w:p>
        </w:tc>
        <w:tc>
          <w:tcPr>
            <w:tcW w:w="1254" w:type="dxa"/>
            <w:vAlign w:val="center"/>
          </w:tcPr>
          <w:p w14:paraId="26D29A9A" w14:textId="77777777" w:rsidR="00020E37" w:rsidRPr="00ED6EDE" w:rsidRDefault="00020E37" w:rsidP="00D51B93">
            <w:pPr>
              <w:pStyle w:val="Tabletext"/>
              <w:keepNext/>
              <w:keepLines/>
              <w:widowControl w:val="0"/>
              <w:jc w:val="center"/>
            </w:pPr>
            <w:r w:rsidRPr="00ED6EDE">
              <w:t>229 (59.0)</w:t>
            </w:r>
          </w:p>
        </w:tc>
        <w:tc>
          <w:tcPr>
            <w:tcW w:w="1360" w:type="dxa"/>
            <w:vAlign w:val="center"/>
          </w:tcPr>
          <w:p w14:paraId="7881C5B5" w14:textId="77777777" w:rsidR="00020E37" w:rsidRPr="00ED6EDE" w:rsidRDefault="00020E37" w:rsidP="00D51B93">
            <w:pPr>
              <w:pStyle w:val="Tabletext"/>
              <w:keepNext/>
              <w:keepLines/>
              <w:widowControl w:val="0"/>
              <w:jc w:val="center"/>
              <w:rPr>
                <w:iCs/>
              </w:rPr>
            </w:pPr>
            <w:r w:rsidRPr="00ED6EDE">
              <w:rPr>
                <w:rFonts w:cs="Calibri"/>
                <w:iCs/>
                <w:color w:val="000000"/>
              </w:rPr>
              <w:t>0.19 (0.12, 0.25)</w:t>
            </w:r>
          </w:p>
        </w:tc>
      </w:tr>
      <w:tr w:rsidR="00020E37" w:rsidRPr="00ED6EDE" w14:paraId="6DA40477" w14:textId="77777777" w:rsidTr="00A22612">
        <w:trPr>
          <w:trHeight w:val="131"/>
        </w:trPr>
        <w:tc>
          <w:tcPr>
            <w:tcW w:w="1889" w:type="dxa"/>
            <w:vMerge w:val="restart"/>
            <w:vAlign w:val="center"/>
          </w:tcPr>
          <w:p w14:paraId="5243B4E3" w14:textId="45EE160B" w:rsidR="00020E37" w:rsidRPr="00ED6EDE" w:rsidRDefault="00D51B93" w:rsidP="00D51B93">
            <w:pPr>
              <w:pStyle w:val="Tabletext"/>
              <w:keepNext/>
              <w:keepLines/>
              <w:widowControl w:val="0"/>
            </w:pPr>
            <w:r w:rsidRPr="00ED6EDE">
              <w:t>Patients</w:t>
            </w:r>
            <w:r w:rsidR="00020E37" w:rsidRPr="00ED6EDE">
              <w:t xml:space="preserve"> with any </w:t>
            </w:r>
            <w:r w:rsidRPr="00ED6EDE">
              <w:t>s</w:t>
            </w:r>
            <w:r w:rsidR="00020E37" w:rsidRPr="00ED6EDE">
              <w:t>erious A</w:t>
            </w:r>
            <w:r w:rsidR="003B76F1" w:rsidRPr="00ED6EDE">
              <w:t>E</w:t>
            </w:r>
            <w:r w:rsidR="00020E37" w:rsidRPr="00ED6EDE">
              <w:t xml:space="preserve">s </w:t>
            </w:r>
          </w:p>
        </w:tc>
        <w:tc>
          <w:tcPr>
            <w:tcW w:w="2145" w:type="dxa"/>
            <w:vAlign w:val="center"/>
          </w:tcPr>
          <w:p w14:paraId="0A7F5BB5" w14:textId="77777777" w:rsidR="00020E37" w:rsidRPr="00ED6EDE" w:rsidRDefault="00020E37" w:rsidP="00D51B93">
            <w:pPr>
              <w:pStyle w:val="Tabletext"/>
              <w:keepNext/>
              <w:keepLines/>
              <w:widowControl w:val="0"/>
            </w:pPr>
            <w:r w:rsidRPr="00ED6EDE">
              <w:t>Treatment-Emergent SAEs</w:t>
            </w:r>
          </w:p>
        </w:tc>
        <w:tc>
          <w:tcPr>
            <w:tcW w:w="2369" w:type="dxa"/>
            <w:gridSpan w:val="2"/>
            <w:vAlign w:val="center"/>
          </w:tcPr>
          <w:p w14:paraId="52EDF02A" w14:textId="77777777" w:rsidR="00020E37" w:rsidRPr="00ED6EDE" w:rsidRDefault="00020E37" w:rsidP="00D51B93">
            <w:pPr>
              <w:pStyle w:val="Tabletext"/>
              <w:keepNext/>
              <w:keepLines/>
              <w:widowControl w:val="0"/>
              <w:jc w:val="center"/>
            </w:pPr>
            <w:r w:rsidRPr="00ED6EDE">
              <w:t>135 (33.3)</w:t>
            </w:r>
          </w:p>
        </w:tc>
        <w:tc>
          <w:tcPr>
            <w:tcW w:w="1254" w:type="dxa"/>
            <w:vAlign w:val="center"/>
          </w:tcPr>
          <w:p w14:paraId="0D236B0E" w14:textId="77777777" w:rsidR="00020E37" w:rsidRPr="00ED6EDE" w:rsidRDefault="00020E37" w:rsidP="00D51B93">
            <w:pPr>
              <w:pStyle w:val="Tabletext"/>
              <w:keepNext/>
              <w:keepLines/>
              <w:widowControl w:val="0"/>
              <w:jc w:val="center"/>
            </w:pPr>
            <w:r w:rsidRPr="00ED6EDE">
              <w:t>55 (14.2)</w:t>
            </w:r>
          </w:p>
        </w:tc>
        <w:tc>
          <w:tcPr>
            <w:tcW w:w="1360" w:type="dxa"/>
            <w:vAlign w:val="center"/>
          </w:tcPr>
          <w:p w14:paraId="22CEABDD" w14:textId="77777777" w:rsidR="00020E37" w:rsidRPr="00ED6EDE" w:rsidRDefault="00020E37" w:rsidP="00D51B93">
            <w:pPr>
              <w:pStyle w:val="Tabletext"/>
              <w:keepNext/>
              <w:keepLines/>
              <w:widowControl w:val="0"/>
              <w:jc w:val="center"/>
              <w:rPr>
                <w:iCs/>
              </w:rPr>
            </w:pPr>
            <w:r w:rsidRPr="00ED6EDE">
              <w:rPr>
                <w:iCs/>
              </w:rPr>
              <w:t>0.19 (0.13, 0.25)</w:t>
            </w:r>
          </w:p>
        </w:tc>
      </w:tr>
      <w:tr w:rsidR="00020E37" w:rsidRPr="00ED6EDE" w14:paraId="06B53B49" w14:textId="77777777" w:rsidTr="00A22612">
        <w:trPr>
          <w:trHeight w:val="229"/>
        </w:trPr>
        <w:tc>
          <w:tcPr>
            <w:tcW w:w="1889" w:type="dxa"/>
            <w:vMerge/>
            <w:vAlign w:val="center"/>
          </w:tcPr>
          <w:p w14:paraId="484C3880" w14:textId="77777777" w:rsidR="00020E37" w:rsidRPr="00ED6EDE" w:rsidRDefault="00020E37" w:rsidP="00D51B93">
            <w:pPr>
              <w:pStyle w:val="Tabletext"/>
              <w:keepNext/>
              <w:keepLines/>
              <w:widowControl w:val="0"/>
            </w:pPr>
          </w:p>
        </w:tc>
        <w:tc>
          <w:tcPr>
            <w:tcW w:w="2145" w:type="dxa"/>
            <w:vAlign w:val="center"/>
          </w:tcPr>
          <w:p w14:paraId="2F20564D" w14:textId="77777777" w:rsidR="00020E37" w:rsidRPr="00ED6EDE" w:rsidRDefault="00020E37" w:rsidP="00D51B93">
            <w:pPr>
              <w:pStyle w:val="Tabletext"/>
              <w:keepNext/>
              <w:keepLines/>
              <w:widowControl w:val="0"/>
            </w:pPr>
            <w:r w:rsidRPr="00ED6EDE">
              <w:t>Deaths</w:t>
            </w:r>
          </w:p>
        </w:tc>
        <w:tc>
          <w:tcPr>
            <w:tcW w:w="2369" w:type="dxa"/>
            <w:gridSpan w:val="2"/>
            <w:vAlign w:val="center"/>
          </w:tcPr>
          <w:p w14:paraId="069B8C9C" w14:textId="77777777" w:rsidR="00020E37" w:rsidRPr="00ED6EDE" w:rsidRDefault="00020E37" w:rsidP="00D51B93">
            <w:pPr>
              <w:pStyle w:val="Tabletext"/>
              <w:keepNext/>
              <w:keepLines/>
              <w:widowControl w:val="0"/>
              <w:jc w:val="center"/>
            </w:pPr>
            <w:r w:rsidRPr="00ED6EDE">
              <w:t>6 (1.5)</w:t>
            </w:r>
          </w:p>
        </w:tc>
        <w:tc>
          <w:tcPr>
            <w:tcW w:w="1254" w:type="dxa"/>
            <w:vAlign w:val="center"/>
          </w:tcPr>
          <w:p w14:paraId="186DFED6" w14:textId="77777777" w:rsidR="00020E37" w:rsidRPr="00ED6EDE" w:rsidRDefault="00020E37" w:rsidP="00D51B93">
            <w:pPr>
              <w:pStyle w:val="Tabletext"/>
              <w:keepNext/>
              <w:keepLines/>
              <w:widowControl w:val="0"/>
              <w:jc w:val="center"/>
            </w:pPr>
            <w:r w:rsidRPr="00ED6EDE">
              <w:t>8 (2.1)</w:t>
            </w:r>
          </w:p>
        </w:tc>
        <w:tc>
          <w:tcPr>
            <w:tcW w:w="1360" w:type="dxa"/>
            <w:vAlign w:val="center"/>
          </w:tcPr>
          <w:p w14:paraId="4ED61A21" w14:textId="77777777" w:rsidR="00020E37" w:rsidRPr="00ED6EDE" w:rsidRDefault="00020E37" w:rsidP="00D51B93">
            <w:pPr>
              <w:pStyle w:val="Tabletext"/>
              <w:keepNext/>
              <w:keepLines/>
              <w:widowControl w:val="0"/>
              <w:jc w:val="center"/>
              <w:rPr>
                <w:iCs/>
              </w:rPr>
            </w:pPr>
            <w:r w:rsidRPr="00ED6EDE">
              <w:rPr>
                <w:iCs/>
              </w:rPr>
              <w:t>-0.01 (-0.02, 0.01)</w:t>
            </w:r>
          </w:p>
        </w:tc>
      </w:tr>
      <w:tr w:rsidR="00020E37" w:rsidRPr="00ED6EDE" w14:paraId="059E69ED" w14:textId="77777777" w:rsidTr="00A22612">
        <w:trPr>
          <w:trHeight w:val="83"/>
        </w:trPr>
        <w:tc>
          <w:tcPr>
            <w:tcW w:w="7657" w:type="dxa"/>
            <w:gridSpan w:val="5"/>
            <w:vAlign w:val="center"/>
          </w:tcPr>
          <w:p w14:paraId="71B00415" w14:textId="77777777" w:rsidR="00020E37" w:rsidRPr="00ED6EDE" w:rsidRDefault="00020E37" w:rsidP="00D51B93">
            <w:pPr>
              <w:pStyle w:val="Tabletext"/>
              <w:keepNext/>
              <w:keepLines/>
              <w:widowControl w:val="0"/>
            </w:pPr>
            <w:r w:rsidRPr="00ED6EDE">
              <w:t>TEAEs leading to study drug adjustment</w:t>
            </w:r>
          </w:p>
        </w:tc>
        <w:tc>
          <w:tcPr>
            <w:tcW w:w="1360" w:type="dxa"/>
          </w:tcPr>
          <w:p w14:paraId="08998C0C" w14:textId="77777777" w:rsidR="00020E37" w:rsidRPr="00ED6EDE" w:rsidRDefault="00020E37" w:rsidP="00D51B93">
            <w:pPr>
              <w:pStyle w:val="Tabletext"/>
              <w:keepNext/>
              <w:keepLines/>
              <w:widowControl w:val="0"/>
              <w:jc w:val="center"/>
              <w:rPr>
                <w:rFonts w:eastAsia="Calibri"/>
                <w:iCs/>
              </w:rPr>
            </w:pPr>
          </w:p>
        </w:tc>
      </w:tr>
      <w:tr w:rsidR="00020E37" w:rsidRPr="00ED6EDE" w14:paraId="48F54488" w14:textId="77777777" w:rsidTr="00A22612">
        <w:trPr>
          <w:trHeight w:val="167"/>
        </w:trPr>
        <w:tc>
          <w:tcPr>
            <w:tcW w:w="4034" w:type="dxa"/>
            <w:gridSpan w:val="2"/>
            <w:vAlign w:val="center"/>
          </w:tcPr>
          <w:p w14:paraId="29525A1A" w14:textId="77777777" w:rsidR="00020E37" w:rsidRPr="00ED6EDE" w:rsidRDefault="00020E37" w:rsidP="00D51B93">
            <w:pPr>
              <w:pStyle w:val="Tabletext"/>
              <w:keepNext/>
              <w:keepLines/>
              <w:widowControl w:val="0"/>
            </w:pPr>
            <w:r w:rsidRPr="00ED6EDE">
              <w:t>TEAEs leading to study drug interruption</w:t>
            </w:r>
          </w:p>
        </w:tc>
        <w:tc>
          <w:tcPr>
            <w:tcW w:w="2369" w:type="dxa"/>
            <w:gridSpan w:val="2"/>
            <w:vAlign w:val="center"/>
          </w:tcPr>
          <w:p w14:paraId="57576957" w14:textId="77777777" w:rsidR="00020E37" w:rsidRPr="00ED6EDE" w:rsidRDefault="00020E37" w:rsidP="00D51B93">
            <w:pPr>
              <w:pStyle w:val="Tabletext"/>
              <w:keepNext/>
              <w:keepLines/>
              <w:widowControl w:val="0"/>
              <w:jc w:val="center"/>
            </w:pPr>
            <w:r w:rsidRPr="00ED6EDE">
              <w:t>281 (69.2)</w:t>
            </w:r>
          </w:p>
        </w:tc>
        <w:tc>
          <w:tcPr>
            <w:tcW w:w="1254" w:type="dxa"/>
            <w:vAlign w:val="center"/>
          </w:tcPr>
          <w:p w14:paraId="4F711CE6" w14:textId="77777777" w:rsidR="00020E37" w:rsidRPr="00ED6EDE" w:rsidRDefault="00020E37" w:rsidP="00D51B93">
            <w:pPr>
              <w:pStyle w:val="Tabletext"/>
              <w:keepNext/>
              <w:keepLines/>
              <w:widowControl w:val="0"/>
              <w:jc w:val="center"/>
            </w:pPr>
            <w:r w:rsidRPr="00ED6EDE">
              <w:t>105 (27.1)</w:t>
            </w:r>
          </w:p>
        </w:tc>
        <w:tc>
          <w:tcPr>
            <w:tcW w:w="1360" w:type="dxa"/>
            <w:vAlign w:val="center"/>
          </w:tcPr>
          <w:p w14:paraId="416E8BC8" w14:textId="77777777" w:rsidR="00020E37" w:rsidRPr="00ED6EDE" w:rsidRDefault="00020E37" w:rsidP="00D51B93">
            <w:pPr>
              <w:pStyle w:val="Tabletext"/>
              <w:keepNext/>
              <w:keepLines/>
              <w:widowControl w:val="0"/>
              <w:jc w:val="center"/>
              <w:rPr>
                <w:rFonts w:eastAsia="Calibri"/>
                <w:iCs/>
              </w:rPr>
            </w:pPr>
            <w:r w:rsidRPr="00ED6EDE">
              <w:rPr>
                <w:rFonts w:eastAsia="Calibri"/>
                <w:iCs/>
              </w:rPr>
              <w:t>0.42 (0.36, 0.48)</w:t>
            </w:r>
          </w:p>
        </w:tc>
      </w:tr>
      <w:tr w:rsidR="00020E37" w:rsidRPr="00ED6EDE" w14:paraId="6A3ABCD1" w14:textId="77777777" w:rsidTr="00A22612">
        <w:trPr>
          <w:trHeight w:val="193"/>
        </w:trPr>
        <w:tc>
          <w:tcPr>
            <w:tcW w:w="4034" w:type="dxa"/>
            <w:gridSpan w:val="2"/>
            <w:vMerge w:val="restart"/>
            <w:vAlign w:val="center"/>
          </w:tcPr>
          <w:p w14:paraId="0452FD30" w14:textId="77777777" w:rsidR="00020E37" w:rsidRPr="00ED6EDE" w:rsidRDefault="00020E37" w:rsidP="00D51B93">
            <w:pPr>
              <w:pStyle w:val="Tabletext"/>
              <w:keepNext/>
              <w:keepLines/>
              <w:widowControl w:val="0"/>
            </w:pPr>
          </w:p>
        </w:tc>
        <w:tc>
          <w:tcPr>
            <w:tcW w:w="1115" w:type="dxa"/>
            <w:vAlign w:val="center"/>
          </w:tcPr>
          <w:p w14:paraId="7EC7BD80" w14:textId="77777777" w:rsidR="00020E37" w:rsidRPr="00ED6EDE" w:rsidRDefault="00020E37" w:rsidP="00D51B93">
            <w:pPr>
              <w:pStyle w:val="Tabletext"/>
              <w:keepNext/>
              <w:keepLines/>
              <w:widowControl w:val="0"/>
              <w:jc w:val="center"/>
            </w:pPr>
            <w:proofErr w:type="spellStart"/>
            <w:r w:rsidRPr="00ED6EDE">
              <w:t>Lenva</w:t>
            </w:r>
            <w:proofErr w:type="spellEnd"/>
            <w:r w:rsidRPr="00ED6EDE">
              <w:t xml:space="preserve"> + Pembro</w:t>
            </w:r>
          </w:p>
        </w:tc>
        <w:tc>
          <w:tcPr>
            <w:tcW w:w="1254" w:type="dxa"/>
            <w:vAlign w:val="center"/>
          </w:tcPr>
          <w:p w14:paraId="4FBDD800" w14:textId="77777777" w:rsidR="00020E37" w:rsidRPr="00ED6EDE" w:rsidRDefault="00020E37" w:rsidP="00D51B93">
            <w:pPr>
              <w:pStyle w:val="Tabletext"/>
              <w:keepNext/>
              <w:keepLines/>
              <w:widowControl w:val="0"/>
              <w:jc w:val="center"/>
            </w:pPr>
            <w:r w:rsidRPr="00ED6EDE">
              <w:t>125 (30.8)</w:t>
            </w:r>
          </w:p>
        </w:tc>
        <w:tc>
          <w:tcPr>
            <w:tcW w:w="1254" w:type="dxa"/>
            <w:vMerge w:val="restart"/>
            <w:vAlign w:val="center"/>
          </w:tcPr>
          <w:p w14:paraId="4114659F" w14:textId="77777777" w:rsidR="00020E37" w:rsidRPr="00ED6EDE" w:rsidRDefault="00020E37" w:rsidP="00D51B93">
            <w:pPr>
              <w:pStyle w:val="Tabletext"/>
              <w:keepNext/>
              <w:keepLines/>
              <w:widowControl w:val="0"/>
              <w:jc w:val="center"/>
            </w:pPr>
            <w:proofErr w:type="spellStart"/>
            <w:r w:rsidRPr="00ED6EDE">
              <w:t>NA</w:t>
            </w:r>
            <w:r w:rsidRPr="00ED6EDE">
              <w:rPr>
                <w:vertAlign w:val="superscript"/>
              </w:rPr>
              <w:t>b</w:t>
            </w:r>
            <w:proofErr w:type="spellEnd"/>
          </w:p>
        </w:tc>
        <w:tc>
          <w:tcPr>
            <w:tcW w:w="1360" w:type="dxa"/>
            <w:vMerge w:val="restart"/>
            <w:vAlign w:val="center"/>
          </w:tcPr>
          <w:p w14:paraId="468B54A3" w14:textId="77777777" w:rsidR="00020E37" w:rsidRPr="00ED6EDE" w:rsidRDefault="00020E37" w:rsidP="00D51B93">
            <w:pPr>
              <w:pStyle w:val="Tabletext"/>
              <w:keepNext/>
              <w:keepLines/>
              <w:widowControl w:val="0"/>
              <w:jc w:val="center"/>
              <w:rPr>
                <w:rFonts w:eastAsia="Calibri"/>
                <w:iCs/>
              </w:rPr>
            </w:pPr>
            <w:r w:rsidRPr="00ED6EDE">
              <w:rPr>
                <w:rFonts w:eastAsia="Calibri"/>
                <w:iCs/>
              </w:rPr>
              <w:t>-</w:t>
            </w:r>
          </w:p>
        </w:tc>
      </w:tr>
      <w:tr w:rsidR="00020E37" w:rsidRPr="00ED6EDE" w14:paraId="1D6B9F45" w14:textId="77777777" w:rsidTr="00A22612">
        <w:trPr>
          <w:trHeight w:val="131"/>
        </w:trPr>
        <w:tc>
          <w:tcPr>
            <w:tcW w:w="4034" w:type="dxa"/>
            <w:gridSpan w:val="2"/>
            <w:vMerge/>
            <w:vAlign w:val="center"/>
          </w:tcPr>
          <w:p w14:paraId="6A6A8254" w14:textId="77777777" w:rsidR="00020E37" w:rsidRPr="00ED6EDE" w:rsidRDefault="00020E37" w:rsidP="00D51B93">
            <w:pPr>
              <w:pStyle w:val="Tabletext"/>
              <w:keepNext/>
              <w:keepLines/>
              <w:widowControl w:val="0"/>
            </w:pPr>
          </w:p>
        </w:tc>
        <w:tc>
          <w:tcPr>
            <w:tcW w:w="1115" w:type="dxa"/>
            <w:vAlign w:val="center"/>
          </w:tcPr>
          <w:p w14:paraId="1316B9A5" w14:textId="77777777" w:rsidR="00020E37" w:rsidRPr="00ED6EDE" w:rsidRDefault="00020E37" w:rsidP="00D51B93">
            <w:pPr>
              <w:pStyle w:val="Tabletext"/>
              <w:keepNext/>
              <w:keepLines/>
              <w:widowControl w:val="0"/>
              <w:jc w:val="center"/>
            </w:pPr>
            <w:proofErr w:type="spellStart"/>
            <w:r w:rsidRPr="00ED6EDE">
              <w:t>Lenva</w:t>
            </w:r>
            <w:proofErr w:type="spellEnd"/>
          </w:p>
        </w:tc>
        <w:tc>
          <w:tcPr>
            <w:tcW w:w="1254" w:type="dxa"/>
            <w:vAlign w:val="center"/>
          </w:tcPr>
          <w:p w14:paraId="69DC9C59" w14:textId="77777777" w:rsidR="00020E37" w:rsidRPr="00ED6EDE" w:rsidRDefault="00020E37" w:rsidP="00D51B93">
            <w:pPr>
              <w:pStyle w:val="Tabletext"/>
              <w:keepNext/>
              <w:keepLines/>
              <w:widowControl w:val="0"/>
              <w:jc w:val="center"/>
            </w:pPr>
            <w:r w:rsidRPr="00ED6EDE">
              <w:t>238 (58.6)</w:t>
            </w:r>
          </w:p>
        </w:tc>
        <w:tc>
          <w:tcPr>
            <w:tcW w:w="1254" w:type="dxa"/>
            <w:vMerge/>
            <w:vAlign w:val="center"/>
          </w:tcPr>
          <w:p w14:paraId="4F66DF05" w14:textId="77777777" w:rsidR="00020E37" w:rsidRPr="00ED6EDE" w:rsidRDefault="00020E37" w:rsidP="00D51B93">
            <w:pPr>
              <w:pStyle w:val="Tabletext"/>
              <w:keepNext/>
              <w:keepLines/>
              <w:widowControl w:val="0"/>
              <w:jc w:val="center"/>
            </w:pPr>
          </w:p>
        </w:tc>
        <w:tc>
          <w:tcPr>
            <w:tcW w:w="1360" w:type="dxa"/>
            <w:vMerge/>
            <w:vAlign w:val="center"/>
          </w:tcPr>
          <w:p w14:paraId="388690BE" w14:textId="77777777" w:rsidR="00020E37" w:rsidRPr="00ED6EDE" w:rsidRDefault="00020E37" w:rsidP="00D51B93">
            <w:pPr>
              <w:pStyle w:val="Tabletext"/>
              <w:keepNext/>
              <w:keepLines/>
              <w:widowControl w:val="0"/>
              <w:jc w:val="center"/>
              <w:rPr>
                <w:rFonts w:eastAsia="Calibri"/>
                <w:iCs/>
              </w:rPr>
            </w:pPr>
          </w:p>
        </w:tc>
      </w:tr>
      <w:tr w:rsidR="00020E37" w:rsidRPr="00ED6EDE" w14:paraId="24995849" w14:textId="77777777" w:rsidTr="00A22612">
        <w:trPr>
          <w:trHeight w:val="105"/>
        </w:trPr>
        <w:tc>
          <w:tcPr>
            <w:tcW w:w="4034" w:type="dxa"/>
            <w:gridSpan w:val="2"/>
            <w:vMerge/>
            <w:vAlign w:val="center"/>
          </w:tcPr>
          <w:p w14:paraId="44C9D02A" w14:textId="77777777" w:rsidR="00020E37" w:rsidRPr="00ED6EDE" w:rsidRDefault="00020E37" w:rsidP="00D51B93">
            <w:pPr>
              <w:pStyle w:val="Tabletext"/>
              <w:keepNext/>
              <w:keepLines/>
              <w:widowControl w:val="0"/>
            </w:pPr>
          </w:p>
        </w:tc>
        <w:tc>
          <w:tcPr>
            <w:tcW w:w="1115" w:type="dxa"/>
            <w:vAlign w:val="center"/>
          </w:tcPr>
          <w:p w14:paraId="0D43BAA5" w14:textId="77777777" w:rsidR="00020E37" w:rsidRPr="00ED6EDE" w:rsidRDefault="00020E37" w:rsidP="00D51B93">
            <w:pPr>
              <w:pStyle w:val="Tabletext"/>
              <w:keepNext/>
              <w:keepLines/>
              <w:widowControl w:val="0"/>
              <w:jc w:val="center"/>
            </w:pPr>
            <w:r w:rsidRPr="00ED6EDE">
              <w:t>Pembro</w:t>
            </w:r>
          </w:p>
        </w:tc>
        <w:tc>
          <w:tcPr>
            <w:tcW w:w="1254" w:type="dxa"/>
            <w:vAlign w:val="center"/>
          </w:tcPr>
          <w:p w14:paraId="7A5C082E" w14:textId="77777777" w:rsidR="00020E37" w:rsidRPr="00ED6EDE" w:rsidRDefault="00020E37" w:rsidP="00D51B93">
            <w:pPr>
              <w:pStyle w:val="Tabletext"/>
              <w:keepNext/>
              <w:keepLines/>
              <w:widowControl w:val="0"/>
              <w:jc w:val="center"/>
            </w:pPr>
            <w:r w:rsidRPr="00ED6EDE">
              <w:t>203 (50.0)</w:t>
            </w:r>
          </w:p>
        </w:tc>
        <w:tc>
          <w:tcPr>
            <w:tcW w:w="1254" w:type="dxa"/>
            <w:vMerge/>
            <w:vAlign w:val="center"/>
          </w:tcPr>
          <w:p w14:paraId="37B2CE6A" w14:textId="77777777" w:rsidR="00020E37" w:rsidRPr="00ED6EDE" w:rsidRDefault="00020E37" w:rsidP="00D51B93">
            <w:pPr>
              <w:pStyle w:val="Tabletext"/>
              <w:keepNext/>
              <w:keepLines/>
              <w:widowControl w:val="0"/>
              <w:jc w:val="center"/>
            </w:pPr>
          </w:p>
        </w:tc>
        <w:tc>
          <w:tcPr>
            <w:tcW w:w="1360" w:type="dxa"/>
            <w:vMerge/>
            <w:vAlign w:val="center"/>
          </w:tcPr>
          <w:p w14:paraId="61A57C2B" w14:textId="77777777" w:rsidR="00020E37" w:rsidRPr="00ED6EDE" w:rsidRDefault="00020E37" w:rsidP="00D51B93">
            <w:pPr>
              <w:pStyle w:val="Tabletext"/>
              <w:keepNext/>
              <w:keepLines/>
              <w:widowControl w:val="0"/>
              <w:jc w:val="center"/>
              <w:rPr>
                <w:rFonts w:eastAsia="Calibri"/>
                <w:iCs/>
              </w:rPr>
            </w:pPr>
          </w:p>
        </w:tc>
      </w:tr>
      <w:tr w:rsidR="00020E37" w:rsidRPr="00ED6EDE" w14:paraId="60257537" w14:textId="77777777" w:rsidTr="00A22612">
        <w:trPr>
          <w:trHeight w:val="167"/>
        </w:trPr>
        <w:tc>
          <w:tcPr>
            <w:tcW w:w="4034" w:type="dxa"/>
            <w:gridSpan w:val="2"/>
            <w:vAlign w:val="center"/>
          </w:tcPr>
          <w:p w14:paraId="29DCBA1E" w14:textId="77777777" w:rsidR="00020E37" w:rsidRPr="00ED6EDE" w:rsidRDefault="00020E37" w:rsidP="00D51B93">
            <w:pPr>
              <w:pStyle w:val="Tabletext"/>
              <w:keepNext/>
              <w:keepLines/>
              <w:widowControl w:val="0"/>
            </w:pPr>
            <w:r w:rsidRPr="00ED6EDE">
              <w:t>TEAEs leading to study drug reduction</w:t>
            </w:r>
          </w:p>
        </w:tc>
        <w:tc>
          <w:tcPr>
            <w:tcW w:w="2369" w:type="dxa"/>
            <w:gridSpan w:val="2"/>
            <w:vAlign w:val="center"/>
          </w:tcPr>
          <w:p w14:paraId="13DCE353" w14:textId="77777777" w:rsidR="00020E37" w:rsidRPr="00ED6EDE" w:rsidRDefault="00020E37" w:rsidP="00D51B93">
            <w:pPr>
              <w:pStyle w:val="Tabletext"/>
              <w:keepNext/>
              <w:keepLines/>
              <w:widowControl w:val="0"/>
              <w:jc w:val="center"/>
            </w:pPr>
            <w:r w:rsidRPr="00ED6EDE">
              <w:t>270 (66.5)</w:t>
            </w:r>
          </w:p>
        </w:tc>
        <w:tc>
          <w:tcPr>
            <w:tcW w:w="1254" w:type="dxa"/>
            <w:vAlign w:val="center"/>
          </w:tcPr>
          <w:p w14:paraId="1C099323" w14:textId="77777777" w:rsidR="00020E37" w:rsidRPr="00ED6EDE" w:rsidRDefault="00020E37" w:rsidP="00D51B93">
            <w:pPr>
              <w:pStyle w:val="Tabletext"/>
              <w:keepNext/>
              <w:keepLines/>
              <w:widowControl w:val="0"/>
              <w:jc w:val="center"/>
            </w:pPr>
            <w:r w:rsidRPr="00ED6EDE">
              <w:t>50 (12.9)</w:t>
            </w:r>
          </w:p>
        </w:tc>
        <w:tc>
          <w:tcPr>
            <w:tcW w:w="1360" w:type="dxa"/>
            <w:vAlign w:val="center"/>
          </w:tcPr>
          <w:p w14:paraId="365E7118" w14:textId="77777777" w:rsidR="00020E37" w:rsidRPr="00ED6EDE" w:rsidRDefault="00020E37" w:rsidP="00D51B93">
            <w:pPr>
              <w:pStyle w:val="Tabletext"/>
              <w:keepNext/>
              <w:keepLines/>
              <w:widowControl w:val="0"/>
              <w:jc w:val="center"/>
              <w:rPr>
                <w:rFonts w:eastAsia="Calibri"/>
                <w:iCs/>
              </w:rPr>
            </w:pPr>
            <w:r w:rsidRPr="00ED6EDE">
              <w:rPr>
                <w:rFonts w:eastAsia="Calibri"/>
                <w:iCs/>
              </w:rPr>
              <w:t>0.54 (0.48, 0.59)</w:t>
            </w:r>
          </w:p>
        </w:tc>
      </w:tr>
      <w:tr w:rsidR="00020E37" w:rsidRPr="00ED6EDE" w14:paraId="673C17E5" w14:textId="77777777" w:rsidTr="00A22612">
        <w:trPr>
          <w:trHeight w:val="193"/>
        </w:trPr>
        <w:tc>
          <w:tcPr>
            <w:tcW w:w="4034" w:type="dxa"/>
            <w:gridSpan w:val="2"/>
            <w:vMerge w:val="restart"/>
            <w:vAlign w:val="center"/>
          </w:tcPr>
          <w:p w14:paraId="180EB479" w14:textId="77777777" w:rsidR="00020E37" w:rsidRPr="00ED6EDE" w:rsidRDefault="00020E37" w:rsidP="00D51B93">
            <w:pPr>
              <w:pStyle w:val="Tabletext"/>
              <w:keepNext/>
              <w:keepLines/>
              <w:widowControl w:val="0"/>
            </w:pPr>
          </w:p>
        </w:tc>
        <w:tc>
          <w:tcPr>
            <w:tcW w:w="1115" w:type="dxa"/>
            <w:vAlign w:val="center"/>
          </w:tcPr>
          <w:p w14:paraId="072E323E" w14:textId="77777777" w:rsidR="00020E37" w:rsidRPr="00ED6EDE" w:rsidRDefault="00020E37" w:rsidP="00D51B93">
            <w:pPr>
              <w:pStyle w:val="Tabletext"/>
              <w:keepNext/>
              <w:keepLines/>
              <w:widowControl w:val="0"/>
              <w:jc w:val="center"/>
            </w:pPr>
            <w:proofErr w:type="spellStart"/>
            <w:r w:rsidRPr="00ED6EDE">
              <w:t>Lenva</w:t>
            </w:r>
            <w:proofErr w:type="spellEnd"/>
            <w:r w:rsidRPr="00ED6EDE">
              <w:t xml:space="preserve"> + Pembro</w:t>
            </w:r>
          </w:p>
        </w:tc>
        <w:tc>
          <w:tcPr>
            <w:tcW w:w="1254" w:type="dxa"/>
            <w:vAlign w:val="center"/>
          </w:tcPr>
          <w:p w14:paraId="124A356A" w14:textId="77777777" w:rsidR="00020E37" w:rsidRPr="00ED6EDE" w:rsidRDefault="00020E37" w:rsidP="00D51B93">
            <w:pPr>
              <w:pStyle w:val="Tabletext"/>
              <w:keepNext/>
              <w:keepLines/>
              <w:widowControl w:val="0"/>
              <w:jc w:val="center"/>
            </w:pPr>
            <w:r w:rsidRPr="00ED6EDE">
              <w:t>N/A</w:t>
            </w:r>
          </w:p>
        </w:tc>
        <w:tc>
          <w:tcPr>
            <w:tcW w:w="1254" w:type="dxa"/>
            <w:vMerge w:val="restart"/>
            <w:vAlign w:val="center"/>
          </w:tcPr>
          <w:p w14:paraId="43EFE286" w14:textId="77777777" w:rsidR="00020E37" w:rsidRPr="00ED6EDE" w:rsidRDefault="00020E37" w:rsidP="00D51B93">
            <w:pPr>
              <w:pStyle w:val="Tabletext"/>
              <w:keepNext/>
              <w:keepLines/>
              <w:widowControl w:val="0"/>
              <w:jc w:val="center"/>
            </w:pPr>
            <w:proofErr w:type="spellStart"/>
            <w:r w:rsidRPr="00ED6EDE">
              <w:t>NA</w:t>
            </w:r>
            <w:r w:rsidRPr="00ED6EDE">
              <w:rPr>
                <w:vertAlign w:val="superscript"/>
              </w:rPr>
              <w:t>b</w:t>
            </w:r>
            <w:proofErr w:type="spellEnd"/>
          </w:p>
        </w:tc>
        <w:tc>
          <w:tcPr>
            <w:tcW w:w="1360" w:type="dxa"/>
            <w:vMerge w:val="restart"/>
            <w:vAlign w:val="center"/>
          </w:tcPr>
          <w:p w14:paraId="64D1FF4D" w14:textId="77777777" w:rsidR="00020E37" w:rsidRPr="00ED6EDE" w:rsidRDefault="00020E37" w:rsidP="00D51B93">
            <w:pPr>
              <w:pStyle w:val="Tabletext"/>
              <w:keepNext/>
              <w:keepLines/>
              <w:widowControl w:val="0"/>
              <w:jc w:val="center"/>
              <w:rPr>
                <w:rFonts w:eastAsia="Calibri"/>
                <w:iCs/>
              </w:rPr>
            </w:pPr>
            <w:r w:rsidRPr="00ED6EDE">
              <w:rPr>
                <w:rFonts w:eastAsia="Calibri"/>
                <w:iCs/>
              </w:rPr>
              <w:t>-</w:t>
            </w:r>
          </w:p>
        </w:tc>
      </w:tr>
      <w:tr w:rsidR="00020E37" w:rsidRPr="00ED6EDE" w14:paraId="6EC3D5C6" w14:textId="77777777" w:rsidTr="00A22612">
        <w:trPr>
          <w:trHeight w:val="131"/>
        </w:trPr>
        <w:tc>
          <w:tcPr>
            <w:tcW w:w="4034" w:type="dxa"/>
            <w:gridSpan w:val="2"/>
            <w:vMerge/>
            <w:vAlign w:val="center"/>
          </w:tcPr>
          <w:p w14:paraId="076D8DC0" w14:textId="77777777" w:rsidR="00020E37" w:rsidRPr="00ED6EDE" w:rsidRDefault="00020E37" w:rsidP="00D51B93">
            <w:pPr>
              <w:pStyle w:val="Tabletext"/>
              <w:keepNext/>
              <w:keepLines/>
              <w:widowControl w:val="0"/>
            </w:pPr>
          </w:p>
        </w:tc>
        <w:tc>
          <w:tcPr>
            <w:tcW w:w="1115" w:type="dxa"/>
            <w:vAlign w:val="center"/>
          </w:tcPr>
          <w:p w14:paraId="10E3C543" w14:textId="77777777" w:rsidR="00020E37" w:rsidRPr="00ED6EDE" w:rsidRDefault="00020E37" w:rsidP="00D51B93">
            <w:pPr>
              <w:pStyle w:val="Tabletext"/>
              <w:keepNext/>
              <w:keepLines/>
              <w:widowControl w:val="0"/>
              <w:jc w:val="center"/>
            </w:pPr>
            <w:proofErr w:type="spellStart"/>
            <w:r w:rsidRPr="00ED6EDE">
              <w:t>Lenva</w:t>
            </w:r>
            <w:proofErr w:type="spellEnd"/>
          </w:p>
        </w:tc>
        <w:tc>
          <w:tcPr>
            <w:tcW w:w="1254" w:type="dxa"/>
            <w:vAlign w:val="center"/>
          </w:tcPr>
          <w:p w14:paraId="0D134BE6" w14:textId="77777777" w:rsidR="00020E37" w:rsidRPr="00ED6EDE" w:rsidRDefault="00020E37" w:rsidP="00D51B93">
            <w:pPr>
              <w:pStyle w:val="Tabletext"/>
              <w:keepNext/>
              <w:keepLines/>
              <w:widowControl w:val="0"/>
              <w:jc w:val="center"/>
            </w:pPr>
            <w:r w:rsidRPr="00ED6EDE">
              <w:t>270 (66.5)</w:t>
            </w:r>
          </w:p>
        </w:tc>
        <w:tc>
          <w:tcPr>
            <w:tcW w:w="1254" w:type="dxa"/>
            <w:vMerge/>
            <w:vAlign w:val="center"/>
          </w:tcPr>
          <w:p w14:paraId="38535EA4" w14:textId="77777777" w:rsidR="00020E37" w:rsidRPr="00ED6EDE" w:rsidRDefault="00020E37" w:rsidP="00D51B93">
            <w:pPr>
              <w:pStyle w:val="Tabletext"/>
              <w:keepNext/>
              <w:keepLines/>
              <w:widowControl w:val="0"/>
              <w:jc w:val="center"/>
            </w:pPr>
          </w:p>
        </w:tc>
        <w:tc>
          <w:tcPr>
            <w:tcW w:w="1360" w:type="dxa"/>
            <w:vMerge/>
            <w:vAlign w:val="center"/>
          </w:tcPr>
          <w:p w14:paraId="71629A3C" w14:textId="77777777" w:rsidR="00020E37" w:rsidRPr="00ED6EDE" w:rsidRDefault="00020E37" w:rsidP="00D51B93">
            <w:pPr>
              <w:pStyle w:val="Tabletext"/>
              <w:keepNext/>
              <w:keepLines/>
              <w:widowControl w:val="0"/>
              <w:jc w:val="center"/>
              <w:rPr>
                <w:rFonts w:eastAsia="Calibri"/>
                <w:iCs/>
              </w:rPr>
            </w:pPr>
          </w:p>
        </w:tc>
      </w:tr>
      <w:tr w:rsidR="00020E37" w:rsidRPr="00ED6EDE" w14:paraId="689DDC75" w14:textId="77777777" w:rsidTr="00A22612">
        <w:trPr>
          <w:trHeight w:val="105"/>
        </w:trPr>
        <w:tc>
          <w:tcPr>
            <w:tcW w:w="4034" w:type="dxa"/>
            <w:gridSpan w:val="2"/>
            <w:vMerge/>
            <w:vAlign w:val="center"/>
          </w:tcPr>
          <w:p w14:paraId="69ECEF02" w14:textId="77777777" w:rsidR="00020E37" w:rsidRPr="00ED6EDE" w:rsidRDefault="00020E37" w:rsidP="00D51B93">
            <w:pPr>
              <w:pStyle w:val="Tabletext"/>
              <w:keepNext/>
              <w:keepLines/>
              <w:widowControl w:val="0"/>
            </w:pPr>
          </w:p>
        </w:tc>
        <w:tc>
          <w:tcPr>
            <w:tcW w:w="1115" w:type="dxa"/>
            <w:vAlign w:val="center"/>
          </w:tcPr>
          <w:p w14:paraId="419A1716" w14:textId="77777777" w:rsidR="00020E37" w:rsidRPr="00ED6EDE" w:rsidRDefault="00020E37" w:rsidP="00D51B93">
            <w:pPr>
              <w:pStyle w:val="Tabletext"/>
              <w:keepNext/>
              <w:keepLines/>
              <w:widowControl w:val="0"/>
              <w:jc w:val="center"/>
            </w:pPr>
            <w:r w:rsidRPr="00ED6EDE">
              <w:t>Pembro</w:t>
            </w:r>
          </w:p>
        </w:tc>
        <w:tc>
          <w:tcPr>
            <w:tcW w:w="1254" w:type="dxa"/>
            <w:vAlign w:val="center"/>
          </w:tcPr>
          <w:p w14:paraId="4F748E65" w14:textId="77777777" w:rsidR="00020E37" w:rsidRPr="00ED6EDE" w:rsidRDefault="00020E37" w:rsidP="00D51B93">
            <w:pPr>
              <w:pStyle w:val="Tabletext"/>
              <w:keepNext/>
              <w:keepLines/>
              <w:widowControl w:val="0"/>
              <w:jc w:val="center"/>
            </w:pPr>
            <w:r w:rsidRPr="00ED6EDE">
              <w:t>N/A</w:t>
            </w:r>
          </w:p>
        </w:tc>
        <w:tc>
          <w:tcPr>
            <w:tcW w:w="1254" w:type="dxa"/>
            <w:vMerge/>
            <w:vAlign w:val="center"/>
          </w:tcPr>
          <w:p w14:paraId="458785A5" w14:textId="77777777" w:rsidR="00020E37" w:rsidRPr="00ED6EDE" w:rsidRDefault="00020E37" w:rsidP="00D51B93">
            <w:pPr>
              <w:pStyle w:val="Tabletext"/>
              <w:keepNext/>
              <w:keepLines/>
              <w:widowControl w:val="0"/>
              <w:jc w:val="center"/>
            </w:pPr>
          </w:p>
        </w:tc>
        <w:tc>
          <w:tcPr>
            <w:tcW w:w="1360" w:type="dxa"/>
            <w:vMerge/>
            <w:vAlign w:val="center"/>
          </w:tcPr>
          <w:p w14:paraId="7B1ED352" w14:textId="77777777" w:rsidR="00020E37" w:rsidRPr="00ED6EDE" w:rsidRDefault="00020E37" w:rsidP="00D51B93">
            <w:pPr>
              <w:pStyle w:val="Tabletext"/>
              <w:keepNext/>
              <w:keepLines/>
              <w:widowControl w:val="0"/>
              <w:jc w:val="center"/>
              <w:rPr>
                <w:rFonts w:eastAsia="Calibri"/>
                <w:iCs/>
              </w:rPr>
            </w:pPr>
          </w:p>
        </w:tc>
      </w:tr>
      <w:tr w:rsidR="00020E37" w:rsidRPr="00ED6EDE" w14:paraId="085FD329" w14:textId="77777777" w:rsidTr="00A22612">
        <w:trPr>
          <w:trHeight w:val="205"/>
        </w:trPr>
        <w:tc>
          <w:tcPr>
            <w:tcW w:w="4034" w:type="dxa"/>
            <w:gridSpan w:val="2"/>
            <w:vAlign w:val="center"/>
          </w:tcPr>
          <w:p w14:paraId="0B1F7576" w14:textId="77777777" w:rsidR="00020E37" w:rsidRPr="00ED6EDE" w:rsidRDefault="00020E37" w:rsidP="00D51B93">
            <w:pPr>
              <w:pStyle w:val="Tabletext"/>
              <w:keepNext/>
              <w:keepLines/>
              <w:widowControl w:val="0"/>
            </w:pPr>
            <w:r w:rsidRPr="00ED6EDE">
              <w:t>TEAEs leading to study drug withdrawal/discontinuation</w:t>
            </w:r>
          </w:p>
        </w:tc>
        <w:tc>
          <w:tcPr>
            <w:tcW w:w="2369" w:type="dxa"/>
            <w:gridSpan w:val="2"/>
            <w:vAlign w:val="center"/>
          </w:tcPr>
          <w:p w14:paraId="50E9D422" w14:textId="77777777" w:rsidR="00020E37" w:rsidRPr="00ED6EDE" w:rsidRDefault="00020E37" w:rsidP="00D51B93">
            <w:pPr>
              <w:pStyle w:val="Tabletext"/>
              <w:keepNext/>
              <w:keepLines/>
              <w:widowControl w:val="0"/>
              <w:jc w:val="center"/>
            </w:pPr>
            <w:r w:rsidRPr="00ED6EDE">
              <w:t>134 (33.0)</w:t>
            </w:r>
          </w:p>
        </w:tc>
        <w:tc>
          <w:tcPr>
            <w:tcW w:w="1254" w:type="dxa"/>
            <w:vAlign w:val="center"/>
          </w:tcPr>
          <w:p w14:paraId="357BF2E5" w14:textId="77777777" w:rsidR="00020E37" w:rsidRPr="00ED6EDE" w:rsidRDefault="00020E37" w:rsidP="00D51B93">
            <w:pPr>
              <w:pStyle w:val="Tabletext"/>
              <w:keepNext/>
              <w:keepLines/>
              <w:widowControl w:val="0"/>
              <w:jc w:val="center"/>
            </w:pPr>
            <w:r w:rsidRPr="00ED6EDE">
              <w:t>31 (8.0)</w:t>
            </w:r>
          </w:p>
        </w:tc>
        <w:tc>
          <w:tcPr>
            <w:tcW w:w="1360" w:type="dxa"/>
            <w:vAlign w:val="center"/>
          </w:tcPr>
          <w:p w14:paraId="6F220D29" w14:textId="77777777" w:rsidR="00020E37" w:rsidRPr="00ED6EDE" w:rsidRDefault="00020E37" w:rsidP="00D51B93">
            <w:pPr>
              <w:pStyle w:val="Tabletext"/>
              <w:keepNext/>
              <w:keepLines/>
              <w:widowControl w:val="0"/>
              <w:jc w:val="center"/>
              <w:rPr>
                <w:rFonts w:eastAsia="Calibri"/>
                <w:iCs/>
              </w:rPr>
            </w:pPr>
            <w:r w:rsidRPr="00ED6EDE">
              <w:rPr>
                <w:rFonts w:eastAsia="Calibri"/>
                <w:iCs/>
              </w:rPr>
              <w:t>0.25 (0.2, 0.3)</w:t>
            </w:r>
          </w:p>
        </w:tc>
      </w:tr>
      <w:tr w:rsidR="00020E37" w:rsidRPr="00ED6EDE" w14:paraId="35781F16" w14:textId="77777777" w:rsidTr="00A22612">
        <w:trPr>
          <w:trHeight w:val="159"/>
        </w:trPr>
        <w:tc>
          <w:tcPr>
            <w:tcW w:w="4034" w:type="dxa"/>
            <w:gridSpan w:val="2"/>
            <w:vMerge w:val="restart"/>
            <w:vAlign w:val="center"/>
          </w:tcPr>
          <w:p w14:paraId="5F3489B5" w14:textId="77777777" w:rsidR="00020E37" w:rsidRPr="00ED6EDE" w:rsidRDefault="00020E37" w:rsidP="00D51B93">
            <w:pPr>
              <w:pStyle w:val="Tabletext"/>
              <w:keepNext/>
              <w:keepLines/>
              <w:widowControl w:val="0"/>
            </w:pPr>
          </w:p>
        </w:tc>
        <w:tc>
          <w:tcPr>
            <w:tcW w:w="1115" w:type="dxa"/>
            <w:vAlign w:val="center"/>
          </w:tcPr>
          <w:p w14:paraId="7D93DF55" w14:textId="77777777" w:rsidR="00020E37" w:rsidRPr="00ED6EDE" w:rsidRDefault="00020E37" w:rsidP="00D51B93">
            <w:pPr>
              <w:pStyle w:val="Tabletext"/>
              <w:keepNext/>
              <w:keepLines/>
              <w:widowControl w:val="0"/>
              <w:jc w:val="center"/>
            </w:pPr>
            <w:proofErr w:type="spellStart"/>
            <w:r w:rsidRPr="00ED6EDE">
              <w:t>Lenva</w:t>
            </w:r>
            <w:proofErr w:type="spellEnd"/>
            <w:r w:rsidRPr="00ED6EDE">
              <w:t xml:space="preserve"> + Pembro</w:t>
            </w:r>
          </w:p>
        </w:tc>
        <w:tc>
          <w:tcPr>
            <w:tcW w:w="1254" w:type="dxa"/>
            <w:vAlign w:val="center"/>
          </w:tcPr>
          <w:p w14:paraId="2CEBC660" w14:textId="77777777" w:rsidR="00020E37" w:rsidRPr="00ED6EDE" w:rsidRDefault="00020E37" w:rsidP="00D51B93">
            <w:pPr>
              <w:pStyle w:val="Tabletext"/>
              <w:keepNext/>
              <w:keepLines/>
              <w:widowControl w:val="0"/>
              <w:jc w:val="center"/>
            </w:pPr>
            <w:r w:rsidRPr="00ED6EDE">
              <w:t>57 (14.0)</w:t>
            </w:r>
          </w:p>
        </w:tc>
        <w:tc>
          <w:tcPr>
            <w:tcW w:w="1254" w:type="dxa"/>
            <w:vMerge w:val="restart"/>
            <w:vAlign w:val="center"/>
          </w:tcPr>
          <w:p w14:paraId="6C262C83" w14:textId="77777777" w:rsidR="00020E37" w:rsidRPr="00ED6EDE" w:rsidRDefault="00020E37" w:rsidP="00D51B93">
            <w:pPr>
              <w:pStyle w:val="Tabletext"/>
              <w:keepNext/>
              <w:keepLines/>
              <w:widowControl w:val="0"/>
              <w:jc w:val="center"/>
            </w:pPr>
            <w:proofErr w:type="spellStart"/>
            <w:r w:rsidRPr="00ED6EDE">
              <w:t>NA</w:t>
            </w:r>
            <w:r w:rsidRPr="00ED6EDE">
              <w:rPr>
                <w:vertAlign w:val="superscript"/>
              </w:rPr>
              <w:t>b</w:t>
            </w:r>
            <w:proofErr w:type="spellEnd"/>
          </w:p>
        </w:tc>
        <w:tc>
          <w:tcPr>
            <w:tcW w:w="1360" w:type="dxa"/>
            <w:vMerge w:val="restart"/>
            <w:vAlign w:val="center"/>
          </w:tcPr>
          <w:p w14:paraId="0F867D0D" w14:textId="77777777" w:rsidR="00020E37" w:rsidRPr="00ED6EDE" w:rsidRDefault="00020E37" w:rsidP="00D51B93">
            <w:pPr>
              <w:pStyle w:val="Tabletext"/>
              <w:keepNext/>
              <w:keepLines/>
              <w:widowControl w:val="0"/>
              <w:jc w:val="center"/>
              <w:rPr>
                <w:rFonts w:eastAsia="Calibri"/>
                <w:iCs/>
              </w:rPr>
            </w:pPr>
            <w:r w:rsidRPr="00ED6EDE">
              <w:rPr>
                <w:rFonts w:eastAsia="Calibri"/>
                <w:iCs/>
              </w:rPr>
              <w:t>-</w:t>
            </w:r>
          </w:p>
        </w:tc>
      </w:tr>
      <w:tr w:rsidR="00020E37" w:rsidRPr="00ED6EDE" w14:paraId="679414F8" w14:textId="77777777" w:rsidTr="00A22612">
        <w:trPr>
          <w:trHeight w:val="131"/>
        </w:trPr>
        <w:tc>
          <w:tcPr>
            <w:tcW w:w="4034" w:type="dxa"/>
            <w:gridSpan w:val="2"/>
            <w:vMerge/>
          </w:tcPr>
          <w:p w14:paraId="5C4D4DC8" w14:textId="77777777" w:rsidR="00020E37" w:rsidRPr="00ED6EDE" w:rsidRDefault="00020E37" w:rsidP="00D51B93">
            <w:pPr>
              <w:pStyle w:val="Tabletext"/>
              <w:keepNext/>
              <w:keepLines/>
              <w:widowControl w:val="0"/>
            </w:pPr>
          </w:p>
        </w:tc>
        <w:tc>
          <w:tcPr>
            <w:tcW w:w="1115" w:type="dxa"/>
            <w:vAlign w:val="center"/>
          </w:tcPr>
          <w:p w14:paraId="1CADD3BD" w14:textId="77777777" w:rsidR="00020E37" w:rsidRPr="00ED6EDE" w:rsidRDefault="00020E37" w:rsidP="00D51B93">
            <w:pPr>
              <w:pStyle w:val="Tabletext"/>
              <w:keepNext/>
              <w:keepLines/>
              <w:widowControl w:val="0"/>
              <w:jc w:val="center"/>
            </w:pPr>
            <w:proofErr w:type="spellStart"/>
            <w:r w:rsidRPr="00ED6EDE">
              <w:t>Lenva</w:t>
            </w:r>
            <w:proofErr w:type="spellEnd"/>
          </w:p>
        </w:tc>
        <w:tc>
          <w:tcPr>
            <w:tcW w:w="1254" w:type="dxa"/>
            <w:vAlign w:val="center"/>
          </w:tcPr>
          <w:p w14:paraId="53A0CA95" w14:textId="77777777" w:rsidR="00020E37" w:rsidRPr="00ED6EDE" w:rsidRDefault="00020E37" w:rsidP="00D51B93">
            <w:pPr>
              <w:pStyle w:val="Tabletext"/>
              <w:keepNext/>
              <w:keepLines/>
              <w:widowControl w:val="0"/>
              <w:jc w:val="center"/>
            </w:pPr>
            <w:r w:rsidRPr="00ED6EDE">
              <w:t>125 (30.8)</w:t>
            </w:r>
          </w:p>
        </w:tc>
        <w:tc>
          <w:tcPr>
            <w:tcW w:w="1254" w:type="dxa"/>
            <w:vMerge/>
          </w:tcPr>
          <w:p w14:paraId="5A88968F" w14:textId="77777777" w:rsidR="00020E37" w:rsidRPr="00ED6EDE" w:rsidRDefault="00020E37" w:rsidP="00D51B93">
            <w:pPr>
              <w:pStyle w:val="Tabletext"/>
              <w:keepNext/>
              <w:keepLines/>
              <w:widowControl w:val="0"/>
            </w:pPr>
          </w:p>
        </w:tc>
        <w:tc>
          <w:tcPr>
            <w:tcW w:w="1360" w:type="dxa"/>
            <w:vMerge/>
          </w:tcPr>
          <w:p w14:paraId="4504E363" w14:textId="77777777" w:rsidR="00020E37" w:rsidRPr="00ED6EDE" w:rsidRDefault="00020E37" w:rsidP="00D51B93">
            <w:pPr>
              <w:pStyle w:val="Tabletext"/>
              <w:keepNext/>
              <w:keepLines/>
              <w:widowControl w:val="0"/>
              <w:rPr>
                <w:rFonts w:eastAsia="Calibri"/>
                <w:iCs/>
              </w:rPr>
            </w:pPr>
          </w:p>
        </w:tc>
      </w:tr>
      <w:tr w:rsidR="00020E37" w:rsidRPr="00ED6EDE" w14:paraId="691A6162" w14:textId="77777777" w:rsidTr="00A22612">
        <w:trPr>
          <w:trHeight w:val="105"/>
        </w:trPr>
        <w:tc>
          <w:tcPr>
            <w:tcW w:w="4034" w:type="dxa"/>
            <w:gridSpan w:val="2"/>
            <w:vMerge/>
          </w:tcPr>
          <w:p w14:paraId="36F55D4A" w14:textId="77777777" w:rsidR="00020E37" w:rsidRPr="00ED6EDE" w:rsidRDefault="00020E37" w:rsidP="00D51B93">
            <w:pPr>
              <w:pStyle w:val="Tabletext"/>
              <w:keepNext/>
              <w:keepLines/>
              <w:widowControl w:val="0"/>
            </w:pPr>
          </w:p>
        </w:tc>
        <w:tc>
          <w:tcPr>
            <w:tcW w:w="1115" w:type="dxa"/>
            <w:vAlign w:val="center"/>
          </w:tcPr>
          <w:p w14:paraId="7E08A8A2" w14:textId="77777777" w:rsidR="00020E37" w:rsidRPr="00ED6EDE" w:rsidRDefault="00020E37" w:rsidP="00D51B93">
            <w:pPr>
              <w:pStyle w:val="Tabletext"/>
              <w:keepNext/>
              <w:keepLines/>
              <w:widowControl w:val="0"/>
              <w:jc w:val="center"/>
            </w:pPr>
            <w:r w:rsidRPr="00ED6EDE">
              <w:t>Pembro</w:t>
            </w:r>
          </w:p>
        </w:tc>
        <w:tc>
          <w:tcPr>
            <w:tcW w:w="1254" w:type="dxa"/>
            <w:vAlign w:val="center"/>
          </w:tcPr>
          <w:p w14:paraId="2D3A5D5E" w14:textId="77777777" w:rsidR="00020E37" w:rsidRPr="00ED6EDE" w:rsidRDefault="00020E37" w:rsidP="00D51B93">
            <w:pPr>
              <w:pStyle w:val="Tabletext"/>
              <w:keepNext/>
              <w:keepLines/>
              <w:widowControl w:val="0"/>
              <w:jc w:val="center"/>
            </w:pPr>
            <w:r w:rsidRPr="00ED6EDE">
              <w:t>76 (18.7)</w:t>
            </w:r>
          </w:p>
        </w:tc>
        <w:tc>
          <w:tcPr>
            <w:tcW w:w="1254" w:type="dxa"/>
            <w:vMerge/>
          </w:tcPr>
          <w:p w14:paraId="331CA535" w14:textId="77777777" w:rsidR="00020E37" w:rsidRPr="00ED6EDE" w:rsidRDefault="00020E37" w:rsidP="00D51B93">
            <w:pPr>
              <w:pStyle w:val="Tabletext"/>
              <w:keepNext/>
              <w:keepLines/>
              <w:widowControl w:val="0"/>
            </w:pPr>
          </w:p>
        </w:tc>
        <w:tc>
          <w:tcPr>
            <w:tcW w:w="1360" w:type="dxa"/>
            <w:vMerge/>
          </w:tcPr>
          <w:p w14:paraId="6CFAB5B9" w14:textId="77777777" w:rsidR="00020E37" w:rsidRPr="00ED6EDE" w:rsidRDefault="00020E37" w:rsidP="00D51B93">
            <w:pPr>
              <w:pStyle w:val="Tabletext"/>
              <w:keepNext/>
              <w:keepLines/>
              <w:widowControl w:val="0"/>
              <w:rPr>
                <w:rFonts w:eastAsia="Calibri"/>
                <w:iCs/>
              </w:rPr>
            </w:pPr>
          </w:p>
        </w:tc>
      </w:tr>
      <w:tr w:rsidR="00A22612" w:rsidRPr="00ED6EDE" w14:paraId="4EBCE767" w14:textId="77777777" w:rsidTr="001D1983">
        <w:trPr>
          <w:trHeight w:val="105"/>
        </w:trPr>
        <w:tc>
          <w:tcPr>
            <w:tcW w:w="9017" w:type="dxa"/>
            <w:gridSpan w:val="6"/>
          </w:tcPr>
          <w:p w14:paraId="199A47B0" w14:textId="331D2DA0" w:rsidR="00A22612" w:rsidRPr="00ED6EDE" w:rsidRDefault="00A22612" w:rsidP="00D51B93">
            <w:pPr>
              <w:pStyle w:val="Tabletext"/>
              <w:keepNext/>
              <w:keepLines/>
              <w:widowControl w:val="0"/>
              <w:rPr>
                <w:rFonts w:eastAsia="Calibri"/>
                <w:b/>
                <w:iCs/>
              </w:rPr>
            </w:pPr>
            <w:r w:rsidRPr="00ED6EDE">
              <w:rPr>
                <w:rStyle w:val="CommentReference"/>
                <w:b w:val="0"/>
              </w:rPr>
              <w:t>Selected Grade 3-5 Adverse Events</w:t>
            </w:r>
          </w:p>
        </w:tc>
      </w:tr>
      <w:tr w:rsidR="00A22612" w:rsidRPr="00ED6EDE" w14:paraId="703EBB2C" w14:textId="77777777" w:rsidTr="008B3D4A">
        <w:trPr>
          <w:trHeight w:val="105"/>
        </w:trPr>
        <w:tc>
          <w:tcPr>
            <w:tcW w:w="4034" w:type="dxa"/>
            <w:gridSpan w:val="2"/>
            <w:vAlign w:val="center"/>
          </w:tcPr>
          <w:p w14:paraId="430413BF" w14:textId="69C2B862" w:rsidR="00A22612" w:rsidRPr="00ED6EDE" w:rsidRDefault="00A22612" w:rsidP="00A22612">
            <w:pPr>
              <w:pStyle w:val="Tabletext"/>
              <w:keepNext/>
              <w:keepLines/>
              <w:widowControl w:val="0"/>
            </w:pPr>
            <w:r w:rsidRPr="00ED6EDE">
              <w:t xml:space="preserve"> Hypertension</w:t>
            </w:r>
          </w:p>
        </w:tc>
        <w:tc>
          <w:tcPr>
            <w:tcW w:w="2369" w:type="dxa"/>
            <w:gridSpan w:val="2"/>
            <w:vAlign w:val="center"/>
          </w:tcPr>
          <w:p w14:paraId="70338D45" w14:textId="6E287CF0" w:rsidR="00A22612" w:rsidRPr="00ED6EDE" w:rsidRDefault="00A22612" w:rsidP="00A22612">
            <w:pPr>
              <w:pStyle w:val="Tabletext"/>
              <w:keepNext/>
              <w:keepLines/>
              <w:widowControl w:val="0"/>
              <w:jc w:val="center"/>
            </w:pPr>
            <w:r w:rsidRPr="00ED6EDE">
              <w:t>154 (37.9)</w:t>
            </w:r>
          </w:p>
        </w:tc>
        <w:tc>
          <w:tcPr>
            <w:tcW w:w="1254" w:type="dxa"/>
            <w:vAlign w:val="center"/>
          </w:tcPr>
          <w:p w14:paraId="04BF9644" w14:textId="224DEE43" w:rsidR="00A22612" w:rsidRPr="00ED6EDE" w:rsidRDefault="00A22612" w:rsidP="00A22612">
            <w:pPr>
              <w:pStyle w:val="Tabletext"/>
              <w:keepNext/>
              <w:keepLines/>
              <w:widowControl w:val="0"/>
              <w:jc w:val="center"/>
            </w:pPr>
            <w:r w:rsidRPr="00ED6EDE">
              <w:t>9 (2.3)</w:t>
            </w:r>
          </w:p>
        </w:tc>
        <w:tc>
          <w:tcPr>
            <w:tcW w:w="1360" w:type="dxa"/>
            <w:vAlign w:val="center"/>
          </w:tcPr>
          <w:p w14:paraId="44F46E78" w14:textId="22BA498C" w:rsidR="00A22612" w:rsidRPr="00ED6EDE" w:rsidRDefault="00A22612" w:rsidP="00A22612">
            <w:pPr>
              <w:pStyle w:val="Tabletext"/>
              <w:keepNext/>
              <w:keepLines/>
              <w:widowControl w:val="0"/>
              <w:rPr>
                <w:rFonts w:eastAsia="Calibri"/>
                <w:iCs/>
              </w:rPr>
            </w:pPr>
            <w:r w:rsidRPr="00ED6EDE">
              <w:rPr>
                <w:iCs/>
              </w:rPr>
              <w:t>0.36 (0.31, 0.41)</w:t>
            </w:r>
          </w:p>
        </w:tc>
      </w:tr>
      <w:tr w:rsidR="00A22612" w:rsidRPr="00ED6EDE" w14:paraId="75063DBE" w14:textId="77777777" w:rsidTr="008B3D4A">
        <w:trPr>
          <w:trHeight w:val="105"/>
        </w:trPr>
        <w:tc>
          <w:tcPr>
            <w:tcW w:w="4034" w:type="dxa"/>
            <w:gridSpan w:val="2"/>
            <w:vAlign w:val="center"/>
          </w:tcPr>
          <w:p w14:paraId="37D7789A" w14:textId="5FA44517" w:rsidR="00A22612" w:rsidRPr="00ED6EDE" w:rsidRDefault="00A22612" w:rsidP="00A22612">
            <w:pPr>
              <w:pStyle w:val="Tabletext"/>
              <w:keepNext/>
              <w:keepLines/>
              <w:widowControl w:val="0"/>
            </w:pPr>
            <w:r w:rsidRPr="00ED6EDE">
              <w:t xml:space="preserve"> Fatigue</w:t>
            </w:r>
          </w:p>
        </w:tc>
        <w:tc>
          <w:tcPr>
            <w:tcW w:w="2369" w:type="dxa"/>
            <w:gridSpan w:val="2"/>
            <w:vAlign w:val="center"/>
          </w:tcPr>
          <w:p w14:paraId="3EC3F1DC" w14:textId="3BFB7D44" w:rsidR="00A22612" w:rsidRPr="00ED6EDE" w:rsidRDefault="00A22612" w:rsidP="00A22612">
            <w:pPr>
              <w:pStyle w:val="Tabletext"/>
              <w:keepNext/>
              <w:keepLines/>
              <w:widowControl w:val="0"/>
              <w:jc w:val="center"/>
            </w:pPr>
            <w:r w:rsidRPr="00ED6EDE">
              <w:t>21 (5.2)</w:t>
            </w:r>
          </w:p>
        </w:tc>
        <w:tc>
          <w:tcPr>
            <w:tcW w:w="1254" w:type="dxa"/>
            <w:vAlign w:val="center"/>
          </w:tcPr>
          <w:p w14:paraId="7E22485B" w14:textId="3A01617C" w:rsidR="00A22612" w:rsidRPr="00ED6EDE" w:rsidRDefault="00A22612" w:rsidP="00A22612">
            <w:pPr>
              <w:pStyle w:val="Tabletext"/>
              <w:keepNext/>
              <w:keepLines/>
              <w:widowControl w:val="0"/>
              <w:jc w:val="center"/>
            </w:pPr>
            <w:r w:rsidRPr="00ED6EDE">
              <w:t>12 (3.1)</w:t>
            </w:r>
          </w:p>
        </w:tc>
        <w:tc>
          <w:tcPr>
            <w:tcW w:w="1360" w:type="dxa"/>
            <w:vAlign w:val="center"/>
          </w:tcPr>
          <w:p w14:paraId="043EB72F" w14:textId="6205AC55" w:rsidR="00A22612" w:rsidRPr="00ED6EDE" w:rsidRDefault="00A22612" w:rsidP="00A22612">
            <w:pPr>
              <w:pStyle w:val="Tabletext"/>
              <w:keepNext/>
              <w:keepLines/>
              <w:widowControl w:val="0"/>
              <w:rPr>
                <w:rFonts w:eastAsia="Calibri"/>
                <w:iCs/>
              </w:rPr>
            </w:pPr>
            <w:r w:rsidRPr="00ED6EDE">
              <w:rPr>
                <w:iCs/>
              </w:rPr>
              <w:t>0.02 (-0.01, 0.05)</w:t>
            </w:r>
          </w:p>
        </w:tc>
      </w:tr>
      <w:tr w:rsidR="00A22612" w:rsidRPr="00ED6EDE" w14:paraId="52F0CF22" w14:textId="77777777" w:rsidTr="008B3D4A">
        <w:trPr>
          <w:trHeight w:val="105"/>
        </w:trPr>
        <w:tc>
          <w:tcPr>
            <w:tcW w:w="4034" w:type="dxa"/>
            <w:gridSpan w:val="2"/>
            <w:vAlign w:val="center"/>
          </w:tcPr>
          <w:p w14:paraId="0B065AA0" w14:textId="3FF6EFF8" w:rsidR="00A22612" w:rsidRPr="00ED6EDE" w:rsidRDefault="00A22612" w:rsidP="00A22612">
            <w:pPr>
              <w:pStyle w:val="Tabletext"/>
              <w:keepNext/>
              <w:keepLines/>
              <w:widowControl w:val="0"/>
            </w:pPr>
            <w:r w:rsidRPr="00ED6EDE">
              <w:t xml:space="preserve"> Diarrhoea</w:t>
            </w:r>
          </w:p>
        </w:tc>
        <w:tc>
          <w:tcPr>
            <w:tcW w:w="2369" w:type="dxa"/>
            <w:gridSpan w:val="2"/>
            <w:vAlign w:val="center"/>
          </w:tcPr>
          <w:p w14:paraId="669F139C" w14:textId="7F60C70B" w:rsidR="00A22612" w:rsidRPr="00ED6EDE" w:rsidRDefault="00A22612" w:rsidP="00A22612">
            <w:pPr>
              <w:pStyle w:val="Tabletext"/>
              <w:keepNext/>
              <w:keepLines/>
              <w:widowControl w:val="0"/>
              <w:jc w:val="center"/>
            </w:pPr>
            <w:r w:rsidRPr="00ED6EDE">
              <w:t>31 (7.6)</w:t>
            </w:r>
          </w:p>
        </w:tc>
        <w:tc>
          <w:tcPr>
            <w:tcW w:w="1254" w:type="dxa"/>
            <w:vAlign w:val="center"/>
          </w:tcPr>
          <w:p w14:paraId="7FC02614" w14:textId="3EC0FBEA" w:rsidR="00A22612" w:rsidRPr="00ED6EDE" w:rsidRDefault="00A22612" w:rsidP="00A22612">
            <w:pPr>
              <w:pStyle w:val="Tabletext"/>
              <w:keepNext/>
              <w:keepLines/>
              <w:widowControl w:val="0"/>
              <w:jc w:val="center"/>
            </w:pPr>
            <w:r w:rsidRPr="00ED6EDE">
              <w:t>8 (2.1)</w:t>
            </w:r>
          </w:p>
        </w:tc>
        <w:tc>
          <w:tcPr>
            <w:tcW w:w="1360" w:type="dxa"/>
            <w:vAlign w:val="center"/>
          </w:tcPr>
          <w:p w14:paraId="0981C860" w14:textId="0C8D10DC" w:rsidR="00A22612" w:rsidRPr="00ED6EDE" w:rsidRDefault="00A22612" w:rsidP="00A22612">
            <w:pPr>
              <w:pStyle w:val="Tabletext"/>
              <w:keepNext/>
              <w:keepLines/>
              <w:widowControl w:val="0"/>
              <w:rPr>
                <w:rFonts w:eastAsia="Calibri"/>
                <w:iCs/>
              </w:rPr>
            </w:pPr>
            <w:r w:rsidRPr="00ED6EDE">
              <w:rPr>
                <w:iCs/>
              </w:rPr>
              <w:t>0.06 (0.03, 0.09)</w:t>
            </w:r>
          </w:p>
        </w:tc>
      </w:tr>
      <w:tr w:rsidR="00A22612" w:rsidRPr="00ED6EDE" w14:paraId="26D99A89" w14:textId="77777777" w:rsidTr="008B3D4A">
        <w:trPr>
          <w:trHeight w:val="105"/>
        </w:trPr>
        <w:tc>
          <w:tcPr>
            <w:tcW w:w="4034" w:type="dxa"/>
            <w:gridSpan w:val="2"/>
            <w:vAlign w:val="center"/>
          </w:tcPr>
          <w:p w14:paraId="4876FAEE" w14:textId="015A7C2C" w:rsidR="00A22612" w:rsidRPr="00ED6EDE" w:rsidRDefault="00A22612" w:rsidP="00A22612">
            <w:pPr>
              <w:pStyle w:val="Tabletext"/>
              <w:keepNext/>
              <w:keepLines/>
              <w:widowControl w:val="0"/>
            </w:pPr>
            <w:r w:rsidRPr="00ED6EDE">
              <w:t xml:space="preserve"> Weight decreased</w:t>
            </w:r>
          </w:p>
        </w:tc>
        <w:tc>
          <w:tcPr>
            <w:tcW w:w="2369" w:type="dxa"/>
            <w:gridSpan w:val="2"/>
            <w:vAlign w:val="center"/>
          </w:tcPr>
          <w:p w14:paraId="17855315" w14:textId="075A6241" w:rsidR="00A22612" w:rsidRPr="00ED6EDE" w:rsidRDefault="00A22612" w:rsidP="00A22612">
            <w:pPr>
              <w:pStyle w:val="Tabletext"/>
              <w:keepNext/>
              <w:keepLines/>
              <w:widowControl w:val="0"/>
              <w:jc w:val="center"/>
            </w:pPr>
            <w:r w:rsidRPr="00ED6EDE">
              <w:t>42 (10.3)</w:t>
            </w:r>
          </w:p>
        </w:tc>
        <w:tc>
          <w:tcPr>
            <w:tcW w:w="1254" w:type="dxa"/>
            <w:vAlign w:val="center"/>
          </w:tcPr>
          <w:p w14:paraId="70D0FF34" w14:textId="317808EB" w:rsidR="00A22612" w:rsidRPr="00ED6EDE" w:rsidRDefault="00A22612" w:rsidP="00A22612">
            <w:pPr>
              <w:pStyle w:val="Tabletext"/>
              <w:keepNext/>
              <w:keepLines/>
              <w:widowControl w:val="0"/>
              <w:jc w:val="center"/>
            </w:pPr>
            <w:r w:rsidRPr="00ED6EDE">
              <w:t>1 (0.3)</w:t>
            </w:r>
          </w:p>
        </w:tc>
        <w:tc>
          <w:tcPr>
            <w:tcW w:w="1360" w:type="dxa"/>
            <w:vAlign w:val="center"/>
          </w:tcPr>
          <w:p w14:paraId="1CDB5F09" w14:textId="64FAF247" w:rsidR="00A22612" w:rsidRPr="00ED6EDE" w:rsidRDefault="00A22612" w:rsidP="00A22612">
            <w:pPr>
              <w:pStyle w:val="Tabletext"/>
              <w:keepNext/>
              <w:keepLines/>
              <w:widowControl w:val="0"/>
              <w:rPr>
                <w:rFonts w:eastAsia="Calibri"/>
                <w:iCs/>
              </w:rPr>
            </w:pPr>
            <w:r w:rsidRPr="00ED6EDE">
              <w:rPr>
                <w:iCs/>
              </w:rPr>
              <w:t>0.1 (0.07, 0.13)</w:t>
            </w:r>
          </w:p>
        </w:tc>
      </w:tr>
    </w:tbl>
    <w:p w14:paraId="3416CB16" w14:textId="218C0B1D" w:rsidR="00020E37" w:rsidRPr="00ED6EDE" w:rsidRDefault="00020E37" w:rsidP="00D51B93">
      <w:pPr>
        <w:pStyle w:val="TableFooter"/>
        <w:keepNext/>
        <w:keepLines/>
      </w:pPr>
      <w:r w:rsidRPr="00ED6EDE">
        <w:t xml:space="preserve">Source: Table 2.5-13, p101 of the submission. </w:t>
      </w:r>
      <w:r w:rsidR="00A22612" w:rsidRPr="00ED6EDE">
        <w:t>Table 2.5-17, p107 of the submission</w:t>
      </w:r>
      <w:r w:rsidRPr="00ED6EDE">
        <w:t xml:space="preserve"> </w:t>
      </w:r>
    </w:p>
    <w:p w14:paraId="6979E6B4" w14:textId="6FE3F184" w:rsidR="00020E37" w:rsidRPr="00ED6EDE" w:rsidRDefault="00020E37" w:rsidP="00D51B93">
      <w:pPr>
        <w:pStyle w:val="TableFooter"/>
        <w:keepNext/>
        <w:keepLines/>
        <w:ind w:left="720" w:hanging="720"/>
      </w:pPr>
      <w:r w:rsidRPr="00ED6EDE">
        <w:rPr>
          <w:vertAlign w:val="superscript"/>
        </w:rPr>
        <w:t xml:space="preserve">a </w:t>
      </w:r>
      <w:proofErr w:type="spellStart"/>
      <w:r w:rsidRPr="00ED6EDE">
        <w:t>A</w:t>
      </w:r>
      <w:proofErr w:type="spellEnd"/>
      <w:r w:rsidRPr="00ED6EDE">
        <w:t xml:space="preserve"> TEAE </w:t>
      </w:r>
      <w:r w:rsidR="00D51B93" w:rsidRPr="00ED6EDE">
        <w:t>was</w:t>
      </w:r>
      <w:r w:rsidRPr="00ED6EDE">
        <w:t xml:space="preserve"> defined as any adverse event that had an onset date, or a worsening in severity from baseline (</w:t>
      </w:r>
      <w:r w:rsidR="00D51B93" w:rsidRPr="00ED6EDE">
        <w:t>pre-treatment</w:t>
      </w:r>
      <w:r w:rsidRPr="00ED6EDE">
        <w:t>), on or after the first dose of study drug up to 30 days following study drug discontinuation.</w:t>
      </w:r>
    </w:p>
    <w:p w14:paraId="04946DD2" w14:textId="16B54EF0" w:rsidR="00020E37" w:rsidRPr="00ED6EDE" w:rsidRDefault="00020E37" w:rsidP="00D51B93">
      <w:pPr>
        <w:pStyle w:val="TableFooter"/>
        <w:keepNext/>
        <w:keepLines/>
      </w:pPr>
      <w:r w:rsidRPr="00ED6EDE">
        <w:rPr>
          <w:vertAlign w:val="superscript"/>
        </w:rPr>
        <w:t xml:space="preserve">b </w:t>
      </w:r>
      <w:r w:rsidRPr="00ED6EDE">
        <w:t>Treatment not applicable to the chemotherapy arm</w:t>
      </w:r>
    </w:p>
    <w:p w14:paraId="1E452B61" w14:textId="37BC4EDB" w:rsidR="003B76F1" w:rsidRPr="00ED6EDE" w:rsidRDefault="003B76F1" w:rsidP="00D51B93">
      <w:pPr>
        <w:pStyle w:val="TableFooter"/>
        <w:keepNext/>
        <w:keepLines/>
      </w:pPr>
      <w:r w:rsidRPr="00ED6EDE">
        <w:t>AE = adverse event</w:t>
      </w:r>
      <w:r w:rsidR="00457EFB" w:rsidRPr="00ED6EDE">
        <w:t>; CI = confidence interval;</w:t>
      </w:r>
      <w:r w:rsidRPr="00ED6EDE">
        <w:t xml:space="preserve"> </w:t>
      </w:r>
      <w:r w:rsidR="00457EFB" w:rsidRPr="00ED6EDE">
        <w:t xml:space="preserve">LEN = lenvatinib’ PEM = pembrolizumab; </w:t>
      </w:r>
      <w:r w:rsidRPr="00ED6EDE">
        <w:t>TEAE = treatment emergent adverse event</w:t>
      </w:r>
      <w:r w:rsidR="00A35205" w:rsidRPr="00ED6EDE">
        <w:t>.</w:t>
      </w:r>
      <w:r w:rsidR="00457EFB" w:rsidRPr="00ED6EDE">
        <w:t xml:space="preserve"> </w:t>
      </w:r>
    </w:p>
    <w:p w14:paraId="0A57F0D5" w14:textId="77777777" w:rsidR="00020E37" w:rsidRPr="00ED6EDE" w:rsidRDefault="00020E37" w:rsidP="00020E37">
      <w:pPr>
        <w:widowControl/>
      </w:pPr>
    </w:p>
    <w:p w14:paraId="5DD14366" w14:textId="77777777" w:rsidR="0098717A" w:rsidRPr="00ED6EDE" w:rsidRDefault="0098717A" w:rsidP="00224988">
      <w:pPr>
        <w:pStyle w:val="ListParagraph"/>
        <w:widowControl/>
        <w:numPr>
          <w:ilvl w:val="1"/>
          <w:numId w:val="2"/>
        </w:numPr>
      </w:pPr>
      <w:r w:rsidRPr="00ED6EDE">
        <w:t>Pembrolizumab plus lenvatinib was associated with a</w:t>
      </w:r>
      <w:r w:rsidR="001315AC" w:rsidRPr="00ED6EDE">
        <w:t xml:space="preserve"> high</w:t>
      </w:r>
      <w:r w:rsidRPr="00ED6EDE">
        <w:t>er</w:t>
      </w:r>
      <w:r w:rsidR="001315AC" w:rsidRPr="00ED6EDE">
        <w:t xml:space="preserve"> </w:t>
      </w:r>
      <w:r w:rsidR="00A22612" w:rsidRPr="00ED6EDE">
        <w:t>frequency</w:t>
      </w:r>
      <w:r w:rsidR="001315AC" w:rsidRPr="00ED6EDE">
        <w:t xml:space="preserve"> of treatment emergent serious adverse events </w:t>
      </w:r>
      <w:r w:rsidRPr="00ED6EDE">
        <w:t xml:space="preserve">(TEAEs) </w:t>
      </w:r>
      <w:r w:rsidR="001315AC" w:rsidRPr="00ED6EDE">
        <w:t>compared with chemotherapy (33.3% versus 14</w:t>
      </w:r>
      <w:r w:rsidR="00224988" w:rsidRPr="00ED6EDE">
        <w:t xml:space="preserve">.2%). The ESC noted that the ACM had commented that this increase in higher grade TEAEs was driven predominately by the inclusion of lenvatinib. </w:t>
      </w:r>
    </w:p>
    <w:p w14:paraId="3D496553" w14:textId="3B27688C" w:rsidR="00224988" w:rsidRPr="00ED6EDE" w:rsidRDefault="0098717A" w:rsidP="00224988">
      <w:pPr>
        <w:pStyle w:val="ListParagraph"/>
        <w:widowControl/>
        <w:numPr>
          <w:ilvl w:val="1"/>
          <w:numId w:val="2"/>
        </w:numPr>
      </w:pPr>
      <w:r w:rsidRPr="00ED6EDE">
        <w:t xml:space="preserve">Pembrolizumab plus lenvatinib was associated with a </w:t>
      </w:r>
      <w:r w:rsidR="00224988" w:rsidRPr="00ED6EDE">
        <w:t>higher incidence of Grade 3 or high</w:t>
      </w:r>
      <w:r w:rsidR="00BB246C" w:rsidRPr="00ED6EDE">
        <w:t>er hypertension compared with TP</w:t>
      </w:r>
      <w:r w:rsidR="00224988" w:rsidRPr="00ED6EDE">
        <w:t>C (37.9% versus 2.3%). The ACM commented that hypertension can be sudden onset and quite extreme. The ACM also noted the significant rate of gastrointestinal side effects.</w:t>
      </w:r>
      <w:r w:rsidR="00DC4634" w:rsidRPr="00ED6EDE">
        <w:t xml:space="preserve"> </w:t>
      </w:r>
    </w:p>
    <w:p w14:paraId="7B65EB5B" w14:textId="1BCFC05E" w:rsidR="00CE2DFB" w:rsidRDefault="00CE2DFB" w:rsidP="001D1983">
      <w:pPr>
        <w:pStyle w:val="ListParagraph"/>
        <w:widowControl/>
        <w:numPr>
          <w:ilvl w:val="1"/>
          <w:numId w:val="2"/>
        </w:numPr>
      </w:pPr>
      <w:r>
        <w:t>In KN775, 66.5% of patients treated with lenvat</w:t>
      </w:r>
      <w:r w:rsidR="00392DF5">
        <w:t>inib required a dose reduction</w:t>
      </w:r>
      <w:r w:rsidR="00FB17C2">
        <w:t>. Overall, the mean dose of lenvatinib in KN775 was 14 mg</w:t>
      </w:r>
      <w:r w:rsidR="00186865">
        <w:t xml:space="preserve"> daily, compared with a starting dose of 20 mg daily</w:t>
      </w:r>
      <w:r w:rsidR="00392DF5">
        <w:t>.</w:t>
      </w:r>
    </w:p>
    <w:p w14:paraId="5BF1A440" w14:textId="3D0D4006" w:rsidR="00224988" w:rsidRPr="00ED6EDE" w:rsidRDefault="00DC4634" w:rsidP="005802EF">
      <w:pPr>
        <w:pStyle w:val="ListParagraph"/>
        <w:widowControl/>
        <w:numPr>
          <w:ilvl w:val="1"/>
          <w:numId w:val="2"/>
        </w:numPr>
      </w:pPr>
      <w:r w:rsidRPr="00ED6EDE">
        <w:t xml:space="preserve">The ESC considered that some of the adverse events associated with pembrolizumab plus lenvatinib were manageable, while others </w:t>
      </w:r>
      <w:r w:rsidR="00796AD5" w:rsidRPr="00ED6EDE">
        <w:t>may be less manageable</w:t>
      </w:r>
      <w:r w:rsidR="00E81F0A" w:rsidRPr="00ED6EDE">
        <w:t>,</w:t>
      </w:r>
      <w:r w:rsidRPr="00ED6EDE">
        <w:t xml:space="preserve"> noting that</w:t>
      </w:r>
      <w:r w:rsidR="0098717A" w:rsidRPr="00ED6EDE">
        <w:t xml:space="preserve"> approximately one-</w:t>
      </w:r>
      <w:r w:rsidR="00224988" w:rsidRPr="00ED6EDE">
        <w:t xml:space="preserve">third of patients discontinued </w:t>
      </w:r>
      <w:r w:rsidR="0098717A" w:rsidRPr="00ED6EDE">
        <w:t xml:space="preserve">pembrolizumab plus lenvatinib </w:t>
      </w:r>
      <w:r w:rsidR="00224988" w:rsidRPr="00ED6EDE">
        <w:t xml:space="preserve">therapy due to TEAEs, compared with 8% </w:t>
      </w:r>
      <w:r w:rsidR="009D75D0" w:rsidRPr="00ED6EDE">
        <w:t>in the</w:t>
      </w:r>
      <w:r w:rsidR="00224988" w:rsidRPr="00ED6EDE">
        <w:t xml:space="preserve"> TPC</w:t>
      </w:r>
      <w:r w:rsidR="009D75D0" w:rsidRPr="00ED6EDE">
        <w:t xml:space="preserve"> arm</w:t>
      </w:r>
      <w:r w:rsidR="00224988" w:rsidRPr="00ED6EDE">
        <w:t xml:space="preserve">. </w:t>
      </w:r>
      <w:r w:rsidR="00A556AA" w:rsidRPr="00ED6EDE">
        <w:t xml:space="preserve">The ESC considered that, in clinical practice, discontinuations and/or dose reductions </w:t>
      </w:r>
      <w:r w:rsidR="00481B1D" w:rsidRPr="00ED6EDE">
        <w:t xml:space="preserve">(particularly of lenvatinib) may </w:t>
      </w:r>
      <w:r w:rsidR="00A556AA" w:rsidRPr="00ED6EDE">
        <w:t xml:space="preserve">occur more frequently or earlier </w:t>
      </w:r>
      <w:r w:rsidR="00481B1D" w:rsidRPr="00ED6EDE">
        <w:t xml:space="preserve">than observed in the trial, and this may impact effectiveness (i.e. the trial may overestimate </w:t>
      </w:r>
      <w:r w:rsidR="00A556AA" w:rsidRPr="00ED6EDE">
        <w:t xml:space="preserve">the incremental </w:t>
      </w:r>
      <w:r w:rsidR="00481B1D" w:rsidRPr="00ED6EDE">
        <w:t>effectiveness likely to be observed in clinical practice).</w:t>
      </w:r>
    </w:p>
    <w:p w14:paraId="6ABEDBD1" w14:textId="6C5D4899" w:rsidR="00020E37" w:rsidRPr="00ED6EDE" w:rsidRDefault="00020E37" w:rsidP="00A062E7">
      <w:pPr>
        <w:pStyle w:val="ListParagraph"/>
        <w:widowControl/>
        <w:numPr>
          <w:ilvl w:val="1"/>
          <w:numId w:val="2"/>
        </w:numPr>
      </w:pPr>
      <w:r w:rsidRPr="00ED6EDE">
        <w:t xml:space="preserve">The submission argued that given the difference in exposure </w:t>
      </w:r>
      <w:r w:rsidR="00BB246C" w:rsidRPr="00ED6EDE">
        <w:t>between</w:t>
      </w:r>
      <w:r w:rsidRPr="00ED6EDE">
        <w:t xml:space="preserve"> the two arms, it was appropriate to adjust adverse events for time on treatment. This is presented in </w:t>
      </w:r>
      <w:r w:rsidRPr="00ED6EDE">
        <w:fldChar w:fldCharType="begin"/>
      </w:r>
      <w:r w:rsidRPr="00ED6EDE">
        <w:instrText xml:space="preserve"> REF _Ref90028244 \h  \* MERGEFORMAT </w:instrText>
      </w:r>
      <w:r w:rsidRPr="00ED6EDE">
        <w:fldChar w:fldCharType="separate"/>
      </w:r>
      <w:r w:rsidR="004163DD" w:rsidRPr="004163DD">
        <w:t>Table 7</w:t>
      </w:r>
      <w:r w:rsidRPr="00ED6EDE">
        <w:fldChar w:fldCharType="end"/>
      </w:r>
      <w:r w:rsidRPr="00ED6EDE">
        <w:t>.</w:t>
      </w:r>
      <w:r w:rsidR="00016C38" w:rsidRPr="00ED6EDE">
        <w:t xml:space="preserve"> </w:t>
      </w:r>
      <w:r w:rsidR="00D51B93" w:rsidRPr="00ED6EDE">
        <w:rPr>
          <w:iCs/>
        </w:rPr>
        <w:t>T</w:t>
      </w:r>
      <w:r w:rsidR="00016C38" w:rsidRPr="00ED6EDE">
        <w:rPr>
          <w:iCs/>
        </w:rPr>
        <w:t xml:space="preserve">he exposure adjusted TEAE results were used to inform the economic evaluation. </w:t>
      </w:r>
    </w:p>
    <w:p w14:paraId="3703C2DC" w14:textId="770ADD79" w:rsidR="00020E37" w:rsidRPr="00ED6EDE" w:rsidRDefault="00020E37" w:rsidP="00020E37">
      <w:pPr>
        <w:keepNext/>
        <w:keepLines/>
        <w:rPr>
          <w:rStyle w:val="CommentReference"/>
        </w:rPr>
      </w:pPr>
      <w:bookmarkStart w:id="40" w:name="_Ref90028244"/>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7</w:t>
      </w:r>
      <w:r w:rsidRPr="00ED6EDE">
        <w:rPr>
          <w:rStyle w:val="CommentReference"/>
        </w:rPr>
        <w:fldChar w:fldCharType="end"/>
      </w:r>
      <w:bookmarkEnd w:id="40"/>
      <w:r w:rsidRPr="00ED6EDE">
        <w:rPr>
          <w:rStyle w:val="CommentReference"/>
        </w:rPr>
        <w:t>: Exposure adjusted grade 3-5 TEAEs for KN775 All-comers (</w:t>
      </w:r>
      <w:proofErr w:type="spellStart"/>
      <w:r w:rsidRPr="00ED6EDE">
        <w:rPr>
          <w:rStyle w:val="CommentReference"/>
        </w:rPr>
        <w:t>A</w:t>
      </w:r>
      <w:r w:rsidR="00522407" w:rsidRPr="00ED6EDE">
        <w:rPr>
          <w:rStyle w:val="CommentReference"/>
        </w:rPr>
        <w:t>p</w:t>
      </w:r>
      <w:r w:rsidRPr="00ED6EDE">
        <w:rPr>
          <w:rStyle w:val="CommentReference"/>
        </w:rPr>
        <w:t>aT</w:t>
      </w:r>
      <w:proofErr w:type="spellEnd"/>
      <w:r w:rsidRPr="00ED6EDE">
        <w:rPr>
          <w:rStyle w:val="CommentReference"/>
        </w:rPr>
        <w:t xml:space="preserve"> population)</w:t>
      </w:r>
    </w:p>
    <w:tbl>
      <w:tblPr>
        <w:tblStyle w:val="TableGrid9"/>
        <w:tblW w:w="5000" w:type="pct"/>
        <w:tblLook w:val="01E0" w:firstRow="1" w:lastRow="1" w:firstColumn="1" w:lastColumn="1" w:noHBand="0" w:noVBand="0"/>
      </w:tblPr>
      <w:tblGrid>
        <w:gridCol w:w="5545"/>
        <w:gridCol w:w="1737"/>
        <w:gridCol w:w="1735"/>
      </w:tblGrid>
      <w:tr w:rsidR="00020E37" w:rsidRPr="00ED6EDE" w14:paraId="56E6D753" w14:textId="77777777" w:rsidTr="00522D2D">
        <w:trPr>
          <w:trHeight w:val="20"/>
        </w:trPr>
        <w:tc>
          <w:tcPr>
            <w:tcW w:w="3075" w:type="pct"/>
            <w:vMerge w:val="restart"/>
            <w:vAlign w:val="center"/>
          </w:tcPr>
          <w:p w14:paraId="265734E9" w14:textId="77777777" w:rsidR="00020E37" w:rsidRPr="00ED6EDE" w:rsidRDefault="00020E37" w:rsidP="00522D2D">
            <w:pPr>
              <w:pStyle w:val="Tabletext"/>
              <w:keepNext/>
              <w:keepLines/>
            </w:pPr>
            <w:r w:rsidRPr="00ED6EDE">
              <w:rPr>
                <w:b/>
                <w:bCs/>
              </w:rPr>
              <w:t>MedDRA System Organ Class Preferred Term</w:t>
            </w:r>
          </w:p>
        </w:tc>
        <w:tc>
          <w:tcPr>
            <w:tcW w:w="1925" w:type="pct"/>
            <w:gridSpan w:val="2"/>
            <w:vAlign w:val="center"/>
          </w:tcPr>
          <w:p w14:paraId="7A9590F4" w14:textId="77777777" w:rsidR="00020E37" w:rsidRPr="00ED6EDE" w:rsidRDefault="00020E37" w:rsidP="00522D2D">
            <w:pPr>
              <w:pStyle w:val="Tabletext"/>
              <w:keepNext/>
              <w:keepLines/>
              <w:jc w:val="center"/>
              <w:rPr>
                <w:b/>
                <w:bCs/>
              </w:rPr>
            </w:pPr>
            <w:r w:rsidRPr="00ED6EDE">
              <w:rPr>
                <w:b/>
                <w:bCs/>
              </w:rPr>
              <w:t>Event</w:t>
            </w:r>
            <w:r w:rsidRPr="00ED6EDE">
              <w:rPr>
                <w:b/>
                <w:bCs/>
                <w:spacing w:val="-5"/>
              </w:rPr>
              <w:t xml:space="preserve"> </w:t>
            </w:r>
            <w:r w:rsidRPr="00ED6EDE">
              <w:rPr>
                <w:b/>
                <w:bCs/>
              </w:rPr>
              <w:t>Count</w:t>
            </w:r>
            <w:r w:rsidRPr="00ED6EDE">
              <w:rPr>
                <w:b/>
                <w:bCs/>
                <w:spacing w:val="-5"/>
              </w:rPr>
              <w:t xml:space="preserve"> </w:t>
            </w:r>
            <w:r w:rsidRPr="00ED6EDE">
              <w:rPr>
                <w:b/>
                <w:bCs/>
              </w:rPr>
              <w:t>and</w:t>
            </w:r>
            <w:r w:rsidRPr="00ED6EDE">
              <w:rPr>
                <w:b/>
                <w:bCs/>
                <w:spacing w:val="-5"/>
              </w:rPr>
              <w:t xml:space="preserve"> </w:t>
            </w:r>
            <w:r w:rsidRPr="00ED6EDE">
              <w:rPr>
                <w:b/>
                <w:bCs/>
              </w:rPr>
              <w:t>Rate</w:t>
            </w:r>
            <w:r w:rsidRPr="00ED6EDE">
              <w:rPr>
                <w:b/>
                <w:bCs/>
                <w:spacing w:val="-5"/>
              </w:rPr>
              <w:t xml:space="preserve"> </w:t>
            </w:r>
            <w:r w:rsidRPr="00ED6EDE">
              <w:rPr>
                <w:b/>
                <w:bCs/>
              </w:rPr>
              <w:t>(Events/100</w:t>
            </w:r>
            <w:r w:rsidRPr="00ED6EDE">
              <w:rPr>
                <w:b/>
                <w:bCs/>
                <w:spacing w:val="-47"/>
              </w:rPr>
              <w:t xml:space="preserve"> </w:t>
            </w:r>
            <w:r w:rsidRPr="00ED6EDE">
              <w:rPr>
                <w:b/>
                <w:bCs/>
              </w:rPr>
              <w:t>person-months)</w:t>
            </w:r>
            <w:r w:rsidRPr="00ED6EDE">
              <w:rPr>
                <w:b/>
                <w:bCs/>
                <w:vertAlign w:val="superscript"/>
              </w:rPr>
              <w:t>a</w:t>
            </w:r>
          </w:p>
        </w:tc>
      </w:tr>
      <w:tr w:rsidR="00020E37" w:rsidRPr="00ED6EDE" w14:paraId="7483AEEB" w14:textId="77777777" w:rsidTr="00522D2D">
        <w:trPr>
          <w:trHeight w:val="20"/>
        </w:trPr>
        <w:tc>
          <w:tcPr>
            <w:tcW w:w="3075" w:type="pct"/>
            <w:vMerge/>
            <w:vAlign w:val="center"/>
          </w:tcPr>
          <w:p w14:paraId="70DF8090" w14:textId="77777777" w:rsidR="00020E37" w:rsidRPr="00ED6EDE" w:rsidRDefault="00020E37" w:rsidP="00522D2D">
            <w:pPr>
              <w:pStyle w:val="Tabletext"/>
              <w:keepNext/>
              <w:keepLines/>
              <w:rPr>
                <w:rFonts w:ascii="Calibri" w:eastAsia="Calibri" w:hAnsi="Calibri" w:cs="Arial"/>
                <w:sz w:val="2"/>
                <w:szCs w:val="2"/>
              </w:rPr>
            </w:pPr>
          </w:p>
        </w:tc>
        <w:tc>
          <w:tcPr>
            <w:tcW w:w="963" w:type="pct"/>
            <w:vAlign w:val="center"/>
          </w:tcPr>
          <w:p w14:paraId="4954065A" w14:textId="77777777" w:rsidR="00020E37" w:rsidRPr="00ED6EDE" w:rsidRDefault="00020E37" w:rsidP="00522D2D">
            <w:pPr>
              <w:pStyle w:val="Tabletext"/>
              <w:keepNext/>
              <w:keepLines/>
              <w:jc w:val="center"/>
              <w:rPr>
                <w:b/>
                <w:bCs/>
              </w:rPr>
            </w:pPr>
            <w:r w:rsidRPr="00ED6EDE">
              <w:rPr>
                <w:b/>
                <w:bCs/>
              </w:rPr>
              <w:t>Lenvatinib +</w:t>
            </w:r>
            <w:r w:rsidRPr="00ED6EDE">
              <w:rPr>
                <w:b/>
                <w:bCs/>
                <w:spacing w:val="1"/>
              </w:rPr>
              <w:t xml:space="preserve"> </w:t>
            </w:r>
            <w:r w:rsidRPr="00ED6EDE">
              <w:rPr>
                <w:b/>
                <w:bCs/>
              </w:rPr>
              <w:t>Pembrolizumab</w:t>
            </w:r>
          </w:p>
        </w:tc>
        <w:tc>
          <w:tcPr>
            <w:tcW w:w="963" w:type="pct"/>
            <w:vAlign w:val="center"/>
          </w:tcPr>
          <w:p w14:paraId="37849638" w14:textId="3C23C0D3" w:rsidR="00020E37" w:rsidRPr="00ED6EDE" w:rsidRDefault="00020E37" w:rsidP="00522D2D">
            <w:pPr>
              <w:pStyle w:val="Tabletext"/>
              <w:keepNext/>
              <w:keepLines/>
              <w:jc w:val="center"/>
              <w:rPr>
                <w:b/>
                <w:bCs/>
              </w:rPr>
            </w:pPr>
            <w:r w:rsidRPr="00ED6EDE">
              <w:rPr>
                <w:b/>
                <w:bCs/>
              </w:rPr>
              <w:t>Chemo</w:t>
            </w:r>
            <w:r w:rsidR="00DA0B4D" w:rsidRPr="00ED6EDE">
              <w:rPr>
                <w:b/>
                <w:bCs/>
              </w:rPr>
              <w:t>therapy</w:t>
            </w:r>
          </w:p>
        </w:tc>
      </w:tr>
      <w:tr w:rsidR="00020E37" w:rsidRPr="00ED6EDE" w14:paraId="1781A926" w14:textId="77777777" w:rsidTr="00522D2D">
        <w:trPr>
          <w:trHeight w:val="20"/>
        </w:trPr>
        <w:tc>
          <w:tcPr>
            <w:tcW w:w="3075" w:type="pct"/>
          </w:tcPr>
          <w:p w14:paraId="7ADA5FA2" w14:textId="77777777" w:rsidR="00020E37" w:rsidRPr="00ED6EDE" w:rsidRDefault="00020E37" w:rsidP="00522D2D">
            <w:pPr>
              <w:pStyle w:val="Tabletext"/>
              <w:keepNext/>
              <w:keepLines/>
            </w:pPr>
            <w:r w:rsidRPr="00ED6EDE">
              <w:t>Number</w:t>
            </w:r>
            <w:r w:rsidRPr="00ED6EDE">
              <w:rPr>
                <w:spacing w:val="-8"/>
              </w:rPr>
              <w:t xml:space="preserve"> </w:t>
            </w:r>
            <w:r w:rsidRPr="00ED6EDE">
              <w:t>of</w:t>
            </w:r>
            <w:r w:rsidRPr="00ED6EDE">
              <w:rPr>
                <w:spacing w:val="-7"/>
              </w:rPr>
              <w:t xml:space="preserve"> </w:t>
            </w:r>
            <w:r w:rsidRPr="00ED6EDE">
              <w:t>participants</w:t>
            </w:r>
            <w:r w:rsidRPr="00ED6EDE">
              <w:rPr>
                <w:spacing w:val="-8"/>
              </w:rPr>
              <w:t xml:space="preserve"> </w:t>
            </w:r>
            <w:r w:rsidRPr="00ED6EDE">
              <w:t>exposed</w:t>
            </w:r>
          </w:p>
          <w:p w14:paraId="2693CA35" w14:textId="77777777" w:rsidR="00020E37" w:rsidRPr="00ED6EDE" w:rsidRDefault="00020E37" w:rsidP="00522D2D">
            <w:pPr>
              <w:pStyle w:val="Tabletext"/>
              <w:keepNext/>
              <w:keepLines/>
            </w:pPr>
            <w:r w:rsidRPr="00ED6EDE">
              <w:t>Total</w:t>
            </w:r>
            <w:r w:rsidRPr="00ED6EDE">
              <w:rPr>
                <w:spacing w:val="-3"/>
              </w:rPr>
              <w:t xml:space="preserve"> </w:t>
            </w:r>
            <w:proofErr w:type="spellStart"/>
            <w:r w:rsidRPr="00ED6EDE">
              <w:t>exposure</w:t>
            </w:r>
            <w:r w:rsidRPr="00ED6EDE">
              <w:rPr>
                <w:vertAlign w:val="superscript"/>
              </w:rPr>
              <w:t>b</w:t>
            </w:r>
            <w:proofErr w:type="spellEnd"/>
            <w:r w:rsidRPr="00ED6EDE">
              <w:rPr>
                <w:spacing w:val="-2"/>
              </w:rPr>
              <w:t xml:space="preserve"> </w:t>
            </w:r>
            <w:r w:rsidRPr="00ED6EDE">
              <w:t>in</w:t>
            </w:r>
            <w:r w:rsidRPr="00ED6EDE">
              <w:rPr>
                <w:spacing w:val="-3"/>
              </w:rPr>
              <w:t xml:space="preserve"> </w:t>
            </w:r>
            <w:r w:rsidRPr="00ED6EDE">
              <w:t>person-months</w:t>
            </w:r>
          </w:p>
        </w:tc>
        <w:tc>
          <w:tcPr>
            <w:tcW w:w="963" w:type="pct"/>
          </w:tcPr>
          <w:p w14:paraId="0EC10C94" w14:textId="77777777" w:rsidR="00020E37" w:rsidRPr="00ED6EDE" w:rsidRDefault="00020E37" w:rsidP="00522D2D">
            <w:pPr>
              <w:pStyle w:val="Tabletext"/>
              <w:keepNext/>
              <w:keepLines/>
              <w:jc w:val="center"/>
            </w:pPr>
            <w:r w:rsidRPr="00ED6EDE">
              <w:t>406</w:t>
            </w:r>
          </w:p>
          <w:p w14:paraId="1F0C3B85" w14:textId="77777777" w:rsidR="00020E37" w:rsidRPr="00ED6EDE" w:rsidRDefault="00020E37" w:rsidP="00522D2D">
            <w:pPr>
              <w:pStyle w:val="Tabletext"/>
              <w:keepNext/>
              <w:keepLines/>
              <w:jc w:val="center"/>
            </w:pPr>
            <w:r w:rsidRPr="00ED6EDE">
              <w:t>3919.5</w:t>
            </w:r>
          </w:p>
        </w:tc>
        <w:tc>
          <w:tcPr>
            <w:tcW w:w="963" w:type="pct"/>
          </w:tcPr>
          <w:p w14:paraId="3354282C" w14:textId="77777777" w:rsidR="00020E37" w:rsidRPr="00ED6EDE" w:rsidRDefault="00020E37" w:rsidP="00522D2D">
            <w:pPr>
              <w:pStyle w:val="Tabletext"/>
              <w:keepNext/>
              <w:keepLines/>
              <w:jc w:val="center"/>
            </w:pPr>
            <w:r w:rsidRPr="00ED6EDE">
              <w:t>388</w:t>
            </w:r>
          </w:p>
          <w:p w14:paraId="3E95E512" w14:textId="77777777" w:rsidR="00020E37" w:rsidRPr="00ED6EDE" w:rsidRDefault="00020E37" w:rsidP="00522D2D">
            <w:pPr>
              <w:pStyle w:val="Tabletext"/>
              <w:keepNext/>
              <w:keepLines/>
              <w:jc w:val="center"/>
            </w:pPr>
            <w:r w:rsidRPr="00ED6EDE">
              <w:t>1765.2</w:t>
            </w:r>
          </w:p>
        </w:tc>
      </w:tr>
      <w:tr w:rsidR="00020E37" w:rsidRPr="00ED6EDE" w14:paraId="7B6ECC68" w14:textId="77777777" w:rsidTr="00522D2D">
        <w:trPr>
          <w:trHeight w:val="20"/>
        </w:trPr>
        <w:tc>
          <w:tcPr>
            <w:tcW w:w="3075" w:type="pct"/>
          </w:tcPr>
          <w:p w14:paraId="6442E6D4" w14:textId="77777777" w:rsidR="00020E37" w:rsidRPr="00ED6EDE" w:rsidRDefault="00020E37" w:rsidP="00522D2D">
            <w:pPr>
              <w:pStyle w:val="Tabletext"/>
              <w:keepNext/>
              <w:keepLines/>
            </w:pPr>
            <w:r w:rsidRPr="00ED6EDE">
              <w:t>Blood</w:t>
            </w:r>
            <w:r w:rsidRPr="00ED6EDE">
              <w:rPr>
                <w:spacing w:val="-8"/>
              </w:rPr>
              <w:t xml:space="preserve"> </w:t>
            </w:r>
            <w:r w:rsidRPr="00ED6EDE">
              <w:t>and</w:t>
            </w:r>
            <w:r w:rsidRPr="00ED6EDE">
              <w:rPr>
                <w:spacing w:val="-7"/>
              </w:rPr>
              <w:t xml:space="preserve"> </w:t>
            </w:r>
            <w:r w:rsidRPr="00ED6EDE">
              <w:t>lymphatic</w:t>
            </w:r>
            <w:r w:rsidRPr="00ED6EDE">
              <w:rPr>
                <w:spacing w:val="-7"/>
              </w:rPr>
              <w:t xml:space="preserve"> </w:t>
            </w:r>
            <w:r w:rsidRPr="00ED6EDE">
              <w:t>system</w:t>
            </w:r>
            <w:r w:rsidRPr="00ED6EDE">
              <w:rPr>
                <w:spacing w:val="-8"/>
              </w:rPr>
              <w:t xml:space="preserve"> </w:t>
            </w:r>
            <w:r w:rsidRPr="00ED6EDE">
              <w:t>disorders</w:t>
            </w:r>
          </w:p>
        </w:tc>
        <w:tc>
          <w:tcPr>
            <w:tcW w:w="963" w:type="pct"/>
          </w:tcPr>
          <w:p w14:paraId="759E2C8D" w14:textId="77777777" w:rsidR="00020E37" w:rsidRPr="00ED6EDE" w:rsidRDefault="00020E37" w:rsidP="00522D2D">
            <w:pPr>
              <w:pStyle w:val="Tabletext"/>
              <w:keepNext/>
              <w:keepLines/>
              <w:jc w:val="center"/>
            </w:pPr>
            <w:r w:rsidRPr="00ED6EDE">
              <w:t>53</w:t>
            </w:r>
            <w:r w:rsidRPr="00ED6EDE">
              <w:rPr>
                <w:spacing w:val="-1"/>
              </w:rPr>
              <w:t xml:space="preserve"> </w:t>
            </w:r>
            <w:r w:rsidRPr="00ED6EDE">
              <w:t>(1.4)</w:t>
            </w:r>
          </w:p>
        </w:tc>
        <w:tc>
          <w:tcPr>
            <w:tcW w:w="963" w:type="pct"/>
          </w:tcPr>
          <w:p w14:paraId="50201FBF" w14:textId="77777777" w:rsidR="00020E37" w:rsidRPr="00ED6EDE" w:rsidRDefault="00020E37" w:rsidP="00522D2D">
            <w:pPr>
              <w:pStyle w:val="Tabletext"/>
              <w:keepNext/>
              <w:keepLines/>
              <w:jc w:val="center"/>
            </w:pPr>
            <w:r w:rsidRPr="00ED6EDE">
              <w:t>308</w:t>
            </w:r>
            <w:r w:rsidRPr="00ED6EDE">
              <w:rPr>
                <w:spacing w:val="-1"/>
              </w:rPr>
              <w:t xml:space="preserve"> </w:t>
            </w:r>
            <w:r w:rsidRPr="00ED6EDE">
              <w:t>(17.4)</w:t>
            </w:r>
          </w:p>
        </w:tc>
      </w:tr>
      <w:tr w:rsidR="00020E37" w:rsidRPr="00ED6EDE" w14:paraId="7BF9DB88" w14:textId="77777777" w:rsidTr="00522D2D">
        <w:trPr>
          <w:trHeight w:val="20"/>
        </w:trPr>
        <w:tc>
          <w:tcPr>
            <w:tcW w:w="3075" w:type="pct"/>
          </w:tcPr>
          <w:p w14:paraId="64A4B2CE" w14:textId="77777777" w:rsidR="00020E37" w:rsidRPr="00ED6EDE" w:rsidRDefault="00020E37" w:rsidP="00522D2D">
            <w:pPr>
              <w:pStyle w:val="Tabletext"/>
              <w:keepNext/>
              <w:keepLines/>
              <w:ind w:left="176"/>
            </w:pPr>
            <w:r w:rsidRPr="00ED6EDE">
              <w:t>Anaemia</w:t>
            </w:r>
          </w:p>
        </w:tc>
        <w:tc>
          <w:tcPr>
            <w:tcW w:w="963" w:type="pct"/>
          </w:tcPr>
          <w:p w14:paraId="1D6C80F3" w14:textId="77777777" w:rsidR="00020E37" w:rsidRPr="00ED6EDE" w:rsidRDefault="00020E37" w:rsidP="00522D2D">
            <w:pPr>
              <w:pStyle w:val="Tabletext"/>
              <w:keepNext/>
              <w:keepLines/>
              <w:jc w:val="center"/>
            </w:pPr>
            <w:r w:rsidRPr="00ED6EDE">
              <w:t>28</w:t>
            </w:r>
            <w:r w:rsidRPr="00ED6EDE">
              <w:rPr>
                <w:spacing w:val="-4"/>
              </w:rPr>
              <w:t xml:space="preserve"> </w:t>
            </w:r>
            <w:r w:rsidRPr="00ED6EDE">
              <w:t>(0.7)</w:t>
            </w:r>
          </w:p>
        </w:tc>
        <w:tc>
          <w:tcPr>
            <w:tcW w:w="963" w:type="pct"/>
          </w:tcPr>
          <w:p w14:paraId="669BA445" w14:textId="77777777" w:rsidR="00020E37" w:rsidRPr="00ED6EDE" w:rsidRDefault="00020E37" w:rsidP="00522D2D">
            <w:pPr>
              <w:pStyle w:val="Tabletext"/>
              <w:keepNext/>
              <w:keepLines/>
              <w:jc w:val="center"/>
            </w:pPr>
            <w:r w:rsidRPr="00ED6EDE">
              <w:t>68</w:t>
            </w:r>
            <w:r w:rsidRPr="00ED6EDE">
              <w:rPr>
                <w:spacing w:val="-4"/>
              </w:rPr>
              <w:t xml:space="preserve"> </w:t>
            </w:r>
            <w:r w:rsidRPr="00ED6EDE">
              <w:t>(3.9)</w:t>
            </w:r>
          </w:p>
        </w:tc>
      </w:tr>
      <w:tr w:rsidR="00020E37" w:rsidRPr="00ED6EDE" w14:paraId="7835798A" w14:textId="77777777" w:rsidTr="00522D2D">
        <w:trPr>
          <w:trHeight w:val="20"/>
        </w:trPr>
        <w:tc>
          <w:tcPr>
            <w:tcW w:w="3075" w:type="pct"/>
          </w:tcPr>
          <w:p w14:paraId="3B67E2E6" w14:textId="77777777" w:rsidR="00020E37" w:rsidRPr="00ED6EDE" w:rsidRDefault="00020E37" w:rsidP="00522D2D">
            <w:pPr>
              <w:pStyle w:val="Tabletext"/>
              <w:keepNext/>
              <w:keepLines/>
              <w:ind w:left="176"/>
            </w:pPr>
            <w:r w:rsidRPr="00ED6EDE">
              <w:t>Febrile</w:t>
            </w:r>
            <w:r w:rsidRPr="00ED6EDE">
              <w:rPr>
                <w:spacing w:val="-10"/>
              </w:rPr>
              <w:t xml:space="preserve"> </w:t>
            </w:r>
            <w:r w:rsidRPr="00ED6EDE">
              <w:t>neutropenia</w:t>
            </w:r>
          </w:p>
        </w:tc>
        <w:tc>
          <w:tcPr>
            <w:tcW w:w="963" w:type="pct"/>
          </w:tcPr>
          <w:p w14:paraId="1B785A03" w14:textId="77777777" w:rsidR="00020E37" w:rsidRPr="00ED6EDE" w:rsidRDefault="00020E37" w:rsidP="00522D2D">
            <w:pPr>
              <w:pStyle w:val="Tabletext"/>
              <w:keepNext/>
              <w:keepLines/>
              <w:jc w:val="center"/>
            </w:pPr>
            <w:r w:rsidRPr="00ED6EDE">
              <w:t>2</w:t>
            </w:r>
            <w:r w:rsidRPr="00ED6EDE">
              <w:rPr>
                <w:spacing w:val="-4"/>
              </w:rPr>
              <w:t xml:space="preserve"> </w:t>
            </w:r>
            <w:r w:rsidRPr="00ED6EDE">
              <w:t>(0.1)</w:t>
            </w:r>
          </w:p>
        </w:tc>
        <w:tc>
          <w:tcPr>
            <w:tcW w:w="963" w:type="pct"/>
          </w:tcPr>
          <w:p w14:paraId="7321F15D" w14:textId="77777777" w:rsidR="00020E37" w:rsidRPr="00ED6EDE" w:rsidRDefault="00020E37" w:rsidP="00522D2D">
            <w:pPr>
              <w:pStyle w:val="Tabletext"/>
              <w:keepNext/>
              <w:keepLines/>
              <w:jc w:val="center"/>
            </w:pPr>
            <w:r w:rsidRPr="00ED6EDE">
              <w:t>23</w:t>
            </w:r>
            <w:r w:rsidRPr="00ED6EDE">
              <w:rPr>
                <w:spacing w:val="-4"/>
              </w:rPr>
              <w:t xml:space="preserve"> </w:t>
            </w:r>
            <w:r w:rsidRPr="00ED6EDE">
              <w:t>(1.3)</w:t>
            </w:r>
          </w:p>
        </w:tc>
      </w:tr>
      <w:tr w:rsidR="00020E37" w:rsidRPr="00ED6EDE" w14:paraId="60152B5E" w14:textId="77777777" w:rsidTr="00522D2D">
        <w:trPr>
          <w:trHeight w:val="20"/>
        </w:trPr>
        <w:tc>
          <w:tcPr>
            <w:tcW w:w="3075" w:type="pct"/>
          </w:tcPr>
          <w:p w14:paraId="36848D9B" w14:textId="77777777" w:rsidR="00020E37" w:rsidRPr="00ED6EDE" w:rsidRDefault="00020E37" w:rsidP="00522D2D">
            <w:pPr>
              <w:pStyle w:val="Tabletext"/>
              <w:keepNext/>
              <w:keepLines/>
              <w:ind w:left="176"/>
            </w:pPr>
            <w:r w:rsidRPr="00ED6EDE">
              <w:t>Leukopenia</w:t>
            </w:r>
          </w:p>
        </w:tc>
        <w:tc>
          <w:tcPr>
            <w:tcW w:w="963" w:type="pct"/>
          </w:tcPr>
          <w:p w14:paraId="1639517F" w14:textId="77777777" w:rsidR="00020E37" w:rsidRPr="00ED6EDE" w:rsidRDefault="00020E37" w:rsidP="00522D2D">
            <w:pPr>
              <w:pStyle w:val="Tabletext"/>
              <w:keepNext/>
              <w:keepLines/>
              <w:jc w:val="center"/>
            </w:pPr>
            <w:r w:rsidRPr="00ED6EDE">
              <w:t>0</w:t>
            </w:r>
            <w:r w:rsidRPr="00ED6EDE">
              <w:rPr>
                <w:spacing w:val="-4"/>
              </w:rPr>
              <w:t xml:space="preserve"> </w:t>
            </w:r>
            <w:r w:rsidRPr="00ED6EDE">
              <w:t>(0.0)</w:t>
            </w:r>
          </w:p>
        </w:tc>
        <w:tc>
          <w:tcPr>
            <w:tcW w:w="963" w:type="pct"/>
          </w:tcPr>
          <w:p w14:paraId="2FF834FA" w14:textId="77777777" w:rsidR="00020E37" w:rsidRPr="00ED6EDE" w:rsidRDefault="00020E37" w:rsidP="00522D2D">
            <w:pPr>
              <w:pStyle w:val="Tabletext"/>
              <w:keepNext/>
              <w:keepLines/>
              <w:jc w:val="center"/>
            </w:pPr>
            <w:r w:rsidRPr="00ED6EDE">
              <w:t>43</w:t>
            </w:r>
            <w:r w:rsidRPr="00ED6EDE">
              <w:rPr>
                <w:spacing w:val="-4"/>
              </w:rPr>
              <w:t xml:space="preserve"> </w:t>
            </w:r>
            <w:r w:rsidRPr="00ED6EDE">
              <w:t>(2.4)</w:t>
            </w:r>
          </w:p>
        </w:tc>
      </w:tr>
      <w:tr w:rsidR="00020E37" w:rsidRPr="00ED6EDE" w14:paraId="258BF9EB" w14:textId="77777777" w:rsidTr="00522D2D">
        <w:trPr>
          <w:trHeight w:val="20"/>
        </w:trPr>
        <w:tc>
          <w:tcPr>
            <w:tcW w:w="3075" w:type="pct"/>
          </w:tcPr>
          <w:p w14:paraId="272D991B" w14:textId="77777777" w:rsidR="00020E37" w:rsidRPr="00ED6EDE" w:rsidRDefault="00020E37" w:rsidP="00522D2D">
            <w:pPr>
              <w:pStyle w:val="Tabletext"/>
              <w:keepNext/>
              <w:keepLines/>
              <w:ind w:left="176"/>
            </w:pPr>
            <w:r w:rsidRPr="00ED6EDE">
              <w:t>Neutropenia</w:t>
            </w:r>
          </w:p>
        </w:tc>
        <w:tc>
          <w:tcPr>
            <w:tcW w:w="963" w:type="pct"/>
          </w:tcPr>
          <w:p w14:paraId="1B576020" w14:textId="77777777" w:rsidR="00020E37" w:rsidRPr="00ED6EDE" w:rsidRDefault="00020E37" w:rsidP="00522D2D">
            <w:pPr>
              <w:pStyle w:val="Tabletext"/>
              <w:keepNext/>
              <w:keepLines/>
              <w:jc w:val="center"/>
            </w:pPr>
            <w:r w:rsidRPr="00ED6EDE">
              <w:t>7</w:t>
            </w:r>
            <w:r w:rsidRPr="00ED6EDE">
              <w:rPr>
                <w:spacing w:val="-4"/>
              </w:rPr>
              <w:t xml:space="preserve"> </w:t>
            </w:r>
            <w:r w:rsidRPr="00ED6EDE">
              <w:t>(0.2)</w:t>
            </w:r>
          </w:p>
        </w:tc>
        <w:tc>
          <w:tcPr>
            <w:tcW w:w="963" w:type="pct"/>
          </w:tcPr>
          <w:p w14:paraId="020F71C3" w14:textId="77777777" w:rsidR="00020E37" w:rsidRPr="00ED6EDE" w:rsidRDefault="00020E37" w:rsidP="00522D2D">
            <w:pPr>
              <w:pStyle w:val="Tabletext"/>
              <w:keepNext/>
              <w:keepLines/>
              <w:jc w:val="center"/>
            </w:pPr>
            <w:r w:rsidRPr="00ED6EDE">
              <w:t>147</w:t>
            </w:r>
            <w:r w:rsidRPr="00ED6EDE">
              <w:rPr>
                <w:spacing w:val="-5"/>
              </w:rPr>
              <w:t xml:space="preserve"> </w:t>
            </w:r>
            <w:r w:rsidRPr="00ED6EDE">
              <w:t>(8.3)</w:t>
            </w:r>
          </w:p>
        </w:tc>
      </w:tr>
      <w:tr w:rsidR="00020E37" w:rsidRPr="00ED6EDE" w14:paraId="77022836" w14:textId="77777777" w:rsidTr="00522D2D">
        <w:trPr>
          <w:trHeight w:val="20"/>
        </w:trPr>
        <w:tc>
          <w:tcPr>
            <w:tcW w:w="3075" w:type="pct"/>
          </w:tcPr>
          <w:p w14:paraId="05FF6912" w14:textId="77777777" w:rsidR="00020E37" w:rsidRPr="00ED6EDE" w:rsidRDefault="00020E37" w:rsidP="00522D2D">
            <w:pPr>
              <w:pStyle w:val="Tabletext"/>
              <w:keepNext/>
              <w:keepLines/>
            </w:pPr>
            <w:r w:rsidRPr="00ED6EDE">
              <w:rPr>
                <w:spacing w:val="-1"/>
              </w:rPr>
              <w:t>Gastrointestinal</w:t>
            </w:r>
            <w:r w:rsidRPr="00ED6EDE">
              <w:rPr>
                <w:spacing w:val="-6"/>
              </w:rPr>
              <w:t xml:space="preserve"> </w:t>
            </w:r>
            <w:r w:rsidRPr="00ED6EDE">
              <w:t>disorders</w:t>
            </w:r>
          </w:p>
        </w:tc>
        <w:tc>
          <w:tcPr>
            <w:tcW w:w="963" w:type="pct"/>
          </w:tcPr>
          <w:p w14:paraId="326E809A" w14:textId="77777777" w:rsidR="00020E37" w:rsidRPr="00ED6EDE" w:rsidRDefault="00020E37" w:rsidP="00522D2D">
            <w:pPr>
              <w:pStyle w:val="Tabletext"/>
              <w:keepNext/>
              <w:keepLines/>
              <w:jc w:val="center"/>
            </w:pPr>
            <w:r w:rsidRPr="00ED6EDE">
              <w:t>150</w:t>
            </w:r>
            <w:r w:rsidRPr="00ED6EDE">
              <w:rPr>
                <w:spacing w:val="-3"/>
              </w:rPr>
              <w:t xml:space="preserve"> </w:t>
            </w:r>
            <w:r w:rsidRPr="00ED6EDE">
              <w:t>(3.8)</w:t>
            </w:r>
          </w:p>
        </w:tc>
        <w:tc>
          <w:tcPr>
            <w:tcW w:w="963" w:type="pct"/>
          </w:tcPr>
          <w:p w14:paraId="54485C1A" w14:textId="77777777" w:rsidR="00020E37" w:rsidRPr="00ED6EDE" w:rsidRDefault="00020E37" w:rsidP="00522D2D">
            <w:pPr>
              <w:pStyle w:val="Tabletext"/>
              <w:keepNext/>
              <w:keepLines/>
              <w:jc w:val="center"/>
            </w:pPr>
            <w:r w:rsidRPr="00ED6EDE">
              <w:t>52</w:t>
            </w:r>
            <w:r w:rsidRPr="00ED6EDE">
              <w:rPr>
                <w:spacing w:val="-1"/>
              </w:rPr>
              <w:t xml:space="preserve"> </w:t>
            </w:r>
            <w:r w:rsidRPr="00ED6EDE">
              <w:t>(2.9)</w:t>
            </w:r>
          </w:p>
        </w:tc>
      </w:tr>
      <w:tr w:rsidR="00020E37" w:rsidRPr="00ED6EDE" w14:paraId="6CA7F00E" w14:textId="77777777" w:rsidTr="00522D2D">
        <w:trPr>
          <w:trHeight w:val="20"/>
        </w:trPr>
        <w:tc>
          <w:tcPr>
            <w:tcW w:w="3075" w:type="pct"/>
          </w:tcPr>
          <w:p w14:paraId="28CD867F" w14:textId="77777777" w:rsidR="00020E37" w:rsidRPr="00ED6EDE" w:rsidRDefault="00020E37" w:rsidP="00522D2D">
            <w:pPr>
              <w:pStyle w:val="Tabletext"/>
              <w:keepNext/>
              <w:keepLines/>
              <w:ind w:left="176"/>
            </w:pPr>
            <w:r w:rsidRPr="00ED6EDE">
              <w:t>Diarrhoea</w:t>
            </w:r>
          </w:p>
        </w:tc>
        <w:tc>
          <w:tcPr>
            <w:tcW w:w="963" w:type="pct"/>
          </w:tcPr>
          <w:p w14:paraId="6FAD78BF" w14:textId="77777777" w:rsidR="00020E37" w:rsidRPr="00ED6EDE" w:rsidRDefault="00020E37" w:rsidP="00522D2D">
            <w:pPr>
              <w:pStyle w:val="Tabletext"/>
              <w:keepNext/>
              <w:keepLines/>
              <w:jc w:val="center"/>
            </w:pPr>
            <w:r w:rsidRPr="00ED6EDE">
              <w:t>35</w:t>
            </w:r>
            <w:r w:rsidRPr="00ED6EDE">
              <w:rPr>
                <w:spacing w:val="-4"/>
              </w:rPr>
              <w:t xml:space="preserve"> </w:t>
            </w:r>
            <w:r w:rsidRPr="00ED6EDE">
              <w:t>(0.9)</w:t>
            </w:r>
          </w:p>
        </w:tc>
        <w:tc>
          <w:tcPr>
            <w:tcW w:w="963" w:type="pct"/>
          </w:tcPr>
          <w:p w14:paraId="6CFE2395" w14:textId="77777777" w:rsidR="00020E37" w:rsidRPr="00ED6EDE" w:rsidRDefault="00020E37" w:rsidP="00522D2D">
            <w:pPr>
              <w:pStyle w:val="Tabletext"/>
              <w:keepNext/>
              <w:keepLines/>
              <w:jc w:val="center"/>
            </w:pPr>
            <w:r w:rsidRPr="00ED6EDE">
              <w:t>8</w:t>
            </w:r>
            <w:r w:rsidRPr="00ED6EDE">
              <w:rPr>
                <w:spacing w:val="-3"/>
              </w:rPr>
              <w:t xml:space="preserve"> </w:t>
            </w:r>
            <w:r w:rsidRPr="00ED6EDE">
              <w:t>(0.5)</w:t>
            </w:r>
          </w:p>
        </w:tc>
      </w:tr>
      <w:tr w:rsidR="00020E37" w:rsidRPr="00ED6EDE" w14:paraId="041558DE" w14:textId="77777777" w:rsidTr="00522D2D">
        <w:trPr>
          <w:trHeight w:val="20"/>
        </w:trPr>
        <w:tc>
          <w:tcPr>
            <w:tcW w:w="3075" w:type="pct"/>
          </w:tcPr>
          <w:p w14:paraId="01B13CB4" w14:textId="77777777" w:rsidR="00020E37" w:rsidRPr="00ED6EDE" w:rsidRDefault="00020E37" w:rsidP="00522D2D">
            <w:pPr>
              <w:pStyle w:val="Tabletext"/>
              <w:keepNext/>
              <w:keepLines/>
            </w:pPr>
            <w:r w:rsidRPr="00ED6EDE">
              <w:t>General</w:t>
            </w:r>
            <w:r w:rsidRPr="00ED6EDE">
              <w:rPr>
                <w:spacing w:val="-8"/>
              </w:rPr>
              <w:t xml:space="preserve"> </w:t>
            </w:r>
            <w:r w:rsidRPr="00ED6EDE">
              <w:t>disorders</w:t>
            </w:r>
            <w:r w:rsidRPr="00ED6EDE">
              <w:rPr>
                <w:spacing w:val="-8"/>
              </w:rPr>
              <w:t xml:space="preserve"> </w:t>
            </w:r>
            <w:r w:rsidRPr="00ED6EDE">
              <w:t>and</w:t>
            </w:r>
            <w:r w:rsidRPr="00ED6EDE">
              <w:rPr>
                <w:spacing w:val="-8"/>
              </w:rPr>
              <w:t xml:space="preserve"> </w:t>
            </w:r>
            <w:r w:rsidRPr="00ED6EDE">
              <w:t>administration</w:t>
            </w:r>
            <w:r w:rsidRPr="00ED6EDE">
              <w:rPr>
                <w:spacing w:val="-8"/>
              </w:rPr>
              <w:t xml:space="preserve"> </w:t>
            </w:r>
            <w:r w:rsidRPr="00ED6EDE">
              <w:t>site</w:t>
            </w:r>
            <w:r w:rsidRPr="00ED6EDE">
              <w:rPr>
                <w:spacing w:val="-8"/>
              </w:rPr>
              <w:t xml:space="preserve"> </w:t>
            </w:r>
            <w:r w:rsidRPr="00ED6EDE">
              <w:t>conditions</w:t>
            </w:r>
          </w:p>
        </w:tc>
        <w:tc>
          <w:tcPr>
            <w:tcW w:w="963" w:type="pct"/>
          </w:tcPr>
          <w:p w14:paraId="0772835C" w14:textId="77777777" w:rsidR="00020E37" w:rsidRPr="00ED6EDE" w:rsidRDefault="00020E37" w:rsidP="00522D2D">
            <w:pPr>
              <w:pStyle w:val="Tabletext"/>
              <w:keepNext/>
              <w:keepLines/>
              <w:jc w:val="center"/>
            </w:pPr>
            <w:r w:rsidRPr="00ED6EDE">
              <w:t>75</w:t>
            </w:r>
            <w:r w:rsidRPr="00ED6EDE">
              <w:rPr>
                <w:spacing w:val="-1"/>
              </w:rPr>
              <w:t xml:space="preserve"> </w:t>
            </w:r>
            <w:r w:rsidRPr="00ED6EDE">
              <w:t>(1.9)</w:t>
            </w:r>
          </w:p>
        </w:tc>
        <w:tc>
          <w:tcPr>
            <w:tcW w:w="963" w:type="pct"/>
          </w:tcPr>
          <w:p w14:paraId="4F261C37" w14:textId="77777777" w:rsidR="00020E37" w:rsidRPr="00ED6EDE" w:rsidRDefault="00020E37" w:rsidP="00522D2D">
            <w:pPr>
              <w:pStyle w:val="Tabletext"/>
              <w:keepNext/>
              <w:keepLines/>
              <w:jc w:val="center"/>
            </w:pPr>
            <w:r w:rsidRPr="00ED6EDE">
              <w:t>49</w:t>
            </w:r>
            <w:r w:rsidRPr="00ED6EDE">
              <w:rPr>
                <w:spacing w:val="-1"/>
              </w:rPr>
              <w:t xml:space="preserve"> </w:t>
            </w:r>
            <w:r w:rsidRPr="00ED6EDE">
              <w:t>(2.8)</w:t>
            </w:r>
          </w:p>
        </w:tc>
      </w:tr>
      <w:tr w:rsidR="00020E37" w:rsidRPr="00ED6EDE" w14:paraId="0BB5D8EA" w14:textId="77777777" w:rsidTr="00522D2D">
        <w:trPr>
          <w:trHeight w:val="20"/>
        </w:trPr>
        <w:tc>
          <w:tcPr>
            <w:tcW w:w="3075" w:type="pct"/>
          </w:tcPr>
          <w:p w14:paraId="41FF009C" w14:textId="77777777" w:rsidR="00020E37" w:rsidRPr="00ED6EDE" w:rsidRDefault="00020E37" w:rsidP="00522D2D">
            <w:pPr>
              <w:pStyle w:val="Tabletext"/>
              <w:keepNext/>
              <w:keepLines/>
              <w:ind w:left="176"/>
            </w:pPr>
            <w:r w:rsidRPr="00ED6EDE">
              <w:t>Asthenia</w:t>
            </w:r>
          </w:p>
        </w:tc>
        <w:tc>
          <w:tcPr>
            <w:tcW w:w="963" w:type="pct"/>
          </w:tcPr>
          <w:p w14:paraId="6EC730D8" w14:textId="77777777" w:rsidR="00020E37" w:rsidRPr="00ED6EDE" w:rsidRDefault="00020E37" w:rsidP="00522D2D">
            <w:pPr>
              <w:pStyle w:val="Tabletext"/>
              <w:keepNext/>
              <w:keepLines/>
              <w:jc w:val="center"/>
            </w:pPr>
            <w:r w:rsidRPr="00ED6EDE">
              <w:t>25</w:t>
            </w:r>
            <w:r w:rsidRPr="00ED6EDE">
              <w:rPr>
                <w:spacing w:val="-4"/>
              </w:rPr>
              <w:t xml:space="preserve"> </w:t>
            </w:r>
            <w:r w:rsidRPr="00ED6EDE">
              <w:t>(0.6)</w:t>
            </w:r>
          </w:p>
        </w:tc>
        <w:tc>
          <w:tcPr>
            <w:tcW w:w="963" w:type="pct"/>
          </w:tcPr>
          <w:p w14:paraId="6AA9B5F1" w14:textId="77777777" w:rsidR="00020E37" w:rsidRPr="00ED6EDE" w:rsidRDefault="00020E37" w:rsidP="00522D2D">
            <w:pPr>
              <w:pStyle w:val="Tabletext"/>
              <w:keepNext/>
              <w:keepLines/>
              <w:jc w:val="center"/>
            </w:pPr>
            <w:r w:rsidRPr="00ED6EDE">
              <w:t>15</w:t>
            </w:r>
            <w:r w:rsidRPr="00ED6EDE">
              <w:rPr>
                <w:spacing w:val="-4"/>
              </w:rPr>
              <w:t xml:space="preserve"> </w:t>
            </w:r>
            <w:r w:rsidRPr="00ED6EDE">
              <w:t>(0.8)</w:t>
            </w:r>
          </w:p>
        </w:tc>
      </w:tr>
      <w:tr w:rsidR="00020E37" w:rsidRPr="00ED6EDE" w14:paraId="280D327C" w14:textId="77777777" w:rsidTr="00522D2D">
        <w:trPr>
          <w:trHeight w:val="20"/>
        </w:trPr>
        <w:tc>
          <w:tcPr>
            <w:tcW w:w="3075" w:type="pct"/>
          </w:tcPr>
          <w:p w14:paraId="5A4F2DDF" w14:textId="77777777" w:rsidR="00020E37" w:rsidRPr="00ED6EDE" w:rsidRDefault="00020E37" w:rsidP="00522D2D">
            <w:pPr>
              <w:pStyle w:val="Tabletext"/>
              <w:keepNext/>
              <w:keepLines/>
              <w:ind w:left="176"/>
            </w:pPr>
            <w:r w:rsidRPr="00ED6EDE">
              <w:t>Fatigue</w:t>
            </w:r>
          </w:p>
        </w:tc>
        <w:tc>
          <w:tcPr>
            <w:tcW w:w="963" w:type="pct"/>
          </w:tcPr>
          <w:p w14:paraId="2A9FABF0" w14:textId="77777777" w:rsidR="00020E37" w:rsidRPr="00ED6EDE" w:rsidRDefault="00020E37" w:rsidP="00522D2D">
            <w:pPr>
              <w:pStyle w:val="Tabletext"/>
              <w:keepNext/>
              <w:keepLines/>
              <w:jc w:val="center"/>
            </w:pPr>
            <w:r w:rsidRPr="00ED6EDE">
              <w:t>21</w:t>
            </w:r>
            <w:r w:rsidRPr="00ED6EDE">
              <w:rPr>
                <w:spacing w:val="-4"/>
              </w:rPr>
              <w:t xml:space="preserve"> </w:t>
            </w:r>
            <w:r w:rsidRPr="00ED6EDE">
              <w:t>(0.5)</w:t>
            </w:r>
          </w:p>
        </w:tc>
        <w:tc>
          <w:tcPr>
            <w:tcW w:w="963" w:type="pct"/>
          </w:tcPr>
          <w:p w14:paraId="4A93ED8E" w14:textId="77777777" w:rsidR="00020E37" w:rsidRPr="00ED6EDE" w:rsidRDefault="00020E37" w:rsidP="00522D2D">
            <w:pPr>
              <w:pStyle w:val="Tabletext"/>
              <w:keepNext/>
              <w:keepLines/>
              <w:jc w:val="center"/>
            </w:pPr>
            <w:r w:rsidRPr="00ED6EDE">
              <w:t>18</w:t>
            </w:r>
            <w:r w:rsidRPr="00ED6EDE">
              <w:rPr>
                <w:spacing w:val="-4"/>
              </w:rPr>
              <w:t xml:space="preserve"> </w:t>
            </w:r>
            <w:r w:rsidRPr="00ED6EDE">
              <w:t>(1.0)</w:t>
            </w:r>
          </w:p>
        </w:tc>
      </w:tr>
      <w:tr w:rsidR="00020E37" w:rsidRPr="00ED6EDE" w14:paraId="2329AF93" w14:textId="77777777" w:rsidTr="00522D2D">
        <w:trPr>
          <w:trHeight w:val="20"/>
        </w:trPr>
        <w:tc>
          <w:tcPr>
            <w:tcW w:w="3075" w:type="pct"/>
          </w:tcPr>
          <w:p w14:paraId="1D5686FB" w14:textId="77777777" w:rsidR="00020E37" w:rsidRPr="00ED6EDE" w:rsidRDefault="00020E37" w:rsidP="00522D2D">
            <w:pPr>
              <w:pStyle w:val="Tabletext"/>
              <w:keepNext/>
              <w:keepLines/>
            </w:pPr>
            <w:r w:rsidRPr="00ED6EDE">
              <w:t>Hepatobiliary</w:t>
            </w:r>
            <w:r w:rsidRPr="00ED6EDE">
              <w:rPr>
                <w:spacing w:val="-11"/>
              </w:rPr>
              <w:t xml:space="preserve"> </w:t>
            </w:r>
            <w:r w:rsidRPr="00ED6EDE">
              <w:t>disorders</w:t>
            </w:r>
          </w:p>
        </w:tc>
        <w:tc>
          <w:tcPr>
            <w:tcW w:w="963" w:type="pct"/>
          </w:tcPr>
          <w:p w14:paraId="1B850D0C" w14:textId="77777777" w:rsidR="00020E37" w:rsidRPr="00ED6EDE" w:rsidRDefault="00020E37" w:rsidP="00522D2D">
            <w:pPr>
              <w:pStyle w:val="Tabletext"/>
              <w:keepNext/>
              <w:keepLines/>
              <w:jc w:val="center"/>
            </w:pPr>
            <w:r w:rsidRPr="00ED6EDE">
              <w:t>32</w:t>
            </w:r>
            <w:r w:rsidRPr="00ED6EDE">
              <w:rPr>
                <w:spacing w:val="-1"/>
              </w:rPr>
              <w:t xml:space="preserve"> </w:t>
            </w:r>
            <w:r w:rsidRPr="00ED6EDE">
              <w:t>(0.8)</w:t>
            </w:r>
          </w:p>
        </w:tc>
        <w:tc>
          <w:tcPr>
            <w:tcW w:w="963" w:type="pct"/>
          </w:tcPr>
          <w:p w14:paraId="5A52523C" w14:textId="77777777" w:rsidR="00020E37" w:rsidRPr="00ED6EDE" w:rsidRDefault="00020E37" w:rsidP="00522D2D">
            <w:pPr>
              <w:pStyle w:val="Tabletext"/>
              <w:keepNext/>
              <w:keepLines/>
              <w:jc w:val="center"/>
            </w:pPr>
            <w:r w:rsidRPr="00ED6EDE">
              <w:t>1</w:t>
            </w:r>
            <w:r w:rsidRPr="00ED6EDE">
              <w:rPr>
                <w:spacing w:val="-1"/>
              </w:rPr>
              <w:t xml:space="preserve"> </w:t>
            </w:r>
            <w:r w:rsidRPr="00ED6EDE">
              <w:t>(0.1)</w:t>
            </w:r>
          </w:p>
        </w:tc>
      </w:tr>
      <w:tr w:rsidR="00020E37" w:rsidRPr="00ED6EDE" w14:paraId="34165468" w14:textId="77777777" w:rsidTr="00522D2D">
        <w:trPr>
          <w:trHeight w:val="20"/>
        </w:trPr>
        <w:tc>
          <w:tcPr>
            <w:tcW w:w="3075" w:type="pct"/>
          </w:tcPr>
          <w:p w14:paraId="114163D6" w14:textId="77777777" w:rsidR="00020E37" w:rsidRPr="00ED6EDE" w:rsidRDefault="00020E37" w:rsidP="00522D2D">
            <w:pPr>
              <w:pStyle w:val="Tabletext"/>
              <w:keepNext/>
              <w:keepLines/>
            </w:pPr>
            <w:r w:rsidRPr="00ED6EDE">
              <w:t>Infections</w:t>
            </w:r>
            <w:r w:rsidRPr="00ED6EDE">
              <w:rPr>
                <w:spacing w:val="-9"/>
              </w:rPr>
              <w:t xml:space="preserve"> </w:t>
            </w:r>
            <w:r w:rsidRPr="00ED6EDE">
              <w:t>and</w:t>
            </w:r>
            <w:r w:rsidRPr="00ED6EDE">
              <w:rPr>
                <w:spacing w:val="-9"/>
              </w:rPr>
              <w:t xml:space="preserve"> </w:t>
            </w:r>
            <w:r w:rsidRPr="00ED6EDE">
              <w:t>infestations</w:t>
            </w:r>
          </w:p>
        </w:tc>
        <w:tc>
          <w:tcPr>
            <w:tcW w:w="963" w:type="pct"/>
          </w:tcPr>
          <w:p w14:paraId="149FBC85" w14:textId="77777777" w:rsidR="00020E37" w:rsidRPr="00ED6EDE" w:rsidRDefault="00020E37" w:rsidP="00522D2D">
            <w:pPr>
              <w:pStyle w:val="Tabletext"/>
              <w:keepNext/>
              <w:keepLines/>
              <w:jc w:val="center"/>
            </w:pPr>
            <w:r w:rsidRPr="00ED6EDE">
              <w:t>89</w:t>
            </w:r>
            <w:r w:rsidRPr="00ED6EDE">
              <w:rPr>
                <w:spacing w:val="-1"/>
              </w:rPr>
              <w:t xml:space="preserve"> </w:t>
            </w:r>
            <w:r w:rsidRPr="00ED6EDE">
              <w:t>(2.3)</w:t>
            </w:r>
          </w:p>
        </w:tc>
        <w:tc>
          <w:tcPr>
            <w:tcW w:w="963" w:type="pct"/>
          </w:tcPr>
          <w:p w14:paraId="4F10017F" w14:textId="77777777" w:rsidR="00020E37" w:rsidRPr="00ED6EDE" w:rsidRDefault="00020E37" w:rsidP="00522D2D">
            <w:pPr>
              <w:pStyle w:val="Tabletext"/>
              <w:keepNext/>
              <w:keepLines/>
              <w:jc w:val="center"/>
            </w:pPr>
            <w:r w:rsidRPr="00ED6EDE">
              <w:t>39</w:t>
            </w:r>
            <w:r w:rsidRPr="00ED6EDE">
              <w:rPr>
                <w:spacing w:val="-1"/>
              </w:rPr>
              <w:t xml:space="preserve"> </w:t>
            </w:r>
            <w:r w:rsidRPr="00ED6EDE">
              <w:t>(2.2)</w:t>
            </w:r>
          </w:p>
        </w:tc>
      </w:tr>
      <w:tr w:rsidR="00020E37" w:rsidRPr="00ED6EDE" w14:paraId="4DC4EA55" w14:textId="77777777" w:rsidTr="00522D2D">
        <w:trPr>
          <w:trHeight w:val="20"/>
        </w:trPr>
        <w:tc>
          <w:tcPr>
            <w:tcW w:w="3075" w:type="pct"/>
          </w:tcPr>
          <w:p w14:paraId="57B0E981" w14:textId="77777777" w:rsidR="00020E37" w:rsidRPr="00ED6EDE" w:rsidRDefault="00020E37" w:rsidP="00522D2D">
            <w:pPr>
              <w:pStyle w:val="Tabletext"/>
              <w:keepNext/>
              <w:keepLines/>
            </w:pPr>
            <w:r w:rsidRPr="00ED6EDE">
              <w:t>Investigations</w:t>
            </w:r>
          </w:p>
        </w:tc>
        <w:tc>
          <w:tcPr>
            <w:tcW w:w="963" w:type="pct"/>
          </w:tcPr>
          <w:p w14:paraId="38FADDE5" w14:textId="77777777" w:rsidR="00020E37" w:rsidRPr="00ED6EDE" w:rsidRDefault="00020E37" w:rsidP="00522D2D">
            <w:pPr>
              <w:pStyle w:val="Tabletext"/>
              <w:keepNext/>
              <w:keepLines/>
              <w:jc w:val="center"/>
            </w:pPr>
            <w:r w:rsidRPr="00ED6EDE">
              <w:t>214</w:t>
            </w:r>
            <w:r w:rsidRPr="00ED6EDE">
              <w:rPr>
                <w:spacing w:val="-1"/>
              </w:rPr>
              <w:t xml:space="preserve"> </w:t>
            </w:r>
            <w:r w:rsidRPr="00ED6EDE">
              <w:t>(5.5)</w:t>
            </w:r>
          </w:p>
        </w:tc>
        <w:tc>
          <w:tcPr>
            <w:tcW w:w="963" w:type="pct"/>
          </w:tcPr>
          <w:p w14:paraId="0B1F607A" w14:textId="77777777" w:rsidR="00020E37" w:rsidRPr="00ED6EDE" w:rsidRDefault="00020E37" w:rsidP="00522D2D">
            <w:pPr>
              <w:pStyle w:val="Tabletext"/>
              <w:keepNext/>
              <w:keepLines/>
              <w:jc w:val="center"/>
            </w:pPr>
            <w:r w:rsidRPr="00ED6EDE">
              <w:t>281</w:t>
            </w:r>
            <w:r w:rsidRPr="00ED6EDE">
              <w:rPr>
                <w:spacing w:val="-1"/>
              </w:rPr>
              <w:t xml:space="preserve"> </w:t>
            </w:r>
            <w:r w:rsidRPr="00ED6EDE">
              <w:t>(15.9)</w:t>
            </w:r>
          </w:p>
        </w:tc>
      </w:tr>
      <w:tr w:rsidR="00020E37" w:rsidRPr="00ED6EDE" w14:paraId="57DE09D4" w14:textId="77777777" w:rsidTr="00522D2D">
        <w:trPr>
          <w:trHeight w:val="20"/>
        </w:trPr>
        <w:tc>
          <w:tcPr>
            <w:tcW w:w="3075" w:type="pct"/>
          </w:tcPr>
          <w:p w14:paraId="165E99B2" w14:textId="77777777" w:rsidR="00020E37" w:rsidRPr="00ED6EDE" w:rsidRDefault="00020E37" w:rsidP="00522D2D">
            <w:pPr>
              <w:pStyle w:val="Tabletext"/>
              <w:keepNext/>
              <w:keepLines/>
              <w:ind w:left="176"/>
            </w:pPr>
            <w:r w:rsidRPr="00ED6EDE">
              <w:t>Lipase</w:t>
            </w:r>
            <w:r w:rsidRPr="00ED6EDE">
              <w:rPr>
                <w:spacing w:val="-8"/>
              </w:rPr>
              <w:t xml:space="preserve"> </w:t>
            </w:r>
            <w:r w:rsidRPr="00ED6EDE">
              <w:t>increased</w:t>
            </w:r>
          </w:p>
        </w:tc>
        <w:tc>
          <w:tcPr>
            <w:tcW w:w="963" w:type="pct"/>
          </w:tcPr>
          <w:p w14:paraId="463AFAD6" w14:textId="77777777" w:rsidR="00020E37" w:rsidRPr="00ED6EDE" w:rsidRDefault="00020E37" w:rsidP="00522D2D">
            <w:pPr>
              <w:pStyle w:val="Tabletext"/>
              <w:keepNext/>
              <w:keepLines/>
              <w:jc w:val="center"/>
            </w:pPr>
            <w:r w:rsidRPr="00ED6EDE">
              <w:t>32</w:t>
            </w:r>
            <w:r w:rsidRPr="00ED6EDE">
              <w:rPr>
                <w:spacing w:val="-4"/>
              </w:rPr>
              <w:t xml:space="preserve"> </w:t>
            </w:r>
            <w:r w:rsidRPr="00ED6EDE">
              <w:t>(0.8)</w:t>
            </w:r>
          </w:p>
        </w:tc>
        <w:tc>
          <w:tcPr>
            <w:tcW w:w="963" w:type="pct"/>
          </w:tcPr>
          <w:p w14:paraId="5FB5ADEB" w14:textId="77777777" w:rsidR="00020E37" w:rsidRPr="00ED6EDE" w:rsidRDefault="00020E37" w:rsidP="00522D2D">
            <w:pPr>
              <w:pStyle w:val="Tabletext"/>
              <w:keepNext/>
              <w:keepLines/>
              <w:jc w:val="center"/>
            </w:pPr>
            <w:r w:rsidRPr="00ED6EDE">
              <w:t>5</w:t>
            </w:r>
            <w:r w:rsidRPr="00ED6EDE">
              <w:rPr>
                <w:spacing w:val="-4"/>
              </w:rPr>
              <w:t xml:space="preserve"> </w:t>
            </w:r>
            <w:r w:rsidRPr="00ED6EDE">
              <w:t>(0.3)</w:t>
            </w:r>
          </w:p>
        </w:tc>
      </w:tr>
      <w:tr w:rsidR="00020E37" w:rsidRPr="00ED6EDE" w14:paraId="04A22460" w14:textId="77777777" w:rsidTr="00522D2D">
        <w:trPr>
          <w:trHeight w:val="20"/>
        </w:trPr>
        <w:tc>
          <w:tcPr>
            <w:tcW w:w="3075" w:type="pct"/>
          </w:tcPr>
          <w:p w14:paraId="7C2BF4B6" w14:textId="77777777" w:rsidR="00020E37" w:rsidRPr="00ED6EDE" w:rsidRDefault="00020E37" w:rsidP="00522D2D">
            <w:pPr>
              <w:pStyle w:val="Tabletext"/>
              <w:keepNext/>
              <w:keepLines/>
              <w:ind w:left="176"/>
            </w:pPr>
            <w:r w:rsidRPr="00ED6EDE">
              <w:t>Neutrophil</w:t>
            </w:r>
            <w:r w:rsidRPr="00ED6EDE">
              <w:rPr>
                <w:spacing w:val="-9"/>
              </w:rPr>
              <w:t xml:space="preserve"> </w:t>
            </w:r>
            <w:r w:rsidRPr="00ED6EDE">
              <w:t>count</w:t>
            </w:r>
            <w:r w:rsidRPr="00ED6EDE">
              <w:rPr>
                <w:spacing w:val="-9"/>
              </w:rPr>
              <w:t xml:space="preserve"> </w:t>
            </w:r>
            <w:r w:rsidRPr="00ED6EDE">
              <w:t>decreased</w:t>
            </w:r>
          </w:p>
        </w:tc>
        <w:tc>
          <w:tcPr>
            <w:tcW w:w="963" w:type="pct"/>
          </w:tcPr>
          <w:p w14:paraId="3D57DD22" w14:textId="77777777" w:rsidR="00020E37" w:rsidRPr="00ED6EDE" w:rsidRDefault="00020E37" w:rsidP="00522D2D">
            <w:pPr>
              <w:pStyle w:val="Tabletext"/>
              <w:keepNext/>
              <w:keepLines/>
              <w:jc w:val="center"/>
            </w:pPr>
            <w:r w:rsidRPr="00ED6EDE">
              <w:t>10</w:t>
            </w:r>
            <w:r w:rsidRPr="00ED6EDE">
              <w:rPr>
                <w:spacing w:val="-4"/>
              </w:rPr>
              <w:t xml:space="preserve"> </w:t>
            </w:r>
            <w:r w:rsidRPr="00ED6EDE">
              <w:t>(0.3)</w:t>
            </w:r>
          </w:p>
        </w:tc>
        <w:tc>
          <w:tcPr>
            <w:tcW w:w="963" w:type="pct"/>
          </w:tcPr>
          <w:p w14:paraId="6ECB344B" w14:textId="77777777" w:rsidR="00020E37" w:rsidRPr="00ED6EDE" w:rsidRDefault="00020E37" w:rsidP="00522D2D">
            <w:pPr>
              <w:pStyle w:val="Tabletext"/>
              <w:keepNext/>
              <w:keepLines/>
              <w:jc w:val="center"/>
            </w:pPr>
            <w:r w:rsidRPr="00ED6EDE">
              <w:t>159</w:t>
            </w:r>
            <w:r w:rsidRPr="00ED6EDE">
              <w:rPr>
                <w:spacing w:val="-5"/>
              </w:rPr>
              <w:t xml:space="preserve"> </w:t>
            </w:r>
            <w:r w:rsidRPr="00ED6EDE">
              <w:t>(9.0)</w:t>
            </w:r>
          </w:p>
        </w:tc>
      </w:tr>
      <w:tr w:rsidR="00020E37" w:rsidRPr="00ED6EDE" w14:paraId="5D205261" w14:textId="77777777" w:rsidTr="00522D2D">
        <w:trPr>
          <w:trHeight w:val="20"/>
        </w:trPr>
        <w:tc>
          <w:tcPr>
            <w:tcW w:w="3075" w:type="pct"/>
          </w:tcPr>
          <w:p w14:paraId="5B5A258E" w14:textId="77777777" w:rsidR="00020E37" w:rsidRPr="00ED6EDE" w:rsidRDefault="00020E37" w:rsidP="00522D2D">
            <w:pPr>
              <w:pStyle w:val="Tabletext"/>
              <w:keepNext/>
              <w:keepLines/>
              <w:ind w:left="176"/>
            </w:pPr>
            <w:r w:rsidRPr="00ED6EDE">
              <w:t>Weight</w:t>
            </w:r>
            <w:r w:rsidRPr="00ED6EDE">
              <w:rPr>
                <w:spacing w:val="-8"/>
              </w:rPr>
              <w:t xml:space="preserve"> </w:t>
            </w:r>
            <w:r w:rsidRPr="00ED6EDE">
              <w:t>decreased</w:t>
            </w:r>
          </w:p>
        </w:tc>
        <w:tc>
          <w:tcPr>
            <w:tcW w:w="963" w:type="pct"/>
          </w:tcPr>
          <w:p w14:paraId="2C5F98A5" w14:textId="77777777" w:rsidR="00020E37" w:rsidRPr="00ED6EDE" w:rsidRDefault="00020E37" w:rsidP="00522D2D">
            <w:pPr>
              <w:pStyle w:val="Tabletext"/>
              <w:keepNext/>
              <w:keepLines/>
              <w:jc w:val="center"/>
            </w:pPr>
            <w:r w:rsidRPr="00ED6EDE">
              <w:t>42</w:t>
            </w:r>
            <w:r w:rsidRPr="00ED6EDE">
              <w:rPr>
                <w:spacing w:val="-4"/>
              </w:rPr>
              <w:t xml:space="preserve"> </w:t>
            </w:r>
            <w:r w:rsidRPr="00ED6EDE">
              <w:t>(1.1)</w:t>
            </w:r>
          </w:p>
        </w:tc>
        <w:tc>
          <w:tcPr>
            <w:tcW w:w="963" w:type="pct"/>
          </w:tcPr>
          <w:p w14:paraId="6A6FC688" w14:textId="77777777" w:rsidR="00020E37" w:rsidRPr="00ED6EDE" w:rsidRDefault="00020E37" w:rsidP="00522D2D">
            <w:pPr>
              <w:pStyle w:val="Tabletext"/>
              <w:keepNext/>
              <w:keepLines/>
              <w:jc w:val="center"/>
            </w:pPr>
            <w:r w:rsidRPr="00ED6EDE">
              <w:t>1</w:t>
            </w:r>
            <w:r w:rsidRPr="00ED6EDE">
              <w:rPr>
                <w:spacing w:val="-1"/>
              </w:rPr>
              <w:t xml:space="preserve"> </w:t>
            </w:r>
            <w:r w:rsidRPr="00ED6EDE">
              <w:t>(0.1)</w:t>
            </w:r>
          </w:p>
        </w:tc>
      </w:tr>
      <w:tr w:rsidR="00020E37" w:rsidRPr="00ED6EDE" w14:paraId="7E7C31B5" w14:textId="77777777" w:rsidTr="00522D2D">
        <w:trPr>
          <w:trHeight w:val="20"/>
        </w:trPr>
        <w:tc>
          <w:tcPr>
            <w:tcW w:w="3075" w:type="pct"/>
          </w:tcPr>
          <w:p w14:paraId="3C05408F" w14:textId="77777777" w:rsidR="00020E37" w:rsidRPr="00ED6EDE" w:rsidRDefault="00020E37" w:rsidP="00522D2D">
            <w:pPr>
              <w:pStyle w:val="Tabletext"/>
              <w:keepNext/>
              <w:keepLines/>
              <w:ind w:left="176"/>
            </w:pPr>
            <w:r w:rsidRPr="00ED6EDE">
              <w:t>White</w:t>
            </w:r>
            <w:r w:rsidRPr="00ED6EDE">
              <w:rPr>
                <w:spacing w:val="-7"/>
              </w:rPr>
              <w:t xml:space="preserve"> </w:t>
            </w:r>
            <w:r w:rsidRPr="00ED6EDE">
              <w:t>blood</w:t>
            </w:r>
            <w:r w:rsidRPr="00ED6EDE">
              <w:rPr>
                <w:spacing w:val="-6"/>
              </w:rPr>
              <w:t xml:space="preserve"> </w:t>
            </w:r>
            <w:r w:rsidRPr="00ED6EDE">
              <w:t>cell</w:t>
            </w:r>
            <w:r w:rsidRPr="00ED6EDE">
              <w:rPr>
                <w:spacing w:val="-6"/>
              </w:rPr>
              <w:t xml:space="preserve"> </w:t>
            </w:r>
            <w:r w:rsidRPr="00ED6EDE">
              <w:t>count</w:t>
            </w:r>
            <w:r w:rsidRPr="00ED6EDE">
              <w:rPr>
                <w:spacing w:val="-6"/>
              </w:rPr>
              <w:t xml:space="preserve"> </w:t>
            </w:r>
            <w:r w:rsidRPr="00ED6EDE">
              <w:t>decreased</w:t>
            </w:r>
          </w:p>
        </w:tc>
        <w:tc>
          <w:tcPr>
            <w:tcW w:w="963" w:type="pct"/>
          </w:tcPr>
          <w:p w14:paraId="308A8850" w14:textId="77777777" w:rsidR="00020E37" w:rsidRPr="00ED6EDE" w:rsidRDefault="00020E37" w:rsidP="00522D2D">
            <w:pPr>
              <w:pStyle w:val="Tabletext"/>
              <w:keepNext/>
              <w:keepLines/>
              <w:jc w:val="center"/>
            </w:pPr>
            <w:r w:rsidRPr="00ED6EDE">
              <w:t>6</w:t>
            </w:r>
            <w:r w:rsidRPr="00ED6EDE">
              <w:rPr>
                <w:spacing w:val="-4"/>
              </w:rPr>
              <w:t xml:space="preserve"> </w:t>
            </w:r>
            <w:r w:rsidRPr="00ED6EDE">
              <w:t>(0.2)</w:t>
            </w:r>
          </w:p>
        </w:tc>
        <w:tc>
          <w:tcPr>
            <w:tcW w:w="963" w:type="pct"/>
          </w:tcPr>
          <w:p w14:paraId="4D9C4126" w14:textId="77777777" w:rsidR="00020E37" w:rsidRPr="00ED6EDE" w:rsidRDefault="00020E37" w:rsidP="00522D2D">
            <w:pPr>
              <w:pStyle w:val="Tabletext"/>
              <w:keepNext/>
              <w:keepLines/>
              <w:jc w:val="center"/>
            </w:pPr>
            <w:r w:rsidRPr="00ED6EDE">
              <w:t>68</w:t>
            </w:r>
            <w:r w:rsidRPr="00ED6EDE">
              <w:rPr>
                <w:spacing w:val="-4"/>
              </w:rPr>
              <w:t xml:space="preserve"> </w:t>
            </w:r>
            <w:r w:rsidRPr="00ED6EDE">
              <w:t>(3.9)</w:t>
            </w:r>
          </w:p>
        </w:tc>
      </w:tr>
      <w:tr w:rsidR="00020E37" w:rsidRPr="00ED6EDE" w14:paraId="477AF5E4" w14:textId="77777777" w:rsidTr="00522D2D">
        <w:trPr>
          <w:trHeight w:val="20"/>
        </w:trPr>
        <w:tc>
          <w:tcPr>
            <w:tcW w:w="3075" w:type="pct"/>
          </w:tcPr>
          <w:p w14:paraId="7D8BE3F6" w14:textId="77777777" w:rsidR="00020E37" w:rsidRPr="00ED6EDE" w:rsidRDefault="00020E37" w:rsidP="00522D2D">
            <w:pPr>
              <w:pStyle w:val="Tabletext"/>
              <w:keepNext/>
              <w:keepLines/>
            </w:pPr>
            <w:r w:rsidRPr="00ED6EDE">
              <w:t>Metabolism</w:t>
            </w:r>
            <w:r w:rsidRPr="00ED6EDE">
              <w:rPr>
                <w:spacing w:val="-9"/>
              </w:rPr>
              <w:t xml:space="preserve"> </w:t>
            </w:r>
            <w:r w:rsidRPr="00ED6EDE">
              <w:t>and</w:t>
            </w:r>
            <w:r w:rsidRPr="00ED6EDE">
              <w:rPr>
                <w:spacing w:val="-9"/>
              </w:rPr>
              <w:t xml:space="preserve"> </w:t>
            </w:r>
            <w:r w:rsidRPr="00ED6EDE">
              <w:t>nutrition</w:t>
            </w:r>
            <w:r w:rsidRPr="00ED6EDE">
              <w:rPr>
                <w:spacing w:val="-8"/>
              </w:rPr>
              <w:t xml:space="preserve"> </w:t>
            </w:r>
            <w:r w:rsidRPr="00ED6EDE">
              <w:t>disorders</w:t>
            </w:r>
          </w:p>
        </w:tc>
        <w:tc>
          <w:tcPr>
            <w:tcW w:w="963" w:type="pct"/>
          </w:tcPr>
          <w:p w14:paraId="7AB55444" w14:textId="77777777" w:rsidR="00020E37" w:rsidRPr="00ED6EDE" w:rsidRDefault="00020E37" w:rsidP="00522D2D">
            <w:pPr>
              <w:pStyle w:val="Tabletext"/>
              <w:keepNext/>
              <w:keepLines/>
              <w:jc w:val="center"/>
            </w:pPr>
            <w:r w:rsidRPr="00ED6EDE">
              <w:t>152</w:t>
            </w:r>
            <w:r w:rsidRPr="00ED6EDE">
              <w:rPr>
                <w:spacing w:val="-1"/>
              </w:rPr>
              <w:t xml:space="preserve"> </w:t>
            </w:r>
            <w:r w:rsidRPr="00ED6EDE">
              <w:t>(3.9)</w:t>
            </w:r>
          </w:p>
        </w:tc>
        <w:tc>
          <w:tcPr>
            <w:tcW w:w="963" w:type="pct"/>
          </w:tcPr>
          <w:p w14:paraId="196EB74E" w14:textId="77777777" w:rsidR="00020E37" w:rsidRPr="00ED6EDE" w:rsidRDefault="00020E37" w:rsidP="00522D2D">
            <w:pPr>
              <w:pStyle w:val="Tabletext"/>
              <w:keepNext/>
              <w:keepLines/>
              <w:jc w:val="center"/>
            </w:pPr>
            <w:r w:rsidRPr="00ED6EDE">
              <w:t>31</w:t>
            </w:r>
            <w:r w:rsidRPr="00ED6EDE">
              <w:rPr>
                <w:spacing w:val="-1"/>
              </w:rPr>
              <w:t xml:space="preserve"> </w:t>
            </w:r>
            <w:r w:rsidRPr="00ED6EDE">
              <w:t>(1.8)</w:t>
            </w:r>
          </w:p>
        </w:tc>
      </w:tr>
      <w:tr w:rsidR="00020E37" w:rsidRPr="00ED6EDE" w14:paraId="26CD042A" w14:textId="77777777" w:rsidTr="00522D2D">
        <w:trPr>
          <w:trHeight w:val="20"/>
        </w:trPr>
        <w:tc>
          <w:tcPr>
            <w:tcW w:w="3075" w:type="pct"/>
          </w:tcPr>
          <w:p w14:paraId="5337FB67" w14:textId="77777777" w:rsidR="00020E37" w:rsidRPr="00ED6EDE" w:rsidRDefault="00020E37" w:rsidP="00522D2D">
            <w:pPr>
              <w:pStyle w:val="Tabletext"/>
              <w:keepNext/>
              <w:keepLines/>
              <w:ind w:left="176"/>
            </w:pPr>
            <w:r w:rsidRPr="00ED6EDE">
              <w:t>Decreased</w:t>
            </w:r>
            <w:r w:rsidRPr="00ED6EDE">
              <w:rPr>
                <w:spacing w:val="-9"/>
              </w:rPr>
              <w:t xml:space="preserve"> </w:t>
            </w:r>
            <w:r w:rsidRPr="00ED6EDE">
              <w:t>appetite</w:t>
            </w:r>
          </w:p>
        </w:tc>
        <w:tc>
          <w:tcPr>
            <w:tcW w:w="963" w:type="pct"/>
          </w:tcPr>
          <w:p w14:paraId="25B47483" w14:textId="77777777" w:rsidR="00020E37" w:rsidRPr="00ED6EDE" w:rsidRDefault="00020E37" w:rsidP="00522D2D">
            <w:pPr>
              <w:pStyle w:val="Tabletext"/>
              <w:keepNext/>
              <w:keepLines/>
              <w:jc w:val="center"/>
            </w:pPr>
            <w:r w:rsidRPr="00ED6EDE">
              <w:t>32</w:t>
            </w:r>
            <w:r w:rsidRPr="00ED6EDE">
              <w:rPr>
                <w:spacing w:val="-4"/>
              </w:rPr>
              <w:t xml:space="preserve"> </w:t>
            </w:r>
            <w:r w:rsidRPr="00ED6EDE">
              <w:t>(0.8)</w:t>
            </w:r>
          </w:p>
        </w:tc>
        <w:tc>
          <w:tcPr>
            <w:tcW w:w="963" w:type="pct"/>
          </w:tcPr>
          <w:p w14:paraId="16E6941E" w14:textId="77777777" w:rsidR="00020E37" w:rsidRPr="00ED6EDE" w:rsidRDefault="00020E37" w:rsidP="00522D2D">
            <w:pPr>
              <w:pStyle w:val="Tabletext"/>
              <w:keepNext/>
              <w:keepLines/>
              <w:jc w:val="center"/>
            </w:pPr>
            <w:r w:rsidRPr="00ED6EDE">
              <w:t>2</w:t>
            </w:r>
            <w:r w:rsidRPr="00ED6EDE">
              <w:rPr>
                <w:spacing w:val="-4"/>
              </w:rPr>
              <w:t xml:space="preserve"> </w:t>
            </w:r>
            <w:r w:rsidRPr="00ED6EDE">
              <w:t>(0.1)</w:t>
            </w:r>
          </w:p>
        </w:tc>
      </w:tr>
      <w:tr w:rsidR="00020E37" w:rsidRPr="00ED6EDE" w14:paraId="0464DEF9" w14:textId="77777777" w:rsidTr="00522D2D">
        <w:trPr>
          <w:trHeight w:val="20"/>
        </w:trPr>
        <w:tc>
          <w:tcPr>
            <w:tcW w:w="3075" w:type="pct"/>
          </w:tcPr>
          <w:p w14:paraId="22257AC1" w14:textId="77777777" w:rsidR="00020E37" w:rsidRPr="00ED6EDE" w:rsidRDefault="00020E37" w:rsidP="00522D2D">
            <w:pPr>
              <w:pStyle w:val="Tabletext"/>
              <w:keepNext/>
              <w:keepLines/>
              <w:ind w:left="176"/>
            </w:pPr>
            <w:r w:rsidRPr="00ED6EDE">
              <w:t>Hypokalaemia</w:t>
            </w:r>
          </w:p>
        </w:tc>
        <w:tc>
          <w:tcPr>
            <w:tcW w:w="963" w:type="pct"/>
          </w:tcPr>
          <w:p w14:paraId="12E2FA22" w14:textId="77777777" w:rsidR="00020E37" w:rsidRPr="00ED6EDE" w:rsidRDefault="00020E37" w:rsidP="00522D2D">
            <w:pPr>
              <w:pStyle w:val="Tabletext"/>
              <w:keepNext/>
              <w:keepLines/>
              <w:jc w:val="center"/>
            </w:pPr>
            <w:r w:rsidRPr="00ED6EDE">
              <w:t>22</w:t>
            </w:r>
            <w:r w:rsidRPr="00ED6EDE">
              <w:rPr>
                <w:spacing w:val="-4"/>
              </w:rPr>
              <w:t xml:space="preserve"> </w:t>
            </w:r>
            <w:r w:rsidRPr="00ED6EDE">
              <w:t>(0.6)</w:t>
            </w:r>
          </w:p>
        </w:tc>
        <w:tc>
          <w:tcPr>
            <w:tcW w:w="963" w:type="pct"/>
          </w:tcPr>
          <w:p w14:paraId="28A2B0C9" w14:textId="77777777" w:rsidR="00020E37" w:rsidRPr="00ED6EDE" w:rsidRDefault="00020E37" w:rsidP="00522D2D">
            <w:pPr>
              <w:pStyle w:val="Tabletext"/>
              <w:keepNext/>
              <w:keepLines/>
              <w:jc w:val="center"/>
            </w:pPr>
            <w:r w:rsidRPr="00ED6EDE">
              <w:t>6</w:t>
            </w:r>
            <w:r w:rsidRPr="00ED6EDE">
              <w:rPr>
                <w:spacing w:val="-4"/>
              </w:rPr>
              <w:t xml:space="preserve"> </w:t>
            </w:r>
            <w:r w:rsidRPr="00ED6EDE">
              <w:t>(0.3)</w:t>
            </w:r>
          </w:p>
        </w:tc>
      </w:tr>
      <w:tr w:rsidR="00020E37" w:rsidRPr="00ED6EDE" w14:paraId="0EF7E19A" w14:textId="77777777" w:rsidTr="00522D2D">
        <w:trPr>
          <w:trHeight w:val="20"/>
        </w:trPr>
        <w:tc>
          <w:tcPr>
            <w:tcW w:w="3075" w:type="pct"/>
          </w:tcPr>
          <w:p w14:paraId="2CCAA2AB" w14:textId="77777777" w:rsidR="00020E37" w:rsidRPr="00ED6EDE" w:rsidRDefault="00020E37" w:rsidP="00522D2D">
            <w:pPr>
              <w:pStyle w:val="Tabletext"/>
              <w:keepNext/>
              <w:keepLines/>
            </w:pPr>
            <w:r w:rsidRPr="00ED6EDE">
              <w:t>Musculoskeletal</w:t>
            </w:r>
            <w:r w:rsidRPr="00ED6EDE">
              <w:rPr>
                <w:spacing w:val="-10"/>
              </w:rPr>
              <w:t xml:space="preserve"> </w:t>
            </w:r>
            <w:r w:rsidRPr="00ED6EDE">
              <w:t>and</w:t>
            </w:r>
            <w:r w:rsidRPr="00ED6EDE">
              <w:rPr>
                <w:spacing w:val="-10"/>
              </w:rPr>
              <w:t xml:space="preserve"> </w:t>
            </w:r>
            <w:r w:rsidRPr="00ED6EDE">
              <w:t>connective</w:t>
            </w:r>
            <w:r w:rsidRPr="00ED6EDE">
              <w:rPr>
                <w:spacing w:val="-9"/>
              </w:rPr>
              <w:t xml:space="preserve"> </w:t>
            </w:r>
            <w:r w:rsidRPr="00ED6EDE">
              <w:t>tissue</w:t>
            </w:r>
            <w:r w:rsidRPr="00ED6EDE">
              <w:rPr>
                <w:spacing w:val="-10"/>
              </w:rPr>
              <w:t xml:space="preserve"> </w:t>
            </w:r>
            <w:r w:rsidRPr="00ED6EDE">
              <w:t>disorders</w:t>
            </w:r>
          </w:p>
        </w:tc>
        <w:tc>
          <w:tcPr>
            <w:tcW w:w="963" w:type="pct"/>
          </w:tcPr>
          <w:p w14:paraId="74CF340A" w14:textId="77777777" w:rsidR="00020E37" w:rsidRPr="00ED6EDE" w:rsidRDefault="00020E37" w:rsidP="00522D2D">
            <w:pPr>
              <w:pStyle w:val="Tabletext"/>
              <w:keepNext/>
              <w:keepLines/>
              <w:jc w:val="center"/>
            </w:pPr>
            <w:r w:rsidRPr="00ED6EDE">
              <w:t>34 (0.9)</w:t>
            </w:r>
          </w:p>
        </w:tc>
        <w:tc>
          <w:tcPr>
            <w:tcW w:w="963" w:type="pct"/>
          </w:tcPr>
          <w:p w14:paraId="4C0C4D22" w14:textId="77777777" w:rsidR="00020E37" w:rsidRPr="00ED6EDE" w:rsidRDefault="00020E37" w:rsidP="00522D2D">
            <w:pPr>
              <w:pStyle w:val="Tabletext"/>
              <w:keepNext/>
              <w:keepLines/>
              <w:jc w:val="center"/>
            </w:pPr>
            <w:r w:rsidRPr="00ED6EDE">
              <w:t>5</w:t>
            </w:r>
            <w:r w:rsidRPr="00ED6EDE">
              <w:rPr>
                <w:spacing w:val="-1"/>
              </w:rPr>
              <w:t xml:space="preserve"> </w:t>
            </w:r>
            <w:r w:rsidRPr="00ED6EDE">
              <w:t>(0.3)</w:t>
            </w:r>
          </w:p>
        </w:tc>
      </w:tr>
      <w:tr w:rsidR="00020E37" w:rsidRPr="00ED6EDE" w14:paraId="5E905978" w14:textId="77777777" w:rsidTr="00522D2D">
        <w:trPr>
          <w:trHeight w:val="20"/>
        </w:trPr>
        <w:tc>
          <w:tcPr>
            <w:tcW w:w="3075" w:type="pct"/>
          </w:tcPr>
          <w:p w14:paraId="56969906" w14:textId="77777777" w:rsidR="00020E37" w:rsidRPr="00ED6EDE" w:rsidRDefault="00020E37" w:rsidP="00522D2D">
            <w:pPr>
              <w:pStyle w:val="Tabletext"/>
              <w:keepNext/>
              <w:keepLines/>
            </w:pPr>
            <w:r w:rsidRPr="00ED6EDE">
              <w:t>Renal</w:t>
            </w:r>
            <w:r w:rsidRPr="00ED6EDE">
              <w:rPr>
                <w:spacing w:val="-7"/>
              </w:rPr>
              <w:t xml:space="preserve"> </w:t>
            </w:r>
            <w:r w:rsidRPr="00ED6EDE">
              <w:t>and</w:t>
            </w:r>
            <w:r w:rsidRPr="00ED6EDE">
              <w:rPr>
                <w:spacing w:val="-7"/>
              </w:rPr>
              <w:t xml:space="preserve"> </w:t>
            </w:r>
            <w:r w:rsidRPr="00ED6EDE">
              <w:t>urinary</w:t>
            </w:r>
            <w:r w:rsidRPr="00ED6EDE">
              <w:rPr>
                <w:spacing w:val="-7"/>
              </w:rPr>
              <w:t xml:space="preserve"> </w:t>
            </w:r>
            <w:r w:rsidRPr="00ED6EDE">
              <w:t>disorders</w:t>
            </w:r>
          </w:p>
        </w:tc>
        <w:tc>
          <w:tcPr>
            <w:tcW w:w="963" w:type="pct"/>
          </w:tcPr>
          <w:p w14:paraId="6A797157" w14:textId="77777777" w:rsidR="00020E37" w:rsidRPr="00ED6EDE" w:rsidRDefault="00020E37" w:rsidP="00522D2D">
            <w:pPr>
              <w:pStyle w:val="Tabletext"/>
              <w:keepNext/>
              <w:keepLines/>
              <w:jc w:val="center"/>
            </w:pPr>
            <w:r w:rsidRPr="00ED6EDE">
              <w:t>52</w:t>
            </w:r>
            <w:r w:rsidRPr="00ED6EDE">
              <w:rPr>
                <w:spacing w:val="-1"/>
              </w:rPr>
              <w:t xml:space="preserve"> </w:t>
            </w:r>
            <w:r w:rsidRPr="00ED6EDE">
              <w:t>(1.3)</w:t>
            </w:r>
          </w:p>
        </w:tc>
        <w:tc>
          <w:tcPr>
            <w:tcW w:w="963" w:type="pct"/>
          </w:tcPr>
          <w:p w14:paraId="4FFE019A" w14:textId="77777777" w:rsidR="00020E37" w:rsidRPr="00ED6EDE" w:rsidRDefault="00020E37" w:rsidP="00522D2D">
            <w:pPr>
              <w:pStyle w:val="Tabletext"/>
              <w:keepNext/>
              <w:keepLines/>
              <w:jc w:val="center"/>
            </w:pPr>
            <w:r w:rsidRPr="00ED6EDE">
              <w:t>14</w:t>
            </w:r>
            <w:r w:rsidRPr="00ED6EDE">
              <w:rPr>
                <w:spacing w:val="-1"/>
              </w:rPr>
              <w:t xml:space="preserve"> </w:t>
            </w:r>
            <w:r w:rsidRPr="00ED6EDE">
              <w:t>(0.8)</w:t>
            </w:r>
          </w:p>
        </w:tc>
      </w:tr>
      <w:tr w:rsidR="00020E37" w:rsidRPr="00ED6EDE" w14:paraId="0AFD201F" w14:textId="77777777" w:rsidTr="00522D2D">
        <w:trPr>
          <w:trHeight w:val="20"/>
        </w:trPr>
        <w:tc>
          <w:tcPr>
            <w:tcW w:w="3075" w:type="pct"/>
          </w:tcPr>
          <w:p w14:paraId="62C53957" w14:textId="77777777" w:rsidR="00020E37" w:rsidRPr="00ED6EDE" w:rsidRDefault="00020E37" w:rsidP="00522D2D">
            <w:pPr>
              <w:pStyle w:val="Tabletext"/>
              <w:keepNext/>
              <w:keepLines/>
              <w:ind w:left="176"/>
            </w:pPr>
            <w:r w:rsidRPr="00ED6EDE">
              <w:t>Proteinuria</w:t>
            </w:r>
          </w:p>
        </w:tc>
        <w:tc>
          <w:tcPr>
            <w:tcW w:w="963" w:type="pct"/>
          </w:tcPr>
          <w:p w14:paraId="4335BC43" w14:textId="77777777" w:rsidR="00020E37" w:rsidRPr="00ED6EDE" w:rsidRDefault="00020E37" w:rsidP="00522D2D">
            <w:pPr>
              <w:pStyle w:val="Tabletext"/>
              <w:keepNext/>
              <w:keepLines/>
              <w:jc w:val="center"/>
            </w:pPr>
            <w:r w:rsidRPr="00ED6EDE">
              <w:t>22</w:t>
            </w:r>
            <w:r w:rsidRPr="00ED6EDE">
              <w:rPr>
                <w:spacing w:val="-4"/>
              </w:rPr>
              <w:t xml:space="preserve"> </w:t>
            </w:r>
            <w:r w:rsidRPr="00ED6EDE">
              <w:t>(0.6)</w:t>
            </w:r>
          </w:p>
        </w:tc>
        <w:tc>
          <w:tcPr>
            <w:tcW w:w="963" w:type="pct"/>
          </w:tcPr>
          <w:p w14:paraId="7F842144" w14:textId="77777777" w:rsidR="00020E37" w:rsidRPr="00ED6EDE" w:rsidRDefault="00020E37" w:rsidP="00522D2D">
            <w:pPr>
              <w:pStyle w:val="Tabletext"/>
              <w:keepNext/>
              <w:keepLines/>
              <w:jc w:val="center"/>
            </w:pPr>
            <w:r w:rsidRPr="00ED6EDE">
              <w:t>1</w:t>
            </w:r>
            <w:r w:rsidRPr="00ED6EDE">
              <w:rPr>
                <w:spacing w:val="-4"/>
              </w:rPr>
              <w:t xml:space="preserve"> </w:t>
            </w:r>
            <w:r w:rsidRPr="00ED6EDE">
              <w:t>(0.1)</w:t>
            </w:r>
          </w:p>
        </w:tc>
      </w:tr>
      <w:tr w:rsidR="00020E37" w:rsidRPr="00ED6EDE" w14:paraId="2730A56A" w14:textId="77777777" w:rsidTr="00522D2D">
        <w:trPr>
          <w:trHeight w:val="20"/>
        </w:trPr>
        <w:tc>
          <w:tcPr>
            <w:tcW w:w="3075" w:type="pct"/>
          </w:tcPr>
          <w:p w14:paraId="2BC606D3" w14:textId="77777777" w:rsidR="00020E37" w:rsidRPr="00ED6EDE" w:rsidRDefault="00020E37" w:rsidP="00522D2D">
            <w:pPr>
              <w:pStyle w:val="Tabletext"/>
              <w:keepNext/>
              <w:keepLines/>
            </w:pPr>
            <w:r w:rsidRPr="00ED6EDE">
              <w:t>Respiratory,</w:t>
            </w:r>
            <w:r w:rsidRPr="00ED6EDE">
              <w:rPr>
                <w:spacing w:val="-10"/>
              </w:rPr>
              <w:t xml:space="preserve"> </w:t>
            </w:r>
            <w:r w:rsidRPr="00ED6EDE">
              <w:t>thoracic</w:t>
            </w:r>
            <w:r w:rsidRPr="00ED6EDE">
              <w:rPr>
                <w:spacing w:val="-10"/>
              </w:rPr>
              <w:t xml:space="preserve"> </w:t>
            </w:r>
            <w:r w:rsidRPr="00ED6EDE">
              <w:t>and</w:t>
            </w:r>
            <w:r w:rsidRPr="00ED6EDE">
              <w:rPr>
                <w:spacing w:val="-9"/>
              </w:rPr>
              <w:t xml:space="preserve"> </w:t>
            </w:r>
            <w:r w:rsidRPr="00ED6EDE">
              <w:t>mediastinal</w:t>
            </w:r>
            <w:r w:rsidRPr="00ED6EDE">
              <w:rPr>
                <w:spacing w:val="-10"/>
              </w:rPr>
              <w:t xml:space="preserve"> </w:t>
            </w:r>
            <w:r w:rsidRPr="00ED6EDE">
              <w:t>disorders</w:t>
            </w:r>
          </w:p>
        </w:tc>
        <w:tc>
          <w:tcPr>
            <w:tcW w:w="963" w:type="pct"/>
          </w:tcPr>
          <w:p w14:paraId="6700A404" w14:textId="77777777" w:rsidR="00020E37" w:rsidRPr="00ED6EDE" w:rsidRDefault="00020E37" w:rsidP="00522D2D">
            <w:pPr>
              <w:pStyle w:val="Tabletext"/>
              <w:keepNext/>
              <w:keepLines/>
              <w:jc w:val="center"/>
            </w:pPr>
            <w:r w:rsidRPr="00ED6EDE">
              <w:t>27 (0.7)</w:t>
            </w:r>
          </w:p>
        </w:tc>
        <w:tc>
          <w:tcPr>
            <w:tcW w:w="963" w:type="pct"/>
          </w:tcPr>
          <w:p w14:paraId="1EA125B7" w14:textId="77777777" w:rsidR="00020E37" w:rsidRPr="00ED6EDE" w:rsidRDefault="00020E37" w:rsidP="00522D2D">
            <w:pPr>
              <w:pStyle w:val="Tabletext"/>
              <w:keepNext/>
              <w:keepLines/>
              <w:jc w:val="center"/>
            </w:pPr>
            <w:r w:rsidRPr="00ED6EDE">
              <w:t>28</w:t>
            </w:r>
            <w:r w:rsidRPr="00ED6EDE">
              <w:rPr>
                <w:spacing w:val="-1"/>
              </w:rPr>
              <w:t xml:space="preserve"> </w:t>
            </w:r>
            <w:r w:rsidRPr="00ED6EDE">
              <w:t>(1.6)</w:t>
            </w:r>
          </w:p>
        </w:tc>
      </w:tr>
      <w:tr w:rsidR="00020E37" w:rsidRPr="00ED6EDE" w14:paraId="4BF2E587" w14:textId="77777777" w:rsidTr="00522D2D">
        <w:trPr>
          <w:trHeight w:val="20"/>
        </w:trPr>
        <w:tc>
          <w:tcPr>
            <w:tcW w:w="3075" w:type="pct"/>
          </w:tcPr>
          <w:p w14:paraId="1046955F" w14:textId="77777777" w:rsidR="00020E37" w:rsidRPr="00ED6EDE" w:rsidRDefault="00020E37" w:rsidP="00522D2D">
            <w:pPr>
              <w:pStyle w:val="Tabletext"/>
              <w:keepNext/>
              <w:keepLines/>
            </w:pPr>
            <w:r w:rsidRPr="00ED6EDE">
              <w:t>Skin</w:t>
            </w:r>
            <w:r w:rsidRPr="00ED6EDE">
              <w:rPr>
                <w:spacing w:val="-8"/>
              </w:rPr>
              <w:t xml:space="preserve"> </w:t>
            </w:r>
            <w:r w:rsidRPr="00ED6EDE">
              <w:t>and</w:t>
            </w:r>
            <w:r w:rsidRPr="00ED6EDE">
              <w:rPr>
                <w:spacing w:val="-8"/>
              </w:rPr>
              <w:t xml:space="preserve"> </w:t>
            </w:r>
            <w:r w:rsidRPr="00ED6EDE">
              <w:t>subcutaneous</w:t>
            </w:r>
            <w:r w:rsidRPr="00ED6EDE">
              <w:rPr>
                <w:spacing w:val="-8"/>
              </w:rPr>
              <w:t xml:space="preserve"> </w:t>
            </w:r>
            <w:r w:rsidRPr="00ED6EDE">
              <w:t>tissue</w:t>
            </w:r>
            <w:r w:rsidRPr="00ED6EDE">
              <w:rPr>
                <w:spacing w:val="-7"/>
              </w:rPr>
              <w:t xml:space="preserve"> </w:t>
            </w:r>
            <w:r w:rsidRPr="00ED6EDE">
              <w:t>disorders</w:t>
            </w:r>
          </w:p>
        </w:tc>
        <w:tc>
          <w:tcPr>
            <w:tcW w:w="963" w:type="pct"/>
          </w:tcPr>
          <w:p w14:paraId="7EDD2A62" w14:textId="77777777" w:rsidR="00020E37" w:rsidRPr="00ED6EDE" w:rsidRDefault="00020E37" w:rsidP="00522D2D">
            <w:pPr>
              <w:pStyle w:val="Tabletext"/>
              <w:keepNext/>
              <w:keepLines/>
              <w:jc w:val="center"/>
            </w:pPr>
            <w:r w:rsidRPr="00ED6EDE">
              <w:t>36</w:t>
            </w:r>
            <w:r w:rsidRPr="00ED6EDE">
              <w:rPr>
                <w:spacing w:val="-1"/>
              </w:rPr>
              <w:t xml:space="preserve"> </w:t>
            </w:r>
            <w:r w:rsidRPr="00ED6EDE">
              <w:t>(0.9)</w:t>
            </w:r>
          </w:p>
        </w:tc>
        <w:tc>
          <w:tcPr>
            <w:tcW w:w="963" w:type="pct"/>
          </w:tcPr>
          <w:p w14:paraId="05AFFFBF" w14:textId="77777777" w:rsidR="00020E37" w:rsidRPr="00ED6EDE" w:rsidRDefault="00020E37" w:rsidP="00522D2D">
            <w:pPr>
              <w:pStyle w:val="Tabletext"/>
              <w:keepNext/>
              <w:keepLines/>
              <w:jc w:val="center"/>
            </w:pPr>
            <w:r w:rsidRPr="00ED6EDE">
              <w:t>3</w:t>
            </w:r>
            <w:r w:rsidRPr="00ED6EDE">
              <w:rPr>
                <w:spacing w:val="-1"/>
              </w:rPr>
              <w:t xml:space="preserve"> </w:t>
            </w:r>
            <w:r w:rsidRPr="00ED6EDE">
              <w:t>(0.2)</w:t>
            </w:r>
          </w:p>
        </w:tc>
      </w:tr>
      <w:tr w:rsidR="00020E37" w:rsidRPr="00ED6EDE" w14:paraId="1FC38CAF" w14:textId="77777777" w:rsidTr="00522D2D">
        <w:trPr>
          <w:trHeight w:val="20"/>
        </w:trPr>
        <w:tc>
          <w:tcPr>
            <w:tcW w:w="3075" w:type="pct"/>
          </w:tcPr>
          <w:p w14:paraId="405C4D26" w14:textId="77777777" w:rsidR="00020E37" w:rsidRPr="00ED6EDE" w:rsidRDefault="00020E37" w:rsidP="00522D2D">
            <w:pPr>
              <w:pStyle w:val="Tabletext"/>
              <w:keepNext/>
              <w:keepLines/>
            </w:pPr>
            <w:r w:rsidRPr="00ED6EDE">
              <w:t>Vascular</w:t>
            </w:r>
            <w:r w:rsidRPr="00ED6EDE">
              <w:rPr>
                <w:spacing w:val="-9"/>
              </w:rPr>
              <w:t xml:space="preserve"> </w:t>
            </w:r>
            <w:r w:rsidRPr="00ED6EDE">
              <w:t>disorders</w:t>
            </w:r>
          </w:p>
        </w:tc>
        <w:tc>
          <w:tcPr>
            <w:tcW w:w="963" w:type="pct"/>
          </w:tcPr>
          <w:p w14:paraId="3008943B" w14:textId="77777777" w:rsidR="00020E37" w:rsidRPr="00ED6EDE" w:rsidRDefault="00020E37" w:rsidP="00522D2D">
            <w:pPr>
              <w:pStyle w:val="Tabletext"/>
              <w:keepNext/>
              <w:keepLines/>
              <w:jc w:val="center"/>
            </w:pPr>
            <w:r w:rsidRPr="00ED6EDE">
              <w:t>221</w:t>
            </w:r>
            <w:r w:rsidRPr="00ED6EDE">
              <w:rPr>
                <w:spacing w:val="-1"/>
              </w:rPr>
              <w:t xml:space="preserve"> </w:t>
            </w:r>
            <w:r w:rsidRPr="00ED6EDE">
              <w:t>(5.6)</w:t>
            </w:r>
          </w:p>
        </w:tc>
        <w:tc>
          <w:tcPr>
            <w:tcW w:w="963" w:type="pct"/>
          </w:tcPr>
          <w:p w14:paraId="542B64B6" w14:textId="77777777" w:rsidR="00020E37" w:rsidRPr="00ED6EDE" w:rsidRDefault="00020E37" w:rsidP="00522D2D">
            <w:pPr>
              <w:pStyle w:val="Tabletext"/>
              <w:keepNext/>
              <w:keepLines/>
              <w:jc w:val="center"/>
            </w:pPr>
            <w:r w:rsidRPr="00ED6EDE">
              <w:t>16</w:t>
            </w:r>
            <w:r w:rsidRPr="00ED6EDE">
              <w:rPr>
                <w:spacing w:val="-1"/>
              </w:rPr>
              <w:t xml:space="preserve"> </w:t>
            </w:r>
            <w:r w:rsidRPr="00ED6EDE">
              <w:t>(0.9)</w:t>
            </w:r>
          </w:p>
        </w:tc>
      </w:tr>
    </w:tbl>
    <w:p w14:paraId="2BF8E500" w14:textId="72C0D45A" w:rsidR="00020E37" w:rsidRPr="00ED6EDE" w:rsidRDefault="00020E37" w:rsidP="00020E37">
      <w:pPr>
        <w:pStyle w:val="TableFooter"/>
        <w:keepNext/>
        <w:keepLines/>
      </w:pPr>
      <w:r w:rsidRPr="00ED6EDE">
        <w:t xml:space="preserve">Source: Table 2.5-21, p113 of the submission. </w:t>
      </w:r>
    </w:p>
    <w:p w14:paraId="6A9F74AF" w14:textId="42BDEEBB" w:rsidR="00A22612" w:rsidRPr="00ED6EDE" w:rsidRDefault="00A22612" w:rsidP="00020E37">
      <w:pPr>
        <w:pStyle w:val="TableFooter"/>
        <w:keepNext/>
        <w:keepLines/>
      </w:pPr>
      <w:proofErr w:type="spellStart"/>
      <w:r w:rsidRPr="00ED6EDE">
        <w:t>ApAT</w:t>
      </w:r>
      <w:proofErr w:type="spellEnd"/>
      <w:r w:rsidRPr="00ED6EDE">
        <w:t xml:space="preserve"> = All Patients as treated</w:t>
      </w:r>
    </w:p>
    <w:p w14:paraId="0675F929" w14:textId="77777777" w:rsidR="00020E37" w:rsidRPr="00ED6EDE" w:rsidRDefault="00020E37" w:rsidP="00020E37">
      <w:pPr>
        <w:pStyle w:val="TableFooter"/>
        <w:keepNext/>
        <w:keepLines/>
      </w:pPr>
      <w:proofErr w:type="spellStart"/>
      <w:r w:rsidRPr="00ED6EDE">
        <w:rPr>
          <w:vertAlign w:val="superscript"/>
        </w:rPr>
        <w:t>a</w:t>
      </w:r>
      <w:proofErr w:type="spellEnd"/>
      <w:r w:rsidRPr="00ED6EDE">
        <w:t xml:space="preserve"> </w:t>
      </w:r>
      <w:r w:rsidRPr="00ED6EDE">
        <w:tab/>
        <w:t>Event rate per 100 person-months of exposure = event count *100/person-months of exposure.</w:t>
      </w:r>
    </w:p>
    <w:p w14:paraId="76E44A4C" w14:textId="77777777" w:rsidR="00020E37" w:rsidRPr="00ED6EDE" w:rsidRDefault="00020E37" w:rsidP="00020E37">
      <w:pPr>
        <w:pStyle w:val="TableFooter"/>
        <w:keepNext/>
        <w:keepLines/>
        <w:ind w:left="720" w:hanging="720"/>
      </w:pPr>
      <w:r w:rsidRPr="00ED6EDE">
        <w:rPr>
          <w:vertAlign w:val="superscript"/>
        </w:rPr>
        <w:t>b</w:t>
      </w:r>
      <w:r w:rsidRPr="00ED6EDE">
        <w:t xml:space="preserve"> </w:t>
      </w:r>
      <w:r w:rsidRPr="00ED6EDE">
        <w:tab/>
        <w:t xml:space="preserve">Drug exposure is defined as the interval between the first dose date + 1 day and the earlier of the last dose date + 30 or the database </w:t>
      </w:r>
      <w:proofErr w:type="spellStart"/>
      <w:r w:rsidRPr="00ED6EDE">
        <w:t>cutoff</w:t>
      </w:r>
      <w:proofErr w:type="spellEnd"/>
      <w:r w:rsidRPr="00ED6EDE">
        <w:t xml:space="preserve"> date.</w:t>
      </w:r>
    </w:p>
    <w:p w14:paraId="2F032C7D" w14:textId="77777777" w:rsidR="00020E37" w:rsidRPr="00ED6EDE" w:rsidRDefault="00020E37" w:rsidP="00020E37">
      <w:pPr>
        <w:widowControl/>
      </w:pPr>
    </w:p>
    <w:p w14:paraId="372BFE04" w14:textId="44B7E84C" w:rsidR="00020E37" w:rsidRPr="00ED6EDE" w:rsidRDefault="00476177" w:rsidP="001D1983">
      <w:pPr>
        <w:pStyle w:val="ListParagraph"/>
        <w:widowControl/>
        <w:numPr>
          <w:ilvl w:val="1"/>
          <w:numId w:val="2"/>
        </w:numPr>
        <w:spacing w:after="120"/>
      </w:pPr>
      <w:r w:rsidRPr="00ED6EDE">
        <w:rPr>
          <w:iCs/>
        </w:rPr>
        <w:t>T</w:t>
      </w:r>
      <w:r w:rsidR="00D51B93" w:rsidRPr="00ED6EDE">
        <w:rPr>
          <w:iCs/>
        </w:rPr>
        <w:t xml:space="preserve">he ESC considered that the </w:t>
      </w:r>
      <w:r w:rsidR="00020E37" w:rsidRPr="00ED6EDE">
        <w:rPr>
          <w:iCs/>
        </w:rPr>
        <w:t xml:space="preserve">adjustment for exposure to treatment was </w:t>
      </w:r>
      <w:r w:rsidR="00D51B93" w:rsidRPr="00ED6EDE">
        <w:rPr>
          <w:iCs/>
        </w:rPr>
        <w:t xml:space="preserve">not </w:t>
      </w:r>
      <w:r w:rsidR="00020E37" w:rsidRPr="00ED6EDE">
        <w:rPr>
          <w:iCs/>
        </w:rPr>
        <w:t>appropriate given that in practice these differences in time on treatment would also exist, and consequently these differences in risks of adverse events would be observed. Using increased exposure as a basis to change a safety claim may conflate time on treatment (which may largely be a factor of efficacy outcomes of PFS and OS) with safety.</w:t>
      </w:r>
      <w:r w:rsidRPr="00ED6EDE">
        <w:rPr>
          <w:iCs/>
        </w:rPr>
        <w:t xml:space="preserve"> </w:t>
      </w:r>
      <w:r w:rsidR="00020E37" w:rsidRPr="00ED6EDE">
        <w:rPr>
          <w:iCs/>
        </w:rPr>
        <w:t>Additionally, given that the Grade 3</w:t>
      </w:r>
      <w:r w:rsidR="001D1006" w:rsidRPr="00ED6EDE">
        <w:rPr>
          <w:iCs/>
        </w:rPr>
        <w:t xml:space="preserve"> or higher</w:t>
      </w:r>
      <w:r w:rsidR="00020E37" w:rsidRPr="00ED6EDE">
        <w:rPr>
          <w:iCs/>
        </w:rPr>
        <w:t xml:space="preserve"> adverse events may lead to changes in treatment (dose reductions, interruptions, discontinuations), it was unclear how to interpret the results of this analysis. </w:t>
      </w:r>
    </w:p>
    <w:p w14:paraId="37EE6842" w14:textId="248E7C45" w:rsidR="00020E37" w:rsidRPr="00ED6EDE" w:rsidRDefault="00020E37" w:rsidP="00A062E7">
      <w:pPr>
        <w:pStyle w:val="ListParagraph"/>
        <w:widowControl/>
        <w:numPr>
          <w:ilvl w:val="1"/>
          <w:numId w:val="2"/>
        </w:numPr>
      </w:pPr>
      <w:r w:rsidRPr="00ED6EDE">
        <w:t xml:space="preserve">No comparative safety data for pembrolizumab monotherapy with doxorubicin or paclitaxel was presented. </w:t>
      </w:r>
      <w:r w:rsidRPr="00ED6EDE">
        <w:rPr>
          <w:iCs/>
        </w:rPr>
        <w:t>However</w:t>
      </w:r>
      <w:r w:rsidR="00D51B93" w:rsidRPr="00ED6EDE">
        <w:rPr>
          <w:iCs/>
        </w:rPr>
        <w:t>,</w:t>
      </w:r>
      <w:r w:rsidRPr="00ED6EDE">
        <w:rPr>
          <w:iCs/>
        </w:rPr>
        <w:t xml:space="preserve"> the PBAC has previously considered that a claim of superior safety for pembrolizumab monotherapy compared to paclitaxel or docetaxel was supported in the consideration for pembrolizumab for treatment of patients with locally advanced or metastatic urothelial cancer after failure of a platinum-containing regimen (paragraph 7.7, p24-25 pembrolizumab </w:t>
      </w:r>
      <w:r w:rsidR="00C04EE6">
        <w:rPr>
          <w:iCs/>
        </w:rPr>
        <w:t>public summary document (</w:t>
      </w:r>
      <w:r w:rsidRPr="00ED6EDE">
        <w:rPr>
          <w:iCs/>
        </w:rPr>
        <w:t>PSD</w:t>
      </w:r>
      <w:r w:rsidR="00C04EE6">
        <w:rPr>
          <w:iCs/>
        </w:rPr>
        <w:t>)</w:t>
      </w:r>
      <w:r w:rsidRPr="00ED6EDE">
        <w:rPr>
          <w:iCs/>
        </w:rPr>
        <w:t xml:space="preserve"> November 2017). </w:t>
      </w:r>
    </w:p>
    <w:p w14:paraId="5022879D" w14:textId="77777777" w:rsidR="00020E37" w:rsidRPr="00F200ED" w:rsidRDefault="00020E37" w:rsidP="00020E37">
      <w:pPr>
        <w:pStyle w:val="Heading2"/>
      </w:pPr>
      <w:bookmarkStart w:id="41" w:name="_Toc93478155"/>
      <w:r w:rsidRPr="00F200ED">
        <w:t>Benefits/harms</w:t>
      </w:r>
      <w:bookmarkEnd w:id="41"/>
    </w:p>
    <w:p w14:paraId="57B9717E" w14:textId="77777777" w:rsidR="00020E37" w:rsidRPr="00ED6EDE" w:rsidRDefault="00020E37" w:rsidP="00020E37"/>
    <w:p w14:paraId="0043D85A" w14:textId="6356C425" w:rsidR="00020E37" w:rsidRPr="00ED6EDE" w:rsidRDefault="00020E37" w:rsidP="00A062E7">
      <w:pPr>
        <w:pStyle w:val="ListParagraph"/>
        <w:widowControl/>
        <w:numPr>
          <w:ilvl w:val="1"/>
          <w:numId w:val="2"/>
        </w:numPr>
        <w:rPr>
          <w:color w:val="000000" w:themeColor="text1"/>
        </w:rPr>
      </w:pPr>
      <w:r w:rsidRPr="00ED6EDE">
        <w:fldChar w:fldCharType="begin"/>
      </w:r>
      <w:r w:rsidRPr="00ED6EDE">
        <w:instrText xml:space="preserve"> REF _Ref90028582 \h  \* MERGEFORMAT </w:instrText>
      </w:r>
      <w:r w:rsidRPr="00ED6EDE">
        <w:fldChar w:fldCharType="separate"/>
      </w:r>
      <w:r w:rsidR="004163DD" w:rsidRPr="004163DD">
        <w:t>Table 8</w:t>
      </w:r>
      <w:r w:rsidRPr="00ED6EDE">
        <w:fldChar w:fldCharType="end"/>
      </w:r>
      <w:r w:rsidRPr="00ED6EDE">
        <w:t xml:space="preserve"> presents</w:t>
      </w:r>
      <w:r w:rsidRPr="00ED6EDE">
        <w:rPr>
          <w:rFonts w:cs="Calibri"/>
          <w:snapToGrid/>
          <w:color w:val="000000" w:themeColor="text1"/>
          <w:szCs w:val="24"/>
          <w:lang w:eastAsia="en-AU"/>
        </w:rPr>
        <w:t xml:space="preserve"> the summary of comparative benefits and harms of pembrolizumab in combination with lenvatinib compared to chemotherapy in the all-comers population. Because monotherapy claims were based on a non-comparative </w:t>
      </w:r>
      <w:r w:rsidR="00DA0B4D" w:rsidRPr="00ED6EDE">
        <w:rPr>
          <w:rFonts w:cs="Calibri"/>
          <w:snapToGrid/>
          <w:color w:val="000000" w:themeColor="text1"/>
          <w:szCs w:val="24"/>
          <w:lang w:eastAsia="en-AU"/>
        </w:rPr>
        <w:t xml:space="preserve">study </w:t>
      </w:r>
      <w:r w:rsidRPr="00ED6EDE">
        <w:rPr>
          <w:rFonts w:cs="Calibri"/>
          <w:snapToGrid/>
          <w:color w:val="000000" w:themeColor="text1"/>
          <w:szCs w:val="24"/>
          <w:lang w:eastAsia="en-AU"/>
        </w:rPr>
        <w:t xml:space="preserve">this did not allow a quantitative comparison of benefits and harms for monotherapy. </w:t>
      </w:r>
    </w:p>
    <w:p w14:paraId="363BA7A2" w14:textId="673CCCA3" w:rsidR="00020E37" w:rsidRPr="00ED6EDE" w:rsidRDefault="00020E37" w:rsidP="00CC23A9">
      <w:pPr>
        <w:keepNext/>
        <w:keepLines/>
        <w:widowControl/>
        <w:jc w:val="left"/>
        <w:rPr>
          <w:rStyle w:val="CommentReference"/>
        </w:rPr>
      </w:pPr>
      <w:bookmarkStart w:id="42" w:name="_Ref90028582"/>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8</w:t>
      </w:r>
      <w:r w:rsidRPr="00ED6EDE">
        <w:rPr>
          <w:rStyle w:val="CommentReference"/>
        </w:rPr>
        <w:fldChar w:fldCharType="end"/>
      </w:r>
      <w:bookmarkEnd w:id="42"/>
      <w:r w:rsidRPr="00ED6EDE">
        <w:rPr>
          <w:rStyle w:val="CommentReference"/>
        </w:rPr>
        <w:t>: Summary of comparative benefits and harms for pembrolizumab plus lenvatinib and doxorubicin or paclitaxel</w:t>
      </w:r>
      <w:r w:rsidR="0076150B" w:rsidRPr="00ED6EDE">
        <w:rPr>
          <w:rStyle w:val="CommentReference"/>
        </w:rPr>
        <w:t xml:space="preserve"> in the all-comers population (pMMR and dMMR)</w:t>
      </w:r>
    </w:p>
    <w:tbl>
      <w:tblPr>
        <w:tblW w:w="5000" w:type="pct"/>
        <w:tblLayout w:type="fixed"/>
        <w:tblCellMar>
          <w:left w:w="28" w:type="dxa"/>
          <w:right w:w="28" w:type="dxa"/>
        </w:tblCellMar>
        <w:tblLook w:val="04A0" w:firstRow="1" w:lastRow="0" w:firstColumn="1" w:lastColumn="0" w:noHBand="0" w:noVBand="1"/>
      </w:tblPr>
      <w:tblGrid>
        <w:gridCol w:w="2689"/>
        <w:gridCol w:w="1416"/>
        <w:gridCol w:w="1277"/>
        <w:gridCol w:w="1134"/>
        <w:gridCol w:w="1134"/>
        <w:gridCol w:w="1358"/>
        <w:gridCol w:w="9"/>
      </w:tblGrid>
      <w:tr w:rsidR="00020E37" w:rsidRPr="00ED6EDE" w14:paraId="33D847B7" w14:textId="77777777" w:rsidTr="00522D2D">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14:paraId="299AD489" w14:textId="77777777" w:rsidR="00020E37" w:rsidRPr="00ED6EDE" w:rsidRDefault="00020E37" w:rsidP="00CC23A9">
            <w:pPr>
              <w:keepNext/>
              <w:keepLines/>
              <w:rPr>
                <w:rFonts w:ascii="Arial Narrow" w:hAnsi="Arial Narrow"/>
                <w:b/>
                <w:color w:val="000000"/>
                <w:sz w:val="20"/>
                <w:szCs w:val="18"/>
              </w:rPr>
            </w:pPr>
            <w:r w:rsidRPr="00ED6EDE">
              <w:rPr>
                <w:rFonts w:ascii="Arial Narrow" w:hAnsi="Arial Narrow"/>
                <w:b/>
                <w:color w:val="000000"/>
                <w:sz w:val="20"/>
                <w:szCs w:val="18"/>
              </w:rPr>
              <w:t>Benefits</w:t>
            </w:r>
          </w:p>
        </w:tc>
      </w:tr>
      <w:tr w:rsidR="00020E37" w:rsidRPr="00ED6EDE" w14:paraId="5D502233" w14:textId="77777777" w:rsidTr="00645E9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0B43F6F3" w14:textId="77777777" w:rsidR="00020E37" w:rsidRPr="00ED6EDE" w:rsidRDefault="00020E37" w:rsidP="00CC23A9">
            <w:pPr>
              <w:keepNext/>
              <w:keepLines/>
              <w:jc w:val="center"/>
              <w:rPr>
                <w:rFonts w:ascii="Arial Narrow" w:hAnsi="Arial Narrow"/>
                <w:color w:val="000000"/>
                <w:sz w:val="20"/>
                <w:szCs w:val="18"/>
              </w:rPr>
            </w:pPr>
          </w:p>
        </w:tc>
        <w:tc>
          <w:tcPr>
            <w:tcW w:w="785" w:type="pct"/>
            <w:tcBorders>
              <w:top w:val="single" w:sz="4" w:space="0" w:color="auto"/>
              <w:left w:val="single" w:sz="4" w:space="0" w:color="auto"/>
              <w:bottom w:val="single" w:sz="4" w:space="0" w:color="auto"/>
              <w:right w:val="single" w:sz="4" w:space="0" w:color="auto"/>
            </w:tcBorders>
            <w:vAlign w:val="center"/>
          </w:tcPr>
          <w:p w14:paraId="496575FC"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PEM+LEN</w:t>
            </w:r>
          </w:p>
          <w:p w14:paraId="546C16BE"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N=411</w:t>
            </w:r>
          </w:p>
        </w:tc>
        <w:tc>
          <w:tcPr>
            <w:tcW w:w="708" w:type="pct"/>
            <w:tcBorders>
              <w:top w:val="single" w:sz="4" w:space="0" w:color="auto"/>
              <w:left w:val="single" w:sz="4" w:space="0" w:color="auto"/>
              <w:bottom w:val="single" w:sz="4" w:space="0" w:color="auto"/>
              <w:right w:val="single" w:sz="4" w:space="0" w:color="auto"/>
            </w:tcBorders>
            <w:vAlign w:val="center"/>
          </w:tcPr>
          <w:p w14:paraId="51B15AD4"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Chemo</w:t>
            </w:r>
          </w:p>
          <w:p w14:paraId="1BF64EC2"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N=416</w:t>
            </w:r>
          </w:p>
        </w:tc>
        <w:tc>
          <w:tcPr>
            <w:tcW w:w="1258" w:type="pct"/>
            <w:gridSpan w:val="2"/>
            <w:tcBorders>
              <w:top w:val="single" w:sz="4" w:space="0" w:color="auto"/>
              <w:left w:val="single" w:sz="4" w:space="0" w:color="auto"/>
              <w:bottom w:val="single" w:sz="4" w:space="0" w:color="auto"/>
              <w:right w:val="single" w:sz="4" w:space="0" w:color="auto"/>
            </w:tcBorders>
            <w:vAlign w:val="center"/>
          </w:tcPr>
          <w:p w14:paraId="533836DA"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Absolute difference</w:t>
            </w:r>
          </w:p>
        </w:tc>
        <w:tc>
          <w:tcPr>
            <w:tcW w:w="758" w:type="pct"/>
            <w:gridSpan w:val="2"/>
            <w:tcBorders>
              <w:top w:val="single" w:sz="4" w:space="0" w:color="auto"/>
              <w:left w:val="single" w:sz="4" w:space="0" w:color="auto"/>
              <w:bottom w:val="single" w:sz="4" w:space="0" w:color="auto"/>
              <w:right w:val="single" w:sz="4" w:space="0" w:color="auto"/>
            </w:tcBorders>
            <w:vAlign w:val="center"/>
          </w:tcPr>
          <w:p w14:paraId="2E9D22E3"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HR (95% CI)</w:t>
            </w:r>
          </w:p>
        </w:tc>
      </w:tr>
      <w:tr w:rsidR="00020E37" w:rsidRPr="00ED6EDE" w14:paraId="0A047A60" w14:textId="77777777" w:rsidTr="00645E9C">
        <w:tc>
          <w:tcPr>
            <w:tcW w:w="1491" w:type="pct"/>
            <w:tcBorders>
              <w:top w:val="single" w:sz="4" w:space="0" w:color="auto"/>
              <w:left w:val="single" w:sz="4" w:space="0" w:color="auto"/>
              <w:bottom w:val="single" w:sz="4" w:space="0" w:color="auto"/>
            </w:tcBorders>
            <w:shd w:val="clear" w:color="auto" w:fill="auto"/>
            <w:vAlign w:val="center"/>
          </w:tcPr>
          <w:p w14:paraId="663CE028" w14:textId="77777777" w:rsidR="00020E37" w:rsidRPr="00ED6EDE" w:rsidRDefault="00020E37" w:rsidP="00CC23A9">
            <w:pPr>
              <w:keepNext/>
              <w:keepLines/>
              <w:jc w:val="left"/>
              <w:rPr>
                <w:rFonts w:ascii="Arial Narrow" w:hAnsi="Arial Narrow"/>
                <w:b/>
                <w:bCs/>
                <w:color w:val="000000"/>
                <w:sz w:val="20"/>
                <w:szCs w:val="18"/>
              </w:rPr>
            </w:pPr>
            <w:r w:rsidRPr="00ED6EDE">
              <w:rPr>
                <w:rFonts w:ascii="Arial Narrow" w:hAnsi="Arial Narrow"/>
                <w:b/>
                <w:bCs/>
                <w:color w:val="000000"/>
                <w:sz w:val="20"/>
                <w:szCs w:val="18"/>
              </w:rPr>
              <w:t>Progression free survival</w:t>
            </w:r>
          </w:p>
        </w:tc>
        <w:tc>
          <w:tcPr>
            <w:tcW w:w="785" w:type="pct"/>
            <w:tcBorders>
              <w:top w:val="single" w:sz="4" w:space="0" w:color="auto"/>
              <w:bottom w:val="single" w:sz="4" w:space="0" w:color="auto"/>
            </w:tcBorders>
            <w:vAlign w:val="center"/>
          </w:tcPr>
          <w:p w14:paraId="4870525F" w14:textId="77777777" w:rsidR="00020E37" w:rsidRPr="00ED6EDE" w:rsidRDefault="00020E37" w:rsidP="00CC23A9">
            <w:pPr>
              <w:keepNext/>
              <w:keepLines/>
              <w:jc w:val="left"/>
              <w:rPr>
                <w:rFonts w:ascii="Arial Narrow" w:hAnsi="Arial Narrow"/>
                <w:b/>
                <w:bCs/>
                <w:color w:val="000000"/>
                <w:sz w:val="20"/>
                <w:szCs w:val="18"/>
              </w:rPr>
            </w:pPr>
          </w:p>
        </w:tc>
        <w:tc>
          <w:tcPr>
            <w:tcW w:w="708" w:type="pct"/>
            <w:tcBorders>
              <w:top w:val="single" w:sz="4" w:space="0" w:color="auto"/>
              <w:bottom w:val="single" w:sz="4" w:space="0" w:color="auto"/>
            </w:tcBorders>
            <w:vAlign w:val="center"/>
          </w:tcPr>
          <w:p w14:paraId="1814D94F" w14:textId="77777777" w:rsidR="00020E37" w:rsidRPr="00ED6EDE" w:rsidRDefault="00020E37" w:rsidP="00CC23A9">
            <w:pPr>
              <w:keepNext/>
              <w:keepLines/>
              <w:jc w:val="left"/>
              <w:rPr>
                <w:rFonts w:ascii="Arial Narrow" w:hAnsi="Arial Narrow"/>
                <w:b/>
                <w:bCs/>
                <w:color w:val="000000"/>
                <w:sz w:val="20"/>
                <w:szCs w:val="18"/>
              </w:rPr>
            </w:pPr>
          </w:p>
        </w:tc>
        <w:tc>
          <w:tcPr>
            <w:tcW w:w="1258" w:type="pct"/>
            <w:gridSpan w:val="2"/>
            <w:tcBorders>
              <w:top w:val="single" w:sz="4" w:space="0" w:color="auto"/>
              <w:bottom w:val="single" w:sz="4" w:space="0" w:color="auto"/>
            </w:tcBorders>
            <w:vAlign w:val="center"/>
          </w:tcPr>
          <w:p w14:paraId="72E17A85" w14:textId="77777777" w:rsidR="00020E37" w:rsidRPr="00ED6EDE" w:rsidRDefault="00020E37" w:rsidP="00CC23A9">
            <w:pPr>
              <w:keepNext/>
              <w:keepLines/>
              <w:jc w:val="left"/>
              <w:rPr>
                <w:rFonts w:ascii="Arial Narrow" w:hAnsi="Arial Narrow"/>
                <w:b/>
                <w:bCs/>
                <w:color w:val="000000"/>
                <w:sz w:val="20"/>
                <w:szCs w:val="18"/>
              </w:rPr>
            </w:pPr>
          </w:p>
        </w:tc>
        <w:tc>
          <w:tcPr>
            <w:tcW w:w="758" w:type="pct"/>
            <w:gridSpan w:val="2"/>
            <w:tcBorders>
              <w:top w:val="single" w:sz="4" w:space="0" w:color="auto"/>
              <w:bottom w:val="single" w:sz="4" w:space="0" w:color="auto"/>
              <w:right w:val="single" w:sz="4" w:space="0" w:color="auto"/>
            </w:tcBorders>
            <w:vAlign w:val="center"/>
          </w:tcPr>
          <w:p w14:paraId="4F2643D1" w14:textId="77777777" w:rsidR="00020E37" w:rsidRPr="00ED6EDE" w:rsidRDefault="00020E37" w:rsidP="00CC23A9">
            <w:pPr>
              <w:keepNext/>
              <w:keepLines/>
              <w:jc w:val="left"/>
              <w:rPr>
                <w:rFonts w:ascii="Arial Narrow" w:hAnsi="Arial Narrow"/>
                <w:b/>
                <w:bCs/>
                <w:color w:val="000000"/>
                <w:sz w:val="20"/>
                <w:szCs w:val="18"/>
              </w:rPr>
            </w:pPr>
          </w:p>
        </w:tc>
      </w:tr>
      <w:tr w:rsidR="00020E37" w:rsidRPr="00ED6EDE" w14:paraId="1742FC17" w14:textId="77777777" w:rsidTr="00645E9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68D7795B" w14:textId="77777777" w:rsidR="00020E37" w:rsidRPr="00ED6EDE" w:rsidRDefault="00020E37" w:rsidP="00CC23A9">
            <w:pPr>
              <w:keepNext/>
              <w:keepLines/>
              <w:rPr>
                <w:rFonts w:ascii="Arial Narrow" w:hAnsi="Arial Narrow"/>
                <w:color w:val="000000"/>
                <w:sz w:val="20"/>
                <w:szCs w:val="18"/>
              </w:rPr>
            </w:pPr>
            <w:r w:rsidRPr="00ED6EDE">
              <w:rPr>
                <w:rFonts w:ascii="Arial Narrow" w:hAnsi="Arial Narrow"/>
                <w:color w:val="000000"/>
                <w:sz w:val="20"/>
                <w:szCs w:val="18"/>
              </w:rPr>
              <w:t>Progressed, n (%)</w:t>
            </w:r>
          </w:p>
        </w:tc>
        <w:tc>
          <w:tcPr>
            <w:tcW w:w="785" w:type="pct"/>
            <w:tcBorders>
              <w:top w:val="single" w:sz="4" w:space="0" w:color="auto"/>
              <w:left w:val="single" w:sz="4" w:space="0" w:color="auto"/>
              <w:bottom w:val="single" w:sz="4" w:space="0" w:color="auto"/>
              <w:right w:val="single" w:sz="4" w:space="0" w:color="auto"/>
            </w:tcBorders>
            <w:vAlign w:val="center"/>
          </w:tcPr>
          <w:p w14:paraId="2D579903" w14:textId="77777777" w:rsidR="00020E37" w:rsidRPr="00ED6EDE" w:rsidRDefault="00020E37" w:rsidP="00CC23A9">
            <w:pPr>
              <w:keepNext/>
              <w:keepLines/>
              <w:jc w:val="center"/>
              <w:rPr>
                <w:rFonts w:ascii="Arial Narrow" w:hAnsi="Arial Narrow"/>
                <w:sz w:val="20"/>
              </w:rPr>
            </w:pPr>
            <w:r w:rsidRPr="00ED6EDE">
              <w:rPr>
                <w:rFonts w:ascii="Arial Narrow" w:hAnsi="Arial Narrow"/>
                <w:sz w:val="20"/>
              </w:rPr>
              <w:t>281 (68.4)</w:t>
            </w:r>
          </w:p>
        </w:tc>
        <w:tc>
          <w:tcPr>
            <w:tcW w:w="708" w:type="pct"/>
            <w:tcBorders>
              <w:top w:val="single" w:sz="4" w:space="0" w:color="auto"/>
              <w:left w:val="single" w:sz="4" w:space="0" w:color="auto"/>
              <w:bottom w:val="single" w:sz="4" w:space="0" w:color="auto"/>
              <w:right w:val="single" w:sz="4" w:space="0" w:color="auto"/>
            </w:tcBorders>
            <w:vAlign w:val="center"/>
          </w:tcPr>
          <w:p w14:paraId="1495D2B9" w14:textId="77777777" w:rsidR="00020E37" w:rsidRPr="00ED6EDE" w:rsidRDefault="00020E37" w:rsidP="00CC23A9">
            <w:pPr>
              <w:keepNext/>
              <w:keepLines/>
              <w:jc w:val="center"/>
              <w:rPr>
                <w:rFonts w:ascii="Arial Narrow" w:hAnsi="Arial Narrow"/>
                <w:sz w:val="20"/>
              </w:rPr>
            </w:pPr>
            <w:r w:rsidRPr="00ED6EDE">
              <w:rPr>
                <w:rFonts w:ascii="Arial Narrow" w:hAnsi="Arial Narrow"/>
                <w:sz w:val="20"/>
              </w:rPr>
              <w:t>286 (68.8)</w:t>
            </w:r>
          </w:p>
        </w:tc>
        <w:tc>
          <w:tcPr>
            <w:tcW w:w="1258" w:type="pct"/>
            <w:gridSpan w:val="2"/>
            <w:tcBorders>
              <w:top w:val="single" w:sz="4" w:space="0" w:color="auto"/>
              <w:left w:val="single" w:sz="4" w:space="0" w:color="auto"/>
              <w:bottom w:val="single" w:sz="4" w:space="0" w:color="auto"/>
              <w:right w:val="single" w:sz="4" w:space="0" w:color="auto"/>
            </w:tcBorders>
            <w:vAlign w:val="center"/>
          </w:tcPr>
          <w:p w14:paraId="52C1B363" w14:textId="05237789" w:rsidR="00020E37" w:rsidRPr="00ED6EDE" w:rsidRDefault="00020E37" w:rsidP="00CC23A9">
            <w:pPr>
              <w:keepNext/>
              <w:keepLines/>
              <w:jc w:val="center"/>
              <w:rPr>
                <w:rFonts w:ascii="Arial Narrow" w:hAnsi="Arial Narrow"/>
                <w:color w:val="000000"/>
                <w:sz w:val="20"/>
                <w:szCs w:val="18"/>
              </w:rPr>
            </w:pPr>
          </w:p>
        </w:tc>
        <w:tc>
          <w:tcPr>
            <w:tcW w:w="758" w:type="pct"/>
            <w:gridSpan w:val="2"/>
            <w:tcBorders>
              <w:top w:val="single" w:sz="4" w:space="0" w:color="auto"/>
              <w:left w:val="single" w:sz="4" w:space="0" w:color="auto"/>
              <w:bottom w:val="single" w:sz="4" w:space="0" w:color="auto"/>
              <w:right w:val="single" w:sz="4" w:space="0" w:color="auto"/>
            </w:tcBorders>
            <w:vAlign w:val="center"/>
          </w:tcPr>
          <w:p w14:paraId="6C0BAEEF" w14:textId="77777777" w:rsidR="00020E37" w:rsidRPr="00ED6EDE" w:rsidRDefault="00020E37" w:rsidP="00CC23A9">
            <w:pPr>
              <w:keepNext/>
              <w:keepLines/>
              <w:jc w:val="center"/>
              <w:rPr>
                <w:rFonts w:ascii="Arial Narrow" w:hAnsi="Arial Narrow"/>
                <w:color w:val="000000"/>
                <w:sz w:val="20"/>
                <w:szCs w:val="18"/>
              </w:rPr>
            </w:pPr>
          </w:p>
        </w:tc>
      </w:tr>
      <w:tr w:rsidR="00020E37" w:rsidRPr="00ED6EDE" w14:paraId="38481449" w14:textId="77777777" w:rsidTr="00645E9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7FCDBC2B" w14:textId="77777777" w:rsidR="00020E37" w:rsidRPr="00ED6EDE" w:rsidRDefault="00020E37" w:rsidP="00CC23A9">
            <w:pPr>
              <w:keepNext/>
              <w:keepLines/>
              <w:rPr>
                <w:rFonts w:ascii="Arial Narrow" w:hAnsi="Arial Narrow"/>
                <w:color w:val="000000"/>
                <w:sz w:val="20"/>
                <w:szCs w:val="18"/>
              </w:rPr>
            </w:pPr>
            <w:r w:rsidRPr="00ED6EDE">
              <w:rPr>
                <w:rFonts w:ascii="Arial Narrow" w:hAnsi="Arial Narrow"/>
                <w:color w:val="000000"/>
                <w:sz w:val="20"/>
                <w:szCs w:val="18"/>
              </w:rPr>
              <w:t>Median (months)</w:t>
            </w:r>
          </w:p>
        </w:tc>
        <w:tc>
          <w:tcPr>
            <w:tcW w:w="785" w:type="pct"/>
            <w:tcBorders>
              <w:top w:val="single" w:sz="4" w:space="0" w:color="auto"/>
              <w:left w:val="single" w:sz="4" w:space="0" w:color="auto"/>
              <w:bottom w:val="single" w:sz="4" w:space="0" w:color="auto"/>
              <w:right w:val="single" w:sz="4" w:space="0" w:color="auto"/>
            </w:tcBorders>
            <w:vAlign w:val="center"/>
          </w:tcPr>
          <w:p w14:paraId="12B8B835" w14:textId="77777777" w:rsidR="00020E37" w:rsidRPr="00ED6EDE" w:rsidRDefault="00020E37" w:rsidP="00CC23A9">
            <w:pPr>
              <w:pStyle w:val="Tabletext"/>
              <w:keepNext/>
              <w:keepLines/>
              <w:jc w:val="center"/>
            </w:pPr>
            <w:r w:rsidRPr="00ED6EDE">
              <w:rPr>
                <w:rFonts w:eastAsia="Calibri"/>
              </w:rPr>
              <w:t>7.2 (5.7, 7.6)</w:t>
            </w:r>
          </w:p>
        </w:tc>
        <w:tc>
          <w:tcPr>
            <w:tcW w:w="708" w:type="pct"/>
            <w:tcBorders>
              <w:top w:val="single" w:sz="4" w:space="0" w:color="auto"/>
              <w:left w:val="single" w:sz="4" w:space="0" w:color="auto"/>
              <w:bottom w:val="single" w:sz="4" w:space="0" w:color="auto"/>
              <w:right w:val="single" w:sz="4" w:space="0" w:color="auto"/>
            </w:tcBorders>
            <w:vAlign w:val="center"/>
          </w:tcPr>
          <w:p w14:paraId="537F8306" w14:textId="77777777" w:rsidR="00020E37" w:rsidRPr="00ED6EDE" w:rsidRDefault="00020E37" w:rsidP="00CC23A9">
            <w:pPr>
              <w:pStyle w:val="Tabletext"/>
              <w:keepNext/>
              <w:keepLines/>
              <w:jc w:val="center"/>
            </w:pPr>
            <w:r w:rsidRPr="00ED6EDE">
              <w:rPr>
                <w:rFonts w:eastAsia="Calibri"/>
              </w:rPr>
              <w:t>3.8 (3.6, 4.2)</w:t>
            </w:r>
          </w:p>
        </w:tc>
        <w:tc>
          <w:tcPr>
            <w:tcW w:w="1258" w:type="pct"/>
            <w:gridSpan w:val="2"/>
            <w:tcBorders>
              <w:top w:val="single" w:sz="4" w:space="0" w:color="auto"/>
              <w:left w:val="single" w:sz="4" w:space="0" w:color="auto"/>
              <w:bottom w:val="single" w:sz="4" w:space="0" w:color="auto"/>
              <w:right w:val="single" w:sz="4" w:space="0" w:color="auto"/>
            </w:tcBorders>
            <w:vAlign w:val="center"/>
          </w:tcPr>
          <w:p w14:paraId="5DD258BE" w14:textId="2BC2EFB9" w:rsidR="00020E37" w:rsidRPr="00ED6EDE" w:rsidRDefault="00534953" w:rsidP="00CC23A9">
            <w:pPr>
              <w:keepNext/>
              <w:keepLines/>
              <w:jc w:val="center"/>
              <w:rPr>
                <w:rFonts w:ascii="Arial Narrow" w:hAnsi="Arial Narrow"/>
                <w:color w:val="000000"/>
                <w:sz w:val="20"/>
                <w:szCs w:val="18"/>
              </w:rPr>
            </w:pPr>
            <w:r w:rsidRPr="00ED6EDE">
              <w:rPr>
                <w:rFonts w:ascii="Arial Narrow" w:hAnsi="Arial Narrow"/>
                <w:color w:val="000000"/>
                <w:sz w:val="20"/>
                <w:szCs w:val="18"/>
              </w:rPr>
              <w:t>3.4</w:t>
            </w:r>
          </w:p>
        </w:tc>
        <w:tc>
          <w:tcPr>
            <w:tcW w:w="758" w:type="pct"/>
            <w:gridSpan w:val="2"/>
            <w:tcBorders>
              <w:top w:val="single" w:sz="4" w:space="0" w:color="auto"/>
              <w:left w:val="single" w:sz="4" w:space="0" w:color="auto"/>
              <w:bottom w:val="single" w:sz="4" w:space="0" w:color="auto"/>
              <w:right w:val="single" w:sz="4" w:space="0" w:color="auto"/>
            </w:tcBorders>
            <w:vAlign w:val="center"/>
          </w:tcPr>
          <w:p w14:paraId="69A34983" w14:textId="77777777" w:rsidR="00020E37" w:rsidRPr="00ED6EDE" w:rsidRDefault="00020E37" w:rsidP="00CC23A9">
            <w:pPr>
              <w:pStyle w:val="Tabletext"/>
              <w:keepNext/>
              <w:keepLines/>
              <w:jc w:val="center"/>
              <w:rPr>
                <w:b/>
                <w:bCs/>
                <w:color w:val="000000"/>
                <w:szCs w:val="18"/>
              </w:rPr>
            </w:pPr>
            <w:r w:rsidRPr="00ED6EDE">
              <w:rPr>
                <w:rFonts w:eastAsia="Calibri"/>
                <w:b/>
                <w:bCs/>
              </w:rPr>
              <w:t>0.56 (0.47, 0.66)</w:t>
            </w:r>
          </w:p>
        </w:tc>
      </w:tr>
      <w:tr w:rsidR="00020E37" w:rsidRPr="00ED6EDE" w14:paraId="14160973" w14:textId="77777777" w:rsidTr="00645E9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403F0B5D" w14:textId="77777777" w:rsidR="00020E37" w:rsidRPr="00ED6EDE" w:rsidRDefault="00020E37" w:rsidP="00CC23A9">
            <w:pPr>
              <w:keepNext/>
              <w:keepLines/>
              <w:rPr>
                <w:rFonts w:ascii="Arial Narrow" w:hAnsi="Arial Narrow"/>
                <w:color w:val="000000"/>
                <w:sz w:val="20"/>
                <w:szCs w:val="18"/>
              </w:rPr>
            </w:pPr>
            <w:r w:rsidRPr="00ED6EDE">
              <w:rPr>
                <w:rFonts w:ascii="Arial Narrow" w:hAnsi="Arial Narrow"/>
                <w:color w:val="000000"/>
                <w:sz w:val="20"/>
                <w:szCs w:val="18"/>
              </w:rPr>
              <w:t>% progressed at 6 months (95% CI)</w:t>
            </w:r>
          </w:p>
        </w:tc>
        <w:tc>
          <w:tcPr>
            <w:tcW w:w="785" w:type="pct"/>
            <w:tcBorders>
              <w:top w:val="single" w:sz="4" w:space="0" w:color="auto"/>
              <w:left w:val="single" w:sz="4" w:space="0" w:color="auto"/>
              <w:bottom w:val="single" w:sz="4" w:space="0" w:color="auto"/>
              <w:right w:val="single" w:sz="4" w:space="0" w:color="auto"/>
            </w:tcBorders>
            <w:vAlign w:val="center"/>
          </w:tcPr>
          <w:p w14:paraId="4DA3B644" w14:textId="77777777" w:rsidR="00020E37" w:rsidRPr="00ED6EDE" w:rsidRDefault="00020E37" w:rsidP="00CC23A9">
            <w:pPr>
              <w:keepNext/>
              <w:keepLines/>
              <w:jc w:val="center"/>
              <w:rPr>
                <w:rFonts w:ascii="Arial Narrow" w:hAnsi="Arial Narrow"/>
                <w:sz w:val="20"/>
              </w:rPr>
            </w:pPr>
            <w:r w:rsidRPr="00ED6EDE">
              <w:rPr>
                <w:rFonts w:ascii="Arial Narrow" w:hAnsi="Arial Narrow"/>
                <w:sz w:val="20"/>
              </w:rPr>
              <w:t>53.5 (48.4, 58.3)</w:t>
            </w:r>
          </w:p>
        </w:tc>
        <w:tc>
          <w:tcPr>
            <w:tcW w:w="708" w:type="pct"/>
            <w:tcBorders>
              <w:top w:val="single" w:sz="4" w:space="0" w:color="auto"/>
              <w:left w:val="single" w:sz="4" w:space="0" w:color="auto"/>
              <w:bottom w:val="single" w:sz="4" w:space="0" w:color="auto"/>
              <w:right w:val="single" w:sz="4" w:space="0" w:color="auto"/>
            </w:tcBorders>
            <w:vAlign w:val="center"/>
          </w:tcPr>
          <w:p w14:paraId="1C94337C" w14:textId="77777777" w:rsidR="00020E37" w:rsidRPr="00ED6EDE" w:rsidRDefault="00020E37" w:rsidP="00CC23A9">
            <w:pPr>
              <w:keepNext/>
              <w:keepLines/>
              <w:jc w:val="center"/>
              <w:rPr>
                <w:rFonts w:ascii="Arial Narrow" w:hAnsi="Arial Narrow"/>
                <w:sz w:val="20"/>
              </w:rPr>
            </w:pPr>
            <w:r w:rsidRPr="00ED6EDE">
              <w:rPr>
                <w:rFonts w:ascii="Arial Narrow" w:hAnsi="Arial Narrow"/>
                <w:sz w:val="20"/>
              </w:rPr>
              <w:t>34.3 (29.2, 39.4)</w:t>
            </w:r>
          </w:p>
        </w:tc>
        <w:tc>
          <w:tcPr>
            <w:tcW w:w="1258" w:type="pct"/>
            <w:gridSpan w:val="2"/>
            <w:tcBorders>
              <w:top w:val="single" w:sz="4" w:space="0" w:color="auto"/>
              <w:left w:val="single" w:sz="4" w:space="0" w:color="auto"/>
              <w:bottom w:val="single" w:sz="4" w:space="0" w:color="auto"/>
              <w:right w:val="single" w:sz="4" w:space="0" w:color="auto"/>
            </w:tcBorders>
            <w:vAlign w:val="center"/>
          </w:tcPr>
          <w:p w14:paraId="7C87DB48" w14:textId="77777777" w:rsidR="00020E37" w:rsidRPr="00ED6EDE" w:rsidRDefault="00020E37" w:rsidP="00CC23A9">
            <w:pPr>
              <w:keepNext/>
              <w:keepLines/>
              <w:jc w:val="center"/>
              <w:rPr>
                <w:rFonts w:ascii="Arial Narrow" w:hAnsi="Arial Narrow"/>
                <w:color w:val="000000"/>
                <w:sz w:val="20"/>
                <w:szCs w:val="18"/>
              </w:rPr>
            </w:pPr>
            <w:r w:rsidRPr="00ED6EDE">
              <w:rPr>
                <w:rFonts w:ascii="Arial Narrow" w:hAnsi="Arial Narrow"/>
                <w:color w:val="000000"/>
                <w:sz w:val="20"/>
                <w:szCs w:val="18"/>
              </w:rPr>
              <w:t>19.2%</w:t>
            </w:r>
          </w:p>
        </w:tc>
        <w:tc>
          <w:tcPr>
            <w:tcW w:w="758" w:type="pct"/>
            <w:gridSpan w:val="2"/>
            <w:tcBorders>
              <w:top w:val="single" w:sz="4" w:space="0" w:color="auto"/>
              <w:left w:val="single" w:sz="4" w:space="0" w:color="auto"/>
              <w:bottom w:val="single" w:sz="4" w:space="0" w:color="auto"/>
              <w:right w:val="single" w:sz="4" w:space="0" w:color="auto"/>
            </w:tcBorders>
            <w:vAlign w:val="center"/>
          </w:tcPr>
          <w:p w14:paraId="02F4650D" w14:textId="77777777" w:rsidR="00020E37" w:rsidRPr="00ED6EDE" w:rsidRDefault="00020E37" w:rsidP="00CC23A9">
            <w:pPr>
              <w:keepNext/>
              <w:keepLines/>
              <w:jc w:val="center"/>
              <w:rPr>
                <w:rFonts w:ascii="Arial Narrow" w:hAnsi="Arial Narrow"/>
                <w:color w:val="000000"/>
                <w:sz w:val="20"/>
                <w:szCs w:val="18"/>
              </w:rPr>
            </w:pPr>
          </w:p>
        </w:tc>
      </w:tr>
      <w:tr w:rsidR="00020E37" w:rsidRPr="00ED6EDE" w14:paraId="1BB423EA" w14:textId="77777777" w:rsidTr="00645E9C">
        <w:tc>
          <w:tcPr>
            <w:tcW w:w="1491" w:type="pct"/>
            <w:tcBorders>
              <w:top w:val="single" w:sz="4" w:space="0" w:color="auto"/>
              <w:left w:val="single" w:sz="4" w:space="0" w:color="auto"/>
              <w:bottom w:val="single" w:sz="4" w:space="0" w:color="auto"/>
            </w:tcBorders>
            <w:shd w:val="clear" w:color="auto" w:fill="auto"/>
            <w:vAlign w:val="center"/>
          </w:tcPr>
          <w:p w14:paraId="383708ED" w14:textId="77777777" w:rsidR="00020E37" w:rsidRPr="00ED6EDE" w:rsidRDefault="00020E37" w:rsidP="00CC23A9">
            <w:pPr>
              <w:keepNext/>
              <w:keepLines/>
              <w:rPr>
                <w:rFonts w:ascii="Arial Narrow" w:hAnsi="Arial Narrow"/>
                <w:b/>
                <w:bCs/>
                <w:color w:val="000000"/>
                <w:sz w:val="20"/>
                <w:szCs w:val="18"/>
              </w:rPr>
            </w:pPr>
            <w:r w:rsidRPr="00ED6EDE">
              <w:rPr>
                <w:rFonts w:ascii="Arial Narrow" w:hAnsi="Arial Narrow"/>
                <w:b/>
                <w:bCs/>
                <w:color w:val="000000"/>
                <w:sz w:val="20"/>
                <w:szCs w:val="18"/>
              </w:rPr>
              <w:t>Overall survival</w:t>
            </w:r>
          </w:p>
        </w:tc>
        <w:tc>
          <w:tcPr>
            <w:tcW w:w="785" w:type="pct"/>
            <w:tcBorders>
              <w:top w:val="single" w:sz="4" w:space="0" w:color="auto"/>
              <w:bottom w:val="single" w:sz="4" w:space="0" w:color="auto"/>
            </w:tcBorders>
            <w:vAlign w:val="center"/>
          </w:tcPr>
          <w:p w14:paraId="325E3B00" w14:textId="77777777" w:rsidR="00020E37" w:rsidRPr="00ED6EDE" w:rsidRDefault="00020E37" w:rsidP="00CC23A9">
            <w:pPr>
              <w:keepNext/>
              <w:keepLines/>
              <w:jc w:val="center"/>
              <w:rPr>
                <w:rFonts w:ascii="Arial Narrow" w:hAnsi="Arial Narrow"/>
                <w:b/>
                <w:bCs/>
                <w:sz w:val="20"/>
              </w:rPr>
            </w:pPr>
          </w:p>
        </w:tc>
        <w:tc>
          <w:tcPr>
            <w:tcW w:w="708" w:type="pct"/>
            <w:tcBorders>
              <w:top w:val="single" w:sz="4" w:space="0" w:color="auto"/>
              <w:bottom w:val="single" w:sz="4" w:space="0" w:color="auto"/>
            </w:tcBorders>
            <w:vAlign w:val="center"/>
          </w:tcPr>
          <w:p w14:paraId="640A2CBD" w14:textId="77777777" w:rsidR="00020E37" w:rsidRPr="00ED6EDE" w:rsidRDefault="00020E37" w:rsidP="00CC23A9">
            <w:pPr>
              <w:keepNext/>
              <w:keepLines/>
              <w:jc w:val="center"/>
              <w:rPr>
                <w:rFonts w:ascii="Arial Narrow" w:hAnsi="Arial Narrow"/>
                <w:b/>
                <w:bCs/>
                <w:sz w:val="20"/>
              </w:rPr>
            </w:pPr>
          </w:p>
        </w:tc>
        <w:tc>
          <w:tcPr>
            <w:tcW w:w="1258" w:type="pct"/>
            <w:gridSpan w:val="2"/>
            <w:tcBorders>
              <w:top w:val="single" w:sz="4" w:space="0" w:color="auto"/>
              <w:bottom w:val="single" w:sz="4" w:space="0" w:color="auto"/>
            </w:tcBorders>
            <w:vAlign w:val="center"/>
          </w:tcPr>
          <w:p w14:paraId="75634246" w14:textId="77777777" w:rsidR="00020E37" w:rsidRPr="00ED6EDE" w:rsidRDefault="00020E37" w:rsidP="00CC23A9">
            <w:pPr>
              <w:keepNext/>
              <w:keepLines/>
              <w:jc w:val="center"/>
              <w:rPr>
                <w:rFonts w:ascii="Arial Narrow" w:hAnsi="Arial Narrow"/>
                <w:b/>
                <w:bCs/>
                <w:color w:val="000000"/>
                <w:sz w:val="20"/>
                <w:szCs w:val="18"/>
              </w:rPr>
            </w:pPr>
          </w:p>
        </w:tc>
        <w:tc>
          <w:tcPr>
            <w:tcW w:w="758" w:type="pct"/>
            <w:gridSpan w:val="2"/>
            <w:tcBorders>
              <w:top w:val="single" w:sz="4" w:space="0" w:color="auto"/>
              <w:bottom w:val="single" w:sz="4" w:space="0" w:color="auto"/>
              <w:right w:val="single" w:sz="4" w:space="0" w:color="auto"/>
            </w:tcBorders>
            <w:vAlign w:val="center"/>
          </w:tcPr>
          <w:p w14:paraId="7BF25BAE" w14:textId="77777777" w:rsidR="00020E37" w:rsidRPr="00ED6EDE" w:rsidRDefault="00020E37" w:rsidP="00CC23A9">
            <w:pPr>
              <w:keepNext/>
              <w:keepLines/>
              <w:jc w:val="center"/>
              <w:rPr>
                <w:rFonts w:ascii="Arial Narrow" w:hAnsi="Arial Narrow"/>
                <w:b/>
                <w:bCs/>
                <w:color w:val="000000"/>
                <w:sz w:val="20"/>
                <w:szCs w:val="18"/>
              </w:rPr>
            </w:pPr>
          </w:p>
        </w:tc>
      </w:tr>
      <w:tr w:rsidR="00020E37" w:rsidRPr="00ED6EDE" w14:paraId="57AB2D3B" w14:textId="77777777" w:rsidTr="00645E9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68D28BAA" w14:textId="77777777" w:rsidR="00020E37" w:rsidRPr="00ED6EDE" w:rsidRDefault="00020E37" w:rsidP="00CC23A9">
            <w:pPr>
              <w:pStyle w:val="Tabletext"/>
              <w:keepNext/>
              <w:keepLines/>
            </w:pPr>
            <w:r w:rsidRPr="00ED6EDE">
              <w:t>Alive, n (%)</w:t>
            </w:r>
          </w:p>
        </w:tc>
        <w:tc>
          <w:tcPr>
            <w:tcW w:w="785" w:type="pct"/>
            <w:tcBorders>
              <w:top w:val="single" w:sz="4" w:space="0" w:color="auto"/>
              <w:left w:val="single" w:sz="4" w:space="0" w:color="auto"/>
              <w:bottom w:val="single" w:sz="4" w:space="0" w:color="auto"/>
              <w:right w:val="single" w:sz="4" w:space="0" w:color="auto"/>
            </w:tcBorders>
            <w:vAlign w:val="center"/>
          </w:tcPr>
          <w:p w14:paraId="7044F9C8" w14:textId="77777777" w:rsidR="00020E37" w:rsidRPr="00ED6EDE" w:rsidRDefault="00020E37" w:rsidP="00CC23A9">
            <w:pPr>
              <w:pStyle w:val="Tabletext"/>
              <w:keepNext/>
              <w:keepLines/>
              <w:jc w:val="center"/>
            </w:pPr>
            <w:r w:rsidRPr="00ED6EDE">
              <w:rPr>
                <w:lang w:eastAsia="en-AU"/>
              </w:rPr>
              <w:t>188 (45.7)</w:t>
            </w:r>
          </w:p>
        </w:tc>
        <w:tc>
          <w:tcPr>
            <w:tcW w:w="708" w:type="pct"/>
            <w:tcBorders>
              <w:top w:val="single" w:sz="4" w:space="0" w:color="auto"/>
              <w:left w:val="single" w:sz="4" w:space="0" w:color="auto"/>
              <w:bottom w:val="single" w:sz="4" w:space="0" w:color="auto"/>
              <w:right w:val="single" w:sz="4" w:space="0" w:color="auto"/>
            </w:tcBorders>
            <w:vAlign w:val="center"/>
          </w:tcPr>
          <w:p w14:paraId="212F659E" w14:textId="77777777" w:rsidR="00020E37" w:rsidRPr="00ED6EDE" w:rsidRDefault="00020E37" w:rsidP="00CC23A9">
            <w:pPr>
              <w:pStyle w:val="Tabletext"/>
              <w:keepNext/>
              <w:keepLines/>
              <w:jc w:val="center"/>
            </w:pPr>
            <w:r w:rsidRPr="00ED6EDE">
              <w:rPr>
                <w:lang w:eastAsia="en-AU"/>
              </w:rPr>
              <w:t>245 (58.9)</w:t>
            </w:r>
          </w:p>
        </w:tc>
        <w:tc>
          <w:tcPr>
            <w:tcW w:w="1258" w:type="pct"/>
            <w:gridSpan w:val="2"/>
            <w:tcBorders>
              <w:top w:val="single" w:sz="4" w:space="0" w:color="auto"/>
              <w:left w:val="single" w:sz="4" w:space="0" w:color="auto"/>
              <w:bottom w:val="single" w:sz="4" w:space="0" w:color="auto"/>
              <w:right w:val="single" w:sz="4" w:space="0" w:color="auto"/>
            </w:tcBorders>
            <w:vAlign w:val="center"/>
          </w:tcPr>
          <w:p w14:paraId="325A30E5" w14:textId="39B80B6E" w:rsidR="00020E37" w:rsidRPr="00ED6EDE" w:rsidRDefault="00020E37" w:rsidP="00CC23A9">
            <w:pPr>
              <w:keepNext/>
              <w:keepLines/>
              <w:jc w:val="center"/>
              <w:rPr>
                <w:rFonts w:ascii="Arial Narrow" w:hAnsi="Arial Narrow"/>
                <w:color w:val="000000"/>
                <w:sz w:val="20"/>
                <w:szCs w:val="18"/>
              </w:rPr>
            </w:pPr>
          </w:p>
        </w:tc>
        <w:tc>
          <w:tcPr>
            <w:tcW w:w="758" w:type="pct"/>
            <w:gridSpan w:val="2"/>
            <w:vMerge w:val="restart"/>
            <w:tcBorders>
              <w:top w:val="single" w:sz="4" w:space="0" w:color="auto"/>
              <w:left w:val="single" w:sz="4" w:space="0" w:color="auto"/>
              <w:right w:val="single" w:sz="4" w:space="0" w:color="auto"/>
            </w:tcBorders>
            <w:vAlign w:val="center"/>
          </w:tcPr>
          <w:p w14:paraId="49129A81" w14:textId="77777777" w:rsidR="00020E37" w:rsidRPr="00ED6EDE" w:rsidRDefault="00020E37" w:rsidP="00CC23A9">
            <w:pPr>
              <w:pStyle w:val="Tabletext"/>
              <w:keepNext/>
              <w:keepLines/>
              <w:jc w:val="center"/>
              <w:rPr>
                <w:b/>
                <w:bCs/>
                <w:color w:val="000000"/>
                <w:szCs w:val="18"/>
              </w:rPr>
            </w:pPr>
            <w:r w:rsidRPr="00ED6EDE">
              <w:rPr>
                <w:rFonts w:eastAsia="Calibri"/>
                <w:b/>
                <w:bCs/>
              </w:rPr>
              <w:t>0.62 (0.51, 0.75)</w:t>
            </w:r>
          </w:p>
        </w:tc>
      </w:tr>
      <w:tr w:rsidR="00020E37" w:rsidRPr="00ED6EDE" w14:paraId="15C249B4" w14:textId="77777777" w:rsidTr="00645E9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40F048EC" w14:textId="77777777" w:rsidR="00020E37" w:rsidRPr="00ED6EDE" w:rsidRDefault="00020E37" w:rsidP="00CC23A9">
            <w:pPr>
              <w:keepNext/>
              <w:keepLines/>
              <w:rPr>
                <w:rFonts w:ascii="Arial Narrow" w:hAnsi="Arial Narrow"/>
                <w:color w:val="000000"/>
                <w:sz w:val="20"/>
                <w:szCs w:val="18"/>
              </w:rPr>
            </w:pPr>
            <w:r w:rsidRPr="00ED6EDE">
              <w:rPr>
                <w:rFonts w:ascii="Arial Narrow" w:hAnsi="Arial Narrow"/>
                <w:color w:val="000000"/>
                <w:sz w:val="20"/>
                <w:szCs w:val="18"/>
              </w:rPr>
              <w:t>Median (months)</w:t>
            </w:r>
          </w:p>
        </w:tc>
        <w:tc>
          <w:tcPr>
            <w:tcW w:w="785" w:type="pct"/>
            <w:tcBorders>
              <w:top w:val="single" w:sz="4" w:space="0" w:color="auto"/>
              <w:left w:val="single" w:sz="4" w:space="0" w:color="auto"/>
              <w:bottom w:val="single" w:sz="4" w:space="0" w:color="auto"/>
              <w:right w:val="single" w:sz="4" w:space="0" w:color="auto"/>
            </w:tcBorders>
            <w:vAlign w:val="center"/>
          </w:tcPr>
          <w:p w14:paraId="5D2A5156" w14:textId="77777777" w:rsidR="00020E37" w:rsidRPr="00ED6EDE" w:rsidRDefault="00020E37" w:rsidP="00CC23A9">
            <w:pPr>
              <w:pStyle w:val="Tabletext"/>
              <w:keepNext/>
              <w:keepLines/>
              <w:jc w:val="center"/>
            </w:pPr>
            <w:r w:rsidRPr="00ED6EDE">
              <w:rPr>
                <w:rFonts w:eastAsia="Calibri"/>
              </w:rPr>
              <w:t>18.3 (15.2, 20.5)</w:t>
            </w:r>
          </w:p>
        </w:tc>
        <w:tc>
          <w:tcPr>
            <w:tcW w:w="708" w:type="pct"/>
            <w:tcBorders>
              <w:top w:val="single" w:sz="4" w:space="0" w:color="auto"/>
              <w:left w:val="single" w:sz="4" w:space="0" w:color="auto"/>
              <w:bottom w:val="single" w:sz="4" w:space="0" w:color="auto"/>
              <w:right w:val="single" w:sz="4" w:space="0" w:color="auto"/>
            </w:tcBorders>
            <w:vAlign w:val="center"/>
          </w:tcPr>
          <w:p w14:paraId="3B7F34A6" w14:textId="77777777" w:rsidR="00020E37" w:rsidRPr="00ED6EDE" w:rsidRDefault="00020E37" w:rsidP="00CC23A9">
            <w:pPr>
              <w:pStyle w:val="Tabletext"/>
              <w:keepNext/>
              <w:keepLines/>
              <w:jc w:val="center"/>
            </w:pPr>
            <w:r w:rsidRPr="00ED6EDE">
              <w:rPr>
                <w:rFonts w:eastAsia="Calibri"/>
              </w:rPr>
              <w:t>11.4 (10.5, 12.9)</w:t>
            </w:r>
          </w:p>
        </w:tc>
        <w:tc>
          <w:tcPr>
            <w:tcW w:w="1258" w:type="pct"/>
            <w:gridSpan w:val="2"/>
            <w:tcBorders>
              <w:top w:val="single" w:sz="4" w:space="0" w:color="auto"/>
              <w:left w:val="single" w:sz="4" w:space="0" w:color="auto"/>
              <w:bottom w:val="single" w:sz="4" w:space="0" w:color="auto"/>
              <w:right w:val="single" w:sz="4" w:space="0" w:color="auto"/>
            </w:tcBorders>
            <w:vAlign w:val="center"/>
          </w:tcPr>
          <w:p w14:paraId="1A138712" w14:textId="6622CDB8" w:rsidR="00020E37" w:rsidRPr="00ED6EDE" w:rsidRDefault="00534953" w:rsidP="00CC23A9">
            <w:pPr>
              <w:pStyle w:val="Tabletext"/>
              <w:keepNext/>
              <w:keepLines/>
              <w:jc w:val="center"/>
              <w:rPr>
                <w:color w:val="000000"/>
                <w:szCs w:val="18"/>
              </w:rPr>
            </w:pPr>
            <w:r w:rsidRPr="00ED6EDE">
              <w:rPr>
                <w:color w:val="000000"/>
                <w:szCs w:val="18"/>
              </w:rPr>
              <w:t>6.9</w:t>
            </w:r>
          </w:p>
        </w:tc>
        <w:tc>
          <w:tcPr>
            <w:tcW w:w="758" w:type="pct"/>
            <w:gridSpan w:val="2"/>
            <w:vMerge/>
            <w:tcBorders>
              <w:left w:val="single" w:sz="4" w:space="0" w:color="auto"/>
              <w:bottom w:val="single" w:sz="4" w:space="0" w:color="auto"/>
              <w:right w:val="single" w:sz="4" w:space="0" w:color="auto"/>
            </w:tcBorders>
            <w:vAlign w:val="center"/>
          </w:tcPr>
          <w:p w14:paraId="7A316AF1" w14:textId="77777777" w:rsidR="00020E37" w:rsidRPr="00ED6EDE" w:rsidRDefault="00020E37" w:rsidP="00CC23A9">
            <w:pPr>
              <w:pStyle w:val="Tabletext"/>
              <w:keepNext/>
              <w:keepLines/>
              <w:jc w:val="center"/>
              <w:rPr>
                <w:color w:val="000000"/>
                <w:szCs w:val="18"/>
              </w:rPr>
            </w:pPr>
          </w:p>
        </w:tc>
      </w:tr>
      <w:tr w:rsidR="00020E37" w:rsidRPr="00ED6EDE" w14:paraId="504F3ADE" w14:textId="77777777" w:rsidTr="00645E9C">
        <w:tc>
          <w:tcPr>
            <w:tcW w:w="1491" w:type="pct"/>
            <w:tcBorders>
              <w:top w:val="single" w:sz="4" w:space="0" w:color="auto"/>
              <w:left w:val="single" w:sz="4" w:space="0" w:color="auto"/>
              <w:bottom w:val="double" w:sz="4" w:space="0" w:color="auto"/>
              <w:right w:val="single" w:sz="4" w:space="0" w:color="auto"/>
            </w:tcBorders>
            <w:shd w:val="clear" w:color="auto" w:fill="auto"/>
            <w:vAlign w:val="center"/>
          </w:tcPr>
          <w:p w14:paraId="48CABBF2" w14:textId="77777777" w:rsidR="00020E37" w:rsidRPr="00ED6EDE" w:rsidRDefault="00020E37" w:rsidP="00CC23A9">
            <w:pPr>
              <w:keepNext/>
              <w:keepLines/>
              <w:rPr>
                <w:rFonts w:ascii="Arial Narrow" w:hAnsi="Arial Narrow"/>
                <w:color w:val="000000"/>
                <w:sz w:val="20"/>
                <w:szCs w:val="18"/>
              </w:rPr>
            </w:pPr>
            <w:r w:rsidRPr="00ED6EDE">
              <w:rPr>
                <w:rFonts w:ascii="Arial Narrow" w:hAnsi="Arial Narrow"/>
                <w:color w:val="000000"/>
                <w:sz w:val="20"/>
                <w:szCs w:val="18"/>
              </w:rPr>
              <w:t>% alive at 12 months (95% CI)</w:t>
            </w:r>
          </w:p>
        </w:tc>
        <w:tc>
          <w:tcPr>
            <w:tcW w:w="785" w:type="pct"/>
            <w:tcBorders>
              <w:top w:val="single" w:sz="4" w:space="0" w:color="auto"/>
              <w:left w:val="single" w:sz="4" w:space="0" w:color="auto"/>
              <w:bottom w:val="double" w:sz="4" w:space="0" w:color="auto"/>
              <w:right w:val="single" w:sz="4" w:space="0" w:color="auto"/>
            </w:tcBorders>
            <w:vAlign w:val="center"/>
          </w:tcPr>
          <w:p w14:paraId="24991020" w14:textId="77777777" w:rsidR="00020E37" w:rsidRPr="00ED6EDE" w:rsidRDefault="00020E37" w:rsidP="00CC23A9">
            <w:pPr>
              <w:pStyle w:val="Tabletext"/>
              <w:keepNext/>
              <w:keepLines/>
              <w:jc w:val="center"/>
            </w:pPr>
            <w:r w:rsidRPr="00ED6EDE">
              <w:rPr>
                <w:lang w:eastAsia="en-AU"/>
              </w:rPr>
              <w:t>62.5 (57.5, 67.1)</w:t>
            </w:r>
          </w:p>
        </w:tc>
        <w:tc>
          <w:tcPr>
            <w:tcW w:w="708" w:type="pct"/>
            <w:tcBorders>
              <w:top w:val="single" w:sz="4" w:space="0" w:color="auto"/>
              <w:left w:val="single" w:sz="4" w:space="0" w:color="auto"/>
              <w:bottom w:val="double" w:sz="4" w:space="0" w:color="auto"/>
              <w:right w:val="single" w:sz="4" w:space="0" w:color="auto"/>
            </w:tcBorders>
            <w:vAlign w:val="center"/>
          </w:tcPr>
          <w:p w14:paraId="1F0C73F8" w14:textId="77777777" w:rsidR="00020E37" w:rsidRPr="00ED6EDE" w:rsidRDefault="00020E37" w:rsidP="00CC23A9">
            <w:pPr>
              <w:pStyle w:val="Tabletext"/>
              <w:keepNext/>
              <w:keepLines/>
              <w:jc w:val="center"/>
            </w:pPr>
            <w:r w:rsidRPr="00ED6EDE">
              <w:t>47.9 (42.7, 53.0)</w:t>
            </w:r>
          </w:p>
        </w:tc>
        <w:tc>
          <w:tcPr>
            <w:tcW w:w="1258" w:type="pct"/>
            <w:gridSpan w:val="2"/>
            <w:tcBorders>
              <w:top w:val="single" w:sz="4" w:space="0" w:color="auto"/>
              <w:left w:val="single" w:sz="4" w:space="0" w:color="auto"/>
              <w:bottom w:val="double" w:sz="4" w:space="0" w:color="auto"/>
              <w:right w:val="single" w:sz="4" w:space="0" w:color="auto"/>
            </w:tcBorders>
            <w:vAlign w:val="center"/>
          </w:tcPr>
          <w:p w14:paraId="3BC9AA7D" w14:textId="77777777" w:rsidR="00020E37" w:rsidRPr="00ED6EDE" w:rsidRDefault="00020E37" w:rsidP="00CC23A9">
            <w:pPr>
              <w:keepNext/>
              <w:keepLines/>
              <w:jc w:val="center"/>
              <w:rPr>
                <w:rFonts w:ascii="Arial Narrow" w:hAnsi="Arial Narrow"/>
                <w:color w:val="000000"/>
                <w:sz w:val="20"/>
                <w:szCs w:val="18"/>
              </w:rPr>
            </w:pPr>
            <w:r w:rsidRPr="00ED6EDE">
              <w:rPr>
                <w:rFonts w:ascii="Arial Narrow" w:hAnsi="Arial Narrow"/>
                <w:color w:val="000000"/>
                <w:sz w:val="20"/>
                <w:szCs w:val="18"/>
              </w:rPr>
              <w:t>14.6%</w:t>
            </w:r>
          </w:p>
        </w:tc>
        <w:tc>
          <w:tcPr>
            <w:tcW w:w="758" w:type="pct"/>
            <w:gridSpan w:val="2"/>
            <w:tcBorders>
              <w:top w:val="single" w:sz="4" w:space="0" w:color="auto"/>
              <w:left w:val="single" w:sz="4" w:space="0" w:color="auto"/>
              <w:bottom w:val="double" w:sz="4" w:space="0" w:color="auto"/>
              <w:right w:val="single" w:sz="4" w:space="0" w:color="auto"/>
            </w:tcBorders>
            <w:vAlign w:val="center"/>
          </w:tcPr>
          <w:p w14:paraId="429E5C7F" w14:textId="77777777" w:rsidR="00020E37" w:rsidRPr="00ED6EDE" w:rsidRDefault="00020E37" w:rsidP="00CC23A9">
            <w:pPr>
              <w:keepNext/>
              <w:keepLines/>
              <w:jc w:val="center"/>
              <w:rPr>
                <w:rFonts w:ascii="Arial Narrow" w:hAnsi="Arial Narrow"/>
                <w:color w:val="000000"/>
                <w:sz w:val="20"/>
                <w:szCs w:val="18"/>
              </w:rPr>
            </w:pPr>
          </w:p>
        </w:tc>
      </w:tr>
      <w:tr w:rsidR="00020E37" w:rsidRPr="00ED6EDE" w14:paraId="280CDE0C" w14:textId="77777777" w:rsidTr="00522D2D">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0A924279" w14:textId="77777777" w:rsidR="00020E37" w:rsidRPr="00ED6EDE" w:rsidRDefault="00020E37" w:rsidP="00CC23A9">
            <w:pPr>
              <w:keepNext/>
              <w:keepLines/>
              <w:rPr>
                <w:rFonts w:ascii="Arial Narrow" w:hAnsi="Arial Narrow"/>
                <w:b/>
                <w:color w:val="000000"/>
                <w:sz w:val="20"/>
                <w:szCs w:val="18"/>
              </w:rPr>
            </w:pPr>
            <w:r w:rsidRPr="00ED6EDE">
              <w:rPr>
                <w:rFonts w:ascii="Arial Narrow" w:hAnsi="Arial Narrow"/>
                <w:b/>
                <w:color w:val="000000"/>
                <w:sz w:val="20"/>
                <w:szCs w:val="18"/>
              </w:rPr>
              <w:t xml:space="preserve">Harms </w:t>
            </w:r>
          </w:p>
        </w:tc>
      </w:tr>
      <w:tr w:rsidR="00020E37" w:rsidRPr="00ED6EDE" w14:paraId="5BFE2673" w14:textId="77777777" w:rsidTr="00645E9C">
        <w:trPr>
          <w:gridAfter w:val="1"/>
          <w:wAfter w:w="5" w:type="pct"/>
          <w:trHeight w:val="70"/>
        </w:trPr>
        <w:tc>
          <w:tcPr>
            <w:tcW w:w="14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AF2DC8" w14:textId="77777777" w:rsidR="00020E37" w:rsidRPr="00ED6EDE" w:rsidRDefault="00020E37" w:rsidP="00CC23A9">
            <w:pPr>
              <w:keepNext/>
              <w:keepLines/>
              <w:rPr>
                <w:rFonts w:ascii="Arial Narrow" w:hAnsi="Arial Narrow"/>
                <w:b/>
                <w:color w:val="000000"/>
                <w:sz w:val="20"/>
                <w:szCs w:val="18"/>
              </w:rPr>
            </w:pP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2B7C06B5"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PEM+LEN</w:t>
            </w:r>
          </w:p>
          <w:p w14:paraId="501A184F"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N=411</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14:paraId="14235E47"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Chemo</w:t>
            </w:r>
          </w:p>
          <w:p w14:paraId="2BE47986"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N=416</w:t>
            </w:r>
          </w:p>
        </w:tc>
        <w:tc>
          <w:tcPr>
            <w:tcW w:w="1258" w:type="pct"/>
            <w:gridSpan w:val="2"/>
            <w:tcBorders>
              <w:top w:val="single" w:sz="4" w:space="0" w:color="auto"/>
              <w:left w:val="single" w:sz="4" w:space="0" w:color="auto"/>
              <w:bottom w:val="single" w:sz="4" w:space="0" w:color="auto"/>
              <w:right w:val="single" w:sz="4" w:space="0" w:color="auto"/>
            </w:tcBorders>
            <w:vAlign w:val="center"/>
          </w:tcPr>
          <w:p w14:paraId="7716D834"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 xml:space="preserve">Event rate/100 patients* </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14:paraId="42712A84"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RD</w:t>
            </w:r>
          </w:p>
          <w:p w14:paraId="0A78EBE3"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(95% CI)</w:t>
            </w:r>
          </w:p>
        </w:tc>
      </w:tr>
      <w:tr w:rsidR="00020E37" w:rsidRPr="00ED6EDE" w14:paraId="12094143" w14:textId="77777777" w:rsidTr="00645E9C">
        <w:trPr>
          <w:gridAfter w:val="1"/>
          <w:wAfter w:w="5" w:type="pct"/>
          <w:trHeight w:val="58"/>
        </w:trPr>
        <w:tc>
          <w:tcPr>
            <w:tcW w:w="14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15F274" w14:textId="77777777" w:rsidR="00020E37" w:rsidRPr="00ED6EDE" w:rsidRDefault="00020E37" w:rsidP="00CC23A9">
            <w:pPr>
              <w:keepNext/>
              <w:keepLines/>
              <w:rPr>
                <w:rFonts w:ascii="Arial Narrow" w:hAnsi="Arial Narrow"/>
                <w:b/>
                <w:color w:val="000000"/>
                <w:sz w:val="20"/>
                <w:szCs w:val="18"/>
              </w:rPr>
            </w:pPr>
          </w:p>
        </w:tc>
        <w:tc>
          <w:tcPr>
            <w:tcW w:w="785" w:type="pct"/>
            <w:vMerge/>
            <w:tcBorders>
              <w:top w:val="single" w:sz="4" w:space="0" w:color="auto"/>
              <w:left w:val="single" w:sz="4" w:space="0" w:color="auto"/>
              <w:bottom w:val="single" w:sz="4" w:space="0" w:color="auto"/>
              <w:right w:val="single" w:sz="4" w:space="0" w:color="auto"/>
            </w:tcBorders>
            <w:vAlign w:val="center"/>
          </w:tcPr>
          <w:p w14:paraId="25031C77" w14:textId="77777777" w:rsidR="00020E37" w:rsidRPr="00ED6EDE" w:rsidRDefault="00020E37" w:rsidP="00CC23A9">
            <w:pPr>
              <w:keepNext/>
              <w:keepLines/>
              <w:jc w:val="center"/>
              <w:rPr>
                <w:rFonts w:ascii="Arial Narrow" w:hAnsi="Arial Narrow"/>
                <w:b/>
                <w:color w:val="000000"/>
                <w:sz w:val="20"/>
                <w:szCs w:val="18"/>
              </w:rPr>
            </w:pPr>
          </w:p>
        </w:tc>
        <w:tc>
          <w:tcPr>
            <w:tcW w:w="708" w:type="pct"/>
            <w:vMerge/>
            <w:tcBorders>
              <w:top w:val="single" w:sz="4" w:space="0" w:color="auto"/>
              <w:left w:val="single" w:sz="4" w:space="0" w:color="auto"/>
              <w:bottom w:val="single" w:sz="4" w:space="0" w:color="auto"/>
              <w:right w:val="single" w:sz="4" w:space="0" w:color="auto"/>
            </w:tcBorders>
            <w:vAlign w:val="center"/>
          </w:tcPr>
          <w:p w14:paraId="0367D049" w14:textId="77777777" w:rsidR="00020E37" w:rsidRPr="00ED6EDE" w:rsidRDefault="00020E37" w:rsidP="00CC23A9">
            <w:pPr>
              <w:keepNext/>
              <w:keepLines/>
              <w:jc w:val="center"/>
              <w:rPr>
                <w:rFonts w:ascii="Arial Narrow" w:hAnsi="Arial Narrow"/>
                <w:b/>
                <w:color w:val="000000"/>
                <w:sz w:val="20"/>
                <w:szCs w:val="18"/>
              </w:rPr>
            </w:pPr>
          </w:p>
        </w:tc>
        <w:tc>
          <w:tcPr>
            <w:tcW w:w="629" w:type="pct"/>
            <w:tcBorders>
              <w:top w:val="single" w:sz="4" w:space="0" w:color="auto"/>
              <w:left w:val="single" w:sz="4" w:space="0" w:color="auto"/>
              <w:bottom w:val="single" w:sz="4" w:space="0" w:color="auto"/>
              <w:right w:val="single" w:sz="4" w:space="0" w:color="auto"/>
            </w:tcBorders>
            <w:vAlign w:val="center"/>
          </w:tcPr>
          <w:p w14:paraId="40AE25D6"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PEM+LEN</w:t>
            </w:r>
          </w:p>
        </w:tc>
        <w:tc>
          <w:tcPr>
            <w:tcW w:w="629" w:type="pct"/>
            <w:tcBorders>
              <w:top w:val="single" w:sz="4" w:space="0" w:color="auto"/>
              <w:left w:val="single" w:sz="4" w:space="0" w:color="auto"/>
              <w:bottom w:val="single" w:sz="4" w:space="0" w:color="auto"/>
              <w:right w:val="single" w:sz="4" w:space="0" w:color="auto"/>
            </w:tcBorders>
            <w:vAlign w:val="center"/>
          </w:tcPr>
          <w:p w14:paraId="73EE47C0" w14:textId="77777777" w:rsidR="00020E37" w:rsidRPr="00ED6EDE" w:rsidRDefault="00020E37" w:rsidP="00CC23A9">
            <w:pPr>
              <w:keepNext/>
              <w:keepLines/>
              <w:jc w:val="center"/>
              <w:rPr>
                <w:rFonts w:ascii="Arial Narrow" w:hAnsi="Arial Narrow"/>
                <w:b/>
                <w:color w:val="000000"/>
                <w:sz w:val="20"/>
                <w:szCs w:val="18"/>
              </w:rPr>
            </w:pPr>
            <w:r w:rsidRPr="00ED6EDE">
              <w:rPr>
                <w:rFonts w:ascii="Arial Narrow" w:hAnsi="Arial Narrow"/>
                <w:b/>
                <w:color w:val="000000"/>
                <w:sz w:val="20"/>
                <w:szCs w:val="18"/>
              </w:rPr>
              <w:t>Chemo</w:t>
            </w:r>
          </w:p>
        </w:tc>
        <w:tc>
          <w:tcPr>
            <w:tcW w:w="753" w:type="pct"/>
            <w:vMerge/>
            <w:tcBorders>
              <w:top w:val="single" w:sz="4" w:space="0" w:color="auto"/>
              <w:left w:val="single" w:sz="4" w:space="0" w:color="auto"/>
              <w:bottom w:val="single" w:sz="4" w:space="0" w:color="auto"/>
              <w:right w:val="single" w:sz="4" w:space="0" w:color="auto"/>
            </w:tcBorders>
            <w:vAlign w:val="center"/>
          </w:tcPr>
          <w:p w14:paraId="174375C2" w14:textId="77777777" w:rsidR="00020E37" w:rsidRPr="00ED6EDE" w:rsidRDefault="00020E37" w:rsidP="00CC23A9">
            <w:pPr>
              <w:keepNext/>
              <w:keepLines/>
              <w:jc w:val="center"/>
              <w:rPr>
                <w:rFonts w:ascii="Arial Narrow" w:hAnsi="Arial Narrow"/>
                <w:b/>
                <w:color w:val="000000"/>
                <w:sz w:val="20"/>
                <w:szCs w:val="18"/>
              </w:rPr>
            </w:pPr>
          </w:p>
        </w:tc>
      </w:tr>
      <w:tr w:rsidR="00020E37" w:rsidRPr="00ED6EDE" w14:paraId="14FE0B3F" w14:textId="77777777" w:rsidTr="00645E9C">
        <w:trPr>
          <w:gridAfter w:val="1"/>
          <w:wAfter w:w="5" w:type="pct"/>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08195A25" w14:textId="77777777" w:rsidR="00020E37" w:rsidRPr="00ED6EDE" w:rsidRDefault="00020E37" w:rsidP="00CC23A9">
            <w:pPr>
              <w:pStyle w:val="Tabletext"/>
              <w:keepNext/>
              <w:keepLines/>
            </w:pPr>
            <w:r w:rsidRPr="00ED6EDE">
              <w:t xml:space="preserve">TEAEs </w:t>
            </w:r>
          </w:p>
          <w:p w14:paraId="4FA3F6C3" w14:textId="77777777" w:rsidR="00020E37" w:rsidRPr="00ED6EDE" w:rsidRDefault="00020E37" w:rsidP="00CC23A9">
            <w:pPr>
              <w:pStyle w:val="Tabletext"/>
              <w:keepNext/>
              <w:keepLines/>
              <w:rPr>
                <w:color w:val="000000"/>
                <w:szCs w:val="18"/>
              </w:rPr>
            </w:pPr>
            <w:r w:rsidRPr="00ED6EDE">
              <w:t>Grade 3 or above</w:t>
            </w:r>
          </w:p>
        </w:tc>
        <w:tc>
          <w:tcPr>
            <w:tcW w:w="785" w:type="pct"/>
            <w:tcBorders>
              <w:top w:val="single" w:sz="4" w:space="0" w:color="auto"/>
              <w:left w:val="single" w:sz="4" w:space="0" w:color="auto"/>
              <w:bottom w:val="single" w:sz="4" w:space="0" w:color="auto"/>
              <w:right w:val="single" w:sz="4" w:space="0" w:color="auto"/>
            </w:tcBorders>
            <w:vAlign w:val="center"/>
          </w:tcPr>
          <w:p w14:paraId="603E6EF4" w14:textId="77777777" w:rsidR="00020E37" w:rsidRPr="00ED6EDE" w:rsidRDefault="00020E37" w:rsidP="00CC23A9">
            <w:pPr>
              <w:pStyle w:val="Tabletext"/>
              <w:keepNext/>
              <w:keepLines/>
              <w:jc w:val="center"/>
              <w:rPr>
                <w:color w:val="000000"/>
                <w:szCs w:val="18"/>
              </w:rPr>
            </w:pPr>
            <w:r w:rsidRPr="00ED6EDE">
              <w:t>316 (77.8)</w:t>
            </w:r>
          </w:p>
        </w:tc>
        <w:tc>
          <w:tcPr>
            <w:tcW w:w="708" w:type="pct"/>
            <w:tcBorders>
              <w:top w:val="single" w:sz="4" w:space="0" w:color="auto"/>
              <w:left w:val="single" w:sz="4" w:space="0" w:color="auto"/>
              <w:bottom w:val="single" w:sz="4" w:space="0" w:color="auto"/>
              <w:right w:val="single" w:sz="4" w:space="0" w:color="auto"/>
            </w:tcBorders>
            <w:vAlign w:val="center"/>
          </w:tcPr>
          <w:p w14:paraId="563377DB" w14:textId="77777777" w:rsidR="00020E37" w:rsidRPr="00ED6EDE" w:rsidRDefault="00020E37" w:rsidP="00CC23A9">
            <w:pPr>
              <w:pStyle w:val="Tabletext"/>
              <w:keepNext/>
              <w:keepLines/>
              <w:jc w:val="center"/>
              <w:rPr>
                <w:color w:val="000000"/>
                <w:szCs w:val="18"/>
              </w:rPr>
            </w:pPr>
            <w:r w:rsidRPr="00ED6EDE">
              <w:t>229 (59.0)</w:t>
            </w:r>
          </w:p>
        </w:tc>
        <w:tc>
          <w:tcPr>
            <w:tcW w:w="629" w:type="pct"/>
            <w:tcBorders>
              <w:top w:val="single" w:sz="4" w:space="0" w:color="auto"/>
              <w:left w:val="single" w:sz="4" w:space="0" w:color="auto"/>
              <w:bottom w:val="single" w:sz="4" w:space="0" w:color="auto"/>
              <w:right w:val="single" w:sz="4" w:space="0" w:color="auto"/>
            </w:tcBorders>
            <w:vAlign w:val="center"/>
          </w:tcPr>
          <w:p w14:paraId="0F89F802" w14:textId="77777777" w:rsidR="00020E37" w:rsidRPr="00ED6EDE" w:rsidRDefault="00020E37" w:rsidP="00CC23A9">
            <w:pPr>
              <w:pStyle w:val="Tabletext"/>
              <w:keepNext/>
              <w:keepLines/>
              <w:jc w:val="center"/>
              <w:rPr>
                <w:color w:val="000000"/>
                <w:szCs w:val="18"/>
              </w:rPr>
            </w:pPr>
            <w:r w:rsidRPr="00ED6EDE">
              <w:rPr>
                <w:color w:val="000000"/>
                <w:szCs w:val="18"/>
              </w:rPr>
              <w:t>78</w:t>
            </w:r>
          </w:p>
        </w:tc>
        <w:tc>
          <w:tcPr>
            <w:tcW w:w="629" w:type="pct"/>
            <w:tcBorders>
              <w:top w:val="single" w:sz="4" w:space="0" w:color="auto"/>
              <w:left w:val="single" w:sz="4" w:space="0" w:color="auto"/>
              <w:bottom w:val="single" w:sz="4" w:space="0" w:color="auto"/>
              <w:right w:val="single" w:sz="4" w:space="0" w:color="auto"/>
            </w:tcBorders>
            <w:vAlign w:val="center"/>
          </w:tcPr>
          <w:p w14:paraId="3AFC2A56" w14:textId="77777777" w:rsidR="00020E37" w:rsidRPr="00ED6EDE" w:rsidRDefault="00020E37" w:rsidP="00CC23A9">
            <w:pPr>
              <w:pStyle w:val="Tabletext"/>
              <w:keepNext/>
              <w:keepLines/>
              <w:jc w:val="center"/>
              <w:rPr>
                <w:color w:val="000000"/>
                <w:szCs w:val="18"/>
              </w:rPr>
            </w:pPr>
            <w:r w:rsidRPr="00ED6EDE">
              <w:rPr>
                <w:color w:val="000000"/>
                <w:szCs w:val="18"/>
              </w:rPr>
              <w:t>59</w:t>
            </w:r>
          </w:p>
        </w:tc>
        <w:tc>
          <w:tcPr>
            <w:tcW w:w="753" w:type="pct"/>
            <w:tcBorders>
              <w:top w:val="single" w:sz="4" w:space="0" w:color="auto"/>
              <w:left w:val="single" w:sz="4" w:space="0" w:color="auto"/>
              <w:bottom w:val="single" w:sz="4" w:space="0" w:color="auto"/>
              <w:right w:val="single" w:sz="4" w:space="0" w:color="auto"/>
            </w:tcBorders>
            <w:vAlign w:val="center"/>
          </w:tcPr>
          <w:p w14:paraId="76F0F543" w14:textId="77777777" w:rsidR="00020E37" w:rsidRPr="00ED6EDE" w:rsidRDefault="00020E37" w:rsidP="00CC23A9">
            <w:pPr>
              <w:pStyle w:val="Tabletext"/>
              <w:keepNext/>
              <w:keepLines/>
              <w:jc w:val="center"/>
              <w:rPr>
                <w:color w:val="000000"/>
                <w:szCs w:val="18"/>
              </w:rPr>
            </w:pPr>
            <w:r w:rsidRPr="00ED6EDE">
              <w:rPr>
                <w:rFonts w:cs="Calibri"/>
                <w:iCs/>
                <w:color w:val="000000"/>
              </w:rPr>
              <w:t>0.19 (0.12, 0.25)</w:t>
            </w:r>
          </w:p>
        </w:tc>
      </w:tr>
      <w:tr w:rsidR="00020E37" w:rsidRPr="00ED6EDE" w14:paraId="603B1036" w14:textId="77777777" w:rsidTr="00645E9C">
        <w:trPr>
          <w:gridAfter w:val="1"/>
          <w:wAfter w:w="5" w:type="pct"/>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710225C2" w14:textId="77777777" w:rsidR="00020E37" w:rsidRPr="00ED6EDE" w:rsidRDefault="00020E37" w:rsidP="00CC23A9">
            <w:pPr>
              <w:pStyle w:val="Tabletext"/>
              <w:keepNext/>
              <w:keepLines/>
              <w:rPr>
                <w:color w:val="000000"/>
                <w:szCs w:val="18"/>
              </w:rPr>
            </w:pPr>
            <w:r w:rsidRPr="00ED6EDE">
              <w:t>TEAEs leading to study drug withdrawal/ discontinuation</w:t>
            </w:r>
          </w:p>
        </w:tc>
        <w:tc>
          <w:tcPr>
            <w:tcW w:w="785" w:type="pct"/>
            <w:tcBorders>
              <w:top w:val="single" w:sz="4" w:space="0" w:color="auto"/>
              <w:left w:val="single" w:sz="4" w:space="0" w:color="auto"/>
              <w:bottom w:val="single" w:sz="4" w:space="0" w:color="auto"/>
              <w:right w:val="single" w:sz="4" w:space="0" w:color="auto"/>
            </w:tcBorders>
            <w:vAlign w:val="center"/>
          </w:tcPr>
          <w:p w14:paraId="7A6F7451" w14:textId="77777777" w:rsidR="00020E37" w:rsidRPr="00ED6EDE" w:rsidRDefault="00020E37" w:rsidP="00CC23A9">
            <w:pPr>
              <w:pStyle w:val="Tabletext"/>
              <w:keepNext/>
              <w:keepLines/>
              <w:jc w:val="center"/>
              <w:rPr>
                <w:color w:val="000000"/>
                <w:szCs w:val="18"/>
              </w:rPr>
            </w:pPr>
            <w:r w:rsidRPr="00ED6EDE">
              <w:t>134 (33.0)</w:t>
            </w:r>
          </w:p>
        </w:tc>
        <w:tc>
          <w:tcPr>
            <w:tcW w:w="708" w:type="pct"/>
            <w:tcBorders>
              <w:top w:val="single" w:sz="4" w:space="0" w:color="auto"/>
              <w:left w:val="single" w:sz="4" w:space="0" w:color="auto"/>
              <w:bottom w:val="single" w:sz="4" w:space="0" w:color="auto"/>
              <w:right w:val="single" w:sz="4" w:space="0" w:color="auto"/>
            </w:tcBorders>
            <w:vAlign w:val="center"/>
          </w:tcPr>
          <w:p w14:paraId="20CE368C" w14:textId="77777777" w:rsidR="00020E37" w:rsidRPr="00ED6EDE" w:rsidRDefault="00020E37" w:rsidP="00CC23A9">
            <w:pPr>
              <w:pStyle w:val="Tabletext"/>
              <w:keepNext/>
              <w:keepLines/>
              <w:jc w:val="center"/>
              <w:rPr>
                <w:color w:val="000000"/>
                <w:szCs w:val="18"/>
              </w:rPr>
            </w:pPr>
            <w:r w:rsidRPr="00ED6EDE">
              <w:t>31 (8.0)</w:t>
            </w:r>
          </w:p>
        </w:tc>
        <w:tc>
          <w:tcPr>
            <w:tcW w:w="629" w:type="pct"/>
            <w:tcBorders>
              <w:top w:val="single" w:sz="4" w:space="0" w:color="auto"/>
              <w:left w:val="single" w:sz="4" w:space="0" w:color="auto"/>
              <w:bottom w:val="single" w:sz="4" w:space="0" w:color="auto"/>
              <w:right w:val="single" w:sz="4" w:space="0" w:color="auto"/>
            </w:tcBorders>
            <w:vAlign w:val="center"/>
          </w:tcPr>
          <w:p w14:paraId="220F5AB9" w14:textId="77777777" w:rsidR="00020E37" w:rsidRPr="00ED6EDE" w:rsidRDefault="00020E37" w:rsidP="00CC23A9">
            <w:pPr>
              <w:pStyle w:val="TableText0"/>
              <w:keepLines/>
              <w:jc w:val="center"/>
            </w:pPr>
            <w:r w:rsidRPr="00ED6EDE">
              <w:t>33</w:t>
            </w:r>
          </w:p>
        </w:tc>
        <w:tc>
          <w:tcPr>
            <w:tcW w:w="629" w:type="pct"/>
            <w:tcBorders>
              <w:top w:val="single" w:sz="4" w:space="0" w:color="auto"/>
              <w:left w:val="single" w:sz="4" w:space="0" w:color="auto"/>
              <w:bottom w:val="single" w:sz="4" w:space="0" w:color="auto"/>
              <w:right w:val="single" w:sz="4" w:space="0" w:color="auto"/>
            </w:tcBorders>
            <w:vAlign w:val="center"/>
          </w:tcPr>
          <w:p w14:paraId="42183815" w14:textId="77777777" w:rsidR="00020E37" w:rsidRPr="00ED6EDE" w:rsidRDefault="00020E37" w:rsidP="00CC23A9">
            <w:pPr>
              <w:keepNext/>
              <w:keepLines/>
              <w:jc w:val="center"/>
              <w:rPr>
                <w:rFonts w:ascii="Arial Narrow" w:hAnsi="Arial Narrow"/>
                <w:color w:val="000000"/>
                <w:sz w:val="20"/>
                <w:szCs w:val="18"/>
              </w:rPr>
            </w:pPr>
            <w:r w:rsidRPr="00ED6EDE">
              <w:rPr>
                <w:rFonts w:ascii="Arial Narrow" w:hAnsi="Arial Narrow"/>
                <w:color w:val="000000"/>
                <w:sz w:val="20"/>
                <w:szCs w:val="18"/>
              </w:rPr>
              <w:t>8</w:t>
            </w:r>
          </w:p>
        </w:tc>
        <w:tc>
          <w:tcPr>
            <w:tcW w:w="753" w:type="pct"/>
            <w:tcBorders>
              <w:top w:val="single" w:sz="4" w:space="0" w:color="auto"/>
              <w:left w:val="single" w:sz="4" w:space="0" w:color="auto"/>
              <w:bottom w:val="single" w:sz="4" w:space="0" w:color="auto"/>
              <w:right w:val="single" w:sz="4" w:space="0" w:color="auto"/>
            </w:tcBorders>
            <w:vAlign w:val="center"/>
          </w:tcPr>
          <w:p w14:paraId="362C6568" w14:textId="77777777" w:rsidR="00020E37" w:rsidRPr="00ED6EDE" w:rsidRDefault="00020E37" w:rsidP="00CC23A9">
            <w:pPr>
              <w:pStyle w:val="Tabletext"/>
              <w:keepNext/>
              <w:keepLines/>
              <w:jc w:val="center"/>
              <w:rPr>
                <w:color w:val="000000"/>
                <w:szCs w:val="18"/>
              </w:rPr>
            </w:pPr>
            <w:r w:rsidRPr="00ED6EDE">
              <w:rPr>
                <w:rFonts w:eastAsia="Calibri"/>
              </w:rPr>
              <w:t>0.25 (0.2, 0.3)</w:t>
            </w:r>
          </w:p>
        </w:tc>
      </w:tr>
      <w:tr w:rsidR="00020E37" w:rsidRPr="00ED6EDE" w14:paraId="0DF1FD71" w14:textId="77777777" w:rsidTr="00645E9C">
        <w:trPr>
          <w:gridAfter w:val="1"/>
          <w:wAfter w:w="5" w:type="pct"/>
        </w:trPr>
        <w:tc>
          <w:tcPr>
            <w:tcW w:w="1491" w:type="pct"/>
            <w:tcBorders>
              <w:top w:val="single" w:sz="4" w:space="0" w:color="auto"/>
              <w:left w:val="single" w:sz="4" w:space="0" w:color="auto"/>
              <w:bottom w:val="single" w:sz="4" w:space="0" w:color="auto"/>
              <w:right w:val="single" w:sz="4" w:space="0" w:color="auto"/>
            </w:tcBorders>
            <w:shd w:val="clear" w:color="auto" w:fill="auto"/>
          </w:tcPr>
          <w:p w14:paraId="54E9C1C1" w14:textId="77777777" w:rsidR="00020E37" w:rsidRPr="00ED6EDE" w:rsidRDefault="00020E37" w:rsidP="00CC23A9">
            <w:pPr>
              <w:pStyle w:val="Tabletext"/>
              <w:keepNext/>
              <w:keepLines/>
              <w:rPr>
                <w:color w:val="000000"/>
                <w:szCs w:val="18"/>
              </w:rPr>
            </w:pPr>
            <w:r w:rsidRPr="00ED6EDE">
              <w:t>Hypothyroidism</w:t>
            </w:r>
          </w:p>
        </w:tc>
        <w:tc>
          <w:tcPr>
            <w:tcW w:w="785" w:type="pct"/>
            <w:tcBorders>
              <w:top w:val="single" w:sz="4" w:space="0" w:color="auto"/>
              <w:left w:val="single" w:sz="4" w:space="0" w:color="auto"/>
              <w:bottom w:val="single" w:sz="4" w:space="0" w:color="auto"/>
              <w:right w:val="single" w:sz="4" w:space="0" w:color="auto"/>
            </w:tcBorders>
            <w:vAlign w:val="center"/>
          </w:tcPr>
          <w:p w14:paraId="26BAF6A9" w14:textId="77777777" w:rsidR="00020E37" w:rsidRPr="00ED6EDE" w:rsidRDefault="00020E37" w:rsidP="00CC23A9">
            <w:pPr>
              <w:pStyle w:val="Tabletext"/>
              <w:keepNext/>
              <w:keepLines/>
              <w:jc w:val="center"/>
              <w:rPr>
                <w:color w:val="000000"/>
                <w:szCs w:val="18"/>
              </w:rPr>
            </w:pPr>
            <w:r w:rsidRPr="00ED6EDE">
              <w:t>233 (57.4)</w:t>
            </w:r>
          </w:p>
        </w:tc>
        <w:tc>
          <w:tcPr>
            <w:tcW w:w="708" w:type="pct"/>
            <w:tcBorders>
              <w:top w:val="single" w:sz="4" w:space="0" w:color="auto"/>
              <w:left w:val="single" w:sz="4" w:space="0" w:color="auto"/>
              <w:bottom w:val="single" w:sz="4" w:space="0" w:color="auto"/>
              <w:right w:val="single" w:sz="4" w:space="0" w:color="auto"/>
            </w:tcBorders>
            <w:vAlign w:val="center"/>
          </w:tcPr>
          <w:p w14:paraId="6D957A4C" w14:textId="77777777" w:rsidR="00020E37" w:rsidRPr="00ED6EDE" w:rsidRDefault="00020E37" w:rsidP="00CC23A9">
            <w:pPr>
              <w:pStyle w:val="Tabletext"/>
              <w:keepNext/>
              <w:keepLines/>
              <w:jc w:val="center"/>
              <w:rPr>
                <w:color w:val="000000"/>
                <w:szCs w:val="18"/>
              </w:rPr>
            </w:pPr>
            <w:r w:rsidRPr="00ED6EDE">
              <w:t>3 (0.8)</w:t>
            </w:r>
          </w:p>
        </w:tc>
        <w:tc>
          <w:tcPr>
            <w:tcW w:w="629" w:type="pct"/>
            <w:tcBorders>
              <w:top w:val="single" w:sz="4" w:space="0" w:color="auto"/>
              <w:left w:val="single" w:sz="4" w:space="0" w:color="auto"/>
              <w:bottom w:val="single" w:sz="4" w:space="0" w:color="auto"/>
              <w:right w:val="single" w:sz="4" w:space="0" w:color="auto"/>
            </w:tcBorders>
            <w:vAlign w:val="center"/>
          </w:tcPr>
          <w:p w14:paraId="1A81ABB3" w14:textId="77777777" w:rsidR="00020E37" w:rsidRPr="00ED6EDE" w:rsidRDefault="00020E37" w:rsidP="00CC23A9">
            <w:pPr>
              <w:pStyle w:val="Tabletext"/>
              <w:keepNext/>
              <w:keepLines/>
              <w:jc w:val="center"/>
              <w:rPr>
                <w:color w:val="000000"/>
                <w:szCs w:val="18"/>
              </w:rPr>
            </w:pPr>
            <w:r w:rsidRPr="00ED6EDE">
              <w:rPr>
                <w:color w:val="000000"/>
                <w:szCs w:val="18"/>
              </w:rPr>
              <w:t>57</w:t>
            </w:r>
          </w:p>
        </w:tc>
        <w:tc>
          <w:tcPr>
            <w:tcW w:w="629" w:type="pct"/>
            <w:tcBorders>
              <w:top w:val="single" w:sz="4" w:space="0" w:color="auto"/>
              <w:left w:val="single" w:sz="4" w:space="0" w:color="auto"/>
              <w:bottom w:val="single" w:sz="4" w:space="0" w:color="auto"/>
              <w:right w:val="single" w:sz="4" w:space="0" w:color="auto"/>
            </w:tcBorders>
            <w:vAlign w:val="center"/>
          </w:tcPr>
          <w:p w14:paraId="7BA4AFB1" w14:textId="77777777" w:rsidR="00020E37" w:rsidRPr="00ED6EDE" w:rsidRDefault="00020E37" w:rsidP="00CC23A9">
            <w:pPr>
              <w:keepNext/>
              <w:keepLines/>
              <w:jc w:val="center"/>
              <w:rPr>
                <w:rFonts w:ascii="Arial Narrow" w:hAnsi="Arial Narrow"/>
                <w:color w:val="000000"/>
                <w:sz w:val="20"/>
                <w:szCs w:val="18"/>
              </w:rPr>
            </w:pPr>
            <w:r w:rsidRPr="00ED6EDE">
              <w:rPr>
                <w:rFonts w:ascii="Arial Narrow" w:hAnsi="Arial Narrow"/>
                <w:color w:val="000000"/>
                <w:sz w:val="20"/>
                <w:szCs w:val="18"/>
              </w:rPr>
              <w:t>1</w:t>
            </w:r>
          </w:p>
        </w:tc>
        <w:tc>
          <w:tcPr>
            <w:tcW w:w="753" w:type="pct"/>
            <w:tcBorders>
              <w:top w:val="single" w:sz="4" w:space="0" w:color="auto"/>
              <w:left w:val="single" w:sz="4" w:space="0" w:color="auto"/>
              <w:bottom w:val="single" w:sz="4" w:space="0" w:color="auto"/>
              <w:right w:val="single" w:sz="4" w:space="0" w:color="auto"/>
            </w:tcBorders>
            <w:vAlign w:val="center"/>
          </w:tcPr>
          <w:p w14:paraId="77F505F2" w14:textId="77777777" w:rsidR="00020E37" w:rsidRPr="00ED6EDE" w:rsidRDefault="00020E37" w:rsidP="00CC23A9">
            <w:pPr>
              <w:pStyle w:val="Tabletext"/>
              <w:keepNext/>
              <w:keepLines/>
              <w:jc w:val="center"/>
              <w:rPr>
                <w:rStyle w:val="CommentReference"/>
                <w:b w:val="0"/>
                <w:bCs/>
              </w:rPr>
            </w:pPr>
            <w:r w:rsidRPr="00ED6EDE">
              <w:rPr>
                <w:rStyle w:val="CommentReference"/>
                <w:b w:val="0"/>
                <w:bCs/>
              </w:rPr>
              <w:t>0.57 (0.52, 0.62)</w:t>
            </w:r>
          </w:p>
        </w:tc>
      </w:tr>
    </w:tbl>
    <w:p w14:paraId="17949A84" w14:textId="6FE1D099" w:rsidR="00020E37" w:rsidRPr="00ED6EDE" w:rsidRDefault="00020E37" w:rsidP="00CC23A9">
      <w:pPr>
        <w:pStyle w:val="TableFooter"/>
        <w:keepNext/>
        <w:keepLines/>
        <w:rPr>
          <w:sz w:val="20"/>
        </w:rPr>
      </w:pPr>
      <w:r w:rsidRPr="00ED6EDE">
        <w:t>Source: Table 2.5-2, p74 of the submission.  Table 2.5-13, p101 of the submission; 11-5, p101 of KN775 CSR; Table 11-9, p111 of KN775 CSR</w:t>
      </w:r>
    </w:p>
    <w:p w14:paraId="3AF871DA" w14:textId="13CA5406" w:rsidR="00020E37" w:rsidRPr="00ED6EDE" w:rsidRDefault="00020E37" w:rsidP="00CC23A9">
      <w:pPr>
        <w:pStyle w:val="TableFooter"/>
        <w:keepNext/>
        <w:keepLines/>
      </w:pPr>
      <w:r w:rsidRPr="00ED6EDE">
        <w:t>*Median duration of follow-up: 12.2 months for pembrolizumab plus lenvatinib and 10.7 months for chemotherapy</w:t>
      </w:r>
    </w:p>
    <w:p w14:paraId="68347F00" w14:textId="561E9FB5" w:rsidR="00020E37" w:rsidRPr="00ED6EDE" w:rsidRDefault="00020E37" w:rsidP="00CC23A9">
      <w:pPr>
        <w:pStyle w:val="TableFooter"/>
        <w:keepNext/>
        <w:keepLines/>
      </w:pPr>
      <w:r w:rsidRPr="00ED6EDE">
        <w:t>CI= confidence interval; HR = hazard ratio; PEM+LEN = pembrolizumab plus lenvatinib; RD = risk difference</w:t>
      </w:r>
    </w:p>
    <w:p w14:paraId="40F915CA" w14:textId="77777777" w:rsidR="00020E37" w:rsidRPr="00ED6EDE" w:rsidRDefault="00020E37" w:rsidP="00020E37"/>
    <w:p w14:paraId="640B7752" w14:textId="0CDE256C" w:rsidR="00020E37" w:rsidRPr="00ED6EDE" w:rsidRDefault="00020E37" w:rsidP="00630271">
      <w:pPr>
        <w:pStyle w:val="ListParagraph"/>
        <w:widowControl/>
        <w:numPr>
          <w:ilvl w:val="1"/>
          <w:numId w:val="2"/>
        </w:numPr>
      </w:pPr>
      <w:r w:rsidRPr="00ED6EDE">
        <w:t>On the basis of the KN775 trial presented in the submission, for every 100 patients treated with pembrolizumab plus lenvatinib (over a median follow up of 12.2 months) instead of chemotherapy (over a median follow-up of 10.7 months):</w:t>
      </w:r>
    </w:p>
    <w:p w14:paraId="26ED612D" w14:textId="3C4CCD10" w:rsidR="00020E37" w:rsidRPr="00ED6EDE" w:rsidRDefault="00020E37" w:rsidP="00BC2689">
      <w:pPr>
        <w:pStyle w:val="ListParagraph"/>
        <w:widowControl/>
        <w:numPr>
          <w:ilvl w:val="0"/>
          <w:numId w:val="1"/>
        </w:numPr>
        <w:ind w:left="1134" w:hanging="425"/>
        <w:contextualSpacing/>
      </w:pPr>
      <w:r w:rsidRPr="00ED6EDE">
        <w:t>15 more patients were alive at 12 months</w:t>
      </w:r>
      <w:r w:rsidR="00630271" w:rsidRPr="00ED6EDE">
        <w:t>; and</w:t>
      </w:r>
    </w:p>
    <w:p w14:paraId="7BB5D3C2" w14:textId="77777777" w:rsidR="00020E37" w:rsidRPr="00ED6EDE" w:rsidRDefault="00020E37" w:rsidP="001D1006">
      <w:pPr>
        <w:pStyle w:val="ListParagraph"/>
        <w:widowControl/>
        <w:numPr>
          <w:ilvl w:val="0"/>
          <w:numId w:val="1"/>
        </w:numPr>
        <w:spacing w:after="120"/>
        <w:ind w:left="1134" w:hanging="425"/>
      </w:pPr>
      <w:r w:rsidRPr="00ED6EDE">
        <w:t>19 more patients were alive and progression free at 6 months.</w:t>
      </w:r>
    </w:p>
    <w:p w14:paraId="059383B8" w14:textId="2247D98C" w:rsidR="00020E37" w:rsidRPr="00ED6EDE" w:rsidRDefault="00020E37" w:rsidP="00630271">
      <w:pPr>
        <w:pStyle w:val="ListParagraph"/>
        <w:widowControl/>
        <w:numPr>
          <w:ilvl w:val="1"/>
          <w:numId w:val="2"/>
        </w:numPr>
      </w:pPr>
      <w:r w:rsidRPr="00ED6EDE">
        <w:t>On the basis of the KN775 trial presented in the submission, for every 100 patients treated with pembrolizumab plus lenvatinib (over a median follow up of 12.2 months) instead of chemotherapy (over a median follow-up of 10.7 months):</w:t>
      </w:r>
    </w:p>
    <w:p w14:paraId="0730D18F" w14:textId="2F990865" w:rsidR="00020E37" w:rsidRPr="00ED6EDE" w:rsidRDefault="00020E37" w:rsidP="00BC2689">
      <w:pPr>
        <w:pStyle w:val="ListParagraph"/>
        <w:widowControl/>
        <w:numPr>
          <w:ilvl w:val="0"/>
          <w:numId w:val="1"/>
        </w:numPr>
        <w:ind w:left="1134" w:hanging="425"/>
        <w:contextualSpacing/>
      </w:pPr>
      <w:r w:rsidRPr="00ED6EDE">
        <w:rPr>
          <w:rFonts w:cs="Calibri"/>
          <w:snapToGrid/>
          <w:szCs w:val="24"/>
          <w:lang w:eastAsia="en-AU"/>
        </w:rPr>
        <w:t xml:space="preserve">Approximately </w:t>
      </w:r>
      <w:r w:rsidRPr="00ED6EDE">
        <w:t>19 additional patients would have at least one adverse event of Grade 3 severity</w:t>
      </w:r>
      <w:r w:rsidR="00630271" w:rsidRPr="00ED6EDE">
        <w:t>;</w:t>
      </w:r>
    </w:p>
    <w:p w14:paraId="76E418C3" w14:textId="146B2743" w:rsidR="00020E37" w:rsidRPr="00ED6EDE" w:rsidRDefault="00020E37" w:rsidP="00BC2689">
      <w:pPr>
        <w:pStyle w:val="ListParagraph"/>
        <w:widowControl/>
        <w:numPr>
          <w:ilvl w:val="0"/>
          <w:numId w:val="1"/>
        </w:numPr>
        <w:ind w:left="1134" w:hanging="425"/>
        <w:contextualSpacing/>
      </w:pPr>
      <w:r w:rsidRPr="00ED6EDE">
        <w:t xml:space="preserve">Approximately 25 additional patients would </w:t>
      </w:r>
      <w:r w:rsidR="00630271" w:rsidRPr="00ED6EDE">
        <w:t>h</w:t>
      </w:r>
      <w:r w:rsidRPr="00ED6EDE">
        <w:t>ave an adverse event leading to study drug withdrawal or discontinuation</w:t>
      </w:r>
      <w:r w:rsidR="00630271" w:rsidRPr="00ED6EDE">
        <w:t>; and</w:t>
      </w:r>
    </w:p>
    <w:p w14:paraId="2796EB6D" w14:textId="6DCDED29" w:rsidR="00020E37" w:rsidRPr="00ED6EDE" w:rsidRDefault="00020E37" w:rsidP="001D1006">
      <w:pPr>
        <w:pStyle w:val="ListParagraph"/>
        <w:widowControl/>
        <w:numPr>
          <w:ilvl w:val="0"/>
          <w:numId w:val="1"/>
        </w:numPr>
        <w:ind w:left="1134" w:hanging="425"/>
        <w:contextualSpacing/>
      </w:pPr>
      <w:r w:rsidRPr="00ED6EDE">
        <w:t>Approximately 57 additional patien</w:t>
      </w:r>
      <w:r w:rsidR="00630271" w:rsidRPr="00ED6EDE">
        <w:t>t</w:t>
      </w:r>
      <w:r w:rsidRPr="00ED6EDE">
        <w:t>s would have hypothyroidism.</w:t>
      </w:r>
    </w:p>
    <w:p w14:paraId="1AE0E7B7" w14:textId="77777777" w:rsidR="00020E37" w:rsidRPr="00F200ED" w:rsidRDefault="00020E37" w:rsidP="00020E37">
      <w:pPr>
        <w:pStyle w:val="Heading2"/>
      </w:pPr>
      <w:bookmarkStart w:id="43" w:name="_Toc93478156"/>
      <w:r w:rsidRPr="00F200ED">
        <w:t>Clinical claim</w:t>
      </w:r>
      <w:bookmarkEnd w:id="43"/>
    </w:p>
    <w:p w14:paraId="4126099C" w14:textId="1AF6F79B" w:rsidR="00020E37" w:rsidRPr="00ED6EDE" w:rsidRDefault="00E81F0A" w:rsidP="00020E37">
      <w:pPr>
        <w:ind w:left="720" w:hanging="720"/>
        <w:rPr>
          <w:u w:val="single"/>
        </w:rPr>
      </w:pPr>
      <w:r w:rsidRPr="00ED6EDE">
        <w:rPr>
          <w:u w:val="single"/>
        </w:rPr>
        <w:t>Combination therapy</w:t>
      </w:r>
    </w:p>
    <w:p w14:paraId="7755EEB7" w14:textId="61F3F829" w:rsidR="00C2085E" w:rsidRPr="00ED6EDE" w:rsidRDefault="00020E37" w:rsidP="00E81F0A">
      <w:pPr>
        <w:pStyle w:val="ListParagraph"/>
        <w:widowControl/>
        <w:numPr>
          <w:ilvl w:val="1"/>
          <w:numId w:val="2"/>
        </w:numPr>
        <w:spacing w:after="120"/>
      </w:pPr>
      <w:r w:rsidRPr="00ED6EDE">
        <w:t xml:space="preserve">The submission claimed that for patients with advanced, recurrent or metastatic </w:t>
      </w:r>
      <w:r w:rsidR="00370C06" w:rsidRPr="00ED6EDE">
        <w:t xml:space="preserve">pMMR </w:t>
      </w:r>
      <w:r w:rsidRPr="00ED6EDE">
        <w:t>endometrial cancer who have failed at least one prior line of systemic platinum-based chemotherapy, pembrolizumab in combination with lenvatinib is superior in terms of comparative effectiveness and non-inferior in respect of exposure adjusted safety, when compared with doxorubicin or paclitaxel.</w:t>
      </w:r>
      <w:r w:rsidR="00C2085E" w:rsidRPr="00ED6EDE">
        <w:t xml:space="preserve"> </w:t>
      </w:r>
    </w:p>
    <w:p w14:paraId="7878842C" w14:textId="77777777" w:rsidR="00D7043A" w:rsidRPr="00D7043A" w:rsidRDefault="00020E37" w:rsidP="00D7043A">
      <w:pPr>
        <w:pStyle w:val="ListParagraph"/>
        <w:widowControl/>
        <w:numPr>
          <w:ilvl w:val="1"/>
          <w:numId w:val="2"/>
        </w:numPr>
        <w:spacing w:after="120"/>
      </w:pPr>
      <w:r w:rsidRPr="00ED6EDE">
        <w:rPr>
          <w:iCs/>
        </w:rPr>
        <w:t xml:space="preserve">The </w:t>
      </w:r>
      <w:r w:rsidR="0098717A" w:rsidRPr="00ED6EDE">
        <w:rPr>
          <w:iCs/>
        </w:rPr>
        <w:t xml:space="preserve">ESC considered that the </w:t>
      </w:r>
      <w:r w:rsidRPr="00ED6EDE">
        <w:rPr>
          <w:iCs/>
        </w:rPr>
        <w:t xml:space="preserve">claim of non-inferior safety </w:t>
      </w:r>
      <w:r w:rsidR="0098717A" w:rsidRPr="00ED6EDE">
        <w:rPr>
          <w:iCs/>
        </w:rPr>
        <w:t>was not</w:t>
      </w:r>
      <w:r w:rsidRPr="00ED6EDE">
        <w:rPr>
          <w:iCs/>
        </w:rPr>
        <w:t xml:space="preserve"> reasonable</w:t>
      </w:r>
      <w:r w:rsidR="0098717A" w:rsidRPr="00ED6EDE">
        <w:rPr>
          <w:iCs/>
        </w:rPr>
        <w:t>, as</w:t>
      </w:r>
      <w:r w:rsidRPr="00ED6EDE">
        <w:rPr>
          <w:iCs/>
        </w:rPr>
        <w:t xml:space="preserve"> </w:t>
      </w:r>
      <w:r w:rsidR="0098717A" w:rsidRPr="00ED6EDE">
        <w:rPr>
          <w:iCs/>
        </w:rPr>
        <w:t xml:space="preserve">KN775 indicated that pembrolizumab plus lenvatinib </w:t>
      </w:r>
      <w:r w:rsidR="00BB246C" w:rsidRPr="00ED6EDE">
        <w:rPr>
          <w:iCs/>
        </w:rPr>
        <w:t>was associated with</w:t>
      </w:r>
      <w:r w:rsidR="0098717A" w:rsidRPr="00ED6EDE">
        <w:rPr>
          <w:iCs/>
        </w:rPr>
        <w:t xml:space="preserve"> inferior safety compared with chemotherapy. In particular, the ESC noted that pembrolizumab plus lenvatinib was associated with a higher frequency of TEAEs </w:t>
      </w:r>
      <w:r w:rsidR="0098717A" w:rsidRPr="00ED6EDE">
        <w:t>(33.3% versus 14.2%), and discontinuations due to TEAEs (</w:t>
      </w:r>
      <w:r w:rsidR="00C2085E" w:rsidRPr="00ED6EDE">
        <w:t xml:space="preserve">33.0% versus 8.0%), along with </w:t>
      </w:r>
      <w:r w:rsidR="0098717A" w:rsidRPr="00ED6EDE">
        <w:t xml:space="preserve">Grade 3 or higher hypertension </w:t>
      </w:r>
      <w:r w:rsidR="00C2085E" w:rsidRPr="00ED6EDE">
        <w:t xml:space="preserve">(37.9% versus 2.3%) and diarrhoea </w:t>
      </w:r>
      <w:r w:rsidR="0098717A" w:rsidRPr="00ED6EDE">
        <w:t>(7.</w:t>
      </w:r>
      <w:r w:rsidR="00C2085E" w:rsidRPr="00ED6EDE">
        <w:t>6</w:t>
      </w:r>
      <w:r w:rsidR="0098717A" w:rsidRPr="00ED6EDE">
        <w:t>% versus 2.</w:t>
      </w:r>
      <w:r w:rsidR="00C2085E" w:rsidRPr="00ED6EDE">
        <w:t>1%)</w:t>
      </w:r>
      <w:r w:rsidR="0098717A" w:rsidRPr="00ED6EDE">
        <w:t xml:space="preserve"> compared with chemotherapy</w:t>
      </w:r>
      <w:r w:rsidR="00C2085E" w:rsidRPr="00ED6EDE">
        <w:t>.</w:t>
      </w:r>
      <w:r w:rsidR="0098717A" w:rsidRPr="00ED6EDE">
        <w:t xml:space="preserve"> </w:t>
      </w:r>
      <w:r w:rsidR="00C2085E" w:rsidRPr="00ED6EDE">
        <w:t>Further, t</w:t>
      </w:r>
      <w:r w:rsidR="0098717A" w:rsidRPr="00ED6EDE">
        <w:rPr>
          <w:iCs/>
        </w:rPr>
        <w:t xml:space="preserve">he ESC considered that </w:t>
      </w:r>
      <w:r w:rsidRPr="00ED6EDE">
        <w:rPr>
          <w:iCs/>
        </w:rPr>
        <w:t xml:space="preserve">the </w:t>
      </w:r>
      <w:r w:rsidR="0098717A" w:rsidRPr="00ED6EDE">
        <w:rPr>
          <w:iCs/>
        </w:rPr>
        <w:t xml:space="preserve">submission’s </w:t>
      </w:r>
      <w:r w:rsidRPr="00ED6EDE">
        <w:rPr>
          <w:iCs/>
        </w:rPr>
        <w:t>adjustment for exposure may not have been appropriate and the adjustment of Grade 3 and above adverse events, which would be expected to lead</w:t>
      </w:r>
      <w:r w:rsidR="001201C8" w:rsidRPr="00ED6EDE">
        <w:rPr>
          <w:iCs/>
        </w:rPr>
        <w:t xml:space="preserve"> to</w:t>
      </w:r>
      <w:r w:rsidRPr="00ED6EDE">
        <w:rPr>
          <w:iCs/>
        </w:rPr>
        <w:t xml:space="preserve"> changes in treatment exposure made the results difficult to interpret. </w:t>
      </w:r>
    </w:p>
    <w:p w14:paraId="38EF9975" w14:textId="6375ACD6" w:rsidR="00D7043A" w:rsidRPr="00ED6EDE" w:rsidRDefault="00D7043A" w:rsidP="00D7043A">
      <w:pPr>
        <w:pStyle w:val="ListParagraph"/>
        <w:widowControl/>
        <w:numPr>
          <w:ilvl w:val="1"/>
          <w:numId w:val="2"/>
        </w:numPr>
        <w:spacing w:after="120"/>
      </w:pPr>
      <w:r w:rsidRPr="00ED6EDE">
        <w:rPr>
          <w:iCs/>
        </w:rPr>
        <w:t xml:space="preserve">The </w:t>
      </w:r>
      <w:r>
        <w:rPr>
          <w:iCs/>
        </w:rPr>
        <w:t xml:space="preserve">PBAC considered that the </w:t>
      </w:r>
      <w:r w:rsidRPr="00ED6EDE">
        <w:rPr>
          <w:iCs/>
        </w:rPr>
        <w:t xml:space="preserve">claim of superior efficacy of pembrolizumab plus lenvatinib was reasonable. </w:t>
      </w:r>
      <w:r>
        <w:rPr>
          <w:iCs/>
        </w:rPr>
        <w:t xml:space="preserve">The PBAC </w:t>
      </w:r>
      <w:r w:rsidR="00C62E1D">
        <w:rPr>
          <w:iCs/>
        </w:rPr>
        <w:t>not</w:t>
      </w:r>
      <w:r>
        <w:rPr>
          <w:iCs/>
        </w:rPr>
        <w:t xml:space="preserve">ed this benefit was observed </w:t>
      </w:r>
      <w:r w:rsidR="00186865">
        <w:rPr>
          <w:iCs/>
        </w:rPr>
        <w:t>in</w:t>
      </w:r>
      <w:r>
        <w:rPr>
          <w:iCs/>
        </w:rPr>
        <w:t xml:space="preserve"> the ITT population (</w:t>
      </w:r>
      <w:r w:rsidR="00C62E1D">
        <w:rPr>
          <w:iCs/>
        </w:rPr>
        <w:t xml:space="preserve">including </w:t>
      </w:r>
      <w:r>
        <w:rPr>
          <w:iCs/>
        </w:rPr>
        <w:t>both dMMR and pMMR patients)</w:t>
      </w:r>
      <w:r w:rsidR="00D02309">
        <w:rPr>
          <w:iCs/>
        </w:rPr>
        <w:t xml:space="preserve"> of KN775</w:t>
      </w:r>
      <w:r>
        <w:rPr>
          <w:iCs/>
        </w:rPr>
        <w:t>.</w:t>
      </w:r>
    </w:p>
    <w:p w14:paraId="789F8EF1" w14:textId="401CEE02" w:rsidR="00020E37" w:rsidRPr="00ED6EDE" w:rsidRDefault="00D7043A" w:rsidP="00D7043A">
      <w:pPr>
        <w:pStyle w:val="ListParagraph"/>
        <w:widowControl/>
        <w:numPr>
          <w:ilvl w:val="1"/>
          <w:numId w:val="2"/>
        </w:numPr>
        <w:spacing w:after="120"/>
      </w:pPr>
      <w:r>
        <w:t>The PBAC considered th</w:t>
      </w:r>
      <w:r w:rsidR="001E6910">
        <w:t>e</w:t>
      </w:r>
      <w:r>
        <w:t xml:space="preserve"> </w:t>
      </w:r>
      <w:r w:rsidRPr="00D7043A">
        <w:t xml:space="preserve">claim of </w:t>
      </w:r>
      <w:r>
        <w:t>non-inferior</w:t>
      </w:r>
      <w:r w:rsidRPr="00D7043A">
        <w:t xml:space="preserve"> comparative safety was not adequately supported by the data</w:t>
      </w:r>
      <w:r>
        <w:t xml:space="preserve">. The PBAC considered that pembrolizumab plus lenvatinib has inferior safety versus chemotherapy given the toxicity associated with lenvatinib, but that the toxicity is manageable. </w:t>
      </w:r>
    </w:p>
    <w:p w14:paraId="2B367A1F" w14:textId="5DEBA53C" w:rsidR="00032C57" w:rsidRPr="00ED6EDE" w:rsidRDefault="00032C57" w:rsidP="00032C57">
      <w:pPr>
        <w:widowControl/>
        <w:spacing w:after="120"/>
        <w:rPr>
          <w:u w:val="single"/>
        </w:rPr>
      </w:pPr>
      <w:r w:rsidRPr="00ED6EDE">
        <w:rPr>
          <w:u w:val="single"/>
        </w:rPr>
        <w:t>Pembrolizumab monotherapy (dMMR)</w:t>
      </w:r>
    </w:p>
    <w:p w14:paraId="1C3BBB66" w14:textId="2E206103" w:rsidR="00020E37" w:rsidRPr="00ED6EDE" w:rsidRDefault="00020E37" w:rsidP="005D2C4E">
      <w:pPr>
        <w:pStyle w:val="ListParagraph"/>
        <w:widowControl/>
        <w:numPr>
          <w:ilvl w:val="1"/>
          <w:numId w:val="2"/>
        </w:numPr>
        <w:spacing w:after="120"/>
      </w:pPr>
      <w:r w:rsidRPr="00ED6EDE">
        <w:t xml:space="preserve">The </w:t>
      </w:r>
      <w:r w:rsidR="00370C06" w:rsidRPr="00ED6EDE">
        <w:t xml:space="preserve">PSCR </w:t>
      </w:r>
      <w:r w:rsidRPr="00ED6EDE">
        <w:t xml:space="preserve">claimed that for </w:t>
      </w:r>
      <w:r w:rsidR="00C2085E" w:rsidRPr="00ED6EDE">
        <w:t xml:space="preserve">dMMR </w:t>
      </w:r>
      <w:r w:rsidRPr="00ED6EDE">
        <w:t xml:space="preserve">patients pembrolizumab monotherapy </w:t>
      </w:r>
      <w:r w:rsidR="00370C06" w:rsidRPr="00ED6EDE">
        <w:t xml:space="preserve">has superior efficacy and safety </w:t>
      </w:r>
      <w:r w:rsidRPr="00ED6EDE">
        <w:t xml:space="preserve">compared with doxorubicin or paclitaxel. </w:t>
      </w:r>
    </w:p>
    <w:p w14:paraId="3A90F7AB" w14:textId="72D02651" w:rsidR="00020E37" w:rsidRPr="00ED6EDE" w:rsidRDefault="00020E37" w:rsidP="005D2C4E">
      <w:pPr>
        <w:pStyle w:val="ListParagraph"/>
        <w:widowControl/>
        <w:numPr>
          <w:ilvl w:val="1"/>
          <w:numId w:val="2"/>
        </w:numPr>
        <w:spacing w:after="120"/>
      </w:pPr>
      <w:r w:rsidRPr="00ED6EDE">
        <w:rPr>
          <w:iCs/>
        </w:rPr>
        <w:t xml:space="preserve">The quality of the evidence supporting pembrolizumab monotherapy was poor with only single arm studies available. Naïve side by side comparisons of </w:t>
      </w:r>
      <w:r w:rsidR="004A7D00" w:rsidRPr="00ED6EDE">
        <w:rPr>
          <w:iCs/>
        </w:rPr>
        <w:t xml:space="preserve">the point estimates of </w:t>
      </w:r>
      <w:r w:rsidR="001D1006" w:rsidRPr="00ED6EDE">
        <w:rPr>
          <w:iCs/>
        </w:rPr>
        <w:t>OS</w:t>
      </w:r>
      <w:r w:rsidRPr="00ED6EDE">
        <w:rPr>
          <w:iCs/>
        </w:rPr>
        <w:t xml:space="preserve"> in patients with dMMR tumours </w:t>
      </w:r>
      <w:r w:rsidR="00DD3759" w:rsidRPr="00ED6EDE">
        <w:rPr>
          <w:iCs/>
        </w:rPr>
        <w:t xml:space="preserve">at landmark timepoints </w:t>
      </w:r>
      <w:r w:rsidRPr="00ED6EDE">
        <w:rPr>
          <w:iCs/>
        </w:rPr>
        <w:t xml:space="preserve">suggested an improvement in </w:t>
      </w:r>
      <w:r w:rsidR="001D1006" w:rsidRPr="00ED6EDE">
        <w:rPr>
          <w:iCs/>
        </w:rPr>
        <w:t>OS</w:t>
      </w:r>
      <w:r w:rsidRPr="00ED6EDE">
        <w:rPr>
          <w:iCs/>
        </w:rPr>
        <w:t xml:space="preserve"> </w:t>
      </w:r>
      <w:r w:rsidR="001D1006" w:rsidRPr="00ED6EDE">
        <w:rPr>
          <w:iCs/>
        </w:rPr>
        <w:t xml:space="preserve">with </w:t>
      </w:r>
      <w:r w:rsidRPr="00ED6EDE">
        <w:rPr>
          <w:iCs/>
        </w:rPr>
        <w:t>pembrolizumab monotherapy (based on the single arm KN158 study) compared to chemotherapy (based on the chemotherapy arm of KN775 trial</w:t>
      </w:r>
      <w:r w:rsidR="00BE7D46">
        <w:rPr>
          <w:iCs/>
        </w:rPr>
        <w:t>, dMMR subgroup</w:t>
      </w:r>
      <w:r w:rsidRPr="00ED6EDE">
        <w:rPr>
          <w:iCs/>
        </w:rPr>
        <w:t>).</w:t>
      </w:r>
      <w:r w:rsidR="00D7043A">
        <w:rPr>
          <w:iCs/>
        </w:rPr>
        <w:t xml:space="preserve"> The ESC and the evaluation considered that</w:t>
      </w:r>
      <w:r w:rsidRPr="00ED6EDE">
        <w:rPr>
          <w:iCs/>
        </w:rPr>
        <w:t xml:space="preserve"> a claim of superior efficacy for pembrolizumab monotherapy in patients with dMMR tumour</w:t>
      </w:r>
      <w:r w:rsidR="001D1006" w:rsidRPr="00ED6EDE">
        <w:rPr>
          <w:iCs/>
        </w:rPr>
        <w:t>s</w:t>
      </w:r>
      <w:r w:rsidRPr="00ED6EDE">
        <w:rPr>
          <w:iCs/>
        </w:rPr>
        <w:t xml:space="preserve"> was likely supported, however the magnitude of benefit was uncertain. </w:t>
      </w:r>
    </w:p>
    <w:p w14:paraId="667A3D20" w14:textId="38BBC14C" w:rsidR="00020E37" w:rsidRPr="00F032F2" w:rsidRDefault="005F558D" w:rsidP="00A062E7">
      <w:pPr>
        <w:pStyle w:val="ListParagraph"/>
        <w:widowControl/>
        <w:numPr>
          <w:ilvl w:val="1"/>
          <w:numId w:val="2"/>
        </w:numPr>
      </w:pPr>
      <w:r w:rsidRPr="00ED6EDE">
        <w:rPr>
          <w:iCs/>
        </w:rPr>
        <w:t>N</w:t>
      </w:r>
      <w:r w:rsidR="00020E37" w:rsidRPr="00ED6EDE">
        <w:rPr>
          <w:iCs/>
        </w:rPr>
        <w:t xml:space="preserve">o comparative evidence </w:t>
      </w:r>
      <w:r w:rsidR="00E349CC" w:rsidRPr="00ED6EDE">
        <w:rPr>
          <w:iCs/>
        </w:rPr>
        <w:t>wa</w:t>
      </w:r>
      <w:r w:rsidR="00020E37" w:rsidRPr="00ED6EDE">
        <w:rPr>
          <w:iCs/>
        </w:rPr>
        <w:t xml:space="preserve">s </w:t>
      </w:r>
      <w:r w:rsidRPr="00ED6EDE">
        <w:rPr>
          <w:iCs/>
        </w:rPr>
        <w:t>presented to support the claim of superior safety</w:t>
      </w:r>
      <w:r w:rsidR="00020E37" w:rsidRPr="00ED6EDE">
        <w:rPr>
          <w:iCs/>
        </w:rPr>
        <w:t xml:space="preserve">. The </w:t>
      </w:r>
      <w:r w:rsidRPr="00ED6EDE">
        <w:rPr>
          <w:iCs/>
        </w:rPr>
        <w:t xml:space="preserve">submission </w:t>
      </w:r>
      <w:r w:rsidR="00020E37" w:rsidRPr="00ED6EDE">
        <w:rPr>
          <w:iCs/>
        </w:rPr>
        <w:t xml:space="preserve">noted that the PBAC has previously considered that a claim of superior safety for pembrolizumab monotherapy compared to paclitaxel or docetaxel was supported in the consideration for pembrolizumab for treatment of patients with locally advanced or metastatic urothelial cancer after failure of a platinum-containing regimen (paragraph 7.7, p24-25 pembrolizumab PSD November 2017). </w:t>
      </w:r>
      <w:r w:rsidRPr="00ED6EDE">
        <w:rPr>
          <w:iCs/>
        </w:rPr>
        <w:t xml:space="preserve">The overall safety profiles of pembrolizumab and paclitaxel may be generally consistent between the two cancer types. Nonetheless, </w:t>
      </w:r>
      <w:r w:rsidR="00D87B1B">
        <w:rPr>
          <w:iCs/>
        </w:rPr>
        <w:t xml:space="preserve">the ESC considered that </w:t>
      </w:r>
      <w:r w:rsidRPr="00ED6EDE">
        <w:rPr>
          <w:iCs/>
        </w:rPr>
        <w:t xml:space="preserve">a more conservative conclusion may be that pembrolizumab has a different adverse event profile (e.g. </w:t>
      </w:r>
      <w:r w:rsidRPr="00F032F2">
        <w:rPr>
          <w:iCs/>
        </w:rPr>
        <w:t xml:space="preserve">likely more immune related adverse events such as hyper/hypothyroidism) to chemotherapy (e.g. likely more haematological related adverse events such as anaemia and neutropenia). </w:t>
      </w:r>
    </w:p>
    <w:p w14:paraId="38847E4F" w14:textId="6EEFBE91" w:rsidR="00ED6EDE" w:rsidRPr="00F032F2" w:rsidRDefault="00ED6EDE" w:rsidP="00ED6EDE">
      <w:pPr>
        <w:pStyle w:val="ListParagraph"/>
        <w:widowControl/>
        <w:numPr>
          <w:ilvl w:val="1"/>
          <w:numId w:val="2"/>
        </w:numPr>
        <w:spacing w:after="120"/>
      </w:pPr>
      <w:r w:rsidRPr="00F032F2">
        <w:t>The PBAC considered that the claim of superior comparative effectiveness</w:t>
      </w:r>
      <w:r w:rsidR="00F032F2" w:rsidRPr="00F032F2">
        <w:t xml:space="preserve"> of pembrolizumab monotherapy versus chemotherapy </w:t>
      </w:r>
      <w:r w:rsidRPr="00F032F2">
        <w:t>was not a</w:t>
      </w:r>
      <w:r w:rsidR="00F032F2">
        <w:t>dequately supported, noting the data for</w:t>
      </w:r>
      <w:r w:rsidR="00F032F2" w:rsidRPr="00F032F2">
        <w:t xml:space="preserve"> pembrolizumab monotherapy was from a small single arm study</w:t>
      </w:r>
      <w:r w:rsidR="00F032F2">
        <w:t>.</w:t>
      </w:r>
    </w:p>
    <w:p w14:paraId="4DEE6C92" w14:textId="5E7F6995" w:rsidR="00ED6EDE" w:rsidRPr="00F032F2" w:rsidRDefault="00ED6EDE" w:rsidP="00764B19">
      <w:pPr>
        <w:pStyle w:val="ListParagraph"/>
        <w:widowControl/>
        <w:numPr>
          <w:ilvl w:val="1"/>
          <w:numId w:val="2"/>
        </w:numPr>
        <w:spacing w:after="120"/>
      </w:pPr>
      <w:r w:rsidRPr="00F032F2">
        <w:t xml:space="preserve">The PBAC considered that the claim of superior comparative safety </w:t>
      </w:r>
      <w:r w:rsidR="00F032F2" w:rsidRPr="00F032F2">
        <w:t xml:space="preserve">of pembrolizumab monotherapy versus chemotherapy </w:t>
      </w:r>
      <w:r w:rsidRPr="00F032F2">
        <w:t>was not adequately supported</w:t>
      </w:r>
      <w:r w:rsidR="00764B19">
        <w:t>, noting that n</w:t>
      </w:r>
      <w:r w:rsidR="00764B19" w:rsidRPr="00764B19">
        <w:t>o comparative safety data was presented</w:t>
      </w:r>
      <w:r w:rsidR="00764B19">
        <w:t>.</w:t>
      </w:r>
    </w:p>
    <w:p w14:paraId="4A66D61B" w14:textId="77777777" w:rsidR="00020E37" w:rsidRPr="00F200ED" w:rsidRDefault="00020E37" w:rsidP="00020E37">
      <w:pPr>
        <w:pStyle w:val="Heading2"/>
      </w:pPr>
      <w:bookmarkStart w:id="44" w:name="_Toc93478157"/>
      <w:r w:rsidRPr="00F200ED">
        <w:t>Economic analysis</w:t>
      </w:r>
      <w:bookmarkEnd w:id="44"/>
      <w:r w:rsidRPr="00F200ED">
        <w:t xml:space="preserve"> </w:t>
      </w:r>
    </w:p>
    <w:p w14:paraId="66309AA7" w14:textId="77777777" w:rsidR="00020E37" w:rsidRPr="00ED6EDE" w:rsidRDefault="00020E37" w:rsidP="00020E37">
      <w:pPr>
        <w:ind w:left="720" w:hanging="720"/>
      </w:pPr>
    </w:p>
    <w:p w14:paraId="71A9F87E" w14:textId="4C3617DE" w:rsidR="00020E37" w:rsidRPr="00ED6EDE" w:rsidRDefault="00020E37" w:rsidP="005D2C4E">
      <w:pPr>
        <w:pStyle w:val="ListParagraph"/>
        <w:widowControl/>
        <w:numPr>
          <w:ilvl w:val="1"/>
          <w:numId w:val="2"/>
        </w:numPr>
        <w:spacing w:after="120"/>
      </w:pPr>
      <w:r w:rsidRPr="00ED6EDE">
        <w:t xml:space="preserve">The type of economic evaluation presented was a cost utility analysis. The submission did not present a stepped analysis. </w:t>
      </w:r>
      <w:r w:rsidRPr="00ED6EDE">
        <w:fldChar w:fldCharType="begin"/>
      </w:r>
      <w:r w:rsidRPr="00ED6EDE">
        <w:instrText xml:space="preserve"> REF _Ref90029962 \h  \* MERGEFORMAT </w:instrText>
      </w:r>
      <w:r w:rsidRPr="00ED6EDE">
        <w:fldChar w:fldCharType="separate"/>
      </w:r>
      <w:r w:rsidR="004163DD" w:rsidRPr="004163DD">
        <w:t>Table 9</w:t>
      </w:r>
      <w:r w:rsidRPr="00ED6EDE">
        <w:fldChar w:fldCharType="end"/>
      </w:r>
      <w:r w:rsidRPr="00ED6EDE">
        <w:t xml:space="preserve"> presents</w:t>
      </w:r>
      <w:r w:rsidR="00886D2E" w:rsidRPr="00ED6EDE">
        <w:t xml:space="preserve"> the</w:t>
      </w:r>
      <w:r w:rsidRPr="00ED6EDE">
        <w:t xml:space="preserve"> key components of the economic evaluation.</w:t>
      </w:r>
    </w:p>
    <w:p w14:paraId="0141B1ED" w14:textId="517FEC59" w:rsidR="00EA72BB" w:rsidRPr="00ED6EDE" w:rsidRDefault="00FD3D93" w:rsidP="0040394E">
      <w:pPr>
        <w:pStyle w:val="ListParagraph"/>
        <w:widowControl/>
        <w:numPr>
          <w:ilvl w:val="1"/>
          <w:numId w:val="2"/>
        </w:numPr>
        <w:spacing w:after="120"/>
      </w:pPr>
      <w:r w:rsidRPr="00ED6EDE">
        <w:t>The submission applied</w:t>
      </w:r>
      <w:r w:rsidR="00020E37" w:rsidRPr="00ED6EDE">
        <w:t xml:space="preserve"> </w:t>
      </w:r>
      <w:r w:rsidRPr="00ED6EDE">
        <w:t xml:space="preserve">only </w:t>
      </w:r>
      <w:r w:rsidR="00020E37" w:rsidRPr="00ED6EDE">
        <w:t>the publicly available list prices in the economic a</w:t>
      </w:r>
      <w:r w:rsidR="00CC5147" w:rsidRPr="00ED6EDE">
        <w:t>nalysis and financial estimates</w:t>
      </w:r>
      <w:r w:rsidR="0040394E" w:rsidRPr="00ED6EDE">
        <w:t xml:space="preserve"> (as outlined in Paragraphs </w:t>
      </w:r>
      <w:r w:rsidR="0040394E" w:rsidRPr="00ED6EDE">
        <w:fldChar w:fldCharType="begin"/>
      </w:r>
      <w:r w:rsidR="0040394E" w:rsidRPr="00ED6EDE">
        <w:instrText xml:space="preserve"> REF _Ref95374621 \r \h </w:instrText>
      </w:r>
      <w:r w:rsidR="00ED6EDE" w:rsidRPr="00ED6EDE">
        <w:instrText xml:space="preserve"> \* MERGEFORMAT </w:instrText>
      </w:r>
      <w:r w:rsidR="0040394E" w:rsidRPr="00ED6EDE">
        <w:fldChar w:fldCharType="separate"/>
      </w:r>
      <w:r w:rsidR="004163DD">
        <w:t>3.2</w:t>
      </w:r>
      <w:r w:rsidR="0040394E" w:rsidRPr="00ED6EDE">
        <w:fldChar w:fldCharType="end"/>
      </w:r>
      <w:r w:rsidR="0040394E" w:rsidRPr="00ED6EDE">
        <w:t xml:space="preserve"> and </w:t>
      </w:r>
      <w:r w:rsidR="0040394E" w:rsidRPr="00ED6EDE">
        <w:fldChar w:fldCharType="begin"/>
      </w:r>
      <w:r w:rsidR="0040394E" w:rsidRPr="00ED6EDE">
        <w:instrText xml:space="preserve"> REF _Ref95374632 \r \h </w:instrText>
      </w:r>
      <w:r w:rsidR="00ED6EDE" w:rsidRPr="00ED6EDE">
        <w:instrText xml:space="preserve"> \* MERGEFORMAT </w:instrText>
      </w:r>
      <w:r w:rsidR="0040394E" w:rsidRPr="00ED6EDE">
        <w:fldChar w:fldCharType="separate"/>
      </w:r>
      <w:r w:rsidR="004163DD">
        <w:t>3.3</w:t>
      </w:r>
      <w:r w:rsidR="0040394E" w:rsidRPr="00ED6EDE">
        <w:fldChar w:fldCharType="end"/>
      </w:r>
      <w:r w:rsidR="0040394E" w:rsidRPr="00ED6EDE">
        <w:t>)</w:t>
      </w:r>
      <w:r w:rsidR="00BE7066" w:rsidRPr="00ED6EDE">
        <w:t>. T</w:t>
      </w:r>
      <w:r w:rsidR="00020E37" w:rsidRPr="00ED6EDE">
        <w:t>he sponsor requested that the PBAC make a recommendation on the basis of a net cost per patient.</w:t>
      </w:r>
      <w:r w:rsidR="00CC5147" w:rsidRPr="00ED6EDE">
        <w:t xml:space="preserve"> </w:t>
      </w:r>
      <w:r w:rsidR="001D1006" w:rsidRPr="00ED6EDE">
        <w:t xml:space="preserve">Given this approach, the following issues were noted: </w:t>
      </w:r>
    </w:p>
    <w:p w14:paraId="4E7406CD" w14:textId="654BB28B" w:rsidR="00CC5147" w:rsidRPr="00ED6EDE" w:rsidRDefault="00CC5147" w:rsidP="00221217">
      <w:pPr>
        <w:pStyle w:val="ListParagraph"/>
        <w:widowControl/>
        <w:numPr>
          <w:ilvl w:val="0"/>
          <w:numId w:val="1"/>
        </w:numPr>
        <w:ind w:left="1134" w:hanging="425"/>
        <w:contextualSpacing/>
      </w:pPr>
      <w:r w:rsidRPr="00ED6EDE">
        <w:t>The submission conducted an analysis based on published list prices which resulted in an ICER of</w:t>
      </w:r>
      <w:r w:rsidR="005230FE">
        <w:t xml:space="preserve"> $155,000 to &lt; $255,000</w:t>
      </w:r>
      <w:r w:rsidRPr="00ED6EDE">
        <w:t xml:space="preserve"> /QALY, which </w:t>
      </w:r>
      <w:r w:rsidR="000071F2">
        <w:t>was</w:t>
      </w:r>
      <w:r w:rsidRPr="00ED6EDE">
        <w:t xml:space="preserve"> not an accurate estimate of cost-effectiveness</w:t>
      </w:r>
      <w:r w:rsidR="00BE7066" w:rsidRPr="00ED6EDE">
        <w:t xml:space="preserve"> once effective prices are used</w:t>
      </w:r>
      <w:r w:rsidRPr="00ED6EDE">
        <w:t xml:space="preserve">. </w:t>
      </w:r>
    </w:p>
    <w:p w14:paraId="53F100E7" w14:textId="3F61CAAA" w:rsidR="00EA72BB" w:rsidRPr="00ED6EDE" w:rsidRDefault="00CC5147" w:rsidP="00CC5147">
      <w:pPr>
        <w:pStyle w:val="ListParagraph"/>
        <w:widowControl/>
        <w:numPr>
          <w:ilvl w:val="0"/>
          <w:numId w:val="1"/>
        </w:numPr>
        <w:ind w:left="1134" w:hanging="425"/>
        <w:contextualSpacing/>
      </w:pPr>
      <w:r w:rsidRPr="00ED6EDE">
        <w:t>The su</w:t>
      </w:r>
      <w:r w:rsidR="00020E37" w:rsidRPr="00ED6EDE">
        <w:t xml:space="preserve">bmission </w:t>
      </w:r>
      <w:r w:rsidRPr="00ED6EDE">
        <w:t xml:space="preserve">also </w:t>
      </w:r>
      <w:r w:rsidR="00020E37" w:rsidRPr="00ED6EDE">
        <w:t>presented a net cost per patient based on a specific ICER threshold (</w:t>
      </w:r>
      <w:r w:rsidR="001E21D6" w:rsidRPr="001E21D6">
        <w:t>$75,000</w:t>
      </w:r>
      <w:r w:rsidR="001E21D6">
        <w:t> </w:t>
      </w:r>
      <w:r w:rsidR="001E21D6" w:rsidRPr="001E21D6">
        <w:t>to</w:t>
      </w:r>
      <w:r w:rsidR="001E21D6">
        <w:t> </w:t>
      </w:r>
      <w:r w:rsidR="001E21D6" w:rsidRPr="001E21D6">
        <w:t>&lt;</w:t>
      </w:r>
      <w:r w:rsidR="001E21D6">
        <w:t> </w:t>
      </w:r>
      <w:r w:rsidR="001E21D6" w:rsidRPr="001E21D6">
        <w:t>$95,000</w:t>
      </w:r>
      <w:r w:rsidR="00020E37" w:rsidRPr="00ED6EDE">
        <w:t>/QALY gained</w:t>
      </w:r>
      <w:r w:rsidR="00AE30BD">
        <w:t xml:space="preserve">, revised to </w:t>
      </w:r>
      <w:r w:rsidR="001E21D6" w:rsidRPr="001E21D6">
        <w:t>$75,000 to &lt; $95,000</w:t>
      </w:r>
      <w:r w:rsidR="001E21D6">
        <w:t xml:space="preserve"> </w:t>
      </w:r>
      <w:r w:rsidR="00AE30BD">
        <w:t>/QALY in the pre-PBAC response</w:t>
      </w:r>
      <w:r w:rsidR="00020E37" w:rsidRPr="00ED6EDE">
        <w:t>).</w:t>
      </w:r>
      <w:r w:rsidR="001747BB" w:rsidRPr="00ED6EDE">
        <w:t xml:space="preserve"> </w:t>
      </w:r>
      <w:r w:rsidR="00DD6389" w:rsidRPr="00ED6EDE">
        <w:t xml:space="preserve">The ESC considered sensitivity analyses using </w:t>
      </w:r>
      <w:r w:rsidR="000329AB" w:rsidRPr="00ED6EDE">
        <w:t xml:space="preserve">multiple </w:t>
      </w:r>
      <w:r w:rsidR="00DD6389" w:rsidRPr="00ED6EDE">
        <w:t>different ICER threshold</w:t>
      </w:r>
      <w:r w:rsidR="000329AB" w:rsidRPr="00ED6EDE">
        <w:t>s</w:t>
      </w:r>
      <w:r w:rsidR="00DD6389" w:rsidRPr="00ED6EDE">
        <w:t xml:space="preserve"> may be informative to better understand the sensitivity of the model to each of the key inputs</w:t>
      </w:r>
      <w:r w:rsidR="000329AB" w:rsidRPr="00ED6EDE">
        <w:t xml:space="preserve">, including over </w:t>
      </w:r>
      <w:r w:rsidR="001E21D6" w:rsidRPr="001E21D6">
        <w:t>$45,000 to &lt; $55,000</w:t>
      </w:r>
      <w:r w:rsidR="001E21D6">
        <w:t xml:space="preserve"> </w:t>
      </w:r>
      <w:r w:rsidR="000329AB" w:rsidRPr="00ED6EDE">
        <w:t xml:space="preserve">to </w:t>
      </w:r>
      <w:r w:rsidR="001E21D6" w:rsidRPr="001E21D6">
        <w:t>$55,000 to &lt; $75,000</w:t>
      </w:r>
      <w:r w:rsidR="000329AB" w:rsidRPr="00ED6EDE">
        <w:t>/QALY</w:t>
      </w:r>
      <w:r w:rsidR="00DD6389" w:rsidRPr="00ED6EDE">
        <w:t>.</w:t>
      </w:r>
      <w:r w:rsidR="00221217" w:rsidRPr="00ED6EDE">
        <w:t xml:space="preserve"> </w:t>
      </w:r>
    </w:p>
    <w:p w14:paraId="50BC5E76" w14:textId="31394A26" w:rsidR="006B1ED2" w:rsidRPr="00ED6EDE" w:rsidRDefault="003872FD" w:rsidP="00CB0CEA">
      <w:pPr>
        <w:pStyle w:val="ListParagraph"/>
        <w:widowControl/>
        <w:numPr>
          <w:ilvl w:val="0"/>
          <w:numId w:val="1"/>
        </w:numPr>
        <w:ind w:left="1134" w:hanging="425"/>
        <w:rPr>
          <w:iCs/>
        </w:rPr>
      </w:pPr>
      <w:bookmarkStart w:id="45" w:name="_Ref92788482"/>
      <w:r w:rsidRPr="00ED6EDE">
        <w:t>The</w:t>
      </w:r>
      <w:r w:rsidRPr="00ED6EDE">
        <w:rPr>
          <w:iCs/>
        </w:rPr>
        <w:t xml:space="preserve"> use of a net cost per patient means that assumptions will be required to back-calculate the vial/unit price including </w:t>
      </w:r>
      <w:r w:rsidR="00CB0CEA" w:rsidRPr="00ED6EDE">
        <w:rPr>
          <w:iCs/>
        </w:rPr>
        <w:t xml:space="preserve">assumptions </w:t>
      </w:r>
      <w:r w:rsidRPr="00ED6EDE">
        <w:rPr>
          <w:iCs/>
        </w:rPr>
        <w:t xml:space="preserve">around the total and relative utilisation of pembrolizumab (as combination in patients with pMMR or as monotherapy in dMMR) or lenvatinib, </w:t>
      </w:r>
      <w:r w:rsidR="00221217" w:rsidRPr="00ED6EDE">
        <w:rPr>
          <w:iCs/>
        </w:rPr>
        <w:t xml:space="preserve">and the </w:t>
      </w:r>
      <w:r w:rsidR="006B1ED2" w:rsidRPr="00ED6EDE">
        <w:rPr>
          <w:iCs/>
        </w:rPr>
        <w:t xml:space="preserve">duration of therapy. </w:t>
      </w:r>
      <w:r w:rsidR="00B11B16" w:rsidRPr="00ED6EDE">
        <w:rPr>
          <w:iCs/>
        </w:rPr>
        <w:t>The ESC noted that the model had used clinical data from KN775 and considered it was unclear if the same durations of therapy and discontinuation rates would be observed in Australian clinical practice, for example discontinuation rates of lenvatinib may be higher in clinical practice.</w:t>
      </w:r>
    </w:p>
    <w:bookmarkEnd w:id="45"/>
    <w:p w14:paraId="0B491A25" w14:textId="77777777" w:rsidR="00FD3D93" w:rsidRPr="00ED6EDE" w:rsidRDefault="00FD3D93" w:rsidP="00FD3D93">
      <w:pPr>
        <w:pStyle w:val="ListParagraph"/>
        <w:widowControl/>
        <w:numPr>
          <w:ilvl w:val="1"/>
          <w:numId w:val="2"/>
        </w:numPr>
      </w:pPr>
      <w:r w:rsidRPr="00ED6EDE">
        <w:t>The economic evaluation only modelled the Kaplan-Meier results of KN775 and the submission considered this was a conservative “proxy” for KN158 (pembrolizumab monotherapy study), given:</w:t>
      </w:r>
    </w:p>
    <w:p w14:paraId="0E7CBAA9" w14:textId="6FE62921" w:rsidR="00FD3D93" w:rsidRPr="00ED6EDE" w:rsidRDefault="00FD3D93" w:rsidP="0076150B">
      <w:pPr>
        <w:pStyle w:val="ListParagraph"/>
        <w:widowControl/>
        <w:spacing w:after="0"/>
        <w:ind w:left="993" w:hanging="284"/>
      </w:pPr>
      <w:r w:rsidRPr="00ED6EDE">
        <w:t>•</w:t>
      </w:r>
      <w:r w:rsidRPr="00ED6EDE">
        <w:tab/>
        <w:t xml:space="preserve">The ITT results of KN775 (HR=0.62) are driven by that of the dMMR subgroup (HR=0.37), which contributed 15.7% of the total trial population. </w:t>
      </w:r>
      <w:r w:rsidR="000071F2">
        <w:t xml:space="preserve">The submission further argued that </w:t>
      </w:r>
      <w:r w:rsidRPr="00ED6EDE">
        <w:t>dMMR patients may contribute up to 31% of the potential PBS population; and</w:t>
      </w:r>
    </w:p>
    <w:p w14:paraId="6211A83B" w14:textId="5998F6A2" w:rsidR="00FD3D93" w:rsidRPr="00ED6EDE" w:rsidRDefault="00FD3D93" w:rsidP="00FD3D93">
      <w:pPr>
        <w:pStyle w:val="ListParagraph"/>
        <w:widowControl/>
        <w:ind w:left="993" w:hanging="284"/>
      </w:pPr>
      <w:r w:rsidRPr="00ED6EDE">
        <w:t>•</w:t>
      </w:r>
      <w:r w:rsidRPr="00ED6EDE">
        <w:tab/>
        <w:t xml:space="preserve">Modelling KN158 would require a matching adjusted indirect comparison (MAIC) to the dMMR chemotherapy arm of KN775. Inherent limitations of the MAIC aside, the </w:t>
      </w:r>
      <w:r w:rsidR="003421B3">
        <w:t xml:space="preserve">submission argued that the </w:t>
      </w:r>
      <w:r w:rsidRPr="00ED6EDE">
        <w:t>results would be favourable to pembrolizumab given the large</w:t>
      </w:r>
      <w:r w:rsidR="000071F2">
        <w:t>r</w:t>
      </w:r>
      <w:r w:rsidRPr="00ED6EDE">
        <w:t xml:space="preserve"> difference in survival outcomes between pembrolizumab and chemotherapy in dMMR patients (i.e., </w:t>
      </w:r>
      <w:r w:rsidR="000071F2">
        <w:t>a larger difference than observed in</w:t>
      </w:r>
      <w:r w:rsidRPr="00ED6EDE">
        <w:t xml:space="preserve"> the ITT population).</w:t>
      </w:r>
    </w:p>
    <w:p w14:paraId="1C9A857A" w14:textId="7E1AE90B" w:rsidR="00FD3D93" w:rsidRPr="00ED6EDE" w:rsidRDefault="003421B3" w:rsidP="00C90C2B">
      <w:pPr>
        <w:pStyle w:val="ListParagraph"/>
        <w:widowControl/>
        <w:numPr>
          <w:ilvl w:val="1"/>
          <w:numId w:val="2"/>
        </w:numPr>
        <w:spacing w:after="120"/>
      </w:pPr>
      <w:r w:rsidRPr="00B46193">
        <w:rPr>
          <w:iCs/>
        </w:rPr>
        <w:t>The evaluation and the ESC considered that i</w:t>
      </w:r>
      <w:r w:rsidR="00FD3D93" w:rsidRPr="00B46193">
        <w:rPr>
          <w:iCs/>
        </w:rPr>
        <w:t>t was unclear if this was a conservative approach</w:t>
      </w:r>
      <w:r w:rsidR="00F33085" w:rsidRPr="00B46193">
        <w:rPr>
          <w:iCs/>
        </w:rPr>
        <w:t xml:space="preserve"> as the submission had not provided sufficient evidence that pembrolizumab mon</w:t>
      </w:r>
      <w:r w:rsidR="00D93422" w:rsidRPr="00B46193">
        <w:rPr>
          <w:iCs/>
        </w:rPr>
        <w:t>otherapy in the dMMR subgroup has</w:t>
      </w:r>
      <w:r w:rsidR="00F33085" w:rsidRPr="00B46193">
        <w:rPr>
          <w:iCs/>
        </w:rPr>
        <w:t xml:space="preserve"> comparable </w:t>
      </w:r>
      <w:r w:rsidR="00D93422" w:rsidRPr="00B46193">
        <w:rPr>
          <w:iCs/>
        </w:rPr>
        <w:t>incremental</w:t>
      </w:r>
      <w:r w:rsidR="00F33085" w:rsidRPr="00B46193">
        <w:rPr>
          <w:iCs/>
        </w:rPr>
        <w:t xml:space="preserve"> efficacy to pembrolizumab and lenvatinib in the all-comers population. Because the economic evaluation only included data from the KN775 trial of pembrolizumab plus lenvatinib and given the lack of evidence presented to quantify the incremental effectiveness of pembrolizumab monotherapy versus chemotherapy, the evaluation and the ESC considered that the cost-effectiveness of pembrolizumab in the monotherapy setting was unclear.</w:t>
      </w:r>
    </w:p>
    <w:p w14:paraId="12AFF14D" w14:textId="5D3199D0" w:rsidR="00221217" w:rsidRPr="00ED6EDE" w:rsidRDefault="00221217" w:rsidP="00FD3D93">
      <w:pPr>
        <w:pStyle w:val="ListParagraph"/>
        <w:widowControl/>
        <w:numPr>
          <w:ilvl w:val="1"/>
          <w:numId w:val="2"/>
        </w:numPr>
      </w:pPr>
      <w:r w:rsidRPr="00ED6EDE">
        <w:rPr>
          <w:iCs/>
        </w:rPr>
        <w:t>The model used the ITT results from KN775, rather than the results from the pMMR subgroup.</w:t>
      </w:r>
      <w:r w:rsidRPr="00ED6EDE">
        <w:t xml:space="preserve"> Sensitivity analyses indicated that the ICER </w:t>
      </w:r>
      <w:r w:rsidR="00937299" w:rsidRPr="00ED6EDE">
        <w:t>increas</w:t>
      </w:r>
      <w:r w:rsidRPr="00ED6EDE">
        <w:t xml:space="preserve">ed by </w:t>
      </w:r>
      <w:r w:rsidR="00937299" w:rsidRPr="00ED6EDE">
        <w:t>9</w:t>
      </w:r>
      <w:r w:rsidRPr="00ED6EDE">
        <w:t xml:space="preserve">% when the pMMR subgroup results were used. </w:t>
      </w:r>
      <w:r w:rsidR="009347B4">
        <w:t>The PBAC considered use of the ITT results in the model was appropriate</w:t>
      </w:r>
      <w:r w:rsidR="009347B4" w:rsidRPr="00ED6EDE">
        <w:t xml:space="preserve"> </w:t>
      </w:r>
      <w:r w:rsidR="009347B4">
        <w:t xml:space="preserve">given: as outlined in paragraph </w:t>
      </w:r>
      <w:r w:rsidR="009347B4">
        <w:fldChar w:fldCharType="begin"/>
      </w:r>
      <w:r w:rsidR="009347B4">
        <w:instrText xml:space="preserve"> REF _Ref98419261 \r \h </w:instrText>
      </w:r>
      <w:r w:rsidR="009347B4">
        <w:fldChar w:fldCharType="separate"/>
      </w:r>
      <w:r w:rsidR="004163DD">
        <w:t>7.8</w:t>
      </w:r>
      <w:r w:rsidR="009347B4">
        <w:fldChar w:fldCharType="end"/>
      </w:r>
      <w:r w:rsidR="009347B4">
        <w:t>, it had advised that the restriction should allow use of combination therapy in all patients regardless of biomarker status; and there was no evidence of biomarker status being a treatment effect modifier.</w:t>
      </w:r>
    </w:p>
    <w:p w14:paraId="7EB59C9E" w14:textId="77777777" w:rsidR="00020E37" w:rsidRPr="00ED6EDE" w:rsidRDefault="00020E37" w:rsidP="00020E37">
      <w:pPr>
        <w:widowControl/>
      </w:pPr>
    </w:p>
    <w:p w14:paraId="18464AFE" w14:textId="53F719F8" w:rsidR="00020E37" w:rsidRPr="00ED6EDE" w:rsidRDefault="00020E37" w:rsidP="005E3D2B">
      <w:pPr>
        <w:keepNext/>
        <w:keepLines/>
        <w:rPr>
          <w:rStyle w:val="CommentReference"/>
        </w:rPr>
      </w:pPr>
      <w:bookmarkStart w:id="46" w:name="_Ref90029962"/>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9</w:t>
      </w:r>
      <w:r w:rsidRPr="00ED6EDE">
        <w:rPr>
          <w:rStyle w:val="CommentReference"/>
        </w:rPr>
        <w:fldChar w:fldCharType="end"/>
      </w:r>
      <w:bookmarkEnd w:id="46"/>
      <w:r w:rsidRPr="00ED6EDE">
        <w:rPr>
          <w:rStyle w:val="CommentReference"/>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7037"/>
      </w:tblGrid>
      <w:tr w:rsidR="00221B4A" w:rsidRPr="00ED6EDE" w14:paraId="545A3411" w14:textId="77777777" w:rsidTr="001747BB">
        <w:tc>
          <w:tcPr>
            <w:tcW w:w="1098" w:type="pct"/>
            <w:vAlign w:val="center"/>
          </w:tcPr>
          <w:p w14:paraId="5BB7B3D6" w14:textId="77777777" w:rsidR="00020E37" w:rsidRPr="00ED6EDE" w:rsidRDefault="00020E37" w:rsidP="005E3D2B">
            <w:pPr>
              <w:pStyle w:val="Tabletext"/>
              <w:keepNext/>
              <w:keepLines/>
              <w:rPr>
                <w:b/>
              </w:rPr>
            </w:pPr>
            <w:r w:rsidRPr="00ED6EDE">
              <w:rPr>
                <w:b/>
              </w:rPr>
              <w:t>Component</w:t>
            </w:r>
          </w:p>
        </w:tc>
        <w:tc>
          <w:tcPr>
            <w:tcW w:w="3902" w:type="pct"/>
          </w:tcPr>
          <w:p w14:paraId="317AF01C" w14:textId="77777777" w:rsidR="00020E37" w:rsidRPr="00ED6EDE" w:rsidRDefault="00020E37" w:rsidP="005E3D2B">
            <w:pPr>
              <w:pStyle w:val="Tabletext"/>
              <w:keepNext/>
              <w:keepLines/>
              <w:jc w:val="center"/>
              <w:rPr>
                <w:b/>
              </w:rPr>
            </w:pPr>
            <w:r w:rsidRPr="00ED6EDE">
              <w:rPr>
                <w:b/>
              </w:rPr>
              <w:t>Description</w:t>
            </w:r>
          </w:p>
        </w:tc>
      </w:tr>
      <w:tr w:rsidR="00221B4A" w:rsidRPr="00ED6EDE" w14:paraId="37B28A2B" w14:textId="77777777" w:rsidTr="00370C06">
        <w:tc>
          <w:tcPr>
            <w:tcW w:w="1098" w:type="pct"/>
            <w:tcBorders>
              <w:bottom w:val="single" w:sz="4" w:space="0" w:color="auto"/>
            </w:tcBorders>
            <w:vAlign w:val="center"/>
          </w:tcPr>
          <w:p w14:paraId="238C5E79" w14:textId="77777777" w:rsidR="00020E37" w:rsidRPr="00ED6EDE" w:rsidRDefault="00020E37" w:rsidP="005E3D2B">
            <w:pPr>
              <w:pStyle w:val="Tabletext"/>
              <w:keepNext/>
              <w:keepLines/>
            </w:pPr>
            <w:r w:rsidRPr="00ED6EDE">
              <w:t>Type of analysis</w:t>
            </w:r>
          </w:p>
        </w:tc>
        <w:tc>
          <w:tcPr>
            <w:tcW w:w="3902" w:type="pct"/>
            <w:tcBorders>
              <w:bottom w:val="single" w:sz="4" w:space="0" w:color="auto"/>
            </w:tcBorders>
          </w:tcPr>
          <w:p w14:paraId="5B1109D1" w14:textId="77777777" w:rsidR="00020E37" w:rsidRPr="00ED6EDE" w:rsidRDefault="00020E37" w:rsidP="005E3D2B">
            <w:pPr>
              <w:pStyle w:val="Tabletext"/>
              <w:keepNext/>
              <w:keepLines/>
            </w:pPr>
            <w:r w:rsidRPr="00ED6EDE">
              <w:t>CUA</w:t>
            </w:r>
          </w:p>
        </w:tc>
      </w:tr>
      <w:tr w:rsidR="00692EF7" w:rsidRPr="00ED6EDE" w14:paraId="3F446902" w14:textId="77777777" w:rsidTr="008B3D4A">
        <w:tc>
          <w:tcPr>
            <w:tcW w:w="1098" w:type="pct"/>
            <w:tcBorders>
              <w:top w:val="single" w:sz="4" w:space="0" w:color="auto"/>
              <w:left w:val="single" w:sz="4" w:space="0" w:color="auto"/>
              <w:bottom w:val="single" w:sz="4" w:space="0" w:color="auto"/>
              <w:right w:val="single" w:sz="4" w:space="0" w:color="auto"/>
            </w:tcBorders>
            <w:shd w:val="clear" w:color="auto" w:fill="FFFFFF" w:themeFill="background1"/>
          </w:tcPr>
          <w:p w14:paraId="32FAF02F" w14:textId="2A3E96A1" w:rsidR="00692EF7" w:rsidRPr="00ED6EDE" w:rsidRDefault="00692EF7" w:rsidP="00692EF7">
            <w:pPr>
              <w:pStyle w:val="Tabletext"/>
              <w:keepNext/>
              <w:keepLines/>
            </w:pPr>
            <w:r w:rsidRPr="00ED6EDE">
              <w:t>Treatment comparison</w:t>
            </w:r>
          </w:p>
        </w:tc>
        <w:tc>
          <w:tcPr>
            <w:tcW w:w="3902" w:type="pct"/>
            <w:tcBorders>
              <w:top w:val="single" w:sz="4" w:space="0" w:color="auto"/>
              <w:left w:val="single" w:sz="4" w:space="0" w:color="auto"/>
              <w:bottom w:val="single" w:sz="4" w:space="0" w:color="auto"/>
              <w:right w:val="single" w:sz="4" w:space="0" w:color="auto"/>
            </w:tcBorders>
            <w:shd w:val="clear" w:color="auto" w:fill="FFFFFF" w:themeFill="background1"/>
          </w:tcPr>
          <w:p w14:paraId="3E25787A" w14:textId="6AE0C71A" w:rsidR="00692EF7" w:rsidRPr="00ED6EDE" w:rsidRDefault="00692EF7" w:rsidP="00692EF7">
            <w:pPr>
              <w:pStyle w:val="NormalWeb"/>
              <w:spacing w:before="0" w:after="0"/>
              <w:rPr>
                <w:rFonts w:ascii="Arial Narrow" w:hAnsi="Arial Narrow"/>
                <w:sz w:val="20"/>
                <w:lang w:val="en-AU"/>
              </w:rPr>
            </w:pPr>
            <w:r w:rsidRPr="00ED6EDE">
              <w:rPr>
                <w:rFonts w:ascii="Arial Narrow" w:hAnsi="Arial Narrow"/>
                <w:sz w:val="20"/>
                <w:lang w:val="en-AU"/>
              </w:rPr>
              <w:t>Intervention: pembrolizumab plus lenvatinib</w:t>
            </w:r>
          </w:p>
          <w:p w14:paraId="5FDD1390" w14:textId="2A5525D2" w:rsidR="00692EF7" w:rsidRPr="00ED6EDE" w:rsidRDefault="00692EF7" w:rsidP="00221217">
            <w:pPr>
              <w:pStyle w:val="Tabletext"/>
              <w:keepNext/>
              <w:keepLines/>
            </w:pPr>
            <w:r w:rsidRPr="00ED6EDE">
              <w:t>Comparator: chemotherapy (doxorubicin or paclitaxel – informed by KN775)</w:t>
            </w:r>
          </w:p>
        </w:tc>
      </w:tr>
      <w:tr w:rsidR="00692EF7" w:rsidRPr="00ED6EDE" w14:paraId="6F6B715C" w14:textId="77777777" w:rsidTr="008B3D4A">
        <w:tc>
          <w:tcPr>
            <w:tcW w:w="1098" w:type="pct"/>
            <w:tcBorders>
              <w:top w:val="single" w:sz="4" w:space="0" w:color="auto"/>
              <w:left w:val="single" w:sz="4" w:space="0" w:color="auto"/>
              <w:bottom w:val="single" w:sz="4" w:space="0" w:color="auto"/>
              <w:right w:val="single" w:sz="4" w:space="0" w:color="auto"/>
            </w:tcBorders>
            <w:shd w:val="clear" w:color="auto" w:fill="FFFFFF" w:themeFill="background1"/>
          </w:tcPr>
          <w:p w14:paraId="68EDFD0A" w14:textId="124EDE9D" w:rsidR="00692EF7" w:rsidRPr="00ED6EDE" w:rsidRDefault="00692EF7" w:rsidP="00692EF7">
            <w:pPr>
              <w:pStyle w:val="Tabletext"/>
              <w:keepNext/>
              <w:keepLines/>
            </w:pPr>
            <w:r w:rsidRPr="00ED6EDE">
              <w:t>Patient population</w:t>
            </w:r>
          </w:p>
        </w:tc>
        <w:tc>
          <w:tcPr>
            <w:tcW w:w="3902" w:type="pct"/>
            <w:tcBorders>
              <w:top w:val="single" w:sz="4" w:space="0" w:color="auto"/>
              <w:left w:val="single" w:sz="4" w:space="0" w:color="auto"/>
              <w:bottom w:val="single" w:sz="4" w:space="0" w:color="auto"/>
              <w:right w:val="single" w:sz="4" w:space="0" w:color="auto"/>
            </w:tcBorders>
            <w:shd w:val="clear" w:color="auto" w:fill="FFFFFF" w:themeFill="background1"/>
          </w:tcPr>
          <w:p w14:paraId="0D116564" w14:textId="4C0509AD" w:rsidR="00692EF7" w:rsidRPr="00ED6EDE" w:rsidRDefault="00692EF7" w:rsidP="00875532">
            <w:pPr>
              <w:pStyle w:val="Tabletext"/>
              <w:keepNext/>
              <w:keepLines/>
            </w:pPr>
            <w:r w:rsidRPr="00ED6EDE">
              <w:t>Aligned with the KN775 trial</w:t>
            </w:r>
            <w:r w:rsidR="00221217" w:rsidRPr="00ED6EDE">
              <w:t xml:space="preserve"> ITT population. </w:t>
            </w:r>
          </w:p>
        </w:tc>
      </w:tr>
      <w:tr w:rsidR="00221B4A" w:rsidRPr="00ED6EDE" w14:paraId="545CC42A" w14:textId="77777777" w:rsidTr="00370C06">
        <w:tc>
          <w:tcPr>
            <w:tcW w:w="1098" w:type="pct"/>
            <w:tcBorders>
              <w:top w:val="single" w:sz="4" w:space="0" w:color="auto"/>
            </w:tcBorders>
            <w:vAlign w:val="center"/>
          </w:tcPr>
          <w:p w14:paraId="576B5508" w14:textId="77777777" w:rsidR="00020E37" w:rsidRPr="00ED6EDE" w:rsidRDefault="00020E37" w:rsidP="005E3D2B">
            <w:pPr>
              <w:pStyle w:val="Tabletext"/>
              <w:keepNext/>
              <w:keepLines/>
            </w:pPr>
            <w:r w:rsidRPr="00ED6EDE">
              <w:t>Outcomes</w:t>
            </w:r>
          </w:p>
        </w:tc>
        <w:tc>
          <w:tcPr>
            <w:tcW w:w="3902" w:type="pct"/>
            <w:tcBorders>
              <w:top w:val="single" w:sz="4" w:space="0" w:color="auto"/>
            </w:tcBorders>
          </w:tcPr>
          <w:p w14:paraId="4BAA03B3" w14:textId="7ACC3D34" w:rsidR="00020E37" w:rsidRPr="00ED6EDE" w:rsidRDefault="00020E37" w:rsidP="00221217">
            <w:pPr>
              <w:pStyle w:val="Tabletext"/>
              <w:keepNext/>
              <w:keepLines/>
            </w:pPr>
            <w:r w:rsidRPr="00ED6EDE">
              <w:t>Quality-adjusted life years; life-years</w:t>
            </w:r>
          </w:p>
        </w:tc>
      </w:tr>
      <w:tr w:rsidR="00221B4A" w:rsidRPr="00ED6EDE" w14:paraId="5A2DBFBF" w14:textId="77777777" w:rsidTr="001747BB">
        <w:tc>
          <w:tcPr>
            <w:tcW w:w="1098" w:type="pct"/>
            <w:vAlign w:val="center"/>
          </w:tcPr>
          <w:p w14:paraId="05DE6CCF" w14:textId="77777777" w:rsidR="00020E37" w:rsidRPr="00ED6EDE" w:rsidRDefault="00020E37" w:rsidP="005E3D2B">
            <w:pPr>
              <w:pStyle w:val="Tabletext"/>
              <w:keepNext/>
              <w:keepLines/>
            </w:pPr>
            <w:r w:rsidRPr="00ED6EDE">
              <w:t>Time horizon</w:t>
            </w:r>
          </w:p>
        </w:tc>
        <w:tc>
          <w:tcPr>
            <w:tcW w:w="3902" w:type="pct"/>
          </w:tcPr>
          <w:p w14:paraId="4100E3BE" w14:textId="1F75DEDF" w:rsidR="00020E37" w:rsidRPr="00ED6EDE" w:rsidRDefault="00020E37" w:rsidP="005E3D2B">
            <w:pPr>
              <w:pStyle w:val="Tabletext"/>
              <w:keepNext/>
              <w:keepLines/>
            </w:pPr>
            <w:r w:rsidRPr="00ED6EDE">
              <w:t>10 years, based on 11.4 months median follow-up in the KN775 trial.</w:t>
            </w:r>
            <w:r w:rsidR="00B11A5B" w:rsidRPr="00ED6EDE">
              <w:t xml:space="preserve"> Revised to 8 years in </w:t>
            </w:r>
            <w:r w:rsidR="00221217" w:rsidRPr="00ED6EDE">
              <w:t xml:space="preserve">the </w:t>
            </w:r>
            <w:r w:rsidR="00B11A5B" w:rsidRPr="00ED6EDE">
              <w:t>PSCR</w:t>
            </w:r>
            <w:r w:rsidR="002C224C">
              <w:t xml:space="preserve"> and 5 years in the pre-PBAC response.</w:t>
            </w:r>
          </w:p>
        </w:tc>
      </w:tr>
      <w:tr w:rsidR="00221B4A" w:rsidRPr="00ED6EDE" w14:paraId="5EAF898B" w14:textId="77777777" w:rsidTr="001747BB">
        <w:tc>
          <w:tcPr>
            <w:tcW w:w="1098" w:type="pct"/>
            <w:vAlign w:val="center"/>
          </w:tcPr>
          <w:p w14:paraId="2821E66B" w14:textId="77777777" w:rsidR="00020E37" w:rsidRPr="00ED6EDE" w:rsidRDefault="00020E37" w:rsidP="005E3D2B">
            <w:pPr>
              <w:pStyle w:val="Tabletext"/>
              <w:keepNext/>
              <w:keepLines/>
            </w:pPr>
            <w:r w:rsidRPr="00ED6EDE">
              <w:t>Methods used to generate results</w:t>
            </w:r>
          </w:p>
        </w:tc>
        <w:tc>
          <w:tcPr>
            <w:tcW w:w="3902" w:type="pct"/>
          </w:tcPr>
          <w:p w14:paraId="37915D28" w14:textId="77777777" w:rsidR="00020E37" w:rsidRPr="00ED6EDE" w:rsidRDefault="00020E37" w:rsidP="005E3D2B">
            <w:pPr>
              <w:pStyle w:val="Tabletext"/>
              <w:keepNext/>
              <w:keepLines/>
            </w:pPr>
            <w:r w:rsidRPr="00ED6EDE">
              <w:t>Partitioned survival analysis</w:t>
            </w:r>
          </w:p>
        </w:tc>
      </w:tr>
      <w:tr w:rsidR="00221B4A" w:rsidRPr="00ED6EDE" w14:paraId="422EF9FA" w14:textId="77777777" w:rsidTr="001747BB">
        <w:tc>
          <w:tcPr>
            <w:tcW w:w="1098" w:type="pct"/>
            <w:vAlign w:val="center"/>
          </w:tcPr>
          <w:p w14:paraId="0F3C7450" w14:textId="77777777" w:rsidR="00020E37" w:rsidRPr="00ED6EDE" w:rsidRDefault="00020E37" w:rsidP="005E3D2B">
            <w:pPr>
              <w:pStyle w:val="Tabletext"/>
              <w:keepNext/>
              <w:keepLines/>
            </w:pPr>
            <w:r w:rsidRPr="00ED6EDE">
              <w:t>Health states</w:t>
            </w:r>
          </w:p>
        </w:tc>
        <w:tc>
          <w:tcPr>
            <w:tcW w:w="3902" w:type="pct"/>
          </w:tcPr>
          <w:p w14:paraId="1D46DA3C" w14:textId="77777777" w:rsidR="00020E37" w:rsidRPr="00ED6EDE" w:rsidRDefault="00020E37" w:rsidP="005E3D2B">
            <w:pPr>
              <w:pStyle w:val="Tabletext"/>
              <w:keepNext/>
              <w:keepLines/>
            </w:pPr>
            <w:r w:rsidRPr="00ED6EDE">
              <w:t>Progression free, progressed disease, death</w:t>
            </w:r>
          </w:p>
        </w:tc>
      </w:tr>
      <w:tr w:rsidR="00221B4A" w:rsidRPr="00ED6EDE" w14:paraId="44AB4968" w14:textId="77777777" w:rsidTr="001747BB">
        <w:tc>
          <w:tcPr>
            <w:tcW w:w="1098" w:type="pct"/>
            <w:vAlign w:val="center"/>
          </w:tcPr>
          <w:p w14:paraId="1F38BEEB" w14:textId="77777777" w:rsidR="00020E37" w:rsidRPr="00ED6EDE" w:rsidRDefault="00020E37" w:rsidP="005E3D2B">
            <w:pPr>
              <w:pStyle w:val="Tabletext"/>
              <w:keepNext/>
              <w:keepLines/>
            </w:pPr>
            <w:r w:rsidRPr="00ED6EDE">
              <w:t>Cycle length</w:t>
            </w:r>
          </w:p>
        </w:tc>
        <w:tc>
          <w:tcPr>
            <w:tcW w:w="3902" w:type="pct"/>
          </w:tcPr>
          <w:p w14:paraId="5F0101B4" w14:textId="77777777" w:rsidR="00020E37" w:rsidRPr="00ED6EDE" w:rsidRDefault="00020E37" w:rsidP="005E3D2B">
            <w:pPr>
              <w:pStyle w:val="Tabletext"/>
              <w:keepNext/>
              <w:keepLines/>
            </w:pPr>
            <w:r w:rsidRPr="00ED6EDE">
              <w:t>1 week, no half-cycle correction</w:t>
            </w:r>
          </w:p>
        </w:tc>
      </w:tr>
      <w:tr w:rsidR="00221B4A" w:rsidRPr="00ED6EDE" w14:paraId="43FD88F5" w14:textId="77777777" w:rsidTr="001747BB">
        <w:tc>
          <w:tcPr>
            <w:tcW w:w="1098" w:type="pct"/>
            <w:vAlign w:val="center"/>
          </w:tcPr>
          <w:p w14:paraId="55BA2752" w14:textId="77777777" w:rsidR="00FF60E7" w:rsidRPr="00ED6EDE" w:rsidRDefault="00FF60E7" w:rsidP="005E3D2B">
            <w:pPr>
              <w:keepNext/>
              <w:keepLines/>
              <w:widowControl/>
              <w:tabs>
                <w:tab w:val="left" w:pos="440"/>
                <w:tab w:val="right" w:pos="9016"/>
              </w:tabs>
              <w:autoSpaceDE w:val="0"/>
              <w:autoSpaceDN w:val="0"/>
              <w:adjustRightInd w:val="0"/>
              <w:rPr>
                <w:rFonts w:ascii="Arial Narrow" w:hAnsi="Arial Narrow" w:cs="Times New Roman"/>
                <w:snapToGrid/>
                <w:sz w:val="20"/>
              </w:rPr>
            </w:pPr>
            <w:r w:rsidRPr="00ED6EDE">
              <w:rPr>
                <w:rFonts w:ascii="Arial Narrow" w:hAnsi="Arial Narrow" w:cs="Times New Roman"/>
                <w:snapToGrid/>
                <w:sz w:val="20"/>
              </w:rPr>
              <w:t>Allocation to health states</w:t>
            </w:r>
          </w:p>
          <w:p w14:paraId="7A2BEDA6" w14:textId="6B0A3CFB" w:rsidR="00020E37" w:rsidRPr="00ED6EDE" w:rsidRDefault="00020E37" w:rsidP="005E3D2B">
            <w:pPr>
              <w:pStyle w:val="Tabletext"/>
              <w:keepNext/>
              <w:keepLines/>
            </w:pPr>
          </w:p>
        </w:tc>
        <w:tc>
          <w:tcPr>
            <w:tcW w:w="3902" w:type="pct"/>
          </w:tcPr>
          <w:p w14:paraId="0248F577" w14:textId="43A15ACE" w:rsidR="00020E37" w:rsidRPr="00ED6EDE" w:rsidRDefault="00020E37" w:rsidP="005E3D2B">
            <w:pPr>
              <w:pStyle w:val="Tabletext"/>
              <w:keepNext/>
              <w:keepLines/>
            </w:pPr>
            <w:r w:rsidRPr="00ED6EDE">
              <w:t>Allocation to health states was based on the Kaplan-Meier estimates for PFS and OS in KN775. The trial-based survival estimates were used up until 72.6 weeks for PFS and OS in both treatment arms in the base case analysis. Treatment duration was modelled using time on treatment data from KN775</w:t>
            </w:r>
            <w:r w:rsidR="001747BB" w:rsidRPr="00ED6EDE">
              <w:t>.</w:t>
            </w:r>
          </w:p>
        </w:tc>
      </w:tr>
      <w:tr w:rsidR="00221B4A" w:rsidRPr="00ED6EDE" w14:paraId="1C5CAA8F" w14:textId="77777777" w:rsidTr="001747BB">
        <w:tc>
          <w:tcPr>
            <w:tcW w:w="1098" w:type="pct"/>
            <w:vAlign w:val="center"/>
          </w:tcPr>
          <w:p w14:paraId="707BF7B8" w14:textId="77777777" w:rsidR="00020E37" w:rsidRPr="00ED6EDE" w:rsidRDefault="00020E37" w:rsidP="005E3D2B">
            <w:pPr>
              <w:pStyle w:val="Tabletext"/>
              <w:keepNext/>
              <w:keepLines/>
            </w:pPr>
            <w:r w:rsidRPr="00ED6EDE">
              <w:t>Extrapolation</w:t>
            </w:r>
          </w:p>
        </w:tc>
        <w:tc>
          <w:tcPr>
            <w:tcW w:w="3902" w:type="pct"/>
          </w:tcPr>
          <w:p w14:paraId="58CC4685" w14:textId="77777777" w:rsidR="00692EF7" w:rsidRPr="00ED6EDE" w:rsidRDefault="00692EF7" w:rsidP="00692EF7">
            <w:pPr>
              <w:pStyle w:val="Tabletext"/>
              <w:keepNext/>
              <w:keepLines/>
            </w:pPr>
            <w:r w:rsidRPr="00ED6EDE">
              <w:t>Base case: 1 piece model with parametric extrapolations</w:t>
            </w:r>
          </w:p>
          <w:p w14:paraId="5EDB4115" w14:textId="06989491" w:rsidR="00020E37" w:rsidRPr="00ED6EDE" w:rsidRDefault="00692EF7" w:rsidP="00692EF7">
            <w:pPr>
              <w:pStyle w:val="Tabletext"/>
              <w:keepNext/>
              <w:keepLines/>
            </w:pPr>
            <w:r w:rsidRPr="00ED6EDE">
              <w:t>Alternate base case: Piecewise parametric extrapolation</w:t>
            </w:r>
            <w:r w:rsidR="00020E37" w:rsidRPr="00ED6EDE">
              <w:t xml:space="preserve"> </w:t>
            </w:r>
          </w:p>
        </w:tc>
      </w:tr>
      <w:tr w:rsidR="00221B4A" w:rsidRPr="00ED6EDE" w14:paraId="1EAA1283" w14:textId="77777777" w:rsidTr="001747BB">
        <w:tc>
          <w:tcPr>
            <w:tcW w:w="1098" w:type="pct"/>
            <w:vAlign w:val="center"/>
          </w:tcPr>
          <w:p w14:paraId="2A07E0F4" w14:textId="77777777" w:rsidR="00020E37" w:rsidRPr="00ED6EDE" w:rsidRDefault="00020E37" w:rsidP="005E3D2B">
            <w:pPr>
              <w:pStyle w:val="Tabletext"/>
              <w:keepNext/>
              <w:keepLines/>
            </w:pPr>
            <w:r w:rsidRPr="00ED6EDE">
              <w:t>Health related quality of life</w:t>
            </w:r>
          </w:p>
        </w:tc>
        <w:tc>
          <w:tcPr>
            <w:tcW w:w="3902" w:type="pct"/>
            <w:vAlign w:val="center"/>
          </w:tcPr>
          <w:p w14:paraId="0B4DC28A" w14:textId="77777777" w:rsidR="00020E37" w:rsidRPr="00ED6EDE" w:rsidRDefault="00020E37" w:rsidP="005E3D2B">
            <w:pPr>
              <w:pStyle w:val="Tabletext"/>
              <w:keepNext/>
              <w:keepLines/>
            </w:pPr>
            <w:r w:rsidRPr="00ED6EDE">
              <w:t>EQ-5D scores from KN775 were used to derive utility estimates based on an Australian scoring algorithm</w:t>
            </w:r>
          </w:p>
          <w:p w14:paraId="412CF010" w14:textId="77777777" w:rsidR="00020E37" w:rsidRPr="00ED6EDE" w:rsidRDefault="00020E37" w:rsidP="005E3D2B">
            <w:pPr>
              <w:pStyle w:val="Tabletext"/>
              <w:keepNext/>
              <w:keepLines/>
            </w:pPr>
            <w:r w:rsidRPr="00ED6EDE">
              <w:t>PFS health state utility: 0.736 for both arms</w:t>
            </w:r>
          </w:p>
          <w:p w14:paraId="7F9B00D5" w14:textId="77777777" w:rsidR="00020E37" w:rsidRPr="00ED6EDE" w:rsidRDefault="00020E37" w:rsidP="005E3D2B">
            <w:pPr>
              <w:pStyle w:val="Tabletext"/>
              <w:keepNext/>
              <w:keepLines/>
            </w:pPr>
            <w:r w:rsidRPr="00ED6EDE">
              <w:t>PD health state utility: 0.700 for both arms</w:t>
            </w:r>
          </w:p>
          <w:p w14:paraId="74027E09" w14:textId="303A6280" w:rsidR="005D53CA" w:rsidRPr="00ED6EDE" w:rsidRDefault="005D53CA" w:rsidP="00186865">
            <w:pPr>
              <w:pStyle w:val="Tabletext"/>
              <w:keepNext/>
              <w:keepLines/>
            </w:pPr>
            <w:r w:rsidRPr="00ED6EDE">
              <w:rPr>
                <w:iCs/>
              </w:rPr>
              <w:t>The plausibility of the health state utilities being so similar for</w:t>
            </w:r>
            <w:r w:rsidR="00092FD7" w:rsidRPr="00ED6EDE">
              <w:rPr>
                <w:iCs/>
              </w:rPr>
              <w:t xml:space="preserve"> </w:t>
            </w:r>
            <w:r w:rsidRPr="00ED6EDE">
              <w:rPr>
                <w:iCs/>
              </w:rPr>
              <w:t xml:space="preserve">progression free and progressed health states was unclear. However, the increment was somewhat similar </w:t>
            </w:r>
            <w:r w:rsidR="00BE298C" w:rsidRPr="00ED6EDE">
              <w:rPr>
                <w:iCs/>
              </w:rPr>
              <w:t>to</w:t>
            </w:r>
            <w:r w:rsidRPr="00ED6EDE">
              <w:rPr>
                <w:iCs/>
              </w:rPr>
              <w:t xml:space="preserve"> the only other identified economic evaluation that relied on endometrial cancer trial based utilities (Thurgar  2018: 0.817 and 0.779 for progression free and progressed, respectively, based on </w:t>
            </w:r>
            <w:r w:rsidR="00AE6DB6">
              <w:rPr>
                <w:iCs/>
              </w:rPr>
              <w:t>a</w:t>
            </w:r>
            <w:r w:rsidRPr="00ED6EDE">
              <w:rPr>
                <w:iCs/>
              </w:rPr>
              <w:t>nalys</w:t>
            </w:r>
            <w:r w:rsidR="00186865">
              <w:rPr>
                <w:iCs/>
              </w:rPr>
              <w:t>e</w:t>
            </w:r>
            <w:r w:rsidRPr="00ED6EDE">
              <w:rPr>
                <w:iCs/>
              </w:rPr>
              <w:t xml:space="preserve">s of EQ-5D data within </w:t>
            </w:r>
            <w:r w:rsidR="00BE298C" w:rsidRPr="00ED6EDE">
              <w:rPr>
                <w:iCs/>
              </w:rPr>
              <w:t>KN</w:t>
            </w:r>
            <w:r w:rsidRPr="00ED6EDE">
              <w:rPr>
                <w:iCs/>
              </w:rPr>
              <w:t xml:space="preserve">158 for women with dMMR/MSI-H </w:t>
            </w:r>
            <w:proofErr w:type="spellStart"/>
            <w:r w:rsidRPr="00ED6EDE">
              <w:rPr>
                <w:iCs/>
              </w:rPr>
              <w:t>mEC</w:t>
            </w:r>
            <w:proofErr w:type="spellEnd"/>
            <w:r w:rsidRPr="00ED6EDE">
              <w:rPr>
                <w:iCs/>
              </w:rPr>
              <w:t xml:space="preserve"> and based on a US algorithm)</w:t>
            </w:r>
            <w:r w:rsidR="00890600" w:rsidRPr="00ED6EDE">
              <w:rPr>
                <w:iCs/>
              </w:rPr>
              <w:t xml:space="preserve">. The model was </w:t>
            </w:r>
            <w:r w:rsidR="00D24F3E" w:rsidRPr="00ED6EDE">
              <w:rPr>
                <w:iCs/>
              </w:rPr>
              <w:t>moderately sensitive</w:t>
            </w:r>
            <w:r w:rsidR="00890600" w:rsidRPr="00ED6EDE">
              <w:rPr>
                <w:iCs/>
              </w:rPr>
              <w:t xml:space="preserve"> to the source of </w:t>
            </w:r>
            <w:r w:rsidR="001747BB" w:rsidRPr="00ED6EDE">
              <w:rPr>
                <w:iCs/>
              </w:rPr>
              <w:t xml:space="preserve">the </w:t>
            </w:r>
            <w:r w:rsidR="00890600" w:rsidRPr="00ED6EDE">
              <w:rPr>
                <w:iCs/>
              </w:rPr>
              <w:t>utility estimates, and the base case estimate was the mo</w:t>
            </w:r>
            <w:r w:rsidR="00BE298C" w:rsidRPr="00ED6EDE">
              <w:rPr>
                <w:iCs/>
              </w:rPr>
              <w:t>re</w:t>
            </w:r>
            <w:r w:rsidR="00890600" w:rsidRPr="00ED6EDE">
              <w:rPr>
                <w:iCs/>
              </w:rPr>
              <w:t xml:space="preserve"> conservative of the two.</w:t>
            </w:r>
            <w:r w:rsidR="00FC0983" w:rsidRPr="00ED6EDE">
              <w:rPr>
                <w:iCs/>
              </w:rPr>
              <w:t xml:space="preserve"> </w:t>
            </w:r>
          </w:p>
        </w:tc>
      </w:tr>
      <w:tr w:rsidR="00221B4A" w:rsidRPr="00ED6EDE" w14:paraId="16CC01D2" w14:textId="77777777" w:rsidTr="001747BB">
        <w:tc>
          <w:tcPr>
            <w:tcW w:w="1098" w:type="pct"/>
            <w:vAlign w:val="center"/>
          </w:tcPr>
          <w:p w14:paraId="7D94ED26" w14:textId="77777777" w:rsidR="00020E37" w:rsidRPr="00ED6EDE" w:rsidRDefault="00020E37" w:rsidP="005E3D2B">
            <w:pPr>
              <w:pStyle w:val="Tabletext"/>
              <w:keepNext/>
              <w:keepLines/>
            </w:pPr>
            <w:r w:rsidRPr="00ED6EDE">
              <w:t>Software package</w:t>
            </w:r>
          </w:p>
        </w:tc>
        <w:tc>
          <w:tcPr>
            <w:tcW w:w="3902" w:type="pct"/>
          </w:tcPr>
          <w:p w14:paraId="555AC889" w14:textId="77777777" w:rsidR="00020E37" w:rsidRPr="00ED6EDE" w:rsidRDefault="00020E37" w:rsidP="005E3D2B">
            <w:pPr>
              <w:pStyle w:val="Tabletext"/>
              <w:keepNext/>
              <w:keepLines/>
            </w:pPr>
            <w:r w:rsidRPr="00ED6EDE">
              <w:t>Excel 2010</w:t>
            </w:r>
          </w:p>
        </w:tc>
      </w:tr>
    </w:tbl>
    <w:p w14:paraId="2B6E84CC" w14:textId="327C401E" w:rsidR="00020E37" w:rsidRPr="00ED6EDE" w:rsidRDefault="00020E37" w:rsidP="005E3D2B">
      <w:pPr>
        <w:pStyle w:val="TableFooter"/>
        <w:keepNext/>
        <w:keepLines/>
        <w:rPr>
          <w:sz w:val="20"/>
        </w:rPr>
      </w:pPr>
      <w:r w:rsidRPr="00ED6EDE">
        <w:t xml:space="preserve">Source: Table 3.1-1, pp134-135 of the submission. CUA = cost-utility analysis; EQ-5D = EuroQoL 5 dimensions; OS = overall survival; PD = progressive disease; PFS = progression free survival; QALY = quality-adjusted life year; </w:t>
      </w:r>
    </w:p>
    <w:p w14:paraId="49E93FBB" w14:textId="77777777" w:rsidR="00020E37" w:rsidRPr="00ED6EDE" w:rsidRDefault="00020E37" w:rsidP="00020E37"/>
    <w:p w14:paraId="7DC24B69" w14:textId="55BBCCF5" w:rsidR="00020E37" w:rsidRPr="00ED6EDE" w:rsidRDefault="00020E37" w:rsidP="005D2C4E">
      <w:pPr>
        <w:pStyle w:val="ListParagraph"/>
        <w:widowControl/>
        <w:numPr>
          <w:ilvl w:val="1"/>
          <w:numId w:val="2"/>
        </w:numPr>
        <w:spacing w:after="120"/>
      </w:pPr>
      <w:r w:rsidRPr="00ED6EDE">
        <w:t xml:space="preserve">The extrapolation of OS and PFS for pembrolizumab plus lenvatinib and chemotherapy were modelled independently. Standard one-piece models were fitted to the data in the base-case to align with PBAC preferences, however demonstrated poor visual and statistical fit. Therefore, </w:t>
      </w:r>
      <w:r w:rsidR="00B11A5B" w:rsidRPr="00ED6EDE">
        <w:t xml:space="preserve">the submission </w:t>
      </w:r>
      <w:r w:rsidR="009B41A9" w:rsidRPr="00ED6EDE">
        <w:t>presented an alternate base-case in which</w:t>
      </w:r>
      <w:r w:rsidRPr="00ED6EDE">
        <w:t xml:space="preserve"> piecewise models were fitted to the data.</w:t>
      </w:r>
    </w:p>
    <w:p w14:paraId="3A201E51" w14:textId="2E617D9D" w:rsidR="00EB020D" w:rsidRPr="00ED6EDE" w:rsidRDefault="00982029" w:rsidP="005D2C4E">
      <w:pPr>
        <w:pStyle w:val="ListParagraph"/>
        <w:widowControl/>
        <w:numPr>
          <w:ilvl w:val="1"/>
          <w:numId w:val="2"/>
        </w:numPr>
        <w:spacing w:after="120"/>
      </w:pPr>
      <w:r w:rsidRPr="00ED6EDE">
        <w:rPr>
          <w:iCs/>
        </w:rPr>
        <w:t>T</w:t>
      </w:r>
      <w:r w:rsidR="00EB020D" w:rsidRPr="00ED6EDE">
        <w:rPr>
          <w:iCs/>
        </w:rPr>
        <w:t xml:space="preserve">he submission </w:t>
      </w:r>
      <w:r w:rsidRPr="00ED6EDE">
        <w:rPr>
          <w:iCs/>
        </w:rPr>
        <w:t>applied</w:t>
      </w:r>
      <w:r w:rsidR="00EB020D" w:rsidRPr="00ED6EDE">
        <w:rPr>
          <w:iCs/>
        </w:rPr>
        <w:t xml:space="preserve"> different functions in each arm for modelling OS and PFS</w:t>
      </w:r>
      <w:r w:rsidRPr="00ED6EDE">
        <w:rPr>
          <w:iCs/>
        </w:rPr>
        <w:t xml:space="preserve"> (in both the standard parametric extrapolations and the flexible piecewise models)</w:t>
      </w:r>
      <w:r w:rsidR="00EB020D" w:rsidRPr="00ED6EDE">
        <w:rPr>
          <w:iCs/>
        </w:rPr>
        <w:t xml:space="preserve">. </w:t>
      </w:r>
      <w:r w:rsidRPr="00ED6EDE">
        <w:rPr>
          <w:iCs/>
        </w:rPr>
        <w:t>T</w:t>
      </w:r>
      <w:r w:rsidR="00EB020D" w:rsidRPr="00ED6EDE">
        <w:rPr>
          <w:iCs/>
        </w:rPr>
        <w:t xml:space="preserve">he use of independent modelling </w:t>
      </w:r>
      <w:r w:rsidRPr="00ED6EDE">
        <w:rPr>
          <w:iCs/>
        </w:rPr>
        <w:t xml:space="preserve">of each arm </w:t>
      </w:r>
      <w:r w:rsidR="00EB020D" w:rsidRPr="00ED6EDE">
        <w:rPr>
          <w:iCs/>
        </w:rPr>
        <w:t>was done in</w:t>
      </w:r>
      <w:r w:rsidR="002B41AA" w:rsidRPr="00ED6EDE">
        <w:rPr>
          <w:iCs/>
        </w:rPr>
        <w:t xml:space="preserve"> </w:t>
      </w:r>
      <w:r w:rsidR="00EB020D" w:rsidRPr="00ED6EDE">
        <w:rPr>
          <w:iCs/>
        </w:rPr>
        <w:t>order to model an assumed survival plateau associated with immunotherapy.</w:t>
      </w:r>
      <w:r w:rsidR="00D02E72" w:rsidRPr="00ED6EDE">
        <w:rPr>
          <w:iCs/>
        </w:rPr>
        <w:t xml:space="preserve"> </w:t>
      </w:r>
    </w:p>
    <w:p w14:paraId="6ABABE98" w14:textId="4D8C3969" w:rsidR="00EB020D" w:rsidRPr="00ED6EDE" w:rsidRDefault="00EB020D" w:rsidP="00A062E7">
      <w:pPr>
        <w:pStyle w:val="ListParagraph"/>
        <w:widowControl/>
        <w:numPr>
          <w:ilvl w:val="1"/>
          <w:numId w:val="2"/>
        </w:numPr>
      </w:pPr>
      <w:r w:rsidRPr="00ED6EDE">
        <w:fldChar w:fldCharType="begin"/>
      </w:r>
      <w:r w:rsidRPr="00ED6EDE">
        <w:instrText xml:space="preserve"> REF _Ref92556643 \h  \* MERGEFORMAT </w:instrText>
      </w:r>
      <w:r w:rsidRPr="00ED6EDE">
        <w:fldChar w:fldCharType="separate"/>
      </w:r>
      <w:r w:rsidR="004163DD" w:rsidRPr="004163DD">
        <w:t>Figure 3</w:t>
      </w:r>
      <w:r w:rsidRPr="00ED6EDE">
        <w:fldChar w:fldCharType="end"/>
      </w:r>
      <w:r w:rsidRPr="00ED6EDE">
        <w:t xml:space="preserve"> presents</w:t>
      </w:r>
      <w:r w:rsidRPr="00ED6EDE">
        <w:rPr>
          <w:iCs/>
        </w:rPr>
        <w:t xml:space="preserve"> the OS </w:t>
      </w:r>
      <w:r w:rsidR="00E32AF2" w:rsidRPr="00ED6EDE">
        <w:rPr>
          <w:iCs/>
        </w:rPr>
        <w:t xml:space="preserve">one-piece parametric </w:t>
      </w:r>
      <w:r w:rsidRPr="00ED6EDE">
        <w:rPr>
          <w:iCs/>
        </w:rPr>
        <w:t>extrapolations explored by the submission.</w:t>
      </w:r>
      <w:r w:rsidR="004B4703" w:rsidRPr="00ED6EDE">
        <w:rPr>
          <w:iCs/>
        </w:rPr>
        <w:t xml:space="preserve"> In the base case, the submission chose the log-normal function for the pembrolizumab plus lenvatinib arm</w:t>
      </w:r>
      <w:r w:rsidR="0002419F" w:rsidRPr="00ED6EDE">
        <w:rPr>
          <w:iCs/>
        </w:rPr>
        <w:t xml:space="preserve"> (light blue solid line on the figure below)</w:t>
      </w:r>
      <w:r w:rsidR="004B4703" w:rsidRPr="00ED6EDE">
        <w:rPr>
          <w:iCs/>
        </w:rPr>
        <w:t>, and the generalised gamma function for the chemotherapy arm</w:t>
      </w:r>
      <w:r w:rsidR="0002419F" w:rsidRPr="00ED6EDE">
        <w:rPr>
          <w:iCs/>
        </w:rPr>
        <w:t xml:space="preserve"> (red dotted line)</w:t>
      </w:r>
      <w:r w:rsidR="004B4703" w:rsidRPr="00ED6EDE">
        <w:rPr>
          <w:iCs/>
        </w:rPr>
        <w:t>.</w:t>
      </w:r>
    </w:p>
    <w:p w14:paraId="3F2BB4E7" w14:textId="629F7B32" w:rsidR="00EB020D" w:rsidRPr="00ED6EDE" w:rsidRDefault="00EB020D" w:rsidP="00AF22C5">
      <w:pPr>
        <w:keepNext/>
        <w:jc w:val="left"/>
        <w:rPr>
          <w:rStyle w:val="CommentReference"/>
        </w:rPr>
      </w:pPr>
      <w:bookmarkStart w:id="47" w:name="_Ref92556643"/>
      <w:r w:rsidRPr="00ED6EDE">
        <w:rPr>
          <w:rStyle w:val="CommentReference"/>
        </w:rPr>
        <w:t xml:space="preserve">Figure </w:t>
      </w:r>
      <w:r w:rsidRPr="00ED6EDE">
        <w:rPr>
          <w:rStyle w:val="CommentReference"/>
          <w:b w:val="0"/>
          <w:bCs/>
          <w:color w:val="000000" w:themeColor="text1"/>
        </w:rPr>
        <w:fldChar w:fldCharType="begin"/>
      </w:r>
      <w:r w:rsidRPr="00ED6EDE">
        <w:rPr>
          <w:rStyle w:val="CommentReference"/>
          <w:color w:val="000000" w:themeColor="text1"/>
        </w:rPr>
        <w:instrText xml:space="preserve"> SEQ Figure \* MERGEFORMAT </w:instrText>
      </w:r>
      <w:r w:rsidRPr="00ED6EDE">
        <w:rPr>
          <w:rStyle w:val="CommentReference"/>
          <w:b w:val="0"/>
          <w:bCs/>
          <w:color w:val="000000" w:themeColor="text1"/>
        </w:rPr>
        <w:fldChar w:fldCharType="separate"/>
      </w:r>
      <w:r w:rsidR="004163DD">
        <w:rPr>
          <w:rStyle w:val="CommentReference"/>
          <w:noProof/>
          <w:color w:val="000000" w:themeColor="text1"/>
        </w:rPr>
        <w:t>3</w:t>
      </w:r>
      <w:r w:rsidRPr="00ED6EDE">
        <w:rPr>
          <w:rStyle w:val="CommentReference"/>
          <w:b w:val="0"/>
          <w:bCs/>
          <w:color w:val="000000" w:themeColor="text1"/>
        </w:rPr>
        <w:fldChar w:fldCharType="end"/>
      </w:r>
      <w:bookmarkEnd w:id="47"/>
      <w:r w:rsidRPr="00ED6EDE">
        <w:rPr>
          <w:rStyle w:val="CommentReference"/>
          <w:b w:val="0"/>
          <w:bCs/>
          <w:color w:val="000000" w:themeColor="text1"/>
        </w:rPr>
        <w:t>:</w:t>
      </w:r>
      <w:r w:rsidR="0002419F" w:rsidRPr="00ED6EDE">
        <w:rPr>
          <w:rStyle w:val="CommentReference"/>
        </w:rPr>
        <w:t xml:space="preserve"> (A)</w:t>
      </w:r>
      <w:r w:rsidRPr="00ED6EDE">
        <w:rPr>
          <w:rStyle w:val="CommentReference"/>
        </w:rPr>
        <w:t xml:space="preserve"> </w:t>
      </w:r>
      <w:r w:rsidR="00AF22C5" w:rsidRPr="00ED6EDE">
        <w:rPr>
          <w:rStyle w:val="CommentReference"/>
        </w:rPr>
        <w:t>OS</w:t>
      </w:r>
      <w:r w:rsidRPr="00ED6EDE">
        <w:rPr>
          <w:rStyle w:val="CommentReference"/>
        </w:rPr>
        <w:t xml:space="preserve"> one-piece parametric survival curves for PEM+LEN vs. </w:t>
      </w:r>
      <w:r w:rsidR="00AF22C5" w:rsidRPr="00ED6EDE">
        <w:rPr>
          <w:rStyle w:val="CommentReference"/>
        </w:rPr>
        <w:t>chemotherapy</w:t>
      </w:r>
      <w:r w:rsidRPr="00ED6EDE">
        <w:rPr>
          <w:rStyle w:val="CommentReference"/>
        </w:rPr>
        <w:t xml:space="preserve"> </w:t>
      </w:r>
      <w:r w:rsidR="0002419F" w:rsidRPr="00ED6EDE">
        <w:rPr>
          <w:rStyle w:val="CommentReference"/>
        </w:rPr>
        <w:t>(B) base case of submission</w:t>
      </w:r>
    </w:p>
    <w:p w14:paraId="0AC7D9BD" w14:textId="134A5699" w:rsidR="00EB020D" w:rsidRPr="00ED6EDE" w:rsidRDefault="00EB020D" w:rsidP="00FD3D93">
      <w:pPr>
        <w:jc w:val="left"/>
      </w:pPr>
      <w:r w:rsidRPr="00ED6EDE">
        <w:rPr>
          <w:noProof/>
          <w:lang w:eastAsia="en-AU"/>
        </w:rPr>
        <w:drawing>
          <wp:inline distT="0" distB="0" distL="0" distR="0" wp14:anchorId="784F2725" wp14:editId="4E691670">
            <wp:extent cx="4543425" cy="3540787"/>
            <wp:effectExtent l="0" t="0" r="0" b="2540"/>
            <wp:docPr id="15" name="Picture 15" descr="Figure 3: (A) OS one-piece parametric survival curves for PEM+LEN vs. chemotherapy (B) base case of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3: (A) OS one-piece parametric survival curves for PEM+LEN vs. chemotherapy (B) base case of submis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3770" cy="3580022"/>
                    </a:xfrm>
                    <a:prstGeom prst="rect">
                      <a:avLst/>
                    </a:prstGeom>
                    <a:noFill/>
                  </pic:spPr>
                </pic:pic>
              </a:graphicData>
            </a:graphic>
          </wp:inline>
        </w:drawing>
      </w:r>
      <w:r w:rsidR="0002419F" w:rsidRPr="00ED6EDE">
        <w:rPr>
          <w:noProof/>
          <w:lang w:eastAsia="en-AU"/>
        </w:rPr>
        <w:drawing>
          <wp:inline distT="0" distB="0" distL="0" distR="0" wp14:anchorId="49ABF8EA" wp14:editId="39075BF3">
            <wp:extent cx="4239358" cy="2771775"/>
            <wp:effectExtent l="0" t="0" r="8890" b="0"/>
            <wp:docPr id="18" name="Picture 18" descr="Figure 3: (A) OS one-piece parametric survival curves for PEM+LEN vs. chemotherapy (B) base case of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3: (A) OS one-piece parametric survival curves for PEM+LEN vs. chemotherapy (B) base case of submission"/>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4248568" cy="2777797"/>
                    </a:xfrm>
                    <a:prstGeom prst="rect">
                      <a:avLst/>
                    </a:prstGeom>
                    <a:noFill/>
                    <a:ln>
                      <a:noFill/>
                    </a:ln>
                    <a:extLst>
                      <a:ext uri="{53640926-AAD7-44D8-BBD7-CCE9431645EC}">
                        <a14:shadowObscured xmlns:a14="http://schemas.microsoft.com/office/drawing/2010/main"/>
                      </a:ext>
                    </a:extLst>
                  </pic:spPr>
                </pic:pic>
              </a:graphicData>
            </a:graphic>
          </wp:inline>
        </w:drawing>
      </w:r>
    </w:p>
    <w:p w14:paraId="2FF8D6A4" w14:textId="77777777" w:rsidR="00EB020D" w:rsidRPr="00ED6EDE" w:rsidRDefault="00EB020D" w:rsidP="0069234E">
      <w:pPr>
        <w:pStyle w:val="TableFooter"/>
      </w:pPr>
      <w:r w:rsidRPr="00ED6EDE">
        <w:t>Source: Figure 3.4-1, p147 of the submission.  KM, Kaplan–Meier; OS, overall survival; SoC, standard of care</w:t>
      </w:r>
    </w:p>
    <w:p w14:paraId="699F2565" w14:textId="6FEC9166" w:rsidR="00692EF7" w:rsidRPr="00ED6EDE" w:rsidRDefault="00692EF7" w:rsidP="00EB020D">
      <w:pPr>
        <w:widowControl/>
      </w:pPr>
    </w:p>
    <w:p w14:paraId="67B8C4D2" w14:textId="25A8AB69" w:rsidR="00E32AF2" w:rsidRPr="00ED6EDE" w:rsidRDefault="00E32AF2" w:rsidP="00E32AF2">
      <w:pPr>
        <w:pStyle w:val="ListParagraph"/>
        <w:widowControl/>
        <w:numPr>
          <w:ilvl w:val="1"/>
          <w:numId w:val="2"/>
        </w:numPr>
        <w:rPr>
          <w:iCs/>
        </w:rPr>
      </w:pPr>
      <w:bookmarkStart w:id="48" w:name="_Ref98418555"/>
      <w:r w:rsidRPr="00ED6EDE">
        <w:rPr>
          <w:iCs/>
        </w:rPr>
        <w:t xml:space="preserve">The PSCR  </w:t>
      </w:r>
      <w:r w:rsidR="00221217" w:rsidRPr="00ED6EDE">
        <w:rPr>
          <w:iCs/>
        </w:rPr>
        <w:t xml:space="preserve">reiterated the choice of the </w:t>
      </w:r>
      <w:r w:rsidRPr="00ED6EDE">
        <w:rPr>
          <w:iCs/>
        </w:rPr>
        <w:t xml:space="preserve">log-normal (best visual and statistical fit </w:t>
      </w:r>
      <w:r w:rsidR="007C3941" w:rsidRPr="00ED6EDE">
        <w:rPr>
          <w:iCs/>
        </w:rPr>
        <w:t>for pembrolizumab plus lenvatinib</w:t>
      </w:r>
      <w:r w:rsidRPr="00ED6EDE">
        <w:rPr>
          <w:iCs/>
        </w:rPr>
        <w:t>) and the generalised g</w:t>
      </w:r>
      <w:r w:rsidR="00221217" w:rsidRPr="00ED6EDE">
        <w:rPr>
          <w:iCs/>
        </w:rPr>
        <w:t xml:space="preserve">amma (best visual </w:t>
      </w:r>
      <w:r w:rsidR="007C3941" w:rsidRPr="00ED6EDE">
        <w:rPr>
          <w:iCs/>
        </w:rPr>
        <w:t xml:space="preserve">fit for </w:t>
      </w:r>
      <w:r w:rsidR="004D6FBE" w:rsidRPr="00ED6EDE">
        <w:rPr>
          <w:iCs/>
        </w:rPr>
        <w:t>chemotherapy</w:t>
      </w:r>
      <w:r w:rsidR="00221217" w:rsidRPr="00ED6EDE">
        <w:rPr>
          <w:iCs/>
        </w:rPr>
        <w:t>) functions, stating that using the l</w:t>
      </w:r>
      <w:r w:rsidRPr="00ED6EDE">
        <w:rPr>
          <w:iCs/>
        </w:rPr>
        <w:t xml:space="preserve">og-logistic </w:t>
      </w:r>
      <w:r w:rsidR="00221217" w:rsidRPr="00ED6EDE">
        <w:rPr>
          <w:iCs/>
        </w:rPr>
        <w:t xml:space="preserve">function in the </w:t>
      </w:r>
      <w:r w:rsidR="004D6FBE" w:rsidRPr="00ED6EDE">
        <w:rPr>
          <w:iCs/>
        </w:rPr>
        <w:t xml:space="preserve">chemotherapy </w:t>
      </w:r>
      <w:r w:rsidRPr="00ED6EDE">
        <w:rPr>
          <w:iCs/>
        </w:rPr>
        <w:t>arm</w:t>
      </w:r>
      <w:r w:rsidR="00851E85" w:rsidRPr="00ED6EDE">
        <w:rPr>
          <w:iCs/>
        </w:rPr>
        <w:t xml:space="preserve"> (best statistical fit based on AIC and BIC)</w:t>
      </w:r>
      <w:r w:rsidRPr="00ED6EDE">
        <w:rPr>
          <w:iCs/>
        </w:rPr>
        <w:t xml:space="preserve"> would </w:t>
      </w:r>
      <w:r w:rsidR="00221217" w:rsidRPr="00ED6EDE">
        <w:rPr>
          <w:iCs/>
        </w:rPr>
        <w:t>“</w:t>
      </w:r>
      <w:r w:rsidRPr="00ED6EDE">
        <w:rPr>
          <w:iCs/>
        </w:rPr>
        <w:t xml:space="preserve">result in clinically implausible outcomes, given the well documented poor survival </w:t>
      </w:r>
      <w:r w:rsidR="004D6FBE" w:rsidRPr="00ED6EDE">
        <w:rPr>
          <w:iCs/>
        </w:rPr>
        <w:t>of chemotherapy</w:t>
      </w:r>
      <w:r w:rsidRPr="00ED6EDE">
        <w:rPr>
          <w:iCs/>
        </w:rPr>
        <w:t xml:space="preserve"> patients.”</w:t>
      </w:r>
      <w:r w:rsidR="007B3AD3" w:rsidRPr="00ED6EDE">
        <w:rPr>
          <w:iCs/>
        </w:rPr>
        <w:t xml:space="preserve"> </w:t>
      </w:r>
      <w:r w:rsidR="00CB0CEA" w:rsidRPr="00ED6EDE">
        <w:rPr>
          <w:iCs/>
        </w:rPr>
        <w:t>T</w:t>
      </w:r>
      <w:r w:rsidR="007B3AD3" w:rsidRPr="00ED6EDE">
        <w:rPr>
          <w:iCs/>
        </w:rPr>
        <w:t xml:space="preserve">he ESC noted that the independent modelling of each arm was </w:t>
      </w:r>
      <w:r w:rsidR="00221217" w:rsidRPr="00ED6EDE">
        <w:rPr>
          <w:iCs/>
        </w:rPr>
        <w:t>used</w:t>
      </w:r>
      <w:r w:rsidR="007B3AD3" w:rsidRPr="00ED6EDE">
        <w:rPr>
          <w:iCs/>
        </w:rPr>
        <w:t xml:space="preserve"> in order to model a</w:t>
      </w:r>
      <w:r w:rsidR="00221217" w:rsidRPr="00ED6EDE">
        <w:rPr>
          <w:iCs/>
        </w:rPr>
        <w:t xml:space="preserve"> </w:t>
      </w:r>
      <w:r w:rsidR="007B3AD3" w:rsidRPr="00ED6EDE">
        <w:rPr>
          <w:iCs/>
        </w:rPr>
        <w:t>survival plateau associated with immunotherapy, but considered that such a plateau was not clearly demonstrated in the KN775 trial, given the relatively short duration of follow-up.</w:t>
      </w:r>
      <w:r w:rsidR="00CF14F4" w:rsidRPr="00ED6EDE">
        <w:rPr>
          <w:iCs/>
        </w:rPr>
        <w:t xml:space="preserve"> </w:t>
      </w:r>
      <w:r w:rsidR="00D93422">
        <w:rPr>
          <w:iCs/>
        </w:rPr>
        <w:t xml:space="preserve">The pre-PBAC response </w:t>
      </w:r>
      <w:r w:rsidR="00D93422" w:rsidRPr="00D93422">
        <w:rPr>
          <w:iCs/>
        </w:rPr>
        <w:t>maintained that the original extrapolations provided the most clinically plausible outcomes, but</w:t>
      </w:r>
      <w:r w:rsidR="00D93422">
        <w:rPr>
          <w:iCs/>
        </w:rPr>
        <w:t xml:space="preserve"> </w:t>
      </w:r>
      <w:r w:rsidR="005B05A5">
        <w:rPr>
          <w:iCs/>
        </w:rPr>
        <w:t xml:space="preserve">provided a </w:t>
      </w:r>
      <w:r w:rsidR="00D93422">
        <w:rPr>
          <w:iCs/>
        </w:rPr>
        <w:t xml:space="preserve">revised </w:t>
      </w:r>
      <w:r w:rsidR="005B05A5">
        <w:rPr>
          <w:iCs/>
        </w:rPr>
        <w:t xml:space="preserve">model using the best-fitting </w:t>
      </w:r>
      <w:r w:rsidR="00D93422">
        <w:rPr>
          <w:iCs/>
        </w:rPr>
        <w:t>extrapolation function</w:t>
      </w:r>
      <w:r w:rsidR="005B05A5">
        <w:rPr>
          <w:iCs/>
        </w:rPr>
        <w:t>s for OS (log-normal for pembrolizumab plus lenvatinib; log-logistic for chemotherapy).</w:t>
      </w:r>
      <w:bookmarkEnd w:id="48"/>
      <w:r w:rsidR="00D93422">
        <w:rPr>
          <w:iCs/>
        </w:rPr>
        <w:t xml:space="preserve"> </w:t>
      </w:r>
    </w:p>
    <w:p w14:paraId="1175E033" w14:textId="075D813D" w:rsidR="00647EF6" w:rsidRPr="00ED6EDE" w:rsidRDefault="00647EF6" w:rsidP="00647EF6">
      <w:pPr>
        <w:widowControl/>
        <w:rPr>
          <w:b/>
          <w:iCs/>
          <w:u w:val="single"/>
        </w:rPr>
      </w:pPr>
      <w:r w:rsidRPr="00ED6EDE">
        <w:rPr>
          <w:b/>
          <w:iCs/>
          <w:u w:val="single"/>
        </w:rPr>
        <w:t>Flexible piecewise model</w:t>
      </w:r>
      <w:r w:rsidR="0021152C" w:rsidRPr="00ED6EDE">
        <w:rPr>
          <w:b/>
          <w:iCs/>
          <w:u w:val="single"/>
        </w:rPr>
        <w:t xml:space="preserve"> (alternate base case)</w:t>
      </w:r>
    </w:p>
    <w:p w14:paraId="3752C0F4" w14:textId="6571A0C1" w:rsidR="006C7AE8" w:rsidRPr="00ED6EDE" w:rsidRDefault="00E32AF2" w:rsidP="006C7AE8">
      <w:pPr>
        <w:pStyle w:val="ListParagraph"/>
        <w:widowControl/>
        <w:numPr>
          <w:ilvl w:val="1"/>
          <w:numId w:val="2"/>
        </w:numPr>
        <w:rPr>
          <w:iCs/>
        </w:rPr>
      </w:pPr>
      <w:r w:rsidRPr="00ED6EDE">
        <w:rPr>
          <w:iCs/>
        </w:rPr>
        <w:t>The submission also provided an alternate base-case in which flexible piecewise models were fitted to the data</w:t>
      </w:r>
      <w:r w:rsidR="006C7AE8" w:rsidRPr="00ED6EDE">
        <w:rPr>
          <w:iCs/>
        </w:rPr>
        <w:t>. The submission used a cut-off at Week 26 based on structural changes observed in the Chow tests for OS for the pembr</w:t>
      </w:r>
      <w:r w:rsidR="00B11B16" w:rsidRPr="00ED6EDE">
        <w:rPr>
          <w:iCs/>
        </w:rPr>
        <w:t xml:space="preserve">olizumab plus lenvatinib arm of </w:t>
      </w:r>
      <w:r w:rsidR="006C7AE8" w:rsidRPr="00ED6EDE">
        <w:rPr>
          <w:iCs/>
        </w:rPr>
        <w:t>KN775</w:t>
      </w:r>
      <w:r w:rsidR="00B11B16" w:rsidRPr="00ED6EDE">
        <w:rPr>
          <w:iCs/>
        </w:rPr>
        <w:t xml:space="preserve"> (ITT)</w:t>
      </w:r>
      <w:r w:rsidR="006C7AE8" w:rsidRPr="00ED6EDE">
        <w:rPr>
          <w:iCs/>
        </w:rPr>
        <w:t>.</w:t>
      </w:r>
      <w:r w:rsidR="00B11B16" w:rsidRPr="00ED6EDE">
        <w:rPr>
          <w:iCs/>
        </w:rPr>
        <w:t xml:space="preserve"> </w:t>
      </w:r>
      <w:r w:rsidR="006C7AE8" w:rsidRPr="00ED6EDE">
        <w:rPr>
          <w:iCs/>
        </w:rPr>
        <w:t xml:space="preserve">For consistency, </w:t>
      </w:r>
      <w:r w:rsidR="004D6FBE" w:rsidRPr="00ED6EDE">
        <w:rPr>
          <w:iCs/>
        </w:rPr>
        <w:t>a</w:t>
      </w:r>
      <w:r w:rsidR="006C7AE8" w:rsidRPr="00ED6EDE">
        <w:rPr>
          <w:iCs/>
        </w:rPr>
        <w:t xml:space="preserve"> cut-off at Week 26 was also selected for the chemotherapy arm</w:t>
      </w:r>
      <w:r w:rsidRPr="00ED6EDE">
        <w:rPr>
          <w:iCs/>
        </w:rPr>
        <w:t>.</w:t>
      </w:r>
      <w:r w:rsidR="00B11B16" w:rsidRPr="00ED6EDE">
        <w:rPr>
          <w:iCs/>
        </w:rPr>
        <w:t xml:space="preserve"> </w:t>
      </w:r>
      <w:r w:rsidR="00796AD5" w:rsidRPr="00ED6EDE">
        <w:rPr>
          <w:iCs/>
        </w:rPr>
        <w:t>The ESC considered the selection of Week 26 as the cut-off point was appropriate.</w:t>
      </w:r>
    </w:p>
    <w:p w14:paraId="103065C3" w14:textId="5BE13DCE" w:rsidR="006C7AE8" w:rsidRPr="00ED6EDE" w:rsidRDefault="00682F4C" w:rsidP="006C7AE8">
      <w:pPr>
        <w:pStyle w:val="ListParagraph"/>
        <w:widowControl/>
        <w:numPr>
          <w:ilvl w:val="1"/>
          <w:numId w:val="2"/>
        </w:numPr>
        <w:rPr>
          <w:iCs/>
        </w:rPr>
      </w:pPr>
      <w:r w:rsidRPr="00ED6EDE">
        <w:rPr>
          <w:iCs/>
        </w:rPr>
        <w:t xml:space="preserve">The PSCR updated the </w:t>
      </w:r>
      <w:r w:rsidR="001D1983" w:rsidRPr="00ED6EDE">
        <w:rPr>
          <w:iCs/>
        </w:rPr>
        <w:t>extrapolation function</w:t>
      </w:r>
      <w:r w:rsidR="006C7AE8" w:rsidRPr="00ED6EDE">
        <w:rPr>
          <w:iCs/>
        </w:rPr>
        <w:t>s</w:t>
      </w:r>
      <w:r w:rsidRPr="00ED6EDE">
        <w:rPr>
          <w:iCs/>
        </w:rPr>
        <w:t xml:space="preserve"> </w:t>
      </w:r>
      <w:r w:rsidR="00647EF6" w:rsidRPr="00ED6EDE">
        <w:rPr>
          <w:iCs/>
        </w:rPr>
        <w:t xml:space="preserve">for OS </w:t>
      </w:r>
      <w:r w:rsidRPr="00ED6EDE">
        <w:rPr>
          <w:iCs/>
        </w:rPr>
        <w:t xml:space="preserve">to </w:t>
      </w:r>
      <w:r w:rsidR="001D1983" w:rsidRPr="00ED6EDE">
        <w:rPr>
          <w:iCs/>
        </w:rPr>
        <w:t>th</w:t>
      </w:r>
      <w:r w:rsidR="006C7AE8" w:rsidRPr="00ED6EDE">
        <w:rPr>
          <w:iCs/>
        </w:rPr>
        <w:t>ose with the</w:t>
      </w:r>
      <w:r w:rsidR="001D1983" w:rsidRPr="00ED6EDE">
        <w:rPr>
          <w:iCs/>
        </w:rPr>
        <w:t xml:space="preserve"> </w:t>
      </w:r>
      <w:r w:rsidRPr="00ED6EDE">
        <w:rPr>
          <w:iCs/>
        </w:rPr>
        <w:t>best statistical fit</w:t>
      </w:r>
      <w:r w:rsidR="007C3941" w:rsidRPr="00ED6EDE">
        <w:rPr>
          <w:iCs/>
        </w:rPr>
        <w:t xml:space="preserve"> (based on AIC and BIC)</w:t>
      </w:r>
      <w:r w:rsidR="006C7AE8" w:rsidRPr="00ED6EDE">
        <w:rPr>
          <w:iCs/>
        </w:rPr>
        <w:t>, which were W</w:t>
      </w:r>
      <w:r w:rsidRPr="00ED6EDE">
        <w:rPr>
          <w:iCs/>
        </w:rPr>
        <w:t xml:space="preserve">eibull for </w:t>
      </w:r>
      <w:r w:rsidR="006C7AE8" w:rsidRPr="00ED6EDE">
        <w:rPr>
          <w:iCs/>
        </w:rPr>
        <w:t xml:space="preserve">pembrolizumab plus lenvatinib </w:t>
      </w:r>
      <w:r w:rsidRPr="00ED6EDE">
        <w:rPr>
          <w:iCs/>
        </w:rPr>
        <w:t xml:space="preserve">and </w:t>
      </w:r>
      <w:r w:rsidR="006C7AE8" w:rsidRPr="00ED6EDE">
        <w:rPr>
          <w:iCs/>
        </w:rPr>
        <w:t>e</w:t>
      </w:r>
      <w:r w:rsidRPr="00ED6EDE">
        <w:rPr>
          <w:iCs/>
        </w:rPr>
        <w:t xml:space="preserve">xponential for </w:t>
      </w:r>
      <w:r w:rsidR="004D6FBE" w:rsidRPr="00ED6EDE">
        <w:rPr>
          <w:iCs/>
        </w:rPr>
        <w:t>chemotherapy</w:t>
      </w:r>
      <w:r w:rsidRPr="00ED6EDE">
        <w:rPr>
          <w:iCs/>
        </w:rPr>
        <w:t>.</w:t>
      </w:r>
      <w:r w:rsidR="006C7AE8" w:rsidRPr="00ED6EDE">
        <w:rPr>
          <w:iCs/>
        </w:rPr>
        <w:t xml:space="preserve"> This change </w:t>
      </w:r>
      <w:r w:rsidR="00DC7F28" w:rsidRPr="00ED6EDE">
        <w:rPr>
          <w:iCs/>
        </w:rPr>
        <w:t xml:space="preserve">was conservative </w:t>
      </w:r>
      <w:r w:rsidR="007A7096" w:rsidRPr="00ED6EDE">
        <w:rPr>
          <w:iCs/>
        </w:rPr>
        <w:t xml:space="preserve">(in the PSCR’s analysis which used an ICER threshold of </w:t>
      </w:r>
      <w:r w:rsidR="001E21D6" w:rsidRPr="001E21D6">
        <w:rPr>
          <w:iCs/>
        </w:rPr>
        <w:t>$75,000 to &lt; $95,000</w:t>
      </w:r>
      <w:r w:rsidR="007A7096" w:rsidRPr="00ED6EDE">
        <w:rPr>
          <w:iCs/>
        </w:rPr>
        <w:t xml:space="preserve">/QALY) </w:t>
      </w:r>
      <w:r w:rsidR="005B05A5">
        <w:rPr>
          <w:iCs/>
        </w:rPr>
        <w:t>and</w:t>
      </w:r>
      <w:r w:rsidR="00DC7F28" w:rsidRPr="00ED6EDE">
        <w:rPr>
          <w:iCs/>
        </w:rPr>
        <w:t xml:space="preserve"> </w:t>
      </w:r>
      <w:r w:rsidR="006C7AE8" w:rsidRPr="00ED6EDE">
        <w:rPr>
          <w:iCs/>
        </w:rPr>
        <w:t>meant that the alternate base-case resulted in a lower cost per patient than the one-piece model.</w:t>
      </w:r>
    </w:p>
    <w:p w14:paraId="23473633" w14:textId="26857BD7" w:rsidR="0021152C" w:rsidRPr="00ED6EDE" w:rsidRDefault="0021152C" w:rsidP="006C7AE8">
      <w:pPr>
        <w:pStyle w:val="ListParagraph"/>
        <w:widowControl/>
        <w:numPr>
          <w:ilvl w:val="1"/>
          <w:numId w:val="2"/>
        </w:numPr>
        <w:rPr>
          <w:iCs/>
        </w:rPr>
      </w:pPr>
      <w:r w:rsidRPr="00ED6EDE">
        <w:rPr>
          <w:iCs/>
        </w:rPr>
        <w:t>The figure below compares the piecewise model and the one-piece model using the PSCR extrapolations.</w:t>
      </w:r>
    </w:p>
    <w:p w14:paraId="010BA5A8" w14:textId="18069BA7" w:rsidR="009B41A9" w:rsidRPr="00ED6EDE" w:rsidRDefault="007703B8" w:rsidP="007703B8">
      <w:pPr>
        <w:pStyle w:val="Caption"/>
        <w:keepNext/>
        <w:keepLines/>
        <w:spacing w:after="0"/>
        <w:rPr>
          <w:rFonts w:ascii="Arial Narrow" w:hAnsi="Arial Narrow" w:cstheme="minorHAnsi"/>
          <w:bCs w:val="0"/>
          <w:color w:val="000000" w:themeColor="text1"/>
          <w:sz w:val="20"/>
          <w:szCs w:val="20"/>
        </w:rPr>
      </w:pPr>
      <w:r w:rsidRPr="00ED6EDE">
        <w:rPr>
          <w:rFonts w:ascii="Arial Narrow" w:hAnsi="Arial Narrow" w:cstheme="minorHAnsi"/>
          <w:bCs w:val="0"/>
          <w:color w:val="000000" w:themeColor="text1"/>
          <w:sz w:val="20"/>
          <w:szCs w:val="20"/>
        </w:rPr>
        <w:t xml:space="preserve">Figure </w:t>
      </w:r>
      <w:r w:rsidRPr="00ED6EDE">
        <w:rPr>
          <w:rFonts w:ascii="Arial Narrow" w:hAnsi="Arial Narrow" w:cstheme="minorHAnsi"/>
          <w:bCs w:val="0"/>
          <w:color w:val="000000" w:themeColor="text1"/>
          <w:sz w:val="20"/>
          <w:szCs w:val="20"/>
        </w:rPr>
        <w:fldChar w:fldCharType="begin"/>
      </w:r>
      <w:r w:rsidRPr="00ED6EDE">
        <w:rPr>
          <w:rFonts w:ascii="Arial Narrow" w:hAnsi="Arial Narrow" w:cstheme="minorHAnsi"/>
          <w:bCs w:val="0"/>
          <w:color w:val="000000" w:themeColor="text1"/>
          <w:sz w:val="20"/>
          <w:szCs w:val="20"/>
        </w:rPr>
        <w:instrText xml:space="preserve"> SEQ Figure \* ARABIC </w:instrText>
      </w:r>
      <w:r w:rsidRPr="00ED6EDE">
        <w:rPr>
          <w:rFonts w:ascii="Arial Narrow" w:hAnsi="Arial Narrow" w:cstheme="minorHAnsi"/>
          <w:bCs w:val="0"/>
          <w:color w:val="000000" w:themeColor="text1"/>
          <w:sz w:val="20"/>
          <w:szCs w:val="20"/>
        </w:rPr>
        <w:fldChar w:fldCharType="separate"/>
      </w:r>
      <w:r w:rsidR="004163DD">
        <w:rPr>
          <w:rFonts w:ascii="Arial Narrow" w:hAnsi="Arial Narrow" w:cstheme="minorHAnsi"/>
          <w:bCs w:val="0"/>
          <w:noProof/>
          <w:color w:val="000000" w:themeColor="text1"/>
          <w:sz w:val="20"/>
          <w:szCs w:val="20"/>
        </w:rPr>
        <w:t>4</w:t>
      </w:r>
      <w:r w:rsidRPr="00ED6EDE">
        <w:rPr>
          <w:rFonts w:ascii="Arial Narrow" w:hAnsi="Arial Narrow" w:cstheme="minorHAnsi"/>
          <w:bCs w:val="0"/>
          <w:color w:val="000000" w:themeColor="text1"/>
          <w:sz w:val="20"/>
          <w:szCs w:val="20"/>
        </w:rPr>
        <w:fldChar w:fldCharType="end"/>
      </w:r>
      <w:r w:rsidR="00A2369A" w:rsidRPr="00ED6EDE">
        <w:rPr>
          <w:rFonts w:ascii="Arial Narrow" w:hAnsi="Arial Narrow" w:cstheme="minorHAnsi"/>
          <w:bCs w:val="0"/>
          <w:color w:val="000000" w:themeColor="text1"/>
          <w:sz w:val="20"/>
          <w:szCs w:val="20"/>
        </w:rPr>
        <w:t xml:space="preserve">: Comparison of base case (one-piece) and alternate base case (piecewise) extrapolation </w:t>
      </w:r>
    </w:p>
    <w:p w14:paraId="33341FA9" w14:textId="43706948" w:rsidR="00A2369A" w:rsidRPr="00ED6EDE" w:rsidRDefault="00A2369A" w:rsidP="007703B8">
      <w:pPr>
        <w:keepNext/>
        <w:keepLines/>
        <w:rPr>
          <w:rFonts w:ascii="Arial Narrow" w:hAnsi="Arial Narrow" w:cstheme="minorHAnsi"/>
          <w:b/>
          <w:color w:val="000000" w:themeColor="text1"/>
          <w:sz w:val="20"/>
          <w:szCs w:val="20"/>
        </w:rPr>
      </w:pPr>
      <w:r w:rsidRPr="00ED6EDE">
        <w:rPr>
          <w:rFonts w:ascii="Arial Narrow" w:hAnsi="Arial Narrow" w:cstheme="minorHAnsi"/>
          <w:b/>
          <w:noProof/>
          <w:color w:val="000000" w:themeColor="text1"/>
          <w:sz w:val="20"/>
          <w:szCs w:val="20"/>
          <w:lang w:eastAsia="en-AU"/>
        </w:rPr>
        <w:drawing>
          <wp:inline distT="0" distB="0" distL="0" distR="0" wp14:anchorId="52255A79" wp14:editId="473AD617">
            <wp:extent cx="4781550" cy="3608513"/>
            <wp:effectExtent l="0" t="0" r="0" b="0"/>
            <wp:docPr id="19" name="Picture 19" descr="Figure 4: Comparison of base case (one-piece) and alternate base case (piecewise) extrapo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4: Comparison of base case (one-piece) and alternate base case (piecewise) extrapolat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9566" cy="3614563"/>
                    </a:xfrm>
                    <a:prstGeom prst="rect">
                      <a:avLst/>
                    </a:prstGeom>
                    <a:noFill/>
                  </pic:spPr>
                </pic:pic>
              </a:graphicData>
            </a:graphic>
          </wp:inline>
        </w:drawing>
      </w:r>
    </w:p>
    <w:p w14:paraId="4A83D821" w14:textId="5D85A3E3" w:rsidR="00A2369A" w:rsidRPr="00ED6EDE" w:rsidRDefault="00A2369A" w:rsidP="007703B8">
      <w:pPr>
        <w:keepNext/>
        <w:keepLines/>
        <w:rPr>
          <w:rFonts w:ascii="Arial Narrow" w:hAnsi="Arial Narrow" w:cstheme="minorHAnsi"/>
          <w:color w:val="000000" w:themeColor="text1"/>
          <w:sz w:val="20"/>
          <w:szCs w:val="20"/>
        </w:rPr>
      </w:pPr>
      <w:r w:rsidRPr="00ED6EDE">
        <w:rPr>
          <w:rFonts w:ascii="Arial Narrow" w:hAnsi="Arial Narrow" w:cstheme="minorHAnsi"/>
          <w:color w:val="000000" w:themeColor="text1"/>
          <w:sz w:val="20"/>
          <w:szCs w:val="20"/>
        </w:rPr>
        <w:t>Source: Attachment 3.1 - CEM PEM+LEN previously treated advanced EC_PBAC_Nov21_FINAL_PSCR</w:t>
      </w:r>
    </w:p>
    <w:p w14:paraId="25799DD3" w14:textId="77777777" w:rsidR="00A2369A" w:rsidRPr="00ED6EDE" w:rsidRDefault="00A2369A" w:rsidP="00A2369A">
      <w:pPr>
        <w:rPr>
          <w:rFonts w:asciiTheme="minorHAnsi" w:hAnsiTheme="minorHAnsi" w:cstheme="minorHAnsi"/>
          <w:color w:val="000000" w:themeColor="text1"/>
          <w:szCs w:val="24"/>
        </w:rPr>
      </w:pPr>
    </w:p>
    <w:p w14:paraId="47B48953" w14:textId="2C6D18E2" w:rsidR="00C83D1D" w:rsidRPr="00ED6EDE" w:rsidRDefault="009B41A9" w:rsidP="00C83D1D">
      <w:pPr>
        <w:pStyle w:val="ListParagraph"/>
        <w:numPr>
          <w:ilvl w:val="1"/>
          <w:numId w:val="2"/>
        </w:numPr>
        <w:rPr>
          <w:rFonts w:asciiTheme="minorHAnsi" w:hAnsiTheme="minorHAnsi" w:cstheme="minorHAnsi"/>
          <w:color w:val="000000" w:themeColor="text1"/>
          <w:szCs w:val="24"/>
        </w:rPr>
      </w:pPr>
      <w:r w:rsidRPr="00ED6EDE">
        <w:rPr>
          <w:rFonts w:asciiTheme="minorHAnsi" w:hAnsiTheme="minorHAnsi" w:cstheme="minorHAnsi"/>
          <w:color w:val="000000" w:themeColor="text1"/>
          <w:szCs w:val="24"/>
        </w:rPr>
        <w:t xml:space="preserve">The ESC noted an assumption underpinning the use of piecewise models is that the data within each section is sufficient for robust survival modelling (NICE DSU paper 21, 2020). </w:t>
      </w:r>
      <w:r w:rsidR="00C83D1D" w:rsidRPr="00ED6EDE">
        <w:rPr>
          <w:rFonts w:asciiTheme="minorHAnsi" w:hAnsiTheme="minorHAnsi" w:cstheme="minorHAnsi"/>
          <w:color w:val="000000" w:themeColor="text1"/>
          <w:szCs w:val="24"/>
        </w:rPr>
        <w:t>The ESC noted that</w:t>
      </w:r>
      <w:r w:rsidR="00C574A6" w:rsidRPr="00ED6EDE">
        <w:rPr>
          <w:rFonts w:asciiTheme="minorHAnsi" w:hAnsiTheme="minorHAnsi" w:cstheme="minorHAnsi"/>
          <w:color w:val="000000" w:themeColor="text1"/>
          <w:szCs w:val="24"/>
        </w:rPr>
        <w:t>, in general,</w:t>
      </w:r>
      <w:r w:rsidR="00C83D1D" w:rsidRPr="00ED6EDE">
        <w:rPr>
          <w:rFonts w:asciiTheme="minorHAnsi" w:hAnsiTheme="minorHAnsi" w:cstheme="minorHAnsi"/>
          <w:color w:val="000000" w:themeColor="text1"/>
          <w:szCs w:val="24"/>
        </w:rPr>
        <w:t xml:space="preserve"> splitting a single set of data into sections according to time means that sample sizes are reduced in later segments of the curve, where patient numbers at risk may be small and the number of observed events may be low, which may lead to large standard errors and uncertainty when fitting survival models</w:t>
      </w:r>
      <w:r w:rsidR="00446730" w:rsidRPr="00ED6EDE">
        <w:rPr>
          <w:rFonts w:asciiTheme="minorHAnsi" w:hAnsiTheme="minorHAnsi" w:cstheme="minorHAnsi"/>
          <w:color w:val="000000" w:themeColor="text1"/>
          <w:szCs w:val="24"/>
        </w:rPr>
        <w:t>.</w:t>
      </w:r>
      <w:r w:rsidR="00C83D1D" w:rsidRPr="00ED6EDE">
        <w:rPr>
          <w:rFonts w:asciiTheme="minorHAnsi" w:hAnsiTheme="minorHAnsi" w:cstheme="minorHAnsi"/>
          <w:color w:val="000000" w:themeColor="text1"/>
          <w:szCs w:val="24"/>
        </w:rPr>
        <w:t xml:space="preserve"> The ESC considered that the submission and PSCR had not provided adequate information regarding the sample size, particularly in the second section of the two-piece model with the Weibull function applied.</w:t>
      </w:r>
    </w:p>
    <w:p w14:paraId="6E4472F4" w14:textId="288713B4" w:rsidR="009B41A9" w:rsidRPr="00ED6EDE" w:rsidRDefault="00C83D1D" w:rsidP="00C83D1D">
      <w:pPr>
        <w:pStyle w:val="ListParagraph"/>
        <w:numPr>
          <w:ilvl w:val="1"/>
          <w:numId w:val="2"/>
        </w:numPr>
        <w:rPr>
          <w:rFonts w:asciiTheme="minorHAnsi" w:hAnsiTheme="minorHAnsi" w:cstheme="minorHAnsi"/>
          <w:color w:val="000000" w:themeColor="text1"/>
          <w:szCs w:val="24"/>
        </w:rPr>
      </w:pPr>
      <w:r w:rsidRPr="00ED6EDE">
        <w:rPr>
          <w:rFonts w:asciiTheme="minorHAnsi" w:hAnsiTheme="minorHAnsi" w:cstheme="minorHAnsi"/>
          <w:color w:val="000000" w:themeColor="text1"/>
          <w:szCs w:val="24"/>
        </w:rPr>
        <w:t>In particular, t</w:t>
      </w:r>
      <w:r w:rsidR="009B41A9" w:rsidRPr="00ED6EDE">
        <w:rPr>
          <w:rFonts w:asciiTheme="minorHAnsi" w:hAnsiTheme="minorHAnsi" w:cstheme="minorHAnsi"/>
          <w:color w:val="000000" w:themeColor="text1"/>
          <w:szCs w:val="24"/>
        </w:rPr>
        <w:t xml:space="preserve">he ESC noted that </w:t>
      </w:r>
      <w:r w:rsidR="00392212" w:rsidRPr="00ED6EDE">
        <w:rPr>
          <w:rFonts w:asciiTheme="minorHAnsi" w:hAnsiTheme="minorHAnsi" w:cstheme="minorHAnsi"/>
          <w:color w:val="000000" w:themeColor="text1"/>
          <w:szCs w:val="24"/>
        </w:rPr>
        <w:t>the</w:t>
      </w:r>
      <w:r w:rsidR="009B41A9" w:rsidRPr="00ED6EDE">
        <w:rPr>
          <w:rFonts w:asciiTheme="minorHAnsi" w:hAnsiTheme="minorHAnsi" w:cstheme="minorHAnsi"/>
          <w:color w:val="000000" w:themeColor="text1"/>
          <w:szCs w:val="24"/>
        </w:rPr>
        <w:t xml:space="preserve"> piecewise extrapolation result</w:t>
      </w:r>
      <w:r w:rsidR="00392212" w:rsidRPr="00ED6EDE">
        <w:rPr>
          <w:rFonts w:asciiTheme="minorHAnsi" w:hAnsiTheme="minorHAnsi" w:cstheme="minorHAnsi"/>
          <w:color w:val="000000" w:themeColor="text1"/>
          <w:szCs w:val="24"/>
        </w:rPr>
        <w:t>ed</w:t>
      </w:r>
      <w:r w:rsidR="009B41A9" w:rsidRPr="00ED6EDE">
        <w:rPr>
          <w:rFonts w:asciiTheme="minorHAnsi" w:hAnsiTheme="minorHAnsi" w:cstheme="minorHAnsi"/>
          <w:color w:val="000000" w:themeColor="text1"/>
          <w:szCs w:val="24"/>
        </w:rPr>
        <w:t xml:space="preserve"> in additional weight being attached to the tail of the Kaplan-Meier data i.e., the extrapolation is more sensitive to survival data informed by low</w:t>
      </w:r>
      <w:r w:rsidR="005D3238" w:rsidRPr="00ED6EDE">
        <w:rPr>
          <w:rFonts w:asciiTheme="minorHAnsi" w:hAnsiTheme="minorHAnsi" w:cstheme="minorHAnsi"/>
          <w:color w:val="000000" w:themeColor="text1"/>
          <w:szCs w:val="24"/>
        </w:rPr>
        <w:t>er</w:t>
      </w:r>
      <w:r w:rsidR="009B41A9" w:rsidRPr="00ED6EDE">
        <w:rPr>
          <w:rFonts w:asciiTheme="minorHAnsi" w:hAnsiTheme="minorHAnsi" w:cstheme="minorHAnsi"/>
          <w:color w:val="000000" w:themeColor="text1"/>
          <w:szCs w:val="24"/>
        </w:rPr>
        <w:t xml:space="preserve"> patient numbers. </w:t>
      </w:r>
    </w:p>
    <w:p w14:paraId="073675AE" w14:textId="0F784EBB" w:rsidR="00647EF6" w:rsidRPr="00ED6EDE" w:rsidRDefault="009B41A9" w:rsidP="005D3238">
      <w:pPr>
        <w:pStyle w:val="ListParagraph"/>
        <w:widowControl/>
        <w:numPr>
          <w:ilvl w:val="1"/>
          <w:numId w:val="2"/>
        </w:numPr>
        <w:rPr>
          <w:rFonts w:asciiTheme="minorHAnsi" w:hAnsiTheme="minorHAnsi" w:cstheme="minorHAnsi"/>
          <w:color w:val="000000" w:themeColor="text1"/>
          <w:szCs w:val="24"/>
        </w:rPr>
      </w:pPr>
      <w:r w:rsidRPr="00ED6EDE">
        <w:rPr>
          <w:rFonts w:asciiTheme="minorHAnsi" w:hAnsiTheme="minorHAnsi" w:cstheme="minorHAnsi"/>
          <w:iCs/>
          <w:color w:val="000000" w:themeColor="text1"/>
          <w:szCs w:val="24"/>
        </w:rPr>
        <w:t xml:space="preserve">The submission stated </w:t>
      </w:r>
      <w:r w:rsidR="0021152C" w:rsidRPr="00ED6EDE">
        <w:rPr>
          <w:rFonts w:asciiTheme="minorHAnsi" w:hAnsiTheme="minorHAnsi" w:cstheme="minorHAnsi"/>
          <w:iCs/>
          <w:color w:val="000000" w:themeColor="text1"/>
          <w:szCs w:val="24"/>
        </w:rPr>
        <w:t>the</w:t>
      </w:r>
      <w:r w:rsidRPr="00ED6EDE">
        <w:rPr>
          <w:rFonts w:asciiTheme="minorHAnsi" w:hAnsiTheme="minorHAnsi" w:cstheme="minorHAnsi"/>
          <w:iCs/>
          <w:color w:val="000000" w:themeColor="text1"/>
          <w:szCs w:val="24"/>
        </w:rPr>
        <w:t xml:space="preserve"> piecewise approach was selected to represent an assumed plateau in survival</w:t>
      </w:r>
      <w:r w:rsidR="00666F3D" w:rsidRPr="00ED6EDE">
        <w:rPr>
          <w:rFonts w:asciiTheme="minorHAnsi" w:hAnsiTheme="minorHAnsi" w:cstheme="minorHAnsi"/>
          <w:iCs/>
          <w:color w:val="000000" w:themeColor="text1"/>
          <w:szCs w:val="24"/>
        </w:rPr>
        <w:t xml:space="preserve">. </w:t>
      </w:r>
      <w:r w:rsidRPr="00ED6EDE">
        <w:rPr>
          <w:rFonts w:asciiTheme="minorHAnsi" w:hAnsiTheme="minorHAnsi" w:cstheme="minorHAnsi"/>
          <w:iCs/>
          <w:color w:val="000000" w:themeColor="text1"/>
          <w:szCs w:val="24"/>
        </w:rPr>
        <w:t>However</w:t>
      </w:r>
      <w:r w:rsidRPr="00ED6EDE">
        <w:rPr>
          <w:rFonts w:asciiTheme="minorHAnsi" w:hAnsiTheme="minorHAnsi" w:cstheme="minorHAnsi"/>
          <w:color w:val="000000" w:themeColor="text1"/>
          <w:szCs w:val="24"/>
        </w:rPr>
        <w:t xml:space="preserve">, </w:t>
      </w:r>
      <w:r w:rsidR="005D3238" w:rsidRPr="00ED6EDE">
        <w:rPr>
          <w:rFonts w:asciiTheme="minorHAnsi" w:hAnsiTheme="minorHAnsi" w:cstheme="minorHAnsi"/>
          <w:color w:val="000000" w:themeColor="text1"/>
          <w:szCs w:val="24"/>
        </w:rPr>
        <w:t xml:space="preserve">the </w:t>
      </w:r>
      <w:r w:rsidRPr="00ED6EDE">
        <w:rPr>
          <w:rFonts w:asciiTheme="minorHAnsi" w:hAnsiTheme="minorHAnsi" w:cstheme="minorHAnsi"/>
          <w:color w:val="000000" w:themeColor="text1"/>
          <w:szCs w:val="24"/>
        </w:rPr>
        <w:t>ESC considered</w:t>
      </w:r>
      <w:r w:rsidR="005B0865" w:rsidRPr="00ED6EDE">
        <w:rPr>
          <w:rFonts w:asciiTheme="minorHAnsi" w:hAnsiTheme="minorHAnsi" w:cstheme="minorHAnsi"/>
          <w:color w:val="000000" w:themeColor="text1"/>
          <w:szCs w:val="24"/>
        </w:rPr>
        <w:t xml:space="preserve"> that</w:t>
      </w:r>
      <w:r w:rsidRPr="00ED6EDE">
        <w:rPr>
          <w:rFonts w:asciiTheme="minorHAnsi" w:hAnsiTheme="minorHAnsi" w:cstheme="minorHAnsi"/>
          <w:color w:val="000000" w:themeColor="text1"/>
          <w:szCs w:val="24"/>
        </w:rPr>
        <w:t xml:space="preserve"> </w:t>
      </w:r>
      <w:r w:rsidRPr="00ED6EDE">
        <w:rPr>
          <w:rFonts w:asciiTheme="minorHAnsi" w:hAnsiTheme="minorHAnsi" w:cstheme="minorHAnsi"/>
          <w:iCs/>
          <w:color w:val="000000" w:themeColor="text1"/>
          <w:szCs w:val="24"/>
        </w:rPr>
        <w:t>modelling a survival plateau may not be supported by the clinical evidence presented in the submission</w:t>
      </w:r>
      <w:r w:rsidR="00647EF6" w:rsidRPr="00ED6EDE">
        <w:rPr>
          <w:rFonts w:asciiTheme="minorHAnsi" w:hAnsiTheme="minorHAnsi" w:cstheme="minorHAnsi"/>
          <w:iCs/>
          <w:color w:val="000000" w:themeColor="text1"/>
          <w:szCs w:val="24"/>
        </w:rPr>
        <w:t xml:space="preserve"> given the </w:t>
      </w:r>
      <w:r w:rsidR="005D3238" w:rsidRPr="00ED6EDE">
        <w:rPr>
          <w:rFonts w:asciiTheme="minorHAnsi" w:hAnsiTheme="minorHAnsi" w:cstheme="minorHAnsi"/>
          <w:iCs/>
          <w:color w:val="000000" w:themeColor="text1"/>
          <w:szCs w:val="24"/>
        </w:rPr>
        <w:t>relatively short duration of follow-up and immature OS data</w:t>
      </w:r>
      <w:r w:rsidRPr="00ED6EDE">
        <w:rPr>
          <w:rFonts w:asciiTheme="minorHAnsi" w:hAnsiTheme="minorHAnsi" w:cstheme="minorHAnsi"/>
          <w:iCs/>
          <w:color w:val="000000" w:themeColor="text1"/>
          <w:szCs w:val="24"/>
        </w:rPr>
        <w:t xml:space="preserve">. </w:t>
      </w:r>
    </w:p>
    <w:p w14:paraId="21D40829" w14:textId="0AB10282" w:rsidR="00020E37" w:rsidRPr="00ED6EDE" w:rsidRDefault="00020E37" w:rsidP="00A062E7">
      <w:pPr>
        <w:pStyle w:val="ListParagraph"/>
        <w:widowControl/>
        <w:numPr>
          <w:ilvl w:val="1"/>
          <w:numId w:val="2"/>
        </w:numPr>
        <w:rPr>
          <w:iCs/>
        </w:rPr>
      </w:pPr>
      <w:r w:rsidRPr="00ED6EDE">
        <w:fldChar w:fldCharType="begin"/>
      </w:r>
      <w:r w:rsidRPr="00ED6EDE">
        <w:instrText xml:space="preserve"> REF _Ref90030761 \h  \* MERGEFORMAT </w:instrText>
      </w:r>
      <w:r w:rsidRPr="00ED6EDE">
        <w:fldChar w:fldCharType="separate"/>
      </w:r>
      <w:r w:rsidR="004163DD" w:rsidRPr="004163DD">
        <w:t>Table 10</w:t>
      </w:r>
      <w:r w:rsidRPr="00ED6EDE">
        <w:fldChar w:fldCharType="end"/>
      </w:r>
      <w:r w:rsidRPr="00ED6EDE">
        <w:t xml:space="preserve"> presents </w:t>
      </w:r>
      <w:r w:rsidR="00BE7066" w:rsidRPr="00ED6EDE">
        <w:t xml:space="preserve">the </w:t>
      </w:r>
      <w:r w:rsidRPr="00ED6EDE">
        <w:t>key drivers of the model</w:t>
      </w:r>
      <w:r w:rsidR="000071F2">
        <w:t xml:space="preserve"> presented in the submission</w:t>
      </w:r>
      <w:r w:rsidR="00BE7066" w:rsidRPr="00ED6EDE">
        <w:rPr>
          <w:iCs/>
        </w:rPr>
        <w:t>.</w:t>
      </w:r>
    </w:p>
    <w:p w14:paraId="5E49E10A" w14:textId="77E4355D" w:rsidR="00020E37" w:rsidRPr="00ED6EDE" w:rsidRDefault="00020E37" w:rsidP="002B41AA">
      <w:pPr>
        <w:keepNext/>
        <w:keepLines/>
        <w:rPr>
          <w:rStyle w:val="CommentReference"/>
        </w:rPr>
      </w:pPr>
      <w:bookmarkStart w:id="49" w:name="_Ref90030761"/>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10</w:t>
      </w:r>
      <w:r w:rsidRPr="00ED6EDE">
        <w:rPr>
          <w:rStyle w:val="CommentReference"/>
        </w:rPr>
        <w:fldChar w:fldCharType="end"/>
      </w:r>
      <w:bookmarkEnd w:id="49"/>
      <w:r w:rsidR="00B71009" w:rsidRPr="00ED6EDE">
        <w:rPr>
          <w:rStyle w:val="CommentReference"/>
        </w:rPr>
        <w:t xml:space="preserve">: Key drivers of the </w:t>
      </w:r>
      <w:r w:rsidR="005D5573">
        <w:rPr>
          <w:rStyle w:val="CommentReference"/>
        </w:rPr>
        <w:t xml:space="preserve">submission’s </w:t>
      </w:r>
      <w:r w:rsidR="00B71009" w:rsidRPr="00ED6EDE">
        <w:rPr>
          <w:rStyle w:val="CommentReference"/>
        </w:rPr>
        <w:t>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6"/>
        <w:gridCol w:w="3402"/>
        <w:gridCol w:w="4059"/>
      </w:tblGrid>
      <w:tr w:rsidR="00B11D08" w:rsidRPr="00ED6EDE" w14:paraId="343F6224" w14:textId="77777777" w:rsidTr="000071F2">
        <w:trPr>
          <w:tblHeader/>
        </w:trPr>
        <w:tc>
          <w:tcPr>
            <w:tcW w:w="862" w:type="pct"/>
            <w:shd w:val="clear" w:color="auto" w:fill="auto"/>
            <w:vAlign w:val="center"/>
          </w:tcPr>
          <w:p w14:paraId="534B15CC" w14:textId="77777777" w:rsidR="00020E37" w:rsidRPr="00ED6EDE" w:rsidRDefault="00020E37" w:rsidP="002B41AA">
            <w:pPr>
              <w:pStyle w:val="Tabletext"/>
              <w:keepNext/>
              <w:keepLines/>
              <w:rPr>
                <w:b/>
              </w:rPr>
            </w:pPr>
            <w:r w:rsidRPr="00ED6EDE">
              <w:rPr>
                <w:b/>
              </w:rPr>
              <w:t>Description</w:t>
            </w:r>
          </w:p>
        </w:tc>
        <w:tc>
          <w:tcPr>
            <w:tcW w:w="1886" w:type="pct"/>
            <w:shd w:val="clear" w:color="auto" w:fill="auto"/>
            <w:vAlign w:val="center"/>
          </w:tcPr>
          <w:p w14:paraId="029012CC" w14:textId="0BD0FCC4" w:rsidR="00020E37" w:rsidRPr="00ED6EDE" w:rsidRDefault="00020E37" w:rsidP="002B41AA">
            <w:pPr>
              <w:pStyle w:val="Tabletext"/>
              <w:keepNext/>
              <w:keepLines/>
              <w:jc w:val="center"/>
              <w:rPr>
                <w:b/>
              </w:rPr>
            </w:pPr>
            <w:r w:rsidRPr="00ED6EDE">
              <w:rPr>
                <w:b/>
              </w:rPr>
              <w:t>Method/Value</w:t>
            </w:r>
            <w:r w:rsidR="00F63C03">
              <w:rPr>
                <w:b/>
              </w:rPr>
              <w:t xml:space="preserve"> in submission base case</w:t>
            </w:r>
          </w:p>
        </w:tc>
        <w:tc>
          <w:tcPr>
            <w:tcW w:w="2251" w:type="pct"/>
            <w:shd w:val="clear" w:color="auto" w:fill="auto"/>
            <w:vAlign w:val="center"/>
          </w:tcPr>
          <w:p w14:paraId="6C2DCDDC" w14:textId="44DB7CD7" w:rsidR="00020E37" w:rsidRPr="00ED6EDE" w:rsidRDefault="00020E37" w:rsidP="00B71009">
            <w:pPr>
              <w:pStyle w:val="Tabletext"/>
              <w:keepNext/>
              <w:keepLines/>
              <w:jc w:val="center"/>
              <w:rPr>
                <w:b/>
              </w:rPr>
            </w:pPr>
            <w:r w:rsidRPr="00ED6EDE">
              <w:rPr>
                <w:b/>
              </w:rPr>
              <w:t>Impact</w:t>
            </w:r>
            <w:r w:rsidR="007B3AD3" w:rsidRPr="00ED6EDE">
              <w:rPr>
                <w:b/>
              </w:rPr>
              <w:t xml:space="preserve"> on one-piece model</w:t>
            </w:r>
          </w:p>
        </w:tc>
      </w:tr>
      <w:tr w:rsidR="00B11D08" w:rsidRPr="00ED6EDE" w14:paraId="41FB31C2" w14:textId="77777777" w:rsidTr="000071F2">
        <w:tc>
          <w:tcPr>
            <w:tcW w:w="862" w:type="pct"/>
            <w:shd w:val="clear" w:color="auto" w:fill="auto"/>
            <w:vAlign w:val="center"/>
          </w:tcPr>
          <w:p w14:paraId="7EA4DB29" w14:textId="77777777" w:rsidR="00020E37" w:rsidRPr="00ED6EDE" w:rsidRDefault="00020E37" w:rsidP="002B41AA">
            <w:pPr>
              <w:pStyle w:val="Tabletext"/>
              <w:keepNext/>
              <w:keepLines/>
            </w:pPr>
            <w:r w:rsidRPr="00ED6EDE">
              <w:t>Extrapolation</w:t>
            </w:r>
          </w:p>
        </w:tc>
        <w:tc>
          <w:tcPr>
            <w:tcW w:w="1886" w:type="pct"/>
            <w:shd w:val="clear" w:color="auto" w:fill="auto"/>
            <w:vAlign w:val="center"/>
          </w:tcPr>
          <w:p w14:paraId="1578BD2B" w14:textId="560E09C6" w:rsidR="00020E37" w:rsidRPr="00ED6EDE" w:rsidRDefault="00020E37" w:rsidP="005B05A5">
            <w:pPr>
              <w:pStyle w:val="Tabletext"/>
              <w:keepNext/>
              <w:keepLines/>
            </w:pPr>
            <w:r w:rsidRPr="00ED6EDE">
              <w:t>Parametric functions were fitted to the trial data to extrapolate respective survival curves to the model time horizon. In the base case analysis</w:t>
            </w:r>
            <w:r w:rsidR="004D6FBE" w:rsidRPr="00ED6EDE">
              <w:t xml:space="preserve"> of the submission</w:t>
            </w:r>
            <w:r w:rsidRPr="00ED6EDE">
              <w:t>, 7</w:t>
            </w:r>
            <w:r w:rsidR="00DD6389" w:rsidRPr="00ED6EDE">
              <w:t>4.7</w:t>
            </w:r>
            <w:r w:rsidRPr="00ED6EDE">
              <w:t>% of the incremental QALYs and 1</w:t>
            </w:r>
            <w:r w:rsidR="00DD6389" w:rsidRPr="00ED6EDE">
              <w:t>1.4</w:t>
            </w:r>
            <w:r w:rsidRPr="00ED6EDE">
              <w:t xml:space="preserve">% of incremental costs were generated beyond year 2 (i.e. the approximate extrapolation time point for OS). </w:t>
            </w:r>
          </w:p>
        </w:tc>
        <w:tc>
          <w:tcPr>
            <w:tcW w:w="2251" w:type="pct"/>
            <w:shd w:val="clear" w:color="auto" w:fill="auto"/>
            <w:vAlign w:val="center"/>
          </w:tcPr>
          <w:p w14:paraId="53FDC51B" w14:textId="097C27DB" w:rsidR="00020E37" w:rsidRPr="000071F2" w:rsidRDefault="00020E37" w:rsidP="002B41AA">
            <w:pPr>
              <w:pStyle w:val="Tabletext"/>
              <w:keepNext/>
              <w:keepLines/>
            </w:pPr>
            <w:r w:rsidRPr="000071F2">
              <w:t>High, favours pembrolizumab</w:t>
            </w:r>
            <w:r w:rsidR="00FD3D93" w:rsidRPr="000071F2">
              <w:t xml:space="preserve"> +</w:t>
            </w:r>
            <w:r w:rsidRPr="000071F2">
              <w:t xml:space="preserve"> lenvatinib.</w:t>
            </w:r>
          </w:p>
          <w:p w14:paraId="39E930A0" w14:textId="0C506C10" w:rsidR="00020E37" w:rsidRPr="00ED6EDE" w:rsidRDefault="00020E37" w:rsidP="00F63C03">
            <w:pPr>
              <w:pStyle w:val="Tabletext"/>
              <w:keepNext/>
              <w:keepLines/>
            </w:pPr>
            <w:r w:rsidRPr="000071F2">
              <w:t>In the base case, if the chemotherapy arm extrapolation employed the best fitting parametric curve, the ICER would increase by 1</w:t>
            </w:r>
            <w:r w:rsidR="00B71009" w:rsidRPr="000071F2">
              <w:t>6</w:t>
            </w:r>
            <w:r w:rsidRPr="000071F2">
              <w:t>%.</w:t>
            </w:r>
            <w:r w:rsidR="000071F2">
              <w:t xml:space="preserve"> The pre-PBAC response proposed a revised base case that used the best-fitting parametric curves.</w:t>
            </w:r>
          </w:p>
        </w:tc>
      </w:tr>
      <w:tr w:rsidR="00B11D08" w:rsidRPr="00ED6EDE" w14:paraId="28B3CDE0" w14:textId="77777777" w:rsidTr="000071F2">
        <w:tc>
          <w:tcPr>
            <w:tcW w:w="862" w:type="pct"/>
            <w:shd w:val="clear" w:color="auto" w:fill="auto"/>
            <w:vAlign w:val="center"/>
          </w:tcPr>
          <w:p w14:paraId="5CB0ABD4" w14:textId="77777777" w:rsidR="00020E37" w:rsidRPr="00ED6EDE" w:rsidRDefault="00020E37" w:rsidP="002B41AA">
            <w:pPr>
              <w:pStyle w:val="Tabletext"/>
              <w:keepNext/>
              <w:keepLines/>
            </w:pPr>
            <w:r w:rsidRPr="00ED6EDE">
              <w:t>Time horizon</w:t>
            </w:r>
          </w:p>
        </w:tc>
        <w:tc>
          <w:tcPr>
            <w:tcW w:w="1886" w:type="pct"/>
            <w:shd w:val="clear" w:color="auto" w:fill="auto"/>
            <w:vAlign w:val="center"/>
          </w:tcPr>
          <w:p w14:paraId="00BCC161" w14:textId="4D06B368" w:rsidR="00020E37" w:rsidRPr="00ED6EDE" w:rsidRDefault="00020E37" w:rsidP="00F63C03">
            <w:pPr>
              <w:pStyle w:val="Tabletext"/>
              <w:keepNext/>
              <w:keepLines/>
            </w:pPr>
            <w:r w:rsidRPr="00ED6EDE">
              <w:t>10 years</w:t>
            </w:r>
            <w:r w:rsidR="00F63C03">
              <w:t xml:space="preserve"> in the submission.</w:t>
            </w:r>
          </w:p>
        </w:tc>
        <w:tc>
          <w:tcPr>
            <w:tcW w:w="2251" w:type="pct"/>
            <w:shd w:val="clear" w:color="auto" w:fill="auto"/>
            <w:vAlign w:val="center"/>
          </w:tcPr>
          <w:p w14:paraId="64536626" w14:textId="4B7B443D" w:rsidR="00020E37" w:rsidRPr="00ED6EDE" w:rsidRDefault="00020E37" w:rsidP="002B41AA">
            <w:pPr>
              <w:pStyle w:val="Tabletext"/>
              <w:keepNext/>
              <w:keepLines/>
            </w:pPr>
            <w:r w:rsidRPr="00ED6EDE">
              <w:t xml:space="preserve">High, favours pembrolizumab </w:t>
            </w:r>
            <w:r w:rsidR="00FD3D93" w:rsidRPr="00ED6EDE">
              <w:t xml:space="preserve">+ </w:t>
            </w:r>
            <w:r w:rsidRPr="00ED6EDE">
              <w:t>lenvatinib.</w:t>
            </w:r>
          </w:p>
          <w:p w14:paraId="6E82BDAF" w14:textId="550513B2" w:rsidR="00020E37" w:rsidRPr="00ED6EDE" w:rsidRDefault="00020E37" w:rsidP="005D5573">
            <w:pPr>
              <w:pStyle w:val="Tabletext"/>
              <w:keepNext/>
              <w:keepLines/>
            </w:pPr>
            <w:r w:rsidRPr="00ED6EDE">
              <w:t xml:space="preserve">Reducing time horizon to 5 years increases ICER </w:t>
            </w:r>
            <w:r w:rsidR="00B71009" w:rsidRPr="00ED6EDE">
              <w:t>by 31%</w:t>
            </w:r>
            <w:r w:rsidR="000071F2">
              <w:t>. The pre-PBAC response revised the time horizon to 5 years.</w:t>
            </w:r>
          </w:p>
        </w:tc>
      </w:tr>
      <w:tr w:rsidR="000C5E2C" w:rsidRPr="00ED6EDE" w14:paraId="4B4DD339" w14:textId="77777777" w:rsidTr="000071F2">
        <w:tc>
          <w:tcPr>
            <w:tcW w:w="862" w:type="pct"/>
            <w:shd w:val="clear" w:color="auto" w:fill="auto"/>
            <w:vAlign w:val="center"/>
          </w:tcPr>
          <w:p w14:paraId="2BA3FF59" w14:textId="35AECD40" w:rsidR="0011017F" w:rsidRPr="00ED6EDE" w:rsidRDefault="0011017F" w:rsidP="002B41AA">
            <w:pPr>
              <w:pStyle w:val="Tabletext"/>
              <w:keepNext/>
              <w:keepLines/>
            </w:pPr>
            <w:r w:rsidRPr="00ED6EDE">
              <w:t>Time on pembrolizumab treatment truncation</w:t>
            </w:r>
          </w:p>
        </w:tc>
        <w:tc>
          <w:tcPr>
            <w:tcW w:w="1886" w:type="pct"/>
            <w:shd w:val="clear" w:color="auto" w:fill="auto"/>
            <w:vAlign w:val="center"/>
          </w:tcPr>
          <w:p w14:paraId="4D87C04A" w14:textId="10CC2429" w:rsidR="0011017F" w:rsidRPr="00ED6EDE" w:rsidRDefault="00B11D08" w:rsidP="002B41AA">
            <w:pPr>
              <w:pStyle w:val="Tabletext"/>
              <w:keepNext/>
              <w:keepLines/>
            </w:pPr>
            <w:r w:rsidRPr="00ED6EDE">
              <w:t xml:space="preserve">2 years, consistent with requested restriction but not KN775. </w:t>
            </w:r>
          </w:p>
        </w:tc>
        <w:tc>
          <w:tcPr>
            <w:tcW w:w="2251" w:type="pct"/>
            <w:shd w:val="clear" w:color="auto" w:fill="auto"/>
            <w:vAlign w:val="center"/>
          </w:tcPr>
          <w:p w14:paraId="6BE8B13E" w14:textId="217C0C5F" w:rsidR="0011017F" w:rsidRPr="00ED6EDE" w:rsidRDefault="0011017F" w:rsidP="00B71009">
            <w:pPr>
              <w:pStyle w:val="Tabletext"/>
              <w:keepNext/>
              <w:keepLines/>
            </w:pPr>
            <w:r w:rsidRPr="00ED6EDE">
              <w:t xml:space="preserve">Moderate to high, favours pembrolizumab lenvatinib. Removing truncation increases the ICER </w:t>
            </w:r>
            <w:r w:rsidR="00B71009" w:rsidRPr="00ED6EDE">
              <w:t xml:space="preserve">by </w:t>
            </w:r>
            <w:r w:rsidRPr="00ED6EDE">
              <w:rPr>
                <w:iCs/>
              </w:rPr>
              <w:t>14%</w:t>
            </w:r>
          </w:p>
        </w:tc>
      </w:tr>
    </w:tbl>
    <w:p w14:paraId="14EDC20D" w14:textId="77777777" w:rsidR="00020E37" w:rsidRPr="00ED6EDE" w:rsidRDefault="00020E37" w:rsidP="002B41AA">
      <w:pPr>
        <w:pStyle w:val="TableFooter"/>
        <w:keepNext/>
        <w:keepLines/>
      </w:pPr>
      <w:r w:rsidRPr="00ED6EDE">
        <w:t xml:space="preserve">Source: pp134-139 of the submission. </w:t>
      </w:r>
    </w:p>
    <w:p w14:paraId="003A1EA1" w14:textId="77777777" w:rsidR="00020E37" w:rsidRPr="00ED6EDE" w:rsidRDefault="00020E37" w:rsidP="00020E37">
      <w:pPr>
        <w:pStyle w:val="TableFooter"/>
      </w:pPr>
    </w:p>
    <w:p w14:paraId="49430980" w14:textId="0FC350F9" w:rsidR="00647EF6" w:rsidRPr="00ED6EDE" w:rsidRDefault="00647EF6" w:rsidP="002520EB">
      <w:pPr>
        <w:pStyle w:val="ListParagraph"/>
        <w:widowControl/>
        <w:numPr>
          <w:ilvl w:val="1"/>
          <w:numId w:val="2"/>
        </w:numPr>
      </w:pPr>
      <w:r w:rsidRPr="00ED6EDE">
        <w:t>The submission used a 10 year time horizon, which was shortened to 8 years in the PSCR</w:t>
      </w:r>
      <w:r w:rsidR="005D5573">
        <w:t xml:space="preserve">. The PSCR stated that these time horizons were supported by “the magnitude of OS gain observed in KN775, the longer term sustained benefit observed in KN158, and the durable response observed with immunotherapies”. However, the ESC considered that a 5 year time horizon may be more appropriate given the aforementioned uncertainties with the extrapolation and also given the population of pMMR patients in the second- or later-line setting. The </w:t>
      </w:r>
      <w:r w:rsidR="0075115D">
        <w:t xml:space="preserve">revised analysis in the </w:t>
      </w:r>
      <w:r w:rsidR="005D5573">
        <w:t>pre-PBAC response applied a 5 year time horizon.</w:t>
      </w:r>
      <w:r w:rsidR="005B05A5">
        <w:t xml:space="preserve"> </w:t>
      </w:r>
    </w:p>
    <w:p w14:paraId="6683CC36" w14:textId="3319A7FF" w:rsidR="00020E37" w:rsidRPr="00ED6EDE" w:rsidRDefault="007B6978" w:rsidP="007B6978">
      <w:pPr>
        <w:pStyle w:val="ListParagraph"/>
        <w:widowControl/>
        <w:numPr>
          <w:ilvl w:val="1"/>
          <w:numId w:val="2"/>
        </w:numPr>
      </w:pPr>
      <w:r w:rsidRPr="00ED6EDE">
        <w:t>The submission conducted an analysis based on published list prices which resulted in an ICER of</w:t>
      </w:r>
      <w:r w:rsidR="00C04EE6">
        <w:t xml:space="preserve"> $155,000 to &lt;$255,000</w:t>
      </w:r>
      <w:r w:rsidRPr="00ED6EDE">
        <w:t xml:space="preserve"> /QALY, </w:t>
      </w:r>
      <w:r w:rsidR="005D5573">
        <w:t xml:space="preserve">however this does not </w:t>
      </w:r>
      <w:r w:rsidRPr="00ED6EDE">
        <w:t>accurate</w:t>
      </w:r>
      <w:r w:rsidR="005D5573">
        <w:t xml:space="preserve">ly reflect the ICER </w:t>
      </w:r>
      <w:r w:rsidRPr="00ED6EDE">
        <w:t xml:space="preserve">once effective prices are used. Thus </w:t>
      </w:r>
      <w:r w:rsidR="00020E37" w:rsidRPr="00ED6EDE">
        <w:fldChar w:fldCharType="begin"/>
      </w:r>
      <w:r w:rsidR="00020E37" w:rsidRPr="00ED6EDE">
        <w:instrText xml:space="preserve"> REF _Ref90047996 \h  \* MERGEFORMAT </w:instrText>
      </w:r>
      <w:r w:rsidR="00020E37" w:rsidRPr="00ED6EDE">
        <w:fldChar w:fldCharType="separate"/>
      </w:r>
      <w:r w:rsidR="004163DD" w:rsidRPr="004163DD">
        <w:t>Table 11</w:t>
      </w:r>
      <w:r w:rsidR="00020E37" w:rsidRPr="00ED6EDE">
        <w:fldChar w:fldCharType="end"/>
      </w:r>
      <w:r w:rsidR="00D440AA">
        <w:t xml:space="preserve"> and </w:t>
      </w:r>
      <w:r w:rsidR="00D440AA">
        <w:fldChar w:fldCharType="begin"/>
      </w:r>
      <w:r w:rsidR="00D440AA">
        <w:instrText xml:space="preserve"> REF _Ref90031259 \h  \* MERGEFORMAT </w:instrText>
      </w:r>
      <w:r w:rsidR="00D440AA">
        <w:fldChar w:fldCharType="separate"/>
      </w:r>
      <w:r w:rsidR="004163DD" w:rsidRPr="004163DD">
        <w:t>Table 12</w:t>
      </w:r>
      <w:r w:rsidR="00D440AA">
        <w:fldChar w:fldCharType="end"/>
      </w:r>
      <w:r w:rsidR="00D440AA">
        <w:t xml:space="preserve"> pres</w:t>
      </w:r>
      <w:r w:rsidR="00020E37" w:rsidRPr="00ED6EDE">
        <w:t>ent</w:t>
      </w:r>
      <w:r w:rsidR="00020E37" w:rsidRPr="00ED6EDE">
        <w:rPr>
          <w:color w:val="000000" w:themeColor="text1"/>
        </w:rPr>
        <w:t xml:space="preserve"> the results of the economic </w:t>
      </w:r>
      <w:r w:rsidR="00020E37" w:rsidRPr="00ED6EDE">
        <w:t>evaluation</w:t>
      </w:r>
      <w:r w:rsidR="00202DC5" w:rsidRPr="00ED6EDE">
        <w:t xml:space="preserve"> using </w:t>
      </w:r>
      <w:r w:rsidRPr="00ED6EDE">
        <w:t xml:space="preserve">the net cost per patient to achieve an ICER of </w:t>
      </w:r>
      <w:r w:rsidR="001E21D6" w:rsidRPr="001E21D6">
        <w:t>$75,000 to &lt; $95,000</w:t>
      </w:r>
      <w:r w:rsidRPr="00ED6EDE">
        <w:t>/QALY gained</w:t>
      </w:r>
      <w:r w:rsidR="00D440AA">
        <w:t xml:space="preserve">. These tables are </w:t>
      </w:r>
      <w:r w:rsidR="005D5573">
        <w:t>based on the</w:t>
      </w:r>
      <w:r w:rsidR="005D5573" w:rsidRPr="005D5573">
        <w:rPr>
          <w:color w:val="000000" w:themeColor="text1"/>
        </w:rPr>
        <w:t xml:space="preserve"> </w:t>
      </w:r>
      <w:r w:rsidR="00D440AA">
        <w:rPr>
          <w:color w:val="000000" w:themeColor="text1"/>
        </w:rPr>
        <w:t xml:space="preserve">revised scenario proposed in the </w:t>
      </w:r>
      <w:r w:rsidR="005D5573">
        <w:rPr>
          <w:color w:val="000000" w:themeColor="text1"/>
        </w:rPr>
        <w:t>pre-PBAC response</w:t>
      </w:r>
      <w:r w:rsidR="005D5573" w:rsidRPr="00ED6EDE">
        <w:rPr>
          <w:color w:val="000000" w:themeColor="text1"/>
        </w:rPr>
        <w:t xml:space="preserve"> </w:t>
      </w:r>
      <w:r w:rsidR="00D440AA">
        <w:rPr>
          <w:color w:val="000000" w:themeColor="text1"/>
        </w:rPr>
        <w:t xml:space="preserve">which incorporated a 5 year time horizon, </w:t>
      </w:r>
      <w:r w:rsidR="007866D9">
        <w:rPr>
          <w:color w:val="000000" w:themeColor="text1"/>
        </w:rPr>
        <w:t xml:space="preserve">a </w:t>
      </w:r>
      <w:r w:rsidR="001E21D6" w:rsidRPr="001E21D6">
        <w:rPr>
          <w:color w:val="000000" w:themeColor="text1"/>
        </w:rPr>
        <w:t>$75,000 to &lt; $95,000</w:t>
      </w:r>
      <w:r w:rsidR="00D440AA">
        <w:rPr>
          <w:color w:val="000000" w:themeColor="text1"/>
        </w:rPr>
        <w:t xml:space="preserve">/QALY threshold and use of </w:t>
      </w:r>
      <w:r w:rsidR="007866D9">
        <w:rPr>
          <w:color w:val="000000" w:themeColor="text1"/>
        </w:rPr>
        <w:t xml:space="preserve">the </w:t>
      </w:r>
      <w:r w:rsidR="00D440AA">
        <w:rPr>
          <w:color w:val="000000" w:themeColor="text1"/>
        </w:rPr>
        <w:t>best-fitting parametric curves (</w:t>
      </w:r>
      <w:r w:rsidR="007866D9">
        <w:rPr>
          <w:color w:val="000000" w:themeColor="text1"/>
        </w:rPr>
        <w:t xml:space="preserve">i.e. updating </w:t>
      </w:r>
      <w:r w:rsidR="00D440AA">
        <w:rPr>
          <w:color w:val="000000" w:themeColor="text1"/>
        </w:rPr>
        <w:t xml:space="preserve">the chemotherapy arm </w:t>
      </w:r>
      <w:r w:rsidR="007866D9">
        <w:rPr>
          <w:color w:val="000000" w:themeColor="text1"/>
        </w:rPr>
        <w:t>extrapolation to log-logistic in t</w:t>
      </w:r>
      <w:r w:rsidR="00D440AA">
        <w:rPr>
          <w:color w:val="000000" w:themeColor="text1"/>
        </w:rPr>
        <w:t xml:space="preserve">he one-piece </w:t>
      </w:r>
      <w:r w:rsidR="007866D9">
        <w:rPr>
          <w:color w:val="000000" w:themeColor="text1"/>
        </w:rPr>
        <w:t>model</w:t>
      </w:r>
      <w:r w:rsidR="00D440AA">
        <w:rPr>
          <w:color w:val="000000" w:themeColor="text1"/>
        </w:rPr>
        <w:t xml:space="preserve">). </w:t>
      </w:r>
      <w:r w:rsidR="00D440AA" w:rsidRPr="00ED6EDE">
        <w:fldChar w:fldCharType="begin"/>
      </w:r>
      <w:r w:rsidR="00D440AA" w:rsidRPr="00ED6EDE">
        <w:instrText xml:space="preserve"> REF _Ref90047996 \h  \* MERGEFORMAT </w:instrText>
      </w:r>
      <w:r w:rsidR="00D440AA" w:rsidRPr="00ED6EDE">
        <w:fldChar w:fldCharType="separate"/>
      </w:r>
      <w:r w:rsidR="004163DD" w:rsidRPr="004163DD">
        <w:t>Table 11</w:t>
      </w:r>
      <w:r w:rsidR="00D440AA" w:rsidRPr="00ED6EDE">
        <w:fldChar w:fldCharType="end"/>
      </w:r>
      <w:r w:rsidR="00D440AA">
        <w:t xml:space="preserve"> presents the </w:t>
      </w:r>
      <w:r w:rsidR="00D440AA">
        <w:rPr>
          <w:color w:val="000000" w:themeColor="text1"/>
        </w:rPr>
        <w:t xml:space="preserve">revised </w:t>
      </w:r>
      <w:r w:rsidR="005D5573" w:rsidRPr="00ED6EDE">
        <w:rPr>
          <w:color w:val="000000" w:themeColor="text1"/>
        </w:rPr>
        <w:t>base case (one-piece</w:t>
      </w:r>
      <w:r w:rsidR="005D5573">
        <w:rPr>
          <w:color w:val="000000" w:themeColor="text1"/>
        </w:rPr>
        <w:t xml:space="preserve"> extrapolation</w:t>
      </w:r>
      <w:r w:rsidR="005D5573" w:rsidRPr="00ED6EDE">
        <w:rPr>
          <w:color w:val="000000" w:themeColor="text1"/>
        </w:rPr>
        <w:t>)</w:t>
      </w:r>
      <w:r w:rsidR="00D440AA">
        <w:rPr>
          <w:color w:val="000000" w:themeColor="text1"/>
        </w:rPr>
        <w:t xml:space="preserve"> while </w:t>
      </w:r>
      <w:r w:rsidR="00D440AA">
        <w:fldChar w:fldCharType="begin"/>
      </w:r>
      <w:r w:rsidR="00D440AA">
        <w:instrText xml:space="preserve"> REF _Ref90031259 \h  \* MERGEFORMAT </w:instrText>
      </w:r>
      <w:r w:rsidR="00D440AA">
        <w:fldChar w:fldCharType="separate"/>
      </w:r>
      <w:r w:rsidR="004163DD" w:rsidRPr="004163DD">
        <w:t>Table 12</w:t>
      </w:r>
      <w:r w:rsidR="00D440AA">
        <w:fldChar w:fldCharType="end"/>
      </w:r>
      <w:r w:rsidR="00D440AA">
        <w:t xml:space="preserve"> pres</w:t>
      </w:r>
      <w:r w:rsidR="00D440AA" w:rsidRPr="00ED6EDE">
        <w:t>ent</w:t>
      </w:r>
      <w:r w:rsidR="00D440AA">
        <w:t xml:space="preserve">s </w:t>
      </w:r>
      <w:r w:rsidR="00D440AA" w:rsidRPr="00ED6EDE">
        <w:t>the alternative base case economic evaluation (piecewise extrapolations)</w:t>
      </w:r>
      <w:r w:rsidR="00020E37" w:rsidRPr="00ED6EDE">
        <w:t xml:space="preserve">. </w:t>
      </w:r>
    </w:p>
    <w:p w14:paraId="693E2EB9" w14:textId="52F91D21" w:rsidR="00020E37" w:rsidRPr="00ED6EDE" w:rsidRDefault="00020E37" w:rsidP="00C1034D">
      <w:pPr>
        <w:keepNext/>
        <w:keepLines/>
        <w:rPr>
          <w:rStyle w:val="CommentReference"/>
        </w:rPr>
      </w:pPr>
      <w:bookmarkStart w:id="50" w:name="_Ref90047996"/>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11</w:t>
      </w:r>
      <w:r w:rsidRPr="00ED6EDE">
        <w:rPr>
          <w:rStyle w:val="CommentReference"/>
        </w:rPr>
        <w:fldChar w:fldCharType="end"/>
      </w:r>
      <w:bookmarkEnd w:id="50"/>
      <w:r w:rsidRPr="00ED6EDE">
        <w:rPr>
          <w:rStyle w:val="CommentReference"/>
        </w:rPr>
        <w:t>: Results of the economic evaluation</w:t>
      </w:r>
      <w:r w:rsidR="004064AA" w:rsidRPr="00ED6EDE">
        <w:rPr>
          <w:rStyle w:val="CommentReference"/>
        </w:rPr>
        <w:t xml:space="preserve"> (base case</w:t>
      </w:r>
      <w:r w:rsidRPr="00ED6EDE">
        <w:rPr>
          <w:rStyle w:val="CommentReference"/>
        </w:rPr>
        <w:t>)</w:t>
      </w:r>
      <w:r w:rsidR="004064AA" w:rsidRPr="00ED6EDE">
        <w:rPr>
          <w:rStyle w:val="CommentReference"/>
        </w:rPr>
        <w:t xml:space="preserve"> presented in the </w:t>
      </w:r>
      <w:r w:rsidR="002834BD">
        <w:rPr>
          <w:rStyle w:val="CommentReference"/>
        </w:rPr>
        <w:t>pre-PBAC response</w:t>
      </w:r>
      <w:r w:rsidR="004064AA" w:rsidRPr="00ED6EDE">
        <w:rPr>
          <w:rStyle w:val="CommentReference"/>
        </w:rPr>
        <w:t xml:space="preserve"> to achieve</w:t>
      </w:r>
      <w:r w:rsidR="002D7F4E">
        <w:rPr>
          <w:rStyle w:val="CommentReference"/>
        </w:rPr>
        <w:t xml:space="preserve"> an</w:t>
      </w:r>
      <w:r w:rsidR="004064AA" w:rsidRPr="00ED6EDE">
        <w:rPr>
          <w:rStyle w:val="CommentReference"/>
        </w:rPr>
        <w:t xml:space="preserve"> ICER of $</w:t>
      </w:r>
      <w:r w:rsidR="001E21D6" w:rsidRPr="001E21D6">
        <w:rPr>
          <w:rFonts w:ascii="Arial Narrow" w:hAnsi="Arial Narrow"/>
          <w:b/>
          <w:sz w:val="20"/>
          <w:szCs w:val="16"/>
        </w:rPr>
        <w:t>75,000 to &lt; $95,000</w:t>
      </w:r>
      <w:r w:rsidR="004064AA" w:rsidRPr="00ED6EDE">
        <w:rPr>
          <w:rStyle w:val="CommentReference"/>
        </w:rPr>
        <w:t>/QALY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020E37" w:rsidRPr="00ED6EDE" w14:paraId="499260C8" w14:textId="77777777" w:rsidTr="008B4550">
        <w:trPr>
          <w:tblHeader/>
        </w:trPr>
        <w:tc>
          <w:tcPr>
            <w:tcW w:w="1529" w:type="pct"/>
            <w:vAlign w:val="center"/>
          </w:tcPr>
          <w:p w14:paraId="119359C2" w14:textId="77777777" w:rsidR="00020E37" w:rsidRPr="00ED6EDE" w:rsidRDefault="00020E37" w:rsidP="00C1034D">
            <w:pPr>
              <w:pStyle w:val="Tabletext"/>
              <w:keepNext/>
              <w:keepLines/>
              <w:rPr>
                <w:b/>
              </w:rPr>
            </w:pPr>
            <w:r w:rsidRPr="00ED6EDE">
              <w:rPr>
                <w:b/>
              </w:rPr>
              <w:t>Component</w:t>
            </w:r>
          </w:p>
        </w:tc>
        <w:tc>
          <w:tcPr>
            <w:tcW w:w="1359" w:type="pct"/>
            <w:tcBorders>
              <w:bottom w:val="single" w:sz="4" w:space="0" w:color="auto"/>
            </w:tcBorders>
            <w:vAlign w:val="center"/>
          </w:tcPr>
          <w:p w14:paraId="5CE72631" w14:textId="77777777" w:rsidR="00020E37" w:rsidRPr="00ED6EDE" w:rsidRDefault="00020E37" w:rsidP="00C1034D">
            <w:pPr>
              <w:pStyle w:val="Tabletext"/>
              <w:keepNext/>
              <w:keepLines/>
              <w:jc w:val="center"/>
              <w:rPr>
                <w:b/>
              </w:rPr>
            </w:pPr>
            <w:r w:rsidRPr="00ED6EDE">
              <w:rPr>
                <w:b/>
              </w:rPr>
              <w:t>PEM + LEN</w:t>
            </w:r>
          </w:p>
        </w:tc>
        <w:tc>
          <w:tcPr>
            <w:tcW w:w="1274" w:type="pct"/>
            <w:vAlign w:val="center"/>
          </w:tcPr>
          <w:p w14:paraId="2AB100EA" w14:textId="0D60A4BD" w:rsidR="00020E37" w:rsidRPr="00ED6EDE" w:rsidRDefault="00020E37" w:rsidP="00C1034D">
            <w:pPr>
              <w:pStyle w:val="Tabletext"/>
              <w:keepNext/>
              <w:keepLines/>
              <w:jc w:val="center"/>
              <w:rPr>
                <w:b/>
              </w:rPr>
            </w:pPr>
            <w:r w:rsidRPr="00ED6EDE">
              <w:rPr>
                <w:b/>
              </w:rPr>
              <w:t>Chemo</w:t>
            </w:r>
          </w:p>
        </w:tc>
        <w:tc>
          <w:tcPr>
            <w:tcW w:w="838" w:type="pct"/>
            <w:tcBorders>
              <w:bottom w:val="single" w:sz="4" w:space="0" w:color="auto"/>
            </w:tcBorders>
            <w:vAlign w:val="center"/>
          </w:tcPr>
          <w:p w14:paraId="637CE60D" w14:textId="77777777" w:rsidR="00020E37" w:rsidRPr="00ED6EDE" w:rsidRDefault="00020E37" w:rsidP="00C1034D">
            <w:pPr>
              <w:pStyle w:val="Tabletext"/>
              <w:keepNext/>
              <w:keepLines/>
              <w:jc w:val="center"/>
              <w:rPr>
                <w:b/>
              </w:rPr>
            </w:pPr>
            <w:r w:rsidRPr="00ED6EDE">
              <w:rPr>
                <w:b/>
              </w:rPr>
              <w:t>Increment</w:t>
            </w:r>
          </w:p>
        </w:tc>
      </w:tr>
      <w:tr w:rsidR="002834BD" w:rsidRPr="00ED6EDE" w14:paraId="0B633D8E" w14:textId="77777777" w:rsidTr="008B4550">
        <w:tc>
          <w:tcPr>
            <w:tcW w:w="1529" w:type="pct"/>
            <w:vAlign w:val="center"/>
          </w:tcPr>
          <w:p w14:paraId="0F97AD41" w14:textId="294949F9" w:rsidR="002834BD" w:rsidRPr="00ED6EDE" w:rsidRDefault="002834BD" w:rsidP="002834BD">
            <w:pPr>
              <w:pStyle w:val="Tabletext"/>
              <w:keepNext/>
              <w:keepLines/>
              <w:rPr>
                <w:rFonts w:ascii="Times" w:hAnsi="Times"/>
              </w:rPr>
            </w:pPr>
            <w:r w:rsidRPr="00ED6EDE">
              <w:t>Costs</w:t>
            </w:r>
            <w:r w:rsidR="005230FE">
              <w:t xml:space="preserve"> (</w:t>
            </w:r>
            <w:r w:rsidR="00545EED">
              <w:t>$</w:t>
            </w:r>
            <w:r w:rsidR="005230FE">
              <w:t>)</w:t>
            </w:r>
          </w:p>
        </w:tc>
        <w:tc>
          <w:tcPr>
            <w:tcW w:w="1359" w:type="pct"/>
            <w:tcBorders>
              <w:top w:val="single" w:sz="4" w:space="0" w:color="auto"/>
              <w:left w:val="single" w:sz="4" w:space="0" w:color="auto"/>
              <w:bottom w:val="single" w:sz="4" w:space="0" w:color="auto"/>
              <w:right w:val="single" w:sz="4" w:space="0" w:color="auto"/>
            </w:tcBorders>
            <w:shd w:val="solid" w:color="000000" w:fill="000000"/>
            <w:vAlign w:val="bottom"/>
          </w:tcPr>
          <w:p w14:paraId="48DE4CDC" w14:textId="21DFF35D" w:rsidR="002834BD" w:rsidRPr="005230FE" w:rsidRDefault="008B4550" w:rsidP="002834BD">
            <w:pPr>
              <w:pStyle w:val="Tabletext"/>
              <w:keepNext/>
              <w:keepLines/>
              <w:jc w:val="center"/>
              <w:rPr>
                <w:highlight w:val="yellow"/>
              </w:rPr>
            </w:pPr>
            <w:r w:rsidRPr="008B4550">
              <w:rPr>
                <w:color w:val="000000"/>
                <w14:textFill>
                  <w14:solidFill>
                    <w14:srgbClr w14:val="000000">
                      <w14:alpha w14:val="100000"/>
                    </w14:srgbClr>
                  </w14:solidFill>
                </w14:textFill>
              </w:rPr>
              <w:t>|</w:t>
            </w:r>
          </w:p>
        </w:tc>
        <w:tc>
          <w:tcPr>
            <w:tcW w:w="1274" w:type="pct"/>
            <w:tcBorders>
              <w:top w:val="single" w:sz="4" w:space="0" w:color="auto"/>
              <w:left w:val="nil"/>
              <w:bottom w:val="single" w:sz="4" w:space="0" w:color="auto"/>
              <w:right w:val="single" w:sz="4" w:space="0" w:color="auto"/>
            </w:tcBorders>
            <w:shd w:val="clear" w:color="auto" w:fill="auto"/>
            <w:vAlign w:val="bottom"/>
          </w:tcPr>
          <w:p w14:paraId="1337813F" w14:textId="44929346" w:rsidR="002834BD" w:rsidRPr="005230FE" w:rsidRDefault="002834BD" w:rsidP="002834BD">
            <w:pPr>
              <w:pStyle w:val="Tabletext"/>
              <w:keepNext/>
              <w:keepLines/>
              <w:jc w:val="center"/>
              <w:rPr>
                <w:highlight w:val="yellow"/>
              </w:rPr>
            </w:pPr>
            <w:r w:rsidRPr="001E21D6">
              <w:t>$55,923</w:t>
            </w:r>
          </w:p>
        </w:tc>
        <w:tc>
          <w:tcPr>
            <w:tcW w:w="838" w:type="pct"/>
            <w:tcBorders>
              <w:top w:val="single" w:sz="4" w:space="0" w:color="auto"/>
              <w:left w:val="nil"/>
              <w:bottom w:val="single" w:sz="4" w:space="0" w:color="auto"/>
              <w:right w:val="single" w:sz="4" w:space="0" w:color="auto"/>
            </w:tcBorders>
            <w:shd w:val="solid" w:color="000000" w:fill="000000"/>
            <w:vAlign w:val="bottom"/>
          </w:tcPr>
          <w:p w14:paraId="536601E3" w14:textId="417CD737" w:rsidR="002834BD" w:rsidRPr="005230FE" w:rsidRDefault="008B4550" w:rsidP="002834BD">
            <w:pPr>
              <w:pStyle w:val="Tabletext"/>
              <w:keepNext/>
              <w:keepLines/>
              <w:jc w:val="center"/>
              <w:rPr>
                <w:highlight w:val="yellow"/>
              </w:rPr>
            </w:pPr>
            <w:r w:rsidRPr="008B4550">
              <w:rPr>
                <w:color w:val="000000"/>
                <w14:textFill>
                  <w14:solidFill>
                    <w14:srgbClr w14:val="000000">
                      <w14:alpha w14:val="100000"/>
                    </w14:srgbClr>
                  </w14:solidFill>
                </w14:textFill>
              </w:rPr>
              <w:t>|</w:t>
            </w:r>
          </w:p>
        </w:tc>
      </w:tr>
      <w:tr w:rsidR="002834BD" w:rsidRPr="00ED6EDE" w14:paraId="4F0D654D" w14:textId="77777777" w:rsidTr="002834BD">
        <w:tc>
          <w:tcPr>
            <w:tcW w:w="1529" w:type="pct"/>
            <w:vAlign w:val="center"/>
          </w:tcPr>
          <w:p w14:paraId="793D2D20" w14:textId="7BA0FF6D" w:rsidR="002834BD" w:rsidRPr="00ED6EDE" w:rsidRDefault="002834BD" w:rsidP="002834BD">
            <w:pPr>
              <w:pStyle w:val="Tabletext"/>
              <w:keepNext/>
              <w:keepLines/>
            </w:pPr>
            <w:r w:rsidRPr="00ED6EDE">
              <w:t>L</w:t>
            </w:r>
            <w:r w:rsidR="002E73AE">
              <w:t>Y</w:t>
            </w:r>
            <w:r w:rsidRPr="00ED6EDE">
              <w:t>s</w:t>
            </w:r>
          </w:p>
        </w:tc>
        <w:tc>
          <w:tcPr>
            <w:tcW w:w="1359" w:type="pct"/>
            <w:shd w:val="clear" w:color="auto" w:fill="auto"/>
            <w:vAlign w:val="bottom"/>
          </w:tcPr>
          <w:p w14:paraId="3AF91BD6" w14:textId="7E2B09D0" w:rsidR="002834BD" w:rsidRPr="00D7116C" w:rsidRDefault="002834BD" w:rsidP="002834BD">
            <w:pPr>
              <w:pStyle w:val="Tabletext"/>
              <w:keepNext/>
              <w:keepLines/>
              <w:jc w:val="center"/>
            </w:pPr>
            <w:r w:rsidRPr="00D7116C">
              <w:t>2.01</w:t>
            </w:r>
          </w:p>
        </w:tc>
        <w:tc>
          <w:tcPr>
            <w:tcW w:w="1274" w:type="pct"/>
            <w:shd w:val="clear" w:color="auto" w:fill="auto"/>
            <w:vAlign w:val="bottom"/>
          </w:tcPr>
          <w:p w14:paraId="01ADBA49" w14:textId="0DF1C74D" w:rsidR="002834BD" w:rsidRPr="00D7116C" w:rsidRDefault="002834BD" w:rsidP="002834BD">
            <w:pPr>
              <w:pStyle w:val="Tabletext"/>
              <w:keepNext/>
              <w:keepLines/>
              <w:jc w:val="center"/>
            </w:pPr>
            <w:r w:rsidRPr="00D7116C">
              <w:t>1.32</w:t>
            </w:r>
          </w:p>
        </w:tc>
        <w:tc>
          <w:tcPr>
            <w:tcW w:w="838" w:type="pct"/>
            <w:shd w:val="clear" w:color="auto" w:fill="auto"/>
            <w:vAlign w:val="bottom"/>
          </w:tcPr>
          <w:p w14:paraId="00D03852" w14:textId="51D08D19" w:rsidR="002834BD" w:rsidRPr="00D7116C" w:rsidRDefault="002834BD" w:rsidP="002834BD">
            <w:pPr>
              <w:pStyle w:val="Tabletext"/>
              <w:keepNext/>
              <w:keepLines/>
              <w:jc w:val="center"/>
            </w:pPr>
            <w:r w:rsidRPr="00D7116C">
              <w:t>0.70</w:t>
            </w:r>
          </w:p>
        </w:tc>
      </w:tr>
      <w:tr w:rsidR="002834BD" w:rsidRPr="00ED6EDE" w14:paraId="2643BDB3" w14:textId="77777777" w:rsidTr="002834BD">
        <w:tc>
          <w:tcPr>
            <w:tcW w:w="1529" w:type="pct"/>
            <w:vAlign w:val="center"/>
          </w:tcPr>
          <w:p w14:paraId="4FF41EB2" w14:textId="77777777" w:rsidR="002834BD" w:rsidRPr="00ED6EDE" w:rsidRDefault="002834BD" w:rsidP="002834BD">
            <w:pPr>
              <w:pStyle w:val="Tabletext"/>
              <w:keepNext/>
              <w:keepLines/>
              <w:rPr>
                <w:rFonts w:ascii="Times" w:hAnsi="Times"/>
              </w:rPr>
            </w:pPr>
            <w:r w:rsidRPr="00ED6EDE">
              <w:t>QALYs</w:t>
            </w:r>
          </w:p>
        </w:tc>
        <w:tc>
          <w:tcPr>
            <w:tcW w:w="1359" w:type="pct"/>
            <w:shd w:val="clear" w:color="auto" w:fill="auto"/>
            <w:vAlign w:val="bottom"/>
          </w:tcPr>
          <w:p w14:paraId="634A76B1" w14:textId="67934624" w:rsidR="002834BD" w:rsidRPr="00D7116C" w:rsidRDefault="002834BD" w:rsidP="002834BD">
            <w:pPr>
              <w:pStyle w:val="Tabletext"/>
              <w:keepNext/>
              <w:keepLines/>
              <w:jc w:val="center"/>
            </w:pPr>
            <w:r w:rsidRPr="00D7116C">
              <w:t>1.45</w:t>
            </w:r>
          </w:p>
        </w:tc>
        <w:tc>
          <w:tcPr>
            <w:tcW w:w="1274" w:type="pct"/>
            <w:shd w:val="clear" w:color="auto" w:fill="auto"/>
            <w:vAlign w:val="bottom"/>
          </w:tcPr>
          <w:p w14:paraId="3AB850F3" w14:textId="6EBEB4BF" w:rsidR="002834BD" w:rsidRPr="00D7116C" w:rsidRDefault="002834BD" w:rsidP="002834BD">
            <w:pPr>
              <w:pStyle w:val="Tabletext"/>
              <w:keepNext/>
              <w:keepLines/>
              <w:jc w:val="center"/>
            </w:pPr>
            <w:r w:rsidRPr="00D7116C">
              <w:t>0.94</w:t>
            </w:r>
          </w:p>
        </w:tc>
        <w:tc>
          <w:tcPr>
            <w:tcW w:w="838" w:type="pct"/>
            <w:shd w:val="clear" w:color="auto" w:fill="auto"/>
            <w:vAlign w:val="bottom"/>
          </w:tcPr>
          <w:p w14:paraId="4C063C4A" w14:textId="2E56ADD1" w:rsidR="002834BD" w:rsidRPr="00D7116C" w:rsidRDefault="002834BD" w:rsidP="002834BD">
            <w:pPr>
              <w:pStyle w:val="Tabletext"/>
              <w:keepNext/>
              <w:keepLines/>
              <w:jc w:val="center"/>
            </w:pPr>
            <w:r w:rsidRPr="00D7116C">
              <w:t>0.50</w:t>
            </w:r>
          </w:p>
        </w:tc>
      </w:tr>
      <w:tr w:rsidR="00020E37" w:rsidRPr="00ED6EDE" w14:paraId="644B85D9" w14:textId="77777777" w:rsidTr="008B4550">
        <w:tc>
          <w:tcPr>
            <w:tcW w:w="4162" w:type="pct"/>
            <w:gridSpan w:val="3"/>
            <w:vAlign w:val="center"/>
          </w:tcPr>
          <w:p w14:paraId="0FD13533" w14:textId="0C442DB3" w:rsidR="00020E37" w:rsidRPr="00ED6EDE" w:rsidRDefault="00020E37" w:rsidP="005D5573">
            <w:pPr>
              <w:pStyle w:val="Tabletext"/>
              <w:keepNext/>
              <w:keepLines/>
              <w:rPr>
                <w:rFonts w:ascii="Times" w:hAnsi="Times"/>
                <w:b/>
              </w:rPr>
            </w:pPr>
            <w:r w:rsidRPr="00ED6EDE">
              <w:rPr>
                <w:b/>
              </w:rPr>
              <w:t>Incremental cost/extra QALY gained (base case</w:t>
            </w:r>
            <w:r w:rsidR="006F2A55" w:rsidRPr="00ED6EDE">
              <w:rPr>
                <w:b/>
              </w:rPr>
              <w:t xml:space="preserve"> in </w:t>
            </w:r>
            <w:r w:rsidR="005D5573">
              <w:rPr>
                <w:b/>
              </w:rPr>
              <w:t>pre-PBAC response</w:t>
            </w:r>
            <w:r w:rsidRPr="00ED6EDE">
              <w:rPr>
                <w:b/>
              </w:rPr>
              <w:t>)</w:t>
            </w:r>
            <w:r w:rsidR="005230FE">
              <w:rPr>
                <w:b/>
              </w:rPr>
              <w:t xml:space="preserve"> ($)</w:t>
            </w:r>
          </w:p>
        </w:tc>
        <w:tc>
          <w:tcPr>
            <w:tcW w:w="838" w:type="pct"/>
            <w:tcBorders>
              <w:bottom w:val="single" w:sz="4" w:space="0" w:color="auto"/>
            </w:tcBorders>
            <w:vAlign w:val="center"/>
          </w:tcPr>
          <w:p w14:paraId="67F2AFB4" w14:textId="18538CB5" w:rsidR="00020E37" w:rsidRPr="005230FE" w:rsidRDefault="008B4550" w:rsidP="002834BD">
            <w:pPr>
              <w:pStyle w:val="Tabletext"/>
              <w:keepNext/>
              <w:keepLines/>
              <w:jc w:val="center"/>
              <w:rPr>
                <w:b/>
                <w:highlight w:val="yellow"/>
              </w:rPr>
            </w:pPr>
            <w:r w:rsidRPr="008B4550">
              <w:rPr>
                <w:b/>
                <w:color w:val="000000"/>
                <w:shd w:val="solid" w:color="000000" w:fill="000000"/>
                <w14:textFill>
                  <w14:solidFill>
                    <w14:srgbClr w14:val="000000">
                      <w14:alpha w14:val="100000"/>
                    </w14:srgbClr>
                  </w14:solidFill>
                </w14:textFill>
              </w:rPr>
              <w:t>|</w:t>
            </w:r>
            <w:r w:rsidR="00D21992" w:rsidRPr="00D21992">
              <w:rPr>
                <w:b/>
                <w:bCs/>
                <w:vertAlign w:val="superscript"/>
              </w:rPr>
              <w:t>1</w:t>
            </w:r>
          </w:p>
        </w:tc>
      </w:tr>
      <w:tr w:rsidR="006F2A55" w:rsidRPr="00ED6EDE" w14:paraId="6A261D19" w14:textId="77777777" w:rsidTr="008B4550">
        <w:tc>
          <w:tcPr>
            <w:tcW w:w="4162" w:type="pct"/>
            <w:gridSpan w:val="3"/>
            <w:vAlign w:val="center"/>
          </w:tcPr>
          <w:p w14:paraId="04E792EE" w14:textId="098655CE" w:rsidR="006F2A55" w:rsidRPr="00ED6EDE" w:rsidRDefault="00956C32" w:rsidP="00C1034D">
            <w:pPr>
              <w:pStyle w:val="Tabletext"/>
              <w:keepNext/>
              <w:keepLines/>
              <w:rPr>
                <w:b/>
              </w:rPr>
            </w:pPr>
            <w:r w:rsidRPr="00ED6EDE">
              <w:rPr>
                <w:b/>
              </w:rPr>
              <w:t>Net cost per patient (undiscounted)</w:t>
            </w:r>
            <w:r w:rsidR="005D5573">
              <w:rPr>
                <w:b/>
              </w:rPr>
              <w:t xml:space="preserve"> proposed in pre-PBAC response</w:t>
            </w:r>
            <w:r w:rsidR="005230FE">
              <w:rPr>
                <w:b/>
              </w:rPr>
              <w:t xml:space="preserve"> ($)</w:t>
            </w:r>
          </w:p>
        </w:tc>
        <w:tc>
          <w:tcPr>
            <w:tcW w:w="838" w:type="pct"/>
            <w:tcBorders>
              <w:bottom w:val="single" w:sz="4" w:space="0" w:color="auto"/>
            </w:tcBorders>
            <w:shd w:val="solid" w:color="000000" w:fill="000000"/>
            <w:vAlign w:val="center"/>
          </w:tcPr>
          <w:p w14:paraId="42FC7520" w14:textId="7B620E5D" w:rsidR="006F2A55" w:rsidRPr="005230FE" w:rsidRDefault="008B4550" w:rsidP="00C31868">
            <w:pPr>
              <w:widowControl/>
              <w:jc w:val="center"/>
              <w:rPr>
                <w:rFonts w:ascii="Arial Narrow" w:hAnsi="Arial Narrow" w:cs="Times New Roman"/>
                <w:b/>
                <w:snapToGrid/>
                <w:sz w:val="20"/>
                <w:highlight w:val="yellow"/>
                <w:vertAlign w:val="superscript"/>
              </w:rPr>
            </w:pPr>
            <w:r w:rsidRPr="008B4550">
              <w:rPr>
                <w:rFonts w:ascii="Arial Narrow" w:hAnsi="Arial Narrow" w:cs="Times New Roman"/>
                <w:b/>
                <w:snapToGrid/>
                <w:color w:val="000000"/>
                <w:sz w:val="20"/>
                <w14:textFill>
                  <w14:solidFill>
                    <w14:srgbClr w14:val="000000">
                      <w14:alpha w14:val="100000"/>
                    </w14:srgbClr>
                  </w14:solidFill>
                </w14:textFill>
              </w:rPr>
              <w:t>|</w:t>
            </w:r>
          </w:p>
        </w:tc>
      </w:tr>
      <w:tr w:rsidR="005D5573" w:rsidRPr="00ED6EDE" w14:paraId="090AD3C6" w14:textId="77777777" w:rsidTr="008B4550">
        <w:tc>
          <w:tcPr>
            <w:tcW w:w="4162" w:type="pct"/>
            <w:gridSpan w:val="3"/>
            <w:shd w:val="clear" w:color="auto" w:fill="DBE5F1" w:themeFill="accent1" w:themeFillTint="33"/>
            <w:vAlign w:val="center"/>
          </w:tcPr>
          <w:p w14:paraId="21FC5D0E" w14:textId="7A4743A3" w:rsidR="005D5573" w:rsidRPr="005D5573" w:rsidRDefault="005D5573" w:rsidP="00C1034D">
            <w:pPr>
              <w:pStyle w:val="Tabletext"/>
              <w:keepNext/>
              <w:keepLines/>
            </w:pPr>
            <w:r w:rsidRPr="005D5573">
              <w:t>Net cost per patient (undiscounted) proposed in PSCR</w:t>
            </w:r>
            <w:r w:rsidR="005230FE">
              <w:t xml:space="preserve"> ($)</w:t>
            </w:r>
          </w:p>
        </w:tc>
        <w:tc>
          <w:tcPr>
            <w:tcW w:w="838" w:type="pct"/>
            <w:shd w:val="solid" w:color="000000" w:fill="000000"/>
            <w:vAlign w:val="center"/>
          </w:tcPr>
          <w:p w14:paraId="698AB33B" w14:textId="7F834AD5" w:rsidR="005D5573" w:rsidRPr="005230FE" w:rsidRDefault="008B4550" w:rsidP="00C31868">
            <w:pPr>
              <w:widowControl/>
              <w:jc w:val="center"/>
              <w:rPr>
                <w:rFonts w:ascii="Arial Narrow" w:hAnsi="Arial Narrow" w:cs="Times New Roman"/>
                <w:snapToGrid/>
                <w:sz w:val="20"/>
                <w:highlight w:val="yellow"/>
              </w:rPr>
            </w:pPr>
            <w:r w:rsidRPr="008B4550">
              <w:rPr>
                <w:rFonts w:ascii="Arial Narrow" w:hAnsi="Arial Narrow" w:cs="Times New Roman"/>
                <w:snapToGrid/>
                <w:color w:val="000000"/>
                <w:sz w:val="20"/>
                <w14:textFill>
                  <w14:solidFill>
                    <w14:srgbClr w14:val="000000">
                      <w14:alpha w14:val="100000"/>
                    </w14:srgbClr>
                  </w14:solidFill>
                </w14:textFill>
              </w:rPr>
              <w:t>|</w:t>
            </w:r>
          </w:p>
        </w:tc>
      </w:tr>
    </w:tbl>
    <w:p w14:paraId="405AC088" w14:textId="794078AC" w:rsidR="00020E37" w:rsidRPr="00ED6EDE" w:rsidRDefault="00020E37" w:rsidP="00C1034D">
      <w:pPr>
        <w:pStyle w:val="TableFooter"/>
        <w:keepNext/>
        <w:keepLines/>
      </w:pPr>
      <w:r w:rsidRPr="00ED6EDE">
        <w:t>Source:  “</w:t>
      </w:r>
      <w:r w:rsidR="002834BD">
        <w:t>Controls</w:t>
      </w:r>
      <w:r w:rsidRPr="00ED6EDE">
        <w:t>” worksheet of “Endometrial cancer Section 3 model.xlsx”</w:t>
      </w:r>
    </w:p>
    <w:p w14:paraId="7498EE0E" w14:textId="71BEAA56" w:rsidR="00020E37" w:rsidRDefault="00020E37" w:rsidP="00C1034D">
      <w:pPr>
        <w:pStyle w:val="TableFooter"/>
        <w:keepNext/>
        <w:keepLines/>
      </w:pPr>
      <w:r w:rsidRPr="00ED6EDE">
        <w:t xml:space="preserve">LEN = lenvatinib; LY = life-year; PEM = pembrolizumab; QALY = quality adjusted life-year. </w:t>
      </w:r>
    </w:p>
    <w:p w14:paraId="3A99A42C" w14:textId="1C9240DB" w:rsidR="00D440AA" w:rsidRDefault="00D440AA" w:rsidP="00C1034D">
      <w:pPr>
        <w:pStyle w:val="TableFooter"/>
        <w:keepNext/>
        <w:keepLines/>
      </w:pPr>
      <w:r>
        <w:t>Blue shading indicates cost per patient proposed in PSCR</w:t>
      </w:r>
    </w:p>
    <w:p w14:paraId="685AAE8C" w14:textId="77777777" w:rsidR="00D21992" w:rsidRPr="009A6D58" w:rsidRDefault="00D21992" w:rsidP="00D21992">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14:paraId="79E7158F" w14:textId="4282763B" w:rsidR="00D21992" w:rsidRPr="00D21992" w:rsidRDefault="00D21992" w:rsidP="00D21992">
      <w:pPr>
        <w:rPr>
          <w:rFonts w:ascii="Arial Narrow" w:hAnsi="Arial Narrow"/>
          <w:bCs/>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D21992">
        <w:rPr>
          <w:rFonts w:ascii="Arial Narrow" w:hAnsi="Arial Narrow"/>
          <w:bCs/>
          <w:i/>
          <w:sz w:val="18"/>
          <w:szCs w:val="18"/>
          <w:lang w:eastAsia="en-AU"/>
        </w:rPr>
        <w:t>$75,000 to &lt; $95,000</w:t>
      </w:r>
    </w:p>
    <w:p w14:paraId="320787BC" w14:textId="77777777" w:rsidR="00020E37" w:rsidRPr="00ED6EDE" w:rsidRDefault="00020E37" w:rsidP="00020E37"/>
    <w:p w14:paraId="0AD8D627" w14:textId="546997F8" w:rsidR="004064AA" w:rsidRPr="00ED6EDE" w:rsidRDefault="00020E37" w:rsidP="004064AA">
      <w:pPr>
        <w:keepNext/>
        <w:keepLines/>
        <w:rPr>
          <w:rStyle w:val="CommentReference"/>
        </w:rPr>
      </w:pPr>
      <w:bookmarkStart w:id="51" w:name="_Ref90031259"/>
      <w:bookmarkStart w:id="52" w:name="_Ref98404790"/>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12</w:t>
      </w:r>
      <w:r w:rsidRPr="00ED6EDE">
        <w:rPr>
          <w:rStyle w:val="CommentReference"/>
        </w:rPr>
        <w:fldChar w:fldCharType="end"/>
      </w:r>
      <w:bookmarkEnd w:id="51"/>
      <w:r w:rsidRPr="00ED6EDE">
        <w:rPr>
          <w:rStyle w:val="CommentReference"/>
        </w:rPr>
        <w:t xml:space="preserve">: Results of the </w:t>
      </w:r>
      <w:r w:rsidR="004064AA" w:rsidRPr="00ED6EDE">
        <w:rPr>
          <w:rStyle w:val="CommentReference"/>
        </w:rPr>
        <w:t xml:space="preserve">alternative base case (piecewise extrapolations) presented in the </w:t>
      </w:r>
      <w:r w:rsidR="00C31868">
        <w:rPr>
          <w:rStyle w:val="CommentReference"/>
        </w:rPr>
        <w:t>pre-PBAC response</w:t>
      </w:r>
      <w:r w:rsidR="004064AA" w:rsidRPr="00ED6EDE">
        <w:rPr>
          <w:rStyle w:val="CommentReference"/>
        </w:rPr>
        <w:t xml:space="preserve"> </w:t>
      </w:r>
      <w:r w:rsidR="00C31868" w:rsidRPr="00ED6EDE">
        <w:rPr>
          <w:rStyle w:val="CommentReference"/>
        </w:rPr>
        <w:t xml:space="preserve">to achieve </w:t>
      </w:r>
      <w:r w:rsidR="002D7F4E">
        <w:rPr>
          <w:rStyle w:val="CommentReference"/>
        </w:rPr>
        <w:t xml:space="preserve">an </w:t>
      </w:r>
      <w:r w:rsidR="00C31868" w:rsidRPr="00ED6EDE">
        <w:rPr>
          <w:rStyle w:val="CommentReference"/>
        </w:rPr>
        <w:t xml:space="preserve">ICER of </w:t>
      </w:r>
      <w:r w:rsidR="004064AA" w:rsidRPr="00ED6EDE">
        <w:rPr>
          <w:rStyle w:val="CommentReference"/>
        </w:rPr>
        <w:t>$</w:t>
      </w:r>
      <w:r w:rsidR="00D21992" w:rsidRPr="001E21D6">
        <w:rPr>
          <w:rFonts w:ascii="Arial Narrow" w:hAnsi="Arial Narrow"/>
          <w:b/>
          <w:sz w:val="20"/>
          <w:szCs w:val="16"/>
        </w:rPr>
        <w:t>75,000 to &lt; $95,000</w:t>
      </w:r>
      <w:r w:rsidR="004064AA" w:rsidRPr="00ED6EDE">
        <w:rPr>
          <w:rStyle w:val="CommentReference"/>
        </w:rPr>
        <w:t>/QALY</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020E37" w:rsidRPr="00ED6EDE" w14:paraId="136F4E8E" w14:textId="77777777" w:rsidTr="008B4550">
        <w:trPr>
          <w:tblHeader/>
        </w:trPr>
        <w:tc>
          <w:tcPr>
            <w:tcW w:w="1529" w:type="pct"/>
            <w:vAlign w:val="center"/>
          </w:tcPr>
          <w:p w14:paraId="067072F1" w14:textId="77777777" w:rsidR="00020E37" w:rsidRPr="00ED6EDE" w:rsidRDefault="00020E37" w:rsidP="007C3941">
            <w:pPr>
              <w:pStyle w:val="Tabletext"/>
              <w:keepNext/>
              <w:keepLines/>
              <w:rPr>
                <w:b/>
              </w:rPr>
            </w:pPr>
            <w:r w:rsidRPr="00ED6EDE">
              <w:rPr>
                <w:b/>
              </w:rPr>
              <w:t>Component</w:t>
            </w:r>
          </w:p>
        </w:tc>
        <w:tc>
          <w:tcPr>
            <w:tcW w:w="1359" w:type="pct"/>
            <w:tcBorders>
              <w:bottom w:val="single" w:sz="4" w:space="0" w:color="auto"/>
            </w:tcBorders>
            <w:vAlign w:val="center"/>
          </w:tcPr>
          <w:p w14:paraId="22F6309D" w14:textId="77777777" w:rsidR="00020E37" w:rsidRPr="00ED6EDE" w:rsidRDefault="00020E37" w:rsidP="007C3941">
            <w:pPr>
              <w:pStyle w:val="Tabletext"/>
              <w:keepNext/>
              <w:keepLines/>
              <w:jc w:val="center"/>
              <w:rPr>
                <w:b/>
              </w:rPr>
            </w:pPr>
            <w:r w:rsidRPr="00ED6EDE">
              <w:rPr>
                <w:b/>
              </w:rPr>
              <w:t>PEM + LEN</w:t>
            </w:r>
          </w:p>
        </w:tc>
        <w:tc>
          <w:tcPr>
            <w:tcW w:w="1274" w:type="pct"/>
            <w:vAlign w:val="center"/>
          </w:tcPr>
          <w:p w14:paraId="59B3BF31" w14:textId="51742FEB" w:rsidR="00020E37" w:rsidRPr="00ED6EDE" w:rsidRDefault="00020E37" w:rsidP="007C3941">
            <w:pPr>
              <w:pStyle w:val="Tabletext"/>
              <w:keepNext/>
              <w:keepLines/>
              <w:jc w:val="center"/>
              <w:rPr>
                <w:b/>
              </w:rPr>
            </w:pPr>
            <w:r w:rsidRPr="00ED6EDE">
              <w:rPr>
                <w:b/>
              </w:rPr>
              <w:t>Chemo</w:t>
            </w:r>
          </w:p>
        </w:tc>
        <w:tc>
          <w:tcPr>
            <w:tcW w:w="838" w:type="pct"/>
            <w:tcBorders>
              <w:bottom w:val="single" w:sz="4" w:space="0" w:color="auto"/>
            </w:tcBorders>
            <w:vAlign w:val="center"/>
          </w:tcPr>
          <w:p w14:paraId="5FBA9191" w14:textId="77777777" w:rsidR="00020E37" w:rsidRPr="00ED6EDE" w:rsidRDefault="00020E37" w:rsidP="007C3941">
            <w:pPr>
              <w:pStyle w:val="Tabletext"/>
              <w:keepNext/>
              <w:keepLines/>
              <w:jc w:val="center"/>
              <w:rPr>
                <w:b/>
              </w:rPr>
            </w:pPr>
            <w:r w:rsidRPr="00ED6EDE">
              <w:rPr>
                <w:b/>
              </w:rPr>
              <w:t>Increment</w:t>
            </w:r>
          </w:p>
        </w:tc>
      </w:tr>
      <w:tr w:rsidR="00C31868" w:rsidRPr="00ED6EDE" w14:paraId="50B205EE" w14:textId="77777777" w:rsidTr="008B4550">
        <w:tc>
          <w:tcPr>
            <w:tcW w:w="1529" w:type="pct"/>
            <w:vAlign w:val="center"/>
          </w:tcPr>
          <w:p w14:paraId="30256020" w14:textId="0D22EFD7" w:rsidR="00C31868" w:rsidRPr="00ED6EDE" w:rsidRDefault="00C31868" w:rsidP="00C31868">
            <w:pPr>
              <w:pStyle w:val="Tabletext"/>
              <w:keepNext/>
              <w:keepLines/>
              <w:rPr>
                <w:rFonts w:ascii="Times" w:hAnsi="Times"/>
              </w:rPr>
            </w:pPr>
            <w:r w:rsidRPr="00ED6EDE">
              <w:t>Costs</w:t>
            </w:r>
            <w:r w:rsidR="005230FE">
              <w:t xml:space="preserve"> ($)</w:t>
            </w:r>
          </w:p>
        </w:tc>
        <w:tc>
          <w:tcPr>
            <w:tcW w:w="1359" w:type="pct"/>
            <w:tcBorders>
              <w:top w:val="single" w:sz="4" w:space="0" w:color="auto"/>
              <w:left w:val="single" w:sz="4" w:space="0" w:color="auto"/>
              <w:bottom w:val="single" w:sz="4" w:space="0" w:color="auto"/>
              <w:right w:val="single" w:sz="4" w:space="0" w:color="auto"/>
            </w:tcBorders>
            <w:shd w:val="solid" w:color="000000" w:fill="000000"/>
            <w:vAlign w:val="bottom"/>
          </w:tcPr>
          <w:p w14:paraId="24E56A7E" w14:textId="6B1087EE" w:rsidR="00C31868" w:rsidRPr="005230FE" w:rsidRDefault="008B4550" w:rsidP="00C31868">
            <w:pPr>
              <w:pStyle w:val="Tabletext"/>
              <w:keepNext/>
              <w:keepLines/>
              <w:jc w:val="center"/>
              <w:rPr>
                <w:rFonts w:cs="Courier New"/>
                <w:szCs w:val="20"/>
                <w:highlight w:val="yellow"/>
                <w:lang w:bidi="en-US"/>
              </w:rPr>
            </w:pPr>
            <w:r w:rsidRPr="008B4550">
              <w:rPr>
                <w:rFonts w:cs="Courier New"/>
                <w:color w:val="000000"/>
                <w:szCs w:val="20"/>
                <w:lang w:bidi="en-US"/>
                <w14:textFill>
                  <w14:solidFill>
                    <w14:srgbClr w14:val="000000">
                      <w14:alpha w14:val="100000"/>
                    </w14:srgbClr>
                  </w14:solidFill>
                </w14:textFill>
              </w:rPr>
              <w:t>|</w:t>
            </w:r>
          </w:p>
        </w:tc>
        <w:tc>
          <w:tcPr>
            <w:tcW w:w="1274" w:type="pct"/>
            <w:tcBorders>
              <w:top w:val="single" w:sz="4" w:space="0" w:color="auto"/>
              <w:left w:val="nil"/>
              <w:bottom w:val="single" w:sz="4" w:space="0" w:color="auto"/>
              <w:right w:val="single" w:sz="4" w:space="0" w:color="auto"/>
            </w:tcBorders>
            <w:shd w:val="clear" w:color="auto" w:fill="auto"/>
            <w:vAlign w:val="bottom"/>
          </w:tcPr>
          <w:p w14:paraId="10332676" w14:textId="4D72450F" w:rsidR="00C31868" w:rsidRPr="00D21992" w:rsidRDefault="00C31868" w:rsidP="00C31868">
            <w:pPr>
              <w:pStyle w:val="Tabletext"/>
              <w:keepNext/>
              <w:keepLines/>
              <w:jc w:val="center"/>
              <w:rPr>
                <w:rFonts w:cs="Courier New"/>
                <w:szCs w:val="20"/>
                <w:lang w:bidi="en-US"/>
              </w:rPr>
            </w:pPr>
            <w:r w:rsidRPr="00D21992">
              <w:rPr>
                <w:rFonts w:cs="Courier New"/>
                <w:szCs w:val="20"/>
                <w:lang w:bidi="en-US"/>
              </w:rPr>
              <w:t>$57,549</w:t>
            </w:r>
          </w:p>
        </w:tc>
        <w:tc>
          <w:tcPr>
            <w:tcW w:w="838" w:type="pct"/>
            <w:tcBorders>
              <w:top w:val="single" w:sz="4" w:space="0" w:color="auto"/>
              <w:left w:val="nil"/>
              <w:bottom w:val="single" w:sz="4" w:space="0" w:color="auto"/>
              <w:right w:val="single" w:sz="4" w:space="0" w:color="auto"/>
            </w:tcBorders>
            <w:shd w:val="solid" w:color="000000" w:fill="000000"/>
            <w:vAlign w:val="bottom"/>
          </w:tcPr>
          <w:p w14:paraId="155749AC" w14:textId="12DE0C69" w:rsidR="00C31868" w:rsidRPr="005230FE" w:rsidRDefault="008B4550" w:rsidP="00C31868">
            <w:pPr>
              <w:pStyle w:val="Tabletext"/>
              <w:keepNext/>
              <w:keepLines/>
              <w:jc w:val="center"/>
              <w:rPr>
                <w:rFonts w:cs="Courier New"/>
                <w:szCs w:val="20"/>
                <w:highlight w:val="yellow"/>
                <w:lang w:bidi="en-US"/>
              </w:rPr>
            </w:pPr>
            <w:r w:rsidRPr="008B4550">
              <w:rPr>
                <w:rFonts w:cs="Courier New"/>
                <w:color w:val="000000"/>
                <w:szCs w:val="20"/>
                <w:lang w:bidi="en-US"/>
                <w14:textFill>
                  <w14:solidFill>
                    <w14:srgbClr w14:val="000000">
                      <w14:alpha w14:val="100000"/>
                    </w14:srgbClr>
                  </w14:solidFill>
                </w14:textFill>
              </w:rPr>
              <w:t>|</w:t>
            </w:r>
          </w:p>
        </w:tc>
      </w:tr>
      <w:tr w:rsidR="00C31868" w:rsidRPr="00ED6EDE" w14:paraId="57BBF50B" w14:textId="77777777" w:rsidTr="00C31868">
        <w:tc>
          <w:tcPr>
            <w:tcW w:w="1529" w:type="pct"/>
            <w:vAlign w:val="center"/>
          </w:tcPr>
          <w:p w14:paraId="589A4903" w14:textId="4843F971" w:rsidR="00C31868" w:rsidRPr="00ED6EDE" w:rsidRDefault="00C31868" w:rsidP="00C31868">
            <w:pPr>
              <w:pStyle w:val="Tabletext"/>
              <w:keepNext/>
              <w:keepLines/>
            </w:pPr>
            <w:r w:rsidRPr="00ED6EDE">
              <w:t>Lys</w:t>
            </w:r>
          </w:p>
        </w:tc>
        <w:tc>
          <w:tcPr>
            <w:tcW w:w="1359" w:type="pct"/>
            <w:shd w:val="clear" w:color="auto" w:fill="auto"/>
            <w:vAlign w:val="bottom"/>
          </w:tcPr>
          <w:p w14:paraId="31EFD1DB" w14:textId="731371CF" w:rsidR="00C31868" w:rsidRPr="00D7116C" w:rsidRDefault="00C31868" w:rsidP="00C31868">
            <w:pPr>
              <w:pStyle w:val="Tabletext"/>
              <w:keepNext/>
              <w:keepLines/>
              <w:jc w:val="center"/>
              <w:rPr>
                <w:rFonts w:cs="Courier New"/>
                <w:szCs w:val="20"/>
                <w:lang w:bidi="en-US"/>
              </w:rPr>
            </w:pPr>
            <w:r w:rsidRPr="00D7116C">
              <w:rPr>
                <w:rFonts w:cs="Courier New"/>
                <w:szCs w:val="20"/>
                <w:lang w:bidi="en-US"/>
              </w:rPr>
              <w:t>2.00</w:t>
            </w:r>
          </w:p>
        </w:tc>
        <w:tc>
          <w:tcPr>
            <w:tcW w:w="1274" w:type="pct"/>
            <w:shd w:val="clear" w:color="auto" w:fill="auto"/>
            <w:vAlign w:val="bottom"/>
          </w:tcPr>
          <w:p w14:paraId="58528943" w14:textId="75018E11" w:rsidR="00C31868" w:rsidRPr="00D7116C" w:rsidRDefault="00C31868" w:rsidP="00C31868">
            <w:pPr>
              <w:pStyle w:val="Tabletext"/>
              <w:keepNext/>
              <w:keepLines/>
              <w:jc w:val="center"/>
              <w:rPr>
                <w:rFonts w:cs="Courier New"/>
                <w:szCs w:val="20"/>
                <w:lang w:bidi="en-US"/>
              </w:rPr>
            </w:pPr>
            <w:r w:rsidRPr="00D7116C">
              <w:rPr>
                <w:rFonts w:cs="Courier New"/>
                <w:szCs w:val="20"/>
                <w:lang w:bidi="en-US"/>
              </w:rPr>
              <w:t>1.23</w:t>
            </w:r>
          </w:p>
        </w:tc>
        <w:tc>
          <w:tcPr>
            <w:tcW w:w="838" w:type="pct"/>
            <w:shd w:val="clear" w:color="auto" w:fill="auto"/>
            <w:vAlign w:val="bottom"/>
          </w:tcPr>
          <w:p w14:paraId="7168ACD9" w14:textId="3AC43177" w:rsidR="00C31868" w:rsidRPr="00D7116C" w:rsidRDefault="00C31868" w:rsidP="00C31868">
            <w:pPr>
              <w:pStyle w:val="Tabletext"/>
              <w:keepNext/>
              <w:keepLines/>
              <w:jc w:val="center"/>
              <w:rPr>
                <w:rFonts w:cs="Courier New"/>
                <w:szCs w:val="20"/>
                <w:lang w:bidi="en-US"/>
              </w:rPr>
            </w:pPr>
            <w:r w:rsidRPr="00D7116C">
              <w:rPr>
                <w:rFonts w:cs="Courier New"/>
                <w:szCs w:val="20"/>
                <w:lang w:bidi="en-US"/>
              </w:rPr>
              <w:t>0.77</w:t>
            </w:r>
          </w:p>
        </w:tc>
      </w:tr>
      <w:tr w:rsidR="00C31868" w:rsidRPr="00ED6EDE" w14:paraId="6B008CAC" w14:textId="77777777" w:rsidTr="00C31868">
        <w:tc>
          <w:tcPr>
            <w:tcW w:w="1529" w:type="pct"/>
            <w:vAlign w:val="center"/>
          </w:tcPr>
          <w:p w14:paraId="60B49CB5" w14:textId="77777777" w:rsidR="00C31868" w:rsidRPr="00ED6EDE" w:rsidRDefault="00C31868" w:rsidP="00C31868">
            <w:pPr>
              <w:pStyle w:val="Tabletext"/>
              <w:keepNext/>
              <w:keepLines/>
              <w:rPr>
                <w:rFonts w:ascii="Times" w:hAnsi="Times"/>
              </w:rPr>
            </w:pPr>
            <w:r w:rsidRPr="00ED6EDE">
              <w:t>QALYs</w:t>
            </w:r>
          </w:p>
        </w:tc>
        <w:tc>
          <w:tcPr>
            <w:tcW w:w="1359" w:type="pct"/>
            <w:shd w:val="clear" w:color="auto" w:fill="auto"/>
            <w:vAlign w:val="bottom"/>
          </w:tcPr>
          <w:p w14:paraId="0BECB34F" w14:textId="00EB5845" w:rsidR="00C31868" w:rsidRPr="00D7116C" w:rsidRDefault="00C31868" w:rsidP="00C31868">
            <w:pPr>
              <w:pStyle w:val="Tabletext"/>
              <w:keepNext/>
              <w:keepLines/>
              <w:jc w:val="center"/>
              <w:rPr>
                <w:rFonts w:cs="Courier New"/>
                <w:szCs w:val="20"/>
                <w:lang w:bidi="en-US"/>
              </w:rPr>
            </w:pPr>
            <w:r w:rsidRPr="00D7116C">
              <w:rPr>
                <w:rFonts w:cs="Courier New"/>
                <w:szCs w:val="20"/>
                <w:lang w:bidi="en-US"/>
              </w:rPr>
              <w:t>1.44</w:t>
            </w:r>
          </w:p>
        </w:tc>
        <w:tc>
          <w:tcPr>
            <w:tcW w:w="1274" w:type="pct"/>
            <w:shd w:val="clear" w:color="auto" w:fill="auto"/>
            <w:vAlign w:val="bottom"/>
          </w:tcPr>
          <w:p w14:paraId="12A7923A" w14:textId="7E7A4324" w:rsidR="00C31868" w:rsidRPr="00D7116C" w:rsidRDefault="00C31868" w:rsidP="00C31868">
            <w:pPr>
              <w:pStyle w:val="Tabletext"/>
              <w:keepNext/>
              <w:keepLines/>
              <w:jc w:val="center"/>
              <w:rPr>
                <w:rFonts w:cs="Courier New"/>
                <w:szCs w:val="20"/>
                <w:lang w:bidi="en-US"/>
              </w:rPr>
            </w:pPr>
            <w:r w:rsidRPr="00D7116C">
              <w:rPr>
                <w:rFonts w:cs="Courier New"/>
                <w:szCs w:val="20"/>
                <w:lang w:bidi="en-US"/>
              </w:rPr>
              <w:t>0.88</w:t>
            </w:r>
          </w:p>
        </w:tc>
        <w:tc>
          <w:tcPr>
            <w:tcW w:w="838" w:type="pct"/>
            <w:shd w:val="clear" w:color="auto" w:fill="auto"/>
            <w:vAlign w:val="bottom"/>
          </w:tcPr>
          <w:p w14:paraId="41A17B36" w14:textId="38D577F1" w:rsidR="00C31868" w:rsidRPr="00D7116C" w:rsidRDefault="00C31868" w:rsidP="00C31868">
            <w:pPr>
              <w:pStyle w:val="Tabletext"/>
              <w:keepNext/>
              <w:keepLines/>
              <w:jc w:val="center"/>
              <w:rPr>
                <w:rFonts w:cs="Courier New"/>
                <w:szCs w:val="20"/>
                <w:lang w:bidi="en-US"/>
              </w:rPr>
            </w:pPr>
            <w:r w:rsidRPr="00D7116C">
              <w:rPr>
                <w:rFonts w:cs="Courier New"/>
                <w:szCs w:val="20"/>
                <w:lang w:bidi="en-US"/>
              </w:rPr>
              <w:t>0.56</w:t>
            </w:r>
          </w:p>
        </w:tc>
      </w:tr>
      <w:tr w:rsidR="00020E37" w:rsidRPr="00ED6EDE" w14:paraId="404DD019" w14:textId="77777777" w:rsidTr="008B4550">
        <w:tc>
          <w:tcPr>
            <w:tcW w:w="4162" w:type="pct"/>
            <w:gridSpan w:val="3"/>
            <w:vAlign w:val="center"/>
          </w:tcPr>
          <w:p w14:paraId="0F219C52" w14:textId="16B636B8" w:rsidR="00020E37" w:rsidRPr="00ED6EDE" w:rsidRDefault="00020E37" w:rsidP="005D5573">
            <w:pPr>
              <w:pStyle w:val="Tabletext"/>
              <w:keepNext/>
              <w:keepLines/>
              <w:rPr>
                <w:rFonts w:ascii="Times" w:hAnsi="Times"/>
                <w:b/>
              </w:rPr>
            </w:pPr>
            <w:r w:rsidRPr="00ED6EDE">
              <w:rPr>
                <w:b/>
              </w:rPr>
              <w:t>Incremental cost/extra QALY gained (</w:t>
            </w:r>
            <w:r w:rsidR="004064AA" w:rsidRPr="00ED6EDE">
              <w:rPr>
                <w:b/>
              </w:rPr>
              <w:t xml:space="preserve">alternate </w:t>
            </w:r>
            <w:r w:rsidRPr="00ED6EDE">
              <w:rPr>
                <w:b/>
              </w:rPr>
              <w:t>base case</w:t>
            </w:r>
            <w:r w:rsidR="005D5573">
              <w:rPr>
                <w:b/>
              </w:rPr>
              <w:t xml:space="preserve"> in pre-PBAC response</w:t>
            </w:r>
            <w:r w:rsidRPr="00ED6EDE">
              <w:rPr>
                <w:b/>
              </w:rPr>
              <w:t>)</w:t>
            </w:r>
            <w:r w:rsidR="008C7AAE" w:rsidRPr="00ED6EDE">
              <w:rPr>
                <w:b/>
              </w:rPr>
              <w:t xml:space="preserve"> </w:t>
            </w:r>
            <w:r w:rsidR="005230FE">
              <w:rPr>
                <w:b/>
              </w:rPr>
              <w:t>($)</w:t>
            </w:r>
          </w:p>
        </w:tc>
        <w:tc>
          <w:tcPr>
            <w:tcW w:w="838" w:type="pct"/>
            <w:tcBorders>
              <w:bottom w:val="single" w:sz="4" w:space="0" w:color="auto"/>
            </w:tcBorders>
            <w:vAlign w:val="center"/>
          </w:tcPr>
          <w:p w14:paraId="1776B6C1" w14:textId="31AE7283" w:rsidR="00020E37" w:rsidRPr="00D21992" w:rsidRDefault="008B4550" w:rsidP="00C31868">
            <w:pPr>
              <w:pStyle w:val="Tabletext"/>
              <w:keepNext/>
              <w:keepLines/>
              <w:jc w:val="center"/>
              <w:rPr>
                <w:b/>
                <w:bCs/>
                <w:highlight w:val="yellow"/>
                <w:vertAlign w:val="superscript"/>
              </w:rPr>
            </w:pPr>
            <w:r w:rsidRPr="008B4550">
              <w:rPr>
                <w:b/>
                <w:bCs/>
                <w:color w:val="000000"/>
                <w:shd w:val="solid" w:color="000000" w:fill="000000"/>
                <w14:textFill>
                  <w14:solidFill>
                    <w14:srgbClr w14:val="000000">
                      <w14:alpha w14:val="100000"/>
                    </w14:srgbClr>
                  </w14:solidFill>
                </w14:textFill>
              </w:rPr>
              <w:t>|</w:t>
            </w:r>
            <w:r w:rsidR="00D21992" w:rsidRPr="00D21992">
              <w:rPr>
                <w:b/>
                <w:bCs/>
                <w:vertAlign w:val="superscript"/>
              </w:rPr>
              <w:t>1</w:t>
            </w:r>
          </w:p>
        </w:tc>
      </w:tr>
      <w:tr w:rsidR="006F2A55" w:rsidRPr="00ED6EDE" w14:paraId="0EE2E18B" w14:textId="77777777" w:rsidTr="008B4550">
        <w:tc>
          <w:tcPr>
            <w:tcW w:w="4162" w:type="pct"/>
            <w:gridSpan w:val="3"/>
            <w:vAlign w:val="center"/>
          </w:tcPr>
          <w:p w14:paraId="63CE88DA" w14:textId="17E5DE67" w:rsidR="006F2A55" w:rsidRPr="00ED6EDE" w:rsidRDefault="004064AA" w:rsidP="007C3941">
            <w:pPr>
              <w:pStyle w:val="Tabletext"/>
              <w:keepNext/>
              <w:keepLines/>
              <w:rPr>
                <w:b/>
              </w:rPr>
            </w:pPr>
            <w:r w:rsidRPr="00ED6EDE">
              <w:rPr>
                <w:b/>
              </w:rPr>
              <w:t>Net cost per patient (undiscounted)</w:t>
            </w:r>
            <w:r w:rsidR="005D5573">
              <w:rPr>
                <w:b/>
              </w:rPr>
              <w:t xml:space="preserve"> proposed in pre-PBAC response</w:t>
            </w:r>
            <w:r w:rsidR="005230FE">
              <w:rPr>
                <w:b/>
              </w:rPr>
              <w:t xml:space="preserve"> ($)</w:t>
            </w:r>
          </w:p>
        </w:tc>
        <w:tc>
          <w:tcPr>
            <w:tcW w:w="838" w:type="pct"/>
            <w:tcBorders>
              <w:bottom w:val="single" w:sz="4" w:space="0" w:color="auto"/>
            </w:tcBorders>
            <w:shd w:val="solid" w:color="000000" w:fill="000000"/>
            <w:vAlign w:val="center"/>
          </w:tcPr>
          <w:p w14:paraId="056500F8" w14:textId="36F22FB3" w:rsidR="006F2A55" w:rsidRPr="005230FE" w:rsidRDefault="008B4550" w:rsidP="007C3941">
            <w:pPr>
              <w:pStyle w:val="Tabletext"/>
              <w:keepNext/>
              <w:keepLines/>
              <w:jc w:val="center"/>
              <w:rPr>
                <w:b/>
                <w:bCs/>
                <w:highlight w:val="yellow"/>
              </w:rPr>
            </w:pPr>
            <w:r w:rsidRPr="008B4550">
              <w:rPr>
                <w:rFonts w:cs="Courier New"/>
                <w:b/>
                <w:color w:val="000000"/>
                <w:szCs w:val="20"/>
                <w:lang w:bidi="en-US"/>
                <w14:textFill>
                  <w14:solidFill>
                    <w14:srgbClr w14:val="000000">
                      <w14:alpha w14:val="100000"/>
                    </w14:srgbClr>
                  </w14:solidFill>
                </w14:textFill>
              </w:rPr>
              <w:t>|</w:t>
            </w:r>
          </w:p>
        </w:tc>
      </w:tr>
      <w:tr w:rsidR="005D5573" w:rsidRPr="00ED6EDE" w14:paraId="66BB8C90" w14:textId="77777777" w:rsidTr="008B4550">
        <w:tc>
          <w:tcPr>
            <w:tcW w:w="4162" w:type="pct"/>
            <w:gridSpan w:val="3"/>
            <w:shd w:val="clear" w:color="auto" w:fill="DBE5F1" w:themeFill="accent1" w:themeFillTint="33"/>
            <w:vAlign w:val="center"/>
          </w:tcPr>
          <w:p w14:paraId="535282BC" w14:textId="51EA7B0F" w:rsidR="005D5573" w:rsidRPr="005D5573" w:rsidRDefault="005D5573" w:rsidP="007C3941">
            <w:pPr>
              <w:pStyle w:val="Tabletext"/>
              <w:keepNext/>
              <w:keepLines/>
            </w:pPr>
            <w:r w:rsidRPr="005D5573">
              <w:t>Net cost per patient (undiscounted) proposed in PSCR</w:t>
            </w:r>
            <w:r w:rsidR="005230FE">
              <w:t xml:space="preserve"> ($)</w:t>
            </w:r>
          </w:p>
        </w:tc>
        <w:tc>
          <w:tcPr>
            <w:tcW w:w="838" w:type="pct"/>
            <w:shd w:val="solid" w:color="000000" w:fill="000000"/>
            <w:vAlign w:val="center"/>
          </w:tcPr>
          <w:p w14:paraId="1F6E54E5" w14:textId="708B97AC" w:rsidR="005D5573" w:rsidRPr="005230FE" w:rsidRDefault="008B4550" w:rsidP="007C3941">
            <w:pPr>
              <w:pStyle w:val="Tabletext"/>
              <w:keepNext/>
              <w:keepLines/>
              <w:jc w:val="center"/>
              <w:rPr>
                <w:highlight w:val="yellow"/>
              </w:rPr>
            </w:pPr>
            <w:r w:rsidRPr="008B4550">
              <w:rPr>
                <w:color w:val="000000"/>
                <w14:textFill>
                  <w14:solidFill>
                    <w14:srgbClr w14:val="000000">
                      <w14:alpha w14:val="100000"/>
                    </w14:srgbClr>
                  </w14:solidFill>
                </w14:textFill>
              </w:rPr>
              <w:t>|</w:t>
            </w:r>
          </w:p>
        </w:tc>
      </w:tr>
    </w:tbl>
    <w:p w14:paraId="04351B96" w14:textId="46C9934F" w:rsidR="00020E37" w:rsidRPr="00ED6EDE" w:rsidRDefault="00020E37" w:rsidP="007C3941">
      <w:pPr>
        <w:pStyle w:val="TableFooter"/>
        <w:keepNext/>
        <w:keepLines/>
      </w:pPr>
      <w:r w:rsidRPr="00ED6EDE">
        <w:t>Source:  “</w:t>
      </w:r>
      <w:r w:rsidR="00C31868">
        <w:t>Controls</w:t>
      </w:r>
      <w:r w:rsidRPr="00ED6EDE">
        <w:t>” worksheet of “Endometrial cancer Section 3 model.xlsx”</w:t>
      </w:r>
    </w:p>
    <w:p w14:paraId="04700E6E" w14:textId="0B23172A" w:rsidR="00020E37" w:rsidRDefault="00020E37" w:rsidP="00D440AA">
      <w:pPr>
        <w:pStyle w:val="TableFooter"/>
        <w:keepNext/>
        <w:keepLines/>
      </w:pPr>
      <w:r w:rsidRPr="00ED6EDE">
        <w:t xml:space="preserve">LEN = lenvatinib; LY = life-year; PEM = pembrolizumab; QALY = quality adjusted life-year. </w:t>
      </w:r>
    </w:p>
    <w:p w14:paraId="35B43114" w14:textId="53C85403" w:rsidR="00D440AA" w:rsidRDefault="00D440AA" w:rsidP="00D440AA">
      <w:pPr>
        <w:pStyle w:val="TableFooter"/>
        <w:keepNext/>
        <w:keepLines/>
      </w:pPr>
      <w:r>
        <w:t>Blue shading indicates cost per patient proposed in PSCR</w:t>
      </w:r>
    </w:p>
    <w:p w14:paraId="4116FD98" w14:textId="77777777" w:rsidR="00D21992" w:rsidRPr="009A6D58" w:rsidRDefault="00D21992" w:rsidP="00D21992">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14:paraId="2A0B7681" w14:textId="77777777" w:rsidR="00D21992" w:rsidRPr="00D21992" w:rsidRDefault="00D21992" w:rsidP="00D21992">
      <w:pPr>
        <w:rPr>
          <w:rFonts w:ascii="Arial Narrow" w:hAnsi="Arial Narrow"/>
          <w:bCs/>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D21992">
        <w:rPr>
          <w:rFonts w:ascii="Arial Narrow" w:hAnsi="Arial Narrow"/>
          <w:bCs/>
          <w:i/>
          <w:sz w:val="18"/>
          <w:szCs w:val="18"/>
          <w:lang w:eastAsia="en-AU"/>
        </w:rPr>
        <w:t>$75,000 to &lt; $95,000</w:t>
      </w:r>
    </w:p>
    <w:p w14:paraId="540F3517" w14:textId="77777777" w:rsidR="00D440AA" w:rsidRDefault="00D440AA" w:rsidP="00D440AA">
      <w:pPr>
        <w:pStyle w:val="TableFooter"/>
        <w:keepNext/>
        <w:keepLines/>
      </w:pPr>
    </w:p>
    <w:p w14:paraId="207E1A4A" w14:textId="68156704" w:rsidR="00041C72" w:rsidRPr="00ED6EDE" w:rsidRDefault="00154214" w:rsidP="002520EB">
      <w:pPr>
        <w:pStyle w:val="ListParagraph"/>
        <w:widowControl/>
        <w:numPr>
          <w:ilvl w:val="1"/>
          <w:numId w:val="2"/>
        </w:numPr>
        <w:spacing w:after="120"/>
      </w:pPr>
      <w:r w:rsidRPr="00ED6EDE">
        <w:t>As shown in the tables above, i</w:t>
      </w:r>
      <w:r w:rsidR="00462A11" w:rsidRPr="00ED6EDE">
        <w:t xml:space="preserve">n the </w:t>
      </w:r>
      <w:r w:rsidR="002D7F4E">
        <w:t>pre-PBAC response r</w:t>
      </w:r>
      <w:r w:rsidR="00462A11" w:rsidRPr="00ED6EDE">
        <w:t>evised scenarios, t</w:t>
      </w:r>
      <w:r w:rsidR="00041C72" w:rsidRPr="00ED6EDE">
        <w:t xml:space="preserve">he undiscounted cost per patient was </w:t>
      </w:r>
      <w:r w:rsidR="002D7F4E" w:rsidRPr="00F645B8">
        <w:t>$</w:t>
      </w:r>
      <w:r w:rsidR="008B4550" w:rsidRPr="003E504A">
        <w:rPr>
          <w:color w:val="000000"/>
          <w:w w:val="15"/>
          <w:shd w:val="solid" w:color="000000" w:fill="000000"/>
          <w:fitText w:val="-20" w:id="-1500780798"/>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8"/>
          <w14:textFill>
            <w14:solidFill>
              <w14:srgbClr w14:val="000000">
                <w14:alpha w14:val="100000"/>
              </w14:srgbClr>
            </w14:solidFill>
          </w14:textFill>
        </w:rPr>
        <w:t>|</w:t>
      </w:r>
      <w:r w:rsidR="002D7F4E">
        <w:t xml:space="preserve"> in the base case (and </w:t>
      </w:r>
      <w:r w:rsidR="002D7F4E" w:rsidRPr="00F645B8">
        <w:t>$</w:t>
      </w:r>
      <w:r w:rsidR="008B4550" w:rsidRPr="003E504A">
        <w:rPr>
          <w:color w:val="000000"/>
          <w:w w:val="15"/>
          <w:shd w:val="solid" w:color="000000" w:fill="000000"/>
          <w:fitText w:val="-20" w:id="-1500780797"/>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7"/>
          <w14:textFill>
            <w14:solidFill>
              <w14:srgbClr w14:val="000000">
                <w14:alpha w14:val="100000"/>
              </w14:srgbClr>
            </w14:solidFill>
          </w14:textFill>
        </w:rPr>
        <w:t>|</w:t>
      </w:r>
      <w:r w:rsidR="002D7F4E">
        <w:t xml:space="preserve"> in the alternative </w:t>
      </w:r>
      <w:r w:rsidR="00C31868">
        <w:t>base case</w:t>
      </w:r>
      <w:r w:rsidR="002D7F4E">
        <w:t>).</w:t>
      </w:r>
      <w:r w:rsidR="00C31868">
        <w:t xml:space="preserve"> The PBAC noted that th</w:t>
      </w:r>
      <w:r w:rsidR="002D7F4E">
        <w:t xml:space="preserve">is was lower than offered in </w:t>
      </w:r>
      <w:r w:rsidR="00C31868">
        <w:t>the submission</w:t>
      </w:r>
      <w:r w:rsidR="002D7F4E">
        <w:t xml:space="preserve"> (</w:t>
      </w:r>
      <w:r w:rsidR="002D7F4E" w:rsidRPr="00F645B8">
        <w:t>$</w:t>
      </w:r>
      <w:r w:rsidR="008B4550" w:rsidRPr="003E504A">
        <w:rPr>
          <w:color w:val="000000"/>
          <w:w w:val="15"/>
          <w:shd w:val="solid" w:color="000000" w:fill="000000"/>
          <w:fitText w:val="-20" w:id="-1500780796"/>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6"/>
          <w14:textFill>
            <w14:solidFill>
              <w14:srgbClr w14:val="000000">
                <w14:alpha w14:val="100000"/>
              </w14:srgbClr>
            </w14:solidFill>
          </w14:textFill>
        </w:rPr>
        <w:t>|</w:t>
      </w:r>
      <w:r w:rsidR="002D7F4E">
        <w:t>)</w:t>
      </w:r>
      <w:r w:rsidR="00C31868">
        <w:t xml:space="preserve">, </w:t>
      </w:r>
      <w:r w:rsidR="002D7F4E">
        <w:t>and PSCR (</w:t>
      </w:r>
      <w:r w:rsidR="00C31868" w:rsidRPr="00F645B8">
        <w:t>$</w:t>
      </w:r>
      <w:r w:rsidR="008B4550" w:rsidRPr="003E504A">
        <w:rPr>
          <w:color w:val="000000"/>
          <w:w w:val="15"/>
          <w:shd w:val="solid" w:color="000000" w:fill="000000"/>
          <w:fitText w:val="-20" w:id="-1500780795"/>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795"/>
          <w14:textFill>
            <w14:solidFill>
              <w14:srgbClr w14:val="000000">
                <w14:alpha w14:val="100000"/>
              </w14:srgbClr>
            </w14:solidFill>
          </w14:textFill>
        </w:rPr>
        <w:t>|</w:t>
      </w:r>
      <w:r w:rsidR="002D7F4E">
        <w:t xml:space="preserve"> was the lowest </w:t>
      </w:r>
      <w:r w:rsidR="005201C3">
        <w:t>cost</w:t>
      </w:r>
      <w:r w:rsidR="002D7F4E">
        <w:t xml:space="preserve"> offered in the PSCR, which was based on the </w:t>
      </w:r>
      <w:r w:rsidR="00DA252E" w:rsidRPr="00ED6EDE">
        <w:t xml:space="preserve">piecewise extrapolation </w:t>
      </w:r>
      <w:r w:rsidR="00041C72" w:rsidRPr="00ED6EDE">
        <w:t xml:space="preserve">alternative base case). </w:t>
      </w:r>
    </w:p>
    <w:p w14:paraId="194D8A59" w14:textId="6CDDF259" w:rsidR="00020E37" w:rsidRPr="00ED6EDE" w:rsidRDefault="00462A11" w:rsidP="00175E5C">
      <w:pPr>
        <w:pStyle w:val="ListParagraph"/>
        <w:widowControl/>
        <w:numPr>
          <w:ilvl w:val="1"/>
          <w:numId w:val="2"/>
        </w:numPr>
        <w:spacing w:after="120"/>
        <w:rPr>
          <w:iCs/>
        </w:rPr>
      </w:pPr>
      <w:bookmarkStart w:id="53" w:name="_Ref95838518"/>
      <w:r w:rsidRPr="00ED6EDE">
        <w:rPr>
          <w:color w:val="000000" w:themeColor="text1"/>
        </w:rPr>
        <w:t xml:space="preserve">Sensitivity analyses were calculated </w:t>
      </w:r>
      <w:r w:rsidR="00020E37" w:rsidRPr="00ED6EDE">
        <w:rPr>
          <w:iCs/>
        </w:rPr>
        <w:t>during the evaluation</w:t>
      </w:r>
      <w:r w:rsidRPr="00ED6EDE">
        <w:rPr>
          <w:iCs/>
        </w:rPr>
        <w:t xml:space="preserve"> using</w:t>
      </w:r>
      <w:r w:rsidR="00020E37" w:rsidRPr="00ED6EDE">
        <w:rPr>
          <w:iCs/>
        </w:rPr>
        <w:t xml:space="preserve"> hypothetical effective prices </w:t>
      </w:r>
      <w:r w:rsidR="00CE2CB2" w:rsidRPr="00ED6EDE">
        <w:rPr>
          <w:iCs/>
        </w:rPr>
        <w:t>for pembrolizumab and lenvatinib</w:t>
      </w:r>
      <w:r w:rsidRPr="00ED6EDE">
        <w:rPr>
          <w:iCs/>
        </w:rPr>
        <w:t xml:space="preserve"> to achieve the proposed </w:t>
      </w:r>
      <w:r w:rsidR="00D21992" w:rsidRPr="001E21D6">
        <w:t>$75,000 to</w:t>
      </w:r>
      <w:r w:rsidR="00D21992">
        <w:t xml:space="preserve"> </w:t>
      </w:r>
      <w:r w:rsidR="00D21992" w:rsidRPr="001E21D6">
        <w:t>&lt; $95,000</w:t>
      </w:r>
      <w:r w:rsidR="00D21992">
        <w:t xml:space="preserve"> </w:t>
      </w:r>
      <w:r w:rsidRPr="00ED6EDE">
        <w:rPr>
          <w:iCs/>
        </w:rPr>
        <w:t>ICER</w:t>
      </w:r>
      <w:r w:rsidR="00434091">
        <w:rPr>
          <w:iCs/>
        </w:rPr>
        <w:t>.</w:t>
      </w:r>
      <w:r w:rsidRPr="00ED6EDE">
        <w:rPr>
          <w:iCs/>
        </w:rPr>
        <w:t xml:space="preserve"> </w:t>
      </w:r>
      <w:r w:rsidR="00434091">
        <w:rPr>
          <w:iCs/>
        </w:rPr>
        <w:t xml:space="preserve">The ESC also conducted analyses using a </w:t>
      </w:r>
      <w:r w:rsidR="00D21992" w:rsidRPr="001E21D6">
        <w:t>$</w:t>
      </w:r>
      <w:r w:rsidR="00D21992">
        <w:t>5</w:t>
      </w:r>
      <w:r w:rsidR="00D21992" w:rsidRPr="001E21D6">
        <w:t>5,000 to &lt; $</w:t>
      </w:r>
      <w:r w:rsidR="00D21992">
        <w:t>7</w:t>
      </w:r>
      <w:r w:rsidR="00D21992" w:rsidRPr="001E21D6">
        <w:t>5,000</w:t>
      </w:r>
      <w:r w:rsidR="00434091">
        <w:rPr>
          <w:iCs/>
        </w:rPr>
        <w:t>/QALY ICER threshold.</w:t>
      </w:r>
      <w:r w:rsidR="00020E37" w:rsidRPr="00ED6EDE">
        <w:rPr>
          <w:iCs/>
        </w:rPr>
        <w:t xml:space="preserve"> </w:t>
      </w:r>
      <w:r w:rsidR="00434091">
        <w:rPr>
          <w:iCs/>
        </w:rPr>
        <w:t>T</w:t>
      </w:r>
      <w:r w:rsidR="00434091" w:rsidRPr="00ED6EDE">
        <w:rPr>
          <w:iCs/>
        </w:rPr>
        <w:t>he same percent rebate (</w:t>
      </w:r>
      <w:r w:rsidR="00A67556" w:rsidRPr="003E504A">
        <w:rPr>
          <w:iCs/>
          <w:color w:val="000000"/>
          <w:w w:val="15"/>
          <w:shd w:val="solid" w:color="000000" w:fill="000000"/>
          <w:fitText w:val="-20" w:id="-1253929216"/>
          <w14:textFill>
            <w14:solidFill>
              <w14:srgbClr w14:val="000000">
                <w14:alpha w14:val="100000"/>
              </w14:srgbClr>
            </w14:solidFill>
          </w14:textFill>
        </w:rPr>
        <w:t xml:space="preserve">|  </w:t>
      </w:r>
      <w:r w:rsidR="00A67556" w:rsidRPr="003E504A">
        <w:rPr>
          <w:iCs/>
          <w:color w:val="000000"/>
          <w:spacing w:val="-69"/>
          <w:w w:val="15"/>
          <w:shd w:val="solid" w:color="000000" w:fill="000000"/>
          <w:fitText w:val="-20" w:id="-1253929216"/>
          <w14:textFill>
            <w14:solidFill>
              <w14:srgbClr w14:val="000000">
                <w14:alpha w14:val="100000"/>
              </w14:srgbClr>
            </w14:solidFill>
          </w14:textFill>
        </w:rPr>
        <w:t>|</w:t>
      </w:r>
      <w:r w:rsidR="00434091" w:rsidRPr="00ED6EDE">
        <w:rPr>
          <w:iCs/>
        </w:rPr>
        <w:t xml:space="preserve">%) </w:t>
      </w:r>
      <w:r w:rsidR="00434091">
        <w:rPr>
          <w:iCs/>
        </w:rPr>
        <w:t xml:space="preserve">was </w:t>
      </w:r>
      <w:r w:rsidR="00434091" w:rsidRPr="00ED6EDE">
        <w:rPr>
          <w:iCs/>
        </w:rPr>
        <w:t>applied to each drug</w:t>
      </w:r>
      <w:r w:rsidR="00434091">
        <w:rPr>
          <w:iCs/>
        </w:rPr>
        <w:t xml:space="preserve"> in order to </w:t>
      </w:r>
      <w:r w:rsidRPr="00ED6EDE">
        <w:rPr>
          <w:iCs/>
        </w:rPr>
        <w:t xml:space="preserve">incorporate the impact of </w:t>
      </w:r>
      <w:r w:rsidR="00B71009" w:rsidRPr="00ED6EDE">
        <w:rPr>
          <w:iCs/>
        </w:rPr>
        <w:t xml:space="preserve">the </w:t>
      </w:r>
      <w:r w:rsidRPr="00ED6EDE">
        <w:rPr>
          <w:iCs/>
        </w:rPr>
        <w:t>underpinning assumptions such as the duration of use of each component.</w:t>
      </w:r>
      <w:r w:rsidR="00154214" w:rsidRPr="00ED6EDE">
        <w:rPr>
          <w:iCs/>
        </w:rPr>
        <w:t xml:space="preserve"> </w:t>
      </w:r>
      <w:r w:rsidR="00020E37" w:rsidRPr="00ED6EDE">
        <w:rPr>
          <w:iCs/>
        </w:rPr>
        <w:t xml:space="preserve">The sensitivity analyses </w:t>
      </w:r>
      <w:r w:rsidR="002D7F4E">
        <w:rPr>
          <w:iCs/>
        </w:rPr>
        <w:t xml:space="preserve">on the base </w:t>
      </w:r>
      <w:r w:rsidR="002D7F4E" w:rsidRPr="00ED6EDE">
        <w:rPr>
          <w:iCs/>
        </w:rPr>
        <w:t xml:space="preserve">case </w:t>
      </w:r>
      <w:r w:rsidR="007866D9">
        <w:rPr>
          <w:iCs/>
        </w:rPr>
        <w:t>(</w:t>
      </w:r>
      <w:r w:rsidR="002D7F4E" w:rsidRPr="00ED6EDE">
        <w:rPr>
          <w:iCs/>
        </w:rPr>
        <w:t>one-piece extrapolation</w:t>
      </w:r>
      <w:r w:rsidR="007866D9">
        <w:rPr>
          <w:iCs/>
        </w:rPr>
        <w:t>) from the PSCR model</w:t>
      </w:r>
      <w:r w:rsidR="002D7F4E" w:rsidRPr="00ED6EDE">
        <w:t xml:space="preserve"> </w:t>
      </w:r>
      <w:r w:rsidR="002D7F4E">
        <w:t xml:space="preserve">are </w:t>
      </w:r>
      <w:r w:rsidR="00020E37" w:rsidRPr="00ED6EDE">
        <w:t xml:space="preserve">presented in </w:t>
      </w:r>
      <w:r w:rsidR="00020E37" w:rsidRPr="00ED6EDE">
        <w:rPr>
          <w:iCs/>
        </w:rPr>
        <w:fldChar w:fldCharType="begin"/>
      </w:r>
      <w:r w:rsidR="00020E37" w:rsidRPr="00ED6EDE">
        <w:rPr>
          <w:iCs/>
        </w:rPr>
        <w:instrText xml:space="preserve"> REF _Ref90032848 \h  \* MERGEFORMAT </w:instrText>
      </w:r>
      <w:r w:rsidR="00020E37" w:rsidRPr="00ED6EDE">
        <w:rPr>
          <w:iCs/>
        </w:rPr>
      </w:r>
      <w:r w:rsidR="00020E37" w:rsidRPr="00ED6EDE">
        <w:rPr>
          <w:iCs/>
        </w:rPr>
        <w:fldChar w:fldCharType="separate"/>
      </w:r>
      <w:r w:rsidR="004163DD" w:rsidRPr="004163DD">
        <w:rPr>
          <w:iCs/>
        </w:rPr>
        <w:t>Table 13</w:t>
      </w:r>
      <w:r w:rsidR="00020E37" w:rsidRPr="00ED6EDE">
        <w:rPr>
          <w:iCs/>
        </w:rPr>
        <w:fldChar w:fldCharType="end"/>
      </w:r>
      <w:r w:rsidR="00A92E0E" w:rsidRPr="00ED6EDE">
        <w:rPr>
          <w:iCs/>
        </w:rPr>
        <w:t xml:space="preserve"> </w:t>
      </w:r>
      <w:r w:rsidR="00020E37" w:rsidRPr="00ED6EDE">
        <w:rPr>
          <w:iCs/>
        </w:rPr>
        <w:t>based on these hypothetical prices.</w:t>
      </w:r>
      <w:r w:rsidR="00B92B51" w:rsidRPr="00ED6EDE">
        <w:rPr>
          <w:iCs/>
        </w:rPr>
        <w:t xml:space="preserve"> </w:t>
      </w:r>
      <w:bookmarkEnd w:id="53"/>
      <w:r w:rsidR="002D7F4E">
        <w:rPr>
          <w:iCs/>
        </w:rPr>
        <w:t>This table</w:t>
      </w:r>
      <w:r w:rsidR="00F675BB" w:rsidRPr="00ED6EDE">
        <w:rPr>
          <w:iCs/>
        </w:rPr>
        <w:t xml:space="preserve"> </w:t>
      </w:r>
      <w:r w:rsidR="00175E5C" w:rsidRPr="00ED6EDE">
        <w:rPr>
          <w:iCs/>
        </w:rPr>
        <w:t>also present</w:t>
      </w:r>
      <w:r w:rsidR="002D7F4E">
        <w:rPr>
          <w:iCs/>
        </w:rPr>
        <w:t>s</w:t>
      </w:r>
      <w:r w:rsidR="00175E5C" w:rsidRPr="00ED6EDE">
        <w:rPr>
          <w:iCs/>
        </w:rPr>
        <w:t xml:space="preserve"> a p</w:t>
      </w:r>
      <w:r w:rsidR="007866D9">
        <w:rPr>
          <w:iCs/>
        </w:rPr>
        <w:t>ercent change to the ICER/QALY (noting</w:t>
      </w:r>
      <w:r w:rsidR="00175E5C" w:rsidRPr="00ED6EDE">
        <w:rPr>
          <w:iCs/>
        </w:rPr>
        <w:t xml:space="preserve"> the absolute value is not presented as it is not meaningful when published prices are used</w:t>
      </w:r>
      <w:r w:rsidR="007866D9">
        <w:rPr>
          <w:iCs/>
        </w:rPr>
        <w:t>)</w:t>
      </w:r>
      <w:r w:rsidR="00175E5C" w:rsidRPr="00ED6EDE">
        <w:rPr>
          <w:iCs/>
        </w:rPr>
        <w:t>.</w:t>
      </w:r>
      <w:r w:rsidR="00767156" w:rsidRPr="00ED6EDE">
        <w:rPr>
          <w:iCs/>
        </w:rPr>
        <w:t xml:space="preserve"> Note that the cost per patient is based on discounted costs (rather than undiscounted costs, as used in the preceding tables).</w:t>
      </w:r>
    </w:p>
    <w:p w14:paraId="63501AA7" w14:textId="66E633F4" w:rsidR="00020E37" w:rsidRPr="00ED6EDE" w:rsidRDefault="00020E37" w:rsidP="004B4703">
      <w:pPr>
        <w:keepNext/>
        <w:keepLines/>
        <w:rPr>
          <w:rStyle w:val="CommentReference"/>
        </w:rPr>
      </w:pPr>
      <w:bookmarkStart w:id="54" w:name="_Ref90032848"/>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13</w:t>
      </w:r>
      <w:r w:rsidRPr="00ED6EDE">
        <w:rPr>
          <w:rStyle w:val="CommentReference"/>
        </w:rPr>
        <w:fldChar w:fldCharType="end"/>
      </w:r>
      <w:bookmarkEnd w:id="54"/>
      <w:r w:rsidRPr="00ED6EDE">
        <w:rPr>
          <w:rStyle w:val="CommentReference"/>
        </w:rPr>
        <w:t xml:space="preserve">: </w:t>
      </w:r>
      <w:r w:rsidR="00300BF0" w:rsidRPr="00ED6EDE">
        <w:rPr>
          <w:rStyle w:val="CommentReference"/>
        </w:rPr>
        <w:t>S</w:t>
      </w:r>
      <w:r w:rsidRPr="00ED6EDE">
        <w:rPr>
          <w:rStyle w:val="CommentReference"/>
        </w:rPr>
        <w:t>ensitivity analyses</w:t>
      </w:r>
      <w:r w:rsidR="00B92B51" w:rsidRPr="00ED6EDE">
        <w:rPr>
          <w:rStyle w:val="CommentReference"/>
        </w:rPr>
        <w:t xml:space="preserve"> based on PSCR one-piece base case</w:t>
      </w:r>
      <w:r w:rsidR="00DA252E" w:rsidRPr="00ED6EDE">
        <w:rPr>
          <w:rStyle w:val="CommentReference"/>
        </w:rPr>
        <w:t>, 8 year time horizon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1301"/>
        <w:gridCol w:w="1533"/>
        <w:gridCol w:w="1367"/>
      </w:tblGrid>
      <w:tr w:rsidR="00175E5C" w:rsidRPr="00ED6EDE" w14:paraId="489D9AC4" w14:textId="77777777" w:rsidTr="008B4550">
        <w:trPr>
          <w:tblHeader/>
        </w:trPr>
        <w:tc>
          <w:tcPr>
            <w:tcW w:w="4815" w:type="dxa"/>
            <w:vAlign w:val="center"/>
          </w:tcPr>
          <w:p w14:paraId="43BF46CA" w14:textId="77777777" w:rsidR="00175E5C" w:rsidRPr="00ED6EDE" w:rsidRDefault="00175E5C" w:rsidP="00175E5C">
            <w:pPr>
              <w:pStyle w:val="Tabletext"/>
              <w:keepNext/>
              <w:keepLines/>
              <w:tabs>
                <w:tab w:val="left" w:pos="142"/>
              </w:tabs>
              <w:rPr>
                <w:b/>
                <w:szCs w:val="20"/>
              </w:rPr>
            </w:pPr>
            <w:r w:rsidRPr="00ED6EDE">
              <w:rPr>
                <w:b/>
                <w:szCs w:val="20"/>
              </w:rPr>
              <w:t>Analyses</w:t>
            </w:r>
          </w:p>
        </w:tc>
        <w:tc>
          <w:tcPr>
            <w:tcW w:w="1301" w:type="dxa"/>
            <w:vAlign w:val="center"/>
          </w:tcPr>
          <w:p w14:paraId="1C0B892E" w14:textId="77777777" w:rsidR="00175E5C" w:rsidRPr="00ED6EDE" w:rsidRDefault="00175E5C" w:rsidP="007703B8">
            <w:pPr>
              <w:pStyle w:val="Tabletext"/>
              <w:keepNext/>
              <w:keepLines/>
              <w:jc w:val="center"/>
              <w:rPr>
                <w:b/>
                <w:szCs w:val="20"/>
              </w:rPr>
            </w:pPr>
            <w:r w:rsidRPr="00ED6EDE">
              <w:rPr>
                <w:b/>
                <w:szCs w:val="20"/>
              </w:rPr>
              <w:t>% change to ICER with published prices</w:t>
            </w:r>
          </w:p>
        </w:tc>
        <w:tc>
          <w:tcPr>
            <w:tcW w:w="1533" w:type="dxa"/>
            <w:tcBorders>
              <w:bottom w:val="single" w:sz="4" w:space="0" w:color="auto"/>
            </w:tcBorders>
            <w:vAlign w:val="center"/>
          </w:tcPr>
          <w:p w14:paraId="019A5C5E" w14:textId="68DCADC7" w:rsidR="00175E5C" w:rsidRPr="00ED6EDE" w:rsidRDefault="00175E5C" w:rsidP="007703B8">
            <w:pPr>
              <w:pStyle w:val="Tabletext"/>
              <w:keepNext/>
              <w:keepLines/>
              <w:jc w:val="center"/>
              <w:rPr>
                <w:b/>
                <w:szCs w:val="20"/>
              </w:rPr>
            </w:pPr>
            <w:r w:rsidRPr="00ED6EDE">
              <w:rPr>
                <w:b/>
                <w:szCs w:val="20"/>
              </w:rPr>
              <w:t>Cost</w:t>
            </w:r>
            <w:r w:rsidR="00EB239B" w:rsidRPr="00ED6EDE">
              <w:rPr>
                <w:b/>
                <w:szCs w:val="20"/>
              </w:rPr>
              <w:t xml:space="preserve"> per patient </w:t>
            </w:r>
            <w:r w:rsidR="00E75A60" w:rsidRPr="00ED6EDE">
              <w:rPr>
                <w:b/>
                <w:szCs w:val="20"/>
              </w:rPr>
              <w:t xml:space="preserve">based on </w:t>
            </w:r>
            <w:r w:rsidR="008B4550" w:rsidRPr="008B4550">
              <w:rPr>
                <w:b/>
                <w:color w:val="000000"/>
                <w:spacing w:val="38"/>
                <w:szCs w:val="20"/>
                <w:shd w:val="solid" w:color="000000" w:fill="000000"/>
                <w:fitText w:val="215" w:id="-1500780794"/>
                <w14:textFill>
                  <w14:solidFill>
                    <w14:srgbClr w14:val="000000">
                      <w14:alpha w14:val="100000"/>
                    </w14:srgbClr>
                  </w14:solidFill>
                </w14:textFill>
              </w:rPr>
              <w:t>||</w:t>
            </w:r>
            <w:r w:rsidR="008B4550" w:rsidRPr="008B4550">
              <w:rPr>
                <w:b/>
                <w:color w:val="000000"/>
                <w:spacing w:val="2"/>
                <w:szCs w:val="20"/>
                <w:shd w:val="solid" w:color="000000" w:fill="000000"/>
                <w:fitText w:val="215" w:id="-1500780794"/>
                <w14:textFill>
                  <w14:solidFill>
                    <w14:srgbClr w14:val="000000">
                      <w14:alpha w14:val="100000"/>
                    </w14:srgbClr>
                  </w14:solidFill>
                </w14:textFill>
              </w:rPr>
              <w:t>|</w:t>
            </w:r>
            <w:r w:rsidR="00D21992">
              <w:rPr>
                <w:b/>
                <w:szCs w:val="20"/>
                <w:vertAlign w:val="superscript"/>
              </w:rPr>
              <w:t>1</w:t>
            </w:r>
            <w:r w:rsidRPr="00ED6EDE">
              <w:rPr>
                <w:b/>
                <w:szCs w:val="20"/>
              </w:rPr>
              <w:t>/QALY</w:t>
            </w:r>
            <w:r w:rsidR="00E75A60" w:rsidRPr="00ED6EDE">
              <w:rPr>
                <w:b/>
                <w:szCs w:val="20"/>
              </w:rPr>
              <w:t xml:space="preserve"> threshold</w:t>
            </w:r>
            <w:r w:rsidR="00545EED">
              <w:rPr>
                <w:b/>
                <w:szCs w:val="20"/>
              </w:rPr>
              <w:t xml:space="preserve"> ($)</w:t>
            </w:r>
          </w:p>
        </w:tc>
        <w:tc>
          <w:tcPr>
            <w:tcW w:w="1367" w:type="dxa"/>
            <w:tcBorders>
              <w:bottom w:val="single" w:sz="4" w:space="0" w:color="auto"/>
            </w:tcBorders>
            <w:vAlign w:val="center"/>
          </w:tcPr>
          <w:p w14:paraId="19D62D89" w14:textId="42A31EB4" w:rsidR="00175E5C" w:rsidRPr="00ED6EDE" w:rsidRDefault="00175E5C" w:rsidP="00EB239B">
            <w:pPr>
              <w:pStyle w:val="Tabletext"/>
              <w:keepNext/>
              <w:keepLines/>
              <w:jc w:val="center"/>
              <w:rPr>
                <w:b/>
                <w:szCs w:val="20"/>
              </w:rPr>
            </w:pPr>
            <w:r w:rsidRPr="00ED6EDE">
              <w:rPr>
                <w:b/>
                <w:szCs w:val="20"/>
              </w:rPr>
              <w:t>Cost per patient</w:t>
            </w:r>
            <w:r w:rsidR="00EB239B" w:rsidRPr="00ED6EDE">
              <w:rPr>
                <w:b/>
                <w:szCs w:val="20"/>
              </w:rPr>
              <w:t xml:space="preserve"> b</w:t>
            </w:r>
            <w:r w:rsidR="00E75A60" w:rsidRPr="00ED6EDE">
              <w:rPr>
                <w:b/>
                <w:szCs w:val="20"/>
              </w:rPr>
              <w:t xml:space="preserve">ased on </w:t>
            </w:r>
            <w:r w:rsidR="008B4550" w:rsidRPr="008B4550">
              <w:rPr>
                <w:b/>
                <w:color w:val="000000"/>
                <w:spacing w:val="201"/>
                <w:szCs w:val="20"/>
                <w:shd w:val="solid" w:color="000000" w:fill="000000"/>
                <w:fitText w:val="293" w:id="-1500780793"/>
                <w14:textFill>
                  <w14:solidFill>
                    <w14:srgbClr w14:val="000000">
                      <w14:alpha w14:val="100000"/>
                    </w14:srgbClr>
                  </w14:solidFill>
                </w14:textFill>
              </w:rPr>
              <w:t>|</w:t>
            </w:r>
            <w:r w:rsidR="008B4550" w:rsidRPr="008B4550">
              <w:rPr>
                <w:b/>
                <w:color w:val="000000"/>
                <w:spacing w:val="1"/>
                <w:szCs w:val="20"/>
                <w:shd w:val="solid" w:color="000000" w:fill="000000"/>
                <w:fitText w:val="293" w:id="-1500780793"/>
                <w14:textFill>
                  <w14:solidFill>
                    <w14:srgbClr w14:val="000000">
                      <w14:alpha w14:val="100000"/>
                    </w14:srgbClr>
                  </w14:solidFill>
                </w14:textFill>
              </w:rPr>
              <w:t>|</w:t>
            </w:r>
            <w:r w:rsidR="00D21992">
              <w:rPr>
                <w:b/>
                <w:szCs w:val="20"/>
                <w:vertAlign w:val="superscript"/>
              </w:rPr>
              <w:t>2</w:t>
            </w:r>
            <w:r w:rsidRPr="00ED6EDE">
              <w:rPr>
                <w:b/>
                <w:szCs w:val="20"/>
              </w:rPr>
              <w:t>/QALY</w:t>
            </w:r>
            <w:r w:rsidR="00E75A60" w:rsidRPr="00ED6EDE">
              <w:rPr>
                <w:b/>
                <w:szCs w:val="20"/>
              </w:rPr>
              <w:t xml:space="preserve"> threshold</w:t>
            </w:r>
            <w:r w:rsidR="00545EED">
              <w:rPr>
                <w:b/>
                <w:szCs w:val="20"/>
              </w:rPr>
              <w:t xml:space="preserve"> ($)</w:t>
            </w:r>
          </w:p>
        </w:tc>
      </w:tr>
      <w:tr w:rsidR="00175E5C" w:rsidRPr="00ED6EDE" w14:paraId="67C68AE5" w14:textId="77777777" w:rsidTr="008B4550">
        <w:trPr>
          <w:trHeight w:val="213"/>
        </w:trPr>
        <w:tc>
          <w:tcPr>
            <w:tcW w:w="4815" w:type="dxa"/>
          </w:tcPr>
          <w:p w14:paraId="614726CF" w14:textId="77777777" w:rsidR="00175E5C" w:rsidRPr="00ED6EDE" w:rsidRDefault="00175E5C" w:rsidP="007703B8">
            <w:pPr>
              <w:pStyle w:val="Tabletext"/>
              <w:keepNext/>
              <w:keepLines/>
              <w:tabs>
                <w:tab w:val="left" w:pos="142"/>
              </w:tabs>
              <w:rPr>
                <w:b/>
                <w:szCs w:val="20"/>
              </w:rPr>
            </w:pPr>
            <w:r w:rsidRPr="00ED6EDE">
              <w:rPr>
                <w:b/>
                <w:szCs w:val="20"/>
              </w:rPr>
              <w:t>Base case</w:t>
            </w:r>
          </w:p>
        </w:tc>
        <w:tc>
          <w:tcPr>
            <w:tcW w:w="1301" w:type="dxa"/>
            <w:vAlign w:val="center"/>
          </w:tcPr>
          <w:p w14:paraId="01A8AE04" w14:textId="77777777" w:rsidR="00175E5C" w:rsidRPr="00ED6EDE" w:rsidRDefault="00175E5C" w:rsidP="007703B8">
            <w:pPr>
              <w:pStyle w:val="Tabletext"/>
              <w:keepNext/>
              <w:keepLines/>
              <w:jc w:val="center"/>
              <w:rPr>
                <w:b/>
                <w:szCs w:val="20"/>
              </w:rPr>
            </w:pPr>
            <w:r w:rsidRPr="00ED6EDE">
              <w:rPr>
                <w:b/>
                <w:szCs w:val="20"/>
              </w:rPr>
              <w:t>0%</w:t>
            </w:r>
          </w:p>
        </w:tc>
        <w:tc>
          <w:tcPr>
            <w:tcW w:w="1533" w:type="dxa"/>
            <w:shd w:val="solid" w:color="000000" w:fill="000000"/>
            <w:vAlign w:val="center"/>
          </w:tcPr>
          <w:p w14:paraId="3F2888A0" w14:textId="3CD1FCD2" w:rsidR="00175E5C" w:rsidRPr="00ED6EDE" w:rsidRDefault="008B4550" w:rsidP="007703B8">
            <w:pPr>
              <w:pStyle w:val="Tabletext"/>
              <w:keepNext/>
              <w:keepLines/>
              <w:jc w:val="center"/>
              <w:rPr>
                <w:b/>
                <w:iCs/>
                <w:szCs w:val="20"/>
              </w:rPr>
            </w:pPr>
            <w:r w:rsidRPr="008B4550">
              <w:rPr>
                <w:b/>
                <w:iCs/>
                <w:color w:val="000000"/>
                <w:szCs w:val="20"/>
                <w14:textFill>
                  <w14:solidFill>
                    <w14:srgbClr w14:val="000000">
                      <w14:alpha w14:val="100000"/>
                    </w14:srgbClr>
                  </w14:solidFill>
                </w14:textFill>
              </w:rPr>
              <w:t>|</w:t>
            </w:r>
          </w:p>
        </w:tc>
        <w:tc>
          <w:tcPr>
            <w:tcW w:w="1367" w:type="dxa"/>
            <w:shd w:val="solid" w:color="000000" w:fill="000000"/>
            <w:vAlign w:val="center"/>
          </w:tcPr>
          <w:p w14:paraId="110E2C4F" w14:textId="74D618DF" w:rsidR="00175E5C" w:rsidRPr="00ED6EDE" w:rsidDel="00B92B51" w:rsidRDefault="008B4550" w:rsidP="007703B8">
            <w:pPr>
              <w:pStyle w:val="Tabletext"/>
              <w:keepNext/>
              <w:keepLines/>
              <w:jc w:val="center"/>
              <w:rPr>
                <w:b/>
                <w:iCs/>
                <w:szCs w:val="20"/>
              </w:rPr>
            </w:pPr>
            <w:r w:rsidRPr="003E504A">
              <w:rPr>
                <w:rFonts w:hint="eastAsia"/>
                <w:b/>
                <w:iCs/>
                <w:color w:val="000000"/>
                <w:w w:val="15"/>
                <w:szCs w:val="20"/>
                <w:fitText w:val="16" w:id="-1500780792"/>
                <w14:textFill>
                  <w14:solidFill>
                    <w14:srgbClr w14:val="000000">
                      <w14:alpha w14:val="100000"/>
                    </w14:srgbClr>
                  </w14:solidFill>
                </w14:textFill>
              </w:rPr>
              <w:t xml:space="preserve">　</w:t>
            </w:r>
            <w:r w:rsidRPr="003E504A">
              <w:rPr>
                <w:b/>
                <w:iCs/>
                <w:color w:val="000000"/>
                <w:w w:val="15"/>
                <w:szCs w:val="20"/>
                <w:fitText w:val="16" w:id="-1500780792"/>
                <w14:textFill>
                  <w14:solidFill>
                    <w14:srgbClr w14:val="000000">
                      <w14:alpha w14:val="100000"/>
                    </w14:srgbClr>
                  </w14:solidFill>
                </w14:textFill>
              </w:rPr>
              <w:t>|</w:t>
            </w:r>
            <w:r w:rsidRPr="003E504A">
              <w:rPr>
                <w:rFonts w:hint="eastAsia"/>
                <w:b/>
                <w:iCs/>
                <w:color w:val="000000"/>
                <w:spacing w:val="-50"/>
                <w:w w:val="15"/>
                <w:szCs w:val="20"/>
                <w:fitText w:val="16" w:id="-1500780792"/>
                <w14:textFill>
                  <w14:solidFill>
                    <w14:srgbClr w14:val="000000">
                      <w14:alpha w14:val="100000"/>
                    </w14:srgbClr>
                  </w14:solidFill>
                </w14:textFill>
              </w:rPr>
              <w:t xml:space="preserve">　</w:t>
            </w:r>
          </w:p>
        </w:tc>
      </w:tr>
      <w:tr w:rsidR="00175E5C" w:rsidRPr="00ED6EDE" w14:paraId="01AA2E52" w14:textId="77777777" w:rsidTr="007703B8">
        <w:tc>
          <w:tcPr>
            <w:tcW w:w="9016" w:type="dxa"/>
            <w:gridSpan w:val="4"/>
            <w:vAlign w:val="center"/>
          </w:tcPr>
          <w:p w14:paraId="46CB55DF" w14:textId="77777777" w:rsidR="00175E5C" w:rsidRPr="00ED6EDE" w:rsidRDefault="00175E5C" w:rsidP="007703B8">
            <w:pPr>
              <w:pStyle w:val="Tabletext"/>
              <w:keepNext/>
              <w:keepLines/>
              <w:rPr>
                <w:b/>
                <w:iCs/>
                <w:szCs w:val="20"/>
              </w:rPr>
            </w:pPr>
            <w:r w:rsidRPr="00ED6EDE">
              <w:rPr>
                <w:b/>
                <w:iCs/>
                <w:szCs w:val="20"/>
              </w:rPr>
              <w:t>Univariate sensitivity analyses</w:t>
            </w:r>
          </w:p>
        </w:tc>
      </w:tr>
      <w:tr w:rsidR="00175E5C" w:rsidRPr="00ED6EDE" w14:paraId="3B5B3349" w14:textId="77777777" w:rsidTr="008B4550">
        <w:tc>
          <w:tcPr>
            <w:tcW w:w="4815" w:type="dxa"/>
          </w:tcPr>
          <w:p w14:paraId="78BFBF40" w14:textId="77777777" w:rsidR="00175E5C" w:rsidRPr="00ED6EDE" w:rsidRDefault="00175E5C" w:rsidP="007703B8">
            <w:pPr>
              <w:pStyle w:val="Tabletext"/>
              <w:keepNext/>
              <w:keepLines/>
              <w:rPr>
                <w:iCs/>
                <w:szCs w:val="20"/>
              </w:rPr>
            </w:pPr>
            <w:r w:rsidRPr="00ED6EDE">
              <w:rPr>
                <w:iCs/>
                <w:szCs w:val="20"/>
              </w:rPr>
              <w:t xml:space="preserve">Time horizon 5 years (vs 8 in PSCR) </w:t>
            </w:r>
          </w:p>
        </w:tc>
        <w:tc>
          <w:tcPr>
            <w:tcW w:w="1301" w:type="dxa"/>
            <w:vAlign w:val="center"/>
          </w:tcPr>
          <w:p w14:paraId="6F18F4AE" w14:textId="77777777" w:rsidR="00175E5C" w:rsidRPr="00ED6EDE" w:rsidRDefault="00175E5C" w:rsidP="007703B8">
            <w:pPr>
              <w:pStyle w:val="Tabletext"/>
              <w:keepNext/>
              <w:keepLines/>
              <w:jc w:val="center"/>
              <w:rPr>
                <w:iCs/>
                <w:szCs w:val="20"/>
              </w:rPr>
            </w:pPr>
            <w:r w:rsidRPr="00ED6EDE">
              <w:rPr>
                <w:iCs/>
                <w:szCs w:val="20"/>
              </w:rPr>
              <w:t>+31%</w:t>
            </w:r>
          </w:p>
        </w:tc>
        <w:tc>
          <w:tcPr>
            <w:tcW w:w="1533" w:type="dxa"/>
            <w:shd w:val="solid" w:color="000000" w:fill="000000"/>
            <w:vAlign w:val="center"/>
          </w:tcPr>
          <w:p w14:paraId="2B6FBB50" w14:textId="5EF04E7B" w:rsidR="00175E5C" w:rsidRPr="00ED6EDE" w:rsidRDefault="008B4550" w:rsidP="007703B8">
            <w:pPr>
              <w:pStyle w:val="Tabletext"/>
              <w:keepNext/>
              <w:keepLines/>
              <w:jc w:val="center"/>
              <w:rPr>
                <w:iCs/>
                <w:szCs w:val="20"/>
              </w:rPr>
            </w:pPr>
            <w:r w:rsidRPr="008B4550">
              <w:rPr>
                <w:iCs/>
                <w:color w:val="000000"/>
                <w:szCs w:val="20"/>
                <w14:textFill>
                  <w14:solidFill>
                    <w14:srgbClr w14:val="000000">
                      <w14:alpha w14:val="100000"/>
                    </w14:srgbClr>
                  </w14:solidFill>
                </w14:textFill>
              </w:rPr>
              <w:t>|</w:t>
            </w:r>
          </w:p>
        </w:tc>
        <w:tc>
          <w:tcPr>
            <w:tcW w:w="1367" w:type="dxa"/>
            <w:shd w:val="solid" w:color="000000" w:fill="000000"/>
            <w:vAlign w:val="center"/>
          </w:tcPr>
          <w:p w14:paraId="7871A887" w14:textId="3EB73E28" w:rsidR="00175E5C" w:rsidRPr="00ED6EDE" w:rsidRDefault="008B4550" w:rsidP="007703B8">
            <w:pPr>
              <w:pStyle w:val="Tabletext"/>
              <w:keepNext/>
              <w:keepLines/>
              <w:jc w:val="center"/>
              <w:rPr>
                <w:iCs/>
                <w:szCs w:val="20"/>
              </w:rPr>
            </w:pPr>
            <w:r w:rsidRPr="008B4550">
              <w:rPr>
                <w:iCs/>
                <w:color w:val="000000"/>
                <w:szCs w:val="20"/>
                <w14:textFill>
                  <w14:solidFill>
                    <w14:srgbClr w14:val="000000">
                      <w14:alpha w14:val="100000"/>
                    </w14:srgbClr>
                  </w14:solidFill>
                </w14:textFill>
              </w:rPr>
              <w:t>|</w:t>
            </w:r>
          </w:p>
        </w:tc>
      </w:tr>
      <w:tr w:rsidR="00175E5C" w:rsidRPr="00ED6EDE" w14:paraId="4A79DC6C" w14:textId="77777777" w:rsidTr="008B4550">
        <w:tc>
          <w:tcPr>
            <w:tcW w:w="7649" w:type="dxa"/>
            <w:gridSpan w:val="3"/>
            <w:vAlign w:val="center"/>
          </w:tcPr>
          <w:p w14:paraId="34CB5541" w14:textId="77777777" w:rsidR="00175E5C" w:rsidRPr="00ED6EDE" w:rsidRDefault="00175E5C" w:rsidP="007703B8">
            <w:pPr>
              <w:pStyle w:val="Tabletext"/>
              <w:keepNext/>
              <w:keepLines/>
              <w:rPr>
                <w:b/>
                <w:iCs/>
                <w:szCs w:val="20"/>
              </w:rPr>
            </w:pPr>
            <w:r w:rsidRPr="00ED6EDE">
              <w:rPr>
                <w:b/>
                <w:iCs/>
                <w:szCs w:val="20"/>
              </w:rPr>
              <w:t>Terminal care costs (base case: $51,413)</w:t>
            </w:r>
          </w:p>
        </w:tc>
        <w:tc>
          <w:tcPr>
            <w:tcW w:w="1367" w:type="dxa"/>
            <w:tcBorders>
              <w:bottom w:val="single" w:sz="4" w:space="0" w:color="auto"/>
            </w:tcBorders>
            <w:vAlign w:val="center"/>
          </w:tcPr>
          <w:p w14:paraId="7792815E" w14:textId="77777777" w:rsidR="00175E5C" w:rsidRPr="00ED6EDE" w:rsidRDefault="00175E5C" w:rsidP="007703B8">
            <w:pPr>
              <w:pStyle w:val="Tabletext"/>
              <w:keepNext/>
              <w:keepLines/>
              <w:jc w:val="center"/>
              <w:rPr>
                <w:b/>
                <w:iCs/>
                <w:szCs w:val="20"/>
              </w:rPr>
            </w:pPr>
          </w:p>
        </w:tc>
      </w:tr>
      <w:tr w:rsidR="00175E5C" w:rsidRPr="00ED6EDE" w14:paraId="1C893553" w14:textId="77777777" w:rsidTr="008B4550">
        <w:tc>
          <w:tcPr>
            <w:tcW w:w="4815" w:type="dxa"/>
          </w:tcPr>
          <w:p w14:paraId="4009FD04" w14:textId="77777777" w:rsidR="00175E5C" w:rsidRPr="00ED6EDE" w:rsidRDefault="00175E5C" w:rsidP="007703B8">
            <w:pPr>
              <w:pStyle w:val="Tabletext"/>
              <w:keepNext/>
              <w:keepLines/>
              <w:rPr>
                <w:iCs/>
                <w:szCs w:val="20"/>
              </w:rPr>
            </w:pPr>
            <w:r w:rsidRPr="00ED6EDE">
              <w:rPr>
                <w:iCs/>
                <w:szCs w:val="20"/>
              </w:rPr>
              <w:t>Terminal care costs removed</w:t>
            </w:r>
          </w:p>
        </w:tc>
        <w:tc>
          <w:tcPr>
            <w:tcW w:w="1301" w:type="dxa"/>
            <w:vAlign w:val="center"/>
          </w:tcPr>
          <w:p w14:paraId="5A3C5DDD" w14:textId="77777777" w:rsidR="00175E5C" w:rsidRPr="00ED6EDE" w:rsidRDefault="00175E5C" w:rsidP="007703B8">
            <w:pPr>
              <w:pStyle w:val="Tabletext"/>
              <w:keepNext/>
              <w:keepLines/>
              <w:jc w:val="center"/>
              <w:rPr>
                <w:iCs/>
                <w:szCs w:val="20"/>
              </w:rPr>
            </w:pPr>
            <w:r w:rsidRPr="00ED6EDE">
              <w:rPr>
                <w:iCs/>
                <w:szCs w:val="20"/>
              </w:rPr>
              <w:t>+4%</w:t>
            </w:r>
          </w:p>
        </w:tc>
        <w:tc>
          <w:tcPr>
            <w:tcW w:w="1533" w:type="dxa"/>
            <w:tcBorders>
              <w:bottom w:val="single" w:sz="4" w:space="0" w:color="auto"/>
            </w:tcBorders>
            <w:shd w:val="solid" w:color="000000" w:fill="000000"/>
            <w:vAlign w:val="center"/>
          </w:tcPr>
          <w:p w14:paraId="58E9D833" w14:textId="6AFD22E3"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1E181278" w14:textId="5D8C5452"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4697B117" w14:textId="77777777" w:rsidTr="008B4550">
        <w:tc>
          <w:tcPr>
            <w:tcW w:w="4815" w:type="dxa"/>
          </w:tcPr>
          <w:p w14:paraId="56CF7FAD" w14:textId="77777777" w:rsidR="00175E5C" w:rsidRPr="00ED6EDE" w:rsidRDefault="00175E5C" w:rsidP="007703B8">
            <w:pPr>
              <w:pStyle w:val="Tabletext"/>
              <w:keepNext/>
              <w:keepLines/>
              <w:rPr>
                <w:iCs/>
                <w:szCs w:val="20"/>
              </w:rPr>
            </w:pPr>
            <w:r w:rsidRPr="00ED6EDE">
              <w:rPr>
                <w:iCs/>
                <w:szCs w:val="20"/>
              </w:rPr>
              <w:t>Terminal care costs halved</w:t>
            </w:r>
          </w:p>
        </w:tc>
        <w:tc>
          <w:tcPr>
            <w:tcW w:w="1301" w:type="dxa"/>
            <w:vAlign w:val="center"/>
          </w:tcPr>
          <w:p w14:paraId="7161F779" w14:textId="77777777" w:rsidR="00175E5C" w:rsidRPr="00ED6EDE" w:rsidDel="00B92B51" w:rsidRDefault="00175E5C" w:rsidP="007703B8">
            <w:pPr>
              <w:pStyle w:val="Tabletext"/>
              <w:keepNext/>
              <w:keepLines/>
              <w:jc w:val="center"/>
              <w:rPr>
                <w:iCs/>
                <w:szCs w:val="20"/>
              </w:rPr>
            </w:pPr>
            <w:r w:rsidRPr="00ED6EDE">
              <w:rPr>
                <w:iCs/>
                <w:szCs w:val="20"/>
              </w:rPr>
              <w:t>+2%</w:t>
            </w:r>
          </w:p>
        </w:tc>
        <w:tc>
          <w:tcPr>
            <w:tcW w:w="1533" w:type="dxa"/>
            <w:shd w:val="solid" w:color="000000" w:fill="000000"/>
            <w:vAlign w:val="center"/>
          </w:tcPr>
          <w:p w14:paraId="565FBED0" w14:textId="3F95F638"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shd w:val="solid" w:color="000000" w:fill="000000"/>
            <w:vAlign w:val="center"/>
          </w:tcPr>
          <w:p w14:paraId="32281418" w14:textId="6D607A26"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52574422" w14:textId="77777777" w:rsidTr="007703B8">
        <w:tc>
          <w:tcPr>
            <w:tcW w:w="9016" w:type="dxa"/>
            <w:gridSpan w:val="4"/>
            <w:vAlign w:val="center"/>
          </w:tcPr>
          <w:p w14:paraId="44718710" w14:textId="77777777" w:rsidR="00175E5C" w:rsidRPr="00ED6EDE" w:rsidRDefault="00175E5C" w:rsidP="007703B8">
            <w:pPr>
              <w:pStyle w:val="Tabletext"/>
              <w:keepNext/>
              <w:keepLines/>
              <w:rPr>
                <w:b/>
                <w:iCs/>
                <w:szCs w:val="20"/>
              </w:rPr>
            </w:pPr>
            <w:r w:rsidRPr="00ED6EDE">
              <w:rPr>
                <w:b/>
                <w:iCs/>
                <w:szCs w:val="20"/>
              </w:rPr>
              <w:t>OS extrapolation (base case: PEM+LEN = log-normal; chemotherapy = gen-gamma)</w:t>
            </w:r>
          </w:p>
        </w:tc>
      </w:tr>
      <w:tr w:rsidR="00175E5C" w:rsidRPr="00ED6EDE" w14:paraId="194CCC89" w14:textId="77777777" w:rsidTr="008B4550">
        <w:tc>
          <w:tcPr>
            <w:tcW w:w="4815" w:type="dxa"/>
          </w:tcPr>
          <w:p w14:paraId="78DDA597" w14:textId="77777777" w:rsidR="00175E5C" w:rsidRPr="00ED6EDE" w:rsidRDefault="00175E5C" w:rsidP="007703B8">
            <w:pPr>
              <w:pStyle w:val="Tabletext"/>
              <w:keepNext/>
              <w:keepLines/>
              <w:rPr>
                <w:iCs/>
                <w:szCs w:val="20"/>
              </w:rPr>
            </w:pPr>
            <w:r w:rsidRPr="00ED6EDE">
              <w:rPr>
                <w:iCs/>
                <w:szCs w:val="20"/>
              </w:rPr>
              <w:t>Best fitting curve for OS for chemotherapy arm (log-logistic)</w:t>
            </w:r>
          </w:p>
        </w:tc>
        <w:tc>
          <w:tcPr>
            <w:tcW w:w="1301" w:type="dxa"/>
            <w:vAlign w:val="center"/>
          </w:tcPr>
          <w:p w14:paraId="6A267881" w14:textId="77777777" w:rsidR="00175E5C" w:rsidRPr="00ED6EDE" w:rsidRDefault="00175E5C" w:rsidP="007703B8">
            <w:pPr>
              <w:pStyle w:val="Tabletext"/>
              <w:keepNext/>
              <w:keepLines/>
              <w:jc w:val="center"/>
              <w:rPr>
                <w:iCs/>
                <w:szCs w:val="20"/>
              </w:rPr>
            </w:pPr>
            <w:r w:rsidRPr="00ED6EDE">
              <w:rPr>
                <w:iCs/>
                <w:szCs w:val="20"/>
              </w:rPr>
              <w:t>+16%</w:t>
            </w:r>
          </w:p>
        </w:tc>
        <w:tc>
          <w:tcPr>
            <w:tcW w:w="1533" w:type="dxa"/>
            <w:tcBorders>
              <w:bottom w:val="single" w:sz="4" w:space="0" w:color="auto"/>
            </w:tcBorders>
            <w:shd w:val="solid" w:color="000000" w:fill="000000"/>
            <w:vAlign w:val="center"/>
          </w:tcPr>
          <w:p w14:paraId="60E9E75F" w14:textId="30597A58"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085E00AE" w14:textId="3F3308F7"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762188A4" w14:textId="77777777" w:rsidTr="008B4550">
        <w:tc>
          <w:tcPr>
            <w:tcW w:w="4815" w:type="dxa"/>
          </w:tcPr>
          <w:p w14:paraId="324F5586" w14:textId="77777777" w:rsidR="00175E5C" w:rsidRPr="00ED6EDE" w:rsidRDefault="00175E5C" w:rsidP="007703B8">
            <w:pPr>
              <w:pStyle w:val="Tabletext"/>
              <w:keepNext/>
              <w:keepLines/>
              <w:rPr>
                <w:iCs/>
                <w:szCs w:val="20"/>
              </w:rPr>
            </w:pPr>
            <w:r w:rsidRPr="00ED6EDE">
              <w:rPr>
                <w:iCs/>
                <w:szCs w:val="20"/>
              </w:rPr>
              <w:t xml:space="preserve">Log normal in both arms </w:t>
            </w:r>
          </w:p>
        </w:tc>
        <w:tc>
          <w:tcPr>
            <w:tcW w:w="1301" w:type="dxa"/>
            <w:vAlign w:val="center"/>
          </w:tcPr>
          <w:p w14:paraId="2890C089" w14:textId="77777777" w:rsidR="00175E5C" w:rsidRPr="00ED6EDE" w:rsidRDefault="00175E5C" w:rsidP="007703B8">
            <w:pPr>
              <w:pStyle w:val="Tabletext"/>
              <w:keepNext/>
              <w:keepLines/>
              <w:jc w:val="center"/>
              <w:rPr>
                <w:iCs/>
                <w:szCs w:val="20"/>
              </w:rPr>
            </w:pPr>
            <w:r w:rsidRPr="00ED6EDE">
              <w:rPr>
                <w:iCs/>
                <w:szCs w:val="20"/>
              </w:rPr>
              <w:t>+15%</w:t>
            </w:r>
          </w:p>
        </w:tc>
        <w:tc>
          <w:tcPr>
            <w:tcW w:w="1533" w:type="dxa"/>
            <w:tcBorders>
              <w:bottom w:val="single" w:sz="4" w:space="0" w:color="auto"/>
            </w:tcBorders>
            <w:shd w:val="solid" w:color="000000" w:fill="000000"/>
            <w:vAlign w:val="center"/>
          </w:tcPr>
          <w:p w14:paraId="54370CDA" w14:textId="5242E735"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5EF4F32A" w14:textId="472D20F9"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4971B1BF" w14:textId="77777777" w:rsidTr="008B4550">
        <w:tc>
          <w:tcPr>
            <w:tcW w:w="4815" w:type="dxa"/>
          </w:tcPr>
          <w:p w14:paraId="7F83FB7A" w14:textId="77777777" w:rsidR="00175E5C" w:rsidRPr="00ED6EDE" w:rsidRDefault="00175E5C" w:rsidP="007703B8">
            <w:pPr>
              <w:pStyle w:val="Tabletext"/>
              <w:keepNext/>
              <w:keepLines/>
              <w:rPr>
                <w:iCs/>
                <w:szCs w:val="20"/>
              </w:rPr>
            </w:pPr>
            <w:r w:rsidRPr="00ED6EDE">
              <w:rPr>
                <w:iCs/>
                <w:szCs w:val="20"/>
              </w:rPr>
              <w:t xml:space="preserve">Generalised Gamma in both arms </w:t>
            </w:r>
          </w:p>
        </w:tc>
        <w:tc>
          <w:tcPr>
            <w:tcW w:w="1301" w:type="dxa"/>
            <w:vAlign w:val="center"/>
          </w:tcPr>
          <w:p w14:paraId="055379ED" w14:textId="77777777" w:rsidR="00175E5C" w:rsidRPr="00ED6EDE" w:rsidRDefault="00175E5C" w:rsidP="007703B8">
            <w:pPr>
              <w:pStyle w:val="Tabletext"/>
              <w:keepNext/>
              <w:keepLines/>
              <w:jc w:val="center"/>
              <w:rPr>
                <w:iCs/>
                <w:szCs w:val="20"/>
              </w:rPr>
            </w:pPr>
            <w:r w:rsidRPr="00ED6EDE">
              <w:rPr>
                <w:iCs/>
                <w:szCs w:val="20"/>
              </w:rPr>
              <w:t>+13%</w:t>
            </w:r>
          </w:p>
        </w:tc>
        <w:tc>
          <w:tcPr>
            <w:tcW w:w="1533" w:type="dxa"/>
            <w:shd w:val="solid" w:color="000000" w:fill="000000"/>
            <w:vAlign w:val="center"/>
          </w:tcPr>
          <w:p w14:paraId="6E791D49" w14:textId="77F5CB6A"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shd w:val="solid" w:color="000000" w:fill="000000"/>
            <w:vAlign w:val="center"/>
          </w:tcPr>
          <w:p w14:paraId="37656F75" w14:textId="75D60D9D"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4A720C37" w14:textId="77777777" w:rsidTr="007703B8">
        <w:tc>
          <w:tcPr>
            <w:tcW w:w="9016" w:type="dxa"/>
            <w:gridSpan w:val="4"/>
            <w:vAlign w:val="center"/>
          </w:tcPr>
          <w:p w14:paraId="29BCC8DA" w14:textId="77777777" w:rsidR="00175E5C" w:rsidRPr="00ED6EDE" w:rsidRDefault="00175E5C" w:rsidP="007703B8">
            <w:pPr>
              <w:pStyle w:val="Tabletext"/>
              <w:keepNext/>
              <w:keepLines/>
              <w:rPr>
                <w:b/>
                <w:szCs w:val="20"/>
              </w:rPr>
            </w:pPr>
            <w:r w:rsidRPr="00ED6EDE">
              <w:rPr>
                <w:b/>
                <w:szCs w:val="20"/>
              </w:rPr>
              <w:t>Patient population modelled (base case: based on KM curves from ITT population of KN775)</w:t>
            </w:r>
          </w:p>
        </w:tc>
      </w:tr>
      <w:tr w:rsidR="00175E5C" w:rsidRPr="00ED6EDE" w14:paraId="2849C951" w14:textId="77777777" w:rsidTr="008B4550">
        <w:tc>
          <w:tcPr>
            <w:tcW w:w="4815" w:type="dxa"/>
          </w:tcPr>
          <w:p w14:paraId="144B7C97" w14:textId="77777777" w:rsidR="00175E5C" w:rsidRPr="00ED6EDE" w:rsidRDefault="00175E5C" w:rsidP="007703B8">
            <w:pPr>
              <w:pStyle w:val="Tabletext"/>
              <w:keepNext/>
              <w:keepLines/>
              <w:rPr>
                <w:iCs/>
                <w:szCs w:val="20"/>
              </w:rPr>
            </w:pPr>
            <w:r w:rsidRPr="00ED6EDE">
              <w:rPr>
                <w:iCs/>
                <w:szCs w:val="20"/>
              </w:rPr>
              <w:t>pMMR patients (i.e. using the pMMR subgroup from KN775)</w:t>
            </w:r>
          </w:p>
        </w:tc>
        <w:tc>
          <w:tcPr>
            <w:tcW w:w="1301" w:type="dxa"/>
            <w:vAlign w:val="center"/>
          </w:tcPr>
          <w:p w14:paraId="2EF761D5" w14:textId="77777777" w:rsidR="00175E5C" w:rsidRPr="00ED6EDE" w:rsidDel="00B92B51" w:rsidRDefault="00175E5C" w:rsidP="007703B8">
            <w:pPr>
              <w:pStyle w:val="Tabletext"/>
              <w:keepNext/>
              <w:keepLines/>
              <w:jc w:val="center"/>
              <w:rPr>
                <w:iCs/>
                <w:szCs w:val="20"/>
              </w:rPr>
            </w:pPr>
            <w:r w:rsidRPr="00ED6EDE">
              <w:rPr>
                <w:iCs/>
                <w:szCs w:val="20"/>
              </w:rPr>
              <w:t>+9%</w:t>
            </w:r>
          </w:p>
        </w:tc>
        <w:tc>
          <w:tcPr>
            <w:tcW w:w="1533" w:type="dxa"/>
            <w:shd w:val="solid" w:color="000000" w:fill="000000"/>
            <w:vAlign w:val="center"/>
          </w:tcPr>
          <w:p w14:paraId="6370EBF6" w14:textId="76D0450B" w:rsidR="00175E5C" w:rsidRPr="00ED6EDE" w:rsidDel="00B92B51" w:rsidRDefault="008B4550" w:rsidP="007703B8">
            <w:pPr>
              <w:pStyle w:val="Tabletext"/>
              <w:keepNext/>
              <w:keepLines/>
              <w:jc w:val="center"/>
              <w:rPr>
                <w:szCs w:val="20"/>
              </w:rPr>
            </w:pPr>
            <w:r w:rsidRPr="008B4550">
              <w:rPr>
                <w:color w:val="000000"/>
                <w:szCs w:val="20"/>
                <w14:textFill>
                  <w14:solidFill>
                    <w14:srgbClr w14:val="000000">
                      <w14:alpha w14:val="100000"/>
                    </w14:srgbClr>
                  </w14:solidFill>
                </w14:textFill>
              </w:rPr>
              <w:t>|</w:t>
            </w:r>
          </w:p>
        </w:tc>
        <w:tc>
          <w:tcPr>
            <w:tcW w:w="1367" w:type="dxa"/>
            <w:shd w:val="solid" w:color="000000" w:fill="000000"/>
            <w:vAlign w:val="center"/>
          </w:tcPr>
          <w:p w14:paraId="7E19366C" w14:textId="555B781E" w:rsidR="00175E5C" w:rsidRPr="00ED6EDE" w:rsidRDefault="008B4550" w:rsidP="007703B8">
            <w:pPr>
              <w:pStyle w:val="Tabletext"/>
              <w:keepNext/>
              <w:keepLines/>
              <w:jc w:val="center"/>
              <w:rPr>
                <w:iCs/>
                <w:szCs w:val="20"/>
              </w:rPr>
            </w:pPr>
            <w:r w:rsidRPr="008B4550">
              <w:rPr>
                <w:iCs/>
                <w:color w:val="000000"/>
                <w:szCs w:val="20"/>
                <w14:textFill>
                  <w14:solidFill>
                    <w14:srgbClr w14:val="000000">
                      <w14:alpha w14:val="100000"/>
                    </w14:srgbClr>
                  </w14:solidFill>
                </w14:textFill>
              </w:rPr>
              <w:t>|</w:t>
            </w:r>
          </w:p>
        </w:tc>
      </w:tr>
      <w:tr w:rsidR="00175E5C" w:rsidRPr="00ED6EDE" w14:paraId="39E1C9D3" w14:textId="77777777" w:rsidTr="007703B8">
        <w:tc>
          <w:tcPr>
            <w:tcW w:w="9016" w:type="dxa"/>
            <w:gridSpan w:val="4"/>
            <w:vAlign w:val="center"/>
          </w:tcPr>
          <w:p w14:paraId="31BCFA79" w14:textId="77777777" w:rsidR="00175E5C" w:rsidRPr="00ED6EDE" w:rsidRDefault="00175E5C" w:rsidP="007703B8">
            <w:pPr>
              <w:pStyle w:val="Tabletext"/>
              <w:keepNext/>
              <w:keepLines/>
              <w:rPr>
                <w:b/>
                <w:szCs w:val="20"/>
              </w:rPr>
            </w:pPr>
            <w:r w:rsidRPr="00ED6EDE">
              <w:rPr>
                <w:b/>
                <w:szCs w:val="20"/>
              </w:rPr>
              <w:t>Utilities (base case: 0.736 in PFS; 0.70 in PD health state based on KN775)</w:t>
            </w:r>
          </w:p>
        </w:tc>
      </w:tr>
      <w:tr w:rsidR="00175E5C" w:rsidRPr="00ED6EDE" w14:paraId="760570D2" w14:textId="77777777" w:rsidTr="008B4550">
        <w:tc>
          <w:tcPr>
            <w:tcW w:w="4815" w:type="dxa"/>
          </w:tcPr>
          <w:p w14:paraId="260883A3" w14:textId="77777777" w:rsidR="00175E5C" w:rsidRPr="00ED6EDE" w:rsidRDefault="00175E5C" w:rsidP="007703B8">
            <w:pPr>
              <w:pStyle w:val="Tabletext"/>
              <w:keepNext/>
              <w:keepLines/>
              <w:rPr>
                <w:iCs/>
                <w:szCs w:val="20"/>
              </w:rPr>
            </w:pPr>
            <w:r w:rsidRPr="00ED6EDE">
              <w:rPr>
                <w:iCs/>
                <w:szCs w:val="20"/>
              </w:rPr>
              <w:t xml:space="preserve">Use Thurgar (2018) utilities (KN158) PFS: 0.817; PD: 0.779 </w:t>
            </w:r>
          </w:p>
        </w:tc>
        <w:tc>
          <w:tcPr>
            <w:tcW w:w="1301" w:type="dxa"/>
            <w:vAlign w:val="center"/>
          </w:tcPr>
          <w:p w14:paraId="2FAED1D8" w14:textId="77777777" w:rsidR="00175E5C" w:rsidRPr="00ED6EDE" w:rsidDel="00B92B51" w:rsidRDefault="00175E5C" w:rsidP="007703B8">
            <w:pPr>
              <w:pStyle w:val="Tabletext"/>
              <w:keepNext/>
              <w:keepLines/>
              <w:jc w:val="center"/>
              <w:rPr>
                <w:iCs/>
                <w:szCs w:val="20"/>
              </w:rPr>
            </w:pPr>
            <w:r w:rsidRPr="00ED6EDE">
              <w:rPr>
                <w:iCs/>
                <w:szCs w:val="20"/>
              </w:rPr>
              <w:t>-10%</w:t>
            </w:r>
          </w:p>
        </w:tc>
        <w:tc>
          <w:tcPr>
            <w:tcW w:w="1533" w:type="dxa"/>
            <w:tcBorders>
              <w:bottom w:val="single" w:sz="4" w:space="0" w:color="auto"/>
            </w:tcBorders>
            <w:shd w:val="solid" w:color="000000" w:fill="000000"/>
            <w:vAlign w:val="center"/>
          </w:tcPr>
          <w:p w14:paraId="60B505D6" w14:textId="4D210510" w:rsidR="00175E5C" w:rsidRPr="00545EED" w:rsidDel="00B92B51" w:rsidRDefault="008B4550" w:rsidP="007703B8">
            <w:pPr>
              <w:pStyle w:val="Tabletext"/>
              <w:keepNext/>
              <w:keepLines/>
              <w:jc w:val="center"/>
              <w:rPr>
                <w:szCs w:val="20"/>
                <w:highlight w:val="yellow"/>
              </w:rPr>
            </w:pPr>
            <w:r w:rsidRPr="008B4550">
              <w:rPr>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1BADCFB1" w14:textId="197F128E" w:rsidR="00175E5C" w:rsidRPr="00545EED" w:rsidDel="00B92B51" w:rsidRDefault="008B4550" w:rsidP="007703B8">
            <w:pPr>
              <w:pStyle w:val="Tabletext"/>
              <w:keepNext/>
              <w:keepLines/>
              <w:jc w:val="center"/>
              <w:rPr>
                <w:szCs w:val="20"/>
                <w:highlight w:val="yellow"/>
              </w:rPr>
            </w:pPr>
            <w:r w:rsidRPr="008B4550">
              <w:rPr>
                <w:color w:val="000000"/>
                <w:szCs w:val="20"/>
                <w14:textFill>
                  <w14:solidFill>
                    <w14:srgbClr w14:val="000000">
                      <w14:alpha w14:val="100000"/>
                    </w14:srgbClr>
                  </w14:solidFill>
                </w14:textFill>
              </w:rPr>
              <w:t>|</w:t>
            </w:r>
          </w:p>
        </w:tc>
      </w:tr>
      <w:tr w:rsidR="00175E5C" w:rsidRPr="00ED6EDE" w14:paraId="5817EA2F" w14:textId="77777777" w:rsidTr="008B4550">
        <w:tc>
          <w:tcPr>
            <w:tcW w:w="4815" w:type="dxa"/>
          </w:tcPr>
          <w:p w14:paraId="49C618FB" w14:textId="77777777" w:rsidR="00175E5C" w:rsidRPr="00ED6EDE" w:rsidRDefault="00175E5C" w:rsidP="007703B8">
            <w:pPr>
              <w:pStyle w:val="Tabletext"/>
              <w:keepNext/>
              <w:keepLines/>
              <w:rPr>
                <w:iCs/>
                <w:szCs w:val="20"/>
              </w:rPr>
            </w:pPr>
            <w:r w:rsidRPr="00ED6EDE">
              <w:rPr>
                <w:iCs/>
                <w:szCs w:val="20"/>
              </w:rPr>
              <w:t>10% lower utility in progressed disease health state</w:t>
            </w:r>
          </w:p>
        </w:tc>
        <w:tc>
          <w:tcPr>
            <w:tcW w:w="1301" w:type="dxa"/>
            <w:vAlign w:val="center"/>
          </w:tcPr>
          <w:p w14:paraId="4FB93637" w14:textId="77777777" w:rsidR="00175E5C" w:rsidRPr="00ED6EDE" w:rsidDel="00B92B51" w:rsidRDefault="00175E5C" w:rsidP="007703B8">
            <w:pPr>
              <w:pStyle w:val="Tabletext"/>
              <w:keepNext/>
              <w:keepLines/>
              <w:jc w:val="center"/>
              <w:rPr>
                <w:iCs/>
                <w:szCs w:val="20"/>
              </w:rPr>
            </w:pPr>
            <w:r w:rsidRPr="00ED6EDE">
              <w:rPr>
                <w:iCs/>
                <w:szCs w:val="20"/>
              </w:rPr>
              <w:t>+5%</w:t>
            </w:r>
          </w:p>
        </w:tc>
        <w:tc>
          <w:tcPr>
            <w:tcW w:w="1533" w:type="dxa"/>
            <w:shd w:val="solid" w:color="000000" w:fill="000000"/>
            <w:vAlign w:val="center"/>
          </w:tcPr>
          <w:p w14:paraId="0F61BE71" w14:textId="38B9DF1F" w:rsidR="00175E5C" w:rsidRPr="00545EED" w:rsidDel="00B92B51" w:rsidRDefault="008B4550" w:rsidP="007703B8">
            <w:pPr>
              <w:pStyle w:val="Tabletext"/>
              <w:keepNext/>
              <w:keepLines/>
              <w:jc w:val="center"/>
              <w:rPr>
                <w:szCs w:val="20"/>
                <w:highlight w:val="yellow"/>
              </w:rPr>
            </w:pPr>
            <w:r w:rsidRPr="008B4550">
              <w:rPr>
                <w:color w:val="000000"/>
                <w:szCs w:val="20"/>
                <w14:textFill>
                  <w14:solidFill>
                    <w14:srgbClr w14:val="000000">
                      <w14:alpha w14:val="100000"/>
                    </w14:srgbClr>
                  </w14:solidFill>
                </w14:textFill>
              </w:rPr>
              <w:t>|</w:t>
            </w:r>
          </w:p>
        </w:tc>
        <w:tc>
          <w:tcPr>
            <w:tcW w:w="1367" w:type="dxa"/>
            <w:shd w:val="solid" w:color="000000" w:fill="000000"/>
            <w:vAlign w:val="center"/>
          </w:tcPr>
          <w:p w14:paraId="33D39C17" w14:textId="21202212"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4CC1FC94" w14:textId="77777777" w:rsidTr="007703B8">
        <w:tc>
          <w:tcPr>
            <w:tcW w:w="9016" w:type="dxa"/>
            <w:gridSpan w:val="4"/>
            <w:vAlign w:val="center"/>
          </w:tcPr>
          <w:p w14:paraId="287FE006" w14:textId="77777777" w:rsidR="00175E5C" w:rsidRPr="00ED6EDE" w:rsidRDefault="00175E5C" w:rsidP="007703B8">
            <w:pPr>
              <w:pStyle w:val="Tabletext"/>
              <w:keepNext/>
              <w:keepLines/>
              <w:rPr>
                <w:b/>
                <w:iCs/>
                <w:szCs w:val="20"/>
              </w:rPr>
            </w:pPr>
            <w:r w:rsidRPr="00ED6EDE">
              <w:rPr>
                <w:b/>
                <w:iCs/>
                <w:szCs w:val="20"/>
              </w:rPr>
              <w:t>Other</w:t>
            </w:r>
          </w:p>
        </w:tc>
      </w:tr>
      <w:tr w:rsidR="00175E5C" w:rsidRPr="00ED6EDE" w14:paraId="400BA6E3" w14:textId="77777777" w:rsidTr="008B4550">
        <w:tc>
          <w:tcPr>
            <w:tcW w:w="4815" w:type="dxa"/>
          </w:tcPr>
          <w:p w14:paraId="49038EA9" w14:textId="77777777" w:rsidR="00175E5C" w:rsidRPr="00ED6EDE" w:rsidRDefault="00175E5C" w:rsidP="007703B8">
            <w:pPr>
              <w:pStyle w:val="Tabletext"/>
              <w:keepNext/>
              <w:keepLines/>
              <w:rPr>
                <w:szCs w:val="20"/>
              </w:rPr>
            </w:pPr>
            <w:r w:rsidRPr="00ED6EDE">
              <w:rPr>
                <w:szCs w:val="20"/>
              </w:rPr>
              <w:t>No lenvatinib ToT truncation</w:t>
            </w:r>
          </w:p>
        </w:tc>
        <w:tc>
          <w:tcPr>
            <w:tcW w:w="1301" w:type="dxa"/>
            <w:vAlign w:val="center"/>
          </w:tcPr>
          <w:p w14:paraId="2884BB85" w14:textId="77777777" w:rsidR="00175E5C" w:rsidRPr="00ED6EDE" w:rsidRDefault="00175E5C" w:rsidP="007703B8">
            <w:pPr>
              <w:pStyle w:val="Tabletext"/>
              <w:keepNext/>
              <w:keepLines/>
              <w:jc w:val="center"/>
              <w:rPr>
                <w:szCs w:val="20"/>
              </w:rPr>
            </w:pPr>
            <w:r w:rsidRPr="00ED6EDE">
              <w:rPr>
                <w:szCs w:val="20"/>
              </w:rPr>
              <w:t>+3%</w:t>
            </w:r>
          </w:p>
        </w:tc>
        <w:tc>
          <w:tcPr>
            <w:tcW w:w="1533" w:type="dxa"/>
            <w:tcBorders>
              <w:bottom w:val="single" w:sz="4" w:space="0" w:color="auto"/>
            </w:tcBorders>
            <w:shd w:val="solid" w:color="000000" w:fill="000000"/>
            <w:vAlign w:val="center"/>
          </w:tcPr>
          <w:p w14:paraId="071A93CB" w14:textId="050AC509"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21A4883F" w14:textId="6CB0E2F9"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44BFB7FB" w14:textId="77777777" w:rsidTr="008B4550">
        <w:tc>
          <w:tcPr>
            <w:tcW w:w="4815" w:type="dxa"/>
          </w:tcPr>
          <w:p w14:paraId="1A0E2FAE" w14:textId="77777777" w:rsidR="00175E5C" w:rsidRPr="00ED6EDE" w:rsidRDefault="00175E5C" w:rsidP="007703B8">
            <w:pPr>
              <w:pStyle w:val="Tabletext"/>
              <w:keepNext/>
              <w:keepLines/>
              <w:rPr>
                <w:iCs/>
                <w:szCs w:val="20"/>
              </w:rPr>
            </w:pPr>
            <w:r w:rsidRPr="00ED6EDE">
              <w:rPr>
                <w:iCs/>
                <w:szCs w:val="20"/>
              </w:rPr>
              <w:t>No pembrolizumab ToT truncation</w:t>
            </w:r>
          </w:p>
        </w:tc>
        <w:tc>
          <w:tcPr>
            <w:tcW w:w="1301" w:type="dxa"/>
            <w:vAlign w:val="center"/>
          </w:tcPr>
          <w:p w14:paraId="2D47D831" w14:textId="77777777" w:rsidR="00175E5C" w:rsidRPr="00ED6EDE" w:rsidRDefault="00175E5C" w:rsidP="007703B8">
            <w:pPr>
              <w:pStyle w:val="Tabletext"/>
              <w:keepNext/>
              <w:keepLines/>
              <w:jc w:val="center"/>
              <w:rPr>
                <w:iCs/>
                <w:szCs w:val="20"/>
              </w:rPr>
            </w:pPr>
            <w:r w:rsidRPr="00ED6EDE">
              <w:rPr>
                <w:iCs/>
                <w:szCs w:val="20"/>
              </w:rPr>
              <w:t>+14%</w:t>
            </w:r>
          </w:p>
        </w:tc>
        <w:tc>
          <w:tcPr>
            <w:tcW w:w="1533" w:type="dxa"/>
            <w:tcBorders>
              <w:bottom w:val="single" w:sz="4" w:space="0" w:color="auto"/>
            </w:tcBorders>
            <w:shd w:val="solid" w:color="000000" w:fill="000000"/>
            <w:vAlign w:val="center"/>
          </w:tcPr>
          <w:p w14:paraId="383D8932" w14:textId="34162707"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2BC52240" w14:textId="2200B3B8"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1ED53828" w14:textId="77777777" w:rsidTr="008B4550">
        <w:tc>
          <w:tcPr>
            <w:tcW w:w="4815" w:type="dxa"/>
          </w:tcPr>
          <w:p w14:paraId="0A020402" w14:textId="77777777" w:rsidR="00175E5C" w:rsidRPr="00ED6EDE" w:rsidRDefault="00175E5C" w:rsidP="007703B8">
            <w:pPr>
              <w:pStyle w:val="Tabletext"/>
              <w:keepNext/>
              <w:keepLines/>
              <w:rPr>
                <w:iCs/>
                <w:szCs w:val="20"/>
              </w:rPr>
            </w:pPr>
            <w:r w:rsidRPr="00ED6EDE">
              <w:rPr>
                <w:szCs w:val="20"/>
              </w:rPr>
              <w:t>Discount rate 0% (vs 5%)</w:t>
            </w:r>
          </w:p>
        </w:tc>
        <w:tc>
          <w:tcPr>
            <w:tcW w:w="1301" w:type="dxa"/>
            <w:shd w:val="clear" w:color="auto" w:fill="auto"/>
            <w:vAlign w:val="center"/>
          </w:tcPr>
          <w:p w14:paraId="0A6082D1" w14:textId="77777777" w:rsidR="00175E5C" w:rsidRPr="00ED6EDE" w:rsidDel="00B92B51" w:rsidRDefault="00175E5C" w:rsidP="007703B8">
            <w:pPr>
              <w:pStyle w:val="Tabletext"/>
              <w:keepNext/>
              <w:keepLines/>
              <w:jc w:val="center"/>
              <w:rPr>
                <w:iCs/>
                <w:szCs w:val="20"/>
              </w:rPr>
            </w:pPr>
            <w:r w:rsidRPr="00ED6EDE">
              <w:rPr>
                <w:iCs/>
                <w:szCs w:val="20"/>
              </w:rPr>
              <w:t>-12%</w:t>
            </w:r>
          </w:p>
        </w:tc>
        <w:tc>
          <w:tcPr>
            <w:tcW w:w="1533" w:type="dxa"/>
            <w:tcBorders>
              <w:bottom w:val="single" w:sz="4" w:space="0" w:color="auto"/>
            </w:tcBorders>
            <w:shd w:val="solid" w:color="000000" w:fill="000000"/>
            <w:vAlign w:val="center"/>
          </w:tcPr>
          <w:p w14:paraId="33874758" w14:textId="4BC41E3A"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67C8D661" w14:textId="20B581EE"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05DD2D99" w14:textId="77777777" w:rsidTr="008B4550">
        <w:tc>
          <w:tcPr>
            <w:tcW w:w="4815" w:type="dxa"/>
          </w:tcPr>
          <w:p w14:paraId="74D8261A" w14:textId="77777777" w:rsidR="00175E5C" w:rsidRPr="00ED6EDE" w:rsidRDefault="00175E5C" w:rsidP="007703B8">
            <w:pPr>
              <w:pStyle w:val="Tabletext"/>
              <w:keepNext/>
              <w:keepLines/>
              <w:rPr>
                <w:iCs/>
                <w:szCs w:val="20"/>
              </w:rPr>
            </w:pPr>
            <w:r w:rsidRPr="00ED6EDE">
              <w:rPr>
                <w:szCs w:val="20"/>
              </w:rPr>
              <w:t xml:space="preserve">Discount rate 3.5% (vs 5%) </w:t>
            </w:r>
          </w:p>
        </w:tc>
        <w:tc>
          <w:tcPr>
            <w:tcW w:w="1301" w:type="dxa"/>
            <w:shd w:val="clear" w:color="auto" w:fill="auto"/>
            <w:vAlign w:val="center"/>
          </w:tcPr>
          <w:p w14:paraId="233AAFE7" w14:textId="77777777" w:rsidR="00175E5C" w:rsidRPr="00ED6EDE" w:rsidDel="00B92B51" w:rsidRDefault="00175E5C" w:rsidP="007703B8">
            <w:pPr>
              <w:pStyle w:val="Tabletext"/>
              <w:keepNext/>
              <w:keepLines/>
              <w:jc w:val="center"/>
              <w:rPr>
                <w:iCs/>
                <w:szCs w:val="20"/>
              </w:rPr>
            </w:pPr>
            <w:r w:rsidRPr="00ED6EDE">
              <w:rPr>
                <w:iCs/>
                <w:szCs w:val="20"/>
              </w:rPr>
              <w:t>-4%</w:t>
            </w:r>
          </w:p>
        </w:tc>
        <w:tc>
          <w:tcPr>
            <w:tcW w:w="1533" w:type="dxa"/>
            <w:shd w:val="solid" w:color="000000" w:fill="000000"/>
            <w:vAlign w:val="center"/>
          </w:tcPr>
          <w:p w14:paraId="1D7AFF85" w14:textId="5F876DB9"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shd w:val="solid" w:color="000000" w:fill="000000"/>
            <w:vAlign w:val="center"/>
          </w:tcPr>
          <w:p w14:paraId="12A9598D" w14:textId="588ECE8E"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3A1DF3BB" w14:textId="77777777" w:rsidTr="007703B8">
        <w:tc>
          <w:tcPr>
            <w:tcW w:w="9016" w:type="dxa"/>
            <w:gridSpan w:val="4"/>
            <w:vAlign w:val="center"/>
          </w:tcPr>
          <w:p w14:paraId="112B02FA" w14:textId="77777777" w:rsidR="00175E5C" w:rsidRPr="00ED6EDE" w:rsidRDefault="00175E5C" w:rsidP="007703B8">
            <w:pPr>
              <w:pStyle w:val="Tabletext"/>
              <w:keepNext/>
              <w:keepLines/>
              <w:rPr>
                <w:b/>
                <w:iCs/>
                <w:szCs w:val="20"/>
              </w:rPr>
            </w:pPr>
            <w:r w:rsidRPr="00ED6EDE">
              <w:rPr>
                <w:b/>
                <w:iCs/>
                <w:szCs w:val="20"/>
              </w:rPr>
              <w:t xml:space="preserve">Multivariate sensitivity analyses </w:t>
            </w:r>
          </w:p>
        </w:tc>
      </w:tr>
      <w:tr w:rsidR="00175E5C" w:rsidRPr="00ED6EDE" w14:paraId="58A1F617" w14:textId="77777777" w:rsidTr="008B4550">
        <w:tc>
          <w:tcPr>
            <w:tcW w:w="4815" w:type="dxa"/>
          </w:tcPr>
          <w:p w14:paraId="2A1C2EA4" w14:textId="77777777" w:rsidR="00175E5C" w:rsidRPr="00ED6EDE" w:rsidRDefault="00175E5C" w:rsidP="007703B8">
            <w:pPr>
              <w:pStyle w:val="Tabletext"/>
              <w:keepNext/>
              <w:keepLines/>
              <w:rPr>
                <w:iCs/>
                <w:szCs w:val="20"/>
              </w:rPr>
            </w:pPr>
            <w:r w:rsidRPr="00ED6EDE">
              <w:rPr>
                <w:iCs/>
                <w:szCs w:val="20"/>
              </w:rPr>
              <w:t>5 year time horizon + pMMR subgroup</w:t>
            </w:r>
          </w:p>
        </w:tc>
        <w:tc>
          <w:tcPr>
            <w:tcW w:w="1301" w:type="dxa"/>
            <w:shd w:val="clear" w:color="auto" w:fill="auto"/>
            <w:vAlign w:val="center"/>
          </w:tcPr>
          <w:p w14:paraId="16361E06" w14:textId="77777777" w:rsidR="00175E5C" w:rsidRPr="00ED6EDE" w:rsidDel="00B92B51" w:rsidRDefault="00175E5C" w:rsidP="007703B8">
            <w:pPr>
              <w:pStyle w:val="Tabletext"/>
              <w:keepNext/>
              <w:keepLines/>
              <w:jc w:val="center"/>
              <w:rPr>
                <w:iCs/>
                <w:szCs w:val="20"/>
              </w:rPr>
            </w:pPr>
            <w:r w:rsidRPr="00ED6EDE">
              <w:rPr>
                <w:iCs/>
                <w:szCs w:val="20"/>
              </w:rPr>
              <w:t>+41%</w:t>
            </w:r>
          </w:p>
        </w:tc>
        <w:tc>
          <w:tcPr>
            <w:tcW w:w="1533" w:type="dxa"/>
            <w:tcBorders>
              <w:bottom w:val="single" w:sz="4" w:space="0" w:color="auto"/>
            </w:tcBorders>
            <w:shd w:val="solid" w:color="000000" w:fill="000000"/>
            <w:vAlign w:val="center"/>
          </w:tcPr>
          <w:p w14:paraId="352A9ADB" w14:textId="7CA81E71"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3E8392C2" w14:textId="3072072D"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7F0BB145" w14:textId="77777777" w:rsidTr="008B4550">
        <w:tc>
          <w:tcPr>
            <w:tcW w:w="4815" w:type="dxa"/>
          </w:tcPr>
          <w:p w14:paraId="586AB37C" w14:textId="77777777" w:rsidR="00175E5C" w:rsidRPr="00ED6EDE" w:rsidRDefault="00175E5C" w:rsidP="007703B8">
            <w:pPr>
              <w:pStyle w:val="Tabletext"/>
              <w:keepNext/>
              <w:keepLines/>
              <w:rPr>
                <w:iCs/>
                <w:szCs w:val="20"/>
              </w:rPr>
            </w:pPr>
            <w:r w:rsidRPr="00ED6EDE">
              <w:rPr>
                <w:iCs/>
                <w:szCs w:val="20"/>
              </w:rPr>
              <w:t>5 year time horizon + terminal care costs removed</w:t>
            </w:r>
          </w:p>
        </w:tc>
        <w:tc>
          <w:tcPr>
            <w:tcW w:w="1301" w:type="dxa"/>
            <w:shd w:val="clear" w:color="auto" w:fill="auto"/>
            <w:vAlign w:val="center"/>
          </w:tcPr>
          <w:p w14:paraId="107481CD" w14:textId="77777777" w:rsidR="00175E5C" w:rsidRPr="00ED6EDE" w:rsidDel="00B92B51" w:rsidRDefault="00175E5C" w:rsidP="007703B8">
            <w:pPr>
              <w:pStyle w:val="Tabletext"/>
              <w:keepNext/>
              <w:keepLines/>
              <w:jc w:val="center"/>
              <w:rPr>
                <w:iCs/>
                <w:szCs w:val="20"/>
              </w:rPr>
            </w:pPr>
            <w:r w:rsidRPr="00ED6EDE">
              <w:rPr>
                <w:iCs/>
                <w:szCs w:val="20"/>
              </w:rPr>
              <w:t>+38%</w:t>
            </w:r>
          </w:p>
        </w:tc>
        <w:tc>
          <w:tcPr>
            <w:tcW w:w="1533" w:type="dxa"/>
            <w:tcBorders>
              <w:bottom w:val="single" w:sz="4" w:space="0" w:color="auto"/>
            </w:tcBorders>
            <w:shd w:val="solid" w:color="000000" w:fill="000000"/>
            <w:vAlign w:val="center"/>
          </w:tcPr>
          <w:p w14:paraId="60A46292" w14:textId="7915CE23"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1D6677B9" w14:textId="213C20E8"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1A3D347D" w14:textId="77777777" w:rsidTr="008B4550">
        <w:tc>
          <w:tcPr>
            <w:tcW w:w="4815" w:type="dxa"/>
          </w:tcPr>
          <w:p w14:paraId="7E9CA5B0" w14:textId="77777777" w:rsidR="00175E5C" w:rsidRPr="00ED6EDE" w:rsidRDefault="00175E5C" w:rsidP="007703B8">
            <w:pPr>
              <w:pStyle w:val="Tabletext"/>
              <w:keepNext/>
              <w:keepLines/>
              <w:rPr>
                <w:iCs/>
                <w:szCs w:val="20"/>
              </w:rPr>
            </w:pPr>
            <w:r w:rsidRPr="00ED6EDE">
              <w:rPr>
                <w:iCs/>
                <w:szCs w:val="20"/>
              </w:rPr>
              <w:t>5 year time horizon + terminal care costs removed + pMMR subgroup</w:t>
            </w:r>
          </w:p>
        </w:tc>
        <w:tc>
          <w:tcPr>
            <w:tcW w:w="1301" w:type="dxa"/>
            <w:shd w:val="clear" w:color="auto" w:fill="auto"/>
            <w:vAlign w:val="center"/>
          </w:tcPr>
          <w:p w14:paraId="5A8D5A6E" w14:textId="77777777" w:rsidR="00175E5C" w:rsidRPr="00ED6EDE" w:rsidDel="00B92B51" w:rsidRDefault="00175E5C" w:rsidP="007703B8">
            <w:pPr>
              <w:pStyle w:val="Tabletext"/>
              <w:keepNext/>
              <w:keepLines/>
              <w:jc w:val="center"/>
              <w:rPr>
                <w:iCs/>
                <w:szCs w:val="20"/>
              </w:rPr>
            </w:pPr>
            <w:r w:rsidRPr="00ED6EDE">
              <w:rPr>
                <w:iCs/>
                <w:szCs w:val="20"/>
              </w:rPr>
              <w:t>+48%</w:t>
            </w:r>
          </w:p>
        </w:tc>
        <w:tc>
          <w:tcPr>
            <w:tcW w:w="1533" w:type="dxa"/>
            <w:tcBorders>
              <w:bottom w:val="single" w:sz="4" w:space="0" w:color="auto"/>
            </w:tcBorders>
            <w:shd w:val="solid" w:color="000000" w:fill="000000"/>
            <w:vAlign w:val="center"/>
          </w:tcPr>
          <w:p w14:paraId="7BD313C9" w14:textId="0314034A" w:rsidR="00175E5C" w:rsidRPr="00545EED" w:rsidDel="00B92B51" w:rsidRDefault="008B4550" w:rsidP="00767156">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tcBorders>
              <w:bottom w:val="single" w:sz="4" w:space="0" w:color="auto"/>
            </w:tcBorders>
            <w:shd w:val="solid" w:color="000000" w:fill="000000"/>
            <w:vAlign w:val="center"/>
          </w:tcPr>
          <w:p w14:paraId="6BAB0073" w14:textId="63B272D7"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r w:rsidR="00175E5C" w:rsidRPr="00ED6EDE" w14:paraId="5E618519" w14:textId="77777777" w:rsidTr="008B4550">
        <w:tc>
          <w:tcPr>
            <w:tcW w:w="4815" w:type="dxa"/>
          </w:tcPr>
          <w:p w14:paraId="39136ADD" w14:textId="77777777" w:rsidR="00175E5C" w:rsidRPr="00ED6EDE" w:rsidRDefault="00175E5C" w:rsidP="007703B8">
            <w:pPr>
              <w:pStyle w:val="Tabletext"/>
              <w:keepNext/>
              <w:keepLines/>
              <w:rPr>
                <w:iCs/>
                <w:szCs w:val="20"/>
              </w:rPr>
            </w:pPr>
            <w:r w:rsidRPr="00ED6EDE">
              <w:rPr>
                <w:iCs/>
                <w:szCs w:val="20"/>
              </w:rPr>
              <w:t>Best fitting curve for chemotherapy for OS + terminal care costs removed + pMMR subgroup</w:t>
            </w:r>
          </w:p>
        </w:tc>
        <w:tc>
          <w:tcPr>
            <w:tcW w:w="1301" w:type="dxa"/>
            <w:shd w:val="clear" w:color="auto" w:fill="auto"/>
            <w:vAlign w:val="center"/>
          </w:tcPr>
          <w:p w14:paraId="38F776C1" w14:textId="77777777" w:rsidR="00175E5C" w:rsidRPr="00ED6EDE" w:rsidDel="00B92B51" w:rsidRDefault="00175E5C" w:rsidP="007703B8">
            <w:pPr>
              <w:pStyle w:val="Tabletext"/>
              <w:keepNext/>
              <w:keepLines/>
              <w:jc w:val="center"/>
              <w:rPr>
                <w:iCs/>
                <w:szCs w:val="20"/>
              </w:rPr>
            </w:pPr>
            <w:r w:rsidRPr="00ED6EDE">
              <w:rPr>
                <w:iCs/>
                <w:szCs w:val="20"/>
              </w:rPr>
              <w:t>+36%</w:t>
            </w:r>
          </w:p>
        </w:tc>
        <w:tc>
          <w:tcPr>
            <w:tcW w:w="1533" w:type="dxa"/>
            <w:shd w:val="solid" w:color="000000" w:fill="000000"/>
            <w:vAlign w:val="center"/>
          </w:tcPr>
          <w:p w14:paraId="0893951F" w14:textId="37FC6F0B" w:rsidR="00175E5C" w:rsidRPr="00545EED" w:rsidDel="00B92B51"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c>
          <w:tcPr>
            <w:tcW w:w="1367" w:type="dxa"/>
            <w:shd w:val="solid" w:color="000000" w:fill="000000"/>
            <w:vAlign w:val="center"/>
          </w:tcPr>
          <w:p w14:paraId="20CC72EC" w14:textId="3A7221EF" w:rsidR="00175E5C" w:rsidRPr="00545EED" w:rsidRDefault="008B4550" w:rsidP="007703B8">
            <w:pPr>
              <w:pStyle w:val="Tabletext"/>
              <w:keepNext/>
              <w:keepLines/>
              <w:jc w:val="center"/>
              <w:rPr>
                <w:iCs/>
                <w:szCs w:val="20"/>
                <w:highlight w:val="yellow"/>
              </w:rPr>
            </w:pPr>
            <w:r w:rsidRPr="008B4550">
              <w:rPr>
                <w:iCs/>
                <w:color w:val="000000"/>
                <w:szCs w:val="20"/>
                <w14:textFill>
                  <w14:solidFill>
                    <w14:srgbClr w14:val="000000">
                      <w14:alpha w14:val="100000"/>
                    </w14:srgbClr>
                  </w14:solidFill>
                </w14:textFill>
              </w:rPr>
              <w:t>|</w:t>
            </w:r>
          </w:p>
        </w:tc>
      </w:tr>
    </w:tbl>
    <w:p w14:paraId="5E3C0737" w14:textId="458B029E" w:rsidR="00175E5C" w:rsidRDefault="00175E5C" w:rsidP="00175E5C">
      <w:pPr>
        <w:pStyle w:val="TableFigureFooter"/>
        <w:keepNext/>
        <w:keepLines/>
        <w:rPr>
          <w:rStyle w:val="CommentReference"/>
          <w:b w:val="0"/>
          <w:lang w:val="en-AU"/>
        </w:rPr>
      </w:pPr>
      <w:r w:rsidRPr="00ED6EDE">
        <w:rPr>
          <w:rStyle w:val="CommentReference"/>
          <w:b w:val="0"/>
          <w:lang w:val="en-AU"/>
        </w:rPr>
        <w:t xml:space="preserve">Source:  </w:t>
      </w:r>
      <w:r w:rsidR="00767156" w:rsidRPr="00ED6EDE">
        <w:rPr>
          <w:rStyle w:val="CommentReference"/>
          <w:b w:val="0"/>
          <w:lang w:val="en-AU"/>
        </w:rPr>
        <w:t>Model settings sheet of ‘Attachment 3.1 - CEM PEM+LEN previously treated advanced EC_PBAC_Nov21_FINAL_PSCR.xlsx’</w:t>
      </w:r>
      <w:r w:rsidRPr="00ED6EDE">
        <w:rPr>
          <w:rStyle w:val="CommentReference"/>
          <w:b w:val="0"/>
          <w:lang w:val="en-AU"/>
        </w:rPr>
        <w:t>. ICER = incremental cost effectiveness ratio; LEN = lenvatinib; OS = overall survival; PEM = pembrolizumab; PFS = progression free survival; ToT = time on treatment</w:t>
      </w:r>
    </w:p>
    <w:p w14:paraId="1B263CCB" w14:textId="77777777" w:rsidR="00D21992" w:rsidRPr="009A6D58" w:rsidRDefault="00D21992" w:rsidP="00D21992">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14:paraId="24F6F531" w14:textId="62C2D38E" w:rsidR="00D21992" w:rsidRDefault="00D21992" w:rsidP="00D21992">
      <w:pPr>
        <w:rPr>
          <w:rFonts w:ascii="Arial Narrow" w:hAnsi="Arial Narrow"/>
          <w:bCs/>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D21992">
        <w:rPr>
          <w:rFonts w:ascii="Arial Narrow" w:hAnsi="Arial Narrow"/>
          <w:bCs/>
          <w:i/>
          <w:sz w:val="18"/>
          <w:szCs w:val="18"/>
          <w:lang w:eastAsia="en-AU"/>
        </w:rPr>
        <w:t>$</w:t>
      </w:r>
      <w:r>
        <w:rPr>
          <w:rFonts w:ascii="Arial Narrow" w:hAnsi="Arial Narrow"/>
          <w:bCs/>
          <w:i/>
          <w:sz w:val="18"/>
          <w:szCs w:val="18"/>
          <w:lang w:eastAsia="en-AU"/>
        </w:rPr>
        <w:t>5</w:t>
      </w:r>
      <w:r w:rsidRPr="00D21992">
        <w:rPr>
          <w:rFonts w:ascii="Arial Narrow" w:hAnsi="Arial Narrow"/>
          <w:bCs/>
          <w:i/>
          <w:sz w:val="18"/>
          <w:szCs w:val="18"/>
          <w:lang w:eastAsia="en-AU"/>
        </w:rPr>
        <w:t>5,000 to &lt; $</w:t>
      </w:r>
      <w:r>
        <w:rPr>
          <w:rFonts w:ascii="Arial Narrow" w:hAnsi="Arial Narrow"/>
          <w:bCs/>
          <w:i/>
          <w:sz w:val="18"/>
          <w:szCs w:val="18"/>
          <w:lang w:eastAsia="en-AU"/>
        </w:rPr>
        <w:t>7</w:t>
      </w:r>
      <w:r w:rsidRPr="00D21992">
        <w:rPr>
          <w:rFonts w:ascii="Arial Narrow" w:hAnsi="Arial Narrow"/>
          <w:bCs/>
          <w:i/>
          <w:sz w:val="18"/>
          <w:szCs w:val="18"/>
          <w:lang w:eastAsia="en-AU"/>
        </w:rPr>
        <w:t>5,000</w:t>
      </w:r>
    </w:p>
    <w:p w14:paraId="673AE99E" w14:textId="0037E9DD" w:rsidR="00D21992" w:rsidRPr="00D21992" w:rsidRDefault="00D21992" w:rsidP="00D21992">
      <w:pPr>
        <w:rPr>
          <w:rFonts w:ascii="Arial Narrow" w:hAnsi="Arial Narrow"/>
          <w:bCs/>
          <w:i/>
          <w:sz w:val="18"/>
          <w:szCs w:val="18"/>
          <w:lang w:eastAsia="en-AU"/>
        </w:rPr>
      </w:pPr>
      <w:r>
        <w:rPr>
          <w:rFonts w:ascii="Arial Narrow" w:hAnsi="Arial Narrow"/>
          <w:i/>
          <w:sz w:val="18"/>
          <w:szCs w:val="18"/>
          <w:vertAlign w:val="superscript"/>
          <w:lang w:eastAsia="en-AU"/>
        </w:rPr>
        <w:t>2</w:t>
      </w:r>
      <w:r>
        <w:rPr>
          <w:rFonts w:ascii="Arial Narrow" w:hAnsi="Arial Narrow"/>
          <w:i/>
          <w:sz w:val="18"/>
          <w:szCs w:val="18"/>
          <w:lang w:eastAsia="en-AU"/>
        </w:rPr>
        <w:t xml:space="preserve"> </w:t>
      </w:r>
      <w:r w:rsidRPr="00D21992">
        <w:rPr>
          <w:rFonts w:ascii="Arial Narrow" w:hAnsi="Arial Narrow"/>
          <w:bCs/>
          <w:i/>
          <w:sz w:val="18"/>
          <w:szCs w:val="18"/>
          <w:lang w:eastAsia="en-AU"/>
        </w:rPr>
        <w:t>$</w:t>
      </w:r>
      <w:r>
        <w:rPr>
          <w:rFonts w:ascii="Arial Narrow" w:hAnsi="Arial Narrow"/>
          <w:bCs/>
          <w:i/>
          <w:sz w:val="18"/>
          <w:szCs w:val="18"/>
          <w:lang w:eastAsia="en-AU"/>
        </w:rPr>
        <w:t>7</w:t>
      </w:r>
      <w:r w:rsidRPr="00D21992">
        <w:rPr>
          <w:rFonts w:ascii="Arial Narrow" w:hAnsi="Arial Narrow"/>
          <w:bCs/>
          <w:i/>
          <w:sz w:val="18"/>
          <w:szCs w:val="18"/>
          <w:lang w:eastAsia="en-AU"/>
        </w:rPr>
        <w:t>5,000 to &lt; $</w:t>
      </w:r>
      <w:r>
        <w:rPr>
          <w:rFonts w:ascii="Arial Narrow" w:hAnsi="Arial Narrow"/>
          <w:bCs/>
          <w:i/>
          <w:sz w:val="18"/>
          <w:szCs w:val="18"/>
          <w:lang w:eastAsia="en-AU"/>
        </w:rPr>
        <w:t>9</w:t>
      </w:r>
      <w:r w:rsidRPr="00D21992">
        <w:rPr>
          <w:rFonts w:ascii="Arial Narrow" w:hAnsi="Arial Narrow"/>
          <w:bCs/>
          <w:i/>
          <w:sz w:val="18"/>
          <w:szCs w:val="18"/>
          <w:lang w:eastAsia="en-AU"/>
        </w:rPr>
        <w:t>5,000</w:t>
      </w:r>
    </w:p>
    <w:p w14:paraId="00F03B79" w14:textId="77777777" w:rsidR="00D21992" w:rsidRPr="00ED6EDE" w:rsidRDefault="00D21992" w:rsidP="00175E5C">
      <w:pPr>
        <w:pStyle w:val="TableFigureFooter"/>
        <w:keepNext/>
        <w:keepLines/>
        <w:rPr>
          <w:rStyle w:val="CommentReference"/>
          <w:b w:val="0"/>
          <w:lang w:val="en-AU"/>
        </w:rPr>
      </w:pPr>
    </w:p>
    <w:p w14:paraId="3A761C8C" w14:textId="27C72954" w:rsidR="00300BF0" w:rsidRPr="00ED6EDE" w:rsidRDefault="0074668F" w:rsidP="0074668F">
      <w:pPr>
        <w:pStyle w:val="ListParagraph"/>
        <w:widowControl/>
        <w:numPr>
          <w:ilvl w:val="1"/>
          <w:numId w:val="2"/>
        </w:numPr>
        <w:spacing w:after="120"/>
      </w:pPr>
      <w:r w:rsidRPr="00ED6EDE">
        <w:rPr>
          <w:iCs/>
        </w:rPr>
        <w:t>Th</w:t>
      </w:r>
      <w:r w:rsidR="00020E37" w:rsidRPr="00ED6EDE">
        <w:rPr>
          <w:iCs/>
        </w:rPr>
        <w:t xml:space="preserve">e </w:t>
      </w:r>
      <w:r w:rsidR="009E34A5">
        <w:rPr>
          <w:iCs/>
        </w:rPr>
        <w:t>model</w:t>
      </w:r>
      <w:r w:rsidR="00020E37" w:rsidRPr="00ED6EDE">
        <w:rPr>
          <w:iCs/>
        </w:rPr>
        <w:t xml:space="preserve"> </w:t>
      </w:r>
      <w:r w:rsidRPr="00ED6EDE">
        <w:rPr>
          <w:iCs/>
        </w:rPr>
        <w:t>was</w:t>
      </w:r>
      <w:r w:rsidR="00020E37" w:rsidRPr="00ED6EDE">
        <w:rPr>
          <w:iCs/>
        </w:rPr>
        <w:t xml:space="preserve"> sensitive to </w:t>
      </w:r>
      <w:r w:rsidR="00F315F2" w:rsidRPr="00ED6EDE">
        <w:rPr>
          <w:iCs/>
        </w:rPr>
        <w:t xml:space="preserve">the </w:t>
      </w:r>
      <w:r w:rsidR="00020E37" w:rsidRPr="00ED6EDE">
        <w:rPr>
          <w:iCs/>
        </w:rPr>
        <w:t>extrapolation method for overall survival</w:t>
      </w:r>
      <w:r w:rsidRPr="00ED6EDE">
        <w:rPr>
          <w:iCs/>
        </w:rPr>
        <w:t xml:space="preserve"> and the time horizon</w:t>
      </w:r>
      <w:r w:rsidR="00020E37" w:rsidRPr="00ED6EDE">
        <w:rPr>
          <w:iCs/>
        </w:rPr>
        <w:t xml:space="preserve">. </w:t>
      </w:r>
    </w:p>
    <w:p w14:paraId="028185EA" w14:textId="6C3DBF92" w:rsidR="00A66FDD" w:rsidRPr="00ED6EDE" w:rsidRDefault="002D7F4E" w:rsidP="00300BF0">
      <w:pPr>
        <w:pStyle w:val="ListParagraph"/>
        <w:widowControl/>
        <w:numPr>
          <w:ilvl w:val="1"/>
          <w:numId w:val="2"/>
        </w:numPr>
        <w:spacing w:after="120"/>
      </w:pPr>
      <w:r>
        <w:rPr>
          <w:iCs/>
        </w:rPr>
        <w:t>T</w:t>
      </w:r>
      <w:r w:rsidR="00020E37" w:rsidRPr="00ED6EDE">
        <w:rPr>
          <w:iCs/>
        </w:rPr>
        <w:t xml:space="preserve">he model was moderately sensitive to removing pembrolizumab time on treatment truncation. </w:t>
      </w:r>
      <w:r w:rsidR="00865D56" w:rsidRPr="00ED6EDE">
        <w:rPr>
          <w:iCs/>
        </w:rPr>
        <w:t xml:space="preserve">The model assumed that all patients discontinued pembrolizumab at two years, in line with the proposed restriction, but as described in paragraph </w:t>
      </w:r>
      <w:r w:rsidR="00865D56" w:rsidRPr="00ED6EDE">
        <w:rPr>
          <w:iCs/>
        </w:rPr>
        <w:fldChar w:fldCharType="begin"/>
      </w:r>
      <w:r w:rsidR="00865D56" w:rsidRPr="00ED6EDE">
        <w:rPr>
          <w:iCs/>
        </w:rPr>
        <w:instrText xml:space="preserve"> REF _Ref90293253 \r \h </w:instrText>
      </w:r>
      <w:r w:rsidR="003522E2" w:rsidRPr="00ED6EDE">
        <w:rPr>
          <w:iCs/>
        </w:rPr>
        <w:instrText xml:space="preserve"> \* MERGEFORMAT </w:instrText>
      </w:r>
      <w:r w:rsidR="00865D56" w:rsidRPr="00ED6EDE">
        <w:rPr>
          <w:iCs/>
        </w:rPr>
      </w:r>
      <w:r w:rsidR="00865D56" w:rsidRPr="00ED6EDE">
        <w:rPr>
          <w:iCs/>
        </w:rPr>
        <w:fldChar w:fldCharType="separate"/>
      </w:r>
      <w:r w:rsidR="004163DD">
        <w:rPr>
          <w:iCs/>
        </w:rPr>
        <w:t>6.10</w:t>
      </w:r>
      <w:r w:rsidR="00865D56" w:rsidRPr="00ED6EDE">
        <w:rPr>
          <w:iCs/>
        </w:rPr>
        <w:fldChar w:fldCharType="end"/>
      </w:r>
      <w:r w:rsidR="00865D56" w:rsidRPr="00ED6EDE">
        <w:rPr>
          <w:iCs/>
        </w:rPr>
        <w:t xml:space="preserve">, 9% of patients in the pembrolizumab plus lenvatinib arm in KN775 remained on treatment after week 104. </w:t>
      </w:r>
    </w:p>
    <w:p w14:paraId="7B8C5C86" w14:textId="7AADDD37" w:rsidR="00020E37" w:rsidRPr="00ED6EDE" w:rsidRDefault="004945DB" w:rsidP="00A062E7">
      <w:pPr>
        <w:pStyle w:val="ListParagraph"/>
        <w:widowControl/>
        <w:numPr>
          <w:ilvl w:val="1"/>
          <w:numId w:val="2"/>
        </w:numPr>
      </w:pPr>
      <w:r w:rsidRPr="00ED6EDE">
        <w:rPr>
          <w:iCs/>
        </w:rPr>
        <w:t xml:space="preserve">The model was also moderately sensitive to the inclusion of terminal care costs. </w:t>
      </w:r>
      <w:r w:rsidR="00A66FDD" w:rsidRPr="00ED6EDE">
        <w:rPr>
          <w:iCs/>
        </w:rPr>
        <w:t xml:space="preserve">Terminal care costs </w:t>
      </w:r>
      <w:r w:rsidR="008A58CF" w:rsidRPr="00ED6EDE">
        <w:rPr>
          <w:iCs/>
        </w:rPr>
        <w:t xml:space="preserve">($51,413) </w:t>
      </w:r>
      <w:r w:rsidR="00A66FDD" w:rsidRPr="00ED6EDE">
        <w:rPr>
          <w:iCs/>
        </w:rPr>
        <w:t>were based on Goldsbury 2018</w:t>
      </w:r>
      <w:r w:rsidR="00747D4A" w:rsidRPr="00ED6EDE">
        <w:rPr>
          <w:iCs/>
        </w:rPr>
        <w:t xml:space="preserve">. </w:t>
      </w:r>
      <w:r w:rsidR="00803654" w:rsidRPr="00ED6EDE">
        <w:rPr>
          <w:iCs/>
        </w:rPr>
        <w:t xml:space="preserve">However, the ESC noted that </w:t>
      </w:r>
      <w:r w:rsidR="008A58CF" w:rsidRPr="00ED6EDE">
        <w:rPr>
          <w:iCs/>
        </w:rPr>
        <w:t>these costs were averages of several kinds of cancers, of which none were endometrial. It is unclear whether this average would be representative of endometrial cancer costs</w:t>
      </w:r>
      <w:r w:rsidR="00803654" w:rsidRPr="00ED6EDE">
        <w:rPr>
          <w:iCs/>
        </w:rPr>
        <w:t>.</w:t>
      </w:r>
      <w:r w:rsidR="00314F80" w:rsidRPr="00ED6EDE">
        <w:rPr>
          <w:iCs/>
        </w:rPr>
        <w:t xml:space="preserve"> Further, the ESC noted that </w:t>
      </w:r>
      <w:r w:rsidR="00314F80" w:rsidRPr="00ED6EDE">
        <w:t>the terminal care cost was based on the 12 months prior to death and considered this may result in double counting as some of these costs would have accrued in the progressed health state</w:t>
      </w:r>
      <w:r w:rsidR="00E24F81" w:rsidRPr="00ED6EDE">
        <w:t xml:space="preserve">. </w:t>
      </w:r>
    </w:p>
    <w:p w14:paraId="0EC92F06" w14:textId="3C6546EA" w:rsidR="00300BF0" w:rsidRPr="00ED6EDE" w:rsidRDefault="00314F80" w:rsidP="005F4406">
      <w:pPr>
        <w:pStyle w:val="ListParagraph"/>
        <w:widowControl/>
        <w:numPr>
          <w:ilvl w:val="1"/>
          <w:numId w:val="2"/>
        </w:numPr>
        <w:rPr>
          <w:rFonts w:asciiTheme="minorHAnsi" w:hAnsiTheme="minorHAnsi" w:cstheme="minorHAnsi"/>
          <w:color w:val="000000" w:themeColor="text1"/>
          <w:szCs w:val="24"/>
        </w:rPr>
      </w:pPr>
      <w:r w:rsidRPr="00ED6EDE">
        <w:rPr>
          <w:rFonts w:asciiTheme="minorHAnsi" w:hAnsiTheme="minorHAnsi" w:cstheme="minorHAnsi"/>
          <w:iCs/>
          <w:color w:val="000000" w:themeColor="text1"/>
          <w:szCs w:val="24"/>
        </w:rPr>
        <w:t xml:space="preserve">Given that there is no indication-specific clinical evidence to support that pembrolizumab plus lenvatinib would improve survival in the long term, and the issues with the cost estimate itself, the ESC considered that it is likely more reasonable to assume that there would be no difference in terminal care costs between the treatment arms, or that a small difference may accrue due to the impact of discounting. </w:t>
      </w:r>
      <w:r w:rsidR="00300BF0" w:rsidRPr="00ED6EDE">
        <w:t>The ESC noted the impact of including terminal care costs on the ICER is driven by the difference in surviving proportions at the end of the model time horizon but ultimately this cost should accrue to all patients in both treatment arms.</w:t>
      </w:r>
    </w:p>
    <w:p w14:paraId="52C68560" w14:textId="426ADDBC" w:rsidR="00020E37" w:rsidRPr="00ED6EDE" w:rsidRDefault="00020E37" w:rsidP="00020E37">
      <w:pPr>
        <w:pStyle w:val="Heading2"/>
        <w:rPr>
          <w:i w:val="0"/>
        </w:rPr>
      </w:pPr>
      <w:bookmarkStart w:id="55" w:name="_Toc93478158"/>
      <w:r w:rsidRPr="00ED6EDE">
        <w:rPr>
          <w:i w:val="0"/>
        </w:rPr>
        <w:t>Drug cost/patient</w:t>
      </w:r>
      <w:bookmarkEnd w:id="55"/>
    </w:p>
    <w:p w14:paraId="24F7A817" w14:textId="77777777" w:rsidR="00020E37" w:rsidRPr="00ED6EDE" w:rsidRDefault="00020E37" w:rsidP="00F63C03">
      <w:pPr>
        <w:widowControl/>
      </w:pPr>
    </w:p>
    <w:p w14:paraId="0F2D8613" w14:textId="121B155E" w:rsidR="00020E37" w:rsidRPr="00F63C03" w:rsidRDefault="00020E37" w:rsidP="00F63C03">
      <w:pPr>
        <w:pStyle w:val="ListParagraph"/>
        <w:widowControl/>
        <w:numPr>
          <w:ilvl w:val="1"/>
          <w:numId w:val="2"/>
        </w:numPr>
        <w:rPr>
          <w:color w:val="000000" w:themeColor="text1"/>
        </w:rPr>
      </w:pPr>
      <w:r w:rsidRPr="006D114C">
        <w:rPr>
          <w:color w:val="000000" w:themeColor="text1"/>
        </w:rPr>
        <w:t xml:space="preserve">The </w:t>
      </w:r>
      <w:r w:rsidR="006D114C" w:rsidRPr="006D114C">
        <w:rPr>
          <w:color w:val="000000" w:themeColor="text1"/>
        </w:rPr>
        <w:t xml:space="preserve">drug cost per patient for pembrolizumab and lenvatinib are outlined in </w:t>
      </w:r>
      <w:r w:rsidR="00F63C03">
        <w:rPr>
          <w:color w:val="000000" w:themeColor="text1"/>
        </w:rPr>
        <w:fldChar w:fldCharType="begin"/>
      </w:r>
      <w:r w:rsidR="00F63C03">
        <w:rPr>
          <w:color w:val="000000" w:themeColor="text1"/>
        </w:rPr>
        <w:instrText xml:space="preserve"> REF _Ref98436490 \h  \* MERGEFORMAT </w:instrText>
      </w:r>
      <w:r w:rsidR="00F63C03">
        <w:rPr>
          <w:color w:val="000000" w:themeColor="text1"/>
        </w:rPr>
      </w:r>
      <w:r w:rsidR="00F63C03">
        <w:rPr>
          <w:color w:val="000000" w:themeColor="text1"/>
        </w:rPr>
        <w:fldChar w:fldCharType="separate"/>
      </w:r>
      <w:r w:rsidR="004163DD" w:rsidRPr="004163DD">
        <w:rPr>
          <w:color w:val="000000" w:themeColor="text1"/>
        </w:rPr>
        <w:t>Table 14</w:t>
      </w:r>
      <w:r w:rsidR="00F63C03">
        <w:rPr>
          <w:color w:val="000000" w:themeColor="text1"/>
        </w:rPr>
        <w:fldChar w:fldCharType="end"/>
      </w:r>
      <w:r w:rsidR="00F63C03">
        <w:rPr>
          <w:color w:val="000000" w:themeColor="text1"/>
        </w:rPr>
        <w:t>.</w:t>
      </w:r>
    </w:p>
    <w:p w14:paraId="1EE56EBB" w14:textId="346715B9" w:rsidR="007866D9" w:rsidRPr="00ED6EDE" w:rsidRDefault="007866D9" w:rsidP="007866D9">
      <w:pPr>
        <w:keepNext/>
        <w:widowControl/>
      </w:pPr>
      <w:bookmarkStart w:id="56" w:name="_Ref98436490"/>
      <w:bookmarkStart w:id="57" w:name="_Ref90033702"/>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sidR="004163DD">
        <w:rPr>
          <w:rStyle w:val="CommentReference"/>
          <w:noProof/>
        </w:rPr>
        <w:t>14</w:t>
      </w:r>
      <w:r w:rsidRPr="00ED6EDE">
        <w:rPr>
          <w:rStyle w:val="CommentReference"/>
        </w:rPr>
        <w:fldChar w:fldCharType="end"/>
      </w:r>
      <w:bookmarkEnd w:id="56"/>
      <w:r w:rsidRPr="00ED6EDE">
        <w:rPr>
          <w:rStyle w:val="CommentReference"/>
        </w:rPr>
        <w:t xml:space="preserve">: Drug cost per patient for pembrolizumab and lenvatinib </w:t>
      </w:r>
      <w:r w:rsidR="00D80364">
        <w:rPr>
          <w:rStyle w:val="CommentReference"/>
        </w:rPr>
        <w:t>(pre-PBAC re</w:t>
      </w:r>
      <w:r w:rsidR="00A66414">
        <w:rPr>
          <w:rStyle w:val="CommentReference"/>
        </w:rPr>
        <w:t>s</w:t>
      </w:r>
      <w:r w:rsidR="00D80364">
        <w:rPr>
          <w:rStyle w:val="CommentReference"/>
        </w:rPr>
        <w:t>ponse)</w:t>
      </w:r>
    </w:p>
    <w:tbl>
      <w:tblPr>
        <w:tblW w:w="5000" w:type="pc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48"/>
        <w:gridCol w:w="993"/>
        <w:gridCol w:w="1557"/>
        <w:gridCol w:w="1318"/>
        <w:gridCol w:w="1844"/>
        <w:gridCol w:w="1752"/>
      </w:tblGrid>
      <w:tr w:rsidR="00F63C03" w:rsidRPr="00ED6EDE" w14:paraId="0959BBED" w14:textId="77777777" w:rsidTr="00141B66">
        <w:trPr>
          <w:trHeight w:val="20"/>
        </w:trPr>
        <w:tc>
          <w:tcPr>
            <w:tcW w:w="859" w:type="pct"/>
            <w:vMerge w:val="restart"/>
            <w:shd w:val="clear" w:color="auto" w:fill="auto"/>
            <w:vAlign w:val="center"/>
          </w:tcPr>
          <w:p w14:paraId="62D5CE94" w14:textId="281C3325" w:rsidR="00F63C03" w:rsidRPr="00ED6EDE" w:rsidRDefault="00F63C03" w:rsidP="00F63C03">
            <w:pPr>
              <w:rPr>
                <w:rFonts w:ascii="Arial Narrow" w:hAnsi="Arial Narrow"/>
                <w:b/>
                <w:bCs/>
                <w:sz w:val="20"/>
                <w:szCs w:val="20"/>
              </w:rPr>
            </w:pPr>
            <w:r w:rsidRPr="00ED6EDE">
              <w:rPr>
                <w:rFonts w:ascii="Arial Narrow" w:hAnsi="Arial Narrow"/>
                <w:b/>
                <w:bCs/>
                <w:sz w:val="20"/>
                <w:szCs w:val="20"/>
              </w:rPr>
              <w:t xml:space="preserve">Drug </w:t>
            </w:r>
          </w:p>
        </w:tc>
        <w:tc>
          <w:tcPr>
            <w:tcW w:w="2145" w:type="pct"/>
            <w:gridSpan w:val="3"/>
            <w:shd w:val="clear" w:color="auto" w:fill="auto"/>
            <w:vAlign w:val="center"/>
          </w:tcPr>
          <w:p w14:paraId="50DEDDD5" w14:textId="77777777" w:rsidR="00F63C03" w:rsidRPr="00ED6EDE" w:rsidRDefault="00F63C03" w:rsidP="002520EB">
            <w:pPr>
              <w:jc w:val="center"/>
              <w:rPr>
                <w:rFonts w:ascii="Arial Narrow" w:hAnsi="Arial Narrow"/>
                <w:b/>
                <w:bCs/>
                <w:sz w:val="20"/>
                <w:szCs w:val="20"/>
              </w:rPr>
            </w:pPr>
            <w:r w:rsidRPr="00ED6EDE">
              <w:rPr>
                <w:rFonts w:ascii="Arial Narrow" w:hAnsi="Arial Narrow"/>
                <w:b/>
                <w:bCs/>
                <w:sz w:val="20"/>
                <w:szCs w:val="20"/>
              </w:rPr>
              <w:t>Number of administrations</w:t>
            </w:r>
          </w:p>
        </w:tc>
        <w:tc>
          <w:tcPr>
            <w:tcW w:w="1995" w:type="pct"/>
            <w:gridSpan w:val="2"/>
            <w:shd w:val="clear" w:color="auto" w:fill="auto"/>
            <w:vAlign w:val="center"/>
            <w:hideMark/>
          </w:tcPr>
          <w:p w14:paraId="10F10501" w14:textId="77777777" w:rsidR="00F63C03" w:rsidRPr="00ED6EDE" w:rsidRDefault="00F63C03" w:rsidP="002520EB">
            <w:pPr>
              <w:jc w:val="center"/>
              <w:rPr>
                <w:rFonts w:ascii="Arial Narrow" w:hAnsi="Arial Narrow"/>
                <w:b/>
                <w:bCs/>
                <w:sz w:val="20"/>
                <w:szCs w:val="20"/>
              </w:rPr>
            </w:pPr>
            <w:r w:rsidRPr="00ED6EDE">
              <w:rPr>
                <w:rFonts w:ascii="Arial Narrow" w:hAnsi="Arial Narrow"/>
                <w:b/>
                <w:bCs/>
                <w:sz w:val="20"/>
                <w:szCs w:val="20"/>
              </w:rPr>
              <w:t>Total cost per course</w:t>
            </w:r>
          </w:p>
        </w:tc>
      </w:tr>
      <w:tr w:rsidR="00EE0A08" w:rsidRPr="00ED6EDE" w14:paraId="7D8ADFA6" w14:textId="77777777" w:rsidTr="00141B66">
        <w:trPr>
          <w:trHeight w:val="20"/>
        </w:trPr>
        <w:tc>
          <w:tcPr>
            <w:tcW w:w="859" w:type="pct"/>
            <w:vMerge/>
            <w:shd w:val="clear" w:color="auto" w:fill="auto"/>
            <w:vAlign w:val="center"/>
            <w:hideMark/>
          </w:tcPr>
          <w:p w14:paraId="528B2E4A" w14:textId="77777777" w:rsidR="00EE0A08" w:rsidRPr="00ED6EDE" w:rsidRDefault="00EE0A08" w:rsidP="002520EB">
            <w:pPr>
              <w:rPr>
                <w:rFonts w:ascii="Arial Narrow" w:hAnsi="Arial Narrow"/>
                <w:b/>
                <w:bCs/>
                <w:sz w:val="20"/>
                <w:szCs w:val="20"/>
              </w:rPr>
            </w:pPr>
          </w:p>
        </w:tc>
        <w:tc>
          <w:tcPr>
            <w:tcW w:w="551" w:type="pct"/>
            <w:shd w:val="clear" w:color="auto" w:fill="auto"/>
            <w:vAlign w:val="center"/>
          </w:tcPr>
          <w:p w14:paraId="0F0A98B8" w14:textId="6EB9396A" w:rsidR="00EE0A08" w:rsidRPr="00ED6EDE" w:rsidRDefault="00EE0A08" w:rsidP="001B0AE9">
            <w:pPr>
              <w:jc w:val="center"/>
              <w:rPr>
                <w:rFonts w:ascii="Arial Narrow" w:hAnsi="Arial Narrow"/>
                <w:b/>
                <w:bCs/>
                <w:sz w:val="20"/>
                <w:szCs w:val="20"/>
              </w:rPr>
            </w:pPr>
            <w:r>
              <w:rPr>
                <w:rFonts w:ascii="Arial Narrow" w:hAnsi="Arial Narrow"/>
                <w:b/>
                <w:bCs/>
                <w:sz w:val="20"/>
                <w:szCs w:val="20"/>
              </w:rPr>
              <w:t>KN775</w:t>
            </w:r>
          </w:p>
        </w:tc>
        <w:tc>
          <w:tcPr>
            <w:tcW w:w="864" w:type="pct"/>
            <w:shd w:val="clear" w:color="auto" w:fill="auto"/>
            <w:vAlign w:val="center"/>
            <w:hideMark/>
          </w:tcPr>
          <w:p w14:paraId="24918A76" w14:textId="1702942B" w:rsidR="00EE0A08" w:rsidRPr="00ED6EDE" w:rsidRDefault="00EE0A08" w:rsidP="002520EB">
            <w:pPr>
              <w:jc w:val="center"/>
              <w:rPr>
                <w:rFonts w:ascii="Arial Narrow" w:hAnsi="Arial Narrow"/>
                <w:b/>
                <w:bCs/>
                <w:sz w:val="20"/>
                <w:szCs w:val="20"/>
              </w:rPr>
            </w:pPr>
            <w:r>
              <w:rPr>
                <w:rFonts w:ascii="Arial Narrow" w:hAnsi="Arial Narrow"/>
                <w:b/>
                <w:bCs/>
                <w:sz w:val="20"/>
                <w:szCs w:val="20"/>
              </w:rPr>
              <w:t>Model</w:t>
            </w:r>
          </w:p>
        </w:tc>
        <w:tc>
          <w:tcPr>
            <w:tcW w:w="730" w:type="pct"/>
            <w:shd w:val="clear" w:color="auto" w:fill="auto"/>
            <w:vAlign w:val="center"/>
            <w:hideMark/>
          </w:tcPr>
          <w:p w14:paraId="7E798C82" w14:textId="77777777" w:rsidR="00EE0A08" w:rsidRPr="00ED6EDE" w:rsidRDefault="00EE0A08" w:rsidP="002520EB">
            <w:pPr>
              <w:jc w:val="center"/>
              <w:rPr>
                <w:rFonts w:ascii="Arial Narrow" w:hAnsi="Arial Narrow"/>
                <w:b/>
                <w:bCs/>
                <w:sz w:val="20"/>
                <w:szCs w:val="20"/>
              </w:rPr>
            </w:pPr>
            <w:r w:rsidRPr="00ED6EDE">
              <w:rPr>
                <w:rFonts w:ascii="Arial Narrow" w:hAnsi="Arial Narrow"/>
                <w:b/>
                <w:bCs/>
                <w:sz w:val="20"/>
                <w:szCs w:val="20"/>
              </w:rPr>
              <w:t>Financial</w:t>
            </w:r>
          </w:p>
        </w:tc>
        <w:tc>
          <w:tcPr>
            <w:tcW w:w="1023" w:type="pct"/>
            <w:shd w:val="clear" w:color="auto" w:fill="auto"/>
            <w:vAlign w:val="center"/>
            <w:hideMark/>
          </w:tcPr>
          <w:p w14:paraId="43958420" w14:textId="128DC285" w:rsidR="00EE0A08" w:rsidRPr="00ED6EDE" w:rsidRDefault="00EE0A08" w:rsidP="002520EB">
            <w:pPr>
              <w:jc w:val="center"/>
              <w:rPr>
                <w:rFonts w:ascii="Arial Narrow" w:hAnsi="Arial Narrow"/>
                <w:b/>
                <w:bCs/>
                <w:sz w:val="20"/>
                <w:szCs w:val="20"/>
              </w:rPr>
            </w:pPr>
            <w:r w:rsidRPr="00ED6EDE">
              <w:rPr>
                <w:rFonts w:ascii="Arial Narrow" w:hAnsi="Arial Narrow"/>
                <w:b/>
                <w:bCs/>
                <w:sz w:val="20"/>
                <w:szCs w:val="20"/>
              </w:rPr>
              <w:t>Model</w:t>
            </w:r>
            <w:r w:rsidR="00545EED">
              <w:rPr>
                <w:rFonts w:ascii="Arial Narrow" w:hAnsi="Arial Narrow"/>
                <w:b/>
                <w:bCs/>
                <w:sz w:val="20"/>
                <w:szCs w:val="20"/>
              </w:rPr>
              <w:t xml:space="preserve"> ($)</w:t>
            </w:r>
          </w:p>
        </w:tc>
        <w:tc>
          <w:tcPr>
            <w:tcW w:w="972" w:type="pct"/>
            <w:shd w:val="clear" w:color="auto" w:fill="auto"/>
            <w:vAlign w:val="center"/>
            <w:hideMark/>
          </w:tcPr>
          <w:p w14:paraId="59FA974A" w14:textId="1FE16D34" w:rsidR="00EE0A08" w:rsidRPr="00ED6EDE" w:rsidRDefault="00EE0A08" w:rsidP="002520EB">
            <w:pPr>
              <w:jc w:val="center"/>
              <w:rPr>
                <w:rFonts w:ascii="Arial Narrow" w:hAnsi="Arial Narrow"/>
                <w:b/>
                <w:bCs/>
                <w:sz w:val="20"/>
                <w:szCs w:val="20"/>
              </w:rPr>
            </w:pPr>
            <w:r w:rsidRPr="00ED6EDE">
              <w:rPr>
                <w:rFonts w:ascii="Arial Narrow" w:hAnsi="Arial Narrow"/>
                <w:b/>
                <w:bCs/>
                <w:sz w:val="20"/>
                <w:szCs w:val="20"/>
              </w:rPr>
              <w:t>Financials</w:t>
            </w:r>
            <w:r w:rsidR="00545EED">
              <w:rPr>
                <w:rFonts w:ascii="Arial Narrow" w:hAnsi="Arial Narrow"/>
                <w:b/>
                <w:bCs/>
                <w:sz w:val="20"/>
                <w:szCs w:val="20"/>
              </w:rPr>
              <w:t xml:space="preserve"> ($)</w:t>
            </w:r>
          </w:p>
        </w:tc>
      </w:tr>
      <w:tr w:rsidR="007866D9" w:rsidRPr="00ED6EDE" w14:paraId="11671D0C" w14:textId="77777777" w:rsidTr="002520EB">
        <w:trPr>
          <w:trHeight w:val="20"/>
        </w:trPr>
        <w:tc>
          <w:tcPr>
            <w:tcW w:w="5000" w:type="pct"/>
            <w:gridSpan w:val="6"/>
            <w:shd w:val="clear" w:color="auto" w:fill="auto"/>
            <w:vAlign w:val="center"/>
            <w:hideMark/>
          </w:tcPr>
          <w:p w14:paraId="53B2E77A" w14:textId="77777777" w:rsidR="007866D9" w:rsidRPr="00D80364" w:rsidRDefault="007866D9" w:rsidP="002520EB">
            <w:pPr>
              <w:rPr>
                <w:rFonts w:ascii="Arial Narrow" w:hAnsi="Arial Narrow"/>
                <w:b/>
                <w:sz w:val="20"/>
                <w:szCs w:val="20"/>
              </w:rPr>
            </w:pPr>
            <w:r w:rsidRPr="00D80364">
              <w:rPr>
                <w:rFonts w:ascii="Arial Narrow" w:hAnsi="Arial Narrow"/>
                <w:b/>
                <w:sz w:val="20"/>
                <w:szCs w:val="20"/>
              </w:rPr>
              <w:t>Pembrolizumab plus lenvatinib</w:t>
            </w:r>
          </w:p>
        </w:tc>
      </w:tr>
      <w:tr w:rsidR="00A66414" w:rsidRPr="00ED6EDE" w14:paraId="6A8FA128" w14:textId="77777777" w:rsidTr="00141B66">
        <w:trPr>
          <w:trHeight w:val="20"/>
        </w:trPr>
        <w:tc>
          <w:tcPr>
            <w:tcW w:w="859" w:type="pct"/>
            <w:shd w:val="clear" w:color="auto" w:fill="auto"/>
            <w:vAlign w:val="center"/>
            <w:hideMark/>
          </w:tcPr>
          <w:p w14:paraId="3BD21426" w14:textId="77777777" w:rsidR="00A66414" w:rsidRPr="00ED6EDE" w:rsidRDefault="00A66414" w:rsidP="002520EB">
            <w:pPr>
              <w:rPr>
                <w:rFonts w:ascii="Arial Narrow" w:hAnsi="Arial Narrow"/>
                <w:sz w:val="20"/>
                <w:szCs w:val="20"/>
              </w:rPr>
            </w:pPr>
            <w:r w:rsidRPr="00ED6EDE">
              <w:rPr>
                <w:rFonts w:ascii="Arial Narrow" w:hAnsi="Arial Narrow"/>
                <w:sz w:val="20"/>
                <w:szCs w:val="20"/>
              </w:rPr>
              <w:t>Pembrolizumab</w:t>
            </w:r>
          </w:p>
        </w:tc>
        <w:tc>
          <w:tcPr>
            <w:tcW w:w="551" w:type="pct"/>
            <w:shd w:val="clear" w:color="auto" w:fill="auto"/>
            <w:vAlign w:val="center"/>
          </w:tcPr>
          <w:p w14:paraId="5A93E665" w14:textId="78EC533A" w:rsidR="00A66414" w:rsidRPr="00ED6EDE" w:rsidRDefault="00A66414" w:rsidP="002520EB">
            <w:pPr>
              <w:jc w:val="center"/>
              <w:rPr>
                <w:rFonts w:ascii="Arial Narrow" w:hAnsi="Arial Narrow"/>
                <w:sz w:val="20"/>
                <w:szCs w:val="20"/>
              </w:rPr>
            </w:pPr>
            <w:r>
              <w:rPr>
                <w:rFonts w:ascii="Arial Narrow" w:hAnsi="Arial Narrow"/>
                <w:sz w:val="20"/>
                <w:szCs w:val="20"/>
              </w:rPr>
              <w:t>12.1</w:t>
            </w:r>
          </w:p>
        </w:tc>
        <w:tc>
          <w:tcPr>
            <w:tcW w:w="864" w:type="pct"/>
            <w:shd w:val="clear" w:color="auto" w:fill="auto"/>
            <w:vAlign w:val="center"/>
          </w:tcPr>
          <w:p w14:paraId="76FAA820" w14:textId="7BD1B371" w:rsidR="00A66414" w:rsidRPr="000749C0" w:rsidRDefault="008B4550" w:rsidP="006D114C">
            <w:pPr>
              <w:jc w:val="center"/>
              <w:rPr>
                <w:rFonts w:ascii="Arial Narrow" w:hAnsi="Arial Narrow"/>
                <w:sz w:val="20"/>
                <w:szCs w:val="20"/>
                <w:highlight w:val="green"/>
                <w:vertAlign w:val="superscript"/>
              </w:rPr>
            </w:pPr>
            <w:r w:rsidRPr="008B4550">
              <w:rPr>
                <w:rFonts w:ascii="Arial Narrow" w:hAnsi="Arial Narrow"/>
                <w:color w:val="000000"/>
                <w:sz w:val="20"/>
                <w:szCs w:val="20"/>
                <w:shd w:val="solid" w:color="000000" w:fill="000000"/>
                <w14:textFill>
                  <w14:solidFill>
                    <w14:srgbClr w14:val="000000">
                      <w14:alpha w14:val="100000"/>
                    </w14:srgbClr>
                  </w14:solidFill>
                </w14:textFill>
              </w:rPr>
              <w:t>|</w:t>
            </w:r>
            <w:r w:rsidR="00A66414" w:rsidRPr="00F645B8">
              <w:rPr>
                <w:rFonts w:ascii="Arial Narrow" w:hAnsi="Arial Narrow"/>
                <w:sz w:val="20"/>
                <w:szCs w:val="20"/>
              </w:rPr>
              <w:t xml:space="preserve"> </w:t>
            </w:r>
            <w:r w:rsidR="00A66414" w:rsidRPr="00F645B8">
              <w:rPr>
                <w:rFonts w:ascii="Arial Narrow" w:hAnsi="Arial Narrow"/>
                <w:sz w:val="20"/>
                <w:szCs w:val="20"/>
                <w:vertAlign w:val="superscript"/>
              </w:rPr>
              <w:t>a</w:t>
            </w:r>
          </w:p>
        </w:tc>
        <w:tc>
          <w:tcPr>
            <w:tcW w:w="730" w:type="pct"/>
            <w:shd w:val="clear" w:color="auto" w:fill="auto"/>
            <w:vAlign w:val="center"/>
          </w:tcPr>
          <w:p w14:paraId="0910C200" w14:textId="1A7014D7" w:rsidR="00A66414" w:rsidRPr="000749C0" w:rsidRDefault="008B4550" w:rsidP="002520EB">
            <w:pPr>
              <w:jc w:val="center"/>
              <w:rPr>
                <w:rFonts w:ascii="Arial Narrow" w:hAnsi="Arial Narrow"/>
                <w:sz w:val="20"/>
                <w:szCs w:val="20"/>
                <w:highlight w:val="green"/>
                <w:vertAlign w:val="superscript"/>
              </w:rPr>
            </w:pPr>
            <w:r w:rsidRPr="008B4550">
              <w:rPr>
                <w:rFonts w:ascii="Arial Narrow" w:hAnsi="Arial Narrow"/>
                <w:color w:val="000000"/>
                <w:sz w:val="20"/>
                <w:szCs w:val="20"/>
                <w:shd w:val="solid" w:color="000000" w:fill="000000"/>
                <w14:textFill>
                  <w14:solidFill>
                    <w14:srgbClr w14:val="000000">
                      <w14:alpha w14:val="100000"/>
                    </w14:srgbClr>
                  </w14:solidFill>
                </w14:textFill>
              </w:rPr>
              <w:t>|</w:t>
            </w:r>
            <w:r w:rsidRPr="008B4550">
              <w:rPr>
                <w:rFonts w:ascii="Arial Narrow" w:hAnsi="Arial Narrow"/>
                <w:sz w:val="20"/>
                <w:szCs w:val="20"/>
              </w:rPr>
              <w:t xml:space="preserve"> </w:t>
            </w:r>
            <w:r w:rsidR="00A66414" w:rsidRPr="00F645B8">
              <w:rPr>
                <w:rFonts w:ascii="Arial Narrow" w:hAnsi="Arial Narrow"/>
                <w:sz w:val="20"/>
                <w:szCs w:val="20"/>
                <w:vertAlign w:val="superscript"/>
              </w:rPr>
              <w:t>b</w:t>
            </w:r>
          </w:p>
        </w:tc>
        <w:tc>
          <w:tcPr>
            <w:tcW w:w="1023" w:type="pct"/>
            <w:vMerge w:val="restart"/>
            <w:shd w:val="clear" w:color="auto" w:fill="auto"/>
            <w:vAlign w:val="center"/>
          </w:tcPr>
          <w:p w14:paraId="0A26D039" w14:textId="2CB77314" w:rsidR="00A66414" w:rsidRPr="00545EED" w:rsidRDefault="00A66414" w:rsidP="002520EB">
            <w:pPr>
              <w:jc w:val="center"/>
              <w:rPr>
                <w:rFonts w:ascii="Arial Narrow" w:hAnsi="Arial Narrow"/>
                <w:sz w:val="20"/>
                <w:szCs w:val="20"/>
                <w:highlight w:val="yellow"/>
              </w:rPr>
            </w:pPr>
            <w:r w:rsidRPr="00F645B8">
              <w:rPr>
                <w:rFonts w:ascii="Arial Narrow" w:hAnsi="Arial Narrow"/>
                <w:sz w:val="20"/>
                <w:szCs w:val="20"/>
              </w:rPr>
              <w:t>$</w:t>
            </w:r>
            <w:r w:rsidR="008B4550" w:rsidRPr="008B45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972" w:type="pct"/>
            <w:vMerge w:val="restart"/>
            <w:shd w:val="clear" w:color="auto" w:fill="auto"/>
            <w:vAlign w:val="center"/>
          </w:tcPr>
          <w:p w14:paraId="0E0ED860" w14:textId="45F16B91" w:rsidR="00A66414" w:rsidRPr="00545EED" w:rsidRDefault="00A66414" w:rsidP="002520EB">
            <w:pPr>
              <w:jc w:val="center"/>
              <w:rPr>
                <w:rFonts w:ascii="Arial Narrow" w:hAnsi="Arial Narrow"/>
                <w:sz w:val="20"/>
                <w:szCs w:val="20"/>
                <w:highlight w:val="yellow"/>
              </w:rPr>
            </w:pPr>
            <w:r w:rsidRPr="00F645B8">
              <w:rPr>
                <w:rFonts w:ascii="Arial Narrow" w:hAnsi="Arial Narrow"/>
                <w:sz w:val="20"/>
                <w:szCs w:val="20"/>
              </w:rPr>
              <w:t>$</w:t>
            </w:r>
            <w:r w:rsidR="008B4550" w:rsidRPr="008B4550">
              <w:rPr>
                <w:rFonts w:ascii="Arial Narrow" w:hAnsi="Arial Narrow"/>
                <w:color w:val="000000"/>
                <w:sz w:val="20"/>
                <w:szCs w:val="20"/>
                <w:shd w:val="solid" w:color="000000" w:fill="000000"/>
                <w14:textFill>
                  <w14:solidFill>
                    <w14:srgbClr w14:val="000000">
                      <w14:alpha w14:val="100000"/>
                    </w14:srgbClr>
                  </w14:solidFill>
                </w14:textFill>
              </w:rPr>
              <w:t>|</w:t>
            </w:r>
          </w:p>
        </w:tc>
      </w:tr>
      <w:tr w:rsidR="00A66414" w:rsidRPr="00ED6EDE" w14:paraId="206C604B" w14:textId="77777777" w:rsidTr="00141B66">
        <w:trPr>
          <w:trHeight w:val="20"/>
        </w:trPr>
        <w:tc>
          <w:tcPr>
            <w:tcW w:w="859" w:type="pct"/>
            <w:shd w:val="clear" w:color="auto" w:fill="auto"/>
            <w:vAlign w:val="center"/>
          </w:tcPr>
          <w:p w14:paraId="232663E9" w14:textId="77777777" w:rsidR="00A66414" w:rsidRPr="00ED6EDE" w:rsidRDefault="00A66414" w:rsidP="002520EB">
            <w:pPr>
              <w:rPr>
                <w:rFonts w:ascii="Arial Narrow" w:hAnsi="Arial Narrow"/>
                <w:sz w:val="20"/>
                <w:szCs w:val="20"/>
              </w:rPr>
            </w:pPr>
            <w:r w:rsidRPr="00ED6EDE">
              <w:rPr>
                <w:rFonts w:ascii="Arial Narrow" w:hAnsi="Arial Narrow"/>
                <w:sz w:val="20"/>
                <w:szCs w:val="20"/>
              </w:rPr>
              <w:t>Lenvatinib</w:t>
            </w:r>
          </w:p>
        </w:tc>
        <w:tc>
          <w:tcPr>
            <w:tcW w:w="551" w:type="pct"/>
            <w:shd w:val="clear" w:color="auto" w:fill="auto"/>
            <w:vAlign w:val="center"/>
          </w:tcPr>
          <w:p w14:paraId="49C0E5CB" w14:textId="2FAFA087" w:rsidR="00A66414" w:rsidRPr="00ED6EDE" w:rsidRDefault="00A66414" w:rsidP="00EE0A08">
            <w:pPr>
              <w:jc w:val="center"/>
              <w:rPr>
                <w:rFonts w:ascii="Arial Narrow" w:hAnsi="Arial Narrow"/>
                <w:sz w:val="20"/>
                <w:szCs w:val="20"/>
              </w:rPr>
            </w:pPr>
            <w:r>
              <w:rPr>
                <w:rFonts w:ascii="Arial Narrow" w:hAnsi="Arial Narrow"/>
                <w:sz w:val="20"/>
                <w:szCs w:val="20"/>
              </w:rPr>
              <w:t>8.4 “months”</w:t>
            </w:r>
          </w:p>
        </w:tc>
        <w:tc>
          <w:tcPr>
            <w:tcW w:w="864" w:type="pct"/>
            <w:shd w:val="clear" w:color="auto" w:fill="auto"/>
            <w:vAlign w:val="center"/>
          </w:tcPr>
          <w:p w14:paraId="083C6FD8" w14:textId="3C0D2BF2" w:rsidR="00A66414" w:rsidRPr="000749C0" w:rsidRDefault="008B4550" w:rsidP="00A66414">
            <w:pPr>
              <w:jc w:val="center"/>
              <w:rPr>
                <w:rFonts w:ascii="Arial Narrow" w:hAnsi="Arial Narrow"/>
                <w:sz w:val="20"/>
                <w:szCs w:val="20"/>
                <w:highlight w:val="green"/>
              </w:rPr>
            </w:pPr>
            <w:r w:rsidRPr="008B4550">
              <w:rPr>
                <w:rFonts w:ascii="Arial Narrow" w:hAnsi="Arial Narrow"/>
                <w:color w:val="000000"/>
                <w:sz w:val="20"/>
                <w:szCs w:val="20"/>
                <w:shd w:val="solid" w:color="000000" w:fill="000000"/>
                <w14:textFill>
                  <w14:solidFill>
                    <w14:srgbClr w14:val="000000">
                      <w14:alpha w14:val="100000"/>
                    </w14:srgbClr>
                  </w14:solidFill>
                </w14:textFill>
              </w:rPr>
              <w:t>|</w:t>
            </w:r>
            <w:r w:rsidRPr="008B4550">
              <w:rPr>
                <w:rFonts w:ascii="Arial Narrow" w:hAnsi="Arial Narrow"/>
                <w:sz w:val="20"/>
                <w:szCs w:val="20"/>
              </w:rPr>
              <w:t xml:space="preserve"> </w:t>
            </w:r>
            <w:r w:rsidRPr="008B4550">
              <w:rPr>
                <w:rFonts w:ascii="Arial Narrow" w:hAnsi="Arial Narrow"/>
                <w:color w:val="000000"/>
                <w:spacing w:val="47"/>
                <w:sz w:val="20"/>
                <w:szCs w:val="20"/>
                <w:shd w:val="solid" w:color="000000" w:fill="000000"/>
                <w:fitText w:val="223" w:id="-1500780791"/>
                <w14:textFill>
                  <w14:solidFill>
                    <w14:srgbClr w14:val="000000">
                      <w14:alpha w14:val="100000"/>
                    </w14:srgbClr>
                  </w14:solidFill>
                </w14:textFill>
              </w:rPr>
              <w:t>||</w:t>
            </w:r>
            <w:r w:rsidRPr="008B4550">
              <w:rPr>
                <w:rFonts w:ascii="Arial Narrow" w:hAnsi="Arial Narrow"/>
                <w:color w:val="000000"/>
                <w:spacing w:val="2"/>
                <w:sz w:val="20"/>
                <w:szCs w:val="20"/>
                <w:shd w:val="solid" w:color="000000" w:fill="000000"/>
                <w:fitText w:val="223" w:id="-1500780791"/>
                <w14:textFill>
                  <w14:solidFill>
                    <w14:srgbClr w14:val="000000">
                      <w14:alpha w14:val="100000"/>
                    </w14:srgbClr>
                  </w14:solidFill>
                </w14:textFill>
              </w:rPr>
              <w:t>|</w:t>
            </w:r>
            <w:r w:rsidR="00A66414" w:rsidRPr="00F645B8">
              <w:rPr>
                <w:rFonts w:ascii="Arial Narrow" w:hAnsi="Arial Narrow"/>
                <w:sz w:val="20"/>
                <w:szCs w:val="20"/>
              </w:rPr>
              <w:t xml:space="preserve">months” at </w:t>
            </w:r>
            <w:r w:rsidRPr="008B4550">
              <w:rPr>
                <w:rFonts w:ascii="Arial Narrow" w:hAnsi="Arial Narrow"/>
                <w:color w:val="000000"/>
                <w:sz w:val="20"/>
                <w:szCs w:val="20"/>
                <w:shd w:val="solid" w:color="000000" w:fill="000000"/>
                <w14:textFill>
                  <w14:solidFill>
                    <w14:srgbClr w14:val="000000">
                      <w14:alpha w14:val="100000"/>
                    </w14:srgbClr>
                  </w14:solidFill>
                </w14:textFill>
              </w:rPr>
              <w:t>|</w:t>
            </w:r>
            <w:r w:rsidRPr="008B4550">
              <w:rPr>
                <w:rFonts w:ascii="Arial Narrow" w:hAnsi="Arial Narrow"/>
                <w:sz w:val="20"/>
                <w:szCs w:val="20"/>
              </w:rPr>
              <w:t xml:space="preserve"> </w:t>
            </w:r>
            <w:r w:rsidR="00141B66" w:rsidRPr="00F645B8">
              <w:rPr>
                <w:rFonts w:ascii="Arial Narrow" w:hAnsi="Arial Narrow"/>
                <w:sz w:val="20"/>
                <w:szCs w:val="20"/>
              </w:rPr>
              <w:t>dose intensity</w:t>
            </w:r>
            <w:r w:rsidR="00A66414" w:rsidRPr="00F645B8">
              <w:rPr>
                <w:rFonts w:ascii="Arial Narrow" w:hAnsi="Arial Narrow"/>
                <w:sz w:val="20"/>
                <w:szCs w:val="20"/>
                <w:vertAlign w:val="superscript"/>
              </w:rPr>
              <w:t>c</w:t>
            </w:r>
          </w:p>
        </w:tc>
        <w:tc>
          <w:tcPr>
            <w:tcW w:w="730" w:type="pct"/>
            <w:shd w:val="clear" w:color="auto" w:fill="auto"/>
            <w:vAlign w:val="center"/>
          </w:tcPr>
          <w:p w14:paraId="119B75CE" w14:textId="1A3A5836" w:rsidR="00A66414" w:rsidRPr="000749C0" w:rsidRDefault="008B4550" w:rsidP="00A66414">
            <w:pPr>
              <w:jc w:val="center"/>
              <w:rPr>
                <w:rFonts w:ascii="Arial Narrow" w:hAnsi="Arial Narrow"/>
                <w:sz w:val="20"/>
                <w:szCs w:val="20"/>
                <w:highlight w:val="green"/>
                <w:vertAlign w:val="superscript"/>
              </w:rPr>
            </w:pPr>
            <w:r w:rsidRPr="008B4550">
              <w:rPr>
                <w:rFonts w:ascii="Arial Narrow" w:hAnsi="Arial Narrow"/>
                <w:color w:val="000000"/>
                <w:spacing w:val="206"/>
                <w:sz w:val="20"/>
                <w:szCs w:val="20"/>
                <w:shd w:val="solid" w:color="000000" w:fill="000000"/>
                <w:fitText w:val="292" w:id="-1500780790"/>
                <w14:textFill>
                  <w14:solidFill>
                    <w14:srgbClr w14:val="000000">
                      <w14:alpha w14:val="100000"/>
                    </w14:srgbClr>
                  </w14:solidFill>
                </w14:textFill>
              </w:rPr>
              <w:t>|</w:t>
            </w:r>
            <w:r w:rsidRPr="008B4550">
              <w:rPr>
                <w:rFonts w:ascii="Arial Narrow" w:hAnsi="Arial Narrow"/>
                <w:color w:val="000000"/>
                <w:spacing w:val="1"/>
                <w:sz w:val="20"/>
                <w:szCs w:val="20"/>
                <w:shd w:val="solid" w:color="000000" w:fill="000000"/>
                <w:fitText w:val="292" w:id="-1500780790"/>
                <w14:textFill>
                  <w14:solidFill>
                    <w14:srgbClr w14:val="000000">
                      <w14:alpha w14:val="100000"/>
                    </w14:srgbClr>
                  </w14:solidFill>
                </w14:textFill>
              </w:rPr>
              <w:t>|</w:t>
            </w:r>
            <w:r w:rsidRPr="008B4550">
              <w:rPr>
                <w:rFonts w:ascii="Arial Narrow" w:hAnsi="Arial Narrow"/>
                <w:sz w:val="20"/>
                <w:szCs w:val="20"/>
              </w:rPr>
              <w:t xml:space="preserve"> </w:t>
            </w:r>
            <w:r w:rsidR="00A66414" w:rsidRPr="00F645B8">
              <w:rPr>
                <w:rFonts w:ascii="Arial Narrow" w:hAnsi="Arial Narrow"/>
                <w:sz w:val="20"/>
                <w:szCs w:val="20"/>
              </w:rPr>
              <w:t xml:space="preserve">months at dose of </w:t>
            </w:r>
            <w:r w:rsidRPr="008B4550">
              <w:rPr>
                <w:rFonts w:ascii="Arial Narrow" w:hAnsi="Arial Narrow"/>
                <w:color w:val="000000"/>
                <w:spacing w:val="115"/>
                <w:sz w:val="20"/>
                <w:szCs w:val="20"/>
                <w:shd w:val="solid" w:color="000000" w:fill="000000"/>
                <w:fitText w:val="201" w:id="-1500780789"/>
                <w14:textFill>
                  <w14:solidFill>
                    <w14:srgbClr w14:val="000000">
                      <w14:alpha w14:val="100000"/>
                    </w14:srgbClr>
                  </w14:solidFill>
                </w14:textFill>
              </w:rPr>
              <w:t>|</w:t>
            </w:r>
            <w:r w:rsidRPr="008B4550">
              <w:rPr>
                <w:rFonts w:ascii="Arial Narrow" w:hAnsi="Arial Narrow"/>
                <w:color w:val="000000"/>
                <w:spacing w:val="1"/>
                <w:sz w:val="20"/>
                <w:szCs w:val="20"/>
                <w:shd w:val="solid" w:color="000000" w:fill="000000"/>
                <w:fitText w:val="201" w:id="-1500780789"/>
                <w14:textFill>
                  <w14:solidFill>
                    <w14:srgbClr w14:val="000000">
                      <w14:alpha w14:val="100000"/>
                    </w14:srgbClr>
                  </w14:solidFill>
                </w14:textFill>
              </w:rPr>
              <w:t>|</w:t>
            </w:r>
            <w:r w:rsidRPr="008B4550">
              <w:rPr>
                <w:rFonts w:ascii="Arial Narrow" w:hAnsi="Arial Narrow"/>
                <w:sz w:val="20"/>
                <w:szCs w:val="20"/>
              </w:rPr>
              <w:t xml:space="preserve"> </w:t>
            </w:r>
            <w:r w:rsidR="00A66414" w:rsidRPr="00F645B8">
              <w:rPr>
                <w:rFonts w:ascii="Arial Narrow" w:hAnsi="Arial Narrow"/>
                <w:sz w:val="20"/>
                <w:szCs w:val="20"/>
              </w:rPr>
              <w:t xml:space="preserve">mg </w:t>
            </w:r>
            <w:r w:rsidR="00A66414" w:rsidRPr="00F645B8">
              <w:rPr>
                <w:rFonts w:ascii="Arial Narrow" w:hAnsi="Arial Narrow"/>
                <w:sz w:val="20"/>
                <w:szCs w:val="20"/>
                <w:vertAlign w:val="superscript"/>
              </w:rPr>
              <w:t>d</w:t>
            </w:r>
          </w:p>
        </w:tc>
        <w:tc>
          <w:tcPr>
            <w:tcW w:w="1023" w:type="pct"/>
            <w:vMerge/>
            <w:shd w:val="clear" w:color="auto" w:fill="auto"/>
            <w:vAlign w:val="center"/>
          </w:tcPr>
          <w:p w14:paraId="58CE8A48" w14:textId="785F8A1D" w:rsidR="00A66414" w:rsidRPr="00ED6EDE" w:rsidRDefault="00A66414" w:rsidP="002520EB">
            <w:pPr>
              <w:jc w:val="center"/>
              <w:rPr>
                <w:rFonts w:ascii="Arial Narrow" w:hAnsi="Arial Narrow"/>
                <w:sz w:val="20"/>
                <w:szCs w:val="20"/>
              </w:rPr>
            </w:pPr>
          </w:p>
        </w:tc>
        <w:tc>
          <w:tcPr>
            <w:tcW w:w="972" w:type="pct"/>
            <w:vMerge/>
            <w:shd w:val="clear" w:color="auto" w:fill="auto"/>
            <w:vAlign w:val="center"/>
          </w:tcPr>
          <w:p w14:paraId="069BC1F4" w14:textId="493D764D" w:rsidR="00A66414" w:rsidRPr="00ED6EDE" w:rsidRDefault="00A66414" w:rsidP="002520EB">
            <w:pPr>
              <w:jc w:val="center"/>
              <w:rPr>
                <w:rFonts w:ascii="Arial Narrow" w:hAnsi="Arial Narrow"/>
                <w:sz w:val="20"/>
                <w:szCs w:val="20"/>
              </w:rPr>
            </w:pPr>
          </w:p>
        </w:tc>
      </w:tr>
      <w:tr w:rsidR="00A66414" w:rsidRPr="00ED6EDE" w14:paraId="598FD9BD" w14:textId="77777777" w:rsidTr="00141B66">
        <w:trPr>
          <w:trHeight w:val="20"/>
        </w:trPr>
        <w:tc>
          <w:tcPr>
            <w:tcW w:w="3005" w:type="pct"/>
            <w:gridSpan w:val="4"/>
            <w:shd w:val="clear" w:color="auto" w:fill="auto"/>
            <w:vAlign w:val="center"/>
          </w:tcPr>
          <w:p w14:paraId="78B6EEFD" w14:textId="77777777" w:rsidR="00A66414" w:rsidRPr="00ED6EDE" w:rsidRDefault="00A66414" w:rsidP="002520EB">
            <w:pPr>
              <w:rPr>
                <w:rFonts w:ascii="Arial Narrow" w:hAnsi="Arial Narrow"/>
                <w:sz w:val="20"/>
                <w:szCs w:val="20"/>
              </w:rPr>
            </w:pPr>
            <w:r w:rsidRPr="00ED6EDE">
              <w:rPr>
                <w:rFonts w:ascii="Arial Narrow" w:hAnsi="Arial Narrow"/>
                <w:sz w:val="20"/>
                <w:szCs w:val="20"/>
              </w:rPr>
              <w:t>Total</w:t>
            </w:r>
          </w:p>
        </w:tc>
        <w:tc>
          <w:tcPr>
            <w:tcW w:w="1023" w:type="pct"/>
            <w:vMerge/>
            <w:shd w:val="clear" w:color="auto" w:fill="auto"/>
            <w:vAlign w:val="center"/>
          </w:tcPr>
          <w:p w14:paraId="739D1F1A" w14:textId="04426A68" w:rsidR="00A66414" w:rsidRPr="00ED6EDE" w:rsidRDefault="00A66414" w:rsidP="002520EB">
            <w:pPr>
              <w:jc w:val="center"/>
              <w:rPr>
                <w:rFonts w:ascii="Arial Narrow" w:hAnsi="Arial Narrow"/>
                <w:sz w:val="20"/>
                <w:szCs w:val="20"/>
              </w:rPr>
            </w:pPr>
          </w:p>
        </w:tc>
        <w:tc>
          <w:tcPr>
            <w:tcW w:w="972" w:type="pct"/>
            <w:vMerge/>
            <w:shd w:val="clear" w:color="auto" w:fill="auto"/>
            <w:vAlign w:val="center"/>
          </w:tcPr>
          <w:p w14:paraId="6DBF28DF" w14:textId="55F05405" w:rsidR="00A66414" w:rsidRPr="00ED6EDE" w:rsidRDefault="00A66414" w:rsidP="002520EB">
            <w:pPr>
              <w:jc w:val="center"/>
              <w:rPr>
                <w:rFonts w:ascii="Arial Narrow" w:hAnsi="Arial Narrow"/>
                <w:sz w:val="20"/>
                <w:szCs w:val="20"/>
              </w:rPr>
            </w:pPr>
          </w:p>
        </w:tc>
      </w:tr>
      <w:tr w:rsidR="007866D9" w:rsidRPr="00ED6EDE" w14:paraId="01F15B1B" w14:textId="77777777" w:rsidTr="002520EB">
        <w:trPr>
          <w:trHeight w:val="20"/>
        </w:trPr>
        <w:tc>
          <w:tcPr>
            <w:tcW w:w="5000" w:type="pct"/>
            <w:gridSpan w:val="6"/>
            <w:shd w:val="clear" w:color="auto" w:fill="auto"/>
            <w:vAlign w:val="center"/>
            <w:hideMark/>
          </w:tcPr>
          <w:p w14:paraId="7EA102B2" w14:textId="77777777" w:rsidR="007866D9" w:rsidRPr="00D80364" w:rsidRDefault="007866D9" w:rsidP="002520EB">
            <w:pPr>
              <w:rPr>
                <w:rFonts w:ascii="Arial Narrow" w:hAnsi="Arial Narrow"/>
                <w:b/>
                <w:sz w:val="20"/>
                <w:szCs w:val="20"/>
              </w:rPr>
            </w:pPr>
            <w:r w:rsidRPr="00D80364">
              <w:rPr>
                <w:rFonts w:ascii="Arial Narrow" w:hAnsi="Arial Narrow"/>
                <w:b/>
                <w:sz w:val="20"/>
                <w:szCs w:val="20"/>
              </w:rPr>
              <w:t>Chemotherapy</w:t>
            </w:r>
          </w:p>
        </w:tc>
      </w:tr>
      <w:tr w:rsidR="00EE0A08" w:rsidRPr="00ED6EDE" w14:paraId="2328B28C" w14:textId="77777777" w:rsidTr="00141B66">
        <w:trPr>
          <w:trHeight w:val="20"/>
        </w:trPr>
        <w:tc>
          <w:tcPr>
            <w:tcW w:w="859" w:type="pct"/>
            <w:shd w:val="clear" w:color="auto" w:fill="auto"/>
            <w:vAlign w:val="center"/>
            <w:hideMark/>
          </w:tcPr>
          <w:p w14:paraId="2340D8C7" w14:textId="77777777" w:rsidR="00EE0A08" w:rsidRPr="00ED6EDE" w:rsidRDefault="00EE0A08" w:rsidP="001B0AE9">
            <w:pPr>
              <w:rPr>
                <w:rFonts w:ascii="Arial Narrow" w:hAnsi="Arial Narrow"/>
                <w:sz w:val="20"/>
                <w:szCs w:val="20"/>
              </w:rPr>
            </w:pPr>
            <w:r w:rsidRPr="00ED6EDE">
              <w:rPr>
                <w:rFonts w:ascii="Arial Narrow" w:hAnsi="Arial Narrow"/>
                <w:sz w:val="20"/>
                <w:szCs w:val="20"/>
              </w:rPr>
              <w:t>Doxorubicin</w:t>
            </w:r>
          </w:p>
        </w:tc>
        <w:tc>
          <w:tcPr>
            <w:tcW w:w="551" w:type="pct"/>
            <w:shd w:val="clear" w:color="auto" w:fill="auto"/>
            <w:vAlign w:val="center"/>
          </w:tcPr>
          <w:p w14:paraId="6AF39FB5" w14:textId="0D9713D6" w:rsidR="00EE0A08" w:rsidRPr="00ED6EDE" w:rsidRDefault="00EE0A08" w:rsidP="001B0AE9">
            <w:pPr>
              <w:jc w:val="center"/>
              <w:rPr>
                <w:rFonts w:ascii="Arial Narrow" w:hAnsi="Arial Narrow"/>
                <w:sz w:val="20"/>
                <w:szCs w:val="20"/>
              </w:rPr>
            </w:pPr>
            <w:r w:rsidRPr="00F53848">
              <w:rPr>
                <w:rFonts w:ascii="Arial Narrow" w:hAnsi="Arial Narrow"/>
                <w:sz w:val="20"/>
                <w:szCs w:val="20"/>
              </w:rPr>
              <w:t>4.8</w:t>
            </w:r>
          </w:p>
        </w:tc>
        <w:tc>
          <w:tcPr>
            <w:tcW w:w="864" w:type="pct"/>
            <w:shd w:val="clear" w:color="auto" w:fill="auto"/>
            <w:vAlign w:val="center"/>
          </w:tcPr>
          <w:p w14:paraId="1F42DB77" w14:textId="6C660148" w:rsidR="00EE0A08" w:rsidRPr="00ED6EDE" w:rsidRDefault="00EE0A08" w:rsidP="001B0AE9">
            <w:pPr>
              <w:jc w:val="center"/>
              <w:rPr>
                <w:rFonts w:ascii="Arial Narrow" w:hAnsi="Arial Narrow"/>
                <w:sz w:val="20"/>
                <w:szCs w:val="20"/>
              </w:rPr>
            </w:pPr>
            <w:r w:rsidRPr="00ED6EDE">
              <w:rPr>
                <w:rFonts w:ascii="Arial Narrow" w:hAnsi="Arial Narrow"/>
                <w:sz w:val="20"/>
                <w:szCs w:val="20"/>
              </w:rPr>
              <w:t>5.2</w:t>
            </w:r>
          </w:p>
        </w:tc>
        <w:tc>
          <w:tcPr>
            <w:tcW w:w="730" w:type="pct"/>
            <w:shd w:val="clear" w:color="auto" w:fill="auto"/>
            <w:vAlign w:val="center"/>
          </w:tcPr>
          <w:p w14:paraId="62EA2FAE" w14:textId="77777777" w:rsidR="00EE0A08" w:rsidRPr="00ED6EDE" w:rsidRDefault="00EE0A08" w:rsidP="001B0AE9">
            <w:pPr>
              <w:jc w:val="center"/>
              <w:rPr>
                <w:rFonts w:ascii="Arial Narrow" w:hAnsi="Arial Narrow"/>
                <w:sz w:val="20"/>
                <w:szCs w:val="20"/>
              </w:rPr>
            </w:pPr>
            <w:r w:rsidRPr="00ED6EDE">
              <w:rPr>
                <w:rFonts w:ascii="Arial Narrow" w:hAnsi="Arial Narrow"/>
                <w:sz w:val="20"/>
                <w:szCs w:val="20"/>
              </w:rPr>
              <w:t>17.33</w:t>
            </w:r>
          </w:p>
        </w:tc>
        <w:tc>
          <w:tcPr>
            <w:tcW w:w="1023" w:type="pct"/>
            <w:shd w:val="clear" w:color="auto" w:fill="auto"/>
            <w:vAlign w:val="center"/>
          </w:tcPr>
          <w:p w14:paraId="643127FF" w14:textId="2F716F34" w:rsidR="00EE0A08" w:rsidRPr="00545EED" w:rsidRDefault="00EE0A08" w:rsidP="001B0AE9">
            <w:pPr>
              <w:jc w:val="center"/>
              <w:rPr>
                <w:rFonts w:ascii="Arial Narrow" w:hAnsi="Arial Narrow"/>
                <w:sz w:val="20"/>
                <w:szCs w:val="20"/>
                <w:highlight w:val="yellow"/>
              </w:rPr>
            </w:pPr>
            <w:r w:rsidRPr="00F645B8">
              <w:rPr>
                <w:rFonts w:ascii="Arial Narrow" w:hAnsi="Arial Narrow"/>
                <w:sz w:val="20"/>
                <w:szCs w:val="20"/>
              </w:rPr>
              <w:t>$</w:t>
            </w:r>
            <w:r w:rsidR="008B4550" w:rsidRPr="008B45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972" w:type="pct"/>
            <w:shd w:val="clear" w:color="auto" w:fill="auto"/>
            <w:vAlign w:val="center"/>
          </w:tcPr>
          <w:p w14:paraId="4CD85B05" w14:textId="3735B676" w:rsidR="00EE0A08" w:rsidRPr="00F645B8" w:rsidRDefault="00EE0A08" w:rsidP="001B0AE9">
            <w:pPr>
              <w:jc w:val="center"/>
              <w:rPr>
                <w:rFonts w:ascii="Arial Narrow" w:hAnsi="Arial Narrow"/>
                <w:sz w:val="20"/>
                <w:szCs w:val="20"/>
              </w:rPr>
            </w:pPr>
            <w:r w:rsidRPr="00F645B8">
              <w:rPr>
                <w:rFonts w:ascii="Arial Narrow" w:hAnsi="Arial Narrow"/>
                <w:sz w:val="20"/>
                <w:szCs w:val="20"/>
              </w:rPr>
              <w:t>$</w:t>
            </w:r>
            <w:r w:rsidR="008B4550" w:rsidRPr="008B4550">
              <w:rPr>
                <w:rFonts w:ascii="Arial Narrow" w:hAnsi="Arial Narrow"/>
                <w:color w:val="000000"/>
                <w:sz w:val="20"/>
                <w:szCs w:val="20"/>
                <w:shd w:val="solid" w:color="000000" w:fill="000000"/>
                <w14:textFill>
                  <w14:solidFill>
                    <w14:srgbClr w14:val="000000">
                      <w14:alpha w14:val="100000"/>
                    </w14:srgbClr>
                  </w14:solidFill>
                </w14:textFill>
              </w:rPr>
              <w:t>|</w:t>
            </w:r>
          </w:p>
        </w:tc>
      </w:tr>
      <w:tr w:rsidR="00EE0A08" w:rsidRPr="00ED6EDE" w14:paraId="18C641A2" w14:textId="77777777" w:rsidTr="00141B66">
        <w:trPr>
          <w:trHeight w:val="20"/>
        </w:trPr>
        <w:tc>
          <w:tcPr>
            <w:tcW w:w="859" w:type="pct"/>
            <w:shd w:val="clear" w:color="auto" w:fill="auto"/>
            <w:vAlign w:val="center"/>
            <w:hideMark/>
          </w:tcPr>
          <w:p w14:paraId="6B5675A1" w14:textId="77777777" w:rsidR="00EE0A08" w:rsidRPr="00ED6EDE" w:rsidRDefault="00EE0A08" w:rsidP="001B0AE9">
            <w:pPr>
              <w:rPr>
                <w:rFonts w:ascii="Arial Narrow" w:hAnsi="Arial Narrow"/>
                <w:sz w:val="20"/>
                <w:szCs w:val="20"/>
              </w:rPr>
            </w:pPr>
            <w:r w:rsidRPr="00ED6EDE">
              <w:rPr>
                <w:rFonts w:ascii="Arial Narrow" w:hAnsi="Arial Narrow"/>
                <w:sz w:val="20"/>
                <w:szCs w:val="20"/>
              </w:rPr>
              <w:t>Paclitaxel</w:t>
            </w:r>
          </w:p>
        </w:tc>
        <w:tc>
          <w:tcPr>
            <w:tcW w:w="551" w:type="pct"/>
            <w:shd w:val="clear" w:color="auto" w:fill="auto"/>
            <w:vAlign w:val="center"/>
          </w:tcPr>
          <w:p w14:paraId="44538482" w14:textId="77E0AF83" w:rsidR="00EE0A08" w:rsidRPr="00ED6EDE" w:rsidRDefault="00EE0A08" w:rsidP="001B0AE9">
            <w:pPr>
              <w:jc w:val="center"/>
              <w:rPr>
                <w:rFonts w:ascii="Arial Narrow" w:hAnsi="Arial Narrow"/>
                <w:sz w:val="20"/>
                <w:szCs w:val="20"/>
              </w:rPr>
            </w:pPr>
            <w:r w:rsidRPr="00F53848">
              <w:rPr>
                <w:rFonts w:ascii="Arial Narrow" w:hAnsi="Arial Narrow"/>
                <w:sz w:val="20"/>
                <w:szCs w:val="20"/>
              </w:rPr>
              <w:t>6.7</w:t>
            </w:r>
          </w:p>
        </w:tc>
        <w:tc>
          <w:tcPr>
            <w:tcW w:w="864" w:type="pct"/>
            <w:shd w:val="clear" w:color="auto" w:fill="auto"/>
            <w:vAlign w:val="center"/>
          </w:tcPr>
          <w:p w14:paraId="530F41F2" w14:textId="20FF8F3E" w:rsidR="00EE0A08" w:rsidRPr="00ED6EDE" w:rsidRDefault="00EE0A08" w:rsidP="001B0AE9">
            <w:pPr>
              <w:jc w:val="center"/>
              <w:rPr>
                <w:rFonts w:ascii="Arial Narrow" w:hAnsi="Arial Narrow"/>
                <w:sz w:val="20"/>
                <w:szCs w:val="20"/>
              </w:rPr>
            </w:pPr>
            <w:r w:rsidRPr="00ED6EDE">
              <w:rPr>
                <w:rFonts w:ascii="Arial Narrow" w:hAnsi="Arial Narrow"/>
                <w:sz w:val="20"/>
                <w:szCs w:val="20"/>
              </w:rPr>
              <w:t>12.7</w:t>
            </w:r>
          </w:p>
        </w:tc>
        <w:tc>
          <w:tcPr>
            <w:tcW w:w="730" w:type="pct"/>
            <w:shd w:val="clear" w:color="auto" w:fill="auto"/>
            <w:vAlign w:val="center"/>
          </w:tcPr>
          <w:p w14:paraId="0B61CF23" w14:textId="77777777" w:rsidR="00EE0A08" w:rsidRPr="00ED6EDE" w:rsidRDefault="00EE0A08" w:rsidP="001B0AE9">
            <w:pPr>
              <w:jc w:val="center"/>
              <w:rPr>
                <w:rFonts w:ascii="Arial Narrow" w:hAnsi="Arial Narrow"/>
                <w:sz w:val="20"/>
                <w:szCs w:val="20"/>
              </w:rPr>
            </w:pPr>
            <w:r w:rsidRPr="00ED6EDE">
              <w:rPr>
                <w:rFonts w:ascii="Arial Narrow" w:hAnsi="Arial Narrow"/>
                <w:sz w:val="20"/>
                <w:szCs w:val="20"/>
              </w:rPr>
              <w:t>17.33</w:t>
            </w:r>
          </w:p>
        </w:tc>
        <w:tc>
          <w:tcPr>
            <w:tcW w:w="1023" w:type="pct"/>
            <w:shd w:val="clear" w:color="auto" w:fill="auto"/>
            <w:vAlign w:val="center"/>
          </w:tcPr>
          <w:p w14:paraId="32402DAC" w14:textId="09177EF2" w:rsidR="00EE0A08" w:rsidRPr="00545EED" w:rsidRDefault="00EE0A08" w:rsidP="001B0AE9">
            <w:pPr>
              <w:jc w:val="center"/>
              <w:rPr>
                <w:rFonts w:ascii="Arial Narrow" w:hAnsi="Arial Narrow"/>
                <w:sz w:val="20"/>
                <w:szCs w:val="20"/>
                <w:highlight w:val="yellow"/>
              </w:rPr>
            </w:pPr>
            <w:r w:rsidRPr="00F645B8">
              <w:rPr>
                <w:rFonts w:ascii="Arial Narrow" w:hAnsi="Arial Narrow"/>
                <w:sz w:val="20"/>
                <w:szCs w:val="20"/>
              </w:rPr>
              <w:t>$</w:t>
            </w:r>
            <w:r w:rsidR="008B4550" w:rsidRPr="008B45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972" w:type="pct"/>
            <w:shd w:val="clear" w:color="auto" w:fill="auto"/>
            <w:vAlign w:val="center"/>
          </w:tcPr>
          <w:p w14:paraId="6324E085" w14:textId="7311AC57" w:rsidR="00EE0A08" w:rsidRPr="00545EED" w:rsidRDefault="00EE0A08" w:rsidP="001B0AE9">
            <w:pPr>
              <w:jc w:val="center"/>
              <w:rPr>
                <w:rFonts w:ascii="Arial Narrow" w:hAnsi="Arial Narrow"/>
                <w:sz w:val="20"/>
                <w:szCs w:val="20"/>
                <w:highlight w:val="yellow"/>
              </w:rPr>
            </w:pPr>
            <w:r w:rsidRPr="00F645B8">
              <w:rPr>
                <w:rFonts w:ascii="Arial Narrow" w:hAnsi="Arial Narrow"/>
                <w:sz w:val="20"/>
                <w:szCs w:val="20"/>
              </w:rPr>
              <w:t>$</w:t>
            </w:r>
            <w:r w:rsidR="008B4550" w:rsidRPr="008B4550">
              <w:rPr>
                <w:rFonts w:ascii="Arial Narrow" w:hAnsi="Arial Narrow"/>
                <w:color w:val="000000"/>
                <w:sz w:val="20"/>
                <w:szCs w:val="20"/>
                <w:shd w:val="solid" w:color="000000" w:fill="000000"/>
                <w14:textFill>
                  <w14:solidFill>
                    <w14:srgbClr w14:val="000000">
                      <w14:alpha w14:val="100000"/>
                    </w14:srgbClr>
                  </w14:solidFill>
                </w14:textFill>
              </w:rPr>
              <w:t>|</w:t>
            </w:r>
          </w:p>
        </w:tc>
      </w:tr>
      <w:tr w:rsidR="00EE0A08" w:rsidRPr="00ED6EDE" w14:paraId="6D4D5E4C" w14:textId="77777777" w:rsidTr="00141B66">
        <w:trPr>
          <w:trHeight w:val="20"/>
        </w:trPr>
        <w:tc>
          <w:tcPr>
            <w:tcW w:w="3005" w:type="pct"/>
            <w:gridSpan w:val="4"/>
            <w:shd w:val="clear" w:color="auto" w:fill="auto"/>
            <w:vAlign w:val="center"/>
          </w:tcPr>
          <w:p w14:paraId="08D0AC3C" w14:textId="77777777" w:rsidR="00EE0A08" w:rsidRPr="00ED6EDE" w:rsidRDefault="00EE0A08" w:rsidP="002520EB">
            <w:pPr>
              <w:rPr>
                <w:rFonts w:ascii="Arial Narrow" w:hAnsi="Arial Narrow"/>
                <w:sz w:val="20"/>
                <w:szCs w:val="20"/>
              </w:rPr>
            </w:pPr>
            <w:r w:rsidRPr="00ED6EDE">
              <w:rPr>
                <w:rFonts w:ascii="Arial Narrow" w:hAnsi="Arial Narrow"/>
                <w:sz w:val="20"/>
                <w:szCs w:val="20"/>
              </w:rPr>
              <w:t>Total</w:t>
            </w:r>
          </w:p>
        </w:tc>
        <w:tc>
          <w:tcPr>
            <w:tcW w:w="1023" w:type="pct"/>
            <w:shd w:val="clear" w:color="auto" w:fill="auto"/>
            <w:vAlign w:val="center"/>
          </w:tcPr>
          <w:p w14:paraId="7BBDC952" w14:textId="41751912" w:rsidR="00EE0A08" w:rsidRPr="00545EED" w:rsidRDefault="00EE0A08" w:rsidP="00A66414">
            <w:pPr>
              <w:jc w:val="center"/>
              <w:rPr>
                <w:rFonts w:ascii="Arial Narrow" w:hAnsi="Arial Narrow"/>
                <w:sz w:val="20"/>
                <w:szCs w:val="20"/>
                <w:highlight w:val="yellow"/>
              </w:rPr>
            </w:pPr>
            <w:r w:rsidRPr="00F645B8">
              <w:rPr>
                <w:rFonts w:ascii="Arial Narrow" w:hAnsi="Arial Narrow"/>
                <w:sz w:val="20"/>
                <w:szCs w:val="20"/>
              </w:rPr>
              <w:t>$</w:t>
            </w:r>
            <w:r w:rsidR="008B4550" w:rsidRPr="008B4550">
              <w:rPr>
                <w:rFonts w:ascii="Arial Narrow" w:hAnsi="Arial Narrow"/>
                <w:color w:val="000000"/>
                <w:sz w:val="20"/>
                <w:szCs w:val="20"/>
                <w:shd w:val="solid" w:color="000000" w:fill="000000"/>
                <w14:textFill>
                  <w14:solidFill>
                    <w14:srgbClr w14:val="000000">
                      <w14:alpha w14:val="100000"/>
                    </w14:srgbClr>
                  </w14:solidFill>
                </w14:textFill>
              </w:rPr>
              <w:t>|</w:t>
            </w:r>
            <w:r w:rsidR="008B4550" w:rsidRPr="008B4550">
              <w:rPr>
                <w:rFonts w:ascii="Arial Narrow" w:hAnsi="Arial Narrow"/>
                <w:sz w:val="20"/>
                <w:szCs w:val="20"/>
              </w:rPr>
              <w:t xml:space="preserve"> </w:t>
            </w:r>
            <w:r w:rsidR="008B4550" w:rsidRPr="008B4550">
              <w:rPr>
                <w:rFonts w:ascii="Arial Narrow" w:hAnsi="Arial Narrow"/>
                <w:color w:val="000000"/>
                <w:sz w:val="20"/>
                <w:szCs w:val="20"/>
                <w:shd w:val="solid" w:color="000000" w:fill="000000"/>
                <w:vertAlign w:val="superscript"/>
                <w14:textFill>
                  <w14:solidFill>
                    <w14:srgbClr w14:val="000000">
                      <w14:alpha w14:val="100000"/>
                    </w14:srgbClr>
                  </w14:solidFill>
                </w14:textFill>
              </w:rPr>
              <w:t>|</w:t>
            </w:r>
          </w:p>
        </w:tc>
        <w:tc>
          <w:tcPr>
            <w:tcW w:w="972" w:type="pct"/>
            <w:shd w:val="clear" w:color="auto" w:fill="auto"/>
            <w:vAlign w:val="center"/>
          </w:tcPr>
          <w:p w14:paraId="3AE138D0" w14:textId="1DAB34A4" w:rsidR="00EE0A08" w:rsidRPr="00545EED" w:rsidRDefault="00EE0A08" w:rsidP="002520EB">
            <w:pPr>
              <w:jc w:val="center"/>
              <w:rPr>
                <w:rFonts w:ascii="Arial Narrow" w:hAnsi="Arial Narrow"/>
                <w:sz w:val="20"/>
                <w:szCs w:val="20"/>
                <w:highlight w:val="yellow"/>
              </w:rPr>
            </w:pPr>
            <w:r w:rsidRPr="00F645B8">
              <w:rPr>
                <w:rFonts w:ascii="Arial Narrow" w:hAnsi="Arial Narrow"/>
                <w:sz w:val="20"/>
                <w:szCs w:val="20"/>
              </w:rPr>
              <w:t>$</w:t>
            </w:r>
            <w:r w:rsidR="008B4550" w:rsidRPr="008B4550">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4C27888A" w14:textId="77777777" w:rsidR="007866D9" w:rsidRPr="00ED6EDE" w:rsidRDefault="007866D9" w:rsidP="007866D9">
      <w:pPr>
        <w:pStyle w:val="TableFooter"/>
        <w:widowControl/>
      </w:pPr>
      <w:r w:rsidRPr="00ED6EDE">
        <w:t>Source: Table 3.8-1, p178 of the submission and “endometrial cancer Section 3 model.xlsx” Table 10-7, p90 of KN775 CSR, and ‘Endometrial cancer Section 4 Workbook – Revised.xlsx’</w:t>
      </w:r>
    </w:p>
    <w:p w14:paraId="23ADE496" w14:textId="77777777" w:rsidR="007866D9" w:rsidRPr="00ED6EDE" w:rsidRDefault="007866D9" w:rsidP="007866D9">
      <w:pPr>
        <w:pStyle w:val="TableFooter"/>
        <w:widowControl/>
      </w:pPr>
      <w:r w:rsidRPr="00ED6EDE">
        <w:t xml:space="preserve">Note: small discrepancies between presented results and products of their presented factors are due to rounding. </w:t>
      </w:r>
    </w:p>
    <w:p w14:paraId="612708C9" w14:textId="4CB5A3EC" w:rsidR="007866D9" w:rsidRDefault="007866D9" w:rsidP="007866D9">
      <w:pPr>
        <w:pStyle w:val="TableFooter"/>
        <w:widowControl/>
        <w:tabs>
          <w:tab w:val="left" w:pos="284"/>
        </w:tabs>
      </w:pPr>
      <w:r w:rsidRPr="00ED6EDE">
        <w:rPr>
          <w:vertAlign w:val="superscript"/>
        </w:rPr>
        <w:t>a</w:t>
      </w:r>
      <w:r w:rsidRPr="00ED6EDE">
        <w:t xml:space="preserve"> </w:t>
      </w:r>
      <w:r w:rsidR="001B0AE9">
        <w:t xml:space="preserve">based on </w:t>
      </w:r>
      <w:r w:rsidR="006F7AFD">
        <w:t xml:space="preserve">column BH of </w:t>
      </w:r>
      <w:r w:rsidR="001B0AE9">
        <w:t xml:space="preserve">worksheet </w:t>
      </w:r>
      <w:r w:rsidR="006F7AFD">
        <w:t xml:space="preserve">‘PF – PEM + LEN’, </w:t>
      </w:r>
      <w:r w:rsidR="006D114C">
        <w:t xml:space="preserve">including the submission’s </w:t>
      </w:r>
      <w:r w:rsidR="00A835E7">
        <w:t>assum</w:t>
      </w:r>
      <w:r w:rsidR="006D114C">
        <w:t>ption of</w:t>
      </w:r>
      <w:r w:rsidR="00A835E7">
        <w:t xml:space="preserve"> 100% dose intensity</w:t>
      </w:r>
      <w:r w:rsidR="001B0AE9">
        <w:t xml:space="preserve">. </w:t>
      </w:r>
    </w:p>
    <w:p w14:paraId="6F5E662E" w14:textId="246B545B" w:rsidR="00A66414" w:rsidRPr="00A66414" w:rsidRDefault="00A66414" w:rsidP="007866D9">
      <w:pPr>
        <w:pStyle w:val="TableFooter"/>
        <w:widowControl/>
        <w:tabs>
          <w:tab w:val="left" w:pos="284"/>
        </w:tabs>
      </w:pPr>
      <w:r>
        <w:rPr>
          <w:vertAlign w:val="superscript"/>
        </w:rPr>
        <w:t>b</w:t>
      </w:r>
      <w:r>
        <w:t xml:space="preserve"> based on mean treatment duration </w:t>
      </w:r>
      <w:r w:rsidRPr="00D21992">
        <w:t xml:space="preserve">of </w:t>
      </w:r>
      <w:r w:rsidR="008B4550" w:rsidRPr="008B4550">
        <w:rPr>
          <w:color w:val="000000"/>
          <w:spacing w:val="37"/>
          <w:shd w:val="solid" w:color="000000" w:fill="000000"/>
          <w:fitText w:val="272" w:id="-1500780788"/>
          <w14:textFill>
            <w14:solidFill>
              <w14:srgbClr w14:val="000000">
                <w14:alpha w14:val="100000"/>
              </w14:srgbClr>
            </w14:solidFill>
          </w14:textFill>
        </w:rPr>
        <w:t xml:space="preserve">|  </w:t>
      </w:r>
      <w:r w:rsidR="008B4550" w:rsidRPr="008B4550">
        <w:rPr>
          <w:color w:val="000000"/>
          <w:spacing w:val="3"/>
          <w:shd w:val="solid" w:color="000000" w:fill="000000"/>
          <w:fitText w:val="272" w:id="-1500780788"/>
          <w14:textFill>
            <w14:solidFill>
              <w14:srgbClr w14:val="000000">
                <w14:alpha w14:val="100000"/>
              </w14:srgbClr>
            </w14:solidFill>
          </w14:textFill>
        </w:rPr>
        <w:t>|</w:t>
      </w:r>
      <w:r w:rsidRPr="00D21992">
        <w:t xml:space="preserve"> weeks</w:t>
      </w:r>
      <w:r>
        <w:t xml:space="preserve"> (per PSCR) divided by one administration every 3 weeks.</w:t>
      </w:r>
    </w:p>
    <w:p w14:paraId="3188ED00" w14:textId="796FE6F7" w:rsidR="007866D9" w:rsidRDefault="00A66414" w:rsidP="007866D9">
      <w:pPr>
        <w:pStyle w:val="TableFooter"/>
      </w:pPr>
      <w:r>
        <w:rPr>
          <w:vertAlign w:val="superscript"/>
        </w:rPr>
        <w:t>c</w:t>
      </w:r>
      <w:r w:rsidR="007866D9" w:rsidRPr="00ED6EDE">
        <w:t xml:space="preserve"> </w:t>
      </w:r>
      <w:r w:rsidR="006F7AFD">
        <w:t xml:space="preserve">based on column BI of worksheet ‘PF – PEM + LEN’, </w:t>
      </w:r>
      <w:r w:rsidR="006D114C">
        <w:t xml:space="preserve">including the submission’s assumption of </w:t>
      </w:r>
      <w:r w:rsidR="008B4550" w:rsidRPr="008B4550">
        <w:rPr>
          <w:color w:val="000000"/>
          <w:spacing w:val="38"/>
          <w:shd w:val="solid" w:color="000000" w:fill="000000"/>
          <w:fitText w:val="273" w:id="-1500780787"/>
          <w14:textFill>
            <w14:solidFill>
              <w14:srgbClr w14:val="000000">
                <w14:alpha w14:val="100000"/>
              </w14:srgbClr>
            </w14:solidFill>
          </w14:textFill>
        </w:rPr>
        <w:t xml:space="preserve">|  </w:t>
      </w:r>
      <w:r w:rsidR="008B4550" w:rsidRPr="008B4550">
        <w:rPr>
          <w:color w:val="000000"/>
          <w:spacing w:val="1"/>
          <w:shd w:val="solid" w:color="000000" w:fill="000000"/>
          <w:fitText w:val="273" w:id="-1500780787"/>
          <w14:textFill>
            <w14:solidFill>
              <w14:srgbClr w14:val="000000">
                <w14:alpha w14:val="100000"/>
              </w14:srgbClr>
            </w14:solidFill>
          </w14:textFill>
        </w:rPr>
        <w:t>|</w:t>
      </w:r>
      <w:r w:rsidR="006D114C">
        <w:t>% dose intensity</w:t>
      </w:r>
      <w:r w:rsidR="006F7AFD">
        <w:t xml:space="preserve">. </w:t>
      </w:r>
      <w:r w:rsidR="006D114C">
        <w:t>One “month” is 30 days to align with the lenvatinib pack size.</w:t>
      </w:r>
    </w:p>
    <w:p w14:paraId="13440B4D" w14:textId="7D664E62" w:rsidR="00A66414" w:rsidRPr="00A66414" w:rsidRDefault="00A66414" w:rsidP="007866D9">
      <w:pPr>
        <w:pStyle w:val="TableFooter"/>
      </w:pPr>
      <w:r>
        <w:rPr>
          <w:vertAlign w:val="superscript"/>
        </w:rPr>
        <w:t xml:space="preserve">d </w:t>
      </w:r>
      <w:r>
        <w:t xml:space="preserve">based on </w:t>
      </w:r>
      <w:r w:rsidR="00D40714">
        <w:t xml:space="preserve">the figure stated in the </w:t>
      </w:r>
      <w:r>
        <w:t>PSCR and pre-PBAC response</w:t>
      </w:r>
      <w:r w:rsidR="00D40714">
        <w:t xml:space="preserve">; however the figure that appeared to be applied was </w:t>
      </w:r>
      <w:r w:rsidR="008B4550" w:rsidRPr="008B4550">
        <w:rPr>
          <w:color w:val="000000"/>
          <w:spacing w:val="38"/>
          <w:shd w:val="solid" w:color="000000" w:fill="000000"/>
          <w:fitText w:val="273" w:id="-1500780786"/>
          <w14:textFill>
            <w14:solidFill>
              <w14:srgbClr w14:val="000000">
                <w14:alpha w14:val="100000"/>
              </w14:srgbClr>
            </w14:solidFill>
          </w14:textFill>
        </w:rPr>
        <w:t xml:space="preserve">|  </w:t>
      </w:r>
      <w:r w:rsidR="008B4550" w:rsidRPr="008B4550">
        <w:rPr>
          <w:color w:val="000000"/>
          <w:spacing w:val="1"/>
          <w:shd w:val="solid" w:color="000000" w:fill="000000"/>
          <w:fitText w:val="273" w:id="-1500780786"/>
          <w14:textFill>
            <w14:solidFill>
              <w14:srgbClr w14:val="000000">
                <w14:alpha w14:val="100000"/>
              </w14:srgbClr>
            </w14:solidFill>
          </w14:textFill>
        </w:rPr>
        <w:t>|</w:t>
      </w:r>
    </w:p>
    <w:p w14:paraId="6CF8D4A4" w14:textId="397700F0" w:rsidR="007866D9" w:rsidRPr="00ED6EDE" w:rsidRDefault="00A66414" w:rsidP="007866D9">
      <w:pPr>
        <w:pStyle w:val="TableFooter"/>
      </w:pPr>
      <w:r>
        <w:rPr>
          <w:vertAlign w:val="superscript"/>
        </w:rPr>
        <w:t>e</w:t>
      </w:r>
      <w:r w:rsidR="007866D9" w:rsidRPr="00ED6EDE">
        <w:t xml:space="preserve"> weighted average 25.47% paclitaxel vs 74.53% doxorubicin use</w:t>
      </w:r>
    </w:p>
    <w:bookmarkEnd w:id="57"/>
    <w:p w14:paraId="0D9B2DD3" w14:textId="77777777" w:rsidR="00020E37" w:rsidRPr="00ED6EDE" w:rsidRDefault="00020E37" w:rsidP="00020E37">
      <w:pPr>
        <w:pStyle w:val="TableFooter"/>
        <w:widowControl/>
      </w:pPr>
    </w:p>
    <w:p w14:paraId="1E57DF05" w14:textId="77777777" w:rsidR="00A00349" w:rsidRPr="00A66414" w:rsidRDefault="00A00349" w:rsidP="00A00349">
      <w:pPr>
        <w:pStyle w:val="Heading2"/>
        <w:keepNext/>
        <w:keepLines/>
      </w:pPr>
      <w:bookmarkStart w:id="58" w:name="_Toc93478159"/>
      <w:r w:rsidRPr="00A66414">
        <w:t>Estimated PBS usage &amp; financial implications</w:t>
      </w:r>
      <w:bookmarkEnd w:id="58"/>
    </w:p>
    <w:p w14:paraId="2C138EF2" w14:textId="77777777" w:rsidR="00A00349" w:rsidRPr="00ED6EDE" w:rsidRDefault="00A00349" w:rsidP="00A00349">
      <w:pPr>
        <w:keepNext/>
        <w:keepLines/>
        <w:ind w:left="720" w:hanging="720"/>
        <w:rPr>
          <w:b/>
        </w:rPr>
      </w:pPr>
    </w:p>
    <w:p w14:paraId="055FA260" w14:textId="77777777" w:rsidR="00A00349" w:rsidRDefault="00A00349" w:rsidP="00A00349">
      <w:pPr>
        <w:pStyle w:val="ListParagraph"/>
        <w:widowControl/>
        <w:numPr>
          <w:ilvl w:val="1"/>
          <w:numId w:val="2"/>
        </w:numPr>
        <w:spacing w:after="120"/>
        <w:rPr>
          <w:i/>
        </w:rPr>
      </w:pPr>
      <w:r>
        <w:t xml:space="preserve">The submission was considered by DUSC. </w:t>
      </w:r>
      <w:r w:rsidRPr="00902728">
        <w:t>The submission use</w:t>
      </w:r>
      <w:r>
        <w:t>d</w:t>
      </w:r>
      <w:r w:rsidRPr="00902728">
        <w:t xml:space="preserve"> an epidemiological approach to estimate utilisation</w:t>
      </w:r>
      <w:r>
        <w:t>.</w:t>
      </w:r>
      <w:r w:rsidRPr="00902728">
        <w:t xml:space="preserve"> </w:t>
      </w:r>
      <w:r>
        <w:t xml:space="preserve">The submission </w:t>
      </w:r>
      <w:r w:rsidRPr="00D00F26">
        <w:t xml:space="preserve">estimated incident patients in all years and a prevalent pool of patients in the first year. The incident patients included two pools of patients, patients initially diagnosed with advanced (Stage III or </w:t>
      </w:r>
      <w:proofErr w:type="spellStart"/>
      <w:r w:rsidRPr="00D00F26">
        <w:t>IVa</w:t>
      </w:r>
      <w:proofErr w:type="spellEnd"/>
      <w:r w:rsidRPr="00D00F26">
        <w:t xml:space="preserve">) or metastatic (unresectable, Stage </w:t>
      </w:r>
      <w:proofErr w:type="spellStart"/>
      <w:r w:rsidRPr="00D00F26">
        <w:t>IVb</w:t>
      </w:r>
      <w:proofErr w:type="spellEnd"/>
      <w:r w:rsidRPr="00D00F26">
        <w:t xml:space="preserve">), and patients who have had a distant recurrence from earlier stages I or II endometrial cancer that is not amenable to local therapy (surgery or radiation) with curative intent. </w:t>
      </w:r>
    </w:p>
    <w:p w14:paraId="40E4E2CA" w14:textId="6CBE2329" w:rsidR="00A00349" w:rsidRPr="00F53848" w:rsidRDefault="00A00349" w:rsidP="00A00349">
      <w:pPr>
        <w:pStyle w:val="ListParagraph"/>
        <w:widowControl/>
        <w:numPr>
          <w:ilvl w:val="1"/>
          <w:numId w:val="2"/>
        </w:numPr>
      </w:pPr>
      <w:r w:rsidRPr="00F53848">
        <w:t xml:space="preserve">Data sources used for estimating the financial implications are presented in </w:t>
      </w:r>
      <w:r w:rsidRPr="00F53848">
        <w:fldChar w:fldCharType="begin"/>
      </w:r>
      <w:r w:rsidRPr="00F53848">
        <w:instrText xml:space="preserve"> REF _Ref89794381 \h  \* MERGEFORMAT </w:instrText>
      </w:r>
      <w:r w:rsidRPr="00F53848">
        <w:fldChar w:fldCharType="separate"/>
      </w:r>
      <w:r w:rsidR="004163DD" w:rsidRPr="004163DD">
        <w:t>Table 15</w:t>
      </w:r>
      <w:r w:rsidRPr="00F53848">
        <w:fldChar w:fldCharType="end"/>
      </w:r>
      <w:r w:rsidRPr="00F53848">
        <w:t>.</w:t>
      </w:r>
    </w:p>
    <w:p w14:paraId="27DD35C7" w14:textId="0CED1EFB" w:rsidR="00A00349" w:rsidRPr="00F53848" w:rsidRDefault="00A00349" w:rsidP="00A00349">
      <w:pPr>
        <w:rPr>
          <w:rStyle w:val="CommentReference"/>
        </w:rPr>
      </w:pPr>
      <w:bookmarkStart w:id="59" w:name="_Ref89794381"/>
      <w:r w:rsidRPr="00F53848">
        <w:rPr>
          <w:rStyle w:val="CommentReference"/>
        </w:rPr>
        <w:t xml:space="preserve">Table </w:t>
      </w:r>
      <w:r w:rsidRPr="00F53848">
        <w:rPr>
          <w:rStyle w:val="CommentReference"/>
        </w:rPr>
        <w:fldChar w:fldCharType="begin"/>
      </w:r>
      <w:r w:rsidRPr="00F53848">
        <w:rPr>
          <w:rStyle w:val="CommentReference"/>
        </w:rPr>
        <w:instrText xml:space="preserve"> SEQ Table \* MERGEFORMAT </w:instrText>
      </w:r>
      <w:r w:rsidRPr="00F53848">
        <w:rPr>
          <w:rStyle w:val="CommentReference"/>
        </w:rPr>
        <w:fldChar w:fldCharType="separate"/>
      </w:r>
      <w:r w:rsidR="004163DD">
        <w:rPr>
          <w:rStyle w:val="CommentReference"/>
          <w:noProof/>
        </w:rPr>
        <w:t>15</w:t>
      </w:r>
      <w:r w:rsidRPr="00F53848">
        <w:rPr>
          <w:rStyle w:val="CommentReference"/>
        </w:rPr>
        <w:fldChar w:fldCharType="end"/>
      </w:r>
      <w:bookmarkEnd w:id="59"/>
      <w:r w:rsidRPr="00F53848">
        <w:rPr>
          <w:rStyle w:val="CommentReference"/>
        </w:rPr>
        <w:t>: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586"/>
        <w:gridCol w:w="1916"/>
        <w:gridCol w:w="3594"/>
      </w:tblGrid>
      <w:tr w:rsidR="00A00349" w:rsidRPr="00F53848" w14:paraId="04D70ED8" w14:textId="77777777" w:rsidTr="00CB2A26">
        <w:trPr>
          <w:tblHeader/>
        </w:trPr>
        <w:tc>
          <w:tcPr>
            <w:tcW w:w="1921" w:type="dxa"/>
            <w:vAlign w:val="center"/>
          </w:tcPr>
          <w:p w14:paraId="6C64D753" w14:textId="77777777" w:rsidR="00A00349" w:rsidRPr="00F53848" w:rsidRDefault="00A00349" w:rsidP="00CB2A26">
            <w:pPr>
              <w:pStyle w:val="Tabletext"/>
              <w:rPr>
                <w:b/>
              </w:rPr>
            </w:pPr>
            <w:r w:rsidRPr="00F53848">
              <w:rPr>
                <w:b/>
              </w:rPr>
              <w:t>Data</w:t>
            </w:r>
          </w:p>
        </w:tc>
        <w:tc>
          <w:tcPr>
            <w:tcW w:w="1586" w:type="dxa"/>
            <w:vAlign w:val="center"/>
          </w:tcPr>
          <w:p w14:paraId="73A588A8" w14:textId="77777777" w:rsidR="00A00349" w:rsidRPr="00F53848" w:rsidRDefault="00A00349" w:rsidP="00CB2A26">
            <w:pPr>
              <w:pStyle w:val="Tabletext"/>
              <w:jc w:val="center"/>
              <w:rPr>
                <w:b/>
              </w:rPr>
            </w:pPr>
            <w:r w:rsidRPr="00F53848">
              <w:rPr>
                <w:b/>
              </w:rPr>
              <w:t>Value</w:t>
            </w:r>
          </w:p>
        </w:tc>
        <w:tc>
          <w:tcPr>
            <w:tcW w:w="1916" w:type="dxa"/>
            <w:vAlign w:val="center"/>
          </w:tcPr>
          <w:p w14:paraId="30787876" w14:textId="77777777" w:rsidR="00A00349" w:rsidRPr="00F53848" w:rsidRDefault="00A00349" w:rsidP="00CB2A26">
            <w:pPr>
              <w:pStyle w:val="Tabletext"/>
              <w:jc w:val="center"/>
              <w:rPr>
                <w:b/>
              </w:rPr>
            </w:pPr>
            <w:r w:rsidRPr="00F53848">
              <w:rPr>
                <w:b/>
              </w:rPr>
              <w:t>Source</w:t>
            </w:r>
          </w:p>
        </w:tc>
        <w:tc>
          <w:tcPr>
            <w:tcW w:w="3594" w:type="dxa"/>
            <w:vAlign w:val="center"/>
          </w:tcPr>
          <w:p w14:paraId="18B22235" w14:textId="77777777" w:rsidR="00A00349" w:rsidRPr="00F53848" w:rsidRDefault="00A00349" w:rsidP="00CB2A26">
            <w:pPr>
              <w:pStyle w:val="Tabletext"/>
              <w:jc w:val="center"/>
              <w:rPr>
                <w:b/>
              </w:rPr>
            </w:pPr>
            <w:r w:rsidRPr="00F53848">
              <w:rPr>
                <w:b/>
              </w:rPr>
              <w:t>Comment</w:t>
            </w:r>
          </w:p>
        </w:tc>
      </w:tr>
      <w:tr w:rsidR="00A00349" w:rsidRPr="00F53848" w14:paraId="2E5A8B31" w14:textId="77777777" w:rsidTr="00CB2A26">
        <w:tc>
          <w:tcPr>
            <w:tcW w:w="9017" w:type="dxa"/>
            <w:gridSpan w:val="4"/>
            <w:vAlign w:val="center"/>
          </w:tcPr>
          <w:p w14:paraId="496121CD" w14:textId="77777777" w:rsidR="00A00349" w:rsidRPr="00F53848" w:rsidRDefault="00A00349" w:rsidP="00CB2A26">
            <w:pPr>
              <w:pStyle w:val="Tabletext"/>
              <w:rPr>
                <w:b/>
              </w:rPr>
            </w:pPr>
            <w:r w:rsidRPr="00F53848">
              <w:rPr>
                <w:b/>
              </w:rPr>
              <w:t>Eligible population</w:t>
            </w:r>
          </w:p>
        </w:tc>
      </w:tr>
      <w:tr w:rsidR="00A00349" w:rsidRPr="001B7B2E" w14:paraId="72D90236" w14:textId="77777777" w:rsidTr="00CB2A26">
        <w:trPr>
          <w:cantSplit/>
        </w:trPr>
        <w:tc>
          <w:tcPr>
            <w:tcW w:w="1921" w:type="dxa"/>
            <w:vAlign w:val="center"/>
          </w:tcPr>
          <w:p w14:paraId="629AA8D8" w14:textId="77777777" w:rsidR="00A00349" w:rsidRPr="001B7B2E" w:rsidRDefault="00A00349" w:rsidP="00CB2A26">
            <w:pPr>
              <w:pStyle w:val="Tabletext"/>
            </w:pPr>
            <w:r w:rsidRPr="001B7B2E">
              <w:t>Incident uterine patients</w:t>
            </w:r>
          </w:p>
        </w:tc>
        <w:tc>
          <w:tcPr>
            <w:tcW w:w="1586" w:type="dxa"/>
            <w:vAlign w:val="center"/>
          </w:tcPr>
          <w:p w14:paraId="624C62B3" w14:textId="072BD574" w:rsidR="00A00349" w:rsidRPr="001B7B2E" w:rsidRDefault="008B4550" w:rsidP="00CB2A26">
            <w:pPr>
              <w:pStyle w:val="Tabletext"/>
            </w:pPr>
            <w:r w:rsidRPr="008B4550">
              <w:rPr>
                <w:color w:val="000000"/>
                <w:spacing w:val="53"/>
                <w:shd w:val="solid" w:color="000000" w:fill="000000"/>
                <w:fitText w:val="331" w:id="-1500780785"/>
                <w14:textFill>
                  <w14:solidFill>
                    <w14:srgbClr w14:val="000000">
                      <w14:alpha w14:val="100000"/>
                    </w14:srgbClr>
                  </w14:solidFill>
                </w14:textFill>
              </w:rPr>
              <w:t>|||</w:t>
            </w:r>
            <w:r w:rsidRPr="008B4550">
              <w:rPr>
                <w:color w:val="000000"/>
                <w:spacing w:val="2"/>
                <w:shd w:val="solid" w:color="000000" w:fill="000000"/>
                <w:fitText w:val="331" w:id="-1500780785"/>
                <w14:textFill>
                  <w14:solidFill>
                    <w14:srgbClr w14:val="000000">
                      <w14:alpha w14:val="100000"/>
                    </w14:srgbClr>
                  </w14:solidFill>
                </w14:textFill>
              </w:rPr>
              <w:t>|</w:t>
            </w:r>
            <w:r w:rsidR="007B62A0">
              <w:rPr>
                <w:vertAlign w:val="superscript"/>
              </w:rPr>
              <w:t>1</w:t>
            </w:r>
            <w:r w:rsidR="00A00349">
              <w:t xml:space="preserve"> in Year 1 increasing to </w:t>
            </w:r>
            <w:r w:rsidRPr="008B4550">
              <w:rPr>
                <w:color w:val="000000"/>
                <w:spacing w:val="53"/>
                <w:shd w:val="solid" w:color="000000" w:fill="000000"/>
                <w:fitText w:val="331" w:id="-1500780784"/>
                <w14:textFill>
                  <w14:solidFill>
                    <w14:srgbClr w14:val="000000">
                      <w14:alpha w14:val="100000"/>
                    </w14:srgbClr>
                  </w14:solidFill>
                </w14:textFill>
              </w:rPr>
              <w:t>|||</w:t>
            </w:r>
            <w:r w:rsidRPr="008B4550">
              <w:rPr>
                <w:color w:val="000000"/>
                <w:spacing w:val="2"/>
                <w:shd w:val="solid" w:color="000000" w:fill="000000"/>
                <w:fitText w:val="331" w:id="-1500780784"/>
                <w14:textFill>
                  <w14:solidFill>
                    <w14:srgbClr w14:val="000000">
                      <w14:alpha w14:val="100000"/>
                    </w14:srgbClr>
                  </w14:solidFill>
                </w14:textFill>
              </w:rPr>
              <w:t>|</w:t>
            </w:r>
            <w:r w:rsidR="007B62A0">
              <w:rPr>
                <w:vertAlign w:val="superscript"/>
              </w:rPr>
              <w:t>1</w:t>
            </w:r>
            <w:r w:rsidR="00A00349">
              <w:t xml:space="preserve"> in Year 6</w:t>
            </w:r>
          </w:p>
        </w:tc>
        <w:tc>
          <w:tcPr>
            <w:tcW w:w="1916" w:type="dxa"/>
            <w:vAlign w:val="center"/>
          </w:tcPr>
          <w:p w14:paraId="27734D03" w14:textId="77777777" w:rsidR="00A00349" w:rsidRPr="001B7B2E" w:rsidRDefault="00A00349" w:rsidP="00CB2A26">
            <w:pPr>
              <w:pStyle w:val="Tabletext"/>
            </w:pPr>
            <w:r w:rsidRPr="001B7B2E">
              <w:t>AIHW 2021</w:t>
            </w:r>
          </w:p>
        </w:tc>
        <w:tc>
          <w:tcPr>
            <w:tcW w:w="3594" w:type="dxa"/>
            <w:vAlign w:val="center"/>
          </w:tcPr>
          <w:p w14:paraId="0D5E39B8" w14:textId="77777777" w:rsidR="00A00349" w:rsidRPr="001B7B2E" w:rsidRDefault="00A00349" w:rsidP="00CB2A26">
            <w:pPr>
              <w:pStyle w:val="Tabletext"/>
              <w:rPr>
                <w:iCs/>
              </w:rPr>
            </w:pPr>
            <w:r w:rsidRPr="001B7B2E">
              <w:rPr>
                <w:iCs/>
              </w:rPr>
              <w:t>The submission did not describe the e</w:t>
            </w:r>
            <w:r>
              <w:rPr>
                <w:iCs/>
              </w:rPr>
              <w:t xml:space="preserve">xtrapolation but appeared to use </w:t>
            </w:r>
            <w:r w:rsidRPr="001B7B2E">
              <w:rPr>
                <w:iCs/>
              </w:rPr>
              <w:t xml:space="preserve">a 2%-2.6% growth rate from 2021 onward.  </w:t>
            </w:r>
          </w:p>
        </w:tc>
      </w:tr>
      <w:tr w:rsidR="00A00349" w:rsidRPr="001B7B2E" w14:paraId="37E74375" w14:textId="77777777" w:rsidTr="00CB2A26">
        <w:tc>
          <w:tcPr>
            <w:tcW w:w="1921" w:type="dxa"/>
            <w:shd w:val="clear" w:color="auto" w:fill="auto"/>
            <w:vAlign w:val="center"/>
          </w:tcPr>
          <w:p w14:paraId="0A36BE91" w14:textId="77777777" w:rsidR="00A00349" w:rsidRPr="001B7B2E" w:rsidRDefault="00A00349" w:rsidP="00CB2A26">
            <w:pPr>
              <w:pStyle w:val="Tabletext"/>
            </w:pPr>
            <w:r w:rsidRPr="001B7B2E">
              <w:t>% incident uterine patients who have endometrial cancer</w:t>
            </w:r>
          </w:p>
        </w:tc>
        <w:tc>
          <w:tcPr>
            <w:tcW w:w="1586" w:type="dxa"/>
            <w:shd w:val="clear" w:color="auto" w:fill="auto"/>
            <w:vAlign w:val="center"/>
          </w:tcPr>
          <w:p w14:paraId="71397858" w14:textId="77777777" w:rsidR="00A00349" w:rsidRPr="001B7B2E" w:rsidRDefault="00A00349" w:rsidP="00CB2A26">
            <w:pPr>
              <w:pStyle w:val="Tabletext"/>
            </w:pPr>
            <w:r w:rsidRPr="001B7B2E">
              <w:t>95%</w:t>
            </w:r>
          </w:p>
        </w:tc>
        <w:tc>
          <w:tcPr>
            <w:tcW w:w="1916" w:type="dxa"/>
            <w:vAlign w:val="center"/>
          </w:tcPr>
          <w:p w14:paraId="44CAC699" w14:textId="77777777" w:rsidR="00A00349" w:rsidRPr="001B7B2E" w:rsidRDefault="00A00349" w:rsidP="00CB2A26">
            <w:pPr>
              <w:pStyle w:val="Tabletext"/>
            </w:pPr>
            <w:r w:rsidRPr="001B7B2E">
              <w:t>Cancer Council</w:t>
            </w:r>
          </w:p>
        </w:tc>
        <w:tc>
          <w:tcPr>
            <w:tcW w:w="3594" w:type="dxa"/>
            <w:vAlign w:val="center"/>
          </w:tcPr>
          <w:p w14:paraId="3231B486" w14:textId="77777777" w:rsidR="00A00349" w:rsidRPr="001B7B2E" w:rsidRDefault="00A00349" w:rsidP="00CB2A26">
            <w:pPr>
              <w:pStyle w:val="Tabletext"/>
              <w:rPr>
                <w:iCs/>
              </w:rPr>
            </w:pPr>
            <w:r w:rsidRPr="001B7B2E">
              <w:rPr>
                <w:iCs/>
              </w:rPr>
              <w:t>This source could not be verified from the information provided in the submission.</w:t>
            </w:r>
          </w:p>
        </w:tc>
      </w:tr>
      <w:tr w:rsidR="00A00349" w:rsidRPr="001B7B2E" w14:paraId="17526447" w14:textId="77777777" w:rsidTr="00CB2A26">
        <w:tc>
          <w:tcPr>
            <w:tcW w:w="9017" w:type="dxa"/>
            <w:gridSpan w:val="4"/>
            <w:shd w:val="clear" w:color="auto" w:fill="auto"/>
            <w:vAlign w:val="center"/>
          </w:tcPr>
          <w:p w14:paraId="3E13C3FC" w14:textId="77777777" w:rsidR="00A00349" w:rsidRPr="00D00F26" w:rsidRDefault="00A00349" w:rsidP="00CB2A26">
            <w:pPr>
              <w:pStyle w:val="Tabletext"/>
              <w:rPr>
                <w:b/>
                <w:iCs/>
              </w:rPr>
            </w:pPr>
            <w:r>
              <w:rPr>
                <w:b/>
                <w:iCs/>
              </w:rPr>
              <w:t>Applied to both incident cohorts (those initially diagnosed with advanced/metastatic and distant recurrence)</w:t>
            </w:r>
          </w:p>
        </w:tc>
      </w:tr>
      <w:tr w:rsidR="00A00349" w:rsidRPr="001B7B2E" w14:paraId="729237C6" w14:textId="77777777" w:rsidTr="00CB2A26">
        <w:tc>
          <w:tcPr>
            <w:tcW w:w="1921" w:type="dxa"/>
            <w:shd w:val="clear" w:color="auto" w:fill="auto"/>
            <w:vAlign w:val="center"/>
          </w:tcPr>
          <w:p w14:paraId="4EDDC771" w14:textId="77777777" w:rsidR="00A00349" w:rsidRPr="001B7B2E" w:rsidRDefault="00A00349" w:rsidP="00CB2A26">
            <w:pPr>
              <w:pStyle w:val="Tabletext"/>
            </w:pPr>
            <w:r w:rsidRPr="001B7B2E">
              <w:t>% patients treated first line</w:t>
            </w:r>
          </w:p>
        </w:tc>
        <w:tc>
          <w:tcPr>
            <w:tcW w:w="1586" w:type="dxa"/>
            <w:shd w:val="clear" w:color="auto" w:fill="auto"/>
            <w:vAlign w:val="center"/>
          </w:tcPr>
          <w:p w14:paraId="2D39171D" w14:textId="77777777" w:rsidR="00A00349" w:rsidRPr="001B7B2E" w:rsidRDefault="00A00349" w:rsidP="00CB2A26">
            <w:pPr>
              <w:pStyle w:val="Tabletext"/>
            </w:pPr>
            <w:r w:rsidRPr="001B7B2E">
              <w:t>70%</w:t>
            </w:r>
            <w:r>
              <w:t>, increased to 75% in pre-PBAC response</w:t>
            </w:r>
          </w:p>
        </w:tc>
        <w:tc>
          <w:tcPr>
            <w:tcW w:w="1916" w:type="dxa"/>
            <w:shd w:val="clear" w:color="auto" w:fill="FFFFFF" w:themeFill="background1"/>
            <w:vAlign w:val="center"/>
          </w:tcPr>
          <w:p w14:paraId="02387DF1" w14:textId="77777777" w:rsidR="00A00349" w:rsidRPr="001B7B2E" w:rsidRDefault="00A00349" w:rsidP="00CB2A26">
            <w:pPr>
              <w:pStyle w:val="Tabletext"/>
            </w:pPr>
            <w:r w:rsidRPr="001B7B2E">
              <w:rPr>
                <w:iCs/>
              </w:rPr>
              <w:t>Assumption</w:t>
            </w:r>
          </w:p>
        </w:tc>
        <w:tc>
          <w:tcPr>
            <w:tcW w:w="3594" w:type="dxa"/>
            <w:vAlign w:val="center"/>
          </w:tcPr>
          <w:p w14:paraId="4C444830" w14:textId="77777777" w:rsidR="00A00349" w:rsidRPr="00317B83" w:rsidRDefault="00A00349" w:rsidP="00CB2A26">
            <w:pPr>
              <w:pStyle w:val="Tabletext"/>
              <w:rPr>
                <w:iCs/>
              </w:rPr>
            </w:pPr>
            <w:r>
              <w:rPr>
                <w:iCs/>
              </w:rPr>
              <w:t>DUSC considered 70% was reasonable. Despite this, the pre-PBAC response i</w:t>
            </w:r>
            <w:r w:rsidRPr="002B374A">
              <w:rPr>
                <w:szCs w:val="20"/>
              </w:rPr>
              <w:t>ncreased the proportion of patients receiving 1L treatment to 75% to allow for 5% more patients to initiate 1L therapy in order to receive 2L treatment (mostly dMMR patients</w:t>
            </w:r>
            <w:r>
              <w:rPr>
                <w:szCs w:val="20"/>
              </w:rPr>
              <w:t>). PBAC considered this increase may not be reasonable</w:t>
            </w:r>
            <w:r>
              <w:rPr>
                <w:iCs/>
              </w:rPr>
              <w:t>.</w:t>
            </w:r>
          </w:p>
        </w:tc>
      </w:tr>
      <w:tr w:rsidR="00A00349" w:rsidRPr="001B7B2E" w14:paraId="0A0C4080" w14:textId="77777777" w:rsidTr="00CB2A26">
        <w:tc>
          <w:tcPr>
            <w:tcW w:w="1921" w:type="dxa"/>
            <w:vAlign w:val="center"/>
          </w:tcPr>
          <w:p w14:paraId="6E728BB5" w14:textId="77777777" w:rsidR="00A00349" w:rsidRPr="001B7B2E" w:rsidRDefault="00A00349" w:rsidP="00CB2A26">
            <w:pPr>
              <w:pStyle w:val="Tabletext"/>
            </w:pPr>
            <w:r w:rsidRPr="001B7B2E">
              <w:t xml:space="preserve">% patients eligible for second line </w:t>
            </w:r>
          </w:p>
        </w:tc>
        <w:tc>
          <w:tcPr>
            <w:tcW w:w="1586" w:type="dxa"/>
            <w:vAlign w:val="center"/>
          </w:tcPr>
          <w:p w14:paraId="3B66846F" w14:textId="77777777" w:rsidR="00A00349" w:rsidRPr="001B7B2E" w:rsidRDefault="00A00349" w:rsidP="00CB2A26">
            <w:pPr>
              <w:pStyle w:val="Tabletext"/>
            </w:pPr>
            <w:r w:rsidRPr="001B7B2E">
              <w:t>49%</w:t>
            </w:r>
          </w:p>
        </w:tc>
        <w:tc>
          <w:tcPr>
            <w:tcW w:w="1916" w:type="dxa"/>
            <w:vAlign w:val="center"/>
          </w:tcPr>
          <w:p w14:paraId="66F35C88" w14:textId="77777777" w:rsidR="00A00349" w:rsidRPr="001B7B2E" w:rsidRDefault="00A00349" w:rsidP="00CB2A26">
            <w:pPr>
              <w:pStyle w:val="Tabletext"/>
            </w:pPr>
            <w:r w:rsidRPr="001B7B2E">
              <w:t>Based on 51% response rate in Miller (2012) RCT</w:t>
            </w:r>
          </w:p>
        </w:tc>
        <w:tc>
          <w:tcPr>
            <w:tcW w:w="3594" w:type="dxa"/>
            <w:vAlign w:val="center"/>
          </w:tcPr>
          <w:p w14:paraId="2131AED1" w14:textId="77777777" w:rsidR="00A00349" w:rsidRPr="00317B83" w:rsidRDefault="00A00349" w:rsidP="00CB2A26">
            <w:pPr>
              <w:pStyle w:val="Tabletext"/>
              <w:rPr>
                <w:iCs/>
              </w:rPr>
            </w:pPr>
            <w:r w:rsidRPr="00317B83">
              <w:rPr>
                <w:iCs/>
              </w:rPr>
              <w:t xml:space="preserve">DUSC considered this estimate may be reasonable. </w:t>
            </w:r>
          </w:p>
        </w:tc>
      </w:tr>
      <w:tr w:rsidR="00A00349" w:rsidRPr="001B7B2E" w14:paraId="687A5CFF" w14:textId="77777777" w:rsidTr="00CB2A26">
        <w:tc>
          <w:tcPr>
            <w:tcW w:w="1921" w:type="dxa"/>
            <w:vAlign w:val="center"/>
          </w:tcPr>
          <w:p w14:paraId="1313274C" w14:textId="77777777" w:rsidR="00A00349" w:rsidRPr="001B7B2E" w:rsidRDefault="00A00349" w:rsidP="00CB2A26">
            <w:pPr>
              <w:pStyle w:val="Tabletext"/>
            </w:pPr>
            <w:r w:rsidRPr="001B7B2E">
              <w:t>% ECOG 0-1</w:t>
            </w:r>
          </w:p>
        </w:tc>
        <w:tc>
          <w:tcPr>
            <w:tcW w:w="1586" w:type="dxa"/>
            <w:vAlign w:val="center"/>
          </w:tcPr>
          <w:p w14:paraId="60D75C4F" w14:textId="77777777" w:rsidR="00A00349" w:rsidRPr="001B7B2E" w:rsidRDefault="00A00349" w:rsidP="00CB2A26">
            <w:pPr>
              <w:pStyle w:val="Tabletext"/>
            </w:pPr>
            <w:r w:rsidRPr="001B7B2E">
              <w:t>80%</w:t>
            </w:r>
            <w:r>
              <w:t>, increased to 83% in pre-PBAC response</w:t>
            </w:r>
          </w:p>
        </w:tc>
        <w:tc>
          <w:tcPr>
            <w:tcW w:w="1916" w:type="dxa"/>
            <w:vAlign w:val="center"/>
          </w:tcPr>
          <w:p w14:paraId="40FD2A66" w14:textId="77777777" w:rsidR="00A00349" w:rsidRPr="001B7B2E" w:rsidRDefault="00A00349" w:rsidP="00CB2A26">
            <w:pPr>
              <w:pStyle w:val="Tabletext"/>
            </w:pPr>
            <w:r w:rsidRPr="001B7B2E">
              <w:t>Assumption</w:t>
            </w:r>
          </w:p>
        </w:tc>
        <w:tc>
          <w:tcPr>
            <w:tcW w:w="3594" w:type="dxa"/>
            <w:vAlign w:val="center"/>
          </w:tcPr>
          <w:p w14:paraId="4B5073E1" w14:textId="77777777" w:rsidR="00A00349" w:rsidRPr="001B7B2E" w:rsidRDefault="00A00349" w:rsidP="00CB2A26">
            <w:pPr>
              <w:pStyle w:val="Tabletext"/>
            </w:pPr>
            <w:r w:rsidRPr="00317B83">
              <w:rPr>
                <w:iCs/>
              </w:rPr>
              <w:t>DUSC considered this was reasonable.</w:t>
            </w:r>
            <w:r>
              <w:rPr>
                <w:iCs/>
              </w:rPr>
              <w:t xml:space="preserve"> However, the pre-PBAC response i</w:t>
            </w:r>
            <w:r w:rsidRPr="002B374A">
              <w:rPr>
                <w:szCs w:val="20"/>
              </w:rPr>
              <w:t>ncreased</w:t>
            </w:r>
            <w:r>
              <w:rPr>
                <w:szCs w:val="20"/>
              </w:rPr>
              <w:t xml:space="preserve"> this to 83% </w:t>
            </w:r>
            <w:r w:rsidRPr="002B374A">
              <w:rPr>
                <w:szCs w:val="20"/>
              </w:rPr>
              <w:t>to allow eligibility for an estimated 15% of dMMR patients with ECOG 2.</w:t>
            </w:r>
            <w:r>
              <w:rPr>
                <w:szCs w:val="20"/>
              </w:rPr>
              <w:t xml:space="preserve"> PBAC considered this increase may not be reasonable </w:t>
            </w:r>
            <w:r>
              <w:rPr>
                <w:iCs/>
              </w:rPr>
              <w:t xml:space="preserve">given the listing restricted use to patients with ECOG 0-1. </w:t>
            </w:r>
          </w:p>
        </w:tc>
      </w:tr>
      <w:tr w:rsidR="00A00349" w:rsidRPr="001B7B2E" w14:paraId="15EFC4A1" w14:textId="77777777" w:rsidTr="00CB2A26">
        <w:tc>
          <w:tcPr>
            <w:tcW w:w="9017" w:type="dxa"/>
            <w:gridSpan w:val="4"/>
            <w:vAlign w:val="center"/>
          </w:tcPr>
          <w:p w14:paraId="394E8FCF" w14:textId="77777777" w:rsidR="00A00349" w:rsidRPr="00317B83" w:rsidRDefault="00A00349" w:rsidP="00CB2A26">
            <w:pPr>
              <w:pStyle w:val="Tabletext"/>
              <w:rPr>
                <w:iCs/>
              </w:rPr>
            </w:pPr>
            <w:r w:rsidRPr="00D00F26">
              <w:rPr>
                <w:b/>
                <w:iCs/>
              </w:rPr>
              <w:t>Patients initially diagnosed with advanced or metastatic disease</w:t>
            </w:r>
          </w:p>
        </w:tc>
      </w:tr>
      <w:tr w:rsidR="00A00349" w:rsidRPr="001B7B2E" w14:paraId="77EBF802" w14:textId="77777777" w:rsidTr="00CB2A26">
        <w:tc>
          <w:tcPr>
            <w:tcW w:w="1921" w:type="dxa"/>
            <w:vAlign w:val="center"/>
          </w:tcPr>
          <w:p w14:paraId="2A571275" w14:textId="77777777" w:rsidR="00A00349" w:rsidRPr="001B7B2E" w:rsidRDefault="00A00349" w:rsidP="00CB2A26">
            <w:pPr>
              <w:pStyle w:val="Tabletext"/>
            </w:pPr>
            <w:r w:rsidRPr="001B7B2E">
              <w:t>% patients with advanced or metastatic cancer at diagnosis</w:t>
            </w:r>
          </w:p>
        </w:tc>
        <w:tc>
          <w:tcPr>
            <w:tcW w:w="1586" w:type="dxa"/>
            <w:vAlign w:val="center"/>
          </w:tcPr>
          <w:p w14:paraId="696BCE4B" w14:textId="77777777" w:rsidR="00A00349" w:rsidRPr="001B7B2E" w:rsidRDefault="00A00349" w:rsidP="00CB2A26">
            <w:pPr>
              <w:pStyle w:val="Tabletext"/>
            </w:pPr>
            <w:r w:rsidRPr="00F53848">
              <w:t>18%</w:t>
            </w:r>
            <w:r>
              <w:t>, reduced to 10% in the pre-PBAC response</w:t>
            </w:r>
          </w:p>
        </w:tc>
        <w:tc>
          <w:tcPr>
            <w:tcW w:w="1916" w:type="dxa"/>
            <w:vAlign w:val="center"/>
          </w:tcPr>
          <w:p w14:paraId="67D61180" w14:textId="77777777" w:rsidR="00A00349" w:rsidRPr="001B7B2E" w:rsidRDefault="00A00349" w:rsidP="00CB2A26">
            <w:pPr>
              <w:pStyle w:val="Tabletext"/>
            </w:pPr>
            <w:r w:rsidRPr="00F53848">
              <w:t>SEER database</w:t>
            </w:r>
          </w:p>
        </w:tc>
        <w:tc>
          <w:tcPr>
            <w:tcW w:w="3594" w:type="dxa"/>
            <w:vAlign w:val="center"/>
          </w:tcPr>
          <w:p w14:paraId="1A6A37D0" w14:textId="77777777" w:rsidR="00A00349" w:rsidRPr="00C062AE" w:rsidRDefault="00A00349" w:rsidP="00CB2A26">
            <w:pPr>
              <w:pStyle w:val="Tabletext"/>
              <w:rPr>
                <w:iCs/>
              </w:rPr>
            </w:pPr>
            <w:r w:rsidRPr="00C062AE">
              <w:rPr>
                <w:iCs/>
              </w:rPr>
              <w:t>DUSC considered that a proportion of Stage III patients would be treated with curative intent and should be added to the estimate of the number of Stage I and II patients.</w:t>
            </w:r>
            <w:r>
              <w:rPr>
                <w:iCs/>
              </w:rPr>
              <w:t xml:space="preserve"> Thus, the pre-PBAC response r</w:t>
            </w:r>
            <w:r w:rsidRPr="002B374A">
              <w:rPr>
                <w:szCs w:val="20"/>
              </w:rPr>
              <w:t>emoved 8% of advanced/metastatic population (approxima</w:t>
            </w:r>
            <w:r>
              <w:rPr>
                <w:szCs w:val="20"/>
              </w:rPr>
              <w:t>tely 90% of Stage III patients were assumed to be</w:t>
            </w:r>
            <w:r w:rsidRPr="002B374A">
              <w:rPr>
                <w:szCs w:val="20"/>
              </w:rPr>
              <w:t xml:space="preserve"> resectable </w:t>
            </w:r>
            <w:r>
              <w:rPr>
                <w:iCs/>
              </w:rPr>
              <w:t>based on clinician feedback).</w:t>
            </w:r>
          </w:p>
        </w:tc>
      </w:tr>
      <w:tr w:rsidR="00A00349" w:rsidRPr="001B7B2E" w14:paraId="4B779524" w14:textId="77777777" w:rsidTr="00CB2A26">
        <w:tc>
          <w:tcPr>
            <w:tcW w:w="9017" w:type="dxa"/>
            <w:gridSpan w:val="4"/>
            <w:vAlign w:val="center"/>
          </w:tcPr>
          <w:p w14:paraId="32964F93" w14:textId="77777777" w:rsidR="00A00349" w:rsidRPr="00D00F26" w:rsidRDefault="00A00349" w:rsidP="00CB2A26">
            <w:pPr>
              <w:pStyle w:val="Tabletext"/>
              <w:rPr>
                <w:b/>
                <w:iCs/>
              </w:rPr>
            </w:pPr>
            <w:r w:rsidRPr="00D00F26">
              <w:rPr>
                <w:b/>
                <w:iCs/>
              </w:rPr>
              <w:t>Patients who had a distant recurrence from Stages I or II endometrial cancer that is not amenable to local therapy with curative intent</w:t>
            </w:r>
          </w:p>
        </w:tc>
      </w:tr>
      <w:tr w:rsidR="00A00349" w:rsidRPr="001B7B2E" w14:paraId="70DCDD5A" w14:textId="77777777" w:rsidTr="00CB2A26">
        <w:tc>
          <w:tcPr>
            <w:tcW w:w="1921" w:type="dxa"/>
            <w:vAlign w:val="center"/>
          </w:tcPr>
          <w:p w14:paraId="45A15EA5" w14:textId="77777777" w:rsidR="00A00349" w:rsidRPr="001B7B2E" w:rsidRDefault="00A00349" w:rsidP="00CB2A26">
            <w:pPr>
              <w:pStyle w:val="Tabletext"/>
            </w:pPr>
            <w:r>
              <w:t>% with Stage I or II at diagnosis</w:t>
            </w:r>
          </w:p>
        </w:tc>
        <w:tc>
          <w:tcPr>
            <w:tcW w:w="1586" w:type="dxa"/>
            <w:vAlign w:val="center"/>
          </w:tcPr>
          <w:p w14:paraId="5AB8AE3D" w14:textId="77777777" w:rsidR="00A00349" w:rsidRPr="001B7B2E" w:rsidRDefault="00A00349" w:rsidP="00CB2A26">
            <w:pPr>
              <w:pStyle w:val="Tabletext"/>
            </w:pPr>
            <w:r>
              <w:t>82%, increased to 90% in pre-PBAC response</w:t>
            </w:r>
          </w:p>
        </w:tc>
        <w:tc>
          <w:tcPr>
            <w:tcW w:w="1916" w:type="dxa"/>
            <w:vAlign w:val="center"/>
          </w:tcPr>
          <w:p w14:paraId="7A01533E" w14:textId="77777777" w:rsidR="00A00349" w:rsidRPr="001B7B2E" w:rsidRDefault="00A00349" w:rsidP="00CB2A26">
            <w:pPr>
              <w:pStyle w:val="Tabletext"/>
            </w:pPr>
            <w:r>
              <w:t>SEER database</w:t>
            </w:r>
          </w:p>
        </w:tc>
        <w:tc>
          <w:tcPr>
            <w:tcW w:w="3594" w:type="dxa"/>
            <w:vAlign w:val="center"/>
          </w:tcPr>
          <w:p w14:paraId="1FE35FBF" w14:textId="77777777" w:rsidR="00A00349" w:rsidRPr="001B7B2E" w:rsidDel="00D00F26" w:rsidRDefault="00A00349" w:rsidP="00CB2A26">
            <w:pPr>
              <w:pStyle w:val="Tabletext"/>
              <w:rPr>
                <w:iCs/>
              </w:rPr>
            </w:pPr>
            <w:r>
              <w:rPr>
                <w:iCs/>
              </w:rPr>
              <w:t>Refer to row above “% patients with advanced or metastatic cancer at diagnosis”.</w:t>
            </w:r>
          </w:p>
        </w:tc>
      </w:tr>
      <w:tr w:rsidR="00A00349" w:rsidRPr="001B7B2E" w14:paraId="4EA2C178" w14:textId="77777777" w:rsidTr="00CB2A26">
        <w:tc>
          <w:tcPr>
            <w:tcW w:w="1921" w:type="dxa"/>
            <w:vAlign w:val="center"/>
          </w:tcPr>
          <w:p w14:paraId="6424C406" w14:textId="77777777" w:rsidR="00A00349" w:rsidRPr="001B7B2E" w:rsidRDefault="00A00349" w:rsidP="00CB2A26">
            <w:pPr>
              <w:pStyle w:val="Tabletext"/>
            </w:pPr>
            <w:r w:rsidRPr="001B7B2E">
              <w:t>% Patients with distant recurrence from earlier stages</w:t>
            </w:r>
          </w:p>
        </w:tc>
        <w:tc>
          <w:tcPr>
            <w:tcW w:w="1586" w:type="dxa"/>
            <w:vAlign w:val="center"/>
          </w:tcPr>
          <w:p w14:paraId="7180FD9B" w14:textId="77777777" w:rsidR="00A00349" w:rsidRPr="001B7B2E" w:rsidRDefault="00A00349" w:rsidP="00CB2A26">
            <w:pPr>
              <w:pStyle w:val="Tabletext"/>
            </w:pPr>
            <w:r w:rsidRPr="001B7B2E">
              <w:t>12.5%</w:t>
            </w:r>
          </w:p>
        </w:tc>
        <w:tc>
          <w:tcPr>
            <w:tcW w:w="1916" w:type="dxa"/>
            <w:vAlign w:val="center"/>
          </w:tcPr>
          <w:p w14:paraId="7C8E24EE" w14:textId="77777777" w:rsidR="00A00349" w:rsidRPr="001B7B2E" w:rsidRDefault="00A00349" w:rsidP="00CB2A26">
            <w:pPr>
              <w:pStyle w:val="Tabletext"/>
            </w:pPr>
            <w:r w:rsidRPr="001B7B2E">
              <w:t>19.5% recurrence rate x 64% distant recurrence (</w:t>
            </w:r>
            <w:proofErr w:type="spellStart"/>
            <w:r w:rsidRPr="001B7B2E">
              <w:t>Vizza</w:t>
            </w:r>
            <w:proofErr w:type="spellEnd"/>
            <w:r w:rsidRPr="001B7B2E">
              <w:t xml:space="preserve"> 2020)</w:t>
            </w:r>
          </w:p>
        </w:tc>
        <w:tc>
          <w:tcPr>
            <w:tcW w:w="3594" w:type="dxa"/>
            <w:vAlign w:val="center"/>
          </w:tcPr>
          <w:p w14:paraId="742BC7F4" w14:textId="77777777" w:rsidR="00A00349" w:rsidRPr="001B7B2E" w:rsidRDefault="00A00349" w:rsidP="00CB2A26">
            <w:pPr>
              <w:pStyle w:val="Tabletext"/>
              <w:rPr>
                <w:iCs/>
              </w:rPr>
            </w:pPr>
            <w:r w:rsidRPr="00D00F26">
              <w:rPr>
                <w:iCs/>
              </w:rPr>
              <w:t>DUSC considered this proportion was likely underestimated as patients would be eligible for second line treatment if they were considered not to be suitable for curative treatment, rather than only if they had distant recurrence.</w:t>
            </w:r>
          </w:p>
        </w:tc>
      </w:tr>
      <w:tr w:rsidR="00A00349" w:rsidRPr="001B7B2E" w14:paraId="026BD426" w14:textId="77777777" w:rsidTr="00CB2A26">
        <w:tc>
          <w:tcPr>
            <w:tcW w:w="1921" w:type="dxa"/>
            <w:vAlign w:val="center"/>
          </w:tcPr>
          <w:p w14:paraId="54E4ECBD" w14:textId="77777777" w:rsidR="00A00349" w:rsidRPr="001B7B2E" w:rsidRDefault="00A00349" w:rsidP="00CB2A26">
            <w:pPr>
              <w:pStyle w:val="Tabletext"/>
            </w:pPr>
            <w:r w:rsidRPr="001B7B2E">
              <w:t>% patients with distant recurrence and alive</w:t>
            </w:r>
          </w:p>
        </w:tc>
        <w:tc>
          <w:tcPr>
            <w:tcW w:w="1586" w:type="dxa"/>
            <w:vAlign w:val="center"/>
          </w:tcPr>
          <w:p w14:paraId="6D5AE7D3" w14:textId="77777777" w:rsidR="00A00349" w:rsidRPr="001B7B2E" w:rsidRDefault="00A00349" w:rsidP="00CB2A26">
            <w:pPr>
              <w:pStyle w:val="Tabletext"/>
            </w:pPr>
            <w:r w:rsidRPr="001B7B2E">
              <w:t>95%</w:t>
            </w:r>
            <w:r>
              <w:t>, increased to 100% in pre-PBAC response</w:t>
            </w:r>
          </w:p>
        </w:tc>
        <w:tc>
          <w:tcPr>
            <w:tcW w:w="1916" w:type="dxa"/>
            <w:vAlign w:val="center"/>
          </w:tcPr>
          <w:p w14:paraId="537C6956" w14:textId="77777777" w:rsidR="00A00349" w:rsidRPr="001B7B2E" w:rsidRDefault="00A00349" w:rsidP="00CB2A26">
            <w:pPr>
              <w:pStyle w:val="Tabletext"/>
              <w:rPr>
                <w:iCs/>
              </w:rPr>
            </w:pPr>
            <w:r w:rsidRPr="001B7B2E">
              <w:rPr>
                <w:iCs/>
              </w:rPr>
              <w:t>Assumption</w:t>
            </w:r>
          </w:p>
        </w:tc>
        <w:tc>
          <w:tcPr>
            <w:tcW w:w="3594" w:type="dxa"/>
            <w:vAlign w:val="center"/>
          </w:tcPr>
          <w:p w14:paraId="66E1E06E" w14:textId="77777777" w:rsidR="00A00349" w:rsidRPr="001B7B2E" w:rsidRDefault="00A00349" w:rsidP="00CB2A26">
            <w:pPr>
              <w:pStyle w:val="Tabletext"/>
              <w:rPr>
                <w:iCs/>
              </w:rPr>
            </w:pPr>
            <w:r w:rsidRPr="00057132">
              <w:rPr>
                <w:iCs/>
              </w:rPr>
              <w:t>DUSC considered this was inappropriate and should be removed, as the step estimating the proportion eligible for second line treatment accounts for patients who do not survive.</w:t>
            </w:r>
          </w:p>
        </w:tc>
      </w:tr>
      <w:tr w:rsidR="00A00349" w:rsidRPr="001B7B2E" w14:paraId="5BF7298D" w14:textId="77777777" w:rsidTr="00CB2A26">
        <w:tc>
          <w:tcPr>
            <w:tcW w:w="9017" w:type="dxa"/>
            <w:gridSpan w:val="4"/>
            <w:vAlign w:val="center"/>
          </w:tcPr>
          <w:p w14:paraId="7DB676C4" w14:textId="77777777" w:rsidR="00A00349" w:rsidRPr="00113D22" w:rsidRDefault="00A00349" w:rsidP="00CB2A26">
            <w:pPr>
              <w:pStyle w:val="CommentText"/>
              <w:rPr>
                <w:rFonts w:ascii="Arial Narrow" w:hAnsi="Arial Narrow"/>
                <w:b/>
                <w:iCs/>
                <w:snapToGrid/>
              </w:rPr>
            </w:pPr>
            <w:r w:rsidRPr="00113D22">
              <w:rPr>
                <w:rFonts w:ascii="Arial Narrow" w:hAnsi="Arial Narrow"/>
                <w:b/>
                <w:iCs/>
                <w:snapToGrid/>
              </w:rPr>
              <w:t>Prevalent pool</w:t>
            </w:r>
          </w:p>
        </w:tc>
      </w:tr>
      <w:tr w:rsidR="00A00349" w:rsidRPr="001B7B2E" w14:paraId="3EB009BB" w14:textId="77777777" w:rsidTr="00CB2A26">
        <w:tc>
          <w:tcPr>
            <w:tcW w:w="1921" w:type="dxa"/>
            <w:vAlign w:val="center"/>
          </w:tcPr>
          <w:p w14:paraId="3401E9CE" w14:textId="77777777" w:rsidR="00A00349" w:rsidRPr="001B7B2E" w:rsidRDefault="00A00349" w:rsidP="00CB2A26">
            <w:pPr>
              <w:pStyle w:val="Tabletext"/>
            </w:pPr>
            <w:r w:rsidRPr="001B7B2E">
              <w:t>1 Year overall survival</w:t>
            </w:r>
          </w:p>
        </w:tc>
        <w:tc>
          <w:tcPr>
            <w:tcW w:w="1586" w:type="dxa"/>
            <w:vAlign w:val="center"/>
          </w:tcPr>
          <w:p w14:paraId="487346AC" w14:textId="77777777" w:rsidR="00A00349" w:rsidRPr="001B7B2E" w:rsidRDefault="00A00349" w:rsidP="00CB2A26">
            <w:pPr>
              <w:pStyle w:val="Tabletext"/>
            </w:pPr>
            <w:r w:rsidRPr="001B7B2E">
              <w:t>92.5%</w:t>
            </w:r>
            <w:r>
              <w:t>, reduced to 83.5% in pre-PBAC response</w:t>
            </w:r>
          </w:p>
        </w:tc>
        <w:tc>
          <w:tcPr>
            <w:tcW w:w="1916" w:type="dxa"/>
            <w:vAlign w:val="center"/>
          </w:tcPr>
          <w:p w14:paraId="096B0F3A" w14:textId="77777777" w:rsidR="00A00349" w:rsidRPr="001B7B2E" w:rsidRDefault="00A00349" w:rsidP="00CB2A26">
            <w:pPr>
              <w:pStyle w:val="Tabletext"/>
            </w:pPr>
            <w:r w:rsidRPr="001B7B2E">
              <w:t>AIHW data visualisations</w:t>
            </w:r>
          </w:p>
        </w:tc>
        <w:tc>
          <w:tcPr>
            <w:tcW w:w="3594" w:type="dxa"/>
            <w:vAlign w:val="center"/>
          </w:tcPr>
          <w:p w14:paraId="6B33D645" w14:textId="77777777" w:rsidR="00A00349" w:rsidRPr="001B7B2E" w:rsidRDefault="00A00349" w:rsidP="00CB2A26">
            <w:pPr>
              <w:pStyle w:val="CommentText"/>
              <w:rPr>
                <w:iCs/>
              </w:rPr>
            </w:pPr>
            <w:r w:rsidRPr="00BD427F">
              <w:rPr>
                <w:rFonts w:ascii="Arial Narrow" w:hAnsi="Arial Narrow"/>
                <w:iCs/>
                <w:snapToGrid/>
              </w:rPr>
              <w:t xml:space="preserve">DUSC noted 92.5% is </w:t>
            </w:r>
            <w:r>
              <w:rPr>
                <w:rFonts w:ascii="Arial Narrow" w:hAnsi="Arial Narrow"/>
                <w:iCs/>
                <w:snapToGrid/>
              </w:rPr>
              <w:t xml:space="preserve">based on </w:t>
            </w:r>
            <w:r w:rsidRPr="00BD427F">
              <w:rPr>
                <w:rFonts w:ascii="Arial Narrow" w:hAnsi="Arial Narrow"/>
                <w:iCs/>
                <w:snapToGrid/>
              </w:rPr>
              <w:t xml:space="preserve">the </w:t>
            </w:r>
            <w:r>
              <w:rPr>
                <w:rFonts w:ascii="Arial Narrow" w:hAnsi="Arial Narrow"/>
                <w:iCs/>
                <w:snapToGrid/>
              </w:rPr>
              <w:t>%</w:t>
            </w:r>
            <w:r w:rsidRPr="00BD427F">
              <w:rPr>
                <w:rFonts w:ascii="Arial Narrow" w:hAnsi="Arial Narrow"/>
                <w:iCs/>
                <w:snapToGrid/>
              </w:rPr>
              <w:t xml:space="preserve"> of patients who survive </w:t>
            </w:r>
            <w:r>
              <w:rPr>
                <w:rFonts w:ascii="Arial Narrow" w:hAnsi="Arial Narrow"/>
                <w:iCs/>
                <w:snapToGrid/>
              </w:rPr>
              <w:t>1</w:t>
            </w:r>
            <w:r w:rsidRPr="00BD427F">
              <w:rPr>
                <w:rFonts w:ascii="Arial Narrow" w:hAnsi="Arial Narrow"/>
                <w:iCs/>
                <w:snapToGrid/>
              </w:rPr>
              <w:t xml:space="preserve"> year after diagnosis</w:t>
            </w:r>
            <w:r>
              <w:rPr>
                <w:rFonts w:ascii="Arial Narrow" w:hAnsi="Arial Narrow"/>
                <w:iCs/>
                <w:snapToGrid/>
              </w:rPr>
              <w:t xml:space="preserve"> and</w:t>
            </w:r>
            <w:r w:rsidRPr="00BD427F">
              <w:rPr>
                <w:rFonts w:ascii="Arial Narrow" w:hAnsi="Arial Narrow"/>
                <w:iCs/>
                <w:snapToGrid/>
              </w:rPr>
              <w:t xml:space="preserve"> considered that as the prevalent pool were not all diagnosed in the last year, it was not reasonable to apply the </w:t>
            </w:r>
            <w:r>
              <w:rPr>
                <w:rFonts w:ascii="Arial Narrow" w:hAnsi="Arial Narrow"/>
                <w:iCs/>
                <w:snapToGrid/>
              </w:rPr>
              <w:t>1</w:t>
            </w:r>
            <w:r w:rsidRPr="00BD427F">
              <w:rPr>
                <w:rFonts w:ascii="Arial Narrow" w:hAnsi="Arial Narrow"/>
                <w:iCs/>
                <w:snapToGrid/>
              </w:rPr>
              <w:t xml:space="preserve"> year </w:t>
            </w:r>
            <w:r>
              <w:rPr>
                <w:rFonts w:ascii="Arial Narrow" w:hAnsi="Arial Narrow"/>
                <w:iCs/>
                <w:snapToGrid/>
              </w:rPr>
              <w:t>OS</w:t>
            </w:r>
            <w:r w:rsidRPr="00BD427F">
              <w:rPr>
                <w:rFonts w:ascii="Arial Narrow" w:hAnsi="Arial Narrow"/>
                <w:iCs/>
                <w:snapToGrid/>
              </w:rPr>
              <w:t xml:space="preserve"> rate to all prevalent patients</w:t>
            </w:r>
            <w:r>
              <w:rPr>
                <w:rFonts w:ascii="Arial Narrow" w:hAnsi="Arial Narrow"/>
                <w:iCs/>
                <w:snapToGrid/>
              </w:rPr>
              <w:t>. The p</w:t>
            </w:r>
            <w:r w:rsidRPr="00BD427F">
              <w:rPr>
                <w:rFonts w:ascii="Arial Narrow" w:hAnsi="Arial Narrow"/>
                <w:iCs/>
                <w:snapToGrid/>
              </w:rPr>
              <w:t>re-PBAC response estimate of 83.5% was based on the 5-year relative survival from the AIHW data</w:t>
            </w:r>
            <w:r>
              <w:rPr>
                <w:iCs/>
              </w:rPr>
              <w:t>.</w:t>
            </w:r>
          </w:p>
        </w:tc>
      </w:tr>
      <w:tr w:rsidR="00A00349" w:rsidRPr="001B7B2E" w14:paraId="6EEB5DC1" w14:textId="77777777" w:rsidTr="00CB2A26">
        <w:tc>
          <w:tcPr>
            <w:tcW w:w="9017" w:type="dxa"/>
            <w:gridSpan w:val="4"/>
            <w:vAlign w:val="center"/>
          </w:tcPr>
          <w:p w14:paraId="02721DBC" w14:textId="77777777" w:rsidR="00A00349" w:rsidRPr="001B7B2E" w:rsidRDefault="00A00349" w:rsidP="00CB2A26">
            <w:pPr>
              <w:pStyle w:val="Tabletext"/>
              <w:rPr>
                <w:b/>
              </w:rPr>
            </w:pPr>
            <w:r w:rsidRPr="001B7B2E">
              <w:rPr>
                <w:b/>
              </w:rPr>
              <w:t>Treatment utilisation</w:t>
            </w:r>
          </w:p>
        </w:tc>
      </w:tr>
      <w:tr w:rsidR="00A00349" w:rsidRPr="001B7B2E" w14:paraId="4C9D1F50" w14:textId="77777777" w:rsidTr="00CB2A26">
        <w:tc>
          <w:tcPr>
            <w:tcW w:w="1921" w:type="dxa"/>
            <w:vAlign w:val="center"/>
          </w:tcPr>
          <w:p w14:paraId="5678B89D" w14:textId="77777777" w:rsidR="00A00349" w:rsidRPr="001B7B2E" w:rsidRDefault="00A00349" w:rsidP="00CB2A26">
            <w:pPr>
              <w:pStyle w:val="Tabletext"/>
            </w:pPr>
            <w:r>
              <w:t>% assumed to received lenvatinib</w:t>
            </w:r>
          </w:p>
        </w:tc>
        <w:tc>
          <w:tcPr>
            <w:tcW w:w="1586" w:type="dxa"/>
            <w:vAlign w:val="center"/>
          </w:tcPr>
          <w:p w14:paraId="704F4768" w14:textId="77777777" w:rsidR="00A00349" w:rsidRPr="001B7B2E" w:rsidRDefault="00A00349" w:rsidP="00CB2A26">
            <w:pPr>
              <w:pStyle w:val="Tabletext"/>
            </w:pPr>
            <w:r>
              <w:t>87%, reduced to 85% in PSCR and 75% in pre-PBAC response</w:t>
            </w:r>
          </w:p>
        </w:tc>
        <w:tc>
          <w:tcPr>
            <w:tcW w:w="1916" w:type="dxa"/>
            <w:vAlign w:val="center"/>
          </w:tcPr>
          <w:p w14:paraId="2C7361F6" w14:textId="77777777" w:rsidR="00A00349" w:rsidRPr="001B7B2E" w:rsidRDefault="00A00349" w:rsidP="00CB2A26">
            <w:pPr>
              <w:pStyle w:val="Tabletext"/>
              <w:rPr>
                <w:iCs/>
              </w:rPr>
            </w:pPr>
          </w:p>
        </w:tc>
        <w:tc>
          <w:tcPr>
            <w:tcW w:w="3594" w:type="dxa"/>
            <w:vAlign w:val="center"/>
          </w:tcPr>
          <w:p w14:paraId="6181D389" w14:textId="77777777" w:rsidR="00A00349" w:rsidRDefault="00A00349" w:rsidP="00CB2A26">
            <w:pPr>
              <w:pStyle w:val="Tabletext"/>
              <w:rPr>
                <w:iCs/>
              </w:rPr>
            </w:pPr>
            <w:r w:rsidRPr="00113D22">
              <w:rPr>
                <w:iCs/>
              </w:rPr>
              <w:t xml:space="preserve">DUSC considered it was unclear how this has been applied and that the estimate of the proportion pMMR may be overestimated. PBAC considered the proportion of patients who would </w:t>
            </w:r>
            <w:r>
              <w:rPr>
                <w:iCs/>
              </w:rPr>
              <w:t>initiate</w:t>
            </w:r>
            <w:r w:rsidRPr="00113D22">
              <w:rPr>
                <w:iCs/>
              </w:rPr>
              <w:t xml:space="preserve"> lenvatinib may be higher given its advice to allow use of combination therapy in all-comers.</w:t>
            </w:r>
            <w:r>
              <w:rPr>
                <w:iCs/>
              </w:rPr>
              <w:t xml:space="preserve"> </w:t>
            </w:r>
          </w:p>
        </w:tc>
      </w:tr>
      <w:tr w:rsidR="00A00349" w:rsidRPr="001B7B2E" w14:paraId="4420AE14" w14:textId="77777777" w:rsidTr="00CB2A26">
        <w:tc>
          <w:tcPr>
            <w:tcW w:w="1921" w:type="dxa"/>
            <w:vAlign w:val="center"/>
          </w:tcPr>
          <w:p w14:paraId="42C71328" w14:textId="77777777" w:rsidR="00A00349" w:rsidRPr="001B7B2E" w:rsidRDefault="00A00349" w:rsidP="00CB2A26">
            <w:pPr>
              <w:pStyle w:val="Tabletext"/>
            </w:pPr>
            <w:r w:rsidRPr="001B7B2E">
              <w:t>Uptake rate of pembrolizumab plus lenvatinib</w:t>
            </w:r>
          </w:p>
        </w:tc>
        <w:tc>
          <w:tcPr>
            <w:tcW w:w="1586" w:type="dxa"/>
            <w:vAlign w:val="center"/>
          </w:tcPr>
          <w:p w14:paraId="6A36D03A" w14:textId="77777777" w:rsidR="00A00349" w:rsidRPr="001B7B2E" w:rsidRDefault="00A00349" w:rsidP="00CB2A26">
            <w:pPr>
              <w:pStyle w:val="Tabletext"/>
            </w:pPr>
            <w:r w:rsidRPr="001B7B2E">
              <w:t>95%</w:t>
            </w:r>
          </w:p>
        </w:tc>
        <w:tc>
          <w:tcPr>
            <w:tcW w:w="1916" w:type="dxa"/>
            <w:vAlign w:val="center"/>
          </w:tcPr>
          <w:p w14:paraId="53DF3416" w14:textId="77777777" w:rsidR="00A00349" w:rsidRPr="001B7B2E" w:rsidRDefault="00A00349" w:rsidP="00CB2A26">
            <w:pPr>
              <w:pStyle w:val="Tabletext"/>
            </w:pPr>
            <w:r w:rsidRPr="001B7B2E">
              <w:rPr>
                <w:iCs/>
              </w:rPr>
              <w:t>Assumption</w:t>
            </w:r>
          </w:p>
        </w:tc>
        <w:tc>
          <w:tcPr>
            <w:tcW w:w="3594" w:type="dxa"/>
            <w:vAlign w:val="center"/>
          </w:tcPr>
          <w:p w14:paraId="34DE02DD" w14:textId="77777777" w:rsidR="00A00349" w:rsidRPr="001B7B2E" w:rsidRDefault="00A00349" w:rsidP="00CB2A26">
            <w:pPr>
              <w:pStyle w:val="Tabletext"/>
            </w:pPr>
            <w:r>
              <w:rPr>
                <w:iCs/>
              </w:rPr>
              <w:t>DUSC considered this was r</w:t>
            </w:r>
            <w:r w:rsidRPr="001B7B2E">
              <w:rPr>
                <w:iCs/>
              </w:rPr>
              <w:t>easonable</w:t>
            </w:r>
          </w:p>
        </w:tc>
      </w:tr>
      <w:tr w:rsidR="00A00349" w:rsidRPr="001B7B2E" w14:paraId="5E9E3FAE" w14:textId="77777777" w:rsidTr="00CB2A26">
        <w:tc>
          <w:tcPr>
            <w:tcW w:w="1921" w:type="dxa"/>
            <w:vAlign w:val="center"/>
          </w:tcPr>
          <w:p w14:paraId="34C30E48" w14:textId="77777777" w:rsidR="00A00349" w:rsidRPr="001B7B2E" w:rsidRDefault="00A00349" w:rsidP="00CB2A26">
            <w:pPr>
              <w:pStyle w:val="Tabletext"/>
            </w:pPr>
            <w:r w:rsidRPr="001B7B2E">
              <w:t xml:space="preserve">Current uptake rate of second line chemo </w:t>
            </w:r>
          </w:p>
        </w:tc>
        <w:tc>
          <w:tcPr>
            <w:tcW w:w="1586" w:type="dxa"/>
            <w:vAlign w:val="center"/>
          </w:tcPr>
          <w:p w14:paraId="3A07B1E7" w14:textId="77777777" w:rsidR="00A00349" w:rsidRPr="001B7B2E" w:rsidRDefault="00A00349" w:rsidP="00CB2A26">
            <w:pPr>
              <w:pStyle w:val="Tabletext"/>
            </w:pPr>
            <w:r w:rsidRPr="001B7B2E">
              <w:t>60%</w:t>
            </w:r>
            <w:r>
              <w:t xml:space="preserve"> </w:t>
            </w:r>
            <w:r w:rsidRPr="001B7B2E">
              <w:t>will use chemo, of which 75% use doxorubicin and 25% use paclitaxel</w:t>
            </w:r>
          </w:p>
        </w:tc>
        <w:tc>
          <w:tcPr>
            <w:tcW w:w="1916" w:type="dxa"/>
            <w:vAlign w:val="center"/>
          </w:tcPr>
          <w:p w14:paraId="5440CB46" w14:textId="77777777" w:rsidR="00A00349" w:rsidRPr="001B7B2E" w:rsidRDefault="00A00349" w:rsidP="00CB2A26">
            <w:pPr>
              <w:pStyle w:val="Tabletext"/>
              <w:rPr>
                <w:iCs/>
              </w:rPr>
            </w:pPr>
            <w:r w:rsidRPr="001B7B2E">
              <w:rPr>
                <w:iCs/>
              </w:rPr>
              <w:t>Assumption</w:t>
            </w:r>
          </w:p>
        </w:tc>
        <w:tc>
          <w:tcPr>
            <w:tcW w:w="3594" w:type="dxa"/>
            <w:vAlign w:val="center"/>
          </w:tcPr>
          <w:p w14:paraId="54C32CE5" w14:textId="77777777" w:rsidR="00A00349" w:rsidRPr="001B7B2E" w:rsidRDefault="00A00349" w:rsidP="00CB2A26">
            <w:pPr>
              <w:pStyle w:val="Tabletext"/>
              <w:rPr>
                <w:iCs/>
              </w:rPr>
            </w:pPr>
          </w:p>
        </w:tc>
      </w:tr>
      <w:tr w:rsidR="00A00349" w:rsidRPr="001B7B2E" w14:paraId="11D8C76A" w14:textId="77777777" w:rsidTr="00CB2A26">
        <w:tc>
          <w:tcPr>
            <w:tcW w:w="1921" w:type="dxa"/>
            <w:vAlign w:val="center"/>
          </w:tcPr>
          <w:p w14:paraId="77FDE507" w14:textId="77777777" w:rsidR="00A00349" w:rsidRPr="001B7B2E" w:rsidRDefault="00A00349" w:rsidP="00CB2A26">
            <w:pPr>
              <w:pStyle w:val="Tabletext"/>
            </w:pPr>
            <w:r w:rsidRPr="001B7B2E">
              <w:t>Pembrolizumab administrations per patient</w:t>
            </w:r>
          </w:p>
        </w:tc>
        <w:tc>
          <w:tcPr>
            <w:tcW w:w="1586" w:type="dxa"/>
            <w:vAlign w:val="center"/>
          </w:tcPr>
          <w:p w14:paraId="6248302E" w14:textId="4F2558A1" w:rsidR="00A00349" w:rsidRPr="001B7B2E" w:rsidRDefault="008B4550" w:rsidP="00CB2A26">
            <w:pPr>
              <w:pStyle w:val="Tabletext"/>
            </w:pPr>
            <w:r w:rsidRPr="008B4550">
              <w:rPr>
                <w:color w:val="000000"/>
                <w:spacing w:val="53"/>
                <w:shd w:val="solid" w:color="000000" w:fill="000000"/>
                <w:fitText w:val="331" w:id="-1500780800"/>
                <w14:textFill>
                  <w14:solidFill>
                    <w14:srgbClr w14:val="000000">
                      <w14:alpha w14:val="100000"/>
                    </w14:srgbClr>
                  </w14:solidFill>
                </w14:textFill>
              </w:rPr>
              <w:t>|||</w:t>
            </w:r>
            <w:r w:rsidRPr="008B4550">
              <w:rPr>
                <w:color w:val="000000"/>
                <w:spacing w:val="2"/>
                <w:shd w:val="solid" w:color="000000" w:fill="000000"/>
                <w:fitText w:val="331" w:id="-1500780800"/>
                <w14:textFill>
                  <w14:solidFill>
                    <w14:srgbClr w14:val="000000">
                      <w14:alpha w14:val="100000"/>
                    </w14:srgbClr>
                  </w14:solidFill>
                </w14:textFill>
              </w:rPr>
              <w:t>|</w:t>
            </w:r>
            <w:r w:rsidR="00A00349">
              <w:t xml:space="preserve"> </w:t>
            </w:r>
          </w:p>
        </w:tc>
        <w:tc>
          <w:tcPr>
            <w:tcW w:w="1916" w:type="dxa"/>
            <w:vAlign w:val="center"/>
          </w:tcPr>
          <w:p w14:paraId="066D519F" w14:textId="42DDC57D" w:rsidR="00A00349" w:rsidRPr="001B7B2E" w:rsidRDefault="00A00349" w:rsidP="0044437A">
            <w:pPr>
              <w:pStyle w:val="Tabletext"/>
            </w:pPr>
            <w:r>
              <w:t xml:space="preserve">Updated in PSCR </w:t>
            </w:r>
            <w:r w:rsidRPr="001B7B2E">
              <w:t xml:space="preserve">based on </w:t>
            </w:r>
            <w:r w:rsidR="008B4550" w:rsidRPr="008B4550">
              <w:rPr>
                <w:color w:val="000000"/>
                <w:spacing w:val="50"/>
                <w:shd w:val="solid" w:color="000000" w:fill="000000"/>
                <w:fitText w:val="323" w:id="-1500780799"/>
                <w14:textFill>
                  <w14:solidFill>
                    <w14:srgbClr w14:val="000000">
                      <w14:alpha w14:val="100000"/>
                    </w14:srgbClr>
                  </w14:solidFill>
                </w14:textFill>
              </w:rPr>
              <w:t>|||</w:t>
            </w:r>
            <w:r w:rsidR="008B4550" w:rsidRPr="008B4550">
              <w:rPr>
                <w:color w:val="000000"/>
                <w:spacing w:val="3"/>
                <w:shd w:val="solid" w:color="000000" w:fill="000000"/>
                <w:fitText w:val="323" w:id="-1500780799"/>
                <w14:textFill>
                  <w14:solidFill>
                    <w14:srgbClr w14:val="000000">
                      <w14:alpha w14:val="100000"/>
                    </w14:srgbClr>
                  </w14:solidFill>
                </w14:textFill>
              </w:rPr>
              <w:t>|</w:t>
            </w:r>
            <w:r w:rsidRPr="001B7B2E">
              <w:t xml:space="preserve"> weeks mean duration from economic model, divided by 3 (three weeks) </w:t>
            </w:r>
          </w:p>
        </w:tc>
        <w:tc>
          <w:tcPr>
            <w:tcW w:w="3594" w:type="dxa"/>
            <w:vAlign w:val="center"/>
          </w:tcPr>
          <w:p w14:paraId="2AE0EC5F" w14:textId="38EE8972" w:rsidR="00A00349" w:rsidRPr="001B7B2E" w:rsidRDefault="00A00349" w:rsidP="00CB2A26">
            <w:pPr>
              <w:pStyle w:val="Tabletext"/>
              <w:rPr>
                <w:iCs/>
              </w:rPr>
            </w:pPr>
            <w:r>
              <w:rPr>
                <w:iCs/>
              </w:rPr>
              <w:t xml:space="preserve">The </w:t>
            </w:r>
            <w:r w:rsidRPr="001B7B2E">
              <w:rPr>
                <w:iCs/>
              </w:rPr>
              <w:t xml:space="preserve">economic model </w:t>
            </w:r>
            <w:r>
              <w:rPr>
                <w:iCs/>
              </w:rPr>
              <w:t>estimated</w:t>
            </w:r>
            <w:r w:rsidRPr="001B7B2E">
              <w:rPr>
                <w:iCs/>
              </w:rPr>
              <w:t xml:space="preserve"> </w:t>
            </w:r>
            <w:r w:rsidR="008B4550" w:rsidRPr="008B4550">
              <w:rPr>
                <w:iCs/>
                <w:color w:val="000000"/>
                <w:spacing w:val="53"/>
                <w:shd w:val="solid" w:color="000000" w:fill="000000"/>
                <w:fitText w:val="331" w:id="-1500780798"/>
                <w14:textFill>
                  <w14:solidFill>
                    <w14:srgbClr w14:val="000000">
                      <w14:alpha w14:val="100000"/>
                    </w14:srgbClr>
                  </w14:solidFill>
                </w14:textFill>
              </w:rPr>
              <w:t>|||</w:t>
            </w:r>
            <w:r w:rsidR="008B4550" w:rsidRPr="008B4550">
              <w:rPr>
                <w:iCs/>
                <w:color w:val="000000"/>
                <w:spacing w:val="2"/>
                <w:shd w:val="solid" w:color="000000" w:fill="000000"/>
                <w:fitText w:val="331" w:id="-1500780798"/>
                <w14:textFill>
                  <w14:solidFill>
                    <w14:srgbClr w14:val="000000">
                      <w14:alpha w14:val="100000"/>
                    </w14:srgbClr>
                  </w14:solidFill>
                </w14:textFill>
              </w:rPr>
              <w:t>|</w:t>
            </w:r>
            <w:r w:rsidRPr="001B7B2E">
              <w:rPr>
                <w:iCs/>
              </w:rPr>
              <w:t xml:space="preserve"> administrations per patient. </w:t>
            </w:r>
          </w:p>
        </w:tc>
      </w:tr>
      <w:tr w:rsidR="00A00349" w:rsidRPr="001B7B2E" w14:paraId="01B29605" w14:textId="77777777" w:rsidTr="00CB2A26">
        <w:tc>
          <w:tcPr>
            <w:tcW w:w="1921" w:type="dxa"/>
            <w:vAlign w:val="center"/>
          </w:tcPr>
          <w:p w14:paraId="4466EB40" w14:textId="77777777" w:rsidR="00A00349" w:rsidRPr="001B7B2E" w:rsidRDefault="00A00349" w:rsidP="00CB2A26">
            <w:pPr>
              <w:pStyle w:val="Tabletext"/>
            </w:pPr>
            <w:r w:rsidRPr="001B7B2E">
              <w:t>Lenvatinib administrations per patient</w:t>
            </w:r>
          </w:p>
        </w:tc>
        <w:tc>
          <w:tcPr>
            <w:tcW w:w="1586" w:type="dxa"/>
            <w:vAlign w:val="center"/>
          </w:tcPr>
          <w:p w14:paraId="3B5BC380" w14:textId="631E0938" w:rsidR="00A00349" w:rsidRPr="001B7B2E" w:rsidRDefault="008B4550" w:rsidP="00CB2A26">
            <w:pPr>
              <w:pStyle w:val="Tabletext"/>
            </w:pPr>
            <w:r w:rsidRPr="008B4550">
              <w:rPr>
                <w:color w:val="000000"/>
                <w:spacing w:val="53"/>
                <w:shd w:val="solid" w:color="000000" w:fill="000000"/>
                <w:fitText w:val="331" w:id="-1500780797"/>
                <w14:textFill>
                  <w14:solidFill>
                    <w14:srgbClr w14:val="000000">
                      <w14:alpha w14:val="100000"/>
                    </w14:srgbClr>
                  </w14:solidFill>
                </w14:textFill>
              </w:rPr>
              <w:t>|||</w:t>
            </w:r>
            <w:r w:rsidRPr="008B4550">
              <w:rPr>
                <w:color w:val="000000"/>
                <w:spacing w:val="2"/>
                <w:shd w:val="solid" w:color="000000" w:fill="000000"/>
                <w:fitText w:val="331" w:id="-1500780797"/>
                <w14:textFill>
                  <w14:solidFill>
                    <w14:srgbClr w14:val="000000">
                      <w14:alpha w14:val="100000"/>
                    </w14:srgbClr>
                  </w14:solidFill>
                </w14:textFill>
              </w:rPr>
              <w:t>|</w:t>
            </w:r>
            <w:r w:rsidR="00A00349" w:rsidRPr="001B7B2E">
              <w:t xml:space="preserve"> 10mg scripts</w:t>
            </w:r>
          </w:p>
          <w:p w14:paraId="4A67E9C1" w14:textId="3E0FD9F6" w:rsidR="00A00349" w:rsidRPr="001B7B2E" w:rsidRDefault="008B4550" w:rsidP="005C3C41">
            <w:pPr>
              <w:pStyle w:val="Tabletext"/>
            </w:pPr>
            <w:r w:rsidRPr="008B4550">
              <w:rPr>
                <w:color w:val="000000"/>
                <w:spacing w:val="53"/>
                <w:shd w:val="solid" w:color="000000" w:fill="000000"/>
                <w:fitText w:val="331" w:id="-1500780796"/>
                <w14:textFill>
                  <w14:solidFill>
                    <w14:srgbClr w14:val="000000">
                      <w14:alpha w14:val="100000"/>
                    </w14:srgbClr>
                  </w14:solidFill>
                </w14:textFill>
              </w:rPr>
              <w:t>|||</w:t>
            </w:r>
            <w:r w:rsidRPr="008B4550">
              <w:rPr>
                <w:color w:val="000000"/>
                <w:spacing w:val="2"/>
                <w:shd w:val="solid" w:color="000000" w:fill="000000"/>
                <w:fitText w:val="331" w:id="-1500780796"/>
                <w14:textFill>
                  <w14:solidFill>
                    <w14:srgbClr w14:val="000000">
                      <w14:alpha w14:val="100000"/>
                    </w14:srgbClr>
                  </w14:solidFill>
                </w14:textFill>
              </w:rPr>
              <w:t>|</w:t>
            </w:r>
            <w:r w:rsidR="00A00349" w:rsidRPr="001B7B2E">
              <w:t xml:space="preserve"> 4mg scripts</w:t>
            </w:r>
            <w:r w:rsidR="005C3C41">
              <w:t xml:space="preserve"> </w:t>
            </w:r>
            <w:r w:rsidR="005C3C41">
              <w:rPr>
                <w:vertAlign w:val="superscript"/>
              </w:rPr>
              <w:t>a</w:t>
            </w:r>
          </w:p>
        </w:tc>
        <w:tc>
          <w:tcPr>
            <w:tcW w:w="1916" w:type="dxa"/>
            <w:vAlign w:val="center"/>
          </w:tcPr>
          <w:p w14:paraId="0F7F6C4E" w14:textId="77777777" w:rsidR="00A00349" w:rsidRPr="001B7B2E" w:rsidRDefault="00A00349" w:rsidP="00CB2A26">
            <w:pPr>
              <w:pStyle w:val="Tabletext"/>
            </w:pPr>
            <w:r>
              <w:t xml:space="preserve">The submission stated this was based on the </w:t>
            </w:r>
          </w:p>
          <w:p w14:paraId="266AA1FD" w14:textId="77777777" w:rsidR="00A00349" w:rsidRPr="001B7B2E" w:rsidRDefault="00A00349" w:rsidP="00CB2A26">
            <w:pPr>
              <w:pStyle w:val="Tabletext"/>
            </w:pPr>
            <w:r w:rsidRPr="001B7B2E">
              <w:t>economic evaluation</w:t>
            </w:r>
            <w:r>
              <w:t>, however this could not be verified</w:t>
            </w:r>
            <w:r w:rsidRPr="001B7B2E">
              <w:t>.</w:t>
            </w:r>
          </w:p>
        </w:tc>
        <w:tc>
          <w:tcPr>
            <w:tcW w:w="3594" w:type="dxa"/>
            <w:vAlign w:val="center"/>
          </w:tcPr>
          <w:p w14:paraId="63D51C7B" w14:textId="63A73309" w:rsidR="00A00349" w:rsidRPr="001B7B2E" w:rsidRDefault="00A00349" w:rsidP="00CB2A26">
            <w:pPr>
              <w:pStyle w:val="Tabletext"/>
              <w:rPr>
                <w:iCs/>
              </w:rPr>
            </w:pPr>
            <w:r w:rsidRPr="001B7B2E">
              <w:rPr>
                <w:iCs/>
              </w:rPr>
              <w:t xml:space="preserve">A dose intensity of </w:t>
            </w:r>
            <w:r w:rsidR="008B4550" w:rsidRPr="008B4550">
              <w:rPr>
                <w:iCs/>
                <w:color w:val="000000"/>
                <w:spacing w:val="53"/>
                <w:shd w:val="solid" w:color="000000" w:fill="000000"/>
                <w:fitText w:val="331" w:id="-1500780795"/>
                <w14:textFill>
                  <w14:solidFill>
                    <w14:srgbClr w14:val="000000">
                      <w14:alpha w14:val="100000"/>
                    </w14:srgbClr>
                  </w14:solidFill>
                </w14:textFill>
              </w:rPr>
              <w:t>|||</w:t>
            </w:r>
            <w:r w:rsidR="008B4550" w:rsidRPr="008B4550">
              <w:rPr>
                <w:iCs/>
                <w:color w:val="000000"/>
                <w:spacing w:val="2"/>
                <w:shd w:val="solid" w:color="000000" w:fill="000000"/>
                <w:fitText w:val="331" w:id="-1500780795"/>
                <w14:textFill>
                  <w14:solidFill>
                    <w14:srgbClr w14:val="000000">
                      <w14:alpha w14:val="100000"/>
                    </w14:srgbClr>
                  </w14:solidFill>
                </w14:textFill>
              </w:rPr>
              <w:t>|</w:t>
            </w:r>
            <w:r w:rsidRPr="001B7B2E">
              <w:rPr>
                <w:iCs/>
              </w:rPr>
              <w:t xml:space="preserve">% for lenvatinib was assumed in the economic evaluation, which was roughly consistent with the financial estimates (20mg × </w:t>
            </w:r>
            <w:r w:rsidR="008B4550" w:rsidRPr="008B4550">
              <w:rPr>
                <w:iCs/>
                <w:color w:val="000000"/>
                <w:spacing w:val="53"/>
                <w:shd w:val="solid" w:color="000000" w:fill="000000"/>
                <w:fitText w:val="331" w:id="-1500780794"/>
                <w14:textFill>
                  <w14:solidFill>
                    <w14:srgbClr w14:val="000000">
                      <w14:alpha w14:val="100000"/>
                    </w14:srgbClr>
                  </w14:solidFill>
                </w14:textFill>
              </w:rPr>
              <w:t>|||</w:t>
            </w:r>
            <w:r w:rsidR="008B4550" w:rsidRPr="008B4550">
              <w:rPr>
                <w:iCs/>
                <w:color w:val="000000"/>
                <w:spacing w:val="2"/>
                <w:shd w:val="solid" w:color="000000" w:fill="000000"/>
                <w:fitText w:val="331" w:id="-1500780794"/>
                <w14:textFill>
                  <w14:solidFill>
                    <w14:srgbClr w14:val="000000">
                      <w14:alpha w14:val="100000"/>
                    </w14:srgbClr>
                  </w14:solidFill>
                </w14:textFill>
              </w:rPr>
              <w:t>|</w:t>
            </w:r>
            <w:r w:rsidRPr="001B7B2E">
              <w:rPr>
                <w:iCs/>
              </w:rPr>
              <w:t xml:space="preserve">% = </w:t>
            </w:r>
            <w:r w:rsidR="008B4550" w:rsidRPr="008B4550">
              <w:rPr>
                <w:iCs/>
                <w:color w:val="000000"/>
                <w:spacing w:val="53"/>
                <w:shd w:val="solid" w:color="000000" w:fill="000000"/>
                <w:fitText w:val="331" w:id="-1500780793"/>
                <w14:textFill>
                  <w14:solidFill>
                    <w14:srgbClr w14:val="000000">
                      <w14:alpha w14:val="100000"/>
                    </w14:srgbClr>
                  </w14:solidFill>
                </w14:textFill>
              </w:rPr>
              <w:t>|||</w:t>
            </w:r>
            <w:r w:rsidR="008B4550" w:rsidRPr="008B4550">
              <w:rPr>
                <w:iCs/>
                <w:color w:val="000000"/>
                <w:spacing w:val="2"/>
                <w:shd w:val="solid" w:color="000000" w:fill="000000"/>
                <w:fitText w:val="331" w:id="-1500780793"/>
                <w14:textFill>
                  <w14:solidFill>
                    <w14:srgbClr w14:val="000000">
                      <w14:alpha w14:val="100000"/>
                    </w14:srgbClr>
                  </w14:solidFill>
                </w14:textFill>
              </w:rPr>
              <w:t>|</w:t>
            </w:r>
            <w:r w:rsidR="00921F42">
              <w:rPr>
                <w:iCs/>
              </w:rPr>
              <w:t> </w:t>
            </w:r>
            <w:r w:rsidRPr="001B7B2E">
              <w:rPr>
                <w:iCs/>
              </w:rPr>
              <w:t>mg)</w:t>
            </w:r>
          </w:p>
        </w:tc>
      </w:tr>
      <w:tr w:rsidR="00A00349" w:rsidRPr="001B7B2E" w14:paraId="05E5DD38" w14:textId="77777777" w:rsidTr="00CB2A26">
        <w:tc>
          <w:tcPr>
            <w:tcW w:w="9017" w:type="dxa"/>
            <w:gridSpan w:val="4"/>
            <w:vAlign w:val="center"/>
          </w:tcPr>
          <w:p w14:paraId="3B31F08B" w14:textId="77777777" w:rsidR="00A00349" w:rsidRPr="001B7B2E" w:rsidRDefault="00A00349" w:rsidP="00CB2A26">
            <w:pPr>
              <w:pStyle w:val="Tabletext"/>
              <w:rPr>
                <w:b/>
              </w:rPr>
            </w:pPr>
            <w:r w:rsidRPr="001B7B2E">
              <w:rPr>
                <w:b/>
              </w:rPr>
              <w:t>Costs</w:t>
            </w:r>
          </w:p>
        </w:tc>
      </w:tr>
      <w:tr w:rsidR="00A00349" w:rsidRPr="001B7B2E" w14:paraId="4BCA4D4E" w14:textId="77777777" w:rsidTr="00CB2A26">
        <w:tc>
          <w:tcPr>
            <w:tcW w:w="1921" w:type="dxa"/>
            <w:vAlign w:val="center"/>
          </w:tcPr>
          <w:p w14:paraId="5E6453DB" w14:textId="77777777" w:rsidR="00A00349" w:rsidRPr="001B7B2E" w:rsidRDefault="00A00349" w:rsidP="00CB2A26">
            <w:pPr>
              <w:pStyle w:val="Tabletext"/>
            </w:pPr>
            <w:r w:rsidRPr="001B7B2E">
              <w:t>MBS costs</w:t>
            </w:r>
          </w:p>
        </w:tc>
        <w:tc>
          <w:tcPr>
            <w:tcW w:w="1586" w:type="dxa"/>
            <w:vAlign w:val="center"/>
          </w:tcPr>
          <w:p w14:paraId="49F1E056" w14:textId="77777777" w:rsidR="00A00349" w:rsidRPr="001B7B2E" w:rsidRDefault="00A00349" w:rsidP="00CB2A26">
            <w:pPr>
              <w:pStyle w:val="Tabletext"/>
            </w:pPr>
            <w:r w:rsidRPr="001B7B2E">
              <w:t>$112.40</w:t>
            </w:r>
          </w:p>
        </w:tc>
        <w:tc>
          <w:tcPr>
            <w:tcW w:w="1916" w:type="dxa"/>
            <w:vAlign w:val="center"/>
          </w:tcPr>
          <w:p w14:paraId="5F380CAC" w14:textId="77777777" w:rsidR="00A00349" w:rsidRPr="001B7B2E" w:rsidRDefault="00A00349" w:rsidP="00CB2A26">
            <w:pPr>
              <w:pStyle w:val="Tabletext"/>
            </w:pPr>
            <w:r w:rsidRPr="001B7B2E">
              <w:t>13950 Parenteral administration of one or more antineoplastic agents</w:t>
            </w:r>
          </w:p>
        </w:tc>
        <w:tc>
          <w:tcPr>
            <w:tcW w:w="3594" w:type="dxa"/>
            <w:vAlign w:val="center"/>
          </w:tcPr>
          <w:p w14:paraId="044AFCA1" w14:textId="77777777" w:rsidR="00A00349" w:rsidRPr="001B7B2E" w:rsidRDefault="00A00349" w:rsidP="00CB2A26">
            <w:pPr>
              <w:pStyle w:val="Tabletext"/>
              <w:rPr>
                <w:iCs/>
              </w:rPr>
            </w:pPr>
            <w:r w:rsidRPr="001B7B2E">
              <w:rPr>
                <w:iCs/>
              </w:rPr>
              <w:t xml:space="preserve">Reasonable. </w:t>
            </w:r>
          </w:p>
        </w:tc>
      </w:tr>
      <w:tr w:rsidR="00024476" w:rsidRPr="001B7B2E" w14:paraId="50CB87ED" w14:textId="77777777" w:rsidTr="00024476">
        <w:tc>
          <w:tcPr>
            <w:tcW w:w="9017" w:type="dxa"/>
            <w:gridSpan w:val="4"/>
            <w:vAlign w:val="center"/>
          </w:tcPr>
          <w:p w14:paraId="07833D18" w14:textId="7562849C" w:rsidR="00024476" w:rsidRPr="00024476" w:rsidRDefault="00024476" w:rsidP="00CB2A26">
            <w:pPr>
              <w:pStyle w:val="Tabletext"/>
              <w:rPr>
                <w:b/>
                <w:iCs/>
              </w:rPr>
            </w:pPr>
            <w:r>
              <w:rPr>
                <w:b/>
                <w:iCs/>
              </w:rPr>
              <w:t>Grandfather patients</w:t>
            </w:r>
          </w:p>
        </w:tc>
      </w:tr>
      <w:tr w:rsidR="00024476" w:rsidRPr="001B7B2E" w14:paraId="1942D2B2" w14:textId="77777777" w:rsidTr="00CB2A26">
        <w:tc>
          <w:tcPr>
            <w:tcW w:w="1921" w:type="dxa"/>
            <w:vAlign w:val="center"/>
          </w:tcPr>
          <w:p w14:paraId="57D5B88B" w14:textId="63B8042A" w:rsidR="00024476" w:rsidRPr="001B7B2E" w:rsidRDefault="00024476" w:rsidP="00CB2A26">
            <w:pPr>
              <w:pStyle w:val="Tabletext"/>
            </w:pPr>
            <w:r>
              <w:t>Grandfather patients</w:t>
            </w:r>
          </w:p>
        </w:tc>
        <w:tc>
          <w:tcPr>
            <w:tcW w:w="1586" w:type="dxa"/>
            <w:vAlign w:val="center"/>
          </w:tcPr>
          <w:p w14:paraId="3D1594DF" w14:textId="7277C737" w:rsidR="00024476" w:rsidRPr="001B7B2E" w:rsidRDefault="00024476" w:rsidP="00CB2A26">
            <w:pPr>
              <w:pStyle w:val="Tabletext"/>
            </w:pPr>
            <w:r>
              <w:t xml:space="preserve">50 patients </w:t>
            </w:r>
          </w:p>
        </w:tc>
        <w:tc>
          <w:tcPr>
            <w:tcW w:w="1916" w:type="dxa"/>
            <w:vAlign w:val="center"/>
          </w:tcPr>
          <w:p w14:paraId="7FFD09D2" w14:textId="691A2608" w:rsidR="00024476" w:rsidRPr="001B7B2E" w:rsidRDefault="00024476" w:rsidP="00CB2A26">
            <w:pPr>
              <w:pStyle w:val="Tabletext"/>
            </w:pPr>
            <w:r>
              <w:t>Assumption</w:t>
            </w:r>
          </w:p>
        </w:tc>
        <w:tc>
          <w:tcPr>
            <w:tcW w:w="3594" w:type="dxa"/>
            <w:vAlign w:val="center"/>
          </w:tcPr>
          <w:p w14:paraId="296EC330" w14:textId="54C5F458" w:rsidR="00024476" w:rsidRPr="001B7B2E" w:rsidRDefault="00024476" w:rsidP="00FC7CC1">
            <w:pPr>
              <w:pStyle w:val="Tabletext"/>
              <w:rPr>
                <w:iCs/>
              </w:rPr>
            </w:pPr>
            <w:r w:rsidRPr="00024476">
              <w:rPr>
                <w:iCs/>
              </w:rPr>
              <w:t xml:space="preserve">The submission </w:t>
            </w:r>
            <w:r w:rsidR="00FC7CC1">
              <w:rPr>
                <w:iCs/>
              </w:rPr>
              <w:t>estimat</w:t>
            </w:r>
            <w:r w:rsidRPr="00024476">
              <w:rPr>
                <w:iCs/>
              </w:rPr>
              <w:t>ed there would be 50 grandfathered patients, who were assumed to already be included in the prevalent patient population. The pre-PBAC response outlined that these grandfather patients would receive 50% of the time on treatment.</w:t>
            </w:r>
          </w:p>
        </w:tc>
      </w:tr>
    </w:tbl>
    <w:p w14:paraId="2B04989B" w14:textId="156C2006" w:rsidR="00A00349" w:rsidRDefault="00A00349" w:rsidP="00A00349">
      <w:pPr>
        <w:pStyle w:val="TableFooter"/>
      </w:pPr>
      <w:r w:rsidRPr="001B7B2E">
        <w:t xml:space="preserve">Source: pp191-208 of the submission. AIHW = Australian Institute for Health and Wellness; dMMR = deficient mismatch repair;  MBS = Medicare Benefits Schedule;  mg= milligram; PBS = Pharmaceutical Benefits Scheme; pMMR  = proficient mismatch repair; </w:t>
      </w:r>
    </w:p>
    <w:p w14:paraId="70153A8D" w14:textId="5C7E4A6A" w:rsidR="005C3C41" w:rsidRDefault="005C3C41" w:rsidP="00A00349">
      <w:pPr>
        <w:pStyle w:val="TableFooter"/>
      </w:pPr>
      <w:r>
        <w:rPr>
          <w:vertAlign w:val="superscript"/>
        </w:rPr>
        <w:t>a</w:t>
      </w:r>
      <w:r>
        <w:t xml:space="preserve"> As stated in the PSCR, however the figure that appeared to be applied was </w:t>
      </w:r>
      <w:r w:rsidR="008B4550" w:rsidRPr="008B4550">
        <w:rPr>
          <w:color w:val="000000"/>
          <w:spacing w:val="38"/>
          <w:shd w:val="solid" w:color="000000" w:fill="000000"/>
          <w:fitText w:val="273" w:id="-1500780792"/>
          <w14:textFill>
            <w14:solidFill>
              <w14:srgbClr w14:val="000000">
                <w14:alpha w14:val="100000"/>
              </w14:srgbClr>
            </w14:solidFill>
          </w14:textFill>
        </w:rPr>
        <w:t xml:space="preserve">|  </w:t>
      </w:r>
      <w:r w:rsidR="008B4550" w:rsidRPr="008B4550">
        <w:rPr>
          <w:color w:val="000000"/>
          <w:spacing w:val="1"/>
          <w:shd w:val="solid" w:color="000000" w:fill="000000"/>
          <w:fitText w:val="273" w:id="-1500780792"/>
          <w14:textFill>
            <w14:solidFill>
              <w14:srgbClr w14:val="000000">
                <w14:alpha w14:val="100000"/>
              </w14:srgbClr>
            </w14:solidFill>
          </w14:textFill>
        </w:rPr>
        <w:t>|</w:t>
      </w:r>
      <w:r>
        <w:t>.</w:t>
      </w:r>
    </w:p>
    <w:p w14:paraId="12DB1698" w14:textId="77777777" w:rsidR="007B62A0" w:rsidRPr="009A6D58" w:rsidRDefault="007B62A0" w:rsidP="007B62A0">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14:paraId="6C730030" w14:textId="570A1B11" w:rsidR="007B62A0" w:rsidRPr="007B62A0" w:rsidRDefault="007B62A0" w:rsidP="007B62A0">
      <w:pPr>
        <w:rPr>
          <w:rFonts w:ascii="Arial Narrow" w:hAnsi="Arial Narrow"/>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500 to &lt; 5000</w:t>
      </w:r>
    </w:p>
    <w:p w14:paraId="6A5F4208" w14:textId="77777777" w:rsidR="00A00349" w:rsidRPr="00F53848" w:rsidRDefault="00A00349" w:rsidP="00A00349"/>
    <w:p w14:paraId="637510EF" w14:textId="77777777" w:rsidR="00A00349" w:rsidRPr="00487003" w:rsidRDefault="00A00349" w:rsidP="00A00349">
      <w:pPr>
        <w:pStyle w:val="ListParagraph"/>
        <w:widowControl/>
        <w:numPr>
          <w:ilvl w:val="1"/>
          <w:numId w:val="2"/>
        </w:numPr>
        <w:spacing w:after="120"/>
      </w:pPr>
      <w:bookmarkStart w:id="60" w:name="_Ref98435296"/>
      <w:r w:rsidRPr="00F53848">
        <w:t xml:space="preserve">The submission did not explicitly calculate the cost of pembrolizumab monotherapy, but factored in estimates of the proportion of patients with dMMR to calculate the number of lenvatinib scripts. </w:t>
      </w:r>
      <w:r>
        <w:t xml:space="preserve">The submission </w:t>
      </w:r>
      <w:r w:rsidRPr="00F53848">
        <w:t>assumed that of the available patient pool, 16% of patients will be dMMR and 84% pMMR</w:t>
      </w:r>
      <w:r>
        <w:t>, based on the proportion in the KN775 study</w:t>
      </w:r>
      <w:r w:rsidRPr="00F53848">
        <w:t>. T</w:t>
      </w:r>
      <w:r>
        <w:t xml:space="preserve">he submission had originally assumed that 20% of dMMR patients would use </w:t>
      </w:r>
      <w:r w:rsidRPr="00F53848">
        <w:t xml:space="preserve">combination </w:t>
      </w:r>
      <w:r>
        <w:t xml:space="preserve">therapy (with the remaining 80% using monotherapy) as the proposed TGA restriction at the time of the submission allowed use of combination therapy in dMMR patients. The pre-PBAC response revised the proportion of patients receiving lenvatinib to 75%, however the basis for this was unclear. </w:t>
      </w:r>
      <w:bookmarkEnd w:id="60"/>
      <w:r>
        <w:t>The</w:t>
      </w:r>
      <w:r w:rsidRPr="0073164D">
        <w:t xml:space="preserve"> </w:t>
      </w:r>
      <w:r w:rsidRPr="00113D22">
        <w:rPr>
          <w:iCs/>
        </w:rPr>
        <w:t>PBAC considered</w:t>
      </w:r>
      <w:r>
        <w:rPr>
          <w:iCs/>
        </w:rPr>
        <w:t xml:space="preserve"> that</w:t>
      </w:r>
      <w:r w:rsidRPr="00113D22">
        <w:rPr>
          <w:iCs/>
        </w:rPr>
        <w:t xml:space="preserve"> the proportion of patients who </w:t>
      </w:r>
      <w:r>
        <w:rPr>
          <w:iCs/>
        </w:rPr>
        <w:t>initiate</w:t>
      </w:r>
      <w:r w:rsidRPr="00113D22">
        <w:rPr>
          <w:iCs/>
        </w:rPr>
        <w:t xml:space="preserve"> lenvatinib may be higher </w:t>
      </w:r>
      <w:r>
        <w:rPr>
          <w:iCs/>
        </w:rPr>
        <w:t xml:space="preserve">than 75%, and close to 100%, </w:t>
      </w:r>
      <w:r w:rsidRPr="00113D22">
        <w:rPr>
          <w:iCs/>
        </w:rPr>
        <w:t xml:space="preserve">given its advice </w:t>
      </w:r>
      <w:r>
        <w:rPr>
          <w:iCs/>
        </w:rPr>
        <w:t>that the restriction should</w:t>
      </w:r>
      <w:r w:rsidRPr="00113D22">
        <w:rPr>
          <w:iCs/>
        </w:rPr>
        <w:t xml:space="preserve"> allow use of combination therapy in all-comers.</w:t>
      </w:r>
    </w:p>
    <w:p w14:paraId="1D178D79" w14:textId="77777777" w:rsidR="00A00349" w:rsidRPr="002520EB" w:rsidRDefault="00A00349" w:rsidP="00A00349">
      <w:pPr>
        <w:pStyle w:val="ListParagraph"/>
        <w:widowControl/>
        <w:numPr>
          <w:ilvl w:val="1"/>
          <w:numId w:val="2"/>
        </w:numPr>
        <w:spacing w:after="120"/>
      </w:pPr>
      <w:r>
        <w:rPr>
          <w:iCs/>
        </w:rPr>
        <w:t>The PBAC noted that the financial estimates assumed the average dose of lenvatinib would be 14 mg per patient (i.e. a relative dose intensity for lenvatinib of around 70%, consistent with the economic model) based on the ITT population in KN775.</w:t>
      </w:r>
    </w:p>
    <w:p w14:paraId="320E3CB6" w14:textId="7DF68CCD" w:rsidR="001E146B" w:rsidRDefault="001E146B" w:rsidP="001E146B">
      <w:pPr>
        <w:pStyle w:val="ListParagraph"/>
        <w:widowControl/>
        <w:numPr>
          <w:ilvl w:val="1"/>
          <w:numId w:val="2"/>
        </w:numPr>
        <w:spacing w:after="120"/>
      </w:pPr>
      <w:r>
        <w:t>T</w:t>
      </w:r>
      <w:r w:rsidRPr="001B7CB2">
        <w:t>he submission</w:t>
      </w:r>
      <w:r>
        <w:t xml:space="preserve"> </w:t>
      </w:r>
      <w:r w:rsidRPr="00F53848">
        <w:t xml:space="preserve">presented two </w:t>
      </w:r>
      <w:r>
        <w:t xml:space="preserve">sets of </w:t>
      </w:r>
      <w:r w:rsidRPr="00F53848">
        <w:t>financial estimates</w:t>
      </w:r>
      <w:r>
        <w:t xml:space="preserve">. One approach </w:t>
      </w:r>
      <w:r w:rsidRPr="001B7CB2">
        <w:t>rel</w:t>
      </w:r>
      <w:r>
        <w:t xml:space="preserve">ied </w:t>
      </w:r>
      <w:r w:rsidRPr="001B7CB2">
        <w:t>on published prices</w:t>
      </w:r>
      <w:r>
        <w:t xml:space="preserve"> (for the reasons outlined in Paragraphs </w:t>
      </w:r>
      <w:r>
        <w:fldChar w:fldCharType="begin"/>
      </w:r>
      <w:r>
        <w:instrText xml:space="preserve"> REF _Ref95374621 \r \h </w:instrText>
      </w:r>
      <w:r>
        <w:fldChar w:fldCharType="separate"/>
      </w:r>
      <w:r w:rsidR="004163DD">
        <w:t>3.2</w:t>
      </w:r>
      <w:r>
        <w:fldChar w:fldCharType="end"/>
      </w:r>
      <w:r>
        <w:t xml:space="preserve"> and </w:t>
      </w:r>
      <w:r>
        <w:fldChar w:fldCharType="begin"/>
      </w:r>
      <w:r>
        <w:instrText xml:space="preserve"> REF _Ref95374632 \r \h </w:instrText>
      </w:r>
      <w:r>
        <w:fldChar w:fldCharType="separate"/>
      </w:r>
      <w:r w:rsidR="004163DD">
        <w:t>3.3</w:t>
      </w:r>
      <w:r>
        <w:fldChar w:fldCharType="end"/>
      </w:r>
      <w:r>
        <w:t>),</w:t>
      </w:r>
      <w:r w:rsidRPr="001B7CB2">
        <w:t xml:space="preserve"> </w:t>
      </w:r>
      <w:r>
        <w:t xml:space="preserve">and thus </w:t>
      </w:r>
      <w:r w:rsidR="005C139F">
        <w:t>does</w:t>
      </w:r>
      <w:r>
        <w:t xml:space="preserve"> </w:t>
      </w:r>
      <w:r w:rsidRPr="001B7CB2">
        <w:t>not reflect</w:t>
      </w:r>
      <w:r>
        <w:t xml:space="preserve"> the</w:t>
      </w:r>
      <w:r w:rsidRPr="001B7CB2">
        <w:t xml:space="preserve"> expected costs to the PBS </w:t>
      </w:r>
      <w:r>
        <w:t xml:space="preserve">once effective prices are applied. The other approach (which was the only approach presented in the pre-PBAC response) was </w:t>
      </w:r>
      <w:r w:rsidRPr="00470C24">
        <w:t xml:space="preserve">based on a simple multiplication of </w:t>
      </w:r>
      <w:r>
        <w:t xml:space="preserve">the estimated </w:t>
      </w:r>
      <w:r w:rsidRPr="00470C24">
        <w:t>number of patie</w:t>
      </w:r>
      <w:r>
        <w:t xml:space="preserve">nts and the net cost per patient. While the </w:t>
      </w:r>
      <w:r w:rsidR="005C139F">
        <w:t xml:space="preserve">estimates derived from the </w:t>
      </w:r>
      <w:r>
        <w:t xml:space="preserve">latter approach </w:t>
      </w:r>
      <w:r w:rsidR="005C139F">
        <w:t>were</w:t>
      </w:r>
      <w:r>
        <w:t xml:space="preserve"> more indicative </w:t>
      </w:r>
      <w:r w:rsidR="005C139F">
        <w:t>of the expected costs once effective prices are applied</w:t>
      </w:r>
      <w:r>
        <w:t xml:space="preserve"> (and </w:t>
      </w:r>
      <w:r w:rsidR="005C139F">
        <w:t>are</w:t>
      </w:r>
      <w:r>
        <w:t xml:space="preserve"> presented in </w:t>
      </w:r>
      <w:r w:rsidR="005C139F">
        <w:fldChar w:fldCharType="begin"/>
      </w:r>
      <w:r w:rsidR="005C139F">
        <w:instrText xml:space="preserve"> REF _Ref98487864 \h  \* MERGEFORMAT </w:instrText>
      </w:r>
      <w:r w:rsidR="005C139F">
        <w:fldChar w:fldCharType="separate"/>
      </w:r>
      <w:r w:rsidR="004163DD" w:rsidRPr="004163DD">
        <w:t>Table 16</w:t>
      </w:r>
      <w:r w:rsidR="005C139F">
        <w:fldChar w:fldCharType="end"/>
      </w:r>
      <w:r>
        <w:t xml:space="preserve">), </w:t>
      </w:r>
      <w:r w:rsidR="00FC7CC1">
        <w:t>they do</w:t>
      </w:r>
      <w:r>
        <w:t xml:space="preserve"> not account for factors such as: </w:t>
      </w:r>
      <w:r w:rsidRPr="00470C24">
        <w:t>part-treatment costs in grandfather patients</w:t>
      </w:r>
      <w:r>
        <w:t xml:space="preserve">; </w:t>
      </w:r>
      <w:r w:rsidRPr="00470C24">
        <w:t>offsets for chemotherapy</w:t>
      </w:r>
      <w:r>
        <w:t xml:space="preserve">; </w:t>
      </w:r>
      <w:r w:rsidR="00DA4C1E">
        <w:t xml:space="preserve">and </w:t>
      </w:r>
      <w:r w:rsidRPr="00470C24">
        <w:t>MBS costs.</w:t>
      </w:r>
      <w:r>
        <w:t xml:space="preserve"> The PBAC noted these issues would need to be addressed.</w:t>
      </w:r>
    </w:p>
    <w:p w14:paraId="2B9B1CF8" w14:textId="63D000F7" w:rsidR="00A00349" w:rsidRPr="00F53848" w:rsidRDefault="00A00349" w:rsidP="00A00349">
      <w:pPr>
        <w:pStyle w:val="ListParagraph"/>
        <w:widowControl/>
        <w:numPr>
          <w:ilvl w:val="1"/>
          <w:numId w:val="2"/>
        </w:numPr>
        <w:rPr>
          <w:color w:val="000000" w:themeColor="text1"/>
        </w:rPr>
      </w:pPr>
      <w:r>
        <w:fldChar w:fldCharType="begin"/>
      </w:r>
      <w:r>
        <w:instrText xml:space="preserve"> REF _Ref98487864 \h  \* MERGEFORMAT </w:instrText>
      </w:r>
      <w:r>
        <w:fldChar w:fldCharType="separate"/>
      </w:r>
      <w:r w:rsidR="004163DD" w:rsidRPr="004163DD">
        <w:t>Table 16</w:t>
      </w:r>
      <w:r>
        <w:fldChar w:fldCharType="end"/>
      </w:r>
      <w:r>
        <w:t xml:space="preserve"> </w:t>
      </w:r>
      <w:r w:rsidR="00470C24">
        <w:t xml:space="preserve">outlines </w:t>
      </w:r>
      <w:r w:rsidRPr="00F53848">
        <w:t xml:space="preserve">the </w:t>
      </w:r>
      <w:r w:rsidR="00470C24">
        <w:t xml:space="preserve">pre-PBAC response’s estimate of the </w:t>
      </w:r>
      <w:r w:rsidRPr="00F53848">
        <w:t xml:space="preserve">financial implications of listing pembrolizumab in combination with lenvatinib using </w:t>
      </w:r>
      <w:r w:rsidRPr="00F53848">
        <w:rPr>
          <w:color w:val="000000" w:themeColor="text1"/>
        </w:rPr>
        <w:t xml:space="preserve">the </w:t>
      </w:r>
      <w:r w:rsidR="00470C24">
        <w:rPr>
          <w:color w:val="000000" w:themeColor="text1"/>
        </w:rPr>
        <w:t>proposed</w:t>
      </w:r>
      <w:r w:rsidR="00470C24" w:rsidRPr="00F53848">
        <w:rPr>
          <w:color w:val="000000" w:themeColor="text1"/>
        </w:rPr>
        <w:t xml:space="preserve"> </w:t>
      </w:r>
      <w:r w:rsidRPr="00F53848">
        <w:rPr>
          <w:color w:val="000000" w:themeColor="text1"/>
        </w:rPr>
        <w:t>cost per patient of $</w:t>
      </w:r>
      <w:r w:rsidR="008B4550" w:rsidRPr="003E504A">
        <w:rPr>
          <w:color w:val="000000" w:themeColor="text1"/>
          <w:w w:val="15"/>
          <w:shd w:val="solid" w:color="000000" w:fill="000000"/>
          <w:fitText w:val="-20" w:id="-1500780791"/>
          <w14:textFill>
            <w14:solidFill>
              <w14:schemeClr w14:val="tx1">
                <w14:alpha w14:val="100000"/>
              </w14:schemeClr>
            </w14:solidFill>
          </w14:textFill>
        </w:rPr>
        <w:t xml:space="preserve">|  </w:t>
      </w:r>
      <w:r w:rsidR="008B4550" w:rsidRPr="003E504A">
        <w:rPr>
          <w:color w:val="000000" w:themeColor="text1"/>
          <w:spacing w:val="-69"/>
          <w:w w:val="15"/>
          <w:shd w:val="solid" w:color="000000" w:fill="000000"/>
          <w:fitText w:val="-20" w:id="-1500780791"/>
          <w14:textFill>
            <w14:solidFill>
              <w14:schemeClr w14:val="tx1">
                <w14:alpha w14:val="100000"/>
              </w14:schemeClr>
            </w14:solidFill>
          </w14:textFill>
        </w:rPr>
        <w:t>|</w:t>
      </w:r>
      <w:r w:rsidRPr="00F53848">
        <w:rPr>
          <w:color w:val="000000" w:themeColor="text1"/>
        </w:rPr>
        <w:t>.</w:t>
      </w:r>
      <w:r>
        <w:rPr>
          <w:color w:val="000000" w:themeColor="text1"/>
        </w:rPr>
        <w:t xml:space="preserve"> A</w:t>
      </w:r>
      <w:r w:rsidRPr="00F47BE7">
        <w:t xml:space="preserve"> number of changes to the financial estimates </w:t>
      </w:r>
      <w:r>
        <w:t>were</w:t>
      </w:r>
      <w:r w:rsidRPr="00F47BE7">
        <w:t xml:space="preserve"> proposed in the pre-PBAC response</w:t>
      </w:r>
      <w:r w:rsidR="005C139F">
        <w:t xml:space="preserve"> (outlined </w:t>
      </w:r>
      <w:r w:rsidR="005C139F" w:rsidRPr="005C139F">
        <w:t xml:space="preserve">in </w:t>
      </w:r>
      <w:r w:rsidR="005C139F" w:rsidRPr="005C139F">
        <w:fldChar w:fldCharType="begin"/>
      </w:r>
      <w:r w:rsidR="005C139F" w:rsidRPr="005C139F">
        <w:instrText xml:space="preserve"> REF _Ref89794381 \h  \* MERGEFORMAT </w:instrText>
      </w:r>
      <w:r w:rsidR="005C139F" w:rsidRPr="005C139F">
        <w:fldChar w:fldCharType="separate"/>
      </w:r>
      <w:r w:rsidR="004163DD" w:rsidRPr="004163DD">
        <w:t>Table 15</w:t>
      </w:r>
      <w:r w:rsidR="005C139F" w:rsidRPr="005C139F">
        <w:fldChar w:fldCharType="end"/>
      </w:r>
      <w:r w:rsidR="005C139F" w:rsidRPr="005C139F">
        <w:t xml:space="preserve"> above</w:t>
      </w:r>
      <w:r w:rsidR="005C139F">
        <w:t>)</w:t>
      </w:r>
      <w:r>
        <w:t xml:space="preserve">, however the resulting number of patients treated per year could not be replicated </w:t>
      </w:r>
      <w:r w:rsidR="005C139F">
        <w:t>(i.e. when the changes stated in the pre-PBAC response were applied to the worksheet submitted with the PSCR) and thus the pre-PBAC response estimates have not been verified</w:t>
      </w:r>
      <w:r>
        <w:t xml:space="preserve">. </w:t>
      </w:r>
    </w:p>
    <w:p w14:paraId="78B330E7" w14:textId="1201E00C" w:rsidR="00A00349" w:rsidRPr="00F53848" w:rsidRDefault="00A00349" w:rsidP="00A00349">
      <w:pPr>
        <w:keepNext/>
        <w:keepLines/>
        <w:rPr>
          <w:rStyle w:val="CommentReference"/>
        </w:rPr>
      </w:pPr>
      <w:bookmarkStart w:id="61" w:name="_Ref98487864"/>
      <w:r w:rsidRPr="00F53848">
        <w:rPr>
          <w:rStyle w:val="CommentReference"/>
        </w:rPr>
        <w:t xml:space="preserve">Table </w:t>
      </w:r>
      <w:r w:rsidRPr="00F53848">
        <w:rPr>
          <w:rStyle w:val="CommentReference"/>
        </w:rPr>
        <w:fldChar w:fldCharType="begin"/>
      </w:r>
      <w:r w:rsidRPr="00F53848">
        <w:rPr>
          <w:rStyle w:val="CommentReference"/>
        </w:rPr>
        <w:instrText xml:space="preserve"> SEQ Table \* MERGEFORMAT </w:instrText>
      </w:r>
      <w:r w:rsidRPr="00F53848">
        <w:rPr>
          <w:rStyle w:val="CommentReference"/>
        </w:rPr>
        <w:fldChar w:fldCharType="separate"/>
      </w:r>
      <w:r w:rsidR="004163DD">
        <w:rPr>
          <w:rStyle w:val="CommentReference"/>
          <w:noProof/>
        </w:rPr>
        <w:t>16</w:t>
      </w:r>
      <w:r w:rsidRPr="00F53848">
        <w:rPr>
          <w:rStyle w:val="CommentReference"/>
        </w:rPr>
        <w:fldChar w:fldCharType="end"/>
      </w:r>
      <w:bookmarkEnd w:id="61"/>
      <w:r w:rsidRPr="00F53848">
        <w:rPr>
          <w:rStyle w:val="CommentReference"/>
        </w:rPr>
        <w:t xml:space="preserve">: Indicative cost of listing </w:t>
      </w:r>
      <w:r>
        <w:rPr>
          <w:rStyle w:val="CommentReference"/>
        </w:rPr>
        <w:t>pembrolizumab + l</w:t>
      </w:r>
      <w:r w:rsidRPr="00F53848">
        <w:rPr>
          <w:rStyle w:val="CommentReference"/>
        </w:rPr>
        <w:t>envatinib</w:t>
      </w:r>
    </w:p>
    <w:tbl>
      <w:tblPr>
        <w:tblStyle w:val="TableGrid"/>
        <w:tblW w:w="5000" w:type="pct"/>
        <w:tblLayout w:type="fixed"/>
        <w:tblLook w:val="04A0" w:firstRow="1" w:lastRow="0" w:firstColumn="1" w:lastColumn="0" w:noHBand="0" w:noVBand="1"/>
      </w:tblPr>
      <w:tblGrid>
        <w:gridCol w:w="2122"/>
        <w:gridCol w:w="1149"/>
        <w:gridCol w:w="1149"/>
        <w:gridCol w:w="1149"/>
        <w:gridCol w:w="1149"/>
        <w:gridCol w:w="1149"/>
        <w:gridCol w:w="1150"/>
      </w:tblGrid>
      <w:tr w:rsidR="00A00349" w:rsidRPr="00452BC1" w14:paraId="6752ABFF" w14:textId="77777777" w:rsidTr="00CB2A26">
        <w:trPr>
          <w:trHeight w:val="227"/>
        </w:trPr>
        <w:tc>
          <w:tcPr>
            <w:tcW w:w="2122" w:type="dxa"/>
            <w:hideMark/>
          </w:tcPr>
          <w:p w14:paraId="0D6813D1" w14:textId="77777777" w:rsidR="00A00349" w:rsidRPr="00F270AB" w:rsidRDefault="00A00349" w:rsidP="00CB2A26">
            <w:pPr>
              <w:keepNext/>
              <w:keepLines/>
              <w:rPr>
                <w:rFonts w:ascii="Arial Narrow" w:hAnsi="Arial Narrow" w:cs="Times New Roman"/>
                <w:b/>
                <w:bCs/>
                <w:i/>
                <w:snapToGrid/>
                <w:sz w:val="20"/>
              </w:rPr>
            </w:pPr>
          </w:p>
        </w:tc>
        <w:tc>
          <w:tcPr>
            <w:tcW w:w="1149" w:type="dxa"/>
            <w:noWrap/>
            <w:hideMark/>
          </w:tcPr>
          <w:p w14:paraId="6CCD032D" w14:textId="77777777" w:rsidR="00A00349" w:rsidRPr="00206244" w:rsidRDefault="00A00349" w:rsidP="00CB2A26">
            <w:pPr>
              <w:keepNext/>
              <w:keepLines/>
              <w:jc w:val="center"/>
              <w:rPr>
                <w:rFonts w:ascii="Arial Narrow" w:hAnsi="Arial Narrow" w:cs="Times New Roman"/>
                <w:b/>
                <w:bCs/>
                <w:snapToGrid/>
                <w:sz w:val="20"/>
              </w:rPr>
            </w:pPr>
            <w:r>
              <w:rPr>
                <w:rFonts w:ascii="Arial Narrow" w:hAnsi="Arial Narrow" w:cs="Times New Roman"/>
                <w:b/>
                <w:bCs/>
                <w:snapToGrid/>
                <w:sz w:val="20"/>
              </w:rPr>
              <w:t>Year 1</w:t>
            </w:r>
          </w:p>
        </w:tc>
        <w:tc>
          <w:tcPr>
            <w:tcW w:w="1149" w:type="dxa"/>
            <w:noWrap/>
            <w:hideMark/>
          </w:tcPr>
          <w:p w14:paraId="0FFFD5C7" w14:textId="77777777" w:rsidR="00A00349" w:rsidRPr="00206244" w:rsidRDefault="00A00349" w:rsidP="00CB2A26">
            <w:pPr>
              <w:keepNext/>
              <w:keepLines/>
              <w:jc w:val="center"/>
              <w:rPr>
                <w:rFonts w:ascii="Arial Narrow" w:hAnsi="Arial Narrow" w:cs="Times New Roman"/>
                <w:b/>
                <w:bCs/>
                <w:snapToGrid/>
                <w:sz w:val="20"/>
              </w:rPr>
            </w:pPr>
            <w:r>
              <w:rPr>
                <w:rFonts w:ascii="Arial Narrow" w:hAnsi="Arial Narrow" w:cs="Times New Roman"/>
                <w:b/>
                <w:bCs/>
                <w:snapToGrid/>
                <w:sz w:val="20"/>
              </w:rPr>
              <w:t>Year 2</w:t>
            </w:r>
          </w:p>
        </w:tc>
        <w:tc>
          <w:tcPr>
            <w:tcW w:w="1149" w:type="dxa"/>
            <w:noWrap/>
            <w:hideMark/>
          </w:tcPr>
          <w:p w14:paraId="64B8F3A8" w14:textId="77777777" w:rsidR="00A00349" w:rsidRPr="00206244" w:rsidRDefault="00A00349" w:rsidP="00CB2A26">
            <w:pPr>
              <w:keepNext/>
              <w:keepLines/>
              <w:jc w:val="center"/>
              <w:rPr>
                <w:rFonts w:ascii="Arial Narrow" w:hAnsi="Arial Narrow" w:cs="Times New Roman"/>
                <w:b/>
                <w:bCs/>
                <w:snapToGrid/>
                <w:sz w:val="20"/>
              </w:rPr>
            </w:pPr>
            <w:r>
              <w:rPr>
                <w:rFonts w:ascii="Arial Narrow" w:hAnsi="Arial Narrow" w:cs="Times New Roman"/>
                <w:b/>
                <w:bCs/>
                <w:snapToGrid/>
                <w:sz w:val="20"/>
              </w:rPr>
              <w:t>Year 3</w:t>
            </w:r>
          </w:p>
        </w:tc>
        <w:tc>
          <w:tcPr>
            <w:tcW w:w="1149" w:type="dxa"/>
            <w:noWrap/>
            <w:hideMark/>
          </w:tcPr>
          <w:p w14:paraId="26684EFF" w14:textId="77777777" w:rsidR="00A00349" w:rsidRPr="00206244" w:rsidRDefault="00A00349" w:rsidP="00CB2A26">
            <w:pPr>
              <w:keepNext/>
              <w:keepLines/>
              <w:jc w:val="center"/>
              <w:rPr>
                <w:rFonts w:ascii="Arial Narrow" w:hAnsi="Arial Narrow" w:cs="Times New Roman"/>
                <w:b/>
                <w:bCs/>
                <w:snapToGrid/>
                <w:sz w:val="20"/>
              </w:rPr>
            </w:pPr>
            <w:r>
              <w:rPr>
                <w:rFonts w:ascii="Arial Narrow" w:hAnsi="Arial Narrow" w:cs="Times New Roman"/>
                <w:b/>
                <w:bCs/>
                <w:snapToGrid/>
                <w:sz w:val="20"/>
              </w:rPr>
              <w:t>Year 4</w:t>
            </w:r>
          </w:p>
        </w:tc>
        <w:tc>
          <w:tcPr>
            <w:tcW w:w="1149" w:type="dxa"/>
            <w:noWrap/>
            <w:hideMark/>
          </w:tcPr>
          <w:p w14:paraId="0AAB53BF" w14:textId="77777777" w:rsidR="00A00349" w:rsidRPr="00206244" w:rsidRDefault="00A00349" w:rsidP="00CB2A26">
            <w:pPr>
              <w:keepNext/>
              <w:keepLines/>
              <w:jc w:val="center"/>
              <w:rPr>
                <w:rFonts w:ascii="Arial Narrow" w:hAnsi="Arial Narrow" w:cs="Times New Roman"/>
                <w:b/>
                <w:bCs/>
                <w:snapToGrid/>
                <w:sz w:val="20"/>
              </w:rPr>
            </w:pPr>
            <w:r>
              <w:rPr>
                <w:rFonts w:ascii="Arial Narrow" w:hAnsi="Arial Narrow" w:cs="Times New Roman"/>
                <w:b/>
                <w:bCs/>
                <w:snapToGrid/>
                <w:sz w:val="20"/>
              </w:rPr>
              <w:t>Year 5</w:t>
            </w:r>
          </w:p>
        </w:tc>
        <w:tc>
          <w:tcPr>
            <w:tcW w:w="1150" w:type="dxa"/>
            <w:noWrap/>
            <w:hideMark/>
          </w:tcPr>
          <w:p w14:paraId="69B88852" w14:textId="77777777" w:rsidR="00A00349" w:rsidRPr="00206244" w:rsidRDefault="00A00349" w:rsidP="00CB2A26">
            <w:pPr>
              <w:keepNext/>
              <w:keepLines/>
              <w:jc w:val="center"/>
              <w:rPr>
                <w:rFonts w:ascii="Arial Narrow" w:hAnsi="Arial Narrow" w:cs="Times New Roman"/>
                <w:b/>
                <w:bCs/>
                <w:snapToGrid/>
                <w:sz w:val="20"/>
              </w:rPr>
            </w:pPr>
            <w:r>
              <w:rPr>
                <w:rFonts w:ascii="Arial Narrow" w:hAnsi="Arial Narrow" w:cs="Times New Roman"/>
                <w:b/>
                <w:bCs/>
                <w:snapToGrid/>
                <w:sz w:val="20"/>
              </w:rPr>
              <w:t>Year 6</w:t>
            </w:r>
          </w:p>
        </w:tc>
      </w:tr>
      <w:tr w:rsidR="00A00349" w:rsidRPr="006B541C" w14:paraId="4FABBC0D" w14:textId="77777777" w:rsidTr="00CB2A26">
        <w:trPr>
          <w:trHeight w:val="227"/>
        </w:trPr>
        <w:tc>
          <w:tcPr>
            <w:tcW w:w="9017" w:type="dxa"/>
            <w:gridSpan w:val="7"/>
            <w:noWrap/>
          </w:tcPr>
          <w:p w14:paraId="699D394A" w14:textId="626E4C41" w:rsidR="00A00349" w:rsidRPr="00C92270" w:rsidRDefault="00A00349" w:rsidP="00CB2A26">
            <w:pPr>
              <w:keepNext/>
              <w:keepLines/>
              <w:jc w:val="left"/>
              <w:rPr>
                <w:rFonts w:ascii="Arial Narrow" w:eastAsia="Calibri" w:hAnsi="Arial Narrow" w:cs="Times New Roman"/>
                <w:b/>
                <w:sz w:val="20"/>
                <w:szCs w:val="20"/>
              </w:rPr>
            </w:pPr>
            <w:r w:rsidRPr="00C92270">
              <w:rPr>
                <w:rFonts w:ascii="Arial Narrow" w:eastAsia="Calibri" w:hAnsi="Arial Narrow" w:cs="Times New Roman"/>
                <w:b/>
                <w:sz w:val="20"/>
                <w:szCs w:val="20"/>
              </w:rPr>
              <w:t>Net financial implications (</w:t>
            </w:r>
            <w:r w:rsidR="00FE4D29">
              <w:rPr>
                <w:rFonts w:ascii="Arial Narrow" w:eastAsia="Calibri" w:hAnsi="Arial Narrow" w:cs="Times New Roman"/>
                <w:b/>
                <w:sz w:val="20"/>
                <w:szCs w:val="20"/>
              </w:rPr>
              <w:t xml:space="preserve">stated in </w:t>
            </w:r>
            <w:r w:rsidRPr="00C92270">
              <w:rPr>
                <w:rFonts w:ascii="Arial Narrow" w:eastAsia="Calibri" w:hAnsi="Arial Narrow" w:cs="Times New Roman"/>
                <w:b/>
                <w:sz w:val="20"/>
                <w:szCs w:val="20"/>
              </w:rPr>
              <w:t>pre-PBAC response</w:t>
            </w:r>
            <w:r w:rsidR="00FE4D29">
              <w:rPr>
                <w:rFonts w:ascii="Arial Narrow" w:eastAsia="Calibri" w:hAnsi="Arial Narrow" w:cs="Times New Roman"/>
                <w:b/>
                <w:sz w:val="20"/>
                <w:szCs w:val="20"/>
              </w:rPr>
              <w:t>; not able to be replicated</w:t>
            </w:r>
            <w:r w:rsidRPr="00C92270">
              <w:rPr>
                <w:rFonts w:ascii="Arial Narrow" w:eastAsia="Calibri" w:hAnsi="Arial Narrow" w:cs="Times New Roman"/>
                <w:b/>
                <w:sz w:val="20"/>
                <w:szCs w:val="20"/>
              </w:rPr>
              <w:t>)</w:t>
            </w:r>
          </w:p>
        </w:tc>
      </w:tr>
      <w:tr w:rsidR="00A00349" w:rsidRPr="006B541C" w14:paraId="57E31DAE" w14:textId="77777777" w:rsidTr="00CB2A26">
        <w:trPr>
          <w:trHeight w:val="227"/>
        </w:trPr>
        <w:tc>
          <w:tcPr>
            <w:tcW w:w="2122" w:type="dxa"/>
            <w:noWrap/>
          </w:tcPr>
          <w:p w14:paraId="3CF1838C" w14:textId="1BFCC0EC" w:rsidR="00A00349" w:rsidRPr="00F270AB" w:rsidRDefault="00A00349" w:rsidP="00FE4D29">
            <w:pPr>
              <w:keepNext/>
              <w:keepLines/>
              <w:jc w:val="left"/>
              <w:rPr>
                <w:rFonts w:ascii="Arial Narrow" w:hAnsi="Arial Narrow" w:cs="Times New Roman"/>
                <w:snapToGrid/>
                <w:sz w:val="20"/>
                <w:szCs w:val="20"/>
              </w:rPr>
            </w:pPr>
            <w:r w:rsidRPr="00F270AB">
              <w:rPr>
                <w:rFonts w:ascii="Arial Narrow" w:hAnsi="Arial Narrow" w:cs="Times New Roman"/>
                <w:snapToGrid/>
                <w:sz w:val="20"/>
              </w:rPr>
              <w:t xml:space="preserve">Treated </w:t>
            </w:r>
            <w:r>
              <w:rPr>
                <w:rFonts w:ascii="Arial Narrow" w:hAnsi="Arial Narrow" w:cs="Times New Roman"/>
                <w:snapToGrid/>
                <w:sz w:val="20"/>
              </w:rPr>
              <w:t xml:space="preserve">initiating </w:t>
            </w:r>
            <w:r w:rsidRPr="00F270AB">
              <w:rPr>
                <w:rFonts w:ascii="Arial Narrow" w:hAnsi="Arial Narrow" w:cs="Times New Roman"/>
                <w:snapToGrid/>
                <w:sz w:val="20"/>
              </w:rPr>
              <w:t>patients</w:t>
            </w:r>
          </w:p>
        </w:tc>
        <w:tc>
          <w:tcPr>
            <w:tcW w:w="1149" w:type="dxa"/>
            <w:vAlign w:val="center"/>
          </w:tcPr>
          <w:p w14:paraId="18505CA4" w14:textId="6B384BCA" w:rsidR="00A00349" w:rsidRPr="00316815" w:rsidRDefault="008B4550" w:rsidP="00CB2A26">
            <w:pPr>
              <w:keepNext/>
              <w:keepLines/>
              <w:jc w:val="center"/>
              <w:rPr>
                <w:rFonts w:ascii="Arial Narrow" w:eastAsia="Calibri" w:hAnsi="Arial Narrow" w:cs="Times New Roman"/>
                <w:sz w:val="20"/>
                <w:szCs w:val="20"/>
                <w:highlight w:val="yellow"/>
                <w:vertAlign w:val="superscript"/>
              </w:rPr>
            </w:pPr>
            <w:r w:rsidRPr="008B4550">
              <w:rPr>
                <w:rFonts w:ascii="Arial Narrow" w:eastAsia="Calibri" w:hAnsi="Arial Narrow" w:cs="Times New Roman" w:hint="eastAsia"/>
                <w:color w:val="000000"/>
                <w:w w:val="24"/>
                <w:sz w:val="20"/>
                <w:szCs w:val="20"/>
                <w:shd w:val="solid" w:color="000000" w:fill="000000"/>
                <w:fitText w:val="108" w:id="-1500780790"/>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90"/>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90"/>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49" w:type="dxa"/>
            <w:vAlign w:val="center"/>
          </w:tcPr>
          <w:p w14:paraId="5DFEBDB1" w14:textId="61C6F544"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7" w:id="-1500780789"/>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7" w:id="-1500780789"/>
                <w14:textFill>
                  <w14:solidFill>
                    <w14:srgbClr w14:val="000000">
                      <w14:alpha w14:val="100000"/>
                    </w14:srgbClr>
                  </w14:solidFill>
                </w14:textFill>
              </w:rPr>
              <w:t>|</w:t>
            </w:r>
            <w:r w:rsidRPr="008B4550">
              <w:rPr>
                <w:rFonts w:ascii="Arial Narrow" w:eastAsia="Calibri" w:hAnsi="Arial Narrow" w:cs="Times New Roman" w:hint="eastAsia"/>
                <w:color w:val="000000"/>
                <w:spacing w:val="3"/>
                <w:w w:val="24"/>
                <w:sz w:val="20"/>
                <w:szCs w:val="20"/>
                <w:shd w:val="solid" w:color="000000" w:fill="000000"/>
                <w:fitText w:val="107" w:id="-1500780789"/>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49" w:type="dxa"/>
            <w:vAlign w:val="center"/>
          </w:tcPr>
          <w:p w14:paraId="10C01F66" w14:textId="4143DFF8"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88"/>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8"/>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8"/>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49" w:type="dxa"/>
            <w:vAlign w:val="center"/>
          </w:tcPr>
          <w:p w14:paraId="35813557" w14:textId="263FA3B4"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87"/>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7"/>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7"/>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49" w:type="dxa"/>
            <w:vAlign w:val="center"/>
          </w:tcPr>
          <w:p w14:paraId="38E827AB" w14:textId="331CD285"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86"/>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6"/>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6"/>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50" w:type="dxa"/>
            <w:noWrap/>
            <w:vAlign w:val="center"/>
          </w:tcPr>
          <w:p w14:paraId="3D469586" w14:textId="63C76E3D"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85"/>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5"/>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5"/>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r>
      <w:tr w:rsidR="00A00349" w:rsidRPr="006B541C" w14:paraId="54A7F303" w14:textId="77777777" w:rsidTr="00CB2A26">
        <w:trPr>
          <w:trHeight w:val="227"/>
        </w:trPr>
        <w:tc>
          <w:tcPr>
            <w:tcW w:w="2122" w:type="dxa"/>
            <w:noWrap/>
          </w:tcPr>
          <w:p w14:paraId="4DF0D678" w14:textId="3D9016C7" w:rsidR="00A00349" w:rsidRPr="005169DD" w:rsidRDefault="00A00349" w:rsidP="00024476">
            <w:pPr>
              <w:keepNext/>
              <w:keepLines/>
              <w:jc w:val="left"/>
              <w:rPr>
                <w:rFonts w:ascii="Arial Narrow" w:hAnsi="Arial Narrow" w:cs="Times New Roman"/>
                <w:snapToGrid/>
                <w:sz w:val="20"/>
                <w:szCs w:val="20"/>
                <w:vertAlign w:val="superscript"/>
              </w:rPr>
            </w:pPr>
            <w:r w:rsidRPr="00206244">
              <w:rPr>
                <w:rFonts w:ascii="Arial Narrow" w:eastAsia="Calibri" w:hAnsi="Arial Narrow" w:cs="Times New Roman"/>
                <w:sz w:val="20"/>
                <w:szCs w:val="20"/>
              </w:rPr>
              <w:t>Net cost to PBS/RPBS</w:t>
            </w:r>
            <w:r>
              <w:rPr>
                <w:rFonts w:ascii="Arial Narrow" w:eastAsia="Calibri" w:hAnsi="Arial Narrow" w:cs="Times New Roman"/>
                <w:sz w:val="20"/>
                <w:szCs w:val="20"/>
              </w:rPr>
              <w:t xml:space="preserve"> </w:t>
            </w:r>
            <w:r w:rsidR="00545EED">
              <w:rPr>
                <w:rFonts w:ascii="Arial Narrow" w:eastAsia="Calibri" w:hAnsi="Arial Narrow" w:cs="Times New Roman"/>
                <w:sz w:val="20"/>
                <w:szCs w:val="20"/>
              </w:rPr>
              <w:t xml:space="preserve"> ($)</w:t>
            </w:r>
          </w:p>
        </w:tc>
        <w:tc>
          <w:tcPr>
            <w:tcW w:w="1149" w:type="dxa"/>
            <w:vAlign w:val="center"/>
          </w:tcPr>
          <w:p w14:paraId="2B609D8D" w14:textId="4A5583B5" w:rsidR="00A00349" w:rsidRPr="00316815" w:rsidRDefault="008B4550" w:rsidP="00CB2A26">
            <w:pPr>
              <w:keepNext/>
              <w:keepLines/>
              <w:jc w:val="center"/>
              <w:rPr>
                <w:rFonts w:ascii="Arial Narrow" w:eastAsia="Calibri" w:hAnsi="Arial Narrow" w:cs="Times New Roman"/>
                <w:sz w:val="20"/>
                <w:szCs w:val="20"/>
                <w:highlight w:val="yellow"/>
                <w:vertAlign w:val="superscript"/>
              </w:rPr>
            </w:pPr>
            <w:r w:rsidRPr="008B4550">
              <w:rPr>
                <w:rFonts w:ascii="Arial Narrow" w:eastAsia="Calibri" w:hAnsi="Arial Narrow" w:cs="Times New Roman" w:hint="eastAsia"/>
                <w:color w:val="000000"/>
                <w:w w:val="24"/>
                <w:sz w:val="20"/>
                <w:szCs w:val="20"/>
                <w:shd w:val="solid" w:color="000000" w:fill="000000"/>
                <w:fitText w:val="108" w:id="-1500780784"/>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4"/>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4"/>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2</w:t>
            </w:r>
          </w:p>
        </w:tc>
        <w:tc>
          <w:tcPr>
            <w:tcW w:w="1149" w:type="dxa"/>
            <w:vAlign w:val="center"/>
          </w:tcPr>
          <w:p w14:paraId="3488E98A" w14:textId="285F73A2"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7" w:id="-1500780800"/>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7" w:id="-1500780800"/>
                <w14:textFill>
                  <w14:solidFill>
                    <w14:srgbClr w14:val="000000">
                      <w14:alpha w14:val="100000"/>
                    </w14:srgbClr>
                  </w14:solidFill>
                </w14:textFill>
              </w:rPr>
              <w:t>|</w:t>
            </w:r>
            <w:r w:rsidRPr="008B4550">
              <w:rPr>
                <w:rFonts w:ascii="Arial Narrow" w:eastAsia="Calibri" w:hAnsi="Arial Narrow" w:cs="Times New Roman" w:hint="eastAsia"/>
                <w:color w:val="000000"/>
                <w:spacing w:val="3"/>
                <w:w w:val="24"/>
                <w:sz w:val="20"/>
                <w:szCs w:val="20"/>
                <w:shd w:val="solid" w:color="000000" w:fill="000000"/>
                <w:fitText w:val="107" w:id="-1500780800"/>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2</w:t>
            </w:r>
          </w:p>
        </w:tc>
        <w:tc>
          <w:tcPr>
            <w:tcW w:w="1149" w:type="dxa"/>
            <w:vAlign w:val="center"/>
          </w:tcPr>
          <w:p w14:paraId="03741945" w14:textId="155F216D"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99"/>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99"/>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99"/>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2</w:t>
            </w:r>
          </w:p>
        </w:tc>
        <w:tc>
          <w:tcPr>
            <w:tcW w:w="1149" w:type="dxa"/>
            <w:vAlign w:val="center"/>
          </w:tcPr>
          <w:p w14:paraId="17FA2025" w14:textId="0FA6B62F"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98"/>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98"/>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98"/>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2</w:t>
            </w:r>
          </w:p>
        </w:tc>
        <w:tc>
          <w:tcPr>
            <w:tcW w:w="1149" w:type="dxa"/>
            <w:vAlign w:val="center"/>
          </w:tcPr>
          <w:p w14:paraId="71AFE821" w14:textId="6020A1D3"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97"/>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97"/>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97"/>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2</w:t>
            </w:r>
          </w:p>
        </w:tc>
        <w:tc>
          <w:tcPr>
            <w:tcW w:w="1150" w:type="dxa"/>
            <w:noWrap/>
            <w:vAlign w:val="center"/>
          </w:tcPr>
          <w:p w14:paraId="04693F24" w14:textId="0BCE87AB"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96"/>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96"/>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96"/>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2</w:t>
            </w:r>
          </w:p>
        </w:tc>
      </w:tr>
      <w:tr w:rsidR="00A00349" w:rsidRPr="006B541C" w14:paraId="4F507329" w14:textId="77777777" w:rsidTr="00CB2A26">
        <w:trPr>
          <w:trHeight w:val="227"/>
        </w:trPr>
        <w:tc>
          <w:tcPr>
            <w:tcW w:w="9017" w:type="dxa"/>
            <w:gridSpan w:val="7"/>
            <w:shd w:val="clear" w:color="auto" w:fill="DBE5F1" w:themeFill="accent1" w:themeFillTint="33"/>
            <w:noWrap/>
          </w:tcPr>
          <w:p w14:paraId="613F2A8E" w14:textId="77777777" w:rsidR="00A00349" w:rsidRPr="00206244" w:rsidRDefault="00A00349" w:rsidP="00CB2A26">
            <w:pPr>
              <w:keepNext/>
              <w:keepLines/>
              <w:jc w:val="left"/>
              <w:rPr>
                <w:rFonts w:ascii="Arial Narrow" w:eastAsia="Calibri" w:hAnsi="Arial Narrow" w:cs="Times New Roman"/>
                <w:b/>
                <w:sz w:val="20"/>
                <w:szCs w:val="20"/>
              </w:rPr>
            </w:pPr>
            <w:r w:rsidRPr="00206244">
              <w:rPr>
                <w:rFonts w:ascii="Arial Narrow" w:eastAsia="Calibri" w:hAnsi="Arial Narrow" w:cs="Times New Roman"/>
                <w:b/>
                <w:sz w:val="20"/>
                <w:szCs w:val="20"/>
              </w:rPr>
              <w:t>PSCR</w:t>
            </w:r>
          </w:p>
        </w:tc>
      </w:tr>
      <w:tr w:rsidR="00A00349" w:rsidRPr="006B541C" w14:paraId="66E315B8" w14:textId="77777777" w:rsidTr="00CB2A26">
        <w:trPr>
          <w:trHeight w:val="227"/>
        </w:trPr>
        <w:tc>
          <w:tcPr>
            <w:tcW w:w="2122" w:type="dxa"/>
            <w:shd w:val="clear" w:color="auto" w:fill="DBE5F1" w:themeFill="accent1" w:themeFillTint="33"/>
            <w:noWrap/>
          </w:tcPr>
          <w:p w14:paraId="5C5EC31C" w14:textId="77777777" w:rsidR="00A00349" w:rsidRPr="00F270AB" w:rsidRDefault="00A00349" w:rsidP="00CB2A26">
            <w:pPr>
              <w:keepNext/>
              <w:keepLines/>
              <w:jc w:val="left"/>
              <w:rPr>
                <w:rFonts w:ascii="Arial Narrow" w:hAnsi="Arial Narrow" w:cs="Times New Roman"/>
                <w:snapToGrid/>
                <w:sz w:val="20"/>
                <w:szCs w:val="20"/>
              </w:rPr>
            </w:pPr>
            <w:r w:rsidRPr="00C92270">
              <w:rPr>
                <w:rFonts w:ascii="Arial Narrow" w:hAnsi="Arial Narrow" w:cs="Times New Roman"/>
                <w:snapToGrid/>
                <w:sz w:val="20"/>
              </w:rPr>
              <w:t>Treated patients</w:t>
            </w:r>
          </w:p>
        </w:tc>
        <w:tc>
          <w:tcPr>
            <w:tcW w:w="1149" w:type="dxa"/>
            <w:shd w:val="clear" w:color="auto" w:fill="DBE5F1" w:themeFill="accent1" w:themeFillTint="33"/>
            <w:vAlign w:val="bottom"/>
          </w:tcPr>
          <w:p w14:paraId="3A6FF37F" w14:textId="0755E358"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hAnsi="Arial Narrow" w:cs="Times New Roman" w:hint="eastAsia"/>
                <w:iCs/>
                <w:snapToGrid/>
                <w:color w:val="000000"/>
                <w:w w:val="24"/>
                <w:sz w:val="20"/>
                <w:shd w:val="solid" w:color="000000" w:fill="000000"/>
                <w:fitText w:val="108" w:id="-1500780795"/>
                <w14:textFill>
                  <w14:solidFill>
                    <w14:srgbClr w14:val="000000">
                      <w14:alpha w14:val="100000"/>
                    </w14:srgbClr>
                  </w14:solidFill>
                </w14:textFill>
              </w:rPr>
              <w:t xml:space="preserve">　</w:t>
            </w:r>
            <w:r w:rsidRPr="008B4550">
              <w:rPr>
                <w:rFonts w:ascii="Arial Narrow" w:hAnsi="Arial Narrow" w:cs="Times New Roman"/>
                <w:iCs/>
                <w:snapToGrid/>
                <w:color w:val="000000"/>
                <w:w w:val="24"/>
                <w:sz w:val="20"/>
                <w:shd w:val="solid" w:color="000000" w:fill="000000"/>
                <w:fitText w:val="108" w:id="-1500780795"/>
                <w14:textFill>
                  <w14:solidFill>
                    <w14:srgbClr w14:val="000000">
                      <w14:alpha w14:val="100000"/>
                    </w14:srgbClr>
                  </w14:solidFill>
                </w14:textFill>
              </w:rPr>
              <w:t>|</w:t>
            </w:r>
            <w:r w:rsidRPr="008B4550">
              <w:rPr>
                <w:rFonts w:ascii="Arial Narrow" w:hAnsi="Arial Narrow" w:cs="Times New Roman" w:hint="eastAsia"/>
                <w:iCs/>
                <w:snapToGrid/>
                <w:color w:val="000000"/>
                <w:spacing w:val="4"/>
                <w:w w:val="24"/>
                <w:sz w:val="20"/>
                <w:shd w:val="solid" w:color="000000" w:fill="000000"/>
                <w:fitText w:val="108" w:id="-1500780795"/>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49" w:type="dxa"/>
            <w:shd w:val="clear" w:color="auto" w:fill="DBE5F1" w:themeFill="accent1" w:themeFillTint="33"/>
            <w:vAlign w:val="bottom"/>
          </w:tcPr>
          <w:p w14:paraId="73DD1F4F" w14:textId="2904A3C4"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hAnsi="Arial Narrow" w:cs="Times New Roman" w:hint="eastAsia"/>
                <w:snapToGrid/>
                <w:color w:val="000000"/>
                <w:w w:val="24"/>
                <w:sz w:val="20"/>
                <w:shd w:val="solid" w:color="000000" w:fill="000000"/>
                <w:fitText w:val="107" w:id="-1500780794"/>
                <w14:textFill>
                  <w14:solidFill>
                    <w14:srgbClr w14:val="000000">
                      <w14:alpha w14:val="100000"/>
                    </w14:srgbClr>
                  </w14:solidFill>
                </w14:textFill>
              </w:rPr>
              <w:t xml:space="preserve">　</w:t>
            </w:r>
            <w:r w:rsidRPr="008B4550">
              <w:rPr>
                <w:rFonts w:ascii="Arial Narrow" w:hAnsi="Arial Narrow" w:cs="Times New Roman"/>
                <w:snapToGrid/>
                <w:color w:val="000000"/>
                <w:w w:val="24"/>
                <w:sz w:val="20"/>
                <w:shd w:val="solid" w:color="000000" w:fill="000000"/>
                <w:fitText w:val="107" w:id="-1500780794"/>
                <w14:textFill>
                  <w14:solidFill>
                    <w14:srgbClr w14:val="000000">
                      <w14:alpha w14:val="100000"/>
                    </w14:srgbClr>
                  </w14:solidFill>
                </w14:textFill>
              </w:rPr>
              <w:t>|</w:t>
            </w:r>
            <w:r w:rsidRPr="008B4550">
              <w:rPr>
                <w:rFonts w:ascii="Arial Narrow" w:hAnsi="Arial Narrow" w:cs="Times New Roman" w:hint="eastAsia"/>
                <w:snapToGrid/>
                <w:color w:val="000000"/>
                <w:spacing w:val="3"/>
                <w:w w:val="24"/>
                <w:sz w:val="20"/>
                <w:shd w:val="solid" w:color="000000" w:fill="000000"/>
                <w:fitText w:val="107" w:id="-1500780794"/>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49" w:type="dxa"/>
            <w:shd w:val="clear" w:color="auto" w:fill="DBE5F1" w:themeFill="accent1" w:themeFillTint="33"/>
            <w:vAlign w:val="bottom"/>
          </w:tcPr>
          <w:p w14:paraId="0507012E" w14:textId="3CF1416E"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hAnsi="Arial Narrow" w:cs="Times New Roman" w:hint="eastAsia"/>
                <w:snapToGrid/>
                <w:color w:val="000000"/>
                <w:w w:val="24"/>
                <w:sz w:val="20"/>
                <w:shd w:val="solid" w:color="000000" w:fill="000000"/>
                <w:fitText w:val="108" w:id="-1500780793"/>
                <w14:textFill>
                  <w14:solidFill>
                    <w14:srgbClr w14:val="000000">
                      <w14:alpha w14:val="100000"/>
                    </w14:srgbClr>
                  </w14:solidFill>
                </w14:textFill>
              </w:rPr>
              <w:t xml:space="preserve">　</w:t>
            </w:r>
            <w:r w:rsidRPr="008B4550">
              <w:rPr>
                <w:rFonts w:ascii="Arial Narrow" w:hAnsi="Arial Narrow" w:cs="Times New Roman"/>
                <w:snapToGrid/>
                <w:color w:val="000000"/>
                <w:w w:val="24"/>
                <w:sz w:val="20"/>
                <w:shd w:val="solid" w:color="000000" w:fill="000000"/>
                <w:fitText w:val="108" w:id="-1500780793"/>
                <w14:textFill>
                  <w14:solidFill>
                    <w14:srgbClr w14:val="000000">
                      <w14:alpha w14:val="100000"/>
                    </w14:srgbClr>
                  </w14:solidFill>
                </w14:textFill>
              </w:rPr>
              <w:t>|</w:t>
            </w:r>
            <w:r w:rsidRPr="008B4550">
              <w:rPr>
                <w:rFonts w:ascii="Arial Narrow" w:hAnsi="Arial Narrow" w:cs="Times New Roman" w:hint="eastAsia"/>
                <w:snapToGrid/>
                <w:color w:val="000000"/>
                <w:spacing w:val="4"/>
                <w:w w:val="24"/>
                <w:sz w:val="20"/>
                <w:shd w:val="solid" w:color="000000" w:fill="000000"/>
                <w:fitText w:val="108" w:id="-1500780793"/>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49" w:type="dxa"/>
            <w:shd w:val="clear" w:color="auto" w:fill="DBE5F1" w:themeFill="accent1" w:themeFillTint="33"/>
            <w:vAlign w:val="bottom"/>
          </w:tcPr>
          <w:p w14:paraId="78C4EF57" w14:textId="580D8036"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hAnsi="Arial Narrow" w:cs="Times New Roman" w:hint="eastAsia"/>
                <w:snapToGrid/>
                <w:color w:val="000000"/>
                <w:w w:val="24"/>
                <w:sz w:val="20"/>
                <w:shd w:val="solid" w:color="000000" w:fill="000000"/>
                <w:fitText w:val="108" w:id="-1500780792"/>
                <w14:textFill>
                  <w14:solidFill>
                    <w14:srgbClr w14:val="000000">
                      <w14:alpha w14:val="100000"/>
                    </w14:srgbClr>
                  </w14:solidFill>
                </w14:textFill>
              </w:rPr>
              <w:t xml:space="preserve">　</w:t>
            </w:r>
            <w:r w:rsidRPr="008B4550">
              <w:rPr>
                <w:rFonts w:ascii="Arial Narrow" w:hAnsi="Arial Narrow" w:cs="Times New Roman"/>
                <w:snapToGrid/>
                <w:color w:val="000000"/>
                <w:w w:val="24"/>
                <w:sz w:val="20"/>
                <w:shd w:val="solid" w:color="000000" w:fill="000000"/>
                <w:fitText w:val="108" w:id="-1500780792"/>
                <w14:textFill>
                  <w14:solidFill>
                    <w14:srgbClr w14:val="000000">
                      <w14:alpha w14:val="100000"/>
                    </w14:srgbClr>
                  </w14:solidFill>
                </w14:textFill>
              </w:rPr>
              <w:t>|</w:t>
            </w:r>
            <w:r w:rsidRPr="008B4550">
              <w:rPr>
                <w:rFonts w:ascii="Arial Narrow" w:hAnsi="Arial Narrow" w:cs="Times New Roman" w:hint="eastAsia"/>
                <w:snapToGrid/>
                <w:color w:val="000000"/>
                <w:spacing w:val="4"/>
                <w:w w:val="24"/>
                <w:sz w:val="20"/>
                <w:shd w:val="solid" w:color="000000" w:fill="000000"/>
                <w:fitText w:val="108" w:id="-1500780792"/>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49" w:type="dxa"/>
            <w:shd w:val="clear" w:color="auto" w:fill="DBE5F1" w:themeFill="accent1" w:themeFillTint="33"/>
            <w:vAlign w:val="bottom"/>
          </w:tcPr>
          <w:p w14:paraId="361ECE33" w14:textId="361BFC6B"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hAnsi="Arial Narrow" w:cs="Times New Roman" w:hint="eastAsia"/>
                <w:snapToGrid/>
                <w:color w:val="000000"/>
                <w:w w:val="24"/>
                <w:sz w:val="20"/>
                <w:shd w:val="solid" w:color="000000" w:fill="000000"/>
                <w:fitText w:val="108" w:id="-1500780791"/>
                <w14:textFill>
                  <w14:solidFill>
                    <w14:srgbClr w14:val="000000">
                      <w14:alpha w14:val="100000"/>
                    </w14:srgbClr>
                  </w14:solidFill>
                </w14:textFill>
              </w:rPr>
              <w:t xml:space="preserve">　</w:t>
            </w:r>
            <w:r w:rsidRPr="008B4550">
              <w:rPr>
                <w:rFonts w:ascii="Arial Narrow" w:hAnsi="Arial Narrow" w:cs="Times New Roman"/>
                <w:snapToGrid/>
                <w:color w:val="000000"/>
                <w:w w:val="24"/>
                <w:sz w:val="20"/>
                <w:shd w:val="solid" w:color="000000" w:fill="000000"/>
                <w:fitText w:val="108" w:id="-1500780791"/>
                <w14:textFill>
                  <w14:solidFill>
                    <w14:srgbClr w14:val="000000">
                      <w14:alpha w14:val="100000"/>
                    </w14:srgbClr>
                  </w14:solidFill>
                </w14:textFill>
              </w:rPr>
              <w:t>|</w:t>
            </w:r>
            <w:r w:rsidRPr="008B4550">
              <w:rPr>
                <w:rFonts w:ascii="Arial Narrow" w:hAnsi="Arial Narrow" w:cs="Times New Roman" w:hint="eastAsia"/>
                <w:snapToGrid/>
                <w:color w:val="000000"/>
                <w:spacing w:val="4"/>
                <w:w w:val="24"/>
                <w:sz w:val="20"/>
                <w:shd w:val="solid" w:color="000000" w:fill="000000"/>
                <w:fitText w:val="108" w:id="-1500780791"/>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c>
          <w:tcPr>
            <w:tcW w:w="1150" w:type="dxa"/>
            <w:shd w:val="clear" w:color="auto" w:fill="DBE5F1" w:themeFill="accent1" w:themeFillTint="33"/>
            <w:noWrap/>
            <w:vAlign w:val="bottom"/>
          </w:tcPr>
          <w:p w14:paraId="56D93C17" w14:textId="6E15327A"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hAnsi="Arial Narrow" w:cs="Times New Roman" w:hint="eastAsia"/>
                <w:snapToGrid/>
                <w:color w:val="000000"/>
                <w:w w:val="24"/>
                <w:sz w:val="20"/>
                <w:shd w:val="solid" w:color="000000" w:fill="000000"/>
                <w:fitText w:val="108" w:id="-1500780790"/>
                <w14:textFill>
                  <w14:solidFill>
                    <w14:srgbClr w14:val="000000">
                      <w14:alpha w14:val="100000"/>
                    </w14:srgbClr>
                  </w14:solidFill>
                </w14:textFill>
              </w:rPr>
              <w:t xml:space="preserve">　</w:t>
            </w:r>
            <w:r w:rsidRPr="008B4550">
              <w:rPr>
                <w:rFonts w:ascii="Arial Narrow" w:hAnsi="Arial Narrow" w:cs="Times New Roman"/>
                <w:snapToGrid/>
                <w:color w:val="000000"/>
                <w:w w:val="24"/>
                <w:sz w:val="20"/>
                <w:shd w:val="solid" w:color="000000" w:fill="000000"/>
                <w:fitText w:val="108" w:id="-1500780790"/>
                <w14:textFill>
                  <w14:solidFill>
                    <w14:srgbClr w14:val="000000">
                      <w14:alpha w14:val="100000"/>
                    </w14:srgbClr>
                  </w14:solidFill>
                </w14:textFill>
              </w:rPr>
              <w:t>|</w:t>
            </w:r>
            <w:r w:rsidRPr="008B4550">
              <w:rPr>
                <w:rFonts w:ascii="Arial Narrow" w:hAnsi="Arial Narrow" w:cs="Times New Roman" w:hint="eastAsia"/>
                <w:snapToGrid/>
                <w:color w:val="000000"/>
                <w:spacing w:val="4"/>
                <w:w w:val="24"/>
                <w:sz w:val="20"/>
                <w:shd w:val="solid" w:color="000000" w:fill="000000"/>
                <w:fitText w:val="108" w:id="-1500780790"/>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1</w:t>
            </w:r>
          </w:p>
        </w:tc>
      </w:tr>
      <w:tr w:rsidR="00A00349" w:rsidRPr="006B541C" w14:paraId="00F5F670" w14:textId="77777777" w:rsidTr="00CB2A26">
        <w:trPr>
          <w:trHeight w:val="227"/>
        </w:trPr>
        <w:tc>
          <w:tcPr>
            <w:tcW w:w="2122" w:type="dxa"/>
            <w:shd w:val="clear" w:color="auto" w:fill="DBE5F1" w:themeFill="accent1" w:themeFillTint="33"/>
            <w:noWrap/>
          </w:tcPr>
          <w:p w14:paraId="30C52C1B" w14:textId="5CC42195" w:rsidR="00A00349" w:rsidRPr="00F270AB" w:rsidRDefault="00A00349" w:rsidP="00CB2A26">
            <w:pPr>
              <w:keepNext/>
              <w:keepLines/>
              <w:jc w:val="left"/>
              <w:rPr>
                <w:rFonts w:ascii="Arial Narrow" w:hAnsi="Arial Narrow" w:cs="Times New Roman"/>
                <w:snapToGrid/>
                <w:sz w:val="20"/>
                <w:szCs w:val="20"/>
              </w:rPr>
            </w:pPr>
            <w:r w:rsidRPr="00C92270">
              <w:rPr>
                <w:rFonts w:ascii="Arial Narrow" w:hAnsi="Arial Narrow" w:cs="Times New Roman"/>
                <w:snapToGrid/>
                <w:sz w:val="20"/>
                <w:szCs w:val="20"/>
              </w:rPr>
              <w:t>Net cost to PBS/RPBS</w:t>
            </w:r>
            <w:r w:rsidR="00545EED">
              <w:rPr>
                <w:rFonts w:ascii="Arial Narrow" w:hAnsi="Arial Narrow" w:cs="Times New Roman"/>
                <w:snapToGrid/>
                <w:sz w:val="20"/>
                <w:szCs w:val="20"/>
              </w:rPr>
              <w:t xml:space="preserve"> ($)</w:t>
            </w:r>
          </w:p>
        </w:tc>
        <w:tc>
          <w:tcPr>
            <w:tcW w:w="1149" w:type="dxa"/>
            <w:shd w:val="clear" w:color="auto" w:fill="DBE5F1" w:themeFill="accent1" w:themeFillTint="33"/>
          </w:tcPr>
          <w:p w14:paraId="1739CFBE" w14:textId="0989169A" w:rsidR="00A00349" w:rsidRPr="00316815" w:rsidRDefault="008B4550" w:rsidP="00CB2A26">
            <w:pPr>
              <w:keepNext/>
              <w:keepLines/>
              <w:jc w:val="center"/>
              <w:rPr>
                <w:rFonts w:ascii="Arial Narrow" w:eastAsia="Calibri" w:hAnsi="Arial Narrow" w:cs="Times New Roman"/>
                <w:sz w:val="20"/>
                <w:szCs w:val="20"/>
                <w:highlight w:val="yellow"/>
                <w:vertAlign w:val="superscript"/>
              </w:rPr>
            </w:pPr>
            <w:r w:rsidRPr="008B4550">
              <w:rPr>
                <w:rFonts w:ascii="Arial Narrow" w:eastAsia="Calibri" w:hAnsi="Arial Narrow" w:cs="Times New Roman" w:hint="eastAsia"/>
                <w:color w:val="000000"/>
                <w:w w:val="24"/>
                <w:sz w:val="20"/>
                <w:szCs w:val="20"/>
                <w:shd w:val="solid" w:color="000000" w:fill="000000"/>
                <w:fitText w:val="108" w:id="-1500780789"/>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9"/>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9"/>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3</w:t>
            </w:r>
          </w:p>
        </w:tc>
        <w:tc>
          <w:tcPr>
            <w:tcW w:w="1149" w:type="dxa"/>
            <w:shd w:val="clear" w:color="auto" w:fill="DBE5F1" w:themeFill="accent1" w:themeFillTint="33"/>
          </w:tcPr>
          <w:p w14:paraId="1FE36DE3" w14:textId="67E9B719"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7" w:id="-1500780788"/>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7" w:id="-1500780788"/>
                <w14:textFill>
                  <w14:solidFill>
                    <w14:srgbClr w14:val="000000">
                      <w14:alpha w14:val="100000"/>
                    </w14:srgbClr>
                  </w14:solidFill>
                </w14:textFill>
              </w:rPr>
              <w:t>|</w:t>
            </w:r>
            <w:r w:rsidRPr="008B4550">
              <w:rPr>
                <w:rFonts w:ascii="Arial Narrow" w:eastAsia="Calibri" w:hAnsi="Arial Narrow" w:cs="Times New Roman" w:hint="eastAsia"/>
                <w:color w:val="000000"/>
                <w:spacing w:val="3"/>
                <w:w w:val="24"/>
                <w:sz w:val="20"/>
                <w:szCs w:val="20"/>
                <w:shd w:val="solid" w:color="000000" w:fill="000000"/>
                <w:fitText w:val="107" w:id="-1500780788"/>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3</w:t>
            </w:r>
          </w:p>
        </w:tc>
        <w:tc>
          <w:tcPr>
            <w:tcW w:w="1149" w:type="dxa"/>
            <w:shd w:val="clear" w:color="auto" w:fill="DBE5F1" w:themeFill="accent1" w:themeFillTint="33"/>
          </w:tcPr>
          <w:p w14:paraId="72FB6A57" w14:textId="4C846015"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87"/>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7"/>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7"/>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3</w:t>
            </w:r>
          </w:p>
        </w:tc>
        <w:tc>
          <w:tcPr>
            <w:tcW w:w="1149" w:type="dxa"/>
            <w:shd w:val="clear" w:color="auto" w:fill="DBE5F1" w:themeFill="accent1" w:themeFillTint="33"/>
          </w:tcPr>
          <w:p w14:paraId="322B7362" w14:textId="1CC9C1A4"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86"/>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6"/>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6"/>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3</w:t>
            </w:r>
          </w:p>
        </w:tc>
        <w:tc>
          <w:tcPr>
            <w:tcW w:w="1149" w:type="dxa"/>
            <w:shd w:val="clear" w:color="auto" w:fill="DBE5F1" w:themeFill="accent1" w:themeFillTint="33"/>
          </w:tcPr>
          <w:p w14:paraId="47F6401B" w14:textId="0A79999D"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85"/>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5"/>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5"/>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3</w:t>
            </w:r>
          </w:p>
        </w:tc>
        <w:tc>
          <w:tcPr>
            <w:tcW w:w="1150" w:type="dxa"/>
            <w:shd w:val="clear" w:color="auto" w:fill="DBE5F1" w:themeFill="accent1" w:themeFillTint="33"/>
            <w:noWrap/>
          </w:tcPr>
          <w:p w14:paraId="4D062CEA" w14:textId="68D87C0F" w:rsidR="00A00349" w:rsidRPr="00545EED" w:rsidRDefault="008B4550" w:rsidP="00CB2A26">
            <w:pPr>
              <w:keepNext/>
              <w:keepLines/>
              <w:jc w:val="center"/>
              <w:rPr>
                <w:rFonts w:ascii="Arial Narrow" w:eastAsia="Calibri" w:hAnsi="Arial Narrow" w:cs="Times New Roman"/>
                <w:sz w:val="20"/>
                <w:szCs w:val="20"/>
                <w:highlight w:val="yellow"/>
              </w:rPr>
            </w:pPr>
            <w:r w:rsidRPr="008B4550">
              <w:rPr>
                <w:rFonts w:ascii="Arial Narrow" w:eastAsia="Calibri" w:hAnsi="Arial Narrow" w:cs="Times New Roman" w:hint="eastAsia"/>
                <w:color w:val="000000"/>
                <w:w w:val="24"/>
                <w:sz w:val="20"/>
                <w:szCs w:val="20"/>
                <w:shd w:val="solid" w:color="000000" w:fill="000000"/>
                <w:fitText w:val="108" w:id="-1500780784"/>
                <w14:textFill>
                  <w14:solidFill>
                    <w14:srgbClr w14:val="000000">
                      <w14:alpha w14:val="100000"/>
                    </w14:srgbClr>
                  </w14:solidFill>
                </w14:textFill>
              </w:rPr>
              <w:t xml:space="preserve">　</w:t>
            </w:r>
            <w:r w:rsidRPr="008B4550">
              <w:rPr>
                <w:rFonts w:ascii="Arial Narrow" w:eastAsia="Calibri" w:hAnsi="Arial Narrow" w:cs="Times New Roman"/>
                <w:color w:val="000000"/>
                <w:w w:val="24"/>
                <w:sz w:val="20"/>
                <w:szCs w:val="20"/>
                <w:shd w:val="solid" w:color="000000" w:fill="000000"/>
                <w:fitText w:val="108" w:id="-1500780784"/>
                <w14:textFill>
                  <w14:solidFill>
                    <w14:srgbClr w14:val="000000">
                      <w14:alpha w14:val="100000"/>
                    </w14:srgbClr>
                  </w14:solidFill>
                </w14:textFill>
              </w:rPr>
              <w:t>|</w:t>
            </w:r>
            <w:r w:rsidRPr="008B4550">
              <w:rPr>
                <w:rFonts w:ascii="Arial Narrow" w:eastAsia="Calibri" w:hAnsi="Arial Narrow" w:cs="Times New Roman" w:hint="eastAsia"/>
                <w:color w:val="000000"/>
                <w:spacing w:val="4"/>
                <w:w w:val="24"/>
                <w:sz w:val="20"/>
                <w:szCs w:val="20"/>
                <w:shd w:val="solid" w:color="000000" w:fill="000000"/>
                <w:fitText w:val="108" w:id="-1500780784"/>
                <w14:textFill>
                  <w14:solidFill>
                    <w14:srgbClr w14:val="000000">
                      <w14:alpha w14:val="100000"/>
                    </w14:srgbClr>
                  </w14:solidFill>
                </w14:textFill>
              </w:rPr>
              <w:t xml:space="preserve">　</w:t>
            </w:r>
            <w:r w:rsidR="00316815" w:rsidRPr="00316815">
              <w:rPr>
                <w:rFonts w:ascii="Arial Narrow" w:eastAsia="Calibri" w:hAnsi="Arial Narrow" w:cs="Times New Roman"/>
                <w:sz w:val="20"/>
                <w:szCs w:val="20"/>
                <w:vertAlign w:val="superscript"/>
              </w:rPr>
              <w:t>3</w:t>
            </w:r>
          </w:p>
        </w:tc>
      </w:tr>
    </w:tbl>
    <w:p w14:paraId="76FBC99A" w14:textId="77777777" w:rsidR="00A00349" w:rsidRDefault="00A00349" w:rsidP="00A00349">
      <w:pPr>
        <w:keepNext/>
        <w:keepLines/>
        <w:spacing w:after="240"/>
        <w:contextualSpacing/>
        <w:rPr>
          <w:rFonts w:ascii="Arial Narrow" w:hAnsi="Arial Narrow"/>
          <w:sz w:val="18"/>
        </w:rPr>
      </w:pPr>
      <w:r w:rsidRPr="00452BC1">
        <w:rPr>
          <w:rFonts w:ascii="Arial Narrow" w:hAnsi="Arial Narrow"/>
          <w:sz w:val="18"/>
        </w:rPr>
        <w:t xml:space="preserve">Source: </w:t>
      </w:r>
      <w:r>
        <w:rPr>
          <w:rFonts w:ascii="Arial Narrow" w:hAnsi="Arial Narrow"/>
          <w:sz w:val="18"/>
        </w:rPr>
        <w:t>Page 3 of the pre-PBAC response, Page 6 of the DUSC advice</w:t>
      </w:r>
      <w:r w:rsidRPr="00452BC1">
        <w:rPr>
          <w:rFonts w:ascii="Arial Narrow" w:hAnsi="Arial Narrow"/>
          <w:sz w:val="18"/>
        </w:rPr>
        <w:t>. PBS = Pharmaceutical Benefits Scheme; RPBS = Repatriation Pharmaceutical Benefits Scheme</w:t>
      </w:r>
      <w:r>
        <w:rPr>
          <w:rFonts w:ascii="Arial Narrow" w:hAnsi="Arial Narrow"/>
          <w:sz w:val="18"/>
        </w:rPr>
        <w:t xml:space="preserve">. </w:t>
      </w:r>
    </w:p>
    <w:p w14:paraId="16307BA1" w14:textId="396FA8A6" w:rsidR="00A00349" w:rsidRDefault="00A00349" w:rsidP="00921F42">
      <w:pPr>
        <w:keepNext/>
        <w:keepLines/>
        <w:contextualSpacing/>
        <w:rPr>
          <w:rFonts w:ascii="Arial Narrow" w:hAnsi="Arial Narrow"/>
          <w:sz w:val="18"/>
        </w:rPr>
      </w:pPr>
      <w:r w:rsidRPr="005169DD">
        <w:rPr>
          <w:rFonts w:ascii="Arial Narrow" w:hAnsi="Arial Narrow"/>
          <w:sz w:val="18"/>
        </w:rPr>
        <w:t>Blue shading indicates cost per patient proposed in PSC</w:t>
      </w:r>
      <w:r w:rsidR="00FE4D29">
        <w:rPr>
          <w:rFonts w:ascii="Arial Narrow" w:hAnsi="Arial Narrow"/>
          <w:sz w:val="18"/>
        </w:rPr>
        <w:t>R</w:t>
      </w:r>
      <w:r>
        <w:rPr>
          <w:rFonts w:ascii="Arial Narrow" w:hAnsi="Arial Narrow"/>
          <w:sz w:val="18"/>
        </w:rPr>
        <w:t xml:space="preserve">. </w:t>
      </w:r>
    </w:p>
    <w:p w14:paraId="44C9687B" w14:textId="77777777" w:rsidR="00316815" w:rsidRPr="009868C4" w:rsidRDefault="00316815" w:rsidP="00316815">
      <w:pPr>
        <w:pStyle w:val="TableFigureFooter"/>
        <w:spacing w:after="0"/>
        <w:contextualSpacing w:val="0"/>
      </w:pPr>
      <w:bookmarkStart w:id="62" w:name="_Hlk103678760"/>
      <w:r w:rsidRPr="009868C4">
        <w:rPr>
          <w:i/>
        </w:rPr>
        <w:t>The redacted values correspond to the following ranges</w:t>
      </w:r>
      <w:r>
        <w:rPr>
          <w:i/>
        </w:rPr>
        <w:t xml:space="preserve">: </w:t>
      </w:r>
    </w:p>
    <w:bookmarkEnd w:id="62"/>
    <w:p w14:paraId="7234897A" w14:textId="474BF90A" w:rsidR="00316815" w:rsidRDefault="00316815" w:rsidP="00A00349">
      <w:pPr>
        <w:keepNext/>
        <w:keepLines/>
        <w:spacing w:after="240"/>
        <w:contextualSpacing/>
        <w:rPr>
          <w:rFonts w:ascii="Arial Narrow" w:hAnsi="Arial Narrow"/>
          <w:sz w:val="18"/>
        </w:rPr>
      </w:pPr>
      <w:r>
        <w:rPr>
          <w:rFonts w:ascii="Arial Narrow" w:hAnsi="Arial Narrow"/>
          <w:sz w:val="18"/>
          <w:vertAlign w:val="superscript"/>
        </w:rPr>
        <w:t>1</w:t>
      </w:r>
      <w:r>
        <w:rPr>
          <w:rFonts w:ascii="Arial Narrow" w:hAnsi="Arial Narrow"/>
          <w:sz w:val="18"/>
        </w:rPr>
        <w:t>&lt; 500</w:t>
      </w:r>
    </w:p>
    <w:p w14:paraId="489DD3F1" w14:textId="7CC1E313" w:rsidR="00316815" w:rsidRDefault="00316815" w:rsidP="00A00349">
      <w:pPr>
        <w:keepNext/>
        <w:keepLines/>
        <w:spacing w:after="240"/>
        <w:contextualSpacing/>
        <w:rPr>
          <w:rFonts w:ascii="Arial Narrow" w:hAnsi="Arial Narrow"/>
          <w:sz w:val="18"/>
        </w:rPr>
      </w:pPr>
      <w:r>
        <w:rPr>
          <w:rFonts w:ascii="Arial Narrow" w:hAnsi="Arial Narrow"/>
          <w:sz w:val="18"/>
          <w:vertAlign w:val="superscript"/>
        </w:rPr>
        <w:t>2</w:t>
      </w:r>
      <w:r>
        <w:rPr>
          <w:rFonts w:ascii="Arial Narrow" w:hAnsi="Arial Narrow"/>
          <w:sz w:val="18"/>
        </w:rPr>
        <w:t>$10 million to &lt;$20 million</w:t>
      </w:r>
    </w:p>
    <w:p w14:paraId="3531464A" w14:textId="0E47E6DC" w:rsidR="00316815" w:rsidRPr="00316815" w:rsidRDefault="00316815" w:rsidP="00A00349">
      <w:pPr>
        <w:keepNext/>
        <w:keepLines/>
        <w:spacing w:after="240"/>
        <w:contextualSpacing/>
        <w:rPr>
          <w:rFonts w:ascii="Arial Narrow" w:hAnsi="Arial Narrow"/>
          <w:sz w:val="18"/>
        </w:rPr>
      </w:pPr>
      <w:r>
        <w:rPr>
          <w:rFonts w:ascii="Arial Narrow" w:hAnsi="Arial Narrow"/>
          <w:sz w:val="18"/>
          <w:vertAlign w:val="superscript"/>
        </w:rPr>
        <w:t>3</w:t>
      </w:r>
      <w:r>
        <w:rPr>
          <w:rFonts w:ascii="Arial Narrow" w:hAnsi="Arial Narrow"/>
          <w:sz w:val="18"/>
        </w:rPr>
        <w:t>$20 million to &lt;$30 million</w:t>
      </w:r>
    </w:p>
    <w:p w14:paraId="2833DE02" w14:textId="77777777" w:rsidR="00316815" w:rsidRPr="00316815" w:rsidRDefault="00316815" w:rsidP="00A00349">
      <w:pPr>
        <w:keepNext/>
        <w:keepLines/>
        <w:spacing w:after="240"/>
        <w:contextualSpacing/>
        <w:rPr>
          <w:rFonts w:ascii="Arial Narrow" w:hAnsi="Arial Narrow"/>
          <w:sz w:val="18"/>
        </w:rPr>
      </w:pPr>
    </w:p>
    <w:p w14:paraId="6EC0817D" w14:textId="5A2C48EE" w:rsidR="00A00349" w:rsidRPr="00A139BB" w:rsidRDefault="00A00349" w:rsidP="00A00349">
      <w:pPr>
        <w:pStyle w:val="ListParagraph"/>
        <w:widowControl/>
        <w:numPr>
          <w:ilvl w:val="1"/>
          <w:numId w:val="2"/>
        </w:numPr>
        <w:spacing w:after="120"/>
      </w:pPr>
      <w:r w:rsidRPr="00A139BB">
        <w:t xml:space="preserve">DUSC considered the estimates presented in the submission to be slightly overestimated. The main issues </w:t>
      </w:r>
      <w:r>
        <w:t>we</w:t>
      </w:r>
      <w:r w:rsidRPr="00A139BB">
        <w:t>re:</w:t>
      </w:r>
    </w:p>
    <w:p w14:paraId="6A3492FE" w14:textId="77777777" w:rsidR="00A00349" w:rsidRPr="00A139BB" w:rsidRDefault="00A00349" w:rsidP="00A00349">
      <w:pPr>
        <w:pStyle w:val="ListParagraph"/>
        <w:widowControl/>
        <w:numPr>
          <w:ilvl w:val="0"/>
          <w:numId w:val="1"/>
        </w:numPr>
        <w:ind w:left="1134" w:hanging="425"/>
        <w:contextualSpacing/>
      </w:pPr>
      <w:r w:rsidRPr="00A139BB">
        <w:t xml:space="preserve">The submission’s estimates of the patient population may be reasonable, but the paucity of strong epidemiological data in the Australian context made the estimates uncertain. </w:t>
      </w:r>
    </w:p>
    <w:p w14:paraId="7DF7FA67" w14:textId="77777777" w:rsidR="00A00349" w:rsidRPr="00A139BB" w:rsidRDefault="00A00349" w:rsidP="00A00349">
      <w:pPr>
        <w:pStyle w:val="ListParagraph"/>
        <w:widowControl/>
        <w:numPr>
          <w:ilvl w:val="0"/>
          <w:numId w:val="1"/>
        </w:numPr>
        <w:ind w:left="1134" w:hanging="425"/>
        <w:contextualSpacing/>
      </w:pPr>
      <w:r w:rsidRPr="00A139BB">
        <w:t xml:space="preserve">As with the economic evaluation, the submission’s estimates relying on published prices are not reflective of expected costs to the PBS and to government. </w:t>
      </w:r>
    </w:p>
    <w:p w14:paraId="2D4E4358" w14:textId="77777777" w:rsidR="00A00349" w:rsidRPr="00A139BB" w:rsidRDefault="00A00349" w:rsidP="00A00349">
      <w:pPr>
        <w:pStyle w:val="ListParagraph"/>
        <w:widowControl/>
        <w:numPr>
          <w:ilvl w:val="0"/>
          <w:numId w:val="1"/>
        </w:numPr>
        <w:ind w:left="1134" w:hanging="425"/>
        <w:contextualSpacing/>
      </w:pPr>
      <w:r w:rsidRPr="00A139BB">
        <w:t>A proportion of Stage III patients would be treated with curative intent and should be added to the estimate of the number of Stage I and II patients.</w:t>
      </w:r>
      <w:r>
        <w:t xml:space="preserve"> The pre-PBAC response addressed this by reducing the percent of </w:t>
      </w:r>
      <w:r w:rsidRPr="0042361E">
        <w:t xml:space="preserve">advanced/metastatic </w:t>
      </w:r>
      <w:r>
        <w:t>patients from 18% to 10%, and commensurately increasing the proportion of patients with recurrent disease from 82% to 90%. The PBAC considered this was appropriate.</w:t>
      </w:r>
    </w:p>
    <w:p w14:paraId="2E7A5F9C" w14:textId="64DB69CC" w:rsidR="00A00349" w:rsidRDefault="00A00349" w:rsidP="00A00349">
      <w:pPr>
        <w:pStyle w:val="ListParagraph"/>
        <w:widowControl/>
        <w:numPr>
          <w:ilvl w:val="0"/>
          <w:numId w:val="1"/>
        </w:numPr>
        <w:ind w:left="1134" w:hanging="425"/>
      </w:pPr>
      <w:r w:rsidRPr="00A139BB">
        <w:t xml:space="preserve">It </w:t>
      </w:r>
      <w:r>
        <w:t>was</w:t>
      </w:r>
      <w:r w:rsidRPr="00A139BB">
        <w:t xml:space="preserve"> unclear how the estimated proportion of patients with pMMR </w:t>
      </w:r>
      <w:r>
        <w:t>was</w:t>
      </w:r>
      <w:r w:rsidRPr="00A139BB">
        <w:t xml:space="preserve"> applied in the PSCR</w:t>
      </w:r>
      <w:r>
        <w:t xml:space="preserve"> (refer to Paragraph </w:t>
      </w:r>
      <w:r>
        <w:fldChar w:fldCharType="begin"/>
      </w:r>
      <w:r>
        <w:instrText xml:space="preserve"> REF _Ref98435296 \r \h </w:instrText>
      </w:r>
      <w:r>
        <w:fldChar w:fldCharType="separate"/>
      </w:r>
      <w:r w:rsidR="004163DD">
        <w:t>6.77</w:t>
      </w:r>
      <w:r>
        <w:fldChar w:fldCharType="end"/>
      </w:r>
      <w:r>
        <w:t>)</w:t>
      </w:r>
      <w:r w:rsidRPr="00A139BB">
        <w:t>.</w:t>
      </w:r>
      <w:r>
        <w:t xml:space="preserve"> </w:t>
      </w:r>
    </w:p>
    <w:p w14:paraId="27B2B8F1" w14:textId="400F2095" w:rsidR="00A00349" w:rsidRPr="00F47BE7" w:rsidRDefault="00A00349" w:rsidP="00A00349">
      <w:pPr>
        <w:pStyle w:val="ListParagraph"/>
        <w:widowControl/>
        <w:numPr>
          <w:ilvl w:val="1"/>
          <w:numId w:val="2"/>
        </w:numPr>
        <w:spacing w:after="120"/>
      </w:pPr>
      <w:r w:rsidRPr="00F47BE7">
        <w:t xml:space="preserve">The PBAC noted that a number of changes to the financial estimates </w:t>
      </w:r>
      <w:r>
        <w:t>were</w:t>
      </w:r>
      <w:r w:rsidRPr="00F47BE7">
        <w:t xml:space="preserve"> proposed in the pre-PBAC response </w:t>
      </w:r>
      <w:r>
        <w:t xml:space="preserve">(as outlined in </w:t>
      </w:r>
      <w:r>
        <w:fldChar w:fldCharType="begin"/>
      </w:r>
      <w:r>
        <w:instrText xml:space="preserve"> REF _Ref89794381 \h  \* MERGEFORMAT </w:instrText>
      </w:r>
      <w:r>
        <w:fldChar w:fldCharType="separate"/>
      </w:r>
      <w:r w:rsidR="004163DD" w:rsidRPr="004163DD">
        <w:t>Table 15</w:t>
      </w:r>
      <w:r>
        <w:fldChar w:fldCharType="end"/>
      </w:r>
      <w:r>
        <w:t>) and considered th</w:t>
      </w:r>
      <w:r w:rsidR="00BD60B5">
        <w:t xml:space="preserve">at the following two changes were not </w:t>
      </w:r>
      <w:r>
        <w:t>appropriate</w:t>
      </w:r>
      <w:r w:rsidR="00BD60B5">
        <w:t>:</w:t>
      </w:r>
      <w:r>
        <w:t xml:space="preserve"> (a) increasing the proportion of patients treated first line (from 70% to 75%); and (b) increasing the proportion of patients with ECOG 0 or 1 (from 80% to 83%). The PBAC noted that DUSC had considered that the original estimates for these two parameters were reasonable. </w:t>
      </w:r>
    </w:p>
    <w:p w14:paraId="6711C3F3" w14:textId="77777777" w:rsidR="00A66414" w:rsidRPr="00452BC1" w:rsidRDefault="00A66414" w:rsidP="00A66414">
      <w:pPr>
        <w:pStyle w:val="Heading2"/>
        <w:keepNext/>
        <w:keepLines/>
        <w:spacing w:after="120"/>
      </w:pPr>
      <w:r w:rsidRPr="00452BC1">
        <w:t>Financial Management – Risk Sharing Arrangement</w:t>
      </w:r>
    </w:p>
    <w:p w14:paraId="2F971E44" w14:textId="77777777" w:rsidR="00A66414" w:rsidRPr="00452BC1" w:rsidRDefault="00A66414" w:rsidP="00A66414">
      <w:pPr>
        <w:pStyle w:val="ListParagraph"/>
        <w:widowControl/>
        <w:numPr>
          <w:ilvl w:val="1"/>
          <w:numId w:val="2"/>
        </w:numPr>
        <w:spacing w:after="120"/>
      </w:pPr>
      <w:r w:rsidRPr="00452BC1">
        <w:t>The submission stated that the sponsor is willing to enter into a risk sharing arrangement (RSA).</w:t>
      </w:r>
    </w:p>
    <w:p w14:paraId="433C17B0" w14:textId="77777777" w:rsidR="00A66414" w:rsidRPr="00ED6EDE" w:rsidRDefault="00A66414" w:rsidP="00A66414">
      <w:pPr>
        <w:pStyle w:val="ListParagraph"/>
        <w:widowControl/>
        <w:tabs>
          <w:tab w:val="center" w:pos="4153"/>
          <w:tab w:val="right" w:pos="8306"/>
        </w:tabs>
        <w:autoSpaceDE w:val="0"/>
        <w:autoSpaceDN w:val="0"/>
        <w:adjustRightInd w:val="0"/>
        <w:spacing w:after="120"/>
        <w:rPr>
          <w:i/>
        </w:rPr>
      </w:pPr>
      <w:r w:rsidRPr="00ED6EDE">
        <w:rPr>
          <w:i/>
        </w:rPr>
        <w:t>For more detail on PBAC’s view, see section 7 PBAC outcome.</w:t>
      </w:r>
    </w:p>
    <w:p w14:paraId="3A42202B" w14:textId="77777777" w:rsidR="00973906" w:rsidRPr="00ED6EDE" w:rsidRDefault="00973906" w:rsidP="0037482C">
      <w:pPr>
        <w:widowControl/>
        <w:tabs>
          <w:tab w:val="right" w:pos="9072"/>
        </w:tabs>
        <w:autoSpaceDE w:val="0"/>
        <w:autoSpaceDN w:val="0"/>
        <w:adjustRightInd w:val="0"/>
        <w:rPr>
          <w:rFonts w:cs="Calibri"/>
          <w:iCs/>
          <w:snapToGrid/>
          <w:szCs w:val="24"/>
          <w:lang w:eastAsia="en-AU"/>
        </w:rPr>
      </w:pPr>
    </w:p>
    <w:p w14:paraId="27D269B9" w14:textId="77777777" w:rsidR="002F619A" w:rsidRPr="00D902FB" w:rsidRDefault="002F619A" w:rsidP="00EF6744">
      <w:pPr>
        <w:pStyle w:val="PBACHeading1"/>
        <w:keepNext/>
        <w:keepLines/>
        <w:numPr>
          <w:ilvl w:val="0"/>
          <w:numId w:val="2"/>
        </w:numPr>
        <w:outlineLvl w:val="0"/>
      </w:pPr>
      <w:bookmarkStart w:id="63" w:name="_Toc93478163"/>
      <w:r w:rsidRPr="00D902FB">
        <w:t>PBAC Outcome</w:t>
      </w:r>
    </w:p>
    <w:p w14:paraId="5798D8E6" w14:textId="312B99DC" w:rsidR="00A94A16" w:rsidRDefault="00A94A16" w:rsidP="00EF6744">
      <w:pPr>
        <w:keepNext/>
        <w:keepLines/>
        <w:widowControl/>
        <w:rPr>
          <w:rFonts w:cs="Calibri"/>
          <w:snapToGrid/>
          <w:sz w:val="22"/>
        </w:rPr>
      </w:pPr>
    </w:p>
    <w:p w14:paraId="70BA54A0" w14:textId="7E9DBF63" w:rsidR="00A94A16" w:rsidRPr="00A94A16" w:rsidRDefault="00A94A16" w:rsidP="00EF6744">
      <w:pPr>
        <w:keepNext/>
        <w:keepLines/>
        <w:autoSpaceDE w:val="0"/>
        <w:autoSpaceDN w:val="0"/>
        <w:adjustRightInd w:val="0"/>
        <w:spacing w:after="120"/>
        <w:outlineLvl w:val="1"/>
        <w:rPr>
          <w:rFonts w:cs="Calibri"/>
          <w:i/>
          <w:snapToGrid/>
          <w:szCs w:val="24"/>
          <w:u w:val="single"/>
          <w:lang w:eastAsia="en-AU"/>
        </w:rPr>
      </w:pPr>
      <w:r w:rsidRPr="00A94A16">
        <w:rPr>
          <w:rFonts w:cs="Calibri"/>
          <w:i/>
          <w:snapToGrid/>
          <w:szCs w:val="24"/>
          <w:u w:val="single"/>
          <w:lang w:eastAsia="en-AU"/>
        </w:rPr>
        <w:t xml:space="preserve">Pembrolizumab plus lenvatinib (combination therapy) </w:t>
      </w:r>
    </w:p>
    <w:p w14:paraId="4E2E9CEC" w14:textId="425A9CA1" w:rsidR="002F619A" w:rsidRPr="00EE0EF1" w:rsidRDefault="002F619A" w:rsidP="00EF6744">
      <w:pPr>
        <w:pStyle w:val="ListParagraph"/>
        <w:keepNext/>
        <w:keepLines/>
        <w:widowControl/>
        <w:numPr>
          <w:ilvl w:val="1"/>
          <w:numId w:val="2"/>
        </w:numPr>
        <w:rPr>
          <w:rFonts w:cs="Calibri"/>
          <w:snapToGrid/>
          <w:sz w:val="22"/>
        </w:rPr>
      </w:pPr>
      <w:r>
        <w:t xml:space="preserve">The PBAC </w:t>
      </w:r>
      <w:r w:rsidRPr="00EE0EF1">
        <w:rPr>
          <w:bCs/>
        </w:rPr>
        <w:t>recommended</w:t>
      </w:r>
      <w:r w:rsidRPr="00EE0EF1">
        <w:rPr>
          <w:b/>
          <w:bCs/>
        </w:rPr>
        <w:t xml:space="preserve"> </w:t>
      </w:r>
      <w:r>
        <w:t xml:space="preserve">the listing of pembrolizumab </w:t>
      </w:r>
      <w:r w:rsidR="00EE0EF1">
        <w:t xml:space="preserve">for use </w:t>
      </w:r>
      <w:r>
        <w:t xml:space="preserve">in combination with lenvatinib </w:t>
      </w:r>
      <w:r w:rsidR="00EE0EF1">
        <w:t>for the treatment of patients with advanced endometrial cancer who have disease progression following prior systemic therapy regardless of biomarker status</w:t>
      </w:r>
      <w:r w:rsidR="00EE0EF1" w:rsidRPr="00097AEE">
        <w:t xml:space="preserve"> </w:t>
      </w:r>
      <w:r w:rsidR="00097AEE" w:rsidRPr="00097AEE">
        <w:t>on the basis that it should be available only under special arrangements under Section 100</w:t>
      </w:r>
      <w:r w:rsidR="00EE0EF1">
        <w:t xml:space="preserve"> </w:t>
      </w:r>
      <w:r w:rsidR="00EE0EF1" w:rsidRPr="00EE0EF1">
        <w:rPr>
          <w:rFonts w:asciiTheme="minorHAnsi" w:hAnsiTheme="minorHAnsi"/>
          <w:lang w:val="en-GB"/>
        </w:rPr>
        <w:t>(Efficient Funding of Chemotherapy).</w:t>
      </w:r>
      <w:r w:rsidR="00EE0EF1">
        <w:t xml:space="preserve"> </w:t>
      </w:r>
      <w:r w:rsidR="00EE0EF1" w:rsidRPr="003421B3">
        <w:t xml:space="preserve">The PBAC </w:t>
      </w:r>
      <w:r w:rsidR="00EE0EF1">
        <w:t>wa</w:t>
      </w:r>
      <w:r w:rsidR="00EE0EF1" w:rsidRPr="003421B3">
        <w:t xml:space="preserve">s satisfied that pembrolizumab plus lenvatinib provides, for some patients, a significant improvement in efficacy </w:t>
      </w:r>
      <w:r w:rsidR="00EE0EF1">
        <w:t xml:space="preserve">including </w:t>
      </w:r>
      <w:r w:rsidR="00CC4F31">
        <w:t xml:space="preserve">an improvement </w:t>
      </w:r>
      <w:r w:rsidR="00EE0EF1">
        <w:t>in overall survival (OS) compared with chemotherapy</w:t>
      </w:r>
      <w:r w:rsidR="00EE0EF1" w:rsidRPr="003421B3">
        <w:t>.</w:t>
      </w:r>
      <w:r w:rsidR="00EE0EF1">
        <w:t xml:space="preserve"> </w:t>
      </w:r>
      <w:r>
        <w:t xml:space="preserve">The PBAC </w:t>
      </w:r>
      <w:r w:rsidR="00842B57">
        <w:t xml:space="preserve">noted </w:t>
      </w:r>
      <w:r>
        <w:t xml:space="preserve">this </w:t>
      </w:r>
      <w:r w:rsidRPr="0019546E">
        <w:t xml:space="preserve">clear benefit </w:t>
      </w:r>
      <w:r>
        <w:t xml:space="preserve">was observed in </w:t>
      </w:r>
      <w:r w:rsidRPr="0019546E">
        <w:t>all</w:t>
      </w:r>
      <w:r>
        <w:t>-</w:t>
      </w:r>
      <w:r w:rsidRPr="0019546E">
        <w:t xml:space="preserve">comers in the </w:t>
      </w:r>
      <w:r>
        <w:t>key trial (</w:t>
      </w:r>
      <w:r w:rsidRPr="0019546E">
        <w:t>KN775</w:t>
      </w:r>
      <w:r>
        <w:t>) regardless of biomarker status</w:t>
      </w:r>
      <w:r w:rsidRPr="0019546E">
        <w:t xml:space="preserve">. </w:t>
      </w:r>
      <w:r>
        <w:t xml:space="preserve">The PBAC considered that pembrolizumab plus lenvatinib would be cost-effective at the </w:t>
      </w:r>
      <w:r w:rsidR="005201C3">
        <w:t>cost</w:t>
      </w:r>
      <w:r>
        <w:t xml:space="preserve"> </w:t>
      </w:r>
      <w:r w:rsidR="00EF6744">
        <w:t xml:space="preserve">per patient </w:t>
      </w:r>
      <w:r>
        <w:t xml:space="preserve">proposed in the pre-PBAC response based on the one-piece model. </w:t>
      </w:r>
    </w:p>
    <w:p w14:paraId="4552A661" w14:textId="7FAEBF73" w:rsidR="00680C1C" w:rsidRPr="003421B3" w:rsidRDefault="00CC4F31" w:rsidP="00680C1C">
      <w:pPr>
        <w:pStyle w:val="ListParagraph"/>
        <w:widowControl/>
        <w:numPr>
          <w:ilvl w:val="1"/>
          <w:numId w:val="2"/>
        </w:numPr>
      </w:pPr>
      <w:r>
        <w:rPr>
          <w:rFonts w:asciiTheme="minorHAnsi" w:hAnsiTheme="minorHAnsi"/>
          <w:lang w:val="en-GB"/>
        </w:rPr>
        <w:t xml:space="preserve">The PBAC considered there is a </w:t>
      </w:r>
      <w:r w:rsidR="00680C1C" w:rsidRPr="003421B3">
        <w:t xml:space="preserve">high unmet need for effective therapies to treat this condition, </w:t>
      </w:r>
      <w:r w:rsidR="00D36674">
        <w:rPr>
          <w:rFonts w:cs="Calibri"/>
          <w:snapToGrid/>
          <w:szCs w:val="24"/>
          <w:lang w:eastAsia="en-AU"/>
        </w:rPr>
        <w:t>noting</w:t>
      </w:r>
      <w:r w:rsidR="00A94A16">
        <w:rPr>
          <w:rFonts w:cs="Calibri"/>
          <w:snapToGrid/>
          <w:szCs w:val="24"/>
          <w:lang w:eastAsia="en-AU"/>
        </w:rPr>
        <w:t xml:space="preserve"> </w:t>
      </w:r>
      <w:r w:rsidR="00D36674" w:rsidRPr="00875532">
        <w:t>immunotherapies</w:t>
      </w:r>
      <w:r w:rsidR="005F7463">
        <w:t xml:space="preserve"> have been</w:t>
      </w:r>
      <w:r w:rsidR="00D36674">
        <w:t xml:space="preserve"> </w:t>
      </w:r>
      <w:r w:rsidR="00D36674" w:rsidRPr="00875532">
        <w:t xml:space="preserve">the first major advance </w:t>
      </w:r>
      <w:r w:rsidR="00D36674">
        <w:t>in</w:t>
      </w:r>
      <w:r w:rsidR="00D36674" w:rsidRPr="00875532">
        <w:t xml:space="preserve"> endometrial cancer </w:t>
      </w:r>
      <w:r w:rsidR="00D36674">
        <w:t xml:space="preserve">treatment for </w:t>
      </w:r>
      <w:r w:rsidR="009E34A5">
        <w:t>many years</w:t>
      </w:r>
      <w:r w:rsidR="00097AEE" w:rsidRPr="003421B3">
        <w:t>.</w:t>
      </w:r>
      <w:r w:rsidR="00680C1C" w:rsidRPr="003421B3">
        <w:t xml:space="preserve"> </w:t>
      </w:r>
    </w:p>
    <w:p w14:paraId="00C60475" w14:textId="28D0773B" w:rsidR="00097AEE" w:rsidRPr="002F619A" w:rsidRDefault="00097AEE" w:rsidP="00097AEE">
      <w:pPr>
        <w:pStyle w:val="ListParagraph"/>
        <w:widowControl/>
        <w:numPr>
          <w:ilvl w:val="1"/>
          <w:numId w:val="2"/>
        </w:numPr>
      </w:pPr>
      <w:r>
        <w:t xml:space="preserve">The PBAC considered the nominated comparator, chemotherapy (comprising </w:t>
      </w:r>
      <w:r w:rsidRPr="00ED6EDE">
        <w:t>doxorubicin or paclitaxel</w:t>
      </w:r>
      <w:r>
        <w:t xml:space="preserve">), was appropriate. </w:t>
      </w:r>
    </w:p>
    <w:p w14:paraId="62FF46DB" w14:textId="44E4B115" w:rsidR="00D7043A" w:rsidRPr="00ED6EDE" w:rsidRDefault="00D7043A" w:rsidP="005802EF">
      <w:pPr>
        <w:pStyle w:val="ListParagraph"/>
        <w:widowControl/>
        <w:numPr>
          <w:ilvl w:val="1"/>
          <w:numId w:val="2"/>
        </w:numPr>
        <w:spacing w:after="120"/>
      </w:pPr>
      <w:r w:rsidRPr="00E729E0">
        <w:rPr>
          <w:iCs/>
        </w:rPr>
        <w:t>The PBAC considered that the claim of superior efficacy of pembrolizumab plus lenvatinib</w:t>
      </w:r>
      <w:r w:rsidR="00BF356E">
        <w:rPr>
          <w:iCs/>
        </w:rPr>
        <w:t xml:space="preserve"> versus chemotherapy</w:t>
      </w:r>
      <w:r w:rsidR="005B43E7">
        <w:rPr>
          <w:iCs/>
        </w:rPr>
        <w:t xml:space="preserve">, based on </w:t>
      </w:r>
      <w:r w:rsidR="005B43E7" w:rsidRPr="00E729E0">
        <w:rPr>
          <w:iCs/>
        </w:rPr>
        <w:t>the results of the comparative KN775 trial</w:t>
      </w:r>
      <w:r w:rsidR="005B43E7">
        <w:rPr>
          <w:iCs/>
        </w:rPr>
        <w:t>,</w:t>
      </w:r>
      <w:r w:rsidR="005B43E7" w:rsidRPr="00E729E0">
        <w:rPr>
          <w:iCs/>
        </w:rPr>
        <w:t xml:space="preserve"> </w:t>
      </w:r>
      <w:r w:rsidRPr="00E729E0">
        <w:rPr>
          <w:iCs/>
        </w:rPr>
        <w:t xml:space="preserve">was reasonable. </w:t>
      </w:r>
      <w:r w:rsidR="004D7547" w:rsidRPr="00BF356E">
        <w:t>The PBAC not</w:t>
      </w:r>
      <w:r w:rsidRPr="00BF356E">
        <w:t xml:space="preserve">ed </w:t>
      </w:r>
      <w:r w:rsidR="005B43E7" w:rsidRPr="00BF356E">
        <w:t xml:space="preserve">that </w:t>
      </w:r>
      <w:r w:rsidRPr="00BF356E">
        <w:t>th</w:t>
      </w:r>
      <w:r w:rsidR="005B22C9" w:rsidRPr="00BF356E">
        <w:t xml:space="preserve">e superior efficacy </w:t>
      </w:r>
      <w:r w:rsidRPr="00BF356E">
        <w:t xml:space="preserve">was observed </w:t>
      </w:r>
      <w:r w:rsidR="00186865">
        <w:t>in</w:t>
      </w:r>
      <w:r w:rsidRPr="00BF356E">
        <w:t xml:space="preserve"> the ITT populatio</w:t>
      </w:r>
      <w:r w:rsidR="005B22C9" w:rsidRPr="00BF356E">
        <w:t xml:space="preserve">n comprising both dMMR and pMMR patients, </w:t>
      </w:r>
      <w:r w:rsidRPr="00BF356E">
        <w:t xml:space="preserve">with </w:t>
      </w:r>
      <w:r w:rsidR="005B22C9" w:rsidRPr="00BF356E">
        <w:t xml:space="preserve">a </w:t>
      </w:r>
      <w:r w:rsidRPr="00BF356E">
        <w:t>substantial OS gain</w:t>
      </w:r>
      <w:r w:rsidR="005B22C9" w:rsidRPr="00BF356E">
        <w:t xml:space="preserve"> observed (</w:t>
      </w:r>
      <w:r w:rsidR="005B43E7" w:rsidRPr="00BF356E">
        <w:t>ITT HR:</w:t>
      </w:r>
      <w:r w:rsidR="005B22C9" w:rsidRPr="00BF356E">
        <w:t xml:space="preserve"> </w:t>
      </w:r>
      <w:r w:rsidR="00E729E0" w:rsidRPr="00BF356E">
        <w:t>0.62 (95%</w:t>
      </w:r>
      <w:r w:rsidR="005B43E7" w:rsidRPr="00BF356E">
        <w:t xml:space="preserve"> </w:t>
      </w:r>
      <w:r w:rsidR="00E729E0" w:rsidRPr="00BF356E">
        <w:t>CI</w:t>
      </w:r>
      <w:r w:rsidR="005B43E7" w:rsidRPr="00BF356E">
        <w:t>:</w:t>
      </w:r>
      <w:r w:rsidR="00E729E0" w:rsidRPr="00BF356E">
        <w:t xml:space="preserve"> 0.51, 0.75)</w:t>
      </w:r>
      <w:r w:rsidR="005B43E7" w:rsidRPr="00BF356E">
        <w:t>)</w:t>
      </w:r>
      <w:r w:rsidR="00E729E0" w:rsidRPr="00BF356E">
        <w:t xml:space="preserve">, </w:t>
      </w:r>
      <w:r w:rsidR="004D7547" w:rsidRPr="00BF356E">
        <w:t xml:space="preserve">and a </w:t>
      </w:r>
      <w:r w:rsidR="005B43E7" w:rsidRPr="00BF356E">
        <w:t>6.9</w:t>
      </w:r>
      <w:r w:rsidR="004D7547" w:rsidRPr="00BF356E">
        <w:t xml:space="preserve"> month increase</w:t>
      </w:r>
      <w:r w:rsidR="005B43E7" w:rsidRPr="00BF356E">
        <w:t xml:space="preserve"> in median survival (18.3 versus</w:t>
      </w:r>
      <w:r w:rsidR="00E729E0" w:rsidRPr="00BF356E">
        <w:t xml:space="preserve"> 11.4 months).</w:t>
      </w:r>
      <w:r w:rsidR="005B22C9" w:rsidRPr="00E729E0">
        <w:rPr>
          <w:rFonts w:cs="Calibri"/>
          <w:snapToGrid/>
          <w:szCs w:val="24"/>
          <w:lang w:eastAsia="en-AU"/>
        </w:rPr>
        <w:t xml:space="preserve"> </w:t>
      </w:r>
    </w:p>
    <w:p w14:paraId="5BF3A472" w14:textId="739FC7D1" w:rsidR="00731C77" w:rsidRPr="006D2DC5" w:rsidRDefault="00BF356E" w:rsidP="006D2DC5">
      <w:pPr>
        <w:pStyle w:val="ListParagraph"/>
        <w:widowControl/>
        <w:numPr>
          <w:ilvl w:val="1"/>
          <w:numId w:val="2"/>
        </w:numPr>
        <w:spacing w:after="120"/>
      </w:pPr>
      <w:r>
        <w:rPr>
          <w:rFonts w:cs="Calibri"/>
          <w:snapToGrid/>
          <w:szCs w:val="24"/>
          <w:lang w:eastAsia="en-AU"/>
        </w:rPr>
        <w:t>The PBAC noted that the TGA ACM had ‘</w:t>
      </w:r>
      <w:r w:rsidRPr="00731C77">
        <w:rPr>
          <w:rFonts w:cs="Calibri"/>
          <w:snapToGrid/>
          <w:szCs w:val="24"/>
          <w:lang w:eastAsia="en-AU"/>
        </w:rPr>
        <w:t xml:space="preserve">expressed disappointment that the design of the </w:t>
      </w:r>
      <w:r>
        <w:rPr>
          <w:rFonts w:cs="Calibri"/>
          <w:snapToGrid/>
          <w:szCs w:val="24"/>
          <w:lang w:eastAsia="en-AU"/>
        </w:rPr>
        <w:t>KN775</w:t>
      </w:r>
      <w:r w:rsidRPr="00731C77">
        <w:rPr>
          <w:rFonts w:cs="Calibri"/>
          <w:snapToGrid/>
          <w:szCs w:val="24"/>
          <w:lang w:eastAsia="en-AU"/>
        </w:rPr>
        <w:t xml:space="preserve"> trial did not allow efficacy in dMMR patients to be specifically analysed</w:t>
      </w:r>
      <w:r>
        <w:rPr>
          <w:rFonts w:cs="Calibri"/>
          <w:snapToGrid/>
          <w:szCs w:val="24"/>
          <w:lang w:eastAsia="en-AU"/>
        </w:rPr>
        <w:t>’. Patients with</w:t>
      </w:r>
      <w:r w:rsidR="00E729E0">
        <w:rPr>
          <w:rFonts w:cs="Calibri"/>
          <w:snapToGrid/>
          <w:szCs w:val="24"/>
          <w:lang w:eastAsia="en-AU"/>
        </w:rPr>
        <w:t xml:space="preserve"> dMMR </w:t>
      </w:r>
      <w:r>
        <w:rPr>
          <w:rFonts w:cs="Calibri"/>
          <w:snapToGrid/>
          <w:szCs w:val="24"/>
          <w:lang w:eastAsia="en-AU"/>
        </w:rPr>
        <w:t>tumours</w:t>
      </w:r>
      <w:r w:rsidR="00E729E0">
        <w:rPr>
          <w:rFonts w:cs="Calibri"/>
          <w:snapToGrid/>
          <w:szCs w:val="24"/>
          <w:lang w:eastAsia="en-AU"/>
        </w:rPr>
        <w:t xml:space="preserve"> comprised 15.7% of the total trial population</w:t>
      </w:r>
      <w:r>
        <w:rPr>
          <w:rFonts w:cs="Calibri"/>
          <w:snapToGrid/>
          <w:szCs w:val="24"/>
          <w:lang w:eastAsia="en-AU"/>
        </w:rPr>
        <w:t>, and subgroup analyses</w:t>
      </w:r>
      <w:r w:rsidR="004D7547">
        <w:rPr>
          <w:rFonts w:cs="Calibri"/>
          <w:snapToGrid/>
          <w:szCs w:val="24"/>
          <w:lang w:eastAsia="en-AU"/>
        </w:rPr>
        <w:t xml:space="preserve"> of the dMMR population were </w:t>
      </w:r>
      <w:r w:rsidR="002F534F">
        <w:rPr>
          <w:rFonts w:cs="Calibri"/>
          <w:snapToGrid/>
          <w:szCs w:val="24"/>
          <w:lang w:eastAsia="en-AU"/>
        </w:rPr>
        <w:t>not included in the pre-specified statistical analysis plan</w:t>
      </w:r>
      <w:r w:rsidR="004D7547">
        <w:rPr>
          <w:rFonts w:cs="Calibri"/>
          <w:snapToGrid/>
          <w:szCs w:val="24"/>
          <w:lang w:eastAsia="en-AU"/>
        </w:rPr>
        <w:t xml:space="preserve"> and were thus considered exploratory</w:t>
      </w:r>
      <w:r w:rsidR="005F7463">
        <w:rPr>
          <w:rFonts w:cs="Calibri"/>
          <w:snapToGrid/>
          <w:szCs w:val="24"/>
          <w:lang w:eastAsia="en-AU"/>
        </w:rPr>
        <w:t>.</w:t>
      </w:r>
      <w:r w:rsidR="004D7547">
        <w:rPr>
          <w:rFonts w:cs="Calibri"/>
          <w:snapToGrid/>
          <w:szCs w:val="24"/>
          <w:lang w:eastAsia="en-AU"/>
        </w:rPr>
        <w:t xml:space="preserve"> </w:t>
      </w:r>
      <w:r w:rsidR="002F534F">
        <w:rPr>
          <w:rFonts w:cs="Calibri"/>
          <w:snapToGrid/>
          <w:szCs w:val="24"/>
          <w:lang w:eastAsia="en-AU"/>
        </w:rPr>
        <w:t xml:space="preserve">The PBAC noted that the TGA had not registered combination therapy with pembrolizumab plus lenvatinib in the dMMR population, </w:t>
      </w:r>
      <w:r w:rsidR="004D7547">
        <w:rPr>
          <w:rFonts w:cs="Calibri"/>
          <w:snapToGrid/>
          <w:szCs w:val="24"/>
          <w:lang w:eastAsia="en-AU"/>
        </w:rPr>
        <w:t>with the ACM advising</w:t>
      </w:r>
      <w:r w:rsidR="00731C77" w:rsidRPr="00CE2DFB">
        <w:rPr>
          <w:rFonts w:cs="Calibri"/>
          <w:snapToGrid/>
          <w:szCs w:val="24"/>
          <w:lang w:eastAsia="en-AU"/>
        </w:rPr>
        <w:t xml:space="preserve"> that </w:t>
      </w:r>
      <w:r w:rsidR="004D7547" w:rsidRPr="00CE2DFB">
        <w:rPr>
          <w:rFonts w:cs="Calibri"/>
          <w:snapToGrid/>
          <w:szCs w:val="24"/>
          <w:lang w:eastAsia="en-AU"/>
        </w:rPr>
        <w:t>‘</w:t>
      </w:r>
      <w:r w:rsidR="00731C77" w:rsidRPr="00CE2DFB">
        <w:rPr>
          <w:rFonts w:cs="Calibri"/>
          <w:snapToGrid/>
          <w:szCs w:val="24"/>
          <w:lang w:eastAsia="en-AU"/>
        </w:rPr>
        <w:t xml:space="preserve">single agent pembrolizumab is an effective option for patients with dMMR advanced endometrial cancer, without the added toxicity from lenvatinib in the combination </w:t>
      </w:r>
      <w:r w:rsidR="00731C77" w:rsidRPr="00BF356E">
        <w:rPr>
          <w:rFonts w:cs="Calibri"/>
          <w:snapToGrid/>
          <w:szCs w:val="24"/>
          <w:lang w:eastAsia="en-AU"/>
        </w:rPr>
        <w:t>therapy’.</w:t>
      </w:r>
      <w:r w:rsidR="00731C77" w:rsidRPr="00BF356E">
        <w:t xml:space="preserve"> </w:t>
      </w:r>
      <w:r>
        <w:t>However, as outlined above</w:t>
      </w:r>
      <w:r w:rsidR="00781577">
        <w:t>,</w:t>
      </w:r>
      <w:r>
        <w:t xml:space="preserve"> t</w:t>
      </w:r>
      <w:r w:rsidRPr="00BF356E">
        <w:t>he PBAC noted that</w:t>
      </w:r>
      <w:r>
        <w:t xml:space="preserve"> in KN775</w:t>
      </w:r>
      <w:r w:rsidRPr="00BF356E">
        <w:t xml:space="preserve"> the superior efficacy </w:t>
      </w:r>
      <w:r>
        <w:t xml:space="preserve">of combination therapy was </w:t>
      </w:r>
      <w:r w:rsidRPr="00BF356E">
        <w:t xml:space="preserve">observed </w:t>
      </w:r>
      <w:r w:rsidR="00AA3366">
        <w:t>in</w:t>
      </w:r>
      <w:r w:rsidR="00AA3366" w:rsidRPr="00BF356E">
        <w:t xml:space="preserve"> </w:t>
      </w:r>
      <w:r w:rsidRPr="00BF356E">
        <w:t>the ITT population comprising both dMMR and pMMR patients</w:t>
      </w:r>
      <w:r w:rsidR="00AA3366">
        <w:t xml:space="preserve"> with no evidence that biomarker status was a treatment effect modifier</w:t>
      </w:r>
      <w:r w:rsidRPr="00BF356E">
        <w:t>.</w:t>
      </w:r>
      <w:r w:rsidR="00AA3366" w:rsidRPr="00AA3366">
        <w:t xml:space="preserve"> </w:t>
      </w:r>
      <w:r w:rsidR="00AA3366">
        <w:t>The PBAC noted that the HR for OS was 0.68 (95% CI: 0.56, 0.84) in the pMMR subgroup</w:t>
      </w:r>
      <w:r w:rsidR="006D2DC5">
        <w:t xml:space="preserve"> and 0.37 (95% CI: 0.22, 0.62), </w:t>
      </w:r>
      <w:r w:rsidR="00AA3366">
        <w:t xml:space="preserve">in the </w:t>
      </w:r>
      <w:r w:rsidR="00190031">
        <w:t>d</w:t>
      </w:r>
      <w:r w:rsidR="00AA3366">
        <w:t>MMR subgroup, but acknowledged th</w:t>
      </w:r>
      <w:r w:rsidR="006D2DC5">
        <w:t>e latter estimate</w:t>
      </w:r>
      <w:r w:rsidR="00AA3366">
        <w:t xml:space="preserve"> was</w:t>
      </w:r>
      <w:r w:rsidR="006D2DC5">
        <w:t xml:space="preserve"> based on</w:t>
      </w:r>
      <w:r w:rsidR="00AA3366">
        <w:t xml:space="preserve"> an exploratory analysis.</w:t>
      </w:r>
    </w:p>
    <w:p w14:paraId="298E1F56" w14:textId="77777777" w:rsidR="00BF356E" w:rsidRPr="00BF356E" w:rsidRDefault="00BF356E" w:rsidP="00BF356E">
      <w:pPr>
        <w:pStyle w:val="ListParagraph"/>
        <w:widowControl/>
        <w:numPr>
          <w:ilvl w:val="1"/>
          <w:numId w:val="2"/>
        </w:numPr>
      </w:pPr>
      <w:r w:rsidRPr="00BF356E">
        <w:t xml:space="preserve">The PBAC considered that, given the design of the study, the efficacy contribution of each agent in the combination could not be determined. In particular, the PBAC considered that it was unable to conclude that lenvatinib offers no benefit in the dMMR population. While lenvatinib is associated with increased toxicities, these are generally predictable and manageable. </w:t>
      </w:r>
    </w:p>
    <w:p w14:paraId="6EEFDB12" w14:textId="1A622993" w:rsidR="004D7547" w:rsidRDefault="00D7043A" w:rsidP="001E6910">
      <w:pPr>
        <w:pStyle w:val="ListParagraph"/>
        <w:widowControl/>
        <w:numPr>
          <w:ilvl w:val="1"/>
          <w:numId w:val="2"/>
        </w:numPr>
      </w:pPr>
      <w:r w:rsidRPr="004D7547">
        <w:rPr>
          <w:rFonts w:cs="Calibri"/>
          <w:snapToGrid/>
          <w:szCs w:val="24"/>
          <w:lang w:eastAsia="en-AU"/>
        </w:rPr>
        <w:t>The</w:t>
      </w:r>
      <w:r>
        <w:t xml:space="preserve"> PBAC considered that </w:t>
      </w:r>
      <w:r w:rsidRPr="00D7043A">
        <w:t xml:space="preserve">claim of </w:t>
      </w:r>
      <w:r>
        <w:t>non-inferior</w:t>
      </w:r>
      <w:r w:rsidRPr="00D7043A">
        <w:t xml:space="preserve"> comparative safety was not adequately supported by the data</w:t>
      </w:r>
      <w:r>
        <w:t xml:space="preserve">. </w:t>
      </w:r>
      <w:r w:rsidR="001E6910">
        <w:t>The PBAC noted</w:t>
      </w:r>
      <w:r w:rsidR="00D17B31">
        <w:t xml:space="preserve"> that</w:t>
      </w:r>
      <w:r w:rsidR="001E6910">
        <w:t xml:space="preserve"> </w:t>
      </w:r>
      <w:r w:rsidR="00D17B31">
        <w:t>pembrolizumab plus lenvatinib</w:t>
      </w:r>
      <w:r w:rsidR="00D17B31" w:rsidRPr="001E6910">
        <w:t xml:space="preserve"> </w:t>
      </w:r>
      <w:r w:rsidR="00D17B31">
        <w:t>was associated with a</w:t>
      </w:r>
      <w:r w:rsidR="001E6910">
        <w:t xml:space="preserve"> </w:t>
      </w:r>
      <w:r w:rsidR="001E6910" w:rsidRPr="001E6910">
        <w:t>higher incidence of Grade 3 or higher hypertension</w:t>
      </w:r>
      <w:r w:rsidR="001E6910">
        <w:t xml:space="preserve"> </w:t>
      </w:r>
      <w:r w:rsidR="00D17B31">
        <w:t>(</w:t>
      </w:r>
      <w:r w:rsidR="00D17B31" w:rsidRPr="001E6910">
        <w:t>37.9% versus 2.3%</w:t>
      </w:r>
      <w:r w:rsidR="00D17B31">
        <w:t xml:space="preserve">, respectively) </w:t>
      </w:r>
      <w:r w:rsidR="001E6910">
        <w:t xml:space="preserve">and diarrhoea </w:t>
      </w:r>
      <w:r w:rsidR="00D17B31">
        <w:t>(</w:t>
      </w:r>
      <w:r w:rsidR="001E6910">
        <w:t>7.6% versus 2.1</w:t>
      </w:r>
      <w:r w:rsidR="00D17B31">
        <w:t>%</w:t>
      </w:r>
      <w:r w:rsidR="001E6910" w:rsidRPr="001E6910">
        <w:t>)</w:t>
      </w:r>
      <w:r w:rsidR="001E6910">
        <w:t xml:space="preserve"> and considered these were </w:t>
      </w:r>
      <w:r w:rsidR="001E6910" w:rsidRPr="00ED6EDE">
        <w:t>driven predominately by the inclusion of lenvatinib</w:t>
      </w:r>
      <w:r w:rsidR="001E6910" w:rsidRPr="001E6910">
        <w:t xml:space="preserve">. </w:t>
      </w:r>
      <w:r>
        <w:t>The PBAC considered that pembrolizumab plus lenvatinib has inferior safety versus chemotherapy given the toxicity associated with lenvatinib, but that th</w:t>
      </w:r>
      <w:r w:rsidR="001E6910">
        <w:t>is</w:t>
      </w:r>
      <w:r>
        <w:t xml:space="preserve"> toxicity is </w:t>
      </w:r>
      <w:r w:rsidR="001E6910">
        <w:t xml:space="preserve">often </w:t>
      </w:r>
      <w:r>
        <w:t>manageable</w:t>
      </w:r>
      <w:r w:rsidRPr="004D7547">
        <w:rPr>
          <w:rFonts w:cs="Calibri"/>
          <w:snapToGrid/>
          <w:szCs w:val="24"/>
          <w:lang w:eastAsia="en-AU"/>
        </w:rPr>
        <w:t xml:space="preserve"> with dose reductions</w:t>
      </w:r>
      <w:r w:rsidR="001E6910">
        <w:rPr>
          <w:rFonts w:cs="Calibri"/>
          <w:snapToGrid/>
          <w:szCs w:val="24"/>
          <w:lang w:eastAsia="en-AU"/>
        </w:rPr>
        <w:t xml:space="preserve"> or</w:t>
      </w:r>
      <w:r w:rsidRPr="004D7547">
        <w:rPr>
          <w:rFonts w:cs="Calibri"/>
          <w:snapToGrid/>
          <w:szCs w:val="24"/>
          <w:lang w:eastAsia="en-AU"/>
        </w:rPr>
        <w:t xml:space="preserve"> interruptions</w:t>
      </w:r>
      <w:r w:rsidR="001E6910">
        <w:rPr>
          <w:rFonts w:cs="Calibri"/>
          <w:snapToGrid/>
          <w:szCs w:val="24"/>
          <w:lang w:eastAsia="en-AU"/>
        </w:rPr>
        <w:t>. In some cases,</w:t>
      </w:r>
      <w:r w:rsidR="004D7547">
        <w:rPr>
          <w:rFonts w:cs="Calibri"/>
          <w:snapToGrid/>
          <w:szCs w:val="24"/>
          <w:lang w:eastAsia="en-AU"/>
        </w:rPr>
        <w:t xml:space="preserve"> discontinuation of lenvatinib</w:t>
      </w:r>
      <w:r w:rsidR="001E6910">
        <w:rPr>
          <w:rFonts w:cs="Calibri"/>
          <w:snapToGrid/>
          <w:szCs w:val="24"/>
          <w:lang w:eastAsia="en-AU"/>
        </w:rPr>
        <w:t xml:space="preserve"> is required (with 30.8% of patients in KN775 ceasing lenvatinib due to toxicity)</w:t>
      </w:r>
      <w:r>
        <w:t xml:space="preserve">. </w:t>
      </w:r>
      <w:r w:rsidR="001E6910">
        <w:t xml:space="preserve">The PBAC considered that oncologists are familiar with managing lenvatinib toxicity, and that the restriction should allow </w:t>
      </w:r>
      <w:r w:rsidR="00CE2DFB">
        <w:t xml:space="preserve">clinicians </w:t>
      </w:r>
      <w:r w:rsidR="001E6910">
        <w:t xml:space="preserve">flexibility </w:t>
      </w:r>
      <w:r w:rsidR="00CE2DFB">
        <w:t>to cease</w:t>
      </w:r>
      <w:r w:rsidR="001E6910">
        <w:t xml:space="preserve"> lenvatinib (but continu</w:t>
      </w:r>
      <w:r w:rsidR="00CE2DFB">
        <w:t>e</w:t>
      </w:r>
      <w:r w:rsidR="001E6910">
        <w:t xml:space="preserve"> pembrolizumab </w:t>
      </w:r>
      <w:r w:rsidR="00781577">
        <w:t>as a single agent</w:t>
      </w:r>
      <w:r w:rsidR="001E6910">
        <w:t xml:space="preserve">) in the event of toxicity or </w:t>
      </w:r>
      <w:r w:rsidR="00D17B31">
        <w:t xml:space="preserve">to </w:t>
      </w:r>
      <w:r w:rsidR="00D17B31" w:rsidRPr="00A951BA">
        <w:rPr>
          <w:rFonts w:cs="Calibri"/>
          <w:snapToGrid/>
          <w:szCs w:val="24"/>
          <w:lang w:eastAsia="en-AU"/>
        </w:rPr>
        <w:t xml:space="preserve">use pembrolizumab as a single agent </w:t>
      </w:r>
      <w:r w:rsidR="00D17B31">
        <w:rPr>
          <w:rFonts w:cs="Calibri"/>
          <w:snapToGrid/>
          <w:szCs w:val="24"/>
          <w:lang w:eastAsia="en-AU"/>
        </w:rPr>
        <w:t>in patients</w:t>
      </w:r>
      <w:r w:rsidR="003C6450">
        <w:rPr>
          <w:rFonts w:cs="Calibri"/>
          <w:snapToGrid/>
          <w:szCs w:val="24"/>
          <w:lang w:eastAsia="en-AU"/>
        </w:rPr>
        <w:t xml:space="preserve"> in whom lenvatinib is contraindicated. </w:t>
      </w:r>
    </w:p>
    <w:p w14:paraId="764E28AE" w14:textId="7F741DEA" w:rsidR="00D7043A" w:rsidRDefault="00D7043A" w:rsidP="00D7043A">
      <w:pPr>
        <w:pStyle w:val="ListParagraph"/>
        <w:widowControl/>
        <w:numPr>
          <w:ilvl w:val="1"/>
          <w:numId w:val="2"/>
        </w:numPr>
        <w:spacing w:after="120"/>
      </w:pPr>
      <w:bookmarkStart w:id="64" w:name="_Ref98419261"/>
      <w:r>
        <w:t xml:space="preserve">Overall, the PBAC considered that </w:t>
      </w:r>
      <w:r w:rsidR="00CE2DFB">
        <w:t xml:space="preserve">combination therapy with </w:t>
      </w:r>
      <w:r>
        <w:t xml:space="preserve">pembrolizumab plus lenvatinib has an acceptable risk-benefit profile for the </w:t>
      </w:r>
      <w:r w:rsidR="00CE2DFB">
        <w:t xml:space="preserve">all-comer </w:t>
      </w:r>
      <w:r>
        <w:t>population</w:t>
      </w:r>
      <w:r w:rsidR="00CE2DFB">
        <w:t>, regardless of biomarker status</w:t>
      </w:r>
      <w:r>
        <w:t xml:space="preserve">. </w:t>
      </w:r>
      <w:r w:rsidR="00CE2DFB">
        <w:t>As such, the PBAC recommended that the restriction should allow use of combination therapy in both pMMR and dMMR patients</w:t>
      </w:r>
      <w:r w:rsidR="0013381F">
        <w:t xml:space="preserve">; but, as above, allow </w:t>
      </w:r>
      <w:r w:rsidR="00503E70">
        <w:t>use of s</w:t>
      </w:r>
      <w:r w:rsidR="0013381F">
        <w:t>ingle-agent pembrolizumab in patients</w:t>
      </w:r>
      <w:r w:rsidR="00503E70">
        <w:t xml:space="preserve"> who experience toxicity with lenvatinib or in whom lenvatinib is contraindicated. </w:t>
      </w:r>
      <w:bookmarkEnd w:id="64"/>
    </w:p>
    <w:p w14:paraId="6746224A" w14:textId="005D5630" w:rsidR="005F7463" w:rsidRDefault="005F7463" w:rsidP="005F7463">
      <w:pPr>
        <w:pStyle w:val="ListParagraph"/>
        <w:widowControl/>
        <w:numPr>
          <w:ilvl w:val="1"/>
          <w:numId w:val="2"/>
        </w:numPr>
        <w:spacing w:after="120"/>
      </w:pPr>
      <w:r>
        <w:t xml:space="preserve">The submission presented a cost-utility analysis of pembrolizumab plus lenvatinib versus chemotherapy. The PBAC noted that the </w:t>
      </w:r>
      <w:r w:rsidRPr="00DB51D3">
        <w:t xml:space="preserve">economic evaluation only modelled the Kaplan-Meier results </w:t>
      </w:r>
      <w:r>
        <w:t>from</w:t>
      </w:r>
      <w:r w:rsidRPr="00DB51D3">
        <w:t xml:space="preserve"> KN775</w:t>
      </w:r>
      <w:r>
        <w:t xml:space="preserve"> </w:t>
      </w:r>
      <w:r w:rsidRPr="00ED6EDE">
        <w:t>(</w:t>
      </w:r>
      <w:r>
        <w:t>combination therapy</w:t>
      </w:r>
      <w:r w:rsidRPr="00ED6EDE">
        <w:t>)</w:t>
      </w:r>
      <w:r>
        <w:t>, and did not specifically assess the cost-effectiveness of pembrolizumab monotherapy versus chemotherapy. Further, the KN775 results applied in the model were from the ITT population. The PBAC considered use of the ITT results in the model was appropriate</w:t>
      </w:r>
      <w:r w:rsidRPr="00ED6EDE">
        <w:t xml:space="preserve"> </w:t>
      </w:r>
      <w:r>
        <w:t>given</w:t>
      </w:r>
      <w:r w:rsidR="009347B4">
        <w:t xml:space="preserve">: </w:t>
      </w:r>
      <w:r>
        <w:t xml:space="preserve">as outlined in paragraph </w:t>
      </w:r>
      <w:r>
        <w:fldChar w:fldCharType="begin"/>
      </w:r>
      <w:r>
        <w:instrText xml:space="preserve"> REF _Ref98419261 \r \h </w:instrText>
      </w:r>
      <w:r>
        <w:fldChar w:fldCharType="separate"/>
      </w:r>
      <w:r w:rsidR="004163DD">
        <w:t>7.8</w:t>
      </w:r>
      <w:r>
        <w:fldChar w:fldCharType="end"/>
      </w:r>
      <w:r>
        <w:t>, it had advised that the restriction should allow use of combination therapy in all patients regardless of biomarker status</w:t>
      </w:r>
      <w:r w:rsidR="009347B4">
        <w:t>;</w:t>
      </w:r>
      <w:r w:rsidR="005F220C">
        <w:t xml:space="preserve"> and there was no evidence of biomarker status being a treatment effect modifier</w:t>
      </w:r>
      <w:r>
        <w:t>.</w:t>
      </w:r>
    </w:p>
    <w:p w14:paraId="0574C9C6" w14:textId="58DA441F" w:rsidR="00DB51D3" w:rsidRDefault="00DB51D3" w:rsidP="002520EB">
      <w:pPr>
        <w:pStyle w:val="ListParagraph"/>
        <w:widowControl/>
        <w:numPr>
          <w:ilvl w:val="1"/>
          <w:numId w:val="2"/>
        </w:numPr>
        <w:spacing w:after="120"/>
      </w:pPr>
      <w:r>
        <w:t xml:space="preserve">The PBAC noted </w:t>
      </w:r>
      <w:r w:rsidRPr="00ED6EDE">
        <w:t>that lenvatinib and pembrolizumab are each marketed by different companies</w:t>
      </w:r>
      <w:r>
        <w:t xml:space="preserve">, and that the submission had not proposed a </w:t>
      </w:r>
      <w:r w:rsidRPr="00ED6EDE">
        <w:t>specific price per pack of lenvatinib or per vial of pembrolizumab</w:t>
      </w:r>
      <w:r>
        <w:t xml:space="preserve">. Instead, the submission </w:t>
      </w:r>
      <w:r w:rsidRPr="00ED6EDE">
        <w:t>request</w:t>
      </w:r>
      <w:r>
        <w:t>ed that</w:t>
      </w:r>
      <w:r w:rsidRPr="00ED6EDE">
        <w:t xml:space="preserve"> the PBAC make a recommendation on the basis of a net cost per patient</w:t>
      </w:r>
      <w:r>
        <w:t xml:space="preserve">, </w:t>
      </w:r>
      <w:r w:rsidR="0050283E">
        <w:t xml:space="preserve">back-calculated </w:t>
      </w:r>
      <w:r>
        <w:t xml:space="preserve">using a specific ICER threshold </w:t>
      </w:r>
      <w:r w:rsidRPr="00ED6EDE">
        <w:t>(</w:t>
      </w:r>
      <w:r w:rsidR="00C61210" w:rsidRPr="00C61210">
        <w:t>$75,000 to &lt; $95,000</w:t>
      </w:r>
      <w:r w:rsidRPr="00ED6EDE">
        <w:t>/QALY gained</w:t>
      </w:r>
      <w:r>
        <w:t xml:space="preserve">, revised to </w:t>
      </w:r>
      <w:r w:rsidR="00C61210" w:rsidRPr="00C61210">
        <w:t>$75,000 to &lt; $95,000</w:t>
      </w:r>
      <w:r w:rsidR="00C61210">
        <w:t>/</w:t>
      </w:r>
      <w:r>
        <w:t>QALY in the pre-PBAC response</w:t>
      </w:r>
      <w:r w:rsidRPr="00ED6EDE">
        <w:t>)</w:t>
      </w:r>
      <w:r>
        <w:t>.</w:t>
      </w:r>
    </w:p>
    <w:p w14:paraId="3A8BEA50" w14:textId="69A50CFC" w:rsidR="0050283E" w:rsidRDefault="00D855D8" w:rsidP="00D855D8">
      <w:pPr>
        <w:pStyle w:val="ListParagraph"/>
        <w:widowControl/>
        <w:numPr>
          <w:ilvl w:val="1"/>
          <w:numId w:val="2"/>
        </w:numPr>
        <w:spacing w:after="120"/>
      </w:pPr>
      <w:r w:rsidRPr="00ED6EDE">
        <w:rPr>
          <w:iCs/>
        </w:rPr>
        <w:t xml:space="preserve">The </w:t>
      </w:r>
      <w:r w:rsidR="005F7463">
        <w:rPr>
          <w:iCs/>
        </w:rPr>
        <w:t>base case of the economic evaluation</w:t>
      </w:r>
      <w:r w:rsidR="00D17B31">
        <w:rPr>
          <w:iCs/>
        </w:rPr>
        <w:t xml:space="preserve"> used standard one-piece parametric models to extrapolate survival. The</w:t>
      </w:r>
      <w:r w:rsidR="005F7463">
        <w:rPr>
          <w:iCs/>
        </w:rPr>
        <w:t xml:space="preserve"> </w:t>
      </w:r>
      <w:r>
        <w:rPr>
          <w:iCs/>
        </w:rPr>
        <w:t xml:space="preserve">PBAC noted that the </w:t>
      </w:r>
      <w:r w:rsidRPr="00ED6EDE">
        <w:rPr>
          <w:iCs/>
        </w:rPr>
        <w:t xml:space="preserve">submission also provided an </w:t>
      </w:r>
      <w:r w:rsidR="005F7463">
        <w:rPr>
          <w:iCs/>
        </w:rPr>
        <w:t>“</w:t>
      </w:r>
      <w:r w:rsidRPr="00ED6EDE">
        <w:rPr>
          <w:iCs/>
        </w:rPr>
        <w:t>alternate base-case</w:t>
      </w:r>
      <w:r w:rsidR="005F7463">
        <w:rPr>
          <w:iCs/>
        </w:rPr>
        <w:t>”</w:t>
      </w:r>
      <w:r w:rsidRPr="00ED6EDE">
        <w:rPr>
          <w:iCs/>
        </w:rPr>
        <w:t xml:space="preserve"> in which flexible piecewise </w:t>
      </w:r>
      <w:r>
        <w:rPr>
          <w:iCs/>
        </w:rPr>
        <w:t xml:space="preserve">extrapolation </w:t>
      </w:r>
      <w:r w:rsidRPr="00ED6EDE">
        <w:rPr>
          <w:iCs/>
        </w:rPr>
        <w:t xml:space="preserve">models were fitted to the data. </w:t>
      </w:r>
      <w:r w:rsidR="00277226">
        <w:rPr>
          <w:rFonts w:asciiTheme="minorHAnsi" w:hAnsiTheme="minorHAnsi" w:cstheme="minorHAnsi"/>
          <w:color w:val="000000" w:themeColor="text1"/>
          <w:szCs w:val="24"/>
        </w:rPr>
        <w:t xml:space="preserve">The submission stated </w:t>
      </w:r>
      <w:r>
        <w:rPr>
          <w:rFonts w:asciiTheme="minorHAnsi" w:hAnsiTheme="minorHAnsi" w:cstheme="minorHAnsi"/>
          <w:color w:val="000000" w:themeColor="text1"/>
          <w:szCs w:val="24"/>
        </w:rPr>
        <w:t xml:space="preserve">this approach </w:t>
      </w:r>
      <w:r w:rsidR="00277226">
        <w:rPr>
          <w:rFonts w:asciiTheme="minorHAnsi" w:hAnsiTheme="minorHAnsi" w:cstheme="minorHAnsi"/>
          <w:color w:val="000000" w:themeColor="text1"/>
          <w:szCs w:val="24"/>
        </w:rPr>
        <w:t xml:space="preserve">was selected </w:t>
      </w:r>
      <w:r w:rsidRPr="00D855D8">
        <w:rPr>
          <w:rFonts w:asciiTheme="minorHAnsi" w:hAnsiTheme="minorHAnsi" w:cstheme="minorHAnsi"/>
          <w:color w:val="000000" w:themeColor="text1"/>
          <w:szCs w:val="24"/>
        </w:rPr>
        <w:t>to represent an assumed plateau in survival</w:t>
      </w:r>
      <w:r>
        <w:rPr>
          <w:rFonts w:asciiTheme="minorHAnsi" w:hAnsiTheme="minorHAnsi" w:cstheme="minorHAnsi"/>
          <w:color w:val="000000" w:themeColor="text1"/>
          <w:szCs w:val="24"/>
        </w:rPr>
        <w:t>, h</w:t>
      </w:r>
      <w:r w:rsidRPr="00D855D8">
        <w:rPr>
          <w:rFonts w:asciiTheme="minorHAnsi" w:hAnsiTheme="minorHAnsi" w:cstheme="minorHAnsi"/>
          <w:color w:val="000000" w:themeColor="text1"/>
          <w:szCs w:val="24"/>
        </w:rPr>
        <w:t xml:space="preserve">owever, the </w:t>
      </w:r>
      <w:r>
        <w:rPr>
          <w:rFonts w:asciiTheme="minorHAnsi" w:hAnsiTheme="minorHAnsi" w:cstheme="minorHAnsi"/>
          <w:color w:val="000000" w:themeColor="text1"/>
          <w:szCs w:val="24"/>
        </w:rPr>
        <w:t>PBAC</w:t>
      </w:r>
      <w:r w:rsidRPr="00D855D8">
        <w:rPr>
          <w:rFonts w:asciiTheme="minorHAnsi" w:hAnsiTheme="minorHAnsi" w:cstheme="minorHAnsi"/>
          <w:color w:val="000000" w:themeColor="text1"/>
          <w:szCs w:val="24"/>
        </w:rPr>
        <w:t xml:space="preserve"> considered that a survival plateau </w:t>
      </w:r>
      <w:r>
        <w:rPr>
          <w:rFonts w:asciiTheme="minorHAnsi" w:hAnsiTheme="minorHAnsi" w:cstheme="minorHAnsi"/>
          <w:color w:val="000000" w:themeColor="text1"/>
          <w:szCs w:val="24"/>
        </w:rPr>
        <w:t>was</w:t>
      </w:r>
      <w:r w:rsidRPr="00D855D8">
        <w:rPr>
          <w:rFonts w:asciiTheme="minorHAnsi" w:hAnsiTheme="minorHAnsi" w:cstheme="minorHAnsi"/>
          <w:color w:val="000000" w:themeColor="text1"/>
          <w:szCs w:val="24"/>
        </w:rPr>
        <w:t xml:space="preserve"> not </w:t>
      </w:r>
      <w:r w:rsidR="00277226">
        <w:rPr>
          <w:rFonts w:asciiTheme="minorHAnsi" w:hAnsiTheme="minorHAnsi" w:cstheme="minorHAnsi"/>
          <w:color w:val="000000" w:themeColor="text1"/>
          <w:szCs w:val="24"/>
        </w:rPr>
        <w:t>adequately</w:t>
      </w:r>
      <w:r w:rsidRPr="00D855D8">
        <w:rPr>
          <w:rFonts w:asciiTheme="minorHAnsi" w:hAnsiTheme="minorHAnsi" w:cstheme="minorHAnsi"/>
          <w:color w:val="000000" w:themeColor="text1"/>
          <w:szCs w:val="24"/>
        </w:rPr>
        <w:t xml:space="preserve"> supported by the clinical evidence presented in the submission given the relatively short duration of follow-up and immature OS data</w:t>
      </w:r>
      <w:r w:rsidR="00764B19">
        <w:rPr>
          <w:rFonts w:asciiTheme="minorHAnsi" w:hAnsiTheme="minorHAnsi" w:cstheme="minorHAnsi"/>
          <w:color w:val="000000" w:themeColor="text1"/>
          <w:szCs w:val="24"/>
        </w:rPr>
        <w:t xml:space="preserve"> (</w:t>
      </w:r>
      <w:r w:rsidR="00764B19" w:rsidRPr="00ED6EDE">
        <w:rPr>
          <w:iCs/>
        </w:rPr>
        <w:t>median follow-up was</w:t>
      </w:r>
      <w:r w:rsidR="00764B19">
        <w:rPr>
          <w:iCs/>
        </w:rPr>
        <w:t xml:space="preserve"> 11.4 months in KN775)</w:t>
      </w:r>
      <w:r w:rsidRPr="00D855D8">
        <w:rPr>
          <w:rFonts w:asciiTheme="minorHAnsi" w:hAnsiTheme="minorHAnsi" w:cstheme="minorHAnsi"/>
          <w:color w:val="000000" w:themeColor="text1"/>
          <w:szCs w:val="24"/>
        </w:rPr>
        <w:t>.</w:t>
      </w:r>
      <w:r w:rsidRPr="00D855D8">
        <w:rPr>
          <w:iCs/>
        </w:rPr>
        <w:t xml:space="preserve"> </w:t>
      </w:r>
      <w:r w:rsidR="00523310">
        <w:rPr>
          <w:iCs/>
        </w:rPr>
        <w:t>Further, t</w:t>
      </w:r>
      <w:r w:rsidR="00523310">
        <w:t>he PBAC agreed with the ESC that the use of a two-piece extrapolation method resulted</w:t>
      </w:r>
      <w:r w:rsidR="00523310" w:rsidRPr="007B69BD">
        <w:t xml:space="preserve"> in additional weight being attached to the </w:t>
      </w:r>
      <w:r w:rsidR="00523310">
        <w:t xml:space="preserve">tail of the Kaplan-Meier data (where patient numbers are low and the data is less reliable) and considered that a one-piece extrapolation method fitted to the full KM curve was more reliable. </w:t>
      </w:r>
    </w:p>
    <w:p w14:paraId="3AFE8FB3" w14:textId="6F0AB9C1" w:rsidR="00277226" w:rsidRPr="00ED6EDE" w:rsidRDefault="00277226" w:rsidP="00277226">
      <w:pPr>
        <w:pStyle w:val="ListParagraph"/>
        <w:widowControl/>
        <w:numPr>
          <w:ilvl w:val="1"/>
          <w:numId w:val="2"/>
        </w:numPr>
        <w:spacing w:after="120"/>
      </w:pPr>
      <w:r>
        <w:t xml:space="preserve">The pre-PBAC response provided a revised economic model that used a 5 year time horizon, the best-fitting parametric extrapolation in all arms, and an ICER threshold of </w:t>
      </w:r>
      <w:r w:rsidR="00C61210" w:rsidRPr="00C61210">
        <w:t>$75,000 to &lt; $95,000</w:t>
      </w:r>
      <w:r>
        <w:t>/QALY</w:t>
      </w:r>
      <w:r w:rsidR="00523310">
        <w:t>, which resulted in a</w:t>
      </w:r>
      <w:r w:rsidR="00523310" w:rsidRPr="00523310">
        <w:t xml:space="preserve"> </w:t>
      </w:r>
      <w:r w:rsidR="00523310">
        <w:t xml:space="preserve">net cost per patient of </w:t>
      </w:r>
      <w:r w:rsidR="00523310" w:rsidRPr="00316815">
        <w:t>$</w:t>
      </w:r>
      <w:r w:rsidR="008B4550" w:rsidRPr="003E504A">
        <w:rPr>
          <w:color w:val="000000"/>
          <w:w w:val="15"/>
          <w:shd w:val="solid" w:color="000000" w:fill="000000"/>
          <w:fitText w:val="-20" w:id="-1500780800"/>
          <w14:textFill>
            <w14:solidFill>
              <w14:srgbClr w14:val="000000">
                <w14:alpha w14:val="100000"/>
              </w14:srgbClr>
            </w14:solidFill>
          </w14:textFill>
        </w:rPr>
        <w:t xml:space="preserve">|  </w:t>
      </w:r>
      <w:r w:rsidR="008B4550" w:rsidRPr="003E504A">
        <w:rPr>
          <w:color w:val="000000"/>
          <w:spacing w:val="-69"/>
          <w:w w:val="15"/>
          <w:shd w:val="solid" w:color="000000" w:fill="000000"/>
          <w:fitText w:val="-20" w:id="-1500780800"/>
          <w14:textFill>
            <w14:solidFill>
              <w14:srgbClr w14:val="000000">
                <w14:alpha w14:val="100000"/>
              </w14:srgbClr>
            </w14:solidFill>
          </w14:textFill>
        </w:rPr>
        <w:t>|</w:t>
      </w:r>
      <w:r w:rsidR="00523310">
        <w:t xml:space="preserve"> (using the one-piece extrapolation)</w:t>
      </w:r>
      <w:r>
        <w:t xml:space="preserve">. The PBAC considered that these changes adequately addressed the </w:t>
      </w:r>
      <w:r w:rsidR="00523310">
        <w:t xml:space="preserve">concerns raised by the evaluation and </w:t>
      </w:r>
      <w:r>
        <w:t>ESC regarding the extrapolation approach used in the submission and PSC</w:t>
      </w:r>
      <w:r w:rsidR="001216C8">
        <w:t>R</w:t>
      </w:r>
      <w:r>
        <w:t>.</w:t>
      </w:r>
      <w:r w:rsidRPr="00277226">
        <w:t xml:space="preserve"> </w:t>
      </w:r>
      <w:r>
        <w:t xml:space="preserve">The PBAC </w:t>
      </w:r>
      <w:r w:rsidR="00523310">
        <w:t>considered that pembrolizumab plus lenvatinib would be acceptably cost-effective using the parameters outlined in the pre-PBAC response with the one-piece extrapolation</w:t>
      </w:r>
      <w:r>
        <w:t xml:space="preserve">. </w:t>
      </w:r>
    </w:p>
    <w:p w14:paraId="252CDA4F" w14:textId="62AADBB5" w:rsidR="00277226" w:rsidRDefault="00277226" w:rsidP="00277226">
      <w:pPr>
        <w:pStyle w:val="ListParagraph"/>
        <w:widowControl/>
        <w:numPr>
          <w:ilvl w:val="1"/>
          <w:numId w:val="2"/>
        </w:numPr>
        <w:autoSpaceDE w:val="0"/>
        <w:autoSpaceDN w:val="0"/>
        <w:adjustRightInd w:val="0"/>
        <w:spacing w:after="120"/>
        <w:rPr>
          <w:rFonts w:cs="Calibri"/>
          <w:snapToGrid/>
          <w:szCs w:val="24"/>
          <w:lang w:eastAsia="en-AU"/>
        </w:rPr>
      </w:pPr>
      <w:r w:rsidRPr="00277226">
        <w:rPr>
          <w:rFonts w:cs="Calibri"/>
          <w:snapToGrid/>
          <w:szCs w:val="24"/>
          <w:lang w:eastAsia="en-AU"/>
        </w:rPr>
        <w:t xml:space="preserve">The PBAC considered that an ICER of </w:t>
      </w:r>
      <w:r w:rsidR="00C61210" w:rsidRPr="00C61210">
        <w:rPr>
          <w:rFonts w:cs="Calibri"/>
          <w:snapToGrid/>
          <w:szCs w:val="24"/>
          <w:lang w:eastAsia="en-AU"/>
        </w:rPr>
        <w:t>$75,000 to &lt; $95,000</w:t>
      </w:r>
      <w:r w:rsidRPr="00277226">
        <w:rPr>
          <w:rFonts w:cs="Calibri"/>
          <w:snapToGrid/>
          <w:szCs w:val="24"/>
          <w:lang w:eastAsia="en-AU"/>
        </w:rPr>
        <w:t xml:space="preserve">/QALY or lower was </w:t>
      </w:r>
      <w:r w:rsidR="00523310">
        <w:rPr>
          <w:rFonts w:cs="Calibri"/>
          <w:snapToGrid/>
          <w:szCs w:val="24"/>
          <w:lang w:eastAsia="en-AU"/>
        </w:rPr>
        <w:t>reasonable</w:t>
      </w:r>
      <w:r w:rsidRPr="00277226">
        <w:rPr>
          <w:rFonts w:cs="Calibri"/>
          <w:snapToGrid/>
          <w:szCs w:val="24"/>
          <w:lang w:eastAsia="en-AU"/>
        </w:rPr>
        <w:t xml:space="preserve"> for pembrolizumab plus lenvatinib in the all-comer population given the </w:t>
      </w:r>
      <w:r>
        <w:rPr>
          <w:rFonts w:cs="Calibri"/>
          <w:snapToGrid/>
          <w:szCs w:val="24"/>
          <w:lang w:eastAsia="en-AU"/>
        </w:rPr>
        <w:t>l</w:t>
      </w:r>
      <w:r w:rsidRPr="00277226">
        <w:rPr>
          <w:rFonts w:cs="Calibri"/>
          <w:snapToGrid/>
          <w:szCs w:val="24"/>
          <w:lang w:eastAsia="en-AU"/>
        </w:rPr>
        <w:t>evel of OS benefit</w:t>
      </w:r>
      <w:r w:rsidR="00523310">
        <w:rPr>
          <w:rFonts w:cs="Calibri"/>
          <w:snapToGrid/>
          <w:szCs w:val="24"/>
          <w:lang w:eastAsia="en-AU"/>
        </w:rPr>
        <w:t xml:space="preserve"> observed in the KN775 trial,</w:t>
      </w:r>
      <w:r w:rsidRPr="00277226">
        <w:rPr>
          <w:rFonts w:cs="Calibri"/>
          <w:snapToGrid/>
          <w:szCs w:val="24"/>
          <w:lang w:eastAsia="en-AU"/>
        </w:rPr>
        <w:t xml:space="preserve"> </w:t>
      </w:r>
      <w:r w:rsidR="00523310">
        <w:rPr>
          <w:rFonts w:cs="Calibri"/>
          <w:snapToGrid/>
          <w:szCs w:val="24"/>
          <w:lang w:eastAsia="en-AU"/>
        </w:rPr>
        <w:t>and the</w:t>
      </w:r>
      <w:r>
        <w:rPr>
          <w:rFonts w:cs="Calibri"/>
          <w:snapToGrid/>
          <w:szCs w:val="24"/>
          <w:lang w:eastAsia="en-AU"/>
        </w:rPr>
        <w:t xml:space="preserve"> high clinical need</w:t>
      </w:r>
      <w:r w:rsidR="00523310">
        <w:rPr>
          <w:rFonts w:cs="Calibri"/>
          <w:snapToGrid/>
          <w:szCs w:val="24"/>
          <w:lang w:eastAsia="en-AU"/>
        </w:rPr>
        <w:t xml:space="preserve"> in this patient population in</w:t>
      </w:r>
      <w:r>
        <w:rPr>
          <w:rFonts w:cs="Calibri"/>
          <w:snapToGrid/>
          <w:szCs w:val="24"/>
          <w:lang w:eastAsia="en-AU"/>
        </w:rPr>
        <w:t xml:space="preserve"> which there have been </w:t>
      </w:r>
      <w:r w:rsidRPr="00277226">
        <w:rPr>
          <w:rFonts w:cs="Calibri"/>
          <w:snapToGrid/>
          <w:szCs w:val="24"/>
          <w:lang w:eastAsia="en-AU"/>
        </w:rPr>
        <w:t>no recent advances in therapy</w:t>
      </w:r>
      <w:r>
        <w:rPr>
          <w:rFonts w:cs="Calibri"/>
          <w:snapToGrid/>
          <w:szCs w:val="24"/>
          <w:lang w:eastAsia="en-AU"/>
        </w:rPr>
        <w:t>.</w:t>
      </w:r>
    </w:p>
    <w:p w14:paraId="7ACA7A1A" w14:textId="6ACA13F8" w:rsidR="00487003" w:rsidRPr="002520EB" w:rsidRDefault="00487003" w:rsidP="0073164D">
      <w:pPr>
        <w:pStyle w:val="ListParagraph"/>
        <w:widowControl/>
        <w:numPr>
          <w:ilvl w:val="1"/>
          <w:numId w:val="2"/>
        </w:numPr>
        <w:spacing w:after="120"/>
      </w:pPr>
      <w:bookmarkStart w:id="65" w:name="_Ref99692021"/>
      <w:r>
        <w:rPr>
          <w:rFonts w:cs="Calibri"/>
          <w:snapToGrid/>
          <w:szCs w:val="24"/>
          <w:lang w:eastAsia="en-AU"/>
        </w:rPr>
        <w:t>The PBAC noted that the financial estimates did not estimate the cost of combination therapy and pembrolizumab monotherapy separately</w:t>
      </w:r>
      <w:r w:rsidR="007D71EE">
        <w:t>, nor specifically separate out pMMR and dMMR patients</w:t>
      </w:r>
      <w:r>
        <w:rPr>
          <w:rFonts w:cs="Calibri"/>
          <w:snapToGrid/>
          <w:szCs w:val="24"/>
          <w:lang w:eastAsia="en-AU"/>
        </w:rPr>
        <w:t xml:space="preserve">. The </w:t>
      </w:r>
      <w:r w:rsidR="00235108">
        <w:rPr>
          <w:rFonts w:cs="Calibri"/>
          <w:snapToGrid/>
          <w:szCs w:val="24"/>
          <w:lang w:eastAsia="en-AU"/>
        </w:rPr>
        <w:t>main</w:t>
      </w:r>
      <w:r>
        <w:rPr>
          <w:rFonts w:cs="Calibri"/>
          <w:snapToGrid/>
          <w:szCs w:val="24"/>
          <w:lang w:eastAsia="en-AU"/>
        </w:rPr>
        <w:t xml:space="preserve"> adjustment for the differing populations and regimens was an assumption regarding the proportion of patients eligible for lenvatinib, which </w:t>
      </w:r>
      <w:r w:rsidR="0073164D">
        <w:rPr>
          <w:rFonts w:cs="Calibri"/>
          <w:snapToGrid/>
          <w:szCs w:val="24"/>
          <w:lang w:eastAsia="en-AU"/>
        </w:rPr>
        <w:t xml:space="preserve">the submission stated </w:t>
      </w:r>
      <w:r>
        <w:rPr>
          <w:rFonts w:cs="Calibri"/>
          <w:snapToGrid/>
          <w:szCs w:val="24"/>
          <w:lang w:eastAsia="en-AU"/>
        </w:rPr>
        <w:t>was based on the proportion of patients with pMMR in the KN775 trial</w:t>
      </w:r>
      <w:r w:rsidR="00A94A16">
        <w:rPr>
          <w:rFonts w:cs="Calibri"/>
          <w:snapToGrid/>
          <w:szCs w:val="24"/>
          <w:lang w:eastAsia="en-AU"/>
        </w:rPr>
        <w:t xml:space="preserve"> (</w:t>
      </w:r>
      <w:r w:rsidR="0073164D">
        <w:rPr>
          <w:rFonts w:cs="Calibri"/>
          <w:snapToGrid/>
          <w:szCs w:val="24"/>
          <w:lang w:eastAsia="en-AU"/>
        </w:rPr>
        <w:t>84.3% of patients in the trial were pMMR</w:t>
      </w:r>
      <w:r w:rsidR="00A94A16">
        <w:rPr>
          <w:rFonts w:cs="Calibri"/>
          <w:snapToGrid/>
          <w:szCs w:val="24"/>
          <w:lang w:eastAsia="en-AU"/>
        </w:rPr>
        <w:t>)</w:t>
      </w:r>
      <w:r>
        <w:rPr>
          <w:rFonts w:cs="Calibri"/>
          <w:snapToGrid/>
          <w:szCs w:val="24"/>
          <w:lang w:eastAsia="en-AU"/>
        </w:rPr>
        <w:t xml:space="preserve">. </w:t>
      </w:r>
      <w:r>
        <w:t xml:space="preserve">The </w:t>
      </w:r>
      <w:r w:rsidR="009347B4">
        <w:t>pre-PBAC re</w:t>
      </w:r>
      <w:r w:rsidR="0073164D">
        <w:t>s</w:t>
      </w:r>
      <w:r w:rsidR="009347B4">
        <w:t xml:space="preserve">ponse </w:t>
      </w:r>
      <w:r w:rsidR="0073164D">
        <w:t>stated that it applied 75% as the ‘p</w:t>
      </w:r>
      <w:r w:rsidR="0073164D" w:rsidRPr="0073164D">
        <w:t>roportion of patients receiving lenvatinib (representing pMMR patients)</w:t>
      </w:r>
      <w:r w:rsidR="0073164D">
        <w:t>’. The</w:t>
      </w:r>
      <w:r w:rsidR="0073164D" w:rsidRPr="0073164D">
        <w:t xml:space="preserve"> </w:t>
      </w:r>
      <w:r w:rsidRPr="00113D22">
        <w:rPr>
          <w:iCs/>
        </w:rPr>
        <w:t>PBAC considered</w:t>
      </w:r>
      <w:r w:rsidR="0073164D">
        <w:rPr>
          <w:iCs/>
        </w:rPr>
        <w:t xml:space="preserve"> that</w:t>
      </w:r>
      <w:r w:rsidRPr="00113D22">
        <w:rPr>
          <w:iCs/>
        </w:rPr>
        <w:t xml:space="preserve"> the proportion of patients who </w:t>
      </w:r>
      <w:r>
        <w:rPr>
          <w:iCs/>
        </w:rPr>
        <w:t>initiate</w:t>
      </w:r>
      <w:r w:rsidRPr="00113D22">
        <w:rPr>
          <w:iCs/>
        </w:rPr>
        <w:t xml:space="preserve"> lenvatinib may be higher </w:t>
      </w:r>
      <w:r>
        <w:rPr>
          <w:iCs/>
        </w:rPr>
        <w:t>than 75%</w:t>
      </w:r>
      <w:r w:rsidR="0073164D">
        <w:rPr>
          <w:iCs/>
        </w:rPr>
        <w:t>, and close to 100%,</w:t>
      </w:r>
      <w:r>
        <w:rPr>
          <w:iCs/>
        </w:rPr>
        <w:t xml:space="preserve"> </w:t>
      </w:r>
      <w:r w:rsidRPr="00113D22">
        <w:rPr>
          <w:iCs/>
        </w:rPr>
        <w:t xml:space="preserve">given its advice </w:t>
      </w:r>
      <w:r w:rsidR="00A00349">
        <w:rPr>
          <w:iCs/>
        </w:rPr>
        <w:t>that the restriction should</w:t>
      </w:r>
      <w:r w:rsidRPr="00113D22">
        <w:rPr>
          <w:iCs/>
        </w:rPr>
        <w:t xml:space="preserve"> allow use of combination therapy in all-comers.</w:t>
      </w:r>
      <w:bookmarkEnd w:id="65"/>
      <w:r>
        <w:rPr>
          <w:iCs/>
        </w:rPr>
        <w:t xml:space="preserve"> </w:t>
      </w:r>
    </w:p>
    <w:p w14:paraId="19F4345F" w14:textId="4307E5A9" w:rsidR="00F47BE7" w:rsidRDefault="00F47BE7" w:rsidP="00277226">
      <w:pPr>
        <w:pStyle w:val="ListParagraph"/>
        <w:widowControl/>
        <w:numPr>
          <w:ilvl w:val="1"/>
          <w:numId w:val="2"/>
        </w:numPr>
        <w:autoSpaceDE w:val="0"/>
        <w:autoSpaceDN w:val="0"/>
        <w:adjustRightInd w:val="0"/>
        <w:spacing w:after="120"/>
        <w:rPr>
          <w:rFonts w:cs="Calibri"/>
          <w:snapToGrid/>
          <w:szCs w:val="24"/>
          <w:lang w:eastAsia="en-AU"/>
        </w:rPr>
      </w:pPr>
      <w:r>
        <w:rPr>
          <w:rFonts w:cs="Calibri"/>
          <w:snapToGrid/>
          <w:szCs w:val="24"/>
          <w:lang w:eastAsia="en-AU"/>
        </w:rPr>
        <w:t xml:space="preserve">The PBAC </w:t>
      </w:r>
      <w:r w:rsidR="00487003">
        <w:rPr>
          <w:rFonts w:cs="Calibri"/>
          <w:snapToGrid/>
          <w:szCs w:val="24"/>
          <w:lang w:eastAsia="en-AU"/>
        </w:rPr>
        <w:t xml:space="preserve">considered the </w:t>
      </w:r>
      <w:r w:rsidR="00BD60B5">
        <w:rPr>
          <w:rFonts w:cs="Calibri"/>
          <w:snapToGrid/>
          <w:szCs w:val="24"/>
          <w:lang w:eastAsia="en-AU"/>
        </w:rPr>
        <w:t xml:space="preserve">parameters for estimating the </w:t>
      </w:r>
      <w:r w:rsidR="00FE42D5">
        <w:rPr>
          <w:rFonts w:cs="Calibri"/>
          <w:snapToGrid/>
          <w:szCs w:val="24"/>
          <w:lang w:eastAsia="en-AU"/>
        </w:rPr>
        <w:t xml:space="preserve">financial </w:t>
      </w:r>
      <w:r w:rsidR="00BD60B5">
        <w:rPr>
          <w:rFonts w:cs="Calibri"/>
          <w:snapToGrid/>
          <w:szCs w:val="24"/>
          <w:lang w:eastAsia="en-AU"/>
        </w:rPr>
        <w:t xml:space="preserve">implications </w:t>
      </w:r>
      <w:r w:rsidR="00FE42D5">
        <w:rPr>
          <w:rFonts w:cs="Calibri"/>
          <w:snapToGrid/>
          <w:szCs w:val="24"/>
          <w:lang w:eastAsia="en-AU"/>
        </w:rPr>
        <w:t xml:space="preserve">described in the </w:t>
      </w:r>
      <w:r w:rsidR="00487003">
        <w:rPr>
          <w:rFonts w:cs="Calibri"/>
          <w:snapToGrid/>
          <w:szCs w:val="24"/>
          <w:lang w:eastAsia="en-AU"/>
        </w:rPr>
        <w:t xml:space="preserve">pre-PBAC response </w:t>
      </w:r>
      <w:r w:rsidR="00FE42D5">
        <w:rPr>
          <w:rFonts w:cs="Calibri"/>
          <w:snapToGrid/>
          <w:szCs w:val="24"/>
          <w:lang w:eastAsia="en-AU"/>
        </w:rPr>
        <w:t xml:space="preserve">were reasonable, </w:t>
      </w:r>
      <w:r w:rsidR="00487003">
        <w:rPr>
          <w:rFonts w:cs="Calibri"/>
          <w:snapToGrid/>
          <w:szCs w:val="24"/>
          <w:lang w:eastAsia="en-AU"/>
        </w:rPr>
        <w:t xml:space="preserve">with </w:t>
      </w:r>
      <w:r w:rsidR="00781577">
        <w:rPr>
          <w:rFonts w:cs="Calibri"/>
          <w:snapToGrid/>
          <w:szCs w:val="24"/>
          <w:lang w:eastAsia="en-AU"/>
        </w:rPr>
        <w:t xml:space="preserve">the following </w:t>
      </w:r>
      <w:r w:rsidR="00487003">
        <w:rPr>
          <w:rFonts w:cs="Calibri"/>
          <w:snapToGrid/>
          <w:szCs w:val="24"/>
          <w:lang w:eastAsia="en-AU"/>
        </w:rPr>
        <w:t xml:space="preserve">exceptions: </w:t>
      </w:r>
      <w:r w:rsidR="00487003">
        <w:t xml:space="preserve">(a) the proportion of patients treated first line </w:t>
      </w:r>
      <w:r w:rsidR="00781577">
        <w:t>should remain at 70% (rather than increase to 75% as proposed in the pre-PBAC response);</w:t>
      </w:r>
      <w:r w:rsidR="00487003">
        <w:t xml:space="preserve"> (b) the proportion of patients with ECOG 0 or 1 </w:t>
      </w:r>
      <w:r w:rsidR="00781577">
        <w:t xml:space="preserve">should remain at </w:t>
      </w:r>
      <w:r w:rsidR="00487003">
        <w:t>80%</w:t>
      </w:r>
      <w:r w:rsidR="00781577">
        <w:t xml:space="preserve"> (rather than increase to 83% as proposed in the pre-PBAC response); (c) as outlined in Paragraph </w:t>
      </w:r>
      <w:r w:rsidR="00781577">
        <w:fldChar w:fldCharType="begin"/>
      </w:r>
      <w:r w:rsidR="00781577">
        <w:instrText xml:space="preserve"> REF _Ref99692021 \r \h </w:instrText>
      </w:r>
      <w:r w:rsidR="00781577">
        <w:fldChar w:fldCharType="separate"/>
      </w:r>
      <w:r w:rsidR="004163DD">
        <w:t>7.14</w:t>
      </w:r>
      <w:r w:rsidR="00781577">
        <w:fldChar w:fldCharType="end"/>
      </w:r>
      <w:r w:rsidR="00781577">
        <w:t xml:space="preserve">, </w:t>
      </w:r>
      <w:r w:rsidR="00781577" w:rsidRPr="00113D22">
        <w:rPr>
          <w:iCs/>
        </w:rPr>
        <w:t xml:space="preserve">the proportion of patients who </w:t>
      </w:r>
      <w:r w:rsidR="00781577">
        <w:rPr>
          <w:iCs/>
        </w:rPr>
        <w:t>initiate</w:t>
      </w:r>
      <w:r w:rsidR="00781577" w:rsidRPr="00113D22">
        <w:rPr>
          <w:iCs/>
        </w:rPr>
        <w:t xml:space="preserve"> lenvatinib may be higher </w:t>
      </w:r>
      <w:r w:rsidR="00781577">
        <w:rPr>
          <w:iCs/>
        </w:rPr>
        <w:t>than 75%, and close to 100%</w:t>
      </w:r>
      <w:r w:rsidR="00487003">
        <w:t xml:space="preserve">. </w:t>
      </w:r>
    </w:p>
    <w:p w14:paraId="63F88379" w14:textId="197BFD0D" w:rsidR="00487003" w:rsidRDefault="00487003" w:rsidP="00277226">
      <w:pPr>
        <w:pStyle w:val="ListParagraph"/>
        <w:widowControl/>
        <w:numPr>
          <w:ilvl w:val="1"/>
          <w:numId w:val="2"/>
        </w:numPr>
        <w:autoSpaceDE w:val="0"/>
        <w:autoSpaceDN w:val="0"/>
        <w:adjustRightInd w:val="0"/>
        <w:spacing w:after="120"/>
        <w:rPr>
          <w:rFonts w:cs="Calibri"/>
          <w:snapToGrid/>
          <w:szCs w:val="24"/>
          <w:lang w:eastAsia="en-AU"/>
        </w:rPr>
      </w:pPr>
      <w:r>
        <w:rPr>
          <w:rFonts w:cs="Calibri"/>
          <w:snapToGrid/>
          <w:szCs w:val="24"/>
          <w:lang w:eastAsia="en-AU"/>
        </w:rPr>
        <w:t>The PBAC also considered that</w:t>
      </w:r>
      <w:r w:rsidR="00D17B31">
        <w:rPr>
          <w:rFonts w:cs="Calibri"/>
          <w:snapToGrid/>
          <w:szCs w:val="24"/>
          <w:lang w:eastAsia="en-AU"/>
        </w:rPr>
        <w:t>, in the financial estimates,</w:t>
      </w:r>
      <w:r>
        <w:rPr>
          <w:rFonts w:cs="Calibri"/>
          <w:snapToGrid/>
          <w:szCs w:val="24"/>
          <w:lang w:eastAsia="en-AU"/>
        </w:rPr>
        <w:t xml:space="preserve"> the </w:t>
      </w:r>
      <w:r w:rsidR="00235108">
        <w:rPr>
          <w:rFonts w:cs="Calibri"/>
          <w:snapToGrid/>
          <w:szCs w:val="24"/>
          <w:lang w:eastAsia="en-AU"/>
        </w:rPr>
        <w:t xml:space="preserve">average </w:t>
      </w:r>
      <w:r>
        <w:rPr>
          <w:rFonts w:cs="Calibri"/>
          <w:snapToGrid/>
          <w:szCs w:val="24"/>
          <w:lang w:eastAsia="en-AU"/>
        </w:rPr>
        <w:t>number of doses per patient of pembrolizumab and lenvatinib should be consistent with those</w:t>
      </w:r>
      <w:r w:rsidR="00D17B31">
        <w:rPr>
          <w:rFonts w:cs="Calibri"/>
          <w:snapToGrid/>
          <w:szCs w:val="24"/>
          <w:lang w:eastAsia="en-AU"/>
        </w:rPr>
        <w:t xml:space="preserve"> estimated in the economic model</w:t>
      </w:r>
      <w:r>
        <w:rPr>
          <w:rFonts w:cs="Calibri"/>
          <w:snapToGrid/>
          <w:szCs w:val="24"/>
          <w:lang w:eastAsia="en-AU"/>
        </w:rPr>
        <w:t>.</w:t>
      </w:r>
    </w:p>
    <w:p w14:paraId="5BF2C114" w14:textId="521C02F3" w:rsidR="00FE42D5" w:rsidRPr="00D17B31" w:rsidRDefault="00AD1F6D" w:rsidP="00D17B31">
      <w:pPr>
        <w:pStyle w:val="ListParagraph"/>
        <w:widowControl/>
        <w:numPr>
          <w:ilvl w:val="1"/>
          <w:numId w:val="2"/>
        </w:numPr>
        <w:autoSpaceDE w:val="0"/>
        <w:autoSpaceDN w:val="0"/>
        <w:adjustRightInd w:val="0"/>
        <w:spacing w:after="120"/>
        <w:rPr>
          <w:rFonts w:cs="Calibri"/>
          <w:snapToGrid/>
          <w:szCs w:val="24"/>
          <w:lang w:eastAsia="en-AU"/>
        </w:rPr>
      </w:pPr>
      <w:r>
        <w:rPr>
          <w:rFonts w:cs="Calibri"/>
          <w:snapToGrid/>
          <w:szCs w:val="24"/>
          <w:lang w:eastAsia="en-AU"/>
        </w:rPr>
        <w:t xml:space="preserve">The PBAC </w:t>
      </w:r>
      <w:r w:rsidR="009E4500">
        <w:rPr>
          <w:rFonts w:cs="Calibri"/>
          <w:snapToGrid/>
          <w:szCs w:val="24"/>
          <w:lang w:eastAsia="en-AU"/>
        </w:rPr>
        <w:t>advis</w:t>
      </w:r>
      <w:r>
        <w:rPr>
          <w:rFonts w:cs="Calibri"/>
          <w:snapToGrid/>
          <w:szCs w:val="24"/>
          <w:lang w:eastAsia="en-AU"/>
        </w:rPr>
        <w:t>ed that a RSA would be require</w:t>
      </w:r>
      <w:r w:rsidR="00D17B31">
        <w:rPr>
          <w:rFonts w:cs="Calibri"/>
          <w:snapToGrid/>
          <w:szCs w:val="24"/>
          <w:lang w:eastAsia="en-AU"/>
        </w:rPr>
        <w:t>d</w:t>
      </w:r>
      <w:r w:rsidR="00FE42D5" w:rsidRPr="00FE42D5">
        <w:rPr>
          <w:rFonts w:cs="Calibri"/>
          <w:snapToGrid/>
          <w:szCs w:val="24"/>
          <w:lang w:eastAsia="en-AU"/>
        </w:rPr>
        <w:t xml:space="preserve"> </w:t>
      </w:r>
      <w:r w:rsidR="00D40714">
        <w:rPr>
          <w:rFonts w:cs="Calibri"/>
          <w:snapToGrid/>
          <w:szCs w:val="24"/>
          <w:lang w:eastAsia="en-AU"/>
        </w:rPr>
        <w:t xml:space="preserve">to manage the financial risk of utilisation outside the intended population </w:t>
      </w:r>
      <w:r w:rsidR="00321951">
        <w:rPr>
          <w:rFonts w:cs="Calibri"/>
          <w:snapToGrid/>
          <w:szCs w:val="24"/>
          <w:lang w:eastAsia="en-AU"/>
        </w:rPr>
        <w:t>and the potential for use for longer durations than estimated.</w:t>
      </w:r>
      <w:r w:rsidR="00536F3D">
        <w:rPr>
          <w:rFonts w:cs="Calibri"/>
          <w:snapToGrid/>
          <w:szCs w:val="24"/>
          <w:lang w:eastAsia="en-AU"/>
        </w:rPr>
        <w:t xml:space="preserve"> The PBAC advised that any rebates for expenditure above the caps should be high in order to adequately manage these risks.</w:t>
      </w:r>
    </w:p>
    <w:p w14:paraId="69B6E0FA" w14:textId="6D670034" w:rsidR="001563C4" w:rsidRPr="001563C4" w:rsidRDefault="001563C4" w:rsidP="001563C4">
      <w:pPr>
        <w:pStyle w:val="ListParagraph"/>
        <w:widowControl/>
        <w:numPr>
          <w:ilvl w:val="1"/>
          <w:numId w:val="2"/>
        </w:numPr>
        <w:autoSpaceDE w:val="0"/>
        <w:autoSpaceDN w:val="0"/>
        <w:adjustRightInd w:val="0"/>
        <w:spacing w:after="120"/>
        <w:rPr>
          <w:rFonts w:cs="Calibri"/>
          <w:snapToGrid/>
          <w:szCs w:val="24"/>
          <w:lang w:eastAsia="en-AU"/>
        </w:rPr>
      </w:pPr>
      <w:r w:rsidRPr="001563C4">
        <w:rPr>
          <w:rFonts w:cs="Calibri"/>
          <w:snapToGrid/>
          <w:szCs w:val="24"/>
          <w:lang w:eastAsia="en-AU"/>
        </w:rPr>
        <w:t>The PBAC</w:t>
      </w:r>
      <w:r w:rsidR="00285DCC">
        <w:rPr>
          <w:rFonts w:cs="Calibri"/>
          <w:snapToGrid/>
          <w:szCs w:val="24"/>
          <w:lang w:eastAsia="en-AU"/>
        </w:rPr>
        <w:t xml:space="preserve"> considered that the listings for pembrolizumab plus lenvatinib </w:t>
      </w:r>
      <w:r w:rsidR="000903C1">
        <w:rPr>
          <w:rFonts w:cs="Calibri"/>
          <w:snapToGrid/>
          <w:szCs w:val="24"/>
          <w:lang w:eastAsia="en-AU"/>
        </w:rPr>
        <w:t>should</w:t>
      </w:r>
      <w:r w:rsidRPr="001563C4">
        <w:rPr>
          <w:rFonts w:cs="Calibri"/>
          <w:snapToGrid/>
          <w:szCs w:val="24"/>
          <w:lang w:eastAsia="en-AU"/>
        </w:rPr>
        <w:t>:</w:t>
      </w:r>
    </w:p>
    <w:p w14:paraId="27E1D35A" w14:textId="7FBA3EFD" w:rsidR="001563C4" w:rsidRPr="00B46193" w:rsidRDefault="001563C4" w:rsidP="00B46193">
      <w:pPr>
        <w:pStyle w:val="ListParagraph"/>
        <w:widowControl/>
        <w:numPr>
          <w:ilvl w:val="0"/>
          <w:numId w:val="1"/>
        </w:numPr>
        <w:ind w:left="1134" w:hanging="425"/>
        <w:contextualSpacing/>
      </w:pPr>
      <w:r w:rsidRPr="00B46193">
        <w:t>be ‘Authority Required (streamlined)’</w:t>
      </w:r>
      <w:r w:rsidR="00285DCC" w:rsidRPr="00B46193">
        <w:t>;</w:t>
      </w:r>
    </w:p>
    <w:p w14:paraId="08327B20" w14:textId="6B15FA5D" w:rsidR="001563C4" w:rsidRPr="00B46193" w:rsidRDefault="001563C4" w:rsidP="00B46193">
      <w:pPr>
        <w:pStyle w:val="ListParagraph"/>
        <w:widowControl/>
        <w:numPr>
          <w:ilvl w:val="0"/>
          <w:numId w:val="1"/>
        </w:numPr>
        <w:ind w:left="1134" w:hanging="425"/>
        <w:contextualSpacing/>
      </w:pPr>
      <w:r w:rsidRPr="00B46193">
        <w:t>allow use of either pembrolizumab or lenvatinib as single agents if a patient develops an intolerance (as proposed by the sponsor)</w:t>
      </w:r>
      <w:r w:rsidR="00285DCC" w:rsidRPr="00B46193">
        <w:t xml:space="preserve">; </w:t>
      </w:r>
    </w:p>
    <w:p w14:paraId="524E27B7" w14:textId="1D32AFEA" w:rsidR="000669E9" w:rsidRPr="000669E9" w:rsidRDefault="00774CBC" w:rsidP="000669E9">
      <w:pPr>
        <w:pStyle w:val="ListParagraph"/>
        <w:widowControl/>
        <w:numPr>
          <w:ilvl w:val="0"/>
          <w:numId w:val="1"/>
        </w:numPr>
        <w:spacing w:after="0"/>
        <w:ind w:left="1134" w:hanging="425"/>
      </w:pPr>
      <w:r>
        <w:t xml:space="preserve">allow </w:t>
      </w:r>
      <w:r w:rsidR="003C6450" w:rsidRPr="00A951BA">
        <w:rPr>
          <w:rFonts w:cs="Calibri"/>
          <w:snapToGrid/>
          <w:szCs w:val="24"/>
          <w:lang w:eastAsia="en-AU"/>
        </w:rPr>
        <w:t xml:space="preserve">use </w:t>
      </w:r>
      <w:r>
        <w:rPr>
          <w:rFonts w:cs="Calibri"/>
          <w:snapToGrid/>
          <w:szCs w:val="24"/>
          <w:lang w:eastAsia="en-AU"/>
        </w:rPr>
        <w:t xml:space="preserve">of </w:t>
      </w:r>
      <w:r w:rsidR="003C6450" w:rsidRPr="00A951BA">
        <w:rPr>
          <w:rFonts w:cs="Calibri"/>
          <w:snapToGrid/>
          <w:szCs w:val="24"/>
          <w:lang w:eastAsia="en-AU"/>
        </w:rPr>
        <w:t xml:space="preserve">pembrolizumab as a single agent </w:t>
      </w:r>
      <w:r w:rsidR="003C6450">
        <w:rPr>
          <w:rFonts w:cs="Calibri"/>
          <w:snapToGrid/>
          <w:szCs w:val="24"/>
          <w:lang w:eastAsia="en-AU"/>
        </w:rPr>
        <w:t>in patients in whom lenvatinib is contraindicated</w:t>
      </w:r>
      <w:r w:rsidR="000669E9">
        <w:rPr>
          <w:rFonts w:cs="Calibri"/>
          <w:snapToGrid/>
          <w:szCs w:val="24"/>
          <w:lang w:eastAsia="en-AU"/>
        </w:rPr>
        <w:t>; and</w:t>
      </w:r>
      <w:r w:rsidR="000669E9" w:rsidRPr="000669E9">
        <w:t xml:space="preserve"> </w:t>
      </w:r>
    </w:p>
    <w:p w14:paraId="60AAE8EC" w14:textId="33CED81B" w:rsidR="00F631AD" w:rsidRPr="00F631AD" w:rsidRDefault="000669E9" w:rsidP="007C1DAE">
      <w:pPr>
        <w:pStyle w:val="ListParagraph"/>
        <w:widowControl/>
        <w:numPr>
          <w:ilvl w:val="0"/>
          <w:numId w:val="1"/>
        </w:numPr>
        <w:ind w:left="1134" w:hanging="425"/>
      </w:pPr>
      <w:r>
        <w:t xml:space="preserve">state </w:t>
      </w:r>
      <w:r w:rsidRPr="00185795">
        <w:t>‘Patient must have received a prior platinum-based chemotherapy regimen for this condition’</w:t>
      </w:r>
      <w:r w:rsidR="00F631AD">
        <w:rPr>
          <w:rFonts w:cs="Calibri"/>
          <w:snapToGrid/>
          <w:szCs w:val="24"/>
          <w:lang w:eastAsia="en-AU"/>
        </w:rPr>
        <w:t>.</w:t>
      </w:r>
    </w:p>
    <w:p w14:paraId="05AE5943" w14:textId="77777777" w:rsidR="007C1DAE" w:rsidRDefault="00F631AD" w:rsidP="007C1DAE">
      <w:pPr>
        <w:pStyle w:val="ListParagraph"/>
        <w:widowControl/>
        <w:numPr>
          <w:ilvl w:val="1"/>
          <w:numId w:val="2"/>
        </w:numPr>
        <w:autoSpaceDE w:val="0"/>
        <w:autoSpaceDN w:val="0"/>
        <w:adjustRightInd w:val="0"/>
        <w:spacing w:after="120"/>
        <w:rPr>
          <w:rFonts w:cs="Calibri"/>
          <w:snapToGrid/>
          <w:szCs w:val="24"/>
          <w:lang w:eastAsia="en-AU"/>
        </w:rPr>
      </w:pPr>
      <w:r w:rsidRPr="007C1DAE">
        <w:rPr>
          <w:rFonts w:cs="Calibri"/>
          <w:snapToGrid/>
          <w:szCs w:val="24"/>
          <w:lang w:eastAsia="en-AU"/>
        </w:rPr>
        <w:t xml:space="preserve">The PBAC noted that the TGA had recently approved a pembrolizumab dosing regimen of 400 mg every six weeks (in addition to the 200 mg every three week regimen, which was assumed in the submission) </w:t>
      </w:r>
      <w:r w:rsidR="00017454" w:rsidRPr="007C1DAE">
        <w:rPr>
          <w:rFonts w:cs="Calibri"/>
          <w:snapToGrid/>
          <w:szCs w:val="24"/>
          <w:lang w:eastAsia="en-AU"/>
        </w:rPr>
        <w:t xml:space="preserve">across all indications, but that the sponsor had not specifically requested listing of </w:t>
      </w:r>
      <w:r w:rsidR="007C1DAE">
        <w:rPr>
          <w:rFonts w:cs="Calibri"/>
          <w:snapToGrid/>
          <w:szCs w:val="24"/>
          <w:lang w:eastAsia="en-AU"/>
        </w:rPr>
        <w:t>this</w:t>
      </w:r>
      <w:r w:rsidR="00017454" w:rsidRPr="007C1DAE">
        <w:rPr>
          <w:rFonts w:cs="Calibri"/>
          <w:snapToGrid/>
          <w:szCs w:val="24"/>
          <w:lang w:eastAsia="en-AU"/>
        </w:rPr>
        <w:t xml:space="preserve"> regimen in this indication. </w:t>
      </w:r>
      <w:r w:rsidRPr="007C1DAE">
        <w:rPr>
          <w:rFonts w:cs="Calibri"/>
          <w:snapToGrid/>
          <w:szCs w:val="24"/>
          <w:lang w:eastAsia="en-AU"/>
        </w:rPr>
        <w:t xml:space="preserve">The PBAC advised that it would be appropriate for </w:t>
      </w:r>
      <w:r w:rsidR="007C1DAE">
        <w:rPr>
          <w:rFonts w:cs="Calibri"/>
          <w:snapToGrid/>
          <w:szCs w:val="24"/>
          <w:lang w:eastAsia="en-AU"/>
        </w:rPr>
        <w:t xml:space="preserve">the </w:t>
      </w:r>
      <w:r w:rsidR="00017454" w:rsidRPr="007C1DAE">
        <w:rPr>
          <w:rFonts w:cs="Calibri"/>
          <w:snapToGrid/>
          <w:szCs w:val="24"/>
          <w:lang w:eastAsia="en-AU"/>
        </w:rPr>
        <w:t>pembrolizumab list</w:t>
      </w:r>
      <w:r w:rsidR="007C1DAE">
        <w:rPr>
          <w:rFonts w:cs="Calibri"/>
          <w:snapToGrid/>
          <w:szCs w:val="24"/>
          <w:lang w:eastAsia="en-AU"/>
        </w:rPr>
        <w:t xml:space="preserve">ing to also allow use of the 400 mg every six week regimen. </w:t>
      </w:r>
    </w:p>
    <w:p w14:paraId="1523FF3D" w14:textId="607A0FB1" w:rsidR="003C740B" w:rsidRPr="007C1DAE" w:rsidRDefault="003C740B" w:rsidP="0030377A">
      <w:pPr>
        <w:autoSpaceDE w:val="0"/>
        <w:autoSpaceDN w:val="0"/>
        <w:adjustRightInd w:val="0"/>
        <w:spacing w:after="120"/>
        <w:outlineLvl w:val="1"/>
        <w:rPr>
          <w:rFonts w:cs="Calibri"/>
          <w:i/>
          <w:snapToGrid/>
          <w:szCs w:val="24"/>
          <w:u w:val="single"/>
          <w:lang w:eastAsia="en-AU"/>
        </w:rPr>
      </w:pPr>
      <w:r w:rsidRPr="007C1DAE">
        <w:rPr>
          <w:rFonts w:cs="Calibri"/>
          <w:i/>
          <w:snapToGrid/>
          <w:szCs w:val="24"/>
          <w:u w:val="single"/>
          <w:lang w:eastAsia="en-AU"/>
        </w:rPr>
        <w:t>Pembrolizumab monotherapy in</w:t>
      </w:r>
      <w:r w:rsidR="00BE7D46" w:rsidRPr="007C1DAE">
        <w:rPr>
          <w:rFonts w:cs="Calibri"/>
          <w:i/>
          <w:snapToGrid/>
          <w:szCs w:val="24"/>
          <w:u w:val="single"/>
          <w:lang w:eastAsia="en-AU"/>
        </w:rPr>
        <w:t xml:space="preserve"> the</w:t>
      </w:r>
      <w:r w:rsidRPr="007C1DAE">
        <w:rPr>
          <w:rFonts w:cs="Calibri"/>
          <w:i/>
          <w:snapToGrid/>
          <w:szCs w:val="24"/>
          <w:u w:val="single"/>
          <w:lang w:eastAsia="en-AU"/>
        </w:rPr>
        <w:t xml:space="preserve"> dMMR </w:t>
      </w:r>
      <w:r w:rsidR="00BE7D46" w:rsidRPr="007C1DAE">
        <w:rPr>
          <w:rFonts w:cs="Calibri"/>
          <w:i/>
          <w:snapToGrid/>
          <w:szCs w:val="24"/>
          <w:u w:val="single"/>
          <w:lang w:eastAsia="en-AU"/>
        </w:rPr>
        <w:t>population</w:t>
      </w:r>
    </w:p>
    <w:p w14:paraId="63FA7AD8" w14:textId="4A265061" w:rsidR="00A94A16" w:rsidRPr="00CE4D60" w:rsidRDefault="00A94A16" w:rsidP="00A94A16">
      <w:pPr>
        <w:pStyle w:val="ListParagraph"/>
        <w:widowControl/>
        <w:numPr>
          <w:ilvl w:val="1"/>
          <w:numId w:val="2"/>
        </w:numPr>
        <w:rPr>
          <w:rFonts w:cs="Calibri"/>
          <w:snapToGrid/>
          <w:sz w:val="22"/>
        </w:rPr>
      </w:pPr>
      <w:r>
        <w:t xml:space="preserve">The PBAC did not recommend the listing of pembrolizumab for use as monotherapy in patients with deficient DNA mismatch repair (dMMR) endometrial cancer. The PBAC considered that the clinical benefit of monotherapy, which was based on a relatively small single arm study, was uncertain. </w:t>
      </w:r>
      <w:r w:rsidR="001563C4">
        <w:t>Further, t</w:t>
      </w:r>
      <w:r>
        <w:t xml:space="preserve">he PBAC considered that the incremental benefit versus chemotherapy had not been </w:t>
      </w:r>
      <w:r w:rsidR="001563C4">
        <w:t xml:space="preserve">adequately </w:t>
      </w:r>
      <w:r>
        <w:t xml:space="preserve">quantified in the submission, and thus the </w:t>
      </w:r>
      <w:r w:rsidRPr="0019546E">
        <w:t xml:space="preserve">cost-effectiveness could not be assessed. </w:t>
      </w:r>
      <w:r>
        <w:t xml:space="preserve">As outlined above, the PBAC recommended that combination therapy with pembrolizumab and lenvatinib be available for all-comers (including patients with dMMR) consistent with the KN775 trial. </w:t>
      </w:r>
    </w:p>
    <w:p w14:paraId="439D9408" w14:textId="76EF1602" w:rsidR="003C740B" w:rsidRDefault="00D87B1B" w:rsidP="00D723B1">
      <w:pPr>
        <w:pStyle w:val="ListParagraph"/>
        <w:widowControl/>
        <w:numPr>
          <w:ilvl w:val="1"/>
          <w:numId w:val="2"/>
        </w:numPr>
        <w:spacing w:after="120"/>
        <w:rPr>
          <w:rFonts w:cs="Calibri"/>
          <w:snapToGrid/>
          <w:szCs w:val="24"/>
          <w:lang w:eastAsia="en-AU"/>
        </w:rPr>
      </w:pPr>
      <w:r>
        <w:rPr>
          <w:rFonts w:cs="Calibri"/>
          <w:snapToGrid/>
          <w:szCs w:val="24"/>
          <w:lang w:eastAsia="en-AU"/>
        </w:rPr>
        <w:t xml:space="preserve">The PBAC noted that the </w:t>
      </w:r>
      <w:r w:rsidR="00075CA7">
        <w:rPr>
          <w:rFonts w:cs="Calibri"/>
          <w:snapToGrid/>
          <w:szCs w:val="24"/>
          <w:lang w:eastAsia="en-AU"/>
        </w:rPr>
        <w:t xml:space="preserve">clinical evidence to support the efficacy of </w:t>
      </w:r>
      <w:r>
        <w:rPr>
          <w:rFonts w:cs="Calibri"/>
          <w:snapToGrid/>
          <w:szCs w:val="24"/>
          <w:lang w:eastAsia="en-AU"/>
        </w:rPr>
        <w:t xml:space="preserve">pembrolizumab monotherapy was </w:t>
      </w:r>
      <w:r w:rsidR="00075CA7">
        <w:rPr>
          <w:rFonts w:cs="Calibri"/>
          <w:snapToGrid/>
          <w:szCs w:val="24"/>
          <w:lang w:eastAsia="en-AU"/>
        </w:rPr>
        <w:t>from</w:t>
      </w:r>
      <w:r>
        <w:rPr>
          <w:rFonts w:cs="Calibri"/>
          <w:snapToGrid/>
          <w:szCs w:val="24"/>
          <w:lang w:eastAsia="en-AU"/>
        </w:rPr>
        <w:t xml:space="preserve"> a small</w:t>
      </w:r>
      <w:r w:rsidR="00D723B1">
        <w:rPr>
          <w:rFonts w:cs="Calibri"/>
          <w:snapToGrid/>
          <w:szCs w:val="24"/>
          <w:lang w:eastAsia="en-AU"/>
        </w:rPr>
        <w:t xml:space="preserve"> </w:t>
      </w:r>
      <w:r>
        <w:rPr>
          <w:rFonts w:cs="Calibri"/>
          <w:snapToGrid/>
          <w:szCs w:val="24"/>
          <w:lang w:eastAsia="en-AU"/>
        </w:rPr>
        <w:t>single arm study</w:t>
      </w:r>
      <w:r w:rsidR="005B43E7">
        <w:rPr>
          <w:rFonts w:cs="Calibri"/>
          <w:snapToGrid/>
          <w:szCs w:val="24"/>
          <w:lang w:eastAsia="en-AU"/>
        </w:rPr>
        <w:t>, KN158</w:t>
      </w:r>
      <w:r>
        <w:rPr>
          <w:rFonts w:cs="Calibri"/>
          <w:snapToGrid/>
          <w:szCs w:val="24"/>
          <w:lang w:eastAsia="en-AU"/>
        </w:rPr>
        <w:t>.</w:t>
      </w:r>
      <w:r w:rsidR="001C5455">
        <w:rPr>
          <w:rFonts w:cs="Calibri"/>
          <w:snapToGrid/>
          <w:szCs w:val="24"/>
          <w:lang w:eastAsia="en-AU"/>
        </w:rPr>
        <w:t xml:space="preserve"> </w:t>
      </w:r>
      <w:r w:rsidR="00BE7D46">
        <w:rPr>
          <w:rFonts w:cs="Calibri"/>
          <w:snapToGrid/>
          <w:szCs w:val="24"/>
          <w:lang w:eastAsia="en-AU"/>
        </w:rPr>
        <w:t xml:space="preserve">This was a ‘basket study’ of multiple cohorts of patients with various tumours, </w:t>
      </w:r>
      <w:r w:rsidR="00820E5E">
        <w:rPr>
          <w:rFonts w:cs="Calibri"/>
          <w:snapToGrid/>
          <w:szCs w:val="24"/>
          <w:lang w:eastAsia="en-AU"/>
        </w:rPr>
        <w:t>in which</w:t>
      </w:r>
      <w:r w:rsidR="00BE7D46">
        <w:rPr>
          <w:rFonts w:cs="Calibri"/>
          <w:snapToGrid/>
          <w:szCs w:val="24"/>
          <w:lang w:eastAsia="en-AU"/>
        </w:rPr>
        <w:t xml:space="preserve"> 9</w:t>
      </w:r>
      <w:r w:rsidR="00EF6744">
        <w:rPr>
          <w:rFonts w:cs="Calibri"/>
          <w:snapToGrid/>
          <w:szCs w:val="24"/>
          <w:lang w:eastAsia="en-AU"/>
        </w:rPr>
        <w:t>0</w:t>
      </w:r>
      <w:r w:rsidR="00BE7D46">
        <w:rPr>
          <w:rFonts w:cs="Calibri"/>
          <w:snapToGrid/>
          <w:szCs w:val="24"/>
          <w:lang w:eastAsia="en-AU"/>
        </w:rPr>
        <w:t xml:space="preserve"> patients </w:t>
      </w:r>
      <w:r w:rsidR="00820E5E">
        <w:rPr>
          <w:rFonts w:cs="Calibri"/>
          <w:snapToGrid/>
          <w:szCs w:val="24"/>
          <w:lang w:eastAsia="en-AU"/>
        </w:rPr>
        <w:t xml:space="preserve">had </w:t>
      </w:r>
      <w:r w:rsidR="00BE7D46">
        <w:rPr>
          <w:rFonts w:cs="Calibri"/>
          <w:snapToGrid/>
          <w:szCs w:val="24"/>
          <w:lang w:eastAsia="en-AU"/>
        </w:rPr>
        <w:t xml:space="preserve">dMMR endometrial cancer. </w:t>
      </w:r>
      <w:r w:rsidR="00D723B1">
        <w:rPr>
          <w:rFonts w:cs="Calibri"/>
          <w:snapToGrid/>
          <w:szCs w:val="24"/>
          <w:lang w:eastAsia="en-AU"/>
        </w:rPr>
        <w:t>The submission presented a</w:t>
      </w:r>
      <w:r w:rsidR="001C5455">
        <w:rPr>
          <w:rFonts w:cs="Calibri"/>
          <w:snapToGrid/>
          <w:szCs w:val="24"/>
          <w:lang w:eastAsia="en-AU"/>
        </w:rPr>
        <w:t xml:space="preserve"> n</w:t>
      </w:r>
      <w:r w:rsidR="001C5455" w:rsidRPr="001C5455">
        <w:rPr>
          <w:rFonts w:cs="Calibri"/>
          <w:snapToGrid/>
          <w:szCs w:val="24"/>
          <w:lang w:eastAsia="en-AU"/>
        </w:rPr>
        <w:t>aïve side</w:t>
      </w:r>
      <w:r w:rsidR="00BE7D46">
        <w:rPr>
          <w:rFonts w:cs="Calibri"/>
          <w:snapToGrid/>
          <w:szCs w:val="24"/>
          <w:lang w:eastAsia="en-AU"/>
        </w:rPr>
        <w:t>-</w:t>
      </w:r>
      <w:r w:rsidR="001C5455" w:rsidRPr="001C5455">
        <w:rPr>
          <w:rFonts w:cs="Calibri"/>
          <w:snapToGrid/>
          <w:szCs w:val="24"/>
          <w:lang w:eastAsia="en-AU"/>
        </w:rPr>
        <w:t>by</w:t>
      </w:r>
      <w:r w:rsidR="00BE7D46">
        <w:rPr>
          <w:rFonts w:cs="Calibri"/>
          <w:snapToGrid/>
          <w:szCs w:val="24"/>
          <w:lang w:eastAsia="en-AU"/>
        </w:rPr>
        <w:t>-</w:t>
      </w:r>
      <w:r w:rsidR="001C5455" w:rsidRPr="001C5455">
        <w:rPr>
          <w:rFonts w:cs="Calibri"/>
          <w:snapToGrid/>
          <w:szCs w:val="24"/>
          <w:lang w:eastAsia="en-AU"/>
        </w:rPr>
        <w:t xml:space="preserve">side comparison </w:t>
      </w:r>
      <w:r w:rsidR="00BE7D46">
        <w:rPr>
          <w:rFonts w:cs="Calibri"/>
          <w:snapToGrid/>
          <w:szCs w:val="24"/>
          <w:lang w:eastAsia="en-AU"/>
        </w:rPr>
        <w:t>of</w:t>
      </w:r>
      <w:r w:rsidR="00D723B1">
        <w:rPr>
          <w:rFonts w:cs="Calibri"/>
          <w:snapToGrid/>
          <w:szCs w:val="24"/>
          <w:lang w:eastAsia="en-AU"/>
        </w:rPr>
        <w:t xml:space="preserve"> </w:t>
      </w:r>
      <w:r w:rsidR="001C5455" w:rsidRPr="001C5455">
        <w:rPr>
          <w:rFonts w:cs="Calibri"/>
          <w:snapToGrid/>
          <w:szCs w:val="24"/>
          <w:lang w:eastAsia="en-AU"/>
        </w:rPr>
        <w:t xml:space="preserve">point estimates of OS </w:t>
      </w:r>
      <w:r w:rsidR="00075CA7">
        <w:rPr>
          <w:rFonts w:cs="Calibri"/>
          <w:snapToGrid/>
          <w:szCs w:val="24"/>
          <w:lang w:eastAsia="en-AU"/>
        </w:rPr>
        <w:t xml:space="preserve">observed </w:t>
      </w:r>
      <w:r w:rsidR="00BE7D46">
        <w:rPr>
          <w:rFonts w:cs="Calibri"/>
          <w:snapToGrid/>
          <w:szCs w:val="24"/>
          <w:lang w:eastAsia="en-AU"/>
        </w:rPr>
        <w:t>in KN158 versus the</w:t>
      </w:r>
      <w:r w:rsidR="001C5455" w:rsidRPr="001C5455">
        <w:rPr>
          <w:rFonts w:cs="Calibri"/>
          <w:snapToGrid/>
          <w:szCs w:val="24"/>
          <w:lang w:eastAsia="en-AU"/>
        </w:rPr>
        <w:t xml:space="preserve"> </w:t>
      </w:r>
      <w:r w:rsidR="00BE7D46" w:rsidRPr="001C5455">
        <w:rPr>
          <w:rFonts w:cs="Calibri"/>
          <w:snapToGrid/>
          <w:szCs w:val="24"/>
          <w:lang w:eastAsia="en-AU"/>
        </w:rPr>
        <w:t xml:space="preserve">chemotherapy arm of </w:t>
      </w:r>
      <w:r w:rsidR="00075CA7">
        <w:rPr>
          <w:rFonts w:cs="Calibri"/>
          <w:snapToGrid/>
          <w:szCs w:val="24"/>
          <w:lang w:eastAsia="en-AU"/>
        </w:rPr>
        <w:t xml:space="preserve">the </w:t>
      </w:r>
      <w:r w:rsidR="001C5455" w:rsidRPr="001C5455">
        <w:rPr>
          <w:rFonts w:cs="Calibri"/>
          <w:snapToGrid/>
          <w:szCs w:val="24"/>
          <w:lang w:eastAsia="en-AU"/>
        </w:rPr>
        <w:t xml:space="preserve">dMMR </w:t>
      </w:r>
      <w:r w:rsidR="00BE7D46">
        <w:rPr>
          <w:rFonts w:cs="Calibri"/>
          <w:snapToGrid/>
          <w:szCs w:val="24"/>
          <w:lang w:eastAsia="en-AU"/>
        </w:rPr>
        <w:t>subgroup</w:t>
      </w:r>
      <w:r w:rsidR="00075CA7">
        <w:rPr>
          <w:rFonts w:cs="Calibri"/>
          <w:snapToGrid/>
          <w:szCs w:val="24"/>
          <w:lang w:eastAsia="en-AU"/>
        </w:rPr>
        <w:t xml:space="preserve"> in KN775</w:t>
      </w:r>
      <w:r w:rsidR="001C5455" w:rsidRPr="001C5455">
        <w:rPr>
          <w:rFonts w:cs="Calibri"/>
          <w:snapToGrid/>
          <w:szCs w:val="24"/>
          <w:lang w:eastAsia="en-AU"/>
        </w:rPr>
        <w:t xml:space="preserve">. </w:t>
      </w:r>
      <w:r w:rsidR="00BE7D46">
        <w:rPr>
          <w:rFonts w:cs="Calibri"/>
          <w:snapToGrid/>
          <w:szCs w:val="24"/>
          <w:lang w:eastAsia="en-AU"/>
        </w:rPr>
        <w:t xml:space="preserve">The PBAC considered there was a high risk of bias with this analysis given the </w:t>
      </w:r>
      <w:r w:rsidR="00820E5E">
        <w:rPr>
          <w:rFonts w:cs="Calibri"/>
          <w:snapToGrid/>
          <w:szCs w:val="24"/>
          <w:lang w:eastAsia="en-AU"/>
        </w:rPr>
        <w:t xml:space="preserve">naïve nature of the comparison. </w:t>
      </w:r>
      <w:r w:rsidR="000035F0">
        <w:rPr>
          <w:rFonts w:cs="Calibri"/>
          <w:snapToGrid/>
          <w:szCs w:val="24"/>
          <w:lang w:eastAsia="en-AU"/>
        </w:rPr>
        <w:t>The PBAC considered</w:t>
      </w:r>
      <w:r w:rsidR="00DA4C1E">
        <w:rPr>
          <w:rFonts w:cs="Calibri"/>
          <w:snapToGrid/>
          <w:szCs w:val="24"/>
          <w:lang w:eastAsia="en-AU"/>
        </w:rPr>
        <w:t xml:space="preserve"> that</w:t>
      </w:r>
      <w:r w:rsidR="00D723B1">
        <w:rPr>
          <w:rFonts w:cs="Calibri"/>
          <w:snapToGrid/>
          <w:szCs w:val="24"/>
          <w:lang w:eastAsia="en-AU"/>
        </w:rPr>
        <w:t xml:space="preserve">, although the </w:t>
      </w:r>
      <w:r w:rsidR="00D723B1" w:rsidRPr="00ED6EDE">
        <w:rPr>
          <w:iCs/>
        </w:rPr>
        <w:t>claim of superior efficacy for pembrolizumab monotherapy in patients with dMMR tumours was likely supported</w:t>
      </w:r>
      <w:r w:rsidR="00D723B1">
        <w:rPr>
          <w:rFonts w:cs="Calibri"/>
          <w:snapToGrid/>
          <w:szCs w:val="24"/>
          <w:lang w:eastAsia="en-AU"/>
        </w:rPr>
        <w:t>,</w:t>
      </w:r>
      <w:r w:rsidR="000035F0">
        <w:rPr>
          <w:rFonts w:cs="Calibri"/>
          <w:snapToGrid/>
          <w:szCs w:val="24"/>
          <w:lang w:eastAsia="en-AU"/>
        </w:rPr>
        <w:t xml:space="preserve"> the</w:t>
      </w:r>
      <w:r w:rsidR="001C5455">
        <w:rPr>
          <w:rFonts w:cs="Calibri"/>
          <w:snapToGrid/>
          <w:szCs w:val="24"/>
          <w:lang w:eastAsia="en-AU"/>
        </w:rPr>
        <w:t xml:space="preserve"> magnitude of any</w:t>
      </w:r>
      <w:r w:rsidR="000035F0">
        <w:rPr>
          <w:rFonts w:cs="Calibri"/>
          <w:snapToGrid/>
          <w:szCs w:val="24"/>
          <w:lang w:eastAsia="en-AU"/>
        </w:rPr>
        <w:t xml:space="preserve"> incremental benefit </w:t>
      </w:r>
      <w:r w:rsidR="001C5455">
        <w:rPr>
          <w:rFonts w:cs="Calibri"/>
          <w:snapToGrid/>
          <w:szCs w:val="24"/>
          <w:lang w:eastAsia="en-AU"/>
        </w:rPr>
        <w:t>could not be determined based on the evidence provided</w:t>
      </w:r>
      <w:r w:rsidR="00D723B1">
        <w:rPr>
          <w:rFonts w:cs="Calibri"/>
          <w:snapToGrid/>
          <w:szCs w:val="24"/>
          <w:lang w:eastAsia="en-AU"/>
        </w:rPr>
        <w:t xml:space="preserve">. </w:t>
      </w:r>
    </w:p>
    <w:p w14:paraId="1B93AA68" w14:textId="19AAD030" w:rsidR="00F50B46" w:rsidRPr="001563C4" w:rsidRDefault="00820E5E" w:rsidP="001563C4">
      <w:pPr>
        <w:pStyle w:val="ListParagraph"/>
        <w:widowControl/>
        <w:numPr>
          <w:ilvl w:val="1"/>
          <w:numId w:val="2"/>
        </w:numPr>
        <w:spacing w:after="120"/>
        <w:rPr>
          <w:rFonts w:cs="Calibri"/>
          <w:snapToGrid/>
          <w:szCs w:val="24"/>
          <w:lang w:eastAsia="en-AU"/>
        </w:rPr>
      </w:pPr>
      <w:r>
        <w:rPr>
          <w:rFonts w:cs="Calibri"/>
          <w:snapToGrid/>
          <w:szCs w:val="24"/>
          <w:lang w:eastAsia="en-AU"/>
        </w:rPr>
        <w:t>T</w:t>
      </w:r>
      <w:r w:rsidRPr="001563C4">
        <w:rPr>
          <w:rFonts w:cs="Calibri"/>
          <w:snapToGrid/>
          <w:szCs w:val="24"/>
          <w:lang w:eastAsia="en-AU"/>
        </w:rPr>
        <w:t xml:space="preserve">he submission had also included a naïve side-by-side comparison of pembrolizumab monotherapy (from KN158) versus the pembrolizumab plus lenvatinib arm of </w:t>
      </w:r>
      <w:r w:rsidR="00075CA7">
        <w:rPr>
          <w:rFonts w:cs="Calibri"/>
          <w:snapToGrid/>
          <w:szCs w:val="24"/>
          <w:lang w:eastAsia="en-AU"/>
        </w:rPr>
        <w:t xml:space="preserve">the </w:t>
      </w:r>
      <w:r w:rsidR="00075CA7" w:rsidRPr="001563C4">
        <w:rPr>
          <w:rFonts w:cs="Calibri"/>
          <w:snapToGrid/>
          <w:szCs w:val="24"/>
          <w:lang w:eastAsia="en-AU"/>
        </w:rPr>
        <w:t xml:space="preserve">dMMR subgroup </w:t>
      </w:r>
      <w:r w:rsidR="00075CA7">
        <w:rPr>
          <w:rFonts w:cs="Calibri"/>
          <w:snapToGrid/>
          <w:szCs w:val="24"/>
          <w:lang w:eastAsia="en-AU"/>
        </w:rPr>
        <w:t>in KN775</w:t>
      </w:r>
      <w:r w:rsidRPr="001563C4">
        <w:rPr>
          <w:rFonts w:cs="Calibri"/>
          <w:snapToGrid/>
          <w:szCs w:val="24"/>
          <w:lang w:eastAsia="en-AU"/>
        </w:rPr>
        <w:t xml:space="preserve">. The PBAC considered that this comparison was also subject to a high risk of bias, and the committee considered </w:t>
      </w:r>
      <w:r w:rsidR="001563C4">
        <w:rPr>
          <w:rFonts w:cs="Calibri"/>
          <w:snapToGrid/>
          <w:szCs w:val="24"/>
          <w:lang w:eastAsia="en-AU"/>
        </w:rPr>
        <w:t xml:space="preserve">that (though not the relevant comparison at the time the submission was made) </w:t>
      </w:r>
      <w:r w:rsidRPr="001563C4">
        <w:rPr>
          <w:rFonts w:cs="Calibri"/>
          <w:snapToGrid/>
          <w:szCs w:val="24"/>
          <w:lang w:eastAsia="en-AU"/>
        </w:rPr>
        <w:t xml:space="preserve">there was insufficient evidence to support a comparative assessment between </w:t>
      </w:r>
      <w:r w:rsidR="002F619A" w:rsidRPr="001563C4">
        <w:rPr>
          <w:rFonts w:cs="Calibri"/>
          <w:snapToGrid/>
          <w:szCs w:val="24"/>
          <w:lang w:eastAsia="en-AU"/>
        </w:rPr>
        <w:t>pembrolizumab monotherapy</w:t>
      </w:r>
      <w:r w:rsidRPr="001563C4">
        <w:rPr>
          <w:rFonts w:cs="Calibri"/>
          <w:snapToGrid/>
          <w:szCs w:val="24"/>
          <w:lang w:eastAsia="en-AU"/>
        </w:rPr>
        <w:t xml:space="preserve"> and pembrolizumab plus lenvatinib combination therapy.</w:t>
      </w:r>
      <w:r w:rsidR="002F619A" w:rsidRPr="001563C4">
        <w:rPr>
          <w:rFonts w:cs="Calibri"/>
          <w:snapToGrid/>
          <w:szCs w:val="24"/>
          <w:lang w:eastAsia="en-AU"/>
        </w:rPr>
        <w:t xml:space="preserve"> </w:t>
      </w:r>
    </w:p>
    <w:p w14:paraId="1C179A6D" w14:textId="66F283B5" w:rsidR="001563C4" w:rsidRDefault="001563C4" w:rsidP="001563C4">
      <w:pPr>
        <w:pStyle w:val="ListParagraph"/>
        <w:widowControl/>
        <w:numPr>
          <w:ilvl w:val="1"/>
          <w:numId w:val="2"/>
        </w:numPr>
        <w:spacing w:after="120"/>
        <w:rPr>
          <w:rFonts w:cs="Calibri"/>
          <w:snapToGrid/>
          <w:szCs w:val="24"/>
          <w:lang w:eastAsia="en-AU"/>
        </w:rPr>
      </w:pPr>
      <w:r w:rsidRPr="001563C4">
        <w:rPr>
          <w:rFonts w:cs="Calibri"/>
          <w:snapToGrid/>
          <w:szCs w:val="24"/>
          <w:lang w:eastAsia="en-AU"/>
        </w:rPr>
        <w:t xml:space="preserve">The PBAC noted that randomised trial data were available to support the use of combination therapy with pembrolizumab plus lenvatinib in this cohort of patients, albeit included in the ITT </w:t>
      </w:r>
      <w:r w:rsidR="00DA4C1E" w:rsidRPr="001563C4">
        <w:rPr>
          <w:rFonts w:cs="Calibri"/>
          <w:snapToGrid/>
          <w:szCs w:val="24"/>
          <w:lang w:eastAsia="en-AU"/>
        </w:rPr>
        <w:t xml:space="preserve">population </w:t>
      </w:r>
      <w:r w:rsidRPr="001563C4">
        <w:rPr>
          <w:rFonts w:cs="Calibri"/>
          <w:snapToGrid/>
          <w:szCs w:val="24"/>
          <w:lang w:eastAsia="en-AU"/>
        </w:rPr>
        <w:t>of the KN775 trial.</w:t>
      </w:r>
    </w:p>
    <w:p w14:paraId="6BC6AC38" w14:textId="280DCBD2" w:rsidR="00764B19" w:rsidRPr="00F032F2" w:rsidRDefault="00764B19" w:rsidP="00764B19">
      <w:pPr>
        <w:pStyle w:val="ListParagraph"/>
        <w:widowControl/>
        <w:numPr>
          <w:ilvl w:val="1"/>
          <w:numId w:val="2"/>
        </w:numPr>
        <w:spacing w:after="120"/>
      </w:pPr>
      <w:r w:rsidRPr="00F032F2">
        <w:t>The PBAC considered that the claim of superior comparative safety of pembrolizumab monotherapy versus chemotherapy was not adequately supported</w:t>
      </w:r>
      <w:r>
        <w:t>, noting that n</w:t>
      </w:r>
      <w:r w:rsidRPr="00764B19">
        <w:t>o comparative safety data was presented</w:t>
      </w:r>
      <w:r>
        <w:t xml:space="preserve"> in the submission.</w:t>
      </w:r>
    </w:p>
    <w:p w14:paraId="0C0F1BE8" w14:textId="49351154" w:rsidR="002F619A" w:rsidRPr="00075CA7" w:rsidRDefault="00075CA7" w:rsidP="00075CA7">
      <w:pPr>
        <w:pStyle w:val="ListParagraph"/>
        <w:widowControl/>
        <w:numPr>
          <w:ilvl w:val="1"/>
          <w:numId w:val="2"/>
        </w:numPr>
        <w:spacing w:after="120"/>
        <w:rPr>
          <w:rFonts w:cs="Calibri"/>
          <w:snapToGrid/>
          <w:szCs w:val="24"/>
          <w:lang w:eastAsia="en-AU"/>
        </w:rPr>
      </w:pPr>
      <w:r>
        <w:t xml:space="preserve">As outlined above, the submission </w:t>
      </w:r>
      <w:r w:rsidRPr="00075CA7">
        <w:t>did not specifically assess the cost-effectiveness of pembrolizumab monotherapy versus chemotherapy</w:t>
      </w:r>
      <w:r>
        <w:t xml:space="preserve"> (instead </w:t>
      </w:r>
      <w:r w:rsidR="00DA4C1E">
        <w:t xml:space="preserve">only </w:t>
      </w:r>
      <w:r>
        <w:t xml:space="preserve">modelling combination therapy based on the ITT results from KN775). Further, the PBAC considered that the incremental benefit versus chemotherapy had not been adequately quantified in the submission, and thus the </w:t>
      </w:r>
      <w:r w:rsidRPr="0019546E">
        <w:t>cost-effectiveness could not be assessed</w:t>
      </w:r>
      <w:r>
        <w:t xml:space="preserve">. </w:t>
      </w:r>
    </w:p>
    <w:p w14:paraId="003AA7EB" w14:textId="18D1341F" w:rsidR="00F50B46" w:rsidRPr="00075CA7" w:rsidRDefault="00075CA7" w:rsidP="00F50B46">
      <w:pPr>
        <w:widowControl/>
        <w:autoSpaceDE w:val="0"/>
        <w:autoSpaceDN w:val="0"/>
        <w:adjustRightInd w:val="0"/>
        <w:spacing w:after="120"/>
        <w:jc w:val="left"/>
        <w:rPr>
          <w:rFonts w:cs="Calibri"/>
          <w:i/>
          <w:snapToGrid/>
          <w:szCs w:val="24"/>
          <w:u w:val="single"/>
          <w:lang w:eastAsia="en-AU"/>
        </w:rPr>
      </w:pPr>
      <w:r>
        <w:rPr>
          <w:rFonts w:cs="Calibri"/>
          <w:i/>
          <w:snapToGrid/>
          <w:szCs w:val="24"/>
          <w:u w:val="single"/>
          <w:lang w:eastAsia="en-AU"/>
        </w:rPr>
        <w:t>General</w:t>
      </w:r>
    </w:p>
    <w:p w14:paraId="200E63B6" w14:textId="50ABFDA7" w:rsidR="002F619A" w:rsidRPr="007D71EE" w:rsidRDefault="002F619A" w:rsidP="002F619A">
      <w:pPr>
        <w:pStyle w:val="ListParagraph"/>
        <w:widowControl/>
        <w:numPr>
          <w:ilvl w:val="1"/>
          <w:numId w:val="2"/>
        </w:numPr>
      </w:pPr>
      <w:r w:rsidRPr="007D71EE">
        <w:t xml:space="preserve">The PBAC found that the criteria prescribed by the </w:t>
      </w:r>
      <w:r w:rsidRPr="007D71EE">
        <w:rPr>
          <w:i/>
        </w:rPr>
        <w:t>National Health (Pharmaceuticals and Vaccines – Cost Recovery) Regulations 2009</w:t>
      </w:r>
      <w:r w:rsidRPr="007D71EE">
        <w:t xml:space="preserve"> for Pricing Pathway A were met. Specifically the PBAC found that in the circumstances of its recommendation for pembrolizumab in combination with lenvatinib:</w:t>
      </w:r>
    </w:p>
    <w:p w14:paraId="6313F756" w14:textId="265CC5CC" w:rsidR="002F619A" w:rsidRPr="007D71EE" w:rsidRDefault="002F619A" w:rsidP="00D6101F">
      <w:pPr>
        <w:widowControl/>
        <w:autoSpaceDE w:val="0"/>
        <w:autoSpaceDN w:val="0"/>
        <w:adjustRightInd w:val="0"/>
        <w:spacing w:after="120"/>
        <w:ind w:left="720" w:hanging="11"/>
      </w:pPr>
      <w:r w:rsidRPr="007D71EE">
        <w:t>a)</w:t>
      </w:r>
      <w:r w:rsidR="00D6101F">
        <w:t xml:space="preserve"> </w:t>
      </w:r>
      <w:r w:rsidRPr="007D71EE">
        <w:t xml:space="preserve">The treatment is expected to provide a substantial and clinically relevant improvement in efficacy over </w:t>
      </w:r>
      <w:r w:rsidR="007D71EE">
        <w:t>chemotherapy</w:t>
      </w:r>
      <w:r w:rsidR="00EE0EF1">
        <w:t xml:space="preserve"> on the basis of the OS</w:t>
      </w:r>
      <w:r w:rsidRPr="007D71EE">
        <w:t xml:space="preserve"> </w:t>
      </w:r>
      <w:r w:rsidR="00EE0EF1">
        <w:t>gain observed in KN775;</w:t>
      </w:r>
    </w:p>
    <w:p w14:paraId="10047D41" w14:textId="433A02E2" w:rsidR="002F619A" w:rsidRPr="007D71EE" w:rsidRDefault="002F619A" w:rsidP="00D6101F">
      <w:pPr>
        <w:widowControl/>
        <w:autoSpaceDE w:val="0"/>
        <w:autoSpaceDN w:val="0"/>
        <w:adjustRightInd w:val="0"/>
        <w:spacing w:after="120"/>
        <w:ind w:left="720" w:hanging="11"/>
      </w:pPr>
      <w:r w:rsidRPr="007D71EE">
        <w:t>b)</w:t>
      </w:r>
      <w:r w:rsidR="00D6101F">
        <w:t xml:space="preserve"> </w:t>
      </w:r>
      <w:r w:rsidRPr="007D71EE">
        <w:t xml:space="preserve">The treatment is expected to address a high and urgent unmet clinical need </w:t>
      </w:r>
      <w:r w:rsidR="00EE0EF1">
        <w:t xml:space="preserve">in the proposed population; </w:t>
      </w:r>
    </w:p>
    <w:p w14:paraId="7CF499FF" w14:textId="420F0FFA" w:rsidR="002F619A" w:rsidRPr="007D71EE" w:rsidRDefault="002F619A" w:rsidP="00D6101F">
      <w:pPr>
        <w:widowControl/>
        <w:autoSpaceDE w:val="0"/>
        <w:autoSpaceDN w:val="0"/>
        <w:adjustRightInd w:val="0"/>
        <w:spacing w:after="120"/>
        <w:ind w:left="720" w:hanging="11"/>
      </w:pPr>
      <w:r w:rsidRPr="007D71EE">
        <w:t>c)</w:t>
      </w:r>
      <w:r w:rsidR="00D6101F">
        <w:t xml:space="preserve"> </w:t>
      </w:r>
      <w:r w:rsidRPr="007D71EE">
        <w:t>It would be in the public interest for the subsequent pricing application to be progressed under Pricing Pathway A on the basis of the preceding findings</w:t>
      </w:r>
    </w:p>
    <w:p w14:paraId="54215AC8" w14:textId="6D18FF4D" w:rsidR="002F619A" w:rsidRPr="007D71EE" w:rsidRDefault="002F619A" w:rsidP="002F619A">
      <w:pPr>
        <w:pStyle w:val="ListParagraph"/>
        <w:widowControl/>
        <w:numPr>
          <w:ilvl w:val="1"/>
          <w:numId w:val="2"/>
        </w:numPr>
      </w:pPr>
      <w:r w:rsidRPr="007D71EE">
        <w:t xml:space="preserve">The PBAC noted that this submission is not eligible for an Independent Review as a positive recommendation had been made. </w:t>
      </w:r>
    </w:p>
    <w:p w14:paraId="700B4AD4" w14:textId="77777777" w:rsidR="002F619A" w:rsidRPr="00316815" w:rsidRDefault="002F619A" w:rsidP="002F619A">
      <w:pPr>
        <w:widowControl/>
        <w:autoSpaceDE w:val="0"/>
        <w:autoSpaceDN w:val="0"/>
        <w:adjustRightInd w:val="0"/>
        <w:spacing w:before="240"/>
        <w:jc w:val="left"/>
        <w:rPr>
          <w:rFonts w:asciiTheme="minorHAnsi" w:hAnsiTheme="minorHAnsi" w:cstheme="minorHAnsi"/>
          <w:b/>
          <w:bCs/>
          <w:snapToGrid/>
          <w:szCs w:val="24"/>
          <w:lang w:eastAsia="en-AU"/>
        </w:rPr>
      </w:pPr>
      <w:r w:rsidRPr="00316815">
        <w:rPr>
          <w:rFonts w:asciiTheme="minorHAnsi" w:hAnsiTheme="minorHAnsi" w:cstheme="minorHAnsi"/>
          <w:b/>
          <w:bCs/>
          <w:snapToGrid/>
          <w:szCs w:val="24"/>
          <w:lang w:eastAsia="en-AU"/>
        </w:rPr>
        <w:t>Outcome:</w:t>
      </w:r>
    </w:p>
    <w:p w14:paraId="7C429F46" w14:textId="5687B0A7" w:rsidR="002F619A" w:rsidRPr="007D71EE" w:rsidRDefault="002F619A" w:rsidP="002F619A">
      <w:pPr>
        <w:widowControl/>
        <w:autoSpaceDE w:val="0"/>
        <w:autoSpaceDN w:val="0"/>
        <w:adjustRightInd w:val="0"/>
        <w:spacing w:after="120"/>
        <w:jc w:val="left"/>
      </w:pPr>
      <w:r w:rsidRPr="007D71EE">
        <w:t xml:space="preserve">Recommended </w:t>
      </w:r>
    </w:p>
    <w:p w14:paraId="0E1FB3E9" w14:textId="77777777" w:rsidR="004E4C57" w:rsidRPr="00CE4D60" w:rsidRDefault="004E4C57" w:rsidP="004E4C57">
      <w:pPr>
        <w:widowControl/>
        <w:rPr>
          <w:rFonts w:cs="Calibri"/>
          <w:snapToGrid/>
          <w:sz w:val="22"/>
        </w:rPr>
      </w:pPr>
    </w:p>
    <w:p w14:paraId="5C7F5DB4" w14:textId="034C2EB9" w:rsidR="00CC4F31" w:rsidRPr="00D902FB" w:rsidRDefault="00CC4F31" w:rsidP="00CC4F31">
      <w:pPr>
        <w:pStyle w:val="PBACHeading1"/>
        <w:numPr>
          <w:ilvl w:val="0"/>
          <w:numId w:val="2"/>
        </w:numPr>
        <w:outlineLvl w:val="0"/>
      </w:pPr>
      <w:r>
        <w:t>Recommended listing</w:t>
      </w:r>
    </w:p>
    <w:p w14:paraId="0E1035FA" w14:textId="340176B9" w:rsidR="004E4C57" w:rsidRDefault="004E4C57" w:rsidP="004E4C57">
      <w:pPr>
        <w:rPr>
          <w:rFonts w:cs="Times New Roman"/>
          <w:snapToGrid/>
          <w:sz w:val="22"/>
        </w:rPr>
      </w:pPr>
    </w:p>
    <w:p w14:paraId="7C1BB277" w14:textId="0D7C2341" w:rsidR="00BC0B94" w:rsidRPr="00CC4F31" w:rsidRDefault="002F619A" w:rsidP="00CC4F31">
      <w:pPr>
        <w:spacing w:after="120"/>
        <w:contextualSpacing/>
        <w:rPr>
          <w:rFonts w:asciiTheme="minorHAnsi" w:hAnsiTheme="minorHAnsi"/>
          <w:bCs/>
          <w:szCs w:val="24"/>
          <w:lang w:eastAsia="en-AU"/>
        </w:rPr>
      </w:pPr>
      <w:r w:rsidRPr="00CC4F31">
        <w:rPr>
          <w:rFonts w:asciiTheme="minorHAnsi" w:hAnsiTheme="minorHAnsi"/>
          <w:bCs/>
          <w:szCs w:val="24"/>
          <w:lang w:eastAsia="en-AU"/>
        </w:rPr>
        <w:t>Amend existing listing as follows:</w:t>
      </w:r>
    </w:p>
    <w:p w14:paraId="5EC853B4" w14:textId="15ACF726" w:rsidR="005654A0" w:rsidRPr="00ED6EDE" w:rsidRDefault="00D035E8" w:rsidP="005654A0">
      <w:pPr>
        <w:pStyle w:val="BodyText"/>
        <w:rPr>
          <w:iCs/>
        </w:rPr>
      </w:pPr>
      <w:r>
        <w:t xml:space="preserve">Pembrolizumab </w:t>
      </w:r>
      <w:r w:rsidR="005654A0" w:rsidRPr="00ED6EDE">
        <w:t>(initial, continuing and grandfather):</w:t>
      </w:r>
    </w:p>
    <w:tbl>
      <w:tblPr>
        <w:tblStyle w:val="TableGrid"/>
        <w:tblW w:w="0" w:type="auto"/>
        <w:tblLook w:val="04A0" w:firstRow="1" w:lastRow="0" w:firstColumn="1" w:lastColumn="0" w:noHBand="0" w:noVBand="1"/>
      </w:tblPr>
      <w:tblGrid>
        <w:gridCol w:w="2543"/>
        <w:gridCol w:w="1534"/>
        <w:gridCol w:w="1743"/>
        <w:gridCol w:w="1378"/>
        <w:gridCol w:w="1818"/>
      </w:tblGrid>
      <w:tr w:rsidR="005654A0" w:rsidRPr="00ED6EDE" w14:paraId="7E0FF0B0" w14:textId="77777777" w:rsidTr="005654A0">
        <w:tc>
          <w:tcPr>
            <w:tcW w:w="2543" w:type="dxa"/>
            <w:tcBorders>
              <w:left w:val="single" w:sz="4" w:space="0" w:color="auto"/>
              <w:right w:val="single" w:sz="4" w:space="0" w:color="auto"/>
            </w:tcBorders>
          </w:tcPr>
          <w:p w14:paraId="4640149B" w14:textId="77777777" w:rsidR="005654A0" w:rsidRPr="00D83D2F" w:rsidRDefault="005654A0" w:rsidP="005654A0">
            <w:pPr>
              <w:jc w:val="left"/>
              <w:rPr>
                <w:rFonts w:ascii="Arial Narrow" w:hAnsi="Arial Narrow"/>
                <w:b/>
                <w:bCs/>
                <w:sz w:val="20"/>
                <w:szCs w:val="20"/>
              </w:rPr>
            </w:pPr>
            <w:r w:rsidRPr="00D83D2F">
              <w:rPr>
                <w:rFonts w:ascii="Arial Narrow" w:hAnsi="Arial Narrow"/>
                <w:b/>
                <w:bCs/>
                <w:sz w:val="20"/>
                <w:szCs w:val="20"/>
              </w:rPr>
              <w:t>MEDICINAL PRODUCT</w:t>
            </w:r>
            <w:r w:rsidRPr="00D83D2F">
              <w:rPr>
                <w:rFonts w:ascii="Arial Narrow" w:hAnsi="Arial Narrow"/>
                <w:b/>
                <w:bCs/>
                <w:sz w:val="20"/>
                <w:szCs w:val="20"/>
              </w:rPr>
              <w:br/>
              <w:t>medicinal product pack</w:t>
            </w:r>
          </w:p>
        </w:tc>
        <w:tc>
          <w:tcPr>
            <w:tcW w:w="1534" w:type="dxa"/>
            <w:tcBorders>
              <w:left w:val="single" w:sz="4" w:space="0" w:color="auto"/>
              <w:right w:val="single" w:sz="4" w:space="0" w:color="auto"/>
            </w:tcBorders>
          </w:tcPr>
          <w:p w14:paraId="23634D96" w14:textId="77777777" w:rsidR="005654A0" w:rsidRPr="00D83D2F" w:rsidRDefault="005654A0" w:rsidP="005654A0">
            <w:pPr>
              <w:jc w:val="center"/>
              <w:rPr>
                <w:rFonts w:ascii="Arial Narrow" w:hAnsi="Arial Narrow"/>
                <w:b/>
                <w:bCs/>
                <w:sz w:val="20"/>
                <w:szCs w:val="20"/>
              </w:rPr>
            </w:pPr>
            <w:r w:rsidRPr="00D83D2F">
              <w:rPr>
                <w:rFonts w:ascii="Arial Narrow" w:hAnsi="Arial Narrow"/>
                <w:b/>
                <w:bCs/>
                <w:sz w:val="20"/>
                <w:szCs w:val="20"/>
              </w:rPr>
              <w:t>PBS item code</w:t>
            </w:r>
          </w:p>
        </w:tc>
        <w:tc>
          <w:tcPr>
            <w:tcW w:w="1743" w:type="dxa"/>
            <w:tcBorders>
              <w:left w:val="single" w:sz="4" w:space="0" w:color="auto"/>
              <w:bottom w:val="single" w:sz="4" w:space="0" w:color="auto"/>
              <w:right w:val="single" w:sz="4" w:space="0" w:color="auto"/>
            </w:tcBorders>
          </w:tcPr>
          <w:p w14:paraId="33A42DB6" w14:textId="77777777" w:rsidR="005654A0" w:rsidRPr="00D83D2F" w:rsidRDefault="005654A0" w:rsidP="005654A0">
            <w:pPr>
              <w:jc w:val="center"/>
              <w:rPr>
                <w:rFonts w:ascii="Arial Narrow" w:hAnsi="Arial Narrow"/>
                <w:b/>
                <w:bCs/>
                <w:sz w:val="20"/>
                <w:szCs w:val="20"/>
              </w:rPr>
            </w:pPr>
            <w:r w:rsidRPr="00D83D2F">
              <w:rPr>
                <w:rFonts w:ascii="Arial Narrow" w:hAnsi="Arial Narrow"/>
                <w:b/>
                <w:bCs/>
                <w:sz w:val="20"/>
                <w:szCs w:val="20"/>
              </w:rPr>
              <w:t>Max. Amount</w:t>
            </w:r>
          </w:p>
        </w:tc>
        <w:tc>
          <w:tcPr>
            <w:tcW w:w="1378" w:type="dxa"/>
            <w:tcBorders>
              <w:left w:val="single" w:sz="4" w:space="0" w:color="auto"/>
              <w:bottom w:val="single" w:sz="4" w:space="0" w:color="auto"/>
              <w:right w:val="single" w:sz="4" w:space="0" w:color="auto"/>
            </w:tcBorders>
          </w:tcPr>
          <w:p w14:paraId="3C7A7E20" w14:textId="77777777" w:rsidR="005654A0" w:rsidRPr="00D83D2F" w:rsidRDefault="005654A0" w:rsidP="005654A0">
            <w:pPr>
              <w:jc w:val="center"/>
              <w:rPr>
                <w:rFonts w:ascii="Arial Narrow" w:hAnsi="Arial Narrow"/>
                <w:b/>
                <w:bCs/>
                <w:sz w:val="20"/>
                <w:szCs w:val="20"/>
              </w:rPr>
            </w:pPr>
            <w:r w:rsidRPr="00D83D2F">
              <w:rPr>
                <w:rFonts w:ascii="Arial Narrow" w:hAnsi="Arial Narrow"/>
                <w:b/>
                <w:bCs/>
                <w:sz w:val="20"/>
                <w:szCs w:val="20"/>
              </w:rPr>
              <w:t>No. of Rpts</w:t>
            </w:r>
          </w:p>
        </w:tc>
        <w:tc>
          <w:tcPr>
            <w:tcW w:w="1818" w:type="dxa"/>
            <w:tcBorders>
              <w:left w:val="single" w:sz="4" w:space="0" w:color="auto"/>
              <w:right w:val="single" w:sz="4" w:space="0" w:color="auto"/>
            </w:tcBorders>
          </w:tcPr>
          <w:p w14:paraId="424577C1" w14:textId="77777777" w:rsidR="005654A0" w:rsidRPr="00D83D2F" w:rsidRDefault="005654A0" w:rsidP="005654A0">
            <w:pPr>
              <w:jc w:val="center"/>
              <w:rPr>
                <w:rFonts w:ascii="Arial Narrow" w:hAnsi="Arial Narrow"/>
                <w:b/>
                <w:bCs/>
                <w:sz w:val="20"/>
                <w:szCs w:val="20"/>
              </w:rPr>
            </w:pPr>
            <w:r w:rsidRPr="00D83D2F">
              <w:rPr>
                <w:rFonts w:ascii="Arial Narrow" w:hAnsi="Arial Narrow"/>
                <w:b/>
                <w:bCs/>
                <w:sz w:val="20"/>
                <w:szCs w:val="20"/>
              </w:rPr>
              <w:t>Available brands</w:t>
            </w:r>
          </w:p>
        </w:tc>
      </w:tr>
      <w:tr w:rsidR="005654A0" w:rsidRPr="00ED6EDE" w14:paraId="2175AE41" w14:textId="77777777" w:rsidTr="005654A0">
        <w:tc>
          <w:tcPr>
            <w:tcW w:w="9016" w:type="dxa"/>
            <w:gridSpan w:val="5"/>
            <w:tcBorders>
              <w:left w:val="single" w:sz="4" w:space="0" w:color="auto"/>
              <w:bottom w:val="single" w:sz="4" w:space="0" w:color="auto"/>
              <w:right w:val="single" w:sz="4" w:space="0" w:color="auto"/>
            </w:tcBorders>
          </w:tcPr>
          <w:p w14:paraId="44919E60" w14:textId="77777777" w:rsidR="005654A0" w:rsidRPr="00D83D2F" w:rsidRDefault="005654A0" w:rsidP="005654A0">
            <w:pPr>
              <w:jc w:val="left"/>
              <w:rPr>
                <w:rFonts w:ascii="Arial Narrow" w:hAnsi="Arial Narrow"/>
                <w:b/>
                <w:bCs/>
                <w:sz w:val="20"/>
                <w:szCs w:val="20"/>
              </w:rPr>
            </w:pPr>
            <w:r w:rsidRPr="00D83D2F">
              <w:rPr>
                <w:rFonts w:ascii="Arial Narrow" w:hAnsi="Arial Narrow"/>
                <w:sz w:val="20"/>
                <w:szCs w:val="20"/>
              </w:rPr>
              <w:t>PEMBROLIZUMAB</w:t>
            </w:r>
          </w:p>
        </w:tc>
      </w:tr>
      <w:tr w:rsidR="005654A0" w:rsidRPr="00ED6EDE" w14:paraId="37BB0594" w14:textId="77777777" w:rsidTr="005654A0">
        <w:trPr>
          <w:trHeight w:val="360"/>
        </w:trPr>
        <w:tc>
          <w:tcPr>
            <w:tcW w:w="2543" w:type="dxa"/>
            <w:tcBorders>
              <w:left w:val="single" w:sz="4" w:space="0" w:color="auto"/>
              <w:bottom w:val="single" w:sz="4" w:space="0" w:color="auto"/>
              <w:right w:val="single" w:sz="4" w:space="0" w:color="auto"/>
            </w:tcBorders>
            <w:vAlign w:val="center"/>
          </w:tcPr>
          <w:p w14:paraId="3AAAC43D" w14:textId="77777777" w:rsidR="005654A0" w:rsidRPr="00D83D2F" w:rsidRDefault="005654A0" w:rsidP="005654A0">
            <w:pPr>
              <w:jc w:val="left"/>
              <w:rPr>
                <w:rFonts w:ascii="Arial Narrow" w:hAnsi="Arial Narrow"/>
                <w:sz w:val="20"/>
                <w:szCs w:val="20"/>
              </w:rPr>
            </w:pPr>
            <w:r w:rsidRPr="00D83D2F">
              <w:rPr>
                <w:rFonts w:ascii="Arial Narrow" w:hAnsi="Arial Narrow"/>
                <w:sz w:val="20"/>
                <w:szCs w:val="20"/>
              </w:rPr>
              <w:t>pembrolizumab 100 mg/4 mL injections, 4 mL vial</w:t>
            </w:r>
          </w:p>
        </w:tc>
        <w:tc>
          <w:tcPr>
            <w:tcW w:w="1534" w:type="dxa"/>
            <w:tcBorders>
              <w:left w:val="single" w:sz="4" w:space="0" w:color="auto"/>
              <w:right w:val="single" w:sz="4" w:space="0" w:color="auto"/>
            </w:tcBorders>
          </w:tcPr>
          <w:p w14:paraId="44371CB8" w14:textId="77777777" w:rsidR="005654A0" w:rsidRPr="00D83D2F" w:rsidRDefault="005654A0" w:rsidP="005654A0">
            <w:pPr>
              <w:jc w:val="center"/>
              <w:rPr>
                <w:rFonts w:ascii="Arial Narrow" w:hAnsi="Arial Narrow"/>
                <w:sz w:val="20"/>
                <w:szCs w:val="20"/>
              </w:rPr>
            </w:pPr>
            <w:r w:rsidRPr="00D83D2F">
              <w:rPr>
                <w:rFonts w:ascii="Arial Narrow" w:hAnsi="Arial Narrow"/>
                <w:sz w:val="20"/>
                <w:szCs w:val="20"/>
              </w:rPr>
              <w:t>New (public)</w:t>
            </w:r>
          </w:p>
          <w:p w14:paraId="1155A067" w14:textId="77777777" w:rsidR="005654A0" w:rsidRPr="00D83D2F" w:rsidRDefault="005654A0" w:rsidP="005654A0">
            <w:pPr>
              <w:jc w:val="center"/>
              <w:rPr>
                <w:rFonts w:ascii="Arial Narrow" w:hAnsi="Arial Narrow"/>
                <w:sz w:val="20"/>
                <w:szCs w:val="20"/>
              </w:rPr>
            </w:pPr>
            <w:r w:rsidRPr="00D83D2F">
              <w:rPr>
                <w:rFonts w:ascii="Arial Narrow" w:hAnsi="Arial Narrow"/>
                <w:sz w:val="20"/>
                <w:szCs w:val="20"/>
              </w:rPr>
              <w:t>New (private)</w:t>
            </w:r>
          </w:p>
        </w:tc>
        <w:tc>
          <w:tcPr>
            <w:tcW w:w="1743" w:type="dxa"/>
            <w:tcBorders>
              <w:left w:val="single" w:sz="4" w:space="0" w:color="auto"/>
              <w:right w:val="single" w:sz="4" w:space="0" w:color="auto"/>
            </w:tcBorders>
            <w:vAlign w:val="center"/>
          </w:tcPr>
          <w:p w14:paraId="1CF755EE" w14:textId="77777777" w:rsidR="005654A0" w:rsidRPr="00D83D2F" w:rsidRDefault="005654A0" w:rsidP="005654A0">
            <w:pPr>
              <w:jc w:val="center"/>
              <w:rPr>
                <w:rFonts w:ascii="Arial Narrow" w:hAnsi="Arial Narrow"/>
                <w:sz w:val="20"/>
                <w:szCs w:val="20"/>
              </w:rPr>
            </w:pPr>
            <w:r w:rsidRPr="00D83D2F">
              <w:rPr>
                <w:rFonts w:ascii="Arial Narrow" w:hAnsi="Arial Narrow"/>
                <w:sz w:val="20"/>
                <w:szCs w:val="20"/>
              </w:rPr>
              <w:t>200 mg</w:t>
            </w:r>
          </w:p>
        </w:tc>
        <w:tc>
          <w:tcPr>
            <w:tcW w:w="1378" w:type="dxa"/>
            <w:tcBorders>
              <w:left w:val="single" w:sz="4" w:space="0" w:color="auto"/>
              <w:right w:val="single" w:sz="4" w:space="0" w:color="auto"/>
            </w:tcBorders>
            <w:vAlign w:val="center"/>
          </w:tcPr>
          <w:p w14:paraId="57A83C03" w14:textId="77777777" w:rsidR="005654A0" w:rsidRPr="00D83D2F" w:rsidRDefault="005654A0" w:rsidP="005654A0">
            <w:pPr>
              <w:jc w:val="center"/>
              <w:rPr>
                <w:rFonts w:ascii="Arial Narrow" w:hAnsi="Arial Narrow"/>
                <w:sz w:val="20"/>
                <w:szCs w:val="20"/>
              </w:rPr>
            </w:pPr>
            <w:r w:rsidRPr="00D83D2F">
              <w:rPr>
                <w:rFonts w:ascii="Arial Narrow" w:hAnsi="Arial Narrow"/>
                <w:sz w:val="20"/>
                <w:szCs w:val="20"/>
              </w:rPr>
              <w:t>6</w:t>
            </w:r>
          </w:p>
        </w:tc>
        <w:tc>
          <w:tcPr>
            <w:tcW w:w="1818" w:type="dxa"/>
            <w:tcBorders>
              <w:left w:val="single" w:sz="4" w:space="0" w:color="auto"/>
              <w:bottom w:val="single" w:sz="4" w:space="0" w:color="auto"/>
              <w:right w:val="single" w:sz="4" w:space="0" w:color="auto"/>
            </w:tcBorders>
            <w:vAlign w:val="center"/>
          </w:tcPr>
          <w:p w14:paraId="6C1333E7" w14:textId="77777777" w:rsidR="005654A0" w:rsidRPr="00D83D2F" w:rsidRDefault="005654A0" w:rsidP="005654A0">
            <w:pPr>
              <w:jc w:val="center"/>
              <w:rPr>
                <w:rFonts w:ascii="Arial Narrow" w:hAnsi="Arial Narrow"/>
                <w:sz w:val="20"/>
                <w:szCs w:val="20"/>
              </w:rPr>
            </w:pPr>
            <w:r w:rsidRPr="00D83D2F">
              <w:rPr>
                <w:rFonts w:ascii="Arial Narrow" w:hAnsi="Arial Narrow"/>
                <w:sz w:val="20"/>
                <w:szCs w:val="20"/>
              </w:rPr>
              <w:t>Keytruda</w:t>
            </w:r>
          </w:p>
        </w:tc>
      </w:tr>
    </w:tbl>
    <w:p w14:paraId="1E6F1BA0" w14:textId="714A4BD4" w:rsidR="005654A0" w:rsidRPr="00ED6EDE" w:rsidRDefault="005654A0" w:rsidP="005654A0">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6"/>
      </w:tblGrid>
      <w:tr w:rsidR="005654A0" w:rsidRPr="00ED6EDE" w14:paraId="7C07BDD4" w14:textId="77777777" w:rsidTr="005654A0">
        <w:tc>
          <w:tcPr>
            <w:tcW w:w="5000" w:type="pct"/>
            <w:gridSpan w:val="2"/>
            <w:tcBorders>
              <w:top w:val="single" w:sz="4" w:space="0" w:color="auto"/>
              <w:left w:val="single" w:sz="4" w:space="0" w:color="auto"/>
              <w:right w:val="single" w:sz="4" w:space="0" w:color="auto"/>
            </w:tcBorders>
          </w:tcPr>
          <w:p w14:paraId="27838811" w14:textId="77777777" w:rsidR="005654A0" w:rsidRPr="00ED6EDE" w:rsidRDefault="005654A0" w:rsidP="005654A0">
            <w:pPr>
              <w:rPr>
                <w:rFonts w:ascii="Arial Narrow" w:hAnsi="Arial Narrow"/>
                <w:b/>
                <w:sz w:val="20"/>
                <w:szCs w:val="20"/>
              </w:rPr>
            </w:pPr>
            <w:r w:rsidRPr="00ED6EDE">
              <w:rPr>
                <w:rFonts w:ascii="Arial Narrow" w:hAnsi="Arial Narrow"/>
                <w:b/>
                <w:sz w:val="20"/>
                <w:szCs w:val="20"/>
              </w:rPr>
              <w:t>Restriction Summary [new] / Treatment of Concept: [new]</w:t>
            </w:r>
          </w:p>
        </w:tc>
      </w:tr>
      <w:tr w:rsidR="005654A0" w:rsidRPr="00ED6EDE" w14:paraId="66E8CB52" w14:textId="77777777" w:rsidTr="005654A0">
        <w:tc>
          <w:tcPr>
            <w:tcW w:w="544" w:type="pct"/>
            <w:vMerge w:val="restart"/>
            <w:tcBorders>
              <w:top w:val="single" w:sz="4" w:space="0" w:color="auto"/>
              <w:left w:val="single" w:sz="4" w:space="0" w:color="auto"/>
              <w:right w:val="single" w:sz="4" w:space="0" w:color="auto"/>
            </w:tcBorders>
          </w:tcPr>
          <w:p w14:paraId="500A5D0F" w14:textId="77777777" w:rsidR="005654A0" w:rsidRPr="00ED6EDE" w:rsidRDefault="005654A0" w:rsidP="005654A0">
            <w:pPr>
              <w:jc w:val="center"/>
              <w:rPr>
                <w:rFonts w:ascii="Arial Narrow" w:hAnsi="Arial Narrow"/>
                <w:b/>
                <w:sz w:val="20"/>
                <w:szCs w:val="20"/>
              </w:rPr>
            </w:pPr>
            <w:r w:rsidRPr="00ED6EDE">
              <w:rPr>
                <w:rFonts w:ascii="Arial Narrow" w:hAnsi="Arial Narrow"/>
                <w:b/>
                <w:sz w:val="20"/>
                <w:szCs w:val="20"/>
              </w:rPr>
              <w:t>Concept ID</w:t>
            </w:r>
          </w:p>
          <w:p w14:paraId="38A0E9C8" w14:textId="77777777" w:rsidR="005654A0" w:rsidRPr="00ED6EDE" w:rsidRDefault="005654A0" w:rsidP="005654A0">
            <w:pPr>
              <w:jc w:val="center"/>
              <w:rPr>
                <w:rFonts w:ascii="Arial Narrow" w:hAnsi="Arial Narrow"/>
                <w:sz w:val="20"/>
                <w:szCs w:val="20"/>
              </w:rPr>
            </w:pPr>
          </w:p>
          <w:p w14:paraId="103575A0" w14:textId="77777777" w:rsidR="005654A0" w:rsidRPr="00ED6EDE" w:rsidRDefault="005654A0" w:rsidP="005654A0">
            <w:pPr>
              <w:jc w:val="center"/>
              <w:rPr>
                <w:rFonts w:ascii="Arial Narrow" w:hAnsi="Arial Narrow"/>
                <w:sz w:val="20"/>
                <w:szCs w:val="20"/>
              </w:rPr>
            </w:pPr>
            <w:r w:rsidRPr="00ED6EDE">
              <w:rPr>
                <w:rFonts w:ascii="Arial Narrow" w:hAnsi="Arial Narrow"/>
                <w:sz w:val="20"/>
                <w:szCs w:val="20"/>
              </w:rPr>
              <w:t>(for internal Dept. use)</w:t>
            </w:r>
          </w:p>
        </w:tc>
        <w:tc>
          <w:tcPr>
            <w:tcW w:w="4456" w:type="pct"/>
            <w:tcBorders>
              <w:top w:val="single" w:sz="4" w:space="0" w:color="auto"/>
              <w:left w:val="single" w:sz="4" w:space="0" w:color="auto"/>
              <w:bottom w:val="single" w:sz="4" w:space="0" w:color="auto"/>
              <w:right w:val="single" w:sz="4" w:space="0" w:color="auto"/>
            </w:tcBorders>
          </w:tcPr>
          <w:p w14:paraId="6DEE380A" w14:textId="77777777" w:rsidR="005654A0" w:rsidRPr="00ED6EDE" w:rsidRDefault="005654A0" w:rsidP="005654A0">
            <w:pPr>
              <w:rPr>
                <w:rFonts w:ascii="Arial Narrow" w:hAnsi="Arial Narrow"/>
                <w:sz w:val="20"/>
                <w:szCs w:val="20"/>
              </w:rPr>
            </w:pPr>
            <w:r w:rsidRPr="00ED6EDE">
              <w:rPr>
                <w:rFonts w:ascii="Arial Narrow" w:hAnsi="Arial Narrow"/>
                <w:b/>
                <w:sz w:val="20"/>
                <w:szCs w:val="20"/>
              </w:rPr>
              <w:t xml:space="preserve">Category / Program: </w:t>
            </w:r>
            <w:r w:rsidRPr="00ED6EDE">
              <w:rPr>
                <w:rFonts w:ascii="Arial Narrow" w:hAnsi="Arial Narrow"/>
                <w:bCs/>
                <w:sz w:val="20"/>
                <w:szCs w:val="20"/>
              </w:rPr>
              <w:t>S</w:t>
            </w:r>
            <w:r w:rsidRPr="00ED6EDE">
              <w:rPr>
                <w:rFonts w:ascii="Arial Narrow" w:hAnsi="Arial Narrow"/>
                <w:sz w:val="20"/>
                <w:szCs w:val="20"/>
              </w:rPr>
              <w:t xml:space="preserve">ection 100 – Efficient Funding of Chemotherapy Public/Private hospitals     </w:t>
            </w:r>
          </w:p>
        </w:tc>
      </w:tr>
      <w:tr w:rsidR="005654A0" w:rsidRPr="00ED6EDE" w14:paraId="07F250EC" w14:textId="77777777" w:rsidTr="005654A0">
        <w:trPr>
          <w:trHeight w:val="86"/>
        </w:trPr>
        <w:tc>
          <w:tcPr>
            <w:tcW w:w="544" w:type="pct"/>
            <w:vMerge/>
            <w:tcBorders>
              <w:left w:val="single" w:sz="4" w:space="0" w:color="auto"/>
              <w:right w:val="single" w:sz="4" w:space="0" w:color="auto"/>
            </w:tcBorders>
          </w:tcPr>
          <w:p w14:paraId="0BCCF404" w14:textId="77777777" w:rsidR="005654A0" w:rsidRPr="00ED6EDE" w:rsidRDefault="005654A0" w:rsidP="005654A0">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50B9EE28" w14:textId="77777777" w:rsidR="005654A0" w:rsidRPr="00ED6EDE" w:rsidRDefault="005654A0" w:rsidP="005654A0">
            <w:pPr>
              <w:rPr>
                <w:rFonts w:ascii="Arial Narrow" w:hAnsi="Arial Narrow"/>
                <w:b/>
                <w:sz w:val="20"/>
                <w:szCs w:val="20"/>
              </w:rPr>
            </w:pPr>
            <w:r w:rsidRPr="00ED6EDE">
              <w:rPr>
                <w:rFonts w:ascii="Arial Narrow" w:hAnsi="Arial Narrow"/>
                <w:b/>
                <w:sz w:val="20"/>
                <w:szCs w:val="20"/>
              </w:rPr>
              <w:t xml:space="preserve">Prescriber type:  </w:t>
            </w:r>
            <w:r w:rsidRPr="00ED6EDE">
              <w:rPr>
                <w:rFonts w:ascii="Arial Narrow" w:hAnsi="Arial Narrow"/>
                <w:sz w:val="20"/>
                <w:szCs w:val="20"/>
              </w:rPr>
              <w:fldChar w:fldCharType="begin">
                <w:ffData>
                  <w:name w:val=""/>
                  <w:enabled/>
                  <w:calcOnExit w:val="0"/>
                  <w:checkBox>
                    <w:sizeAuto/>
                    <w:default w:val="1"/>
                  </w:checkBox>
                </w:ffData>
              </w:fldChar>
            </w:r>
            <w:r w:rsidRPr="00ED6EDE">
              <w:rPr>
                <w:rFonts w:ascii="Arial Narrow" w:hAnsi="Arial Narrow"/>
                <w:sz w:val="20"/>
                <w:szCs w:val="20"/>
              </w:rPr>
              <w:instrText xml:space="preserve"> FORMCHECKBOX </w:instrText>
            </w:r>
            <w:r w:rsidR="003E504A">
              <w:rPr>
                <w:rFonts w:ascii="Arial Narrow" w:hAnsi="Arial Narrow"/>
                <w:sz w:val="20"/>
                <w:szCs w:val="20"/>
              </w:rPr>
            </w:r>
            <w:r w:rsidR="003E504A">
              <w:rPr>
                <w:rFonts w:ascii="Arial Narrow" w:hAnsi="Arial Narrow"/>
                <w:sz w:val="20"/>
                <w:szCs w:val="20"/>
              </w:rPr>
              <w:fldChar w:fldCharType="separate"/>
            </w:r>
            <w:r w:rsidRPr="00ED6EDE">
              <w:rPr>
                <w:rFonts w:ascii="Arial Narrow" w:hAnsi="Arial Narrow"/>
                <w:sz w:val="20"/>
                <w:szCs w:val="20"/>
              </w:rPr>
              <w:fldChar w:fldCharType="end"/>
            </w:r>
            <w:r w:rsidRPr="00ED6EDE">
              <w:rPr>
                <w:rFonts w:ascii="Arial Narrow" w:hAnsi="Arial Narrow"/>
                <w:sz w:val="20"/>
                <w:szCs w:val="20"/>
              </w:rPr>
              <w:t xml:space="preserve">Medical Practitioners </w:t>
            </w:r>
          </w:p>
        </w:tc>
      </w:tr>
      <w:tr w:rsidR="005654A0" w:rsidRPr="00ED6EDE" w14:paraId="5F6DFDBF" w14:textId="77777777" w:rsidTr="005654A0">
        <w:trPr>
          <w:trHeight w:val="274"/>
        </w:trPr>
        <w:tc>
          <w:tcPr>
            <w:tcW w:w="544" w:type="pct"/>
            <w:vMerge/>
            <w:tcBorders>
              <w:left w:val="single" w:sz="4" w:space="0" w:color="auto"/>
              <w:bottom w:val="single" w:sz="4" w:space="0" w:color="auto"/>
              <w:right w:val="single" w:sz="4" w:space="0" w:color="auto"/>
            </w:tcBorders>
          </w:tcPr>
          <w:p w14:paraId="76171FC9" w14:textId="77777777" w:rsidR="005654A0" w:rsidRPr="00ED6EDE" w:rsidRDefault="005654A0" w:rsidP="005654A0">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702B48BE" w14:textId="77777777" w:rsidR="005654A0" w:rsidRPr="00ED6EDE" w:rsidRDefault="005654A0" w:rsidP="005654A0">
            <w:pPr>
              <w:rPr>
                <w:rFonts w:ascii="Arial Narrow" w:hAnsi="Arial Narrow"/>
                <w:b/>
                <w:sz w:val="20"/>
                <w:szCs w:val="20"/>
              </w:rPr>
            </w:pPr>
            <w:r w:rsidRPr="00ED6EDE">
              <w:rPr>
                <w:rFonts w:ascii="Arial Narrow" w:hAnsi="Arial Narrow"/>
                <w:b/>
                <w:sz w:val="20"/>
                <w:szCs w:val="20"/>
              </w:rPr>
              <w:t>Restriction Type</w:t>
            </w:r>
          </w:p>
          <w:p w14:paraId="4792A26D" w14:textId="346DDC90" w:rsidR="005654A0" w:rsidRPr="00ED6EDE" w:rsidRDefault="006366B0" w:rsidP="005654A0">
            <w:pPr>
              <w:keepNext/>
              <w:keepLines/>
              <w:rPr>
                <w:rFonts w:ascii="Arial Narrow" w:eastAsia="Calibri" w:hAnsi="Arial Narrow"/>
                <w:sz w:val="20"/>
                <w:szCs w:val="20"/>
              </w:rPr>
            </w:pPr>
            <w:r>
              <w:rPr>
                <w:rFonts w:ascii="Arial Narrow" w:eastAsia="Calibri" w:hAnsi="Arial Narrow"/>
                <w:sz w:val="18"/>
                <w:szCs w:val="18"/>
              </w:rPr>
              <w:fldChar w:fldCharType="begin">
                <w:ffData>
                  <w:name w:val="Check3"/>
                  <w:enabled/>
                  <w:calcOnExit w:val="0"/>
                  <w:checkBox>
                    <w:sizeAuto/>
                    <w:default w:val="1"/>
                  </w:checkBox>
                </w:ffData>
              </w:fldChar>
            </w:r>
            <w:r>
              <w:rPr>
                <w:rFonts w:ascii="Arial Narrow" w:eastAsia="Calibri" w:hAnsi="Arial Narrow"/>
                <w:sz w:val="18"/>
                <w:szCs w:val="18"/>
              </w:rPr>
              <w:instrText xml:space="preserve"> FORMCHECKBOX </w:instrText>
            </w:r>
            <w:r w:rsidR="003E504A">
              <w:rPr>
                <w:rFonts w:ascii="Arial Narrow" w:eastAsia="Calibri" w:hAnsi="Arial Narrow"/>
                <w:sz w:val="18"/>
                <w:szCs w:val="18"/>
              </w:rPr>
            </w:r>
            <w:r w:rsidR="003E504A">
              <w:rPr>
                <w:rFonts w:ascii="Arial Narrow" w:eastAsia="Calibri" w:hAnsi="Arial Narrow"/>
                <w:sz w:val="18"/>
                <w:szCs w:val="18"/>
              </w:rPr>
              <w:fldChar w:fldCharType="separate"/>
            </w:r>
            <w:r>
              <w:rPr>
                <w:rFonts w:ascii="Arial Narrow" w:eastAsia="Calibri" w:hAnsi="Arial Narrow"/>
                <w:sz w:val="18"/>
                <w:szCs w:val="18"/>
              </w:rPr>
              <w:fldChar w:fldCharType="end"/>
            </w:r>
            <w:r w:rsidRPr="006366B0">
              <w:rPr>
                <w:rFonts w:ascii="Arial Narrow" w:hAnsi="Arial Narrow"/>
                <w:sz w:val="20"/>
                <w:szCs w:val="20"/>
              </w:rPr>
              <w:t>Authority Required – Streamlined [new]</w:t>
            </w:r>
          </w:p>
        </w:tc>
      </w:tr>
      <w:tr w:rsidR="005654A0" w:rsidRPr="00ED6EDE" w14:paraId="2F820B28" w14:textId="77777777" w:rsidTr="005654A0">
        <w:tc>
          <w:tcPr>
            <w:tcW w:w="544" w:type="pct"/>
            <w:vAlign w:val="center"/>
          </w:tcPr>
          <w:p w14:paraId="19AC7389" w14:textId="77777777" w:rsidR="005654A0" w:rsidRPr="00ED6EDE" w:rsidRDefault="005654A0" w:rsidP="005654A0">
            <w:pPr>
              <w:jc w:val="center"/>
              <w:rPr>
                <w:rFonts w:ascii="Arial Narrow" w:hAnsi="Arial Narrow"/>
                <w:sz w:val="20"/>
                <w:szCs w:val="20"/>
              </w:rPr>
            </w:pPr>
          </w:p>
        </w:tc>
        <w:tc>
          <w:tcPr>
            <w:tcW w:w="4456" w:type="pct"/>
            <w:vAlign w:val="center"/>
          </w:tcPr>
          <w:p w14:paraId="07D91EDF"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Episodicity:</w:t>
            </w:r>
            <w:r w:rsidRPr="00ED6EDE">
              <w:rPr>
                <w:rFonts w:ascii="Arial Narrow" w:hAnsi="Arial Narrow"/>
                <w:sz w:val="20"/>
                <w:szCs w:val="20"/>
              </w:rPr>
              <w:t xml:space="preserve"> 3 weekly treatment</w:t>
            </w:r>
          </w:p>
        </w:tc>
      </w:tr>
      <w:tr w:rsidR="005654A0" w:rsidRPr="00ED6EDE" w14:paraId="0BC7DC17" w14:textId="77777777" w:rsidTr="005654A0">
        <w:tc>
          <w:tcPr>
            <w:tcW w:w="544" w:type="pct"/>
            <w:vAlign w:val="center"/>
          </w:tcPr>
          <w:p w14:paraId="2AF2D593" w14:textId="77777777" w:rsidR="005654A0" w:rsidRPr="00ED6EDE" w:rsidRDefault="005654A0" w:rsidP="005654A0">
            <w:pPr>
              <w:jc w:val="center"/>
              <w:rPr>
                <w:rFonts w:ascii="Arial Narrow" w:hAnsi="Arial Narrow"/>
                <w:sz w:val="20"/>
                <w:szCs w:val="20"/>
              </w:rPr>
            </w:pPr>
          </w:p>
        </w:tc>
        <w:tc>
          <w:tcPr>
            <w:tcW w:w="4456" w:type="pct"/>
            <w:vAlign w:val="center"/>
          </w:tcPr>
          <w:p w14:paraId="40F82C4A"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 xml:space="preserve">Severity: </w:t>
            </w:r>
            <w:r w:rsidRPr="00ED6EDE">
              <w:rPr>
                <w:rFonts w:ascii="Arial Narrow" w:hAnsi="Arial Narrow"/>
                <w:bCs/>
                <w:sz w:val="20"/>
                <w:szCs w:val="20"/>
              </w:rPr>
              <w:t>advanced, metastatic or recurrent</w:t>
            </w:r>
          </w:p>
        </w:tc>
      </w:tr>
      <w:tr w:rsidR="005654A0" w:rsidRPr="00ED6EDE" w14:paraId="2E52D633" w14:textId="77777777" w:rsidTr="005654A0">
        <w:tc>
          <w:tcPr>
            <w:tcW w:w="544" w:type="pct"/>
            <w:vAlign w:val="center"/>
          </w:tcPr>
          <w:p w14:paraId="0D532398" w14:textId="77777777" w:rsidR="005654A0" w:rsidRPr="00ED6EDE" w:rsidRDefault="005654A0" w:rsidP="005654A0">
            <w:pPr>
              <w:jc w:val="center"/>
              <w:rPr>
                <w:rFonts w:ascii="Arial Narrow" w:hAnsi="Arial Narrow"/>
                <w:sz w:val="20"/>
                <w:szCs w:val="20"/>
              </w:rPr>
            </w:pPr>
          </w:p>
        </w:tc>
        <w:tc>
          <w:tcPr>
            <w:tcW w:w="4456" w:type="pct"/>
            <w:vAlign w:val="center"/>
          </w:tcPr>
          <w:p w14:paraId="49892B66" w14:textId="2AF74DB8" w:rsidR="005654A0" w:rsidRPr="00ED6EDE" w:rsidRDefault="005654A0" w:rsidP="006E6D88">
            <w:pPr>
              <w:rPr>
                <w:rFonts w:ascii="Arial Narrow" w:hAnsi="Arial Narrow"/>
                <w:bCs/>
                <w:sz w:val="20"/>
                <w:szCs w:val="20"/>
              </w:rPr>
            </w:pPr>
            <w:r w:rsidRPr="00ED6EDE">
              <w:rPr>
                <w:rFonts w:ascii="Arial Narrow" w:hAnsi="Arial Narrow"/>
                <w:b/>
                <w:bCs/>
                <w:sz w:val="20"/>
                <w:szCs w:val="20"/>
              </w:rPr>
              <w:t>Condition:</w:t>
            </w:r>
            <w:r w:rsidRPr="00ED6EDE">
              <w:rPr>
                <w:rFonts w:ascii="Arial Narrow" w:hAnsi="Arial Narrow"/>
                <w:bCs/>
                <w:sz w:val="20"/>
                <w:szCs w:val="20"/>
              </w:rPr>
              <w:t xml:space="preserve"> endometrial carcinoma</w:t>
            </w:r>
          </w:p>
        </w:tc>
      </w:tr>
      <w:tr w:rsidR="005654A0" w:rsidRPr="00ED6EDE" w14:paraId="6ECDD405" w14:textId="77777777" w:rsidTr="005654A0">
        <w:tc>
          <w:tcPr>
            <w:tcW w:w="544" w:type="pct"/>
            <w:vAlign w:val="center"/>
          </w:tcPr>
          <w:p w14:paraId="3AF03CD1" w14:textId="77777777" w:rsidR="005654A0" w:rsidRPr="00ED6EDE" w:rsidRDefault="005654A0" w:rsidP="005654A0">
            <w:pPr>
              <w:jc w:val="center"/>
              <w:rPr>
                <w:rFonts w:ascii="Arial Narrow" w:hAnsi="Arial Narrow"/>
                <w:sz w:val="20"/>
                <w:szCs w:val="20"/>
              </w:rPr>
            </w:pPr>
          </w:p>
        </w:tc>
        <w:tc>
          <w:tcPr>
            <w:tcW w:w="4456" w:type="pct"/>
            <w:vAlign w:val="center"/>
            <w:hideMark/>
          </w:tcPr>
          <w:p w14:paraId="2D59F30C" w14:textId="0CF582F2" w:rsidR="005654A0" w:rsidRPr="00ED6EDE" w:rsidRDefault="005654A0" w:rsidP="006E6D88">
            <w:pPr>
              <w:rPr>
                <w:rFonts w:ascii="Arial Narrow" w:hAnsi="Arial Narrow"/>
                <w:sz w:val="20"/>
                <w:szCs w:val="20"/>
              </w:rPr>
            </w:pPr>
            <w:r w:rsidRPr="00ED6EDE">
              <w:rPr>
                <w:rFonts w:ascii="Arial Narrow" w:hAnsi="Arial Narrow"/>
                <w:b/>
                <w:bCs/>
                <w:sz w:val="20"/>
                <w:szCs w:val="20"/>
              </w:rPr>
              <w:t>Indication:</w:t>
            </w:r>
            <w:r w:rsidRPr="00ED6EDE">
              <w:rPr>
                <w:rFonts w:ascii="Arial Narrow" w:hAnsi="Arial Narrow"/>
                <w:sz w:val="20"/>
                <w:szCs w:val="20"/>
              </w:rPr>
              <w:t xml:space="preserve"> Advanced, metastatic or recurrent endometrial carcinoma</w:t>
            </w:r>
          </w:p>
        </w:tc>
      </w:tr>
      <w:tr w:rsidR="005654A0" w:rsidRPr="00ED6EDE" w14:paraId="72683135" w14:textId="77777777" w:rsidTr="005654A0">
        <w:tc>
          <w:tcPr>
            <w:tcW w:w="544" w:type="pct"/>
            <w:tcBorders>
              <w:top w:val="single" w:sz="4" w:space="0" w:color="auto"/>
              <w:left w:val="single" w:sz="4" w:space="0" w:color="auto"/>
              <w:bottom w:val="single" w:sz="4" w:space="0" w:color="auto"/>
              <w:right w:val="single" w:sz="4" w:space="0" w:color="auto"/>
            </w:tcBorders>
            <w:vAlign w:val="center"/>
          </w:tcPr>
          <w:p w14:paraId="694BBAA7" w14:textId="4FBB95C8" w:rsidR="005654A0" w:rsidRPr="00ED6EDE" w:rsidRDefault="005654A0" w:rsidP="005654A0">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194475CE"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 xml:space="preserve">Administrative Advice: </w:t>
            </w:r>
            <w:r w:rsidRPr="00ED6EDE">
              <w:rPr>
                <w:rFonts w:ascii="Arial Narrow" w:hAnsi="Arial Narrow"/>
                <w:sz w:val="20"/>
                <w:szCs w:val="20"/>
              </w:rPr>
              <w:t>No increase in the maximum quantity or number of units may be authorised.</w:t>
            </w:r>
          </w:p>
        </w:tc>
      </w:tr>
      <w:tr w:rsidR="005654A0" w:rsidRPr="00ED6EDE" w14:paraId="302FFCF0" w14:textId="77777777" w:rsidTr="005654A0">
        <w:tc>
          <w:tcPr>
            <w:tcW w:w="544" w:type="pct"/>
            <w:tcBorders>
              <w:top w:val="single" w:sz="4" w:space="0" w:color="auto"/>
              <w:left w:val="single" w:sz="4" w:space="0" w:color="auto"/>
              <w:bottom w:val="single" w:sz="4" w:space="0" w:color="auto"/>
              <w:right w:val="single" w:sz="4" w:space="0" w:color="auto"/>
            </w:tcBorders>
            <w:vAlign w:val="center"/>
          </w:tcPr>
          <w:p w14:paraId="2234A223" w14:textId="6A6DEA21" w:rsidR="005654A0" w:rsidRPr="00ED6EDE" w:rsidRDefault="005654A0" w:rsidP="005654A0">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83CD122"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 xml:space="preserve">Administrative Advice: </w:t>
            </w:r>
            <w:r w:rsidRPr="00ED6EDE">
              <w:rPr>
                <w:rFonts w:ascii="Arial Narrow" w:hAnsi="Arial Narrow"/>
                <w:sz w:val="20"/>
                <w:szCs w:val="20"/>
              </w:rPr>
              <w:t>No increase in the maximum number of repeats may be authorised</w:t>
            </w:r>
          </w:p>
        </w:tc>
      </w:tr>
      <w:tr w:rsidR="005654A0" w:rsidRPr="00ED6EDE" w14:paraId="0C36400F" w14:textId="77777777" w:rsidTr="005654A0">
        <w:tc>
          <w:tcPr>
            <w:tcW w:w="544" w:type="pct"/>
            <w:tcBorders>
              <w:top w:val="single" w:sz="4" w:space="0" w:color="auto"/>
              <w:left w:val="single" w:sz="4" w:space="0" w:color="auto"/>
              <w:bottom w:val="single" w:sz="4" w:space="0" w:color="auto"/>
              <w:right w:val="single" w:sz="4" w:space="0" w:color="auto"/>
            </w:tcBorders>
            <w:vAlign w:val="center"/>
          </w:tcPr>
          <w:p w14:paraId="3C075921" w14:textId="15BBD0FA" w:rsidR="005654A0" w:rsidRPr="00ED6EDE" w:rsidRDefault="005654A0" w:rsidP="005654A0">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00F32DF2" w14:textId="77777777" w:rsidR="005654A0" w:rsidRPr="00ED6EDE" w:rsidRDefault="005654A0" w:rsidP="005654A0">
            <w:pPr>
              <w:rPr>
                <w:rFonts w:ascii="Arial Narrow" w:hAnsi="Arial Narrow"/>
                <w:sz w:val="20"/>
                <w:szCs w:val="20"/>
              </w:rPr>
            </w:pPr>
            <w:r w:rsidRPr="00ED6EDE">
              <w:rPr>
                <w:rFonts w:ascii="Arial Narrow" w:hAnsi="Arial Narrow"/>
                <w:sz w:val="20"/>
                <w:szCs w:val="20"/>
              </w:rPr>
              <w:t>Administrative Advice Applications for authorisation under this restriction may be made in real time using the Online PBS Authorities system (see www.servicesaustralia.gov.au/HPOS) or by telephone by contacting Services Australia on 1800 888 333</w:t>
            </w:r>
          </w:p>
        </w:tc>
      </w:tr>
      <w:tr w:rsidR="005654A0" w:rsidRPr="00ED6EDE" w14:paraId="1C2BA37C" w14:textId="77777777" w:rsidTr="005654A0">
        <w:tc>
          <w:tcPr>
            <w:tcW w:w="544" w:type="pct"/>
            <w:shd w:val="clear" w:color="auto" w:fill="BFBFBF" w:themeFill="background1" w:themeFillShade="BF"/>
            <w:vAlign w:val="center"/>
          </w:tcPr>
          <w:p w14:paraId="0BC5441E" w14:textId="77777777" w:rsidR="005654A0" w:rsidRPr="00ED6EDE" w:rsidRDefault="005654A0" w:rsidP="005654A0">
            <w:pPr>
              <w:jc w:val="center"/>
              <w:rPr>
                <w:rFonts w:ascii="Arial Narrow" w:hAnsi="Arial Narrow"/>
                <w:sz w:val="20"/>
                <w:szCs w:val="20"/>
              </w:rPr>
            </w:pPr>
          </w:p>
        </w:tc>
        <w:tc>
          <w:tcPr>
            <w:tcW w:w="4456" w:type="pct"/>
            <w:shd w:val="clear" w:color="auto" w:fill="BFBFBF" w:themeFill="background1" w:themeFillShade="BF"/>
            <w:vAlign w:val="center"/>
            <w:hideMark/>
          </w:tcPr>
          <w:p w14:paraId="29D2EF1B"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Treatment Phase:</w:t>
            </w:r>
            <w:r w:rsidRPr="00ED6EDE">
              <w:rPr>
                <w:rFonts w:ascii="Arial Narrow" w:hAnsi="Arial Narrow"/>
                <w:sz w:val="20"/>
                <w:szCs w:val="20"/>
              </w:rPr>
              <w:t xml:space="preserve"> Initial treatment</w:t>
            </w:r>
          </w:p>
        </w:tc>
      </w:tr>
      <w:tr w:rsidR="005654A0" w:rsidRPr="00ED6EDE" w14:paraId="2065059A" w14:textId="77777777" w:rsidTr="005654A0">
        <w:tc>
          <w:tcPr>
            <w:tcW w:w="544" w:type="pct"/>
            <w:vAlign w:val="center"/>
          </w:tcPr>
          <w:p w14:paraId="512B7E83" w14:textId="77777777" w:rsidR="005654A0" w:rsidRPr="00ED6EDE" w:rsidRDefault="005654A0" w:rsidP="005654A0">
            <w:pPr>
              <w:jc w:val="center"/>
              <w:rPr>
                <w:rFonts w:ascii="Arial Narrow" w:hAnsi="Arial Narrow"/>
                <w:sz w:val="20"/>
                <w:szCs w:val="20"/>
              </w:rPr>
            </w:pPr>
          </w:p>
        </w:tc>
        <w:tc>
          <w:tcPr>
            <w:tcW w:w="4456" w:type="pct"/>
            <w:vAlign w:val="center"/>
            <w:hideMark/>
          </w:tcPr>
          <w:p w14:paraId="0CA13B1A"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179D0CED" w14:textId="77777777" w:rsidTr="005654A0">
        <w:tc>
          <w:tcPr>
            <w:tcW w:w="544" w:type="pct"/>
            <w:vAlign w:val="center"/>
          </w:tcPr>
          <w:p w14:paraId="5E949E6A" w14:textId="614CCA41" w:rsidR="005654A0" w:rsidRPr="00ED6EDE" w:rsidRDefault="005654A0" w:rsidP="005654A0">
            <w:pPr>
              <w:jc w:val="center"/>
              <w:rPr>
                <w:rFonts w:ascii="Arial Narrow" w:hAnsi="Arial Narrow"/>
                <w:sz w:val="20"/>
                <w:szCs w:val="20"/>
              </w:rPr>
            </w:pPr>
          </w:p>
        </w:tc>
        <w:tc>
          <w:tcPr>
            <w:tcW w:w="4456" w:type="pct"/>
            <w:vAlign w:val="center"/>
            <w:hideMark/>
          </w:tcPr>
          <w:p w14:paraId="068E2E90" w14:textId="72C11E44" w:rsidR="005654A0" w:rsidRPr="00ED6EDE" w:rsidRDefault="00554FF8" w:rsidP="005654A0">
            <w:pPr>
              <w:rPr>
                <w:rFonts w:ascii="Arial Narrow" w:hAnsi="Arial Narrow"/>
                <w:sz w:val="20"/>
                <w:szCs w:val="20"/>
              </w:rPr>
            </w:pPr>
            <w:r w:rsidRPr="00554FF8">
              <w:rPr>
                <w:rFonts w:ascii="Arial Narrow" w:hAnsi="Arial Narrow"/>
                <w:sz w:val="20"/>
                <w:szCs w:val="20"/>
              </w:rPr>
              <w:t>Patient must have received a prior platinum-based chemotherapy regimen for this condition</w:t>
            </w:r>
          </w:p>
        </w:tc>
      </w:tr>
      <w:tr w:rsidR="005654A0" w:rsidRPr="00ED6EDE" w14:paraId="32394995" w14:textId="77777777" w:rsidTr="005654A0">
        <w:tc>
          <w:tcPr>
            <w:tcW w:w="544" w:type="pct"/>
            <w:vAlign w:val="center"/>
          </w:tcPr>
          <w:p w14:paraId="7F05A5ED" w14:textId="77777777" w:rsidR="005654A0" w:rsidRPr="00ED6EDE" w:rsidRDefault="005654A0" w:rsidP="005654A0">
            <w:pPr>
              <w:jc w:val="center"/>
              <w:rPr>
                <w:rFonts w:ascii="Arial Narrow" w:hAnsi="Arial Narrow"/>
                <w:sz w:val="20"/>
                <w:szCs w:val="20"/>
              </w:rPr>
            </w:pPr>
          </w:p>
        </w:tc>
        <w:tc>
          <w:tcPr>
            <w:tcW w:w="4456" w:type="pct"/>
            <w:vAlign w:val="center"/>
            <w:hideMark/>
          </w:tcPr>
          <w:p w14:paraId="16BB8064"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5654A0" w:rsidRPr="00ED6EDE" w14:paraId="4CADF36C" w14:textId="77777777" w:rsidTr="005654A0">
        <w:tc>
          <w:tcPr>
            <w:tcW w:w="544" w:type="pct"/>
            <w:vAlign w:val="center"/>
          </w:tcPr>
          <w:p w14:paraId="4D0D57A5" w14:textId="77777777" w:rsidR="005654A0" w:rsidRPr="00ED6EDE" w:rsidRDefault="005654A0" w:rsidP="005654A0">
            <w:pPr>
              <w:jc w:val="center"/>
              <w:rPr>
                <w:rFonts w:ascii="Arial Narrow" w:hAnsi="Arial Narrow"/>
                <w:sz w:val="20"/>
                <w:szCs w:val="20"/>
              </w:rPr>
            </w:pPr>
          </w:p>
        </w:tc>
        <w:tc>
          <w:tcPr>
            <w:tcW w:w="4456" w:type="pct"/>
            <w:vAlign w:val="center"/>
          </w:tcPr>
          <w:p w14:paraId="13E82A5D"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Clinical criteria:</w:t>
            </w:r>
          </w:p>
        </w:tc>
      </w:tr>
      <w:tr w:rsidR="005654A0" w:rsidRPr="00ED6EDE" w14:paraId="3A3F443B" w14:textId="77777777" w:rsidTr="005654A0">
        <w:tc>
          <w:tcPr>
            <w:tcW w:w="544" w:type="pct"/>
            <w:vAlign w:val="center"/>
          </w:tcPr>
          <w:p w14:paraId="48605492" w14:textId="59F80BBC" w:rsidR="005654A0" w:rsidRPr="00ED6EDE" w:rsidRDefault="005654A0" w:rsidP="005654A0">
            <w:pPr>
              <w:jc w:val="center"/>
              <w:rPr>
                <w:rFonts w:ascii="Arial Narrow" w:hAnsi="Arial Narrow"/>
                <w:sz w:val="20"/>
                <w:szCs w:val="20"/>
              </w:rPr>
            </w:pPr>
          </w:p>
        </w:tc>
        <w:tc>
          <w:tcPr>
            <w:tcW w:w="4456" w:type="pct"/>
            <w:vAlign w:val="center"/>
          </w:tcPr>
          <w:p w14:paraId="329932D1" w14:textId="06CBB85C" w:rsidR="005654A0" w:rsidRPr="00ED6EDE" w:rsidRDefault="005654A0" w:rsidP="005654A0">
            <w:pPr>
              <w:rPr>
                <w:rFonts w:ascii="Arial Narrow" w:hAnsi="Arial Narrow"/>
                <w:sz w:val="20"/>
                <w:szCs w:val="20"/>
              </w:rPr>
            </w:pPr>
            <w:r w:rsidRPr="00ED6EDE">
              <w:rPr>
                <w:rFonts w:ascii="Arial Narrow" w:hAnsi="Arial Narrow"/>
                <w:sz w:val="20"/>
                <w:szCs w:val="20"/>
              </w:rPr>
              <w:t xml:space="preserve">Patient must not have received prior treatment with a programmed cell death-1 (PD-1) inhibitor or a programmed cell death ligand-1 (PD-L1) inhibitor or any prior tyrosine kinase inhibitor for </w:t>
            </w:r>
            <w:r w:rsidR="008738FE">
              <w:rPr>
                <w:rFonts w:ascii="Arial Narrow" w:hAnsi="Arial Narrow"/>
                <w:sz w:val="20"/>
                <w:szCs w:val="20"/>
              </w:rPr>
              <w:t>this PBS indication</w:t>
            </w:r>
          </w:p>
        </w:tc>
      </w:tr>
      <w:tr w:rsidR="005654A0" w:rsidRPr="00ED6EDE" w14:paraId="5135B8FB" w14:textId="77777777" w:rsidTr="005654A0">
        <w:tc>
          <w:tcPr>
            <w:tcW w:w="544" w:type="pct"/>
            <w:vAlign w:val="center"/>
          </w:tcPr>
          <w:p w14:paraId="28297024" w14:textId="77777777" w:rsidR="005654A0" w:rsidRPr="00ED6EDE" w:rsidRDefault="005654A0" w:rsidP="005654A0">
            <w:pPr>
              <w:jc w:val="center"/>
              <w:rPr>
                <w:rFonts w:ascii="Arial Narrow" w:hAnsi="Arial Narrow"/>
                <w:sz w:val="20"/>
                <w:szCs w:val="20"/>
              </w:rPr>
            </w:pPr>
          </w:p>
        </w:tc>
        <w:tc>
          <w:tcPr>
            <w:tcW w:w="4456" w:type="pct"/>
            <w:vAlign w:val="center"/>
            <w:hideMark/>
          </w:tcPr>
          <w:p w14:paraId="58BFCD59"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5654A0" w:rsidRPr="00ED6EDE" w14:paraId="0F8E043F" w14:textId="77777777" w:rsidTr="005654A0">
        <w:tc>
          <w:tcPr>
            <w:tcW w:w="544" w:type="pct"/>
            <w:vAlign w:val="center"/>
          </w:tcPr>
          <w:p w14:paraId="1506535F" w14:textId="0FA8F17C" w:rsidR="005654A0" w:rsidRPr="00ED6EDE" w:rsidRDefault="005654A0" w:rsidP="005654A0">
            <w:pPr>
              <w:jc w:val="center"/>
              <w:rPr>
                <w:rFonts w:ascii="Arial Narrow" w:hAnsi="Arial Narrow"/>
                <w:sz w:val="20"/>
                <w:szCs w:val="20"/>
              </w:rPr>
            </w:pPr>
          </w:p>
        </w:tc>
        <w:tc>
          <w:tcPr>
            <w:tcW w:w="4456" w:type="pct"/>
            <w:vAlign w:val="center"/>
            <w:hideMark/>
          </w:tcPr>
          <w:p w14:paraId="2EB9235A"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D035E8" w:rsidRPr="00ED6EDE" w14:paraId="197AAE23" w14:textId="77777777" w:rsidTr="005654A0">
        <w:tc>
          <w:tcPr>
            <w:tcW w:w="544" w:type="pct"/>
            <w:vAlign w:val="center"/>
          </w:tcPr>
          <w:p w14:paraId="5645A27A" w14:textId="1BE70942" w:rsidR="00D035E8" w:rsidRPr="00ED6EDE" w:rsidRDefault="00D035E8" w:rsidP="00D035E8">
            <w:pPr>
              <w:jc w:val="center"/>
              <w:rPr>
                <w:rFonts w:ascii="Arial Narrow" w:hAnsi="Arial Narrow"/>
                <w:sz w:val="20"/>
                <w:szCs w:val="20"/>
              </w:rPr>
            </w:pPr>
          </w:p>
        </w:tc>
        <w:tc>
          <w:tcPr>
            <w:tcW w:w="4456" w:type="pct"/>
            <w:vAlign w:val="center"/>
            <w:hideMark/>
          </w:tcPr>
          <w:p w14:paraId="487707FF" w14:textId="61984EAA" w:rsidR="00D035E8" w:rsidRPr="00ED6EDE" w:rsidRDefault="00D035E8" w:rsidP="00D035E8">
            <w:pPr>
              <w:rPr>
                <w:rFonts w:ascii="Arial Narrow" w:hAnsi="Arial Narrow"/>
                <w:sz w:val="20"/>
                <w:szCs w:val="20"/>
              </w:rPr>
            </w:pPr>
            <w:r w:rsidRPr="00A63014">
              <w:rPr>
                <w:rFonts w:ascii="Arial Narrow" w:hAnsi="Arial Narrow"/>
                <w:iCs/>
                <w:sz w:val="20"/>
                <w:szCs w:val="20"/>
              </w:rPr>
              <w:t>Patient must have a World Health Organisation (WHO) Eastern Cooperative Oncology Group (ECOG) performance status score of no higher than 1 prior to treatment initiation</w:t>
            </w:r>
          </w:p>
        </w:tc>
      </w:tr>
      <w:tr w:rsidR="005654A0" w:rsidRPr="00ED6EDE" w14:paraId="31D19779" w14:textId="77777777" w:rsidTr="005654A0">
        <w:tc>
          <w:tcPr>
            <w:tcW w:w="544" w:type="pct"/>
            <w:vAlign w:val="center"/>
          </w:tcPr>
          <w:p w14:paraId="127728CB" w14:textId="77777777" w:rsidR="005654A0" w:rsidRPr="00ED6EDE" w:rsidRDefault="005654A0" w:rsidP="005654A0">
            <w:pPr>
              <w:jc w:val="center"/>
              <w:rPr>
                <w:rFonts w:ascii="Arial Narrow" w:hAnsi="Arial Narrow"/>
                <w:sz w:val="20"/>
                <w:szCs w:val="20"/>
              </w:rPr>
            </w:pPr>
          </w:p>
        </w:tc>
        <w:tc>
          <w:tcPr>
            <w:tcW w:w="4456" w:type="pct"/>
            <w:vAlign w:val="center"/>
          </w:tcPr>
          <w:p w14:paraId="0064B071" w14:textId="77777777" w:rsidR="005654A0" w:rsidRPr="00ED6EDE" w:rsidRDefault="005654A0" w:rsidP="005654A0">
            <w:pPr>
              <w:rPr>
                <w:rFonts w:ascii="Arial Narrow" w:hAnsi="Arial Narrow"/>
                <w:b/>
                <w:sz w:val="20"/>
                <w:szCs w:val="20"/>
              </w:rPr>
            </w:pPr>
            <w:r w:rsidRPr="00ED6EDE">
              <w:rPr>
                <w:rFonts w:ascii="Arial Narrow" w:hAnsi="Arial Narrow"/>
                <w:b/>
                <w:sz w:val="20"/>
                <w:szCs w:val="20"/>
              </w:rPr>
              <w:t>AND</w:t>
            </w:r>
          </w:p>
        </w:tc>
      </w:tr>
      <w:tr w:rsidR="005654A0" w:rsidRPr="00ED6EDE" w14:paraId="7ED824C9" w14:textId="77777777" w:rsidTr="005654A0">
        <w:tc>
          <w:tcPr>
            <w:tcW w:w="544" w:type="pct"/>
            <w:vAlign w:val="center"/>
          </w:tcPr>
          <w:p w14:paraId="50ACCE2E" w14:textId="77777777" w:rsidR="005654A0" w:rsidRPr="00ED6EDE" w:rsidRDefault="005654A0" w:rsidP="005654A0">
            <w:pPr>
              <w:jc w:val="center"/>
              <w:rPr>
                <w:rFonts w:ascii="Arial Narrow" w:hAnsi="Arial Narrow"/>
                <w:sz w:val="20"/>
                <w:szCs w:val="20"/>
              </w:rPr>
            </w:pPr>
          </w:p>
        </w:tc>
        <w:tc>
          <w:tcPr>
            <w:tcW w:w="4456" w:type="pct"/>
            <w:vAlign w:val="center"/>
            <w:hideMark/>
          </w:tcPr>
          <w:p w14:paraId="106E9F0B"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 xml:space="preserve">Clinical criteria: </w:t>
            </w:r>
          </w:p>
        </w:tc>
      </w:tr>
      <w:tr w:rsidR="005654A0" w:rsidRPr="00ED6EDE" w14:paraId="3878F858" w14:textId="77777777" w:rsidTr="005654A0">
        <w:tc>
          <w:tcPr>
            <w:tcW w:w="544" w:type="pct"/>
            <w:vAlign w:val="center"/>
          </w:tcPr>
          <w:p w14:paraId="45083146" w14:textId="095AFA47" w:rsidR="005654A0" w:rsidRPr="00ED6EDE" w:rsidRDefault="005654A0" w:rsidP="005654A0">
            <w:pPr>
              <w:jc w:val="center"/>
              <w:rPr>
                <w:rFonts w:ascii="Arial Narrow" w:hAnsi="Arial Narrow"/>
                <w:sz w:val="20"/>
                <w:szCs w:val="20"/>
              </w:rPr>
            </w:pPr>
          </w:p>
        </w:tc>
        <w:tc>
          <w:tcPr>
            <w:tcW w:w="4456" w:type="pct"/>
            <w:vAlign w:val="center"/>
            <w:hideMark/>
          </w:tcPr>
          <w:p w14:paraId="665726D0" w14:textId="07CB3A15" w:rsidR="005654A0" w:rsidRPr="00ED6EDE" w:rsidRDefault="005654A0" w:rsidP="00774CBC">
            <w:pPr>
              <w:spacing w:line="256" w:lineRule="auto"/>
              <w:rPr>
                <w:rFonts w:ascii="Arial Narrow" w:hAnsi="Arial Narrow"/>
                <w:sz w:val="20"/>
                <w:szCs w:val="20"/>
              </w:rPr>
            </w:pPr>
            <w:r w:rsidRPr="00ED6EDE">
              <w:rPr>
                <w:rFonts w:ascii="Arial Narrow" w:hAnsi="Arial Narrow"/>
                <w:sz w:val="20"/>
                <w:szCs w:val="20"/>
              </w:rPr>
              <w:t xml:space="preserve">The treatment must be in combination with PBS-subsidised lenvatinib for this </w:t>
            </w:r>
            <w:r w:rsidRPr="00ED6EDE">
              <w:rPr>
                <w:rFonts w:ascii="Arial Narrow" w:hAnsi="Arial Narrow"/>
                <w:iCs/>
                <w:sz w:val="20"/>
                <w:szCs w:val="20"/>
              </w:rPr>
              <w:t>condition</w:t>
            </w:r>
            <w:r w:rsidRPr="00ED6EDE">
              <w:rPr>
                <w:rFonts w:ascii="Arial Narrow" w:hAnsi="Arial Narrow"/>
                <w:sz w:val="20"/>
                <w:szCs w:val="20"/>
              </w:rPr>
              <w:t xml:space="preserve">, unless </w:t>
            </w:r>
            <w:r w:rsidR="006E6D88">
              <w:rPr>
                <w:rFonts w:ascii="Arial Narrow" w:hAnsi="Arial Narrow"/>
                <w:sz w:val="20"/>
                <w:szCs w:val="20"/>
              </w:rPr>
              <w:t>the patient</w:t>
            </w:r>
            <w:r w:rsidR="00774CBC">
              <w:rPr>
                <w:rFonts w:ascii="Arial Narrow" w:hAnsi="Arial Narrow"/>
                <w:sz w:val="20"/>
                <w:szCs w:val="20"/>
              </w:rPr>
              <w:t xml:space="preserve"> has a contraindication to </w:t>
            </w:r>
            <w:r w:rsidR="006E6D88">
              <w:rPr>
                <w:rFonts w:ascii="Arial Narrow" w:hAnsi="Arial Narrow"/>
                <w:sz w:val="20"/>
                <w:szCs w:val="20"/>
              </w:rPr>
              <w:t xml:space="preserve">lenvatinib or </w:t>
            </w:r>
            <w:r w:rsidRPr="00ED6EDE">
              <w:rPr>
                <w:rFonts w:ascii="Arial Narrow" w:hAnsi="Arial Narrow"/>
                <w:sz w:val="20"/>
                <w:szCs w:val="20"/>
              </w:rPr>
              <w:t>an intolerance to lenvatinib requires a temporary or permanent discontinuation of lenvatinib</w:t>
            </w:r>
          </w:p>
        </w:tc>
      </w:tr>
      <w:tr w:rsidR="005654A0" w:rsidRPr="00ED6EDE" w14:paraId="418D4893" w14:textId="77777777" w:rsidTr="005654A0">
        <w:tc>
          <w:tcPr>
            <w:tcW w:w="544" w:type="pct"/>
            <w:vAlign w:val="center"/>
          </w:tcPr>
          <w:p w14:paraId="13DC0856" w14:textId="77777777" w:rsidR="005654A0" w:rsidRPr="00ED6EDE" w:rsidRDefault="005654A0" w:rsidP="005654A0">
            <w:pPr>
              <w:jc w:val="center"/>
              <w:rPr>
                <w:rFonts w:ascii="Arial Narrow" w:hAnsi="Arial Narrow"/>
                <w:sz w:val="20"/>
                <w:szCs w:val="20"/>
              </w:rPr>
            </w:pPr>
          </w:p>
        </w:tc>
        <w:tc>
          <w:tcPr>
            <w:tcW w:w="4456" w:type="pct"/>
            <w:vAlign w:val="center"/>
          </w:tcPr>
          <w:p w14:paraId="7B387FD7"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AND</w:t>
            </w:r>
          </w:p>
        </w:tc>
      </w:tr>
      <w:tr w:rsidR="005654A0" w:rsidRPr="00ED6EDE" w14:paraId="3922D358" w14:textId="77777777" w:rsidTr="005654A0">
        <w:tc>
          <w:tcPr>
            <w:tcW w:w="544" w:type="pct"/>
            <w:vAlign w:val="center"/>
          </w:tcPr>
          <w:p w14:paraId="642617C7" w14:textId="77777777" w:rsidR="005654A0" w:rsidRPr="00ED6EDE" w:rsidRDefault="005654A0" w:rsidP="005654A0">
            <w:pPr>
              <w:jc w:val="center"/>
              <w:rPr>
                <w:rFonts w:ascii="Arial Narrow" w:hAnsi="Arial Narrow"/>
                <w:sz w:val="20"/>
                <w:szCs w:val="20"/>
              </w:rPr>
            </w:pPr>
          </w:p>
        </w:tc>
        <w:tc>
          <w:tcPr>
            <w:tcW w:w="4456" w:type="pct"/>
            <w:vAlign w:val="center"/>
          </w:tcPr>
          <w:p w14:paraId="246B081C"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Clinical criteria:</w:t>
            </w:r>
          </w:p>
        </w:tc>
      </w:tr>
      <w:tr w:rsidR="005654A0" w:rsidRPr="00ED6EDE" w14:paraId="66FEBF40" w14:textId="77777777" w:rsidTr="005654A0">
        <w:tc>
          <w:tcPr>
            <w:tcW w:w="544" w:type="pct"/>
            <w:vAlign w:val="center"/>
          </w:tcPr>
          <w:p w14:paraId="0812A127" w14:textId="02402C58" w:rsidR="005654A0" w:rsidRPr="00ED6EDE" w:rsidRDefault="005654A0" w:rsidP="005654A0">
            <w:pPr>
              <w:jc w:val="center"/>
              <w:rPr>
                <w:rFonts w:ascii="Arial Narrow" w:hAnsi="Arial Narrow"/>
                <w:sz w:val="20"/>
                <w:szCs w:val="20"/>
              </w:rPr>
            </w:pPr>
          </w:p>
        </w:tc>
        <w:tc>
          <w:tcPr>
            <w:tcW w:w="4456" w:type="pct"/>
            <w:vAlign w:val="center"/>
          </w:tcPr>
          <w:p w14:paraId="4DBD01E6" w14:textId="77777777" w:rsidR="005654A0" w:rsidRPr="00ED6EDE" w:rsidRDefault="005654A0" w:rsidP="005654A0">
            <w:pPr>
              <w:rPr>
                <w:rFonts w:ascii="Arial Narrow" w:hAnsi="Arial Narrow"/>
                <w:bCs/>
                <w:sz w:val="20"/>
                <w:szCs w:val="20"/>
              </w:rPr>
            </w:pPr>
            <w:r w:rsidRPr="00ED6EDE">
              <w:rPr>
                <w:rFonts w:ascii="Arial Narrow" w:hAnsi="Arial Narrow"/>
                <w:bCs/>
                <w:sz w:val="20"/>
                <w:szCs w:val="20"/>
              </w:rPr>
              <w:t>The treatment must not exceed a total of 7 doses under this restriction</w:t>
            </w:r>
          </w:p>
        </w:tc>
      </w:tr>
      <w:tr w:rsidR="005654A0" w:rsidRPr="00ED6EDE" w14:paraId="30B70932" w14:textId="77777777" w:rsidTr="005654A0">
        <w:tc>
          <w:tcPr>
            <w:tcW w:w="544" w:type="pct"/>
            <w:vAlign w:val="center"/>
          </w:tcPr>
          <w:p w14:paraId="55FBED44" w14:textId="72F1E86F" w:rsidR="005654A0" w:rsidRPr="00ED6EDE" w:rsidRDefault="005654A0" w:rsidP="005654A0">
            <w:pPr>
              <w:jc w:val="center"/>
              <w:rPr>
                <w:rFonts w:ascii="Arial Narrow" w:hAnsi="Arial Narrow"/>
                <w:sz w:val="20"/>
                <w:szCs w:val="20"/>
              </w:rPr>
            </w:pPr>
          </w:p>
        </w:tc>
        <w:tc>
          <w:tcPr>
            <w:tcW w:w="4456" w:type="pct"/>
            <w:vAlign w:val="center"/>
            <w:hideMark/>
          </w:tcPr>
          <w:p w14:paraId="3CCA1C93" w14:textId="77777777" w:rsidR="005654A0" w:rsidRPr="00ED6EDE" w:rsidRDefault="005654A0" w:rsidP="005654A0">
            <w:pPr>
              <w:rPr>
                <w:rFonts w:ascii="Arial Narrow" w:hAnsi="Arial Narrow"/>
                <w:bCs/>
                <w:sz w:val="20"/>
                <w:szCs w:val="20"/>
              </w:rPr>
            </w:pPr>
            <w:r w:rsidRPr="00ED6EDE">
              <w:rPr>
                <w:rFonts w:ascii="Arial Narrow" w:hAnsi="Arial Narrow"/>
                <w:b/>
                <w:bCs/>
                <w:sz w:val="20"/>
                <w:szCs w:val="20"/>
              </w:rPr>
              <w:t>Administrative Advice</w:t>
            </w:r>
            <w:r w:rsidRPr="00ED6EDE">
              <w:rPr>
                <w:rFonts w:ascii="Arial Narrow" w:hAnsi="Arial Narrow"/>
                <w:bCs/>
                <w:sz w:val="20"/>
                <w:szCs w:val="20"/>
              </w:rPr>
              <w:t>: In the first few months after start of immunotherapy, some patients can have a transient tumour flare with subsequent disease response. When progression is suspected, this should be confirmed through a confirmatory scan, taken at least 4 weeks later</w:t>
            </w:r>
          </w:p>
        </w:tc>
      </w:tr>
    </w:tbl>
    <w:p w14:paraId="78E89C2D" w14:textId="77777777" w:rsidR="005654A0" w:rsidRPr="00ED6EDE" w:rsidRDefault="005654A0" w:rsidP="005654A0">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8"/>
        <w:gridCol w:w="8049"/>
      </w:tblGrid>
      <w:tr w:rsidR="005654A0" w:rsidRPr="00ED6EDE" w14:paraId="3CEF8243" w14:textId="77777777" w:rsidTr="005654A0">
        <w:tc>
          <w:tcPr>
            <w:tcW w:w="537" w:type="pct"/>
            <w:shd w:val="clear" w:color="auto" w:fill="BFBFBF" w:themeFill="background1" w:themeFillShade="BF"/>
            <w:vAlign w:val="center"/>
          </w:tcPr>
          <w:p w14:paraId="0EBC6276" w14:textId="77777777" w:rsidR="005654A0" w:rsidRPr="00ED6EDE" w:rsidRDefault="005654A0" w:rsidP="005654A0">
            <w:pPr>
              <w:jc w:val="center"/>
              <w:rPr>
                <w:rFonts w:ascii="Arial Narrow" w:hAnsi="Arial Narrow"/>
                <w:sz w:val="20"/>
                <w:szCs w:val="20"/>
              </w:rPr>
            </w:pPr>
          </w:p>
        </w:tc>
        <w:tc>
          <w:tcPr>
            <w:tcW w:w="4463" w:type="pct"/>
            <w:shd w:val="clear" w:color="auto" w:fill="BFBFBF" w:themeFill="background1" w:themeFillShade="BF"/>
            <w:vAlign w:val="center"/>
            <w:hideMark/>
          </w:tcPr>
          <w:p w14:paraId="6C1A02EF"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Treatment Phase:</w:t>
            </w:r>
            <w:r w:rsidRPr="00ED6EDE">
              <w:rPr>
                <w:rFonts w:ascii="Arial Narrow" w:hAnsi="Arial Narrow"/>
                <w:sz w:val="20"/>
                <w:szCs w:val="20"/>
              </w:rPr>
              <w:t xml:space="preserve"> </w:t>
            </w:r>
            <w:r w:rsidRPr="00ED6EDE">
              <w:rPr>
                <w:rFonts w:ascii="Arial Narrow" w:hAnsi="Arial Narrow"/>
                <w:bCs/>
                <w:sz w:val="20"/>
                <w:szCs w:val="20"/>
              </w:rPr>
              <w:t>Continuing treatment</w:t>
            </w:r>
          </w:p>
        </w:tc>
      </w:tr>
      <w:tr w:rsidR="005654A0" w:rsidRPr="00ED6EDE" w14:paraId="70E996CB" w14:textId="77777777" w:rsidTr="005654A0">
        <w:tc>
          <w:tcPr>
            <w:tcW w:w="537" w:type="pct"/>
            <w:vAlign w:val="center"/>
          </w:tcPr>
          <w:p w14:paraId="4B650C7F" w14:textId="77777777" w:rsidR="005654A0" w:rsidRPr="00ED6EDE" w:rsidRDefault="005654A0" w:rsidP="005654A0">
            <w:pPr>
              <w:jc w:val="center"/>
              <w:rPr>
                <w:rFonts w:ascii="Arial Narrow" w:hAnsi="Arial Narrow"/>
                <w:sz w:val="20"/>
                <w:szCs w:val="20"/>
              </w:rPr>
            </w:pPr>
          </w:p>
        </w:tc>
        <w:tc>
          <w:tcPr>
            <w:tcW w:w="4463" w:type="pct"/>
            <w:vAlign w:val="center"/>
            <w:hideMark/>
          </w:tcPr>
          <w:p w14:paraId="7E9D3AE6"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4D6A496E" w14:textId="77777777" w:rsidTr="005654A0">
        <w:tc>
          <w:tcPr>
            <w:tcW w:w="537" w:type="pct"/>
            <w:vAlign w:val="center"/>
          </w:tcPr>
          <w:p w14:paraId="4C4AD2B8" w14:textId="456EDA92" w:rsidR="005654A0" w:rsidRPr="00ED6EDE" w:rsidRDefault="005654A0" w:rsidP="005654A0">
            <w:pPr>
              <w:jc w:val="center"/>
              <w:rPr>
                <w:rFonts w:ascii="Arial Narrow" w:hAnsi="Arial Narrow"/>
                <w:sz w:val="20"/>
                <w:szCs w:val="20"/>
              </w:rPr>
            </w:pPr>
          </w:p>
        </w:tc>
        <w:tc>
          <w:tcPr>
            <w:tcW w:w="4463" w:type="pct"/>
            <w:vAlign w:val="center"/>
            <w:hideMark/>
          </w:tcPr>
          <w:p w14:paraId="6D82C91D" w14:textId="77777777" w:rsidR="005654A0" w:rsidRPr="00ED6EDE" w:rsidRDefault="005654A0" w:rsidP="005654A0">
            <w:pPr>
              <w:rPr>
                <w:rFonts w:ascii="Arial Narrow" w:hAnsi="Arial Narrow"/>
                <w:sz w:val="20"/>
                <w:szCs w:val="20"/>
              </w:rPr>
            </w:pPr>
            <w:r w:rsidRPr="00ED6EDE">
              <w:rPr>
                <w:rFonts w:ascii="Arial Narrow" w:hAnsi="Arial Narrow"/>
                <w:sz w:val="20"/>
                <w:szCs w:val="20"/>
              </w:rPr>
              <w:t>Patient must have previously received PBS-subsidised treatment with this drug for this condition</w:t>
            </w:r>
          </w:p>
        </w:tc>
      </w:tr>
      <w:tr w:rsidR="005654A0" w:rsidRPr="00ED6EDE" w14:paraId="137AD159" w14:textId="77777777" w:rsidTr="005654A0">
        <w:tc>
          <w:tcPr>
            <w:tcW w:w="537" w:type="pct"/>
            <w:vAlign w:val="center"/>
          </w:tcPr>
          <w:p w14:paraId="018FF062" w14:textId="77777777" w:rsidR="005654A0" w:rsidRPr="00ED6EDE" w:rsidRDefault="005654A0" w:rsidP="005654A0">
            <w:pPr>
              <w:jc w:val="center"/>
              <w:rPr>
                <w:rFonts w:ascii="Arial Narrow" w:hAnsi="Arial Narrow"/>
                <w:sz w:val="20"/>
                <w:szCs w:val="20"/>
              </w:rPr>
            </w:pPr>
          </w:p>
        </w:tc>
        <w:tc>
          <w:tcPr>
            <w:tcW w:w="4463" w:type="pct"/>
            <w:vAlign w:val="center"/>
          </w:tcPr>
          <w:p w14:paraId="0A0596E7"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5654A0" w:rsidRPr="00ED6EDE" w14:paraId="4AD1D419" w14:textId="77777777" w:rsidTr="005654A0">
        <w:tc>
          <w:tcPr>
            <w:tcW w:w="537" w:type="pct"/>
            <w:vAlign w:val="center"/>
          </w:tcPr>
          <w:p w14:paraId="69BDEF80" w14:textId="48C3E157" w:rsidR="005654A0" w:rsidRPr="00ED6EDE" w:rsidRDefault="005654A0" w:rsidP="005654A0">
            <w:pPr>
              <w:jc w:val="center"/>
              <w:rPr>
                <w:rFonts w:ascii="Arial Narrow" w:hAnsi="Arial Narrow"/>
                <w:sz w:val="20"/>
                <w:szCs w:val="20"/>
              </w:rPr>
            </w:pPr>
          </w:p>
        </w:tc>
        <w:tc>
          <w:tcPr>
            <w:tcW w:w="4463" w:type="pct"/>
            <w:vAlign w:val="center"/>
          </w:tcPr>
          <w:p w14:paraId="3699F17B"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41DF2384" w14:textId="77777777" w:rsidTr="005654A0">
        <w:tc>
          <w:tcPr>
            <w:tcW w:w="537" w:type="pct"/>
            <w:vAlign w:val="center"/>
          </w:tcPr>
          <w:p w14:paraId="6EC2A9CE" w14:textId="1DA89954" w:rsidR="005654A0" w:rsidRPr="00ED6EDE" w:rsidRDefault="005654A0" w:rsidP="005654A0">
            <w:pPr>
              <w:jc w:val="center"/>
              <w:rPr>
                <w:rFonts w:ascii="Arial Narrow" w:hAnsi="Arial Narrow"/>
                <w:sz w:val="20"/>
                <w:szCs w:val="20"/>
              </w:rPr>
            </w:pPr>
          </w:p>
        </w:tc>
        <w:tc>
          <w:tcPr>
            <w:tcW w:w="4463" w:type="pct"/>
            <w:vAlign w:val="center"/>
          </w:tcPr>
          <w:p w14:paraId="3CF9452A" w14:textId="26AC379B" w:rsidR="005654A0" w:rsidRPr="00ED6EDE" w:rsidRDefault="005654A0" w:rsidP="006E6D88">
            <w:pPr>
              <w:rPr>
                <w:rFonts w:ascii="Arial Narrow" w:hAnsi="Arial Narrow"/>
                <w:b/>
                <w:bCs/>
                <w:sz w:val="20"/>
                <w:szCs w:val="20"/>
              </w:rPr>
            </w:pPr>
            <w:r w:rsidRPr="00ED6EDE">
              <w:rPr>
                <w:rFonts w:ascii="Arial Narrow" w:hAnsi="Arial Narrow"/>
                <w:sz w:val="20"/>
                <w:szCs w:val="20"/>
              </w:rPr>
              <w:t xml:space="preserve">Patient must not have </w:t>
            </w:r>
            <w:r w:rsidRPr="00ED6EDE">
              <w:rPr>
                <w:rFonts w:ascii="Arial Narrow" w:hAnsi="Arial Narrow"/>
                <w:iCs/>
                <w:sz w:val="20"/>
                <w:szCs w:val="20"/>
              </w:rPr>
              <w:t>developed</w:t>
            </w:r>
            <w:r w:rsidRPr="00ED6EDE">
              <w:rPr>
                <w:rFonts w:ascii="Arial Narrow" w:hAnsi="Arial Narrow"/>
                <w:sz w:val="20"/>
                <w:szCs w:val="20"/>
              </w:rPr>
              <w:t xml:space="preserve"> disease </w:t>
            </w:r>
            <w:r w:rsidRPr="00ED6EDE">
              <w:rPr>
                <w:rFonts w:ascii="Arial Narrow" w:hAnsi="Arial Narrow"/>
                <w:iCs/>
                <w:sz w:val="20"/>
                <w:szCs w:val="20"/>
              </w:rPr>
              <w:t>progression</w:t>
            </w:r>
            <w:r w:rsidRPr="00ED6EDE">
              <w:rPr>
                <w:rFonts w:ascii="Arial Narrow" w:hAnsi="Arial Narrow"/>
                <w:sz w:val="20"/>
                <w:szCs w:val="20"/>
              </w:rPr>
              <w:t xml:space="preserve"> while receiving PBS-subsidised treatment with this drug for this condition.</w:t>
            </w:r>
          </w:p>
        </w:tc>
      </w:tr>
      <w:tr w:rsidR="005654A0" w:rsidRPr="00ED6EDE" w14:paraId="127A1FCE" w14:textId="77777777" w:rsidTr="005654A0">
        <w:tc>
          <w:tcPr>
            <w:tcW w:w="537" w:type="pct"/>
            <w:vAlign w:val="center"/>
          </w:tcPr>
          <w:p w14:paraId="28624ED4" w14:textId="77777777" w:rsidR="005654A0" w:rsidRPr="00ED6EDE" w:rsidRDefault="005654A0" w:rsidP="005654A0">
            <w:pPr>
              <w:jc w:val="center"/>
              <w:rPr>
                <w:rFonts w:ascii="Arial Narrow" w:hAnsi="Arial Narrow"/>
                <w:sz w:val="20"/>
                <w:szCs w:val="20"/>
              </w:rPr>
            </w:pPr>
          </w:p>
        </w:tc>
        <w:tc>
          <w:tcPr>
            <w:tcW w:w="4463" w:type="pct"/>
            <w:vAlign w:val="center"/>
          </w:tcPr>
          <w:p w14:paraId="5E76E69E" w14:textId="77777777" w:rsidR="005654A0" w:rsidRPr="00ED6EDE" w:rsidRDefault="005654A0" w:rsidP="005654A0">
            <w:pPr>
              <w:rPr>
                <w:rFonts w:ascii="Arial Narrow" w:hAnsi="Arial Narrow" w:cs="Calibri"/>
                <w:iCs/>
                <w:sz w:val="20"/>
                <w:szCs w:val="20"/>
              </w:rPr>
            </w:pPr>
            <w:r w:rsidRPr="00ED6EDE">
              <w:rPr>
                <w:rFonts w:ascii="Arial Narrow" w:hAnsi="Arial Narrow"/>
                <w:b/>
                <w:bCs/>
                <w:sz w:val="20"/>
                <w:szCs w:val="20"/>
              </w:rPr>
              <w:t>AND</w:t>
            </w:r>
          </w:p>
        </w:tc>
      </w:tr>
      <w:tr w:rsidR="005654A0" w:rsidRPr="00ED6EDE" w14:paraId="41767A88" w14:textId="77777777" w:rsidTr="005654A0">
        <w:tc>
          <w:tcPr>
            <w:tcW w:w="537" w:type="pct"/>
            <w:vAlign w:val="center"/>
          </w:tcPr>
          <w:p w14:paraId="7222E498" w14:textId="77777777" w:rsidR="005654A0" w:rsidRPr="00ED6EDE" w:rsidRDefault="005654A0" w:rsidP="005654A0">
            <w:pPr>
              <w:jc w:val="center"/>
              <w:rPr>
                <w:rFonts w:ascii="Arial Narrow" w:hAnsi="Arial Narrow"/>
                <w:sz w:val="20"/>
                <w:szCs w:val="20"/>
              </w:rPr>
            </w:pPr>
          </w:p>
        </w:tc>
        <w:tc>
          <w:tcPr>
            <w:tcW w:w="4463" w:type="pct"/>
            <w:vAlign w:val="center"/>
          </w:tcPr>
          <w:p w14:paraId="3FA8955A"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Clinical criteria:</w:t>
            </w:r>
          </w:p>
        </w:tc>
      </w:tr>
      <w:tr w:rsidR="00774CBC" w:rsidRPr="00ED6EDE" w14:paraId="20B82177" w14:textId="77777777" w:rsidTr="005654A0">
        <w:tc>
          <w:tcPr>
            <w:tcW w:w="537" w:type="pct"/>
            <w:vAlign w:val="center"/>
          </w:tcPr>
          <w:p w14:paraId="79478F44" w14:textId="680EF35F" w:rsidR="00774CBC" w:rsidRPr="00ED6EDE" w:rsidRDefault="00774CBC" w:rsidP="00774CBC">
            <w:pPr>
              <w:jc w:val="center"/>
              <w:rPr>
                <w:rFonts w:ascii="Arial Narrow" w:hAnsi="Arial Narrow"/>
                <w:sz w:val="20"/>
                <w:szCs w:val="20"/>
              </w:rPr>
            </w:pPr>
          </w:p>
        </w:tc>
        <w:tc>
          <w:tcPr>
            <w:tcW w:w="4463" w:type="pct"/>
            <w:vAlign w:val="center"/>
          </w:tcPr>
          <w:p w14:paraId="49501811" w14:textId="038DD3DD" w:rsidR="00774CBC" w:rsidRPr="00ED6EDE" w:rsidRDefault="00774CBC" w:rsidP="00774CBC">
            <w:pPr>
              <w:rPr>
                <w:rFonts w:ascii="Arial Narrow" w:hAnsi="Arial Narrow"/>
                <w:bCs/>
                <w:sz w:val="20"/>
                <w:szCs w:val="20"/>
              </w:rPr>
            </w:pPr>
            <w:r w:rsidRPr="00ED6EDE">
              <w:rPr>
                <w:rFonts w:ascii="Arial Narrow" w:hAnsi="Arial Narrow"/>
                <w:sz w:val="20"/>
                <w:szCs w:val="20"/>
              </w:rPr>
              <w:t xml:space="preserve">The treatment must be in combination with PBS-subsidised lenvatinib for this </w:t>
            </w:r>
            <w:r w:rsidRPr="00ED6EDE">
              <w:rPr>
                <w:rFonts w:ascii="Arial Narrow" w:hAnsi="Arial Narrow"/>
                <w:iCs/>
                <w:sz w:val="20"/>
                <w:szCs w:val="20"/>
              </w:rPr>
              <w:t>condition</w:t>
            </w:r>
            <w:r w:rsidRPr="00ED6EDE">
              <w:rPr>
                <w:rFonts w:ascii="Arial Narrow" w:hAnsi="Arial Narrow"/>
                <w:sz w:val="20"/>
                <w:szCs w:val="20"/>
              </w:rPr>
              <w:t xml:space="preserve">, unless </w:t>
            </w:r>
            <w:r>
              <w:rPr>
                <w:rFonts w:ascii="Arial Narrow" w:hAnsi="Arial Narrow"/>
                <w:sz w:val="20"/>
                <w:szCs w:val="20"/>
              </w:rPr>
              <w:t xml:space="preserve">the patient has a contraindication to lenvatinib or </w:t>
            </w:r>
            <w:r w:rsidRPr="00ED6EDE">
              <w:rPr>
                <w:rFonts w:ascii="Arial Narrow" w:hAnsi="Arial Narrow"/>
                <w:sz w:val="20"/>
                <w:szCs w:val="20"/>
              </w:rPr>
              <w:t>an intolerance to lenvatinib requires a temporary or permanent discontinuation of lenvatinib</w:t>
            </w:r>
          </w:p>
        </w:tc>
      </w:tr>
      <w:tr w:rsidR="005654A0" w:rsidRPr="00ED6EDE" w14:paraId="563B5B01" w14:textId="77777777" w:rsidTr="005654A0">
        <w:tc>
          <w:tcPr>
            <w:tcW w:w="537" w:type="pct"/>
            <w:vAlign w:val="center"/>
          </w:tcPr>
          <w:p w14:paraId="52E88B2D" w14:textId="77777777" w:rsidR="005654A0" w:rsidRPr="00ED6EDE" w:rsidRDefault="005654A0" w:rsidP="005654A0">
            <w:pPr>
              <w:jc w:val="center"/>
              <w:rPr>
                <w:rFonts w:ascii="Arial Narrow" w:hAnsi="Arial Narrow"/>
                <w:sz w:val="20"/>
                <w:szCs w:val="20"/>
              </w:rPr>
            </w:pPr>
          </w:p>
        </w:tc>
        <w:tc>
          <w:tcPr>
            <w:tcW w:w="4463" w:type="pct"/>
            <w:vAlign w:val="center"/>
          </w:tcPr>
          <w:p w14:paraId="3E3018FC"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5BFFBDBD" w14:textId="77777777" w:rsidTr="005654A0">
        <w:tc>
          <w:tcPr>
            <w:tcW w:w="537" w:type="pct"/>
            <w:vAlign w:val="center"/>
          </w:tcPr>
          <w:p w14:paraId="3E1F1EF0" w14:textId="209B64C5" w:rsidR="005654A0" w:rsidRPr="00ED6EDE" w:rsidRDefault="005654A0" w:rsidP="005654A0">
            <w:pPr>
              <w:jc w:val="center"/>
              <w:rPr>
                <w:rFonts w:ascii="Arial Narrow" w:hAnsi="Arial Narrow"/>
                <w:sz w:val="20"/>
                <w:szCs w:val="20"/>
              </w:rPr>
            </w:pPr>
          </w:p>
        </w:tc>
        <w:tc>
          <w:tcPr>
            <w:tcW w:w="4463" w:type="pct"/>
            <w:vAlign w:val="center"/>
            <w:hideMark/>
          </w:tcPr>
          <w:p w14:paraId="4AF2B467" w14:textId="10A85E19" w:rsidR="005654A0" w:rsidRPr="00ED6EDE" w:rsidRDefault="005654A0" w:rsidP="006E6D88">
            <w:pPr>
              <w:rPr>
                <w:rFonts w:ascii="Arial Narrow" w:hAnsi="Arial Narrow"/>
                <w:sz w:val="20"/>
                <w:szCs w:val="20"/>
              </w:rPr>
            </w:pPr>
            <w:r w:rsidRPr="00ED6EDE">
              <w:rPr>
                <w:rFonts w:ascii="Arial Narrow" w:hAnsi="Arial Narrow"/>
                <w:sz w:val="20"/>
                <w:szCs w:val="20"/>
              </w:rPr>
              <w:t xml:space="preserve">The treatment must not exceed a total of 35 doses or up to 24 months of </w:t>
            </w:r>
            <w:r w:rsidR="0030377A">
              <w:rPr>
                <w:rFonts w:ascii="Arial Narrow" w:hAnsi="Arial Narrow"/>
                <w:sz w:val="20"/>
                <w:szCs w:val="20"/>
              </w:rPr>
              <w:t xml:space="preserve">combined initial and continuing </w:t>
            </w:r>
            <w:r w:rsidRPr="00ED6EDE">
              <w:rPr>
                <w:rFonts w:ascii="Arial Narrow" w:hAnsi="Arial Narrow"/>
                <w:sz w:val="20"/>
                <w:szCs w:val="20"/>
              </w:rPr>
              <w:t>treatment in a lifetime for this condition</w:t>
            </w:r>
            <w:r w:rsidR="00D035E8">
              <w:rPr>
                <w:rFonts w:ascii="Arial Narrow" w:hAnsi="Arial Narrow"/>
                <w:sz w:val="20"/>
                <w:szCs w:val="20"/>
              </w:rPr>
              <w:t xml:space="preserve"> whichever comes first</w:t>
            </w:r>
          </w:p>
        </w:tc>
      </w:tr>
    </w:tbl>
    <w:p w14:paraId="464244A1" w14:textId="77777777" w:rsidR="005654A0" w:rsidRPr="00ED6EDE" w:rsidRDefault="005654A0" w:rsidP="005654A0">
      <w:pPr>
        <w:keepNext/>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8"/>
        <w:gridCol w:w="13"/>
        <w:gridCol w:w="8036"/>
      </w:tblGrid>
      <w:tr w:rsidR="005654A0" w:rsidRPr="00ED6EDE" w14:paraId="077A346D" w14:textId="77777777" w:rsidTr="005654A0">
        <w:tc>
          <w:tcPr>
            <w:tcW w:w="544" w:type="pct"/>
            <w:gridSpan w:val="2"/>
            <w:shd w:val="clear" w:color="auto" w:fill="BFBFBF" w:themeFill="background1" w:themeFillShade="BF"/>
            <w:vAlign w:val="center"/>
          </w:tcPr>
          <w:p w14:paraId="774FBC69" w14:textId="77777777" w:rsidR="005654A0" w:rsidRPr="00ED6EDE" w:rsidRDefault="005654A0" w:rsidP="005654A0">
            <w:pPr>
              <w:jc w:val="center"/>
              <w:rPr>
                <w:rFonts w:ascii="Arial Narrow" w:hAnsi="Arial Narrow"/>
                <w:sz w:val="20"/>
                <w:szCs w:val="20"/>
              </w:rPr>
            </w:pPr>
          </w:p>
        </w:tc>
        <w:tc>
          <w:tcPr>
            <w:tcW w:w="4456" w:type="pct"/>
            <w:shd w:val="clear" w:color="auto" w:fill="BFBFBF" w:themeFill="background1" w:themeFillShade="BF"/>
            <w:vAlign w:val="center"/>
            <w:hideMark/>
          </w:tcPr>
          <w:p w14:paraId="48FC05E0" w14:textId="61E2A7C9" w:rsidR="005654A0" w:rsidRPr="00ED6EDE" w:rsidRDefault="005654A0" w:rsidP="006E6D88">
            <w:pPr>
              <w:rPr>
                <w:rFonts w:ascii="Arial Narrow" w:hAnsi="Arial Narrow"/>
                <w:sz w:val="20"/>
                <w:szCs w:val="20"/>
              </w:rPr>
            </w:pPr>
            <w:r w:rsidRPr="00ED6EDE">
              <w:rPr>
                <w:rFonts w:ascii="Arial Narrow" w:hAnsi="Arial Narrow"/>
                <w:b/>
                <w:bCs/>
                <w:sz w:val="20"/>
                <w:szCs w:val="20"/>
              </w:rPr>
              <w:t>Treatment Phase:</w:t>
            </w:r>
            <w:r w:rsidRPr="00ED6EDE">
              <w:rPr>
                <w:rFonts w:ascii="Arial Narrow" w:hAnsi="Arial Narrow"/>
                <w:sz w:val="20"/>
                <w:szCs w:val="20"/>
              </w:rPr>
              <w:t xml:space="preserve">  Transitioning from non-PBS to PBS subsided treatment – ‘Grandfather’ treatment</w:t>
            </w:r>
          </w:p>
        </w:tc>
      </w:tr>
      <w:tr w:rsidR="005654A0" w:rsidRPr="00ED6EDE" w14:paraId="58EFCBA9" w14:textId="77777777" w:rsidTr="005654A0">
        <w:tc>
          <w:tcPr>
            <w:tcW w:w="544" w:type="pct"/>
            <w:gridSpan w:val="2"/>
            <w:vAlign w:val="center"/>
          </w:tcPr>
          <w:p w14:paraId="7639E919" w14:textId="77777777" w:rsidR="005654A0" w:rsidRPr="00ED6EDE" w:rsidRDefault="005654A0" w:rsidP="005654A0">
            <w:pPr>
              <w:jc w:val="center"/>
              <w:rPr>
                <w:rFonts w:ascii="Arial Narrow" w:hAnsi="Arial Narrow"/>
                <w:sz w:val="20"/>
                <w:szCs w:val="20"/>
              </w:rPr>
            </w:pPr>
          </w:p>
        </w:tc>
        <w:tc>
          <w:tcPr>
            <w:tcW w:w="4456" w:type="pct"/>
            <w:vAlign w:val="center"/>
            <w:hideMark/>
          </w:tcPr>
          <w:p w14:paraId="26B06A6E"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5720D9C2" w14:textId="77777777" w:rsidTr="005654A0">
        <w:tc>
          <w:tcPr>
            <w:tcW w:w="544" w:type="pct"/>
            <w:gridSpan w:val="2"/>
            <w:vAlign w:val="center"/>
          </w:tcPr>
          <w:p w14:paraId="0264FA19" w14:textId="0475AA91" w:rsidR="005654A0" w:rsidRPr="00ED6EDE" w:rsidRDefault="005654A0" w:rsidP="005654A0">
            <w:pPr>
              <w:jc w:val="center"/>
              <w:rPr>
                <w:rFonts w:ascii="Arial Narrow" w:hAnsi="Arial Narrow"/>
                <w:sz w:val="20"/>
                <w:szCs w:val="20"/>
              </w:rPr>
            </w:pPr>
          </w:p>
        </w:tc>
        <w:tc>
          <w:tcPr>
            <w:tcW w:w="4456" w:type="pct"/>
            <w:vAlign w:val="center"/>
            <w:hideMark/>
          </w:tcPr>
          <w:p w14:paraId="76DB538A" w14:textId="5EEFAA0C" w:rsidR="005654A0" w:rsidRPr="00ED6EDE" w:rsidRDefault="005654A0" w:rsidP="006E6D88">
            <w:pPr>
              <w:rPr>
                <w:rFonts w:ascii="Arial Narrow" w:hAnsi="Arial Narrow"/>
                <w:sz w:val="20"/>
                <w:szCs w:val="20"/>
              </w:rPr>
            </w:pPr>
            <w:r w:rsidRPr="00ED6EDE">
              <w:rPr>
                <w:rFonts w:ascii="Arial Narrow" w:hAnsi="Arial Narrow"/>
                <w:sz w:val="20"/>
                <w:szCs w:val="20"/>
              </w:rPr>
              <w:t>Patient must have received non-PBS subsidised treatment with this drug for this condition prior to [listing date]</w:t>
            </w:r>
          </w:p>
        </w:tc>
      </w:tr>
      <w:tr w:rsidR="005654A0" w:rsidRPr="00ED6EDE" w14:paraId="7DAC7890" w14:textId="77777777" w:rsidTr="005654A0">
        <w:tc>
          <w:tcPr>
            <w:tcW w:w="544" w:type="pct"/>
            <w:gridSpan w:val="2"/>
            <w:vAlign w:val="center"/>
          </w:tcPr>
          <w:p w14:paraId="224EC55D" w14:textId="77777777" w:rsidR="005654A0" w:rsidRPr="00ED6EDE" w:rsidRDefault="005654A0" w:rsidP="005654A0">
            <w:pPr>
              <w:jc w:val="center"/>
              <w:rPr>
                <w:rFonts w:ascii="Arial Narrow" w:hAnsi="Arial Narrow"/>
                <w:sz w:val="20"/>
                <w:szCs w:val="20"/>
              </w:rPr>
            </w:pPr>
          </w:p>
        </w:tc>
        <w:tc>
          <w:tcPr>
            <w:tcW w:w="4456" w:type="pct"/>
            <w:vAlign w:val="center"/>
            <w:hideMark/>
          </w:tcPr>
          <w:p w14:paraId="42F64B1D"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5654A0" w:rsidRPr="00ED6EDE" w14:paraId="31E245AF" w14:textId="77777777" w:rsidTr="005654A0">
        <w:tc>
          <w:tcPr>
            <w:tcW w:w="544" w:type="pct"/>
            <w:gridSpan w:val="2"/>
            <w:vAlign w:val="center"/>
          </w:tcPr>
          <w:p w14:paraId="5C9A3521" w14:textId="77777777" w:rsidR="005654A0" w:rsidRPr="00ED6EDE" w:rsidRDefault="005654A0" w:rsidP="005654A0">
            <w:pPr>
              <w:jc w:val="center"/>
              <w:rPr>
                <w:rFonts w:ascii="Arial Narrow" w:hAnsi="Arial Narrow"/>
                <w:sz w:val="20"/>
                <w:szCs w:val="20"/>
              </w:rPr>
            </w:pPr>
          </w:p>
        </w:tc>
        <w:tc>
          <w:tcPr>
            <w:tcW w:w="4456" w:type="pct"/>
            <w:vAlign w:val="center"/>
            <w:hideMark/>
          </w:tcPr>
          <w:p w14:paraId="22F526E8"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29B1D830" w14:textId="77777777" w:rsidTr="005654A0">
        <w:tc>
          <w:tcPr>
            <w:tcW w:w="544" w:type="pct"/>
            <w:gridSpan w:val="2"/>
            <w:vAlign w:val="center"/>
          </w:tcPr>
          <w:p w14:paraId="50981547" w14:textId="311D3DB7" w:rsidR="005654A0" w:rsidRPr="00ED6EDE" w:rsidRDefault="005654A0" w:rsidP="005654A0">
            <w:pPr>
              <w:jc w:val="center"/>
              <w:rPr>
                <w:rFonts w:ascii="Arial Narrow" w:hAnsi="Arial Narrow"/>
                <w:sz w:val="20"/>
                <w:szCs w:val="20"/>
              </w:rPr>
            </w:pPr>
          </w:p>
        </w:tc>
        <w:tc>
          <w:tcPr>
            <w:tcW w:w="4456" w:type="pct"/>
            <w:vAlign w:val="center"/>
            <w:hideMark/>
          </w:tcPr>
          <w:p w14:paraId="7575224D" w14:textId="6E04E1E2" w:rsidR="005654A0" w:rsidRPr="00ED6EDE" w:rsidRDefault="00554FF8" w:rsidP="00554FF8">
            <w:pPr>
              <w:keepNext/>
              <w:keepLines/>
              <w:rPr>
                <w:rFonts w:ascii="Arial Narrow" w:hAnsi="Arial Narrow"/>
                <w:sz w:val="20"/>
                <w:szCs w:val="20"/>
              </w:rPr>
            </w:pPr>
            <w:r w:rsidRPr="00554FF8">
              <w:rPr>
                <w:rFonts w:ascii="Arial Narrow" w:hAnsi="Arial Narrow"/>
                <w:sz w:val="20"/>
                <w:szCs w:val="20"/>
              </w:rPr>
              <w:t>Patient must have received a prior platinum-based chemotherapy regimen for this condition</w:t>
            </w:r>
            <w:r w:rsidRPr="00ED6EDE">
              <w:rPr>
                <w:rFonts w:ascii="Arial Narrow" w:hAnsi="Arial Narrow"/>
                <w:sz w:val="20"/>
                <w:szCs w:val="20"/>
              </w:rPr>
              <w:t xml:space="preserve"> </w:t>
            </w:r>
          </w:p>
        </w:tc>
      </w:tr>
      <w:tr w:rsidR="005654A0" w:rsidRPr="00ED6EDE" w14:paraId="2C9521EE" w14:textId="77777777" w:rsidTr="005654A0">
        <w:tc>
          <w:tcPr>
            <w:tcW w:w="544" w:type="pct"/>
            <w:gridSpan w:val="2"/>
            <w:vAlign w:val="center"/>
          </w:tcPr>
          <w:p w14:paraId="26BF78CA" w14:textId="77777777" w:rsidR="005654A0" w:rsidRPr="00ED6EDE" w:rsidRDefault="005654A0" w:rsidP="005654A0">
            <w:pPr>
              <w:jc w:val="center"/>
              <w:rPr>
                <w:rFonts w:ascii="Arial Narrow" w:hAnsi="Arial Narrow"/>
                <w:sz w:val="20"/>
                <w:szCs w:val="20"/>
              </w:rPr>
            </w:pPr>
          </w:p>
        </w:tc>
        <w:tc>
          <w:tcPr>
            <w:tcW w:w="4456" w:type="pct"/>
            <w:vAlign w:val="center"/>
          </w:tcPr>
          <w:p w14:paraId="1A899E93" w14:textId="77777777" w:rsidR="005654A0" w:rsidRPr="00ED6EDE" w:rsidRDefault="005654A0" w:rsidP="005654A0">
            <w:pPr>
              <w:keepNext/>
              <w:keepLines/>
              <w:rPr>
                <w:rFonts w:ascii="Arial Narrow" w:hAnsi="Arial Narrow"/>
                <w:sz w:val="20"/>
                <w:szCs w:val="20"/>
              </w:rPr>
            </w:pPr>
            <w:r w:rsidRPr="00ED6EDE">
              <w:rPr>
                <w:rFonts w:ascii="Arial Narrow" w:hAnsi="Arial Narrow"/>
                <w:b/>
                <w:bCs/>
                <w:sz w:val="20"/>
                <w:szCs w:val="20"/>
              </w:rPr>
              <w:t>AND</w:t>
            </w:r>
          </w:p>
        </w:tc>
      </w:tr>
      <w:tr w:rsidR="005654A0" w:rsidRPr="00ED6EDE" w14:paraId="0A660AE9" w14:textId="77777777" w:rsidTr="005654A0">
        <w:tc>
          <w:tcPr>
            <w:tcW w:w="544" w:type="pct"/>
            <w:gridSpan w:val="2"/>
            <w:vAlign w:val="center"/>
          </w:tcPr>
          <w:p w14:paraId="70436799" w14:textId="77777777" w:rsidR="005654A0" w:rsidRPr="00ED6EDE" w:rsidRDefault="005654A0" w:rsidP="005654A0">
            <w:pPr>
              <w:jc w:val="center"/>
              <w:rPr>
                <w:rFonts w:ascii="Arial Narrow" w:hAnsi="Arial Narrow"/>
                <w:sz w:val="20"/>
                <w:szCs w:val="20"/>
              </w:rPr>
            </w:pPr>
          </w:p>
        </w:tc>
        <w:tc>
          <w:tcPr>
            <w:tcW w:w="4456" w:type="pct"/>
            <w:vAlign w:val="center"/>
          </w:tcPr>
          <w:p w14:paraId="64EA4500" w14:textId="77777777" w:rsidR="005654A0" w:rsidRPr="00ED6EDE" w:rsidRDefault="005654A0" w:rsidP="005654A0">
            <w:pPr>
              <w:keepNext/>
              <w:keepLines/>
              <w:rPr>
                <w:rFonts w:ascii="Arial Narrow" w:hAnsi="Arial Narrow"/>
                <w:sz w:val="20"/>
                <w:szCs w:val="20"/>
              </w:rPr>
            </w:pPr>
            <w:r w:rsidRPr="00ED6EDE">
              <w:rPr>
                <w:rFonts w:ascii="Arial Narrow" w:hAnsi="Arial Narrow"/>
                <w:b/>
                <w:bCs/>
                <w:sz w:val="20"/>
                <w:szCs w:val="20"/>
              </w:rPr>
              <w:t>Clinical criteria:</w:t>
            </w:r>
          </w:p>
        </w:tc>
      </w:tr>
      <w:tr w:rsidR="005654A0" w:rsidRPr="00ED6EDE" w14:paraId="7BC59314" w14:textId="77777777" w:rsidTr="005654A0">
        <w:tc>
          <w:tcPr>
            <w:tcW w:w="544" w:type="pct"/>
            <w:gridSpan w:val="2"/>
            <w:vAlign w:val="center"/>
          </w:tcPr>
          <w:p w14:paraId="08DB8C1E" w14:textId="49D5626E" w:rsidR="005654A0" w:rsidRPr="00ED6EDE" w:rsidRDefault="005654A0" w:rsidP="005654A0">
            <w:pPr>
              <w:jc w:val="center"/>
              <w:rPr>
                <w:rFonts w:ascii="Arial Narrow" w:hAnsi="Arial Narrow"/>
                <w:sz w:val="20"/>
                <w:szCs w:val="20"/>
              </w:rPr>
            </w:pPr>
          </w:p>
        </w:tc>
        <w:tc>
          <w:tcPr>
            <w:tcW w:w="4456" w:type="pct"/>
            <w:vAlign w:val="center"/>
          </w:tcPr>
          <w:p w14:paraId="699B096D" w14:textId="77777777" w:rsidR="005654A0" w:rsidRPr="00ED6EDE" w:rsidRDefault="005654A0" w:rsidP="005654A0">
            <w:pPr>
              <w:rPr>
                <w:rFonts w:ascii="Arial Narrow" w:hAnsi="Arial Narrow"/>
                <w:sz w:val="20"/>
                <w:szCs w:val="20"/>
              </w:rPr>
            </w:pPr>
            <w:r w:rsidRPr="00ED6EDE">
              <w:rPr>
                <w:rFonts w:ascii="Arial Narrow" w:hAnsi="Arial Narrow"/>
                <w:sz w:val="20"/>
                <w:szCs w:val="20"/>
              </w:rPr>
              <w:t>Patient must not have received prior PBS funded treatment with a programmed cell death-1 (PD-1) inhibitor or a programmed cell death ligand-1 (PD-L1) inhibitor or any prior tyrosine kinase inhibitor for endometrial cancer</w:t>
            </w:r>
          </w:p>
        </w:tc>
      </w:tr>
      <w:tr w:rsidR="005654A0" w:rsidRPr="00ED6EDE" w14:paraId="013F0498" w14:textId="77777777" w:rsidTr="005654A0">
        <w:tc>
          <w:tcPr>
            <w:tcW w:w="544" w:type="pct"/>
            <w:gridSpan w:val="2"/>
            <w:vAlign w:val="center"/>
          </w:tcPr>
          <w:p w14:paraId="65A86977" w14:textId="77777777" w:rsidR="005654A0" w:rsidRPr="00ED6EDE" w:rsidRDefault="005654A0" w:rsidP="005654A0">
            <w:pPr>
              <w:jc w:val="center"/>
              <w:rPr>
                <w:rFonts w:ascii="Arial Narrow" w:hAnsi="Arial Narrow"/>
                <w:sz w:val="20"/>
                <w:szCs w:val="20"/>
              </w:rPr>
            </w:pPr>
          </w:p>
        </w:tc>
        <w:tc>
          <w:tcPr>
            <w:tcW w:w="4456" w:type="pct"/>
            <w:vAlign w:val="center"/>
          </w:tcPr>
          <w:p w14:paraId="08E2D62C" w14:textId="77777777" w:rsidR="005654A0" w:rsidRPr="00ED6EDE" w:rsidRDefault="005654A0" w:rsidP="005654A0">
            <w:pPr>
              <w:rPr>
                <w:rFonts w:ascii="Arial Narrow" w:hAnsi="Arial Narrow"/>
                <w:b/>
                <w:bCs/>
                <w:sz w:val="20"/>
                <w:szCs w:val="20"/>
              </w:rPr>
            </w:pPr>
            <w:r w:rsidRPr="00ED6EDE">
              <w:rPr>
                <w:rFonts w:ascii="Arial Narrow" w:hAnsi="Arial Narrow"/>
                <w:b/>
                <w:sz w:val="20"/>
                <w:szCs w:val="20"/>
              </w:rPr>
              <w:t>AND</w:t>
            </w:r>
          </w:p>
        </w:tc>
      </w:tr>
      <w:tr w:rsidR="005654A0" w:rsidRPr="00ED6EDE" w14:paraId="72ADF018" w14:textId="77777777" w:rsidTr="005654A0">
        <w:tc>
          <w:tcPr>
            <w:tcW w:w="537" w:type="pct"/>
            <w:vAlign w:val="center"/>
          </w:tcPr>
          <w:p w14:paraId="702D2D8A" w14:textId="1A2E04B5" w:rsidR="005654A0" w:rsidRPr="00ED6EDE" w:rsidRDefault="005654A0" w:rsidP="005654A0">
            <w:pPr>
              <w:jc w:val="center"/>
              <w:rPr>
                <w:rFonts w:ascii="Arial Narrow" w:hAnsi="Arial Narrow"/>
                <w:sz w:val="20"/>
                <w:szCs w:val="20"/>
              </w:rPr>
            </w:pPr>
          </w:p>
        </w:tc>
        <w:tc>
          <w:tcPr>
            <w:tcW w:w="4463" w:type="pct"/>
            <w:gridSpan w:val="2"/>
            <w:vAlign w:val="center"/>
          </w:tcPr>
          <w:p w14:paraId="1038EB77"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58300096" w14:textId="77777777" w:rsidTr="005654A0">
        <w:tc>
          <w:tcPr>
            <w:tcW w:w="537" w:type="pct"/>
            <w:vAlign w:val="center"/>
          </w:tcPr>
          <w:p w14:paraId="15E0CDF2" w14:textId="7277590F" w:rsidR="005654A0" w:rsidRPr="00ED6EDE" w:rsidRDefault="005654A0" w:rsidP="005654A0">
            <w:pPr>
              <w:jc w:val="center"/>
              <w:rPr>
                <w:rFonts w:ascii="Arial Narrow" w:hAnsi="Arial Narrow"/>
                <w:sz w:val="20"/>
                <w:szCs w:val="20"/>
              </w:rPr>
            </w:pPr>
          </w:p>
        </w:tc>
        <w:tc>
          <w:tcPr>
            <w:tcW w:w="4463" w:type="pct"/>
            <w:gridSpan w:val="2"/>
            <w:vAlign w:val="center"/>
          </w:tcPr>
          <w:p w14:paraId="6C496EE4" w14:textId="77777777" w:rsidR="005654A0" w:rsidRPr="00ED6EDE" w:rsidRDefault="005654A0" w:rsidP="005654A0">
            <w:pPr>
              <w:rPr>
                <w:rFonts w:ascii="Arial Narrow" w:hAnsi="Arial Narrow"/>
                <w:b/>
                <w:bCs/>
                <w:iCs/>
                <w:sz w:val="20"/>
                <w:szCs w:val="20"/>
              </w:rPr>
            </w:pPr>
            <w:r w:rsidRPr="00ED6EDE">
              <w:rPr>
                <w:rFonts w:ascii="Arial Narrow" w:hAnsi="Arial Narrow"/>
                <w:iCs/>
                <w:sz w:val="20"/>
                <w:szCs w:val="20"/>
              </w:rPr>
              <w:t>Patient must not have developed disease progression while receiving PBS-subsidised treatment with this drug for this condition.</w:t>
            </w:r>
          </w:p>
        </w:tc>
      </w:tr>
      <w:tr w:rsidR="005654A0" w:rsidRPr="00ED6EDE" w14:paraId="0AFD4CBE" w14:textId="77777777" w:rsidTr="005654A0">
        <w:tc>
          <w:tcPr>
            <w:tcW w:w="544" w:type="pct"/>
            <w:gridSpan w:val="2"/>
            <w:vAlign w:val="center"/>
          </w:tcPr>
          <w:p w14:paraId="449359BA" w14:textId="77777777" w:rsidR="005654A0" w:rsidRPr="00ED6EDE" w:rsidRDefault="005654A0" w:rsidP="005654A0">
            <w:pPr>
              <w:jc w:val="center"/>
              <w:rPr>
                <w:rFonts w:ascii="Arial Narrow" w:hAnsi="Arial Narrow"/>
                <w:sz w:val="20"/>
                <w:szCs w:val="20"/>
              </w:rPr>
            </w:pPr>
          </w:p>
        </w:tc>
        <w:tc>
          <w:tcPr>
            <w:tcW w:w="4456" w:type="pct"/>
            <w:vAlign w:val="center"/>
          </w:tcPr>
          <w:p w14:paraId="63E6093D" w14:textId="77777777" w:rsidR="005654A0" w:rsidRPr="00ED6EDE" w:rsidRDefault="005654A0" w:rsidP="005654A0">
            <w:pPr>
              <w:rPr>
                <w:rFonts w:ascii="Arial Narrow" w:hAnsi="Arial Narrow"/>
                <w:bCs/>
                <w:sz w:val="20"/>
                <w:szCs w:val="20"/>
              </w:rPr>
            </w:pPr>
            <w:r w:rsidRPr="00ED6EDE">
              <w:rPr>
                <w:rFonts w:ascii="Arial Narrow" w:hAnsi="Arial Narrow"/>
                <w:b/>
                <w:bCs/>
                <w:sz w:val="20"/>
                <w:szCs w:val="20"/>
              </w:rPr>
              <w:t>AND</w:t>
            </w:r>
          </w:p>
        </w:tc>
      </w:tr>
      <w:tr w:rsidR="005654A0" w:rsidRPr="00ED6EDE" w14:paraId="4F3844F6" w14:textId="77777777" w:rsidTr="005654A0">
        <w:tc>
          <w:tcPr>
            <w:tcW w:w="544" w:type="pct"/>
            <w:gridSpan w:val="2"/>
            <w:vAlign w:val="center"/>
          </w:tcPr>
          <w:p w14:paraId="3275D7DC" w14:textId="67A09553" w:rsidR="005654A0" w:rsidRPr="00ED6EDE" w:rsidRDefault="005654A0" w:rsidP="005654A0">
            <w:pPr>
              <w:jc w:val="center"/>
              <w:rPr>
                <w:rFonts w:ascii="Arial Narrow" w:hAnsi="Arial Narrow"/>
                <w:sz w:val="20"/>
                <w:szCs w:val="20"/>
              </w:rPr>
            </w:pPr>
          </w:p>
        </w:tc>
        <w:tc>
          <w:tcPr>
            <w:tcW w:w="4456" w:type="pct"/>
            <w:vAlign w:val="center"/>
          </w:tcPr>
          <w:p w14:paraId="6DE6EDA8" w14:textId="77777777" w:rsidR="005654A0" w:rsidRPr="00ED6EDE" w:rsidRDefault="005654A0" w:rsidP="005654A0">
            <w:pPr>
              <w:rPr>
                <w:rFonts w:ascii="Arial Narrow" w:hAnsi="Arial Narrow"/>
                <w:bCs/>
                <w:sz w:val="20"/>
                <w:szCs w:val="20"/>
              </w:rPr>
            </w:pPr>
            <w:r w:rsidRPr="00ED6EDE">
              <w:rPr>
                <w:rFonts w:ascii="Arial Narrow" w:hAnsi="Arial Narrow"/>
                <w:b/>
                <w:bCs/>
                <w:sz w:val="20"/>
                <w:szCs w:val="20"/>
              </w:rPr>
              <w:t>Clinical criteria:</w:t>
            </w:r>
          </w:p>
        </w:tc>
      </w:tr>
      <w:tr w:rsidR="00D035E8" w:rsidRPr="00ED6EDE" w14:paraId="3114FB1C" w14:textId="77777777" w:rsidTr="005654A0">
        <w:tc>
          <w:tcPr>
            <w:tcW w:w="544" w:type="pct"/>
            <w:gridSpan w:val="2"/>
            <w:vAlign w:val="center"/>
          </w:tcPr>
          <w:p w14:paraId="3CBA5FD1" w14:textId="168D7B2E" w:rsidR="00D035E8" w:rsidRPr="00ED6EDE" w:rsidRDefault="00D035E8" w:rsidP="00D035E8">
            <w:pPr>
              <w:jc w:val="center"/>
              <w:rPr>
                <w:rFonts w:ascii="Arial Narrow" w:hAnsi="Arial Narrow"/>
                <w:sz w:val="20"/>
                <w:szCs w:val="20"/>
              </w:rPr>
            </w:pPr>
          </w:p>
        </w:tc>
        <w:tc>
          <w:tcPr>
            <w:tcW w:w="4456" w:type="pct"/>
            <w:vAlign w:val="center"/>
          </w:tcPr>
          <w:p w14:paraId="54FAB595" w14:textId="56C05158" w:rsidR="00D035E8" w:rsidRPr="00ED6EDE" w:rsidRDefault="00D035E8" w:rsidP="00D035E8">
            <w:pPr>
              <w:rPr>
                <w:rFonts w:ascii="Arial Narrow" w:hAnsi="Arial Narrow"/>
                <w:bCs/>
                <w:sz w:val="20"/>
                <w:szCs w:val="20"/>
              </w:rPr>
            </w:pPr>
            <w:r w:rsidRPr="00ED6EDE">
              <w:rPr>
                <w:rFonts w:ascii="Arial Narrow" w:hAnsi="Arial Narrow"/>
                <w:sz w:val="20"/>
                <w:szCs w:val="20"/>
              </w:rPr>
              <w:t xml:space="preserve">Patient must have </w:t>
            </w:r>
            <w:r w:rsidRPr="00ED6EDE">
              <w:rPr>
                <w:rFonts w:ascii="Arial Narrow" w:hAnsi="Arial Narrow"/>
                <w:iCs/>
                <w:sz w:val="20"/>
                <w:szCs w:val="20"/>
              </w:rPr>
              <w:t>had</w:t>
            </w:r>
            <w:r w:rsidRPr="00ED6EDE">
              <w:rPr>
                <w:rFonts w:ascii="Arial Narrow" w:hAnsi="Arial Narrow"/>
                <w:sz w:val="20"/>
                <w:szCs w:val="20"/>
              </w:rPr>
              <w:t xml:space="preserve"> a W</w:t>
            </w:r>
            <w:r>
              <w:rPr>
                <w:rFonts w:ascii="Arial Narrow" w:hAnsi="Arial Narrow"/>
                <w:sz w:val="20"/>
                <w:szCs w:val="20"/>
              </w:rPr>
              <w:t>orld Health Organisation (WHO)</w:t>
            </w:r>
            <w:r w:rsidRPr="00ED6EDE">
              <w:rPr>
                <w:rFonts w:ascii="Arial Narrow" w:hAnsi="Arial Narrow"/>
                <w:sz w:val="20"/>
                <w:szCs w:val="20"/>
              </w:rPr>
              <w:t xml:space="preserve"> </w:t>
            </w:r>
            <w:r>
              <w:rPr>
                <w:rFonts w:ascii="Arial Narrow" w:hAnsi="Arial Narrow"/>
                <w:sz w:val="20"/>
                <w:szCs w:val="20"/>
              </w:rPr>
              <w:t xml:space="preserve">Eastern Cooperative Oncology Group (ECOG) </w:t>
            </w:r>
            <w:r w:rsidRPr="00ED6EDE">
              <w:rPr>
                <w:rFonts w:ascii="Arial Narrow" w:hAnsi="Arial Narrow"/>
                <w:sz w:val="20"/>
                <w:szCs w:val="20"/>
              </w:rPr>
              <w:t>performance status</w:t>
            </w:r>
            <w:r>
              <w:rPr>
                <w:rFonts w:ascii="Arial Narrow" w:hAnsi="Arial Narrow"/>
                <w:sz w:val="20"/>
                <w:szCs w:val="20"/>
              </w:rPr>
              <w:t xml:space="preserve"> score</w:t>
            </w:r>
            <w:r w:rsidRPr="00ED6EDE">
              <w:rPr>
                <w:rFonts w:ascii="Arial Narrow" w:hAnsi="Arial Narrow"/>
                <w:sz w:val="20"/>
                <w:szCs w:val="20"/>
              </w:rPr>
              <w:t xml:space="preserve"> of </w:t>
            </w:r>
            <w:r>
              <w:rPr>
                <w:rFonts w:ascii="Arial Narrow" w:hAnsi="Arial Narrow"/>
                <w:sz w:val="20"/>
                <w:szCs w:val="20"/>
              </w:rPr>
              <w:t xml:space="preserve">no higher than </w:t>
            </w:r>
            <w:r w:rsidRPr="00ED6EDE">
              <w:rPr>
                <w:rFonts w:ascii="Arial Narrow" w:hAnsi="Arial Narrow"/>
                <w:sz w:val="20"/>
                <w:szCs w:val="20"/>
              </w:rPr>
              <w:t xml:space="preserve">1 prior to initiation of non-PBS-subsidised treatment with </w:t>
            </w:r>
            <w:r w:rsidRPr="00ED6EDE">
              <w:rPr>
                <w:rFonts w:ascii="Arial Narrow" w:hAnsi="Arial Narrow"/>
                <w:iCs/>
                <w:sz w:val="20"/>
                <w:szCs w:val="20"/>
              </w:rPr>
              <w:t xml:space="preserve">this drug </w:t>
            </w:r>
            <w:r>
              <w:rPr>
                <w:rFonts w:ascii="Arial Narrow" w:hAnsi="Arial Narrow"/>
                <w:iCs/>
                <w:sz w:val="20"/>
                <w:szCs w:val="20"/>
              </w:rPr>
              <w:t xml:space="preserve">and lenvatinib </w:t>
            </w:r>
            <w:r w:rsidRPr="00ED6EDE">
              <w:rPr>
                <w:rFonts w:ascii="Arial Narrow" w:hAnsi="Arial Narrow"/>
                <w:iCs/>
                <w:sz w:val="20"/>
                <w:szCs w:val="20"/>
              </w:rPr>
              <w:t>for this condition</w:t>
            </w:r>
          </w:p>
        </w:tc>
      </w:tr>
      <w:tr w:rsidR="005654A0" w:rsidRPr="00ED6EDE" w14:paraId="52FA674B" w14:textId="77777777" w:rsidTr="005654A0">
        <w:tc>
          <w:tcPr>
            <w:tcW w:w="544" w:type="pct"/>
            <w:gridSpan w:val="2"/>
            <w:vAlign w:val="center"/>
          </w:tcPr>
          <w:p w14:paraId="0CF21CD1" w14:textId="77777777" w:rsidR="005654A0" w:rsidRPr="00ED6EDE" w:rsidRDefault="005654A0" w:rsidP="005654A0">
            <w:pPr>
              <w:jc w:val="center"/>
              <w:rPr>
                <w:rFonts w:ascii="Arial Narrow" w:hAnsi="Arial Narrow"/>
                <w:sz w:val="20"/>
                <w:szCs w:val="20"/>
              </w:rPr>
            </w:pPr>
          </w:p>
        </w:tc>
        <w:tc>
          <w:tcPr>
            <w:tcW w:w="4456" w:type="pct"/>
            <w:vAlign w:val="center"/>
          </w:tcPr>
          <w:p w14:paraId="3F4847E1" w14:textId="77777777" w:rsidR="005654A0" w:rsidRPr="00ED6EDE" w:rsidRDefault="005654A0" w:rsidP="005654A0">
            <w:pPr>
              <w:rPr>
                <w:rFonts w:ascii="Arial Narrow" w:hAnsi="Arial Narrow"/>
                <w:sz w:val="20"/>
                <w:szCs w:val="20"/>
              </w:rPr>
            </w:pPr>
            <w:r w:rsidRPr="00ED6EDE">
              <w:rPr>
                <w:rFonts w:ascii="Arial Narrow" w:hAnsi="Arial Narrow"/>
                <w:b/>
                <w:sz w:val="20"/>
                <w:szCs w:val="20"/>
              </w:rPr>
              <w:t>AND</w:t>
            </w:r>
          </w:p>
        </w:tc>
      </w:tr>
      <w:tr w:rsidR="005654A0" w:rsidRPr="00ED6EDE" w14:paraId="2301777D" w14:textId="77777777" w:rsidTr="005654A0">
        <w:tc>
          <w:tcPr>
            <w:tcW w:w="544" w:type="pct"/>
            <w:gridSpan w:val="2"/>
            <w:vAlign w:val="center"/>
          </w:tcPr>
          <w:p w14:paraId="6B5978F1" w14:textId="77777777" w:rsidR="005654A0" w:rsidRPr="00ED6EDE" w:rsidRDefault="005654A0" w:rsidP="005654A0">
            <w:pPr>
              <w:jc w:val="center"/>
              <w:rPr>
                <w:rFonts w:ascii="Arial Narrow" w:hAnsi="Arial Narrow"/>
                <w:sz w:val="20"/>
                <w:szCs w:val="20"/>
              </w:rPr>
            </w:pPr>
          </w:p>
        </w:tc>
        <w:tc>
          <w:tcPr>
            <w:tcW w:w="4456" w:type="pct"/>
            <w:vAlign w:val="center"/>
          </w:tcPr>
          <w:p w14:paraId="6281A771"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 xml:space="preserve">Clinical criteria: </w:t>
            </w:r>
          </w:p>
        </w:tc>
      </w:tr>
      <w:tr w:rsidR="00774CBC" w:rsidRPr="00ED6EDE" w14:paraId="7AF9A8C8" w14:textId="77777777" w:rsidTr="005654A0">
        <w:tc>
          <w:tcPr>
            <w:tcW w:w="544" w:type="pct"/>
            <w:gridSpan w:val="2"/>
            <w:vAlign w:val="center"/>
          </w:tcPr>
          <w:p w14:paraId="0A51BD4C" w14:textId="4CBB4803" w:rsidR="00774CBC" w:rsidRPr="00ED6EDE" w:rsidRDefault="00774CBC" w:rsidP="00774CBC">
            <w:pPr>
              <w:jc w:val="center"/>
              <w:rPr>
                <w:rFonts w:ascii="Arial Narrow" w:hAnsi="Arial Narrow"/>
                <w:sz w:val="20"/>
                <w:szCs w:val="20"/>
              </w:rPr>
            </w:pPr>
          </w:p>
        </w:tc>
        <w:tc>
          <w:tcPr>
            <w:tcW w:w="4456" w:type="pct"/>
            <w:vAlign w:val="center"/>
          </w:tcPr>
          <w:p w14:paraId="7CD7B9A3" w14:textId="01B9B7AA" w:rsidR="00774CBC" w:rsidRPr="00ED6EDE" w:rsidRDefault="00774CBC" w:rsidP="00774CBC">
            <w:pPr>
              <w:rPr>
                <w:rFonts w:ascii="Arial Narrow" w:hAnsi="Arial Narrow"/>
                <w:sz w:val="20"/>
                <w:szCs w:val="20"/>
              </w:rPr>
            </w:pPr>
            <w:r w:rsidRPr="00ED6EDE">
              <w:rPr>
                <w:rFonts w:ascii="Arial Narrow" w:hAnsi="Arial Narrow"/>
                <w:sz w:val="20"/>
                <w:szCs w:val="20"/>
              </w:rPr>
              <w:t xml:space="preserve">The treatment must be in combination with PBS-subsidised lenvatinib for this </w:t>
            </w:r>
            <w:r w:rsidRPr="00ED6EDE">
              <w:rPr>
                <w:rFonts w:ascii="Arial Narrow" w:hAnsi="Arial Narrow"/>
                <w:iCs/>
                <w:sz w:val="20"/>
                <w:szCs w:val="20"/>
              </w:rPr>
              <w:t>condition</w:t>
            </w:r>
            <w:r w:rsidRPr="00ED6EDE">
              <w:rPr>
                <w:rFonts w:ascii="Arial Narrow" w:hAnsi="Arial Narrow"/>
                <w:sz w:val="20"/>
                <w:szCs w:val="20"/>
              </w:rPr>
              <w:t xml:space="preserve">, unless </w:t>
            </w:r>
            <w:r>
              <w:rPr>
                <w:rFonts w:ascii="Arial Narrow" w:hAnsi="Arial Narrow"/>
                <w:sz w:val="20"/>
                <w:szCs w:val="20"/>
              </w:rPr>
              <w:t xml:space="preserve">the patient has a contraindication to lenvatinib or </w:t>
            </w:r>
            <w:r w:rsidRPr="00ED6EDE">
              <w:rPr>
                <w:rFonts w:ascii="Arial Narrow" w:hAnsi="Arial Narrow"/>
                <w:sz w:val="20"/>
                <w:szCs w:val="20"/>
              </w:rPr>
              <w:t>an intolerance to lenvatinib requires a temporary or permanent discontinuation of lenvatinib</w:t>
            </w:r>
          </w:p>
        </w:tc>
      </w:tr>
      <w:tr w:rsidR="005654A0" w:rsidRPr="00ED6EDE" w14:paraId="3E7B80CC" w14:textId="77777777" w:rsidTr="005654A0">
        <w:tc>
          <w:tcPr>
            <w:tcW w:w="544" w:type="pct"/>
            <w:gridSpan w:val="2"/>
            <w:vAlign w:val="center"/>
          </w:tcPr>
          <w:p w14:paraId="56CD098D" w14:textId="77777777" w:rsidR="005654A0" w:rsidRPr="00ED6EDE" w:rsidRDefault="005654A0" w:rsidP="005654A0">
            <w:pPr>
              <w:jc w:val="center"/>
              <w:rPr>
                <w:rFonts w:ascii="Arial Narrow" w:hAnsi="Arial Narrow"/>
                <w:sz w:val="20"/>
                <w:szCs w:val="20"/>
              </w:rPr>
            </w:pPr>
          </w:p>
        </w:tc>
        <w:tc>
          <w:tcPr>
            <w:tcW w:w="4456" w:type="pct"/>
            <w:vAlign w:val="center"/>
          </w:tcPr>
          <w:p w14:paraId="12F43AAB"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5654A0" w:rsidRPr="00ED6EDE" w14:paraId="0C467932" w14:textId="77777777" w:rsidTr="005654A0">
        <w:tc>
          <w:tcPr>
            <w:tcW w:w="544" w:type="pct"/>
            <w:gridSpan w:val="2"/>
            <w:vAlign w:val="center"/>
          </w:tcPr>
          <w:p w14:paraId="2308E150" w14:textId="77777777" w:rsidR="005654A0" w:rsidRPr="00ED6EDE" w:rsidRDefault="005654A0" w:rsidP="005654A0">
            <w:pPr>
              <w:jc w:val="center"/>
              <w:rPr>
                <w:rFonts w:ascii="Arial Narrow" w:hAnsi="Arial Narrow"/>
                <w:sz w:val="20"/>
                <w:szCs w:val="20"/>
              </w:rPr>
            </w:pPr>
          </w:p>
        </w:tc>
        <w:tc>
          <w:tcPr>
            <w:tcW w:w="4456" w:type="pct"/>
            <w:vAlign w:val="center"/>
          </w:tcPr>
          <w:p w14:paraId="26B86D51"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4355BC41" w14:textId="77777777" w:rsidTr="005654A0">
        <w:tc>
          <w:tcPr>
            <w:tcW w:w="544" w:type="pct"/>
            <w:gridSpan w:val="2"/>
            <w:vAlign w:val="center"/>
          </w:tcPr>
          <w:p w14:paraId="06A4328F" w14:textId="47C66CB0" w:rsidR="005654A0" w:rsidRPr="00ED6EDE" w:rsidRDefault="005654A0" w:rsidP="005654A0">
            <w:pPr>
              <w:jc w:val="center"/>
              <w:rPr>
                <w:rFonts w:ascii="Arial Narrow" w:hAnsi="Arial Narrow"/>
                <w:sz w:val="20"/>
                <w:szCs w:val="20"/>
              </w:rPr>
            </w:pPr>
          </w:p>
        </w:tc>
        <w:tc>
          <w:tcPr>
            <w:tcW w:w="4456" w:type="pct"/>
            <w:vAlign w:val="center"/>
          </w:tcPr>
          <w:p w14:paraId="64343EAF" w14:textId="63A28E80" w:rsidR="005654A0" w:rsidRPr="00ED6EDE" w:rsidRDefault="005654A0" w:rsidP="006E6D88">
            <w:pPr>
              <w:rPr>
                <w:rFonts w:ascii="Arial Narrow" w:hAnsi="Arial Narrow"/>
                <w:sz w:val="20"/>
                <w:szCs w:val="20"/>
              </w:rPr>
            </w:pPr>
            <w:r w:rsidRPr="00ED6EDE">
              <w:rPr>
                <w:rFonts w:ascii="Arial Narrow" w:hAnsi="Arial Narrow"/>
                <w:bCs/>
                <w:sz w:val="20"/>
                <w:szCs w:val="20"/>
              </w:rPr>
              <w:t xml:space="preserve">The treatment must not exceed a total of 35 </w:t>
            </w:r>
            <w:r w:rsidR="006E6D88">
              <w:rPr>
                <w:rFonts w:ascii="Arial Narrow" w:hAnsi="Arial Narrow"/>
                <w:bCs/>
                <w:sz w:val="20"/>
                <w:szCs w:val="20"/>
              </w:rPr>
              <w:t>dos</w:t>
            </w:r>
            <w:r w:rsidRPr="00ED6EDE">
              <w:rPr>
                <w:rFonts w:ascii="Arial Narrow" w:hAnsi="Arial Narrow"/>
                <w:bCs/>
                <w:sz w:val="20"/>
                <w:szCs w:val="20"/>
              </w:rPr>
              <w:t xml:space="preserve">es or up to 24 months of </w:t>
            </w:r>
            <w:r w:rsidR="0030377A">
              <w:rPr>
                <w:rFonts w:ascii="Arial Narrow" w:hAnsi="Arial Narrow"/>
                <w:sz w:val="20"/>
                <w:szCs w:val="20"/>
              </w:rPr>
              <w:t xml:space="preserve">combined initial and continuing </w:t>
            </w:r>
            <w:r w:rsidRPr="00ED6EDE">
              <w:rPr>
                <w:rFonts w:ascii="Arial Narrow" w:hAnsi="Arial Narrow"/>
                <w:bCs/>
                <w:sz w:val="20"/>
                <w:szCs w:val="20"/>
              </w:rPr>
              <w:t>treatment in a lifetime for this condition</w:t>
            </w:r>
            <w:r w:rsidR="00D035E8">
              <w:rPr>
                <w:rFonts w:ascii="Arial Narrow" w:hAnsi="Arial Narrow"/>
                <w:bCs/>
                <w:sz w:val="20"/>
                <w:szCs w:val="20"/>
              </w:rPr>
              <w:t xml:space="preserve"> whichever comes first</w:t>
            </w:r>
          </w:p>
        </w:tc>
      </w:tr>
      <w:tr w:rsidR="005654A0" w:rsidRPr="00ED6EDE" w14:paraId="6EAFB8F4" w14:textId="77777777" w:rsidTr="005654A0">
        <w:tc>
          <w:tcPr>
            <w:tcW w:w="544" w:type="pct"/>
            <w:gridSpan w:val="2"/>
            <w:vAlign w:val="center"/>
          </w:tcPr>
          <w:p w14:paraId="4B23ED0B" w14:textId="77777777" w:rsidR="005654A0" w:rsidRPr="00ED6EDE" w:rsidRDefault="005654A0" w:rsidP="005654A0">
            <w:pPr>
              <w:jc w:val="center"/>
              <w:rPr>
                <w:rFonts w:ascii="Arial Narrow" w:hAnsi="Arial Narrow"/>
                <w:sz w:val="20"/>
                <w:szCs w:val="20"/>
              </w:rPr>
            </w:pPr>
          </w:p>
        </w:tc>
        <w:tc>
          <w:tcPr>
            <w:tcW w:w="4456" w:type="pct"/>
            <w:vAlign w:val="center"/>
          </w:tcPr>
          <w:p w14:paraId="3C499A42"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Prescribing instruction:</w:t>
            </w:r>
          </w:p>
        </w:tc>
      </w:tr>
      <w:tr w:rsidR="005654A0" w:rsidRPr="00ED6EDE" w14:paraId="08982B6C" w14:textId="77777777" w:rsidTr="005654A0">
        <w:tc>
          <w:tcPr>
            <w:tcW w:w="544" w:type="pct"/>
            <w:gridSpan w:val="2"/>
            <w:vAlign w:val="center"/>
          </w:tcPr>
          <w:p w14:paraId="665766D1" w14:textId="22446E5C" w:rsidR="005654A0" w:rsidRPr="00ED6EDE" w:rsidRDefault="005654A0" w:rsidP="005654A0">
            <w:pPr>
              <w:jc w:val="center"/>
              <w:rPr>
                <w:rFonts w:ascii="Arial Narrow" w:hAnsi="Arial Narrow"/>
                <w:sz w:val="20"/>
                <w:szCs w:val="20"/>
              </w:rPr>
            </w:pPr>
          </w:p>
        </w:tc>
        <w:tc>
          <w:tcPr>
            <w:tcW w:w="4456" w:type="pct"/>
            <w:vAlign w:val="center"/>
          </w:tcPr>
          <w:p w14:paraId="42105BA2" w14:textId="77777777" w:rsidR="005654A0" w:rsidRPr="00ED6EDE" w:rsidRDefault="005654A0" w:rsidP="005654A0">
            <w:pPr>
              <w:rPr>
                <w:rFonts w:ascii="Arial Narrow" w:hAnsi="Arial Narrow"/>
                <w:sz w:val="20"/>
                <w:szCs w:val="20"/>
              </w:rPr>
            </w:pPr>
            <w:r w:rsidRPr="00ED6EDE">
              <w:rPr>
                <w:rFonts w:ascii="Arial Narrow" w:hAnsi="Arial Narrow"/>
                <w:sz w:val="20"/>
                <w:szCs w:val="20"/>
              </w:rPr>
              <w:t>A patient may qualify for PBS-subsidised treatment under this restriction once only. For continuing PBS-subsidised treatment, a Grandfathered patient must qualify under the Continuing treatment criteria.</w:t>
            </w:r>
          </w:p>
        </w:tc>
      </w:tr>
      <w:tr w:rsidR="005654A0" w:rsidRPr="00ED6EDE" w14:paraId="454D9680" w14:textId="77777777" w:rsidTr="005654A0">
        <w:tc>
          <w:tcPr>
            <w:tcW w:w="544" w:type="pct"/>
            <w:gridSpan w:val="2"/>
            <w:vAlign w:val="center"/>
          </w:tcPr>
          <w:p w14:paraId="50C69258" w14:textId="65C6FDF1" w:rsidR="005654A0" w:rsidRPr="00ED6EDE" w:rsidRDefault="005654A0" w:rsidP="005654A0">
            <w:pPr>
              <w:jc w:val="center"/>
              <w:rPr>
                <w:rFonts w:ascii="Arial Narrow" w:hAnsi="Arial Narrow"/>
                <w:iCs/>
                <w:sz w:val="20"/>
                <w:szCs w:val="20"/>
              </w:rPr>
            </w:pPr>
          </w:p>
        </w:tc>
        <w:tc>
          <w:tcPr>
            <w:tcW w:w="4456" w:type="pct"/>
            <w:vAlign w:val="center"/>
          </w:tcPr>
          <w:p w14:paraId="6CE91814" w14:textId="77777777" w:rsidR="005654A0" w:rsidRPr="00ED6EDE" w:rsidRDefault="005654A0" w:rsidP="005654A0">
            <w:pPr>
              <w:rPr>
                <w:rFonts w:ascii="Arial Narrow" w:hAnsi="Arial Narrow"/>
                <w:bCs/>
                <w:iCs/>
                <w:sz w:val="20"/>
                <w:szCs w:val="20"/>
              </w:rPr>
            </w:pPr>
            <w:r w:rsidRPr="00ED6EDE">
              <w:rPr>
                <w:rFonts w:ascii="Arial Narrow" w:hAnsi="Arial Narrow"/>
                <w:bCs/>
                <w:iCs/>
                <w:sz w:val="20"/>
                <w:szCs w:val="20"/>
              </w:rPr>
              <w:t>This grandfather restriction will cease to operate from 12 months after the date specified in the clinical criteria</w:t>
            </w:r>
          </w:p>
        </w:tc>
      </w:tr>
    </w:tbl>
    <w:p w14:paraId="03728584" w14:textId="77777777" w:rsidR="005654A0" w:rsidRPr="00ED6EDE" w:rsidRDefault="005654A0" w:rsidP="005654A0"/>
    <w:p w14:paraId="5B78C7A2" w14:textId="77777777" w:rsidR="005654A0" w:rsidRPr="00ED6EDE" w:rsidRDefault="005654A0" w:rsidP="005654A0">
      <w:pPr>
        <w:pStyle w:val="BodyText"/>
        <w:keepNext/>
        <w:keepLines/>
        <w:rPr>
          <w:iCs/>
        </w:rPr>
      </w:pPr>
      <w:r w:rsidRPr="00ED6EDE">
        <w:t>Lenvatinib</w:t>
      </w:r>
    </w:p>
    <w:tbl>
      <w:tblPr>
        <w:tblStyle w:val="TableGrid"/>
        <w:tblW w:w="9036" w:type="dxa"/>
        <w:tblLook w:val="04A0" w:firstRow="1" w:lastRow="0" w:firstColumn="1" w:lastColumn="0" w:noHBand="0" w:noVBand="1"/>
      </w:tblPr>
      <w:tblGrid>
        <w:gridCol w:w="2302"/>
        <w:gridCol w:w="1108"/>
        <w:gridCol w:w="1206"/>
        <w:gridCol w:w="1616"/>
        <w:gridCol w:w="971"/>
        <w:gridCol w:w="1833"/>
      </w:tblGrid>
      <w:tr w:rsidR="005654A0" w:rsidRPr="00ED6EDE" w14:paraId="05A977DE" w14:textId="77777777" w:rsidTr="005654A0">
        <w:tc>
          <w:tcPr>
            <w:tcW w:w="2302" w:type="dxa"/>
          </w:tcPr>
          <w:p w14:paraId="438F88E7" w14:textId="77777777" w:rsidR="005654A0" w:rsidRPr="00ED6EDE" w:rsidRDefault="005654A0" w:rsidP="005654A0">
            <w:pPr>
              <w:keepNext/>
              <w:keepLines/>
              <w:jc w:val="left"/>
              <w:rPr>
                <w:rFonts w:ascii="Arial Narrow" w:hAnsi="Arial Narrow"/>
                <w:b/>
                <w:bCs/>
                <w:sz w:val="20"/>
                <w:szCs w:val="20"/>
              </w:rPr>
            </w:pPr>
            <w:r w:rsidRPr="00ED6EDE">
              <w:rPr>
                <w:rFonts w:ascii="Arial Narrow" w:hAnsi="Arial Narrow"/>
                <w:b/>
                <w:bCs/>
                <w:sz w:val="20"/>
                <w:szCs w:val="20"/>
              </w:rPr>
              <w:t>MEDICINAL PRODUCT</w:t>
            </w:r>
            <w:r w:rsidRPr="00ED6EDE">
              <w:rPr>
                <w:rFonts w:ascii="Arial Narrow" w:hAnsi="Arial Narrow"/>
                <w:b/>
                <w:bCs/>
                <w:sz w:val="20"/>
                <w:szCs w:val="20"/>
              </w:rPr>
              <w:br/>
              <w:t>medicinal product pack</w:t>
            </w:r>
          </w:p>
        </w:tc>
        <w:tc>
          <w:tcPr>
            <w:tcW w:w="1108" w:type="dxa"/>
            <w:vAlign w:val="center"/>
          </w:tcPr>
          <w:p w14:paraId="7483E885" w14:textId="77777777" w:rsidR="005654A0" w:rsidRPr="00ED6EDE" w:rsidRDefault="005654A0" w:rsidP="005654A0">
            <w:pPr>
              <w:keepNext/>
              <w:keepLines/>
              <w:jc w:val="center"/>
              <w:rPr>
                <w:rFonts w:ascii="Arial Narrow" w:hAnsi="Arial Narrow"/>
                <w:b/>
                <w:bCs/>
                <w:sz w:val="20"/>
                <w:szCs w:val="20"/>
              </w:rPr>
            </w:pPr>
            <w:r w:rsidRPr="00ED6EDE">
              <w:rPr>
                <w:rFonts w:ascii="Arial Narrow" w:hAnsi="Arial Narrow"/>
                <w:b/>
                <w:bCs/>
                <w:sz w:val="20"/>
                <w:szCs w:val="20"/>
              </w:rPr>
              <w:t>PBS item code</w:t>
            </w:r>
          </w:p>
        </w:tc>
        <w:tc>
          <w:tcPr>
            <w:tcW w:w="1206" w:type="dxa"/>
            <w:vAlign w:val="center"/>
          </w:tcPr>
          <w:p w14:paraId="037C3805" w14:textId="77777777" w:rsidR="005654A0" w:rsidRPr="00ED6EDE" w:rsidRDefault="005654A0" w:rsidP="005654A0">
            <w:pPr>
              <w:keepNext/>
              <w:keepLines/>
              <w:jc w:val="center"/>
              <w:rPr>
                <w:rFonts w:ascii="Arial Narrow" w:hAnsi="Arial Narrow"/>
                <w:b/>
                <w:bCs/>
                <w:sz w:val="20"/>
                <w:szCs w:val="20"/>
              </w:rPr>
            </w:pPr>
            <w:r w:rsidRPr="00ED6EDE">
              <w:rPr>
                <w:rFonts w:ascii="Arial Narrow" w:hAnsi="Arial Narrow"/>
                <w:b/>
                <w:bCs/>
                <w:sz w:val="20"/>
                <w:szCs w:val="20"/>
              </w:rPr>
              <w:t>Max. Quantity (packs)</w:t>
            </w:r>
          </w:p>
        </w:tc>
        <w:tc>
          <w:tcPr>
            <w:tcW w:w="1616" w:type="dxa"/>
            <w:vAlign w:val="center"/>
          </w:tcPr>
          <w:p w14:paraId="4F7DDB7A" w14:textId="77777777" w:rsidR="005654A0" w:rsidRPr="00ED6EDE" w:rsidRDefault="005654A0" w:rsidP="005654A0">
            <w:pPr>
              <w:keepNext/>
              <w:keepLines/>
              <w:jc w:val="center"/>
              <w:rPr>
                <w:rFonts w:ascii="Arial Narrow" w:hAnsi="Arial Narrow"/>
                <w:b/>
                <w:bCs/>
                <w:sz w:val="20"/>
                <w:szCs w:val="20"/>
              </w:rPr>
            </w:pPr>
            <w:r w:rsidRPr="00ED6EDE">
              <w:rPr>
                <w:rFonts w:ascii="Arial Narrow" w:hAnsi="Arial Narrow"/>
                <w:b/>
                <w:bCs/>
                <w:sz w:val="20"/>
                <w:szCs w:val="20"/>
              </w:rPr>
              <w:t>Max. Amount (units)</w:t>
            </w:r>
          </w:p>
        </w:tc>
        <w:tc>
          <w:tcPr>
            <w:tcW w:w="971" w:type="dxa"/>
            <w:vAlign w:val="center"/>
          </w:tcPr>
          <w:p w14:paraId="2A59B1FC" w14:textId="77777777" w:rsidR="005654A0" w:rsidRPr="00ED6EDE" w:rsidRDefault="005654A0" w:rsidP="005654A0">
            <w:pPr>
              <w:keepNext/>
              <w:keepLines/>
              <w:jc w:val="center"/>
              <w:rPr>
                <w:rFonts w:ascii="Arial Narrow" w:hAnsi="Arial Narrow"/>
                <w:b/>
                <w:bCs/>
                <w:sz w:val="20"/>
                <w:szCs w:val="20"/>
              </w:rPr>
            </w:pPr>
            <w:r w:rsidRPr="00ED6EDE">
              <w:rPr>
                <w:rFonts w:ascii="Arial Narrow" w:hAnsi="Arial Narrow"/>
                <w:b/>
                <w:bCs/>
                <w:sz w:val="20"/>
                <w:szCs w:val="20"/>
              </w:rPr>
              <w:t>No. of Rpts</w:t>
            </w:r>
          </w:p>
        </w:tc>
        <w:tc>
          <w:tcPr>
            <w:tcW w:w="1833" w:type="dxa"/>
            <w:vAlign w:val="center"/>
          </w:tcPr>
          <w:p w14:paraId="4E0DE225" w14:textId="77777777" w:rsidR="005654A0" w:rsidRPr="00ED6EDE" w:rsidRDefault="005654A0" w:rsidP="005654A0">
            <w:pPr>
              <w:keepNext/>
              <w:keepLines/>
              <w:jc w:val="center"/>
              <w:rPr>
                <w:rFonts w:ascii="Arial Narrow" w:hAnsi="Arial Narrow"/>
                <w:b/>
                <w:bCs/>
                <w:sz w:val="20"/>
                <w:szCs w:val="20"/>
              </w:rPr>
            </w:pPr>
            <w:r w:rsidRPr="00ED6EDE">
              <w:rPr>
                <w:rFonts w:ascii="Arial Narrow" w:hAnsi="Arial Narrow"/>
                <w:b/>
                <w:bCs/>
                <w:sz w:val="20"/>
                <w:szCs w:val="20"/>
              </w:rPr>
              <w:t>Available brands</w:t>
            </w:r>
          </w:p>
        </w:tc>
      </w:tr>
      <w:tr w:rsidR="005654A0" w:rsidRPr="00ED6EDE" w14:paraId="245EB13B" w14:textId="77777777" w:rsidTr="005654A0">
        <w:tc>
          <w:tcPr>
            <w:tcW w:w="9036" w:type="dxa"/>
            <w:gridSpan w:val="6"/>
          </w:tcPr>
          <w:p w14:paraId="51682BA1" w14:textId="77777777" w:rsidR="005654A0" w:rsidRPr="00ED6EDE" w:rsidRDefault="005654A0" w:rsidP="005654A0">
            <w:pPr>
              <w:keepNext/>
              <w:jc w:val="left"/>
              <w:rPr>
                <w:rFonts w:ascii="Arial Narrow" w:hAnsi="Arial Narrow"/>
                <w:sz w:val="20"/>
                <w:szCs w:val="20"/>
              </w:rPr>
            </w:pPr>
            <w:r w:rsidRPr="00ED6EDE">
              <w:rPr>
                <w:rFonts w:ascii="Arial Narrow" w:hAnsi="Arial Narrow"/>
                <w:sz w:val="20"/>
                <w:szCs w:val="20"/>
              </w:rPr>
              <w:t>LENVATINIB</w:t>
            </w:r>
          </w:p>
        </w:tc>
      </w:tr>
      <w:tr w:rsidR="005654A0" w:rsidRPr="00ED6EDE" w14:paraId="2C017994" w14:textId="77777777" w:rsidTr="005654A0">
        <w:tc>
          <w:tcPr>
            <w:tcW w:w="2302" w:type="dxa"/>
          </w:tcPr>
          <w:p w14:paraId="5FC1F3EE" w14:textId="77777777" w:rsidR="005654A0" w:rsidRPr="00ED6EDE" w:rsidRDefault="005654A0" w:rsidP="005654A0">
            <w:pPr>
              <w:keepNext/>
              <w:jc w:val="left"/>
              <w:rPr>
                <w:rFonts w:ascii="Arial Narrow" w:hAnsi="Arial Narrow"/>
                <w:sz w:val="20"/>
                <w:szCs w:val="20"/>
              </w:rPr>
            </w:pPr>
            <w:r w:rsidRPr="00ED6EDE">
              <w:rPr>
                <w:rFonts w:ascii="Arial Narrow" w:hAnsi="Arial Narrow"/>
                <w:sz w:val="20"/>
                <w:szCs w:val="20"/>
              </w:rPr>
              <w:t>lenvatinib capsules 4 mg, 30</w:t>
            </w:r>
          </w:p>
          <w:p w14:paraId="2EB7E6F3" w14:textId="77777777" w:rsidR="005654A0" w:rsidRPr="00ED6EDE" w:rsidRDefault="005654A0" w:rsidP="005654A0">
            <w:pPr>
              <w:keepNext/>
              <w:jc w:val="left"/>
              <w:rPr>
                <w:rFonts w:ascii="Arial Narrow" w:hAnsi="Arial Narrow"/>
                <w:sz w:val="20"/>
                <w:szCs w:val="20"/>
              </w:rPr>
            </w:pPr>
            <w:r w:rsidRPr="00ED6EDE">
              <w:rPr>
                <w:rFonts w:ascii="Arial Narrow" w:hAnsi="Arial Narrow"/>
                <w:sz w:val="20"/>
                <w:szCs w:val="20"/>
              </w:rPr>
              <w:t>lenvatinib capsules 10 mg, 30</w:t>
            </w:r>
          </w:p>
        </w:tc>
        <w:tc>
          <w:tcPr>
            <w:tcW w:w="1108" w:type="dxa"/>
            <w:vAlign w:val="center"/>
          </w:tcPr>
          <w:p w14:paraId="6023CAEC" w14:textId="77777777" w:rsidR="005654A0" w:rsidRPr="00ED6EDE" w:rsidRDefault="005654A0" w:rsidP="005654A0">
            <w:pPr>
              <w:keepNext/>
              <w:jc w:val="center"/>
              <w:rPr>
                <w:rFonts w:ascii="Arial Narrow" w:hAnsi="Arial Narrow"/>
                <w:sz w:val="20"/>
                <w:szCs w:val="20"/>
              </w:rPr>
            </w:pPr>
            <w:r w:rsidRPr="00ED6EDE">
              <w:rPr>
                <w:rFonts w:ascii="Arial Narrow" w:hAnsi="Arial Narrow"/>
                <w:sz w:val="20"/>
                <w:szCs w:val="20"/>
              </w:rPr>
              <w:t>New</w:t>
            </w:r>
          </w:p>
          <w:p w14:paraId="582CA6FC" w14:textId="77777777" w:rsidR="005654A0" w:rsidRPr="00ED6EDE" w:rsidRDefault="005654A0" w:rsidP="005654A0">
            <w:pPr>
              <w:keepNext/>
              <w:jc w:val="center"/>
              <w:rPr>
                <w:rFonts w:ascii="Arial Narrow" w:hAnsi="Arial Narrow"/>
                <w:sz w:val="20"/>
                <w:szCs w:val="20"/>
              </w:rPr>
            </w:pPr>
            <w:r w:rsidRPr="00ED6EDE">
              <w:rPr>
                <w:rFonts w:ascii="Arial Narrow" w:hAnsi="Arial Narrow"/>
                <w:sz w:val="20"/>
                <w:szCs w:val="20"/>
              </w:rPr>
              <w:t>New</w:t>
            </w:r>
          </w:p>
        </w:tc>
        <w:tc>
          <w:tcPr>
            <w:tcW w:w="1206" w:type="dxa"/>
            <w:vAlign w:val="center"/>
          </w:tcPr>
          <w:p w14:paraId="440EF6ED" w14:textId="77777777" w:rsidR="005654A0" w:rsidRPr="00ED6EDE" w:rsidRDefault="005654A0" w:rsidP="005654A0">
            <w:pPr>
              <w:keepNext/>
              <w:jc w:val="center"/>
              <w:rPr>
                <w:rFonts w:ascii="Arial Narrow" w:hAnsi="Arial Narrow"/>
                <w:sz w:val="20"/>
                <w:szCs w:val="20"/>
              </w:rPr>
            </w:pPr>
            <w:r w:rsidRPr="00ED6EDE">
              <w:rPr>
                <w:rFonts w:ascii="Arial Narrow" w:hAnsi="Arial Narrow"/>
                <w:sz w:val="20"/>
                <w:szCs w:val="20"/>
              </w:rPr>
              <w:t>2</w:t>
            </w:r>
          </w:p>
          <w:p w14:paraId="0D23B2B9" w14:textId="77777777" w:rsidR="005654A0" w:rsidRPr="00ED6EDE" w:rsidRDefault="005654A0" w:rsidP="005654A0">
            <w:pPr>
              <w:keepNext/>
              <w:jc w:val="center"/>
              <w:rPr>
                <w:rFonts w:ascii="Arial Narrow" w:hAnsi="Arial Narrow"/>
                <w:sz w:val="20"/>
                <w:szCs w:val="20"/>
              </w:rPr>
            </w:pPr>
            <w:r w:rsidRPr="00ED6EDE">
              <w:rPr>
                <w:rFonts w:ascii="Arial Narrow" w:hAnsi="Arial Narrow"/>
                <w:sz w:val="20"/>
                <w:szCs w:val="20"/>
              </w:rPr>
              <w:t>2</w:t>
            </w:r>
          </w:p>
        </w:tc>
        <w:tc>
          <w:tcPr>
            <w:tcW w:w="1616" w:type="dxa"/>
            <w:vAlign w:val="center"/>
          </w:tcPr>
          <w:p w14:paraId="2D8C27C5" w14:textId="77777777" w:rsidR="005654A0" w:rsidRPr="00ED6EDE" w:rsidRDefault="005654A0" w:rsidP="005654A0">
            <w:pPr>
              <w:keepNext/>
              <w:jc w:val="center"/>
              <w:rPr>
                <w:rFonts w:ascii="Arial Narrow" w:hAnsi="Arial Narrow"/>
                <w:sz w:val="20"/>
                <w:szCs w:val="20"/>
              </w:rPr>
            </w:pPr>
            <w:r w:rsidRPr="00ED6EDE">
              <w:rPr>
                <w:rFonts w:ascii="Arial Narrow" w:hAnsi="Arial Narrow"/>
                <w:sz w:val="20"/>
                <w:szCs w:val="20"/>
              </w:rPr>
              <w:t>60</w:t>
            </w:r>
          </w:p>
          <w:p w14:paraId="74DE6BC2" w14:textId="77777777" w:rsidR="005654A0" w:rsidRPr="00ED6EDE" w:rsidRDefault="005654A0" w:rsidP="005654A0">
            <w:pPr>
              <w:keepNext/>
              <w:jc w:val="center"/>
              <w:rPr>
                <w:rFonts w:ascii="Arial Narrow" w:hAnsi="Arial Narrow"/>
                <w:sz w:val="20"/>
                <w:szCs w:val="20"/>
              </w:rPr>
            </w:pPr>
            <w:r w:rsidRPr="00ED6EDE">
              <w:rPr>
                <w:rFonts w:ascii="Arial Narrow" w:hAnsi="Arial Narrow"/>
                <w:sz w:val="20"/>
                <w:szCs w:val="20"/>
              </w:rPr>
              <w:t>60</w:t>
            </w:r>
          </w:p>
        </w:tc>
        <w:tc>
          <w:tcPr>
            <w:tcW w:w="971" w:type="dxa"/>
            <w:vAlign w:val="center"/>
          </w:tcPr>
          <w:p w14:paraId="13D8DE5A" w14:textId="77777777" w:rsidR="005654A0" w:rsidRPr="00ED6EDE" w:rsidRDefault="005654A0" w:rsidP="005654A0">
            <w:pPr>
              <w:keepNext/>
              <w:jc w:val="center"/>
              <w:rPr>
                <w:rFonts w:ascii="Arial Narrow" w:hAnsi="Arial Narrow"/>
                <w:sz w:val="20"/>
                <w:szCs w:val="20"/>
              </w:rPr>
            </w:pPr>
            <w:r w:rsidRPr="00ED6EDE">
              <w:rPr>
                <w:rFonts w:ascii="Arial Narrow" w:hAnsi="Arial Narrow"/>
                <w:sz w:val="20"/>
                <w:szCs w:val="20"/>
              </w:rPr>
              <w:t>2</w:t>
            </w:r>
          </w:p>
          <w:p w14:paraId="01D6D354" w14:textId="77777777" w:rsidR="005654A0" w:rsidRPr="00ED6EDE" w:rsidRDefault="005654A0" w:rsidP="005654A0">
            <w:pPr>
              <w:keepNext/>
              <w:jc w:val="center"/>
              <w:rPr>
                <w:rFonts w:ascii="Arial Narrow" w:hAnsi="Arial Narrow"/>
                <w:sz w:val="20"/>
                <w:szCs w:val="20"/>
              </w:rPr>
            </w:pPr>
            <w:r w:rsidRPr="00ED6EDE">
              <w:rPr>
                <w:rFonts w:ascii="Arial Narrow" w:hAnsi="Arial Narrow"/>
                <w:sz w:val="20"/>
                <w:szCs w:val="20"/>
              </w:rPr>
              <w:t>2</w:t>
            </w:r>
          </w:p>
        </w:tc>
        <w:tc>
          <w:tcPr>
            <w:tcW w:w="1833" w:type="dxa"/>
            <w:vAlign w:val="center"/>
          </w:tcPr>
          <w:p w14:paraId="2975EC93" w14:textId="77777777" w:rsidR="005654A0" w:rsidRPr="00ED6EDE" w:rsidRDefault="005654A0" w:rsidP="005654A0">
            <w:pPr>
              <w:keepNext/>
              <w:jc w:val="center"/>
              <w:rPr>
                <w:rFonts w:ascii="Arial Narrow" w:hAnsi="Arial Narrow"/>
                <w:sz w:val="20"/>
                <w:szCs w:val="20"/>
              </w:rPr>
            </w:pPr>
            <w:proofErr w:type="spellStart"/>
            <w:r w:rsidRPr="00ED6EDE">
              <w:rPr>
                <w:rFonts w:ascii="Arial Narrow" w:hAnsi="Arial Narrow"/>
                <w:sz w:val="20"/>
                <w:szCs w:val="20"/>
              </w:rPr>
              <w:t>Lenvima</w:t>
            </w:r>
            <w:proofErr w:type="spellEnd"/>
          </w:p>
        </w:tc>
      </w:tr>
    </w:tbl>
    <w:p w14:paraId="4FA1F9C2" w14:textId="77777777" w:rsidR="005654A0" w:rsidRPr="00ED6EDE" w:rsidRDefault="005654A0" w:rsidP="005654A0">
      <w:pPr>
        <w:pStyle w:val="Cap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6"/>
      </w:tblGrid>
      <w:tr w:rsidR="005654A0" w:rsidRPr="00ED6EDE" w14:paraId="5900B621" w14:textId="77777777" w:rsidTr="005654A0">
        <w:tc>
          <w:tcPr>
            <w:tcW w:w="544" w:type="pct"/>
            <w:vMerge w:val="restart"/>
            <w:tcBorders>
              <w:top w:val="single" w:sz="4" w:space="0" w:color="auto"/>
              <w:left w:val="single" w:sz="4" w:space="0" w:color="auto"/>
              <w:right w:val="single" w:sz="4" w:space="0" w:color="auto"/>
            </w:tcBorders>
          </w:tcPr>
          <w:p w14:paraId="13F75CE6" w14:textId="77777777" w:rsidR="005654A0" w:rsidRPr="00ED6EDE" w:rsidRDefault="005654A0" w:rsidP="005654A0">
            <w:pPr>
              <w:jc w:val="center"/>
              <w:rPr>
                <w:rFonts w:ascii="Arial Narrow" w:hAnsi="Arial Narrow"/>
                <w:b/>
                <w:sz w:val="20"/>
                <w:szCs w:val="20"/>
              </w:rPr>
            </w:pPr>
            <w:r w:rsidRPr="00ED6EDE">
              <w:rPr>
                <w:rFonts w:ascii="Arial Narrow" w:hAnsi="Arial Narrow"/>
                <w:b/>
                <w:sz w:val="20"/>
                <w:szCs w:val="20"/>
              </w:rPr>
              <w:t>Concept ID</w:t>
            </w:r>
          </w:p>
          <w:p w14:paraId="13B399BB" w14:textId="77777777" w:rsidR="005654A0" w:rsidRPr="00ED6EDE" w:rsidRDefault="005654A0" w:rsidP="005654A0">
            <w:pPr>
              <w:jc w:val="center"/>
              <w:rPr>
                <w:rFonts w:ascii="Arial Narrow" w:hAnsi="Arial Narrow"/>
                <w:sz w:val="20"/>
                <w:szCs w:val="20"/>
              </w:rPr>
            </w:pPr>
          </w:p>
          <w:p w14:paraId="6C1D5AEC" w14:textId="77777777" w:rsidR="005654A0" w:rsidRPr="00ED6EDE" w:rsidRDefault="005654A0" w:rsidP="005654A0">
            <w:pPr>
              <w:jc w:val="center"/>
              <w:rPr>
                <w:rFonts w:ascii="Arial Narrow" w:hAnsi="Arial Narrow"/>
                <w:sz w:val="20"/>
                <w:szCs w:val="20"/>
              </w:rPr>
            </w:pPr>
            <w:r w:rsidRPr="00ED6EDE">
              <w:rPr>
                <w:rFonts w:ascii="Arial Narrow" w:hAnsi="Arial Narrow"/>
                <w:sz w:val="20"/>
                <w:szCs w:val="20"/>
              </w:rPr>
              <w:t>(for internal Dept. use)</w:t>
            </w:r>
          </w:p>
        </w:tc>
        <w:tc>
          <w:tcPr>
            <w:tcW w:w="4456" w:type="pct"/>
            <w:tcBorders>
              <w:top w:val="single" w:sz="4" w:space="0" w:color="auto"/>
              <w:left w:val="single" w:sz="4" w:space="0" w:color="auto"/>
              <w:bottom w:val="single" w:sz="4" w:space="0" w:color="auto"/>
              <w:right w:val="single" w:sz="4" w:space="0" w:color="auto"/>
            </w:tcBorders>
          </w:tcPr>
          <w:p w14:paraId="3D35EE38" w14:textId="77777777" w:rsidR="005654A0" w:rsidRPr="00ED6EDE" w:rsidRDefault="005654A0" w:rsidP="005654A0">
            <w:pPr>
              <w:rPr>
                <w:rFonts w:ascii="Arial Narrow" w:hAnsi="Arial Narrow"/>
                <w:sz w:val="20"/>
                <w:szCs w:val="20"/>
              </w:rPr>
            </w:pPr>
            <w:r w:rsidRPr="00ED6EDE">
              <w:rPr>
                <w:rFonts w:ascii="Arial Narrow" w:hAnsi="Arial Narrow"/>
                <w:b/>
                <w:sz w:val="20"/>
                <w:szCs w:val="20"/>
              </w:rPr>
              <w:t xml:space="preserve">Category / Program: </w:t>
            </w:r>
            <w:r w:rsidRPr="00ED6EDE">
              <w:rPr>
                <w:rFonts w:ascii="Arial Narrow" w:hAnsi="Arial Narrow"/>
                <w:sz w:val="20"/>
                <w:szCs w:val="20"/>
              </w:rPr>
              <w:t>General Schedule – Section 85</w:t>
            </w:r>
          </w:p>
        </w:tc>
      </w:tr>
      <w:tr w:rsidR="005654A0" w:rsidRPr="00ED6EDE" w14:paraId="2C729DCB" w14:textId="77777777" w:rsidTr="005654A0">
        <w:trPr>
          <w:trHeight w:val="240"/>
        </w:trPr>
        <w:tc>
          <w:tcPr>
            <w:tcW w:w="544" w:type="pct"/>
            <w:vMerge/>
            <w:tcBorders>
              <w:left w:val="single" w:sz="4" w:space="0" w:color="auto"/>
              <w:right w:val="single" w:sz="4" w:space="0" w:color="auto"/>
            </w:tcBorders>
          </w:tcPr>
          <w:p w14:paraId="0B57FD63" w14:textId="77777777" w:rsidR="005654A0" w:rsidRPr="00ED6EDE" w:rsidRDefault="005654A0" w:rsidP="005654A0">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49A079EF" w14:textId="77777777" w:rsidR="005654A0" w:rsidRPr="00ED6EDE" w:rsidRDefault="005654A0" w:rsidP="005654A0">
            <w:pPr>
              <w:rPr>
                <w:rFonts w:ascii="Arial Narrow" w:hAnsi="Arial Narrow"/>
                <w:b/>
                <w:sz w:val="20"/>
                <w:szCs w:val="20"/>
              </w:rPr>
            </w:pPr>
            <w:r w:rsidRPr="00ED6EDE">
              <w:rPr>
                <w:rFonts w:ascii="Arial Narrow" w:hAnsi="Arial Narrow"/>
                <w:b/>
                <w:sz w:val="20"/>
                <w:szCs w:val="20"/>
              </w:rPr>
              <w:t xml:space="preserve">Prescriber type:  </w:t>
            </w:r>
            <w:r w:rsidRPr="00ED6EDE">
              <w:rPr>
                <w:rFonts w:ascii="Arial Narrow" w:hAnsi="Arial Narrow"/>
                <w:sz w:val="20"/>
                <w:szCs w:val="20"/>
              </w:rPr>
              <w:fldChar w:fldCharType="begin">
                <w:ffData>
                  <w:name w:val=""/>
                  <w:enabled/>
                  <w:calcOnExit w:val="0"/>
                  <w:checkBox>
                    <w:sizeAuto/>
                    <w:default w:val="1"/>
                  </w:checkBox>
                </w:ffData>
              </w:fldChar>
            </w:r>
            <w:r w:rsidRPr="00ED6EDE">
              <w:rPr>
                <w:rFonts w:ascii="Arial Narrow" w:hAnsi="Arial Narrow"/>
                <w:sz w:val="20"/>
                <w:szCs w:val="20"/>
              </w:rPr>
              <w:instrText xml:space="preserve"> FORMCHECKBOX </w:instrText>
            </w:r>
            <w:r w:rsidR="003E504A">
              <w:rPr>
                <w:rFonts w:ascii="Arial Narrow" w:hAnsi="Arial Narrow"/>
                <w:sz w:val="20"/>
                <w:szCs w:val="20"/>
              </w:rPr>
            </w:r>
            <w:r w:rsidR="003E504A">
              <w:rPr>
                <w:rFonts w:ascii="Arial Narrow" w:hAnsi="Arial Narrow"/>
                <w:sz w:val="20"/>
                <w:szCs w:val="20"/>
              </w:rPr>
              <w:fldChar w:fldCharType="separate"/>
            </w:r>
            <w:r w:rsidRPr="00ED6EDE">
              <w:rPr>
                <w:rFonts w:ascii="Arial Narrow" w:hAnsi="Arial Narrow"/>
                <w:sz w:val="20"/>
                <w:szCs w:val="20"/>
              </w:rPr>
              <w:fldChar w:fldCharType="end"/>
            </w:r>
            <w:r w:rsidRPr="00ED6EDE">
              <w:rPr>
                <w:rFonts w:ascii="Arial Narrow" w:hAnsi="Arial Narrow"/>
                <w:sz w:val="20"/>
                <w:szCs w:val="20"/>
              </w:rPr>
              <w:t xml:space="preserve">Medical Practitioners </w:t>
            </w:r>
          </w:p>
        </w:tc>
      </w:tr>
      <w:tr w:rsidR="005654A0" w:rsidRPr="00ED6EDE" w14:paraId="1CB10644" w14:textId="77777777" w:rsidTr="005654A0">
        <w:tc>
          <w:tcPr>
            <w:tcW w:w="544" w:type="pct"/>
            <w:vMerge/>
            <w:tcBorders>
              <w:left w:val="single" w:sz="4" w:space="0" w:color="auto"/>
              <w:bottom w:val="single" w:sz="4" w:space="0" w:color="auto"/>
              <w:right w:val="single" w:sz="4" w:space="0" w:color="auto"/>
            </w:tcBorders>
          </w:tcPr>
          <w:p w14:paraId="441C31AA" w14:textId="77777777" w:rsidR="005654A0" w:rsidRPr="00ED6EDE" w:rsidRDefault="005654A0" w:rsidP="005654A0">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08AA1416" w14:textId="77777777" w:rsidR="005654A0" w:rsidRPr="00ED6EDE" w:rsidRDefault="005654A0" w:rsidP="005654A0">
            <w:pPr>
              <w:rPr>
                <w:rFonts w:ascii="Arial Narrow" w:hAnsi="Arial Narrow"/>
                <w:b/>
                <w:sz w:val="20"/>
                <w:szCs w:val="20"/>
              </w:rPr>
            </w:pPr>
            <w:r w:rsidRPr="00ED6EDE">
              <w:rPr>
                <w:rFonts w:ascii="Arial Narrow" w:hAnsi="Arial Narrow"/>
                <w:b/>
                <w:sz w:val="20"/>
                <w:szCs w:val="20"/>
              </w:rPr>
              <w:t>Restriction Type</w:t>
            </w:r>
          </w:p>
          <w:p w14:paraId="7FD154D9" w14:textId="43DA4F41" w:rsidR="005654A0" w:rsidRPr="00ED6EDE" w:rsidRDefault="006366B0" w:rsidP="006366B0">
            <w:pPr>
              <w:rPr>
                <w:rFonts w:ascii="Arial Narrow" w:eastAsia="Calibri" w:hAnsi="Arial Narrow"/>
                <w:sz w:val="20"/>
                <w:szCs w:val="20"/>
              </w:rPr>
            </w:pPr>
            <w:r>
              <w:rPr>
                <w:rFonts w:ascii="Arial Narrow" w:eastAsia="Calibri" w:hAnsi="Arial Narrow"/>
                <w:sz w:val="18"/>
                <w:szCs w:val="18"/>
              </w:rPr>
              <w:fldChar w:fldCharType="begin">
                <w:ffData>
                  <w:name w:val="Check3"/>
                  <w:enabled/>
                  <w:calcOnExit w:val="0"/>
                  <w:checkBox>
                    <w:sizeAuto/>
                    <w:default w:val="1"/>
                  </w:checkBox>
                </w:ffData>
              </w:fldChar>
            </w:r>
            <w:r>
              <w:rPr>
                <w:rFonts w:ascii="Arial Narrow" w:eastAsia="Calibri" w:hAnsi="Arial Narrow"/>
                <w:sz w:val="18"/>
                <w:szCs w:val="18"/>
              </w:rPr>
              <w:instrText xml:space="preserve"> FORMCHECKBOX </w:instrText>
            </w:r>
            <w:r w:rsidR="003E504A">
              <w:rPr>
                <w:rFonts w:ascii="Arial Narrow" w:eastAsia="Calibri" w:hAnsi="Arial Narrow"/>
                <w:sz w:val="18"/>
                <w:szCs w:val="18"/>
              </w:rPr>
            </w:r>
            <w:r w:rsidR="003E504A">
              <w:rPr>
                <w:rFonts w:ascii="Arial Narrow" w:eastAsia="Calibri" w:hAnsi="Arial Narrow"/>
                <w:sz w:val="18"/>
                <w:szCs w:val="18"/>
              </w:rPr>
              <w:fldChar w:fldCharType="separate"/>
            </w:r>
            <w:r>
              <w:rPr>
                <w:rFonts w:ascii="Arial Narrow" w:eastAsia="Calibri" w:hAnsi="Arial Narrow"/>
                <w:sz w:val="18"/>
                <w:szCs w:val="18"/>
              </w:rPr>
              <w:fldChar w:fldCharType="end"/>
            </w:r>
            <w:r w:rsidRPr="006366B0">
              <w:rPr>
                <w:rFonts w:ascii="Arial Narrow" w:hAnsi="Arial Narrow"/>
                <w:sz w:val="20"/>
                <w:szCs w:val="20"/>
              </w:rPr>
              <w:t>Authority Required – Streamlined [new]</w:t>
            </w:r>
          </w:p>
        </w:tc>
      </w:tr>
      <w:tr w:rsidR="005654A0" w:rsidRPr="00ED6EDE" w14:paraId="75A1AD0D" w14:textId="77777777" w:rsidTr="005654A0">
        <w:tc>
          <w:tcPr>
            <w:tcW w:w="544" w:type="pct"/>
            <w:vAlign w:val="center"/>
          </w:tcPr>
          <w:p w14:paraId="4E4A14E0" w14:textId="77777777" w:rsidR="005654A0" w:rsidRPr="00ED6EDE" w:rsidRDefault="005654A0" w:rsidP="005654A0">
            <w:pPr>
              <w:jc w:val="center"/>
              <w:rPr>
                <w:rFonts w:ascii="Arial Narrow" w:hAnsi="Arial Narrow"/>
                <w:sz w:val="20"/>
                <w:szCs w:val="20"/>
                <w:highlight w:val="yellow"/>
              </w:rPr>
            </w:pPr>
          </w:p>
        </w:tc>
        <w:tc>
          <w:tcPr>
            <w:tcW w:w="4456" w:type="pct"/>
            <w:vAlign w:val="center"/>
          </w:tcPr>
          <w:p w14:paraId="0B0FBBBB"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 xml:space="preserve">Severity: </w:t>
            </w:r>
            <w:r w:rsidRPr="00ED6EDE">
              <w:rPr>
                <w:rFonts w:ascii="Arial Narrow" w:hAnsi="Arial Narrow"/>
                <w:bCs/>
                <w:sz w:val="20"/>
                <w:szCs w:val="20"/>
              </w:rPr>
              <w:t>advanced, metastatic or recurrent</w:t>
            </w:r>
          </w:p>
        </w:tc>
      </w:tr>
      <w:tr w:rsidR="005654A0" w:rsidRPr="00ED6EDE" w14:paraId="74EDFA38" w14:textId="77777777" w:rsidTr="005654A0">
        <w:tc>
          <w:tcPr>
            <w:tcW w:w="544" w:type="pct"/>
            <w:vAlign w:val="center"/>
          </w:tcPr>
          <w:p w14:paraId="5678CDCC" w14:textId="77777777" w:rsidR="005654A0" w:rsidRPr="00ED6EDE" w:rsidRDefault="005654A0" w:rsidP="005654A0">
            <w:pPr>
              <w:jc w:val="center"/>
              <w:rPr>
                <w:rFonts w:ascii="Arial Narrow" w:hAnsi="Arial Narrow"/>
                <w:sz w:val="20"/>
                <w:szCs w:val="20"/>
                <w:highlight w:val="yellow"/>
              </w:rPr>
            </w:pPr>
          </w:p>
        </w:tc>
        <w:tc>
          <w:tcPr>
            <w:tcW w:w="4456" w:type="pct"/>
            <w:vAlign w:val="center"/>
          </w:tcPr>
          <w:p w14:paraId="737BF189" w14:textId="0FFE7F58" w:rsidR="005654A0" w:rsidRPr="00ED6EDE" w:rsidRDefault="005654A0" w:rsidP="006366B0">
            <w:pPr>
              <w:rPr>
                <w:rFonts w:ascii="Arial Narrow" w:hAnsi="Arial Narrow"/>
                <w:bCs/>
                <w:sz w:val="20"/>
                <w:szCs w:val="20"/>
              </w:rPr>
            </w:pPr>
            <w:r w:rsidRPr="00ED6EDE">
              <w:rPr>
                <w:rFonts w:ascii="Arial Narrow" w:hAnsi="Arial Narrow"/>
                <w:b/>
                <w:bCs/>
                <w:sz w:val="20"/>
                <w:szCs w:val="20"/>
              </w:rPr>
              <w:t xml:space="preserve">Condition: </w:t>
            </w:r>
            <w:r w:rsidRPr="00ED6EDE">
              <w:rPr>
                <w:rFonts w:ascii="Arial Narrow" w:hAnsi="Arial Narrow"/>
                <w:bCs/>
                <w:sz w:val="20"/>
                <w:szCs w:val="20"/>
              </w:rPr>
              <w:t xml:space="preserve">endometrial </w:t>
            </w:r>
            <w:r w:rsidRPr="006366B0">
              <w:rPr>
                <w:rFonts w:ascii="Arial Narrow" w:hAnsi="Arial Narrow"/>
                <w:bCs/>
                <w:sz w:val="20"/>
                <w:szCs w:val="20"/>
              </w:rPr>
              <w:t>carcinoma</w:t>
            </w:r>
          </w:p>
        </w:tc>
      </w:tr>
      <w:tr w:rsidR="005654A0" w:rsidRPr="00ED6EDE" w14:paraId="579507BA" w14:textId="77777777" w:rsidTr="005654A0">
        <w:tc>
          <w:tcPr>
            <w:tcW w:w="544" w:type="pct"/>
            <w:vAlign w:val="center"/>
          </w:tcPr>
          <w:p w14:paraId="68A53472" w14:textId="77777777" w:rsidR="005654A0" w:rsidRPr="00ED6EDE" w:rsidRDefault="005654A0" w:rsidP="005654A0">
            <w:pPr>
              <w:jc w:val="center"/>
              <w:rPr>
                <w:rFonts w:ascii="Arial Narrow" w:hAnsi="Arial Narrow"/>
                <w:sz w:val="20"/>
                <w:szCs w:val="20"/>
              </w:rPr>
            </w:pPr>
          </w:p>
        </w:tc>
        <w:tc>
          <w:tcPr>
            <w:tcW w:w="4456" w:type="pct"/>
            <w:vAlign w:val="center"/>
            <w:hideMark/>
          </w:tcPr>
          <w:p w14:paraId="24D9EE3B" w14:textId="37975514" w:rsidR="005654A0" w:rsidRPr="00ED6EDE" w:rsidRDefault="005654A0" w:rsidP="005654A0">
            <w:pPr>
              <w:rPr>
                <w:rFonts w:ascii="Arial Narrow" w:hAnsi="Arial Narrow"/>
                <w:sz w:val="20"/>
                <w:szCs w:val="20"/>
              </w:rPr>
            </w:pPr>
            <w:r w:rsidRPr="00ED6EDE">
              <w:rPr>
                <w:rFonts w:ascii="Arial Narrow" w:hAnsi="Arial Narrow"/>
                <w:b/>
                <w:bCs/>
                <w:sz w:val="20"/>
                <w:szCs w:val="20"/>
              </w:rPr>
              <w:t>Indication:</w:t>
            </w:r>
            <w:r w:rsidRPr="00ED6EDE">
              <w:rPr>
                <w:rFonts w:ascii="Arial Narrow" w:hAnsi="Arial Narrow"/>
                <w:sz w:val="20"/>
                <w:szCs w:val="20"/>
              </w:rPr>
              <w:t xml:space="preserve"> Advanced, metastatic or recurrent </w:t>
            </w:r>
            <w:r w:rsidR="006366B0" w:rsidRPr="00ED6EDE">
              <w:rPr>
                <w:rFonts w:ascii="Arial Narrow" w:hAnsi="Arial Narrow"/>
                <w:bCs/>
                <w:sz w:val="20"/>
                <w:szCs w:val="20"/>
              </w:rPr>
              <w:t xml:space="preserve">endometrial </w:t>
            </w:r>
            <w:r w:rsidR="006366B0" w:rsidRPr="006366B0">
              <w:rPr>
                <w:rFonts w:ascii="Arial Narrow" w:hAnsi="Arial Narrow"/>
                <w:bCs/>
                <w:sz w:val="20"/>
                <w:szCs w:val="20"/>
              </w:rPr>
              <w:t>carcinoma</w:t>
            </w:r>
          </w:p>
        </w:tc>
      </w:tr>
      <w:tr w:rsidR="005654A0" w:rsidRPr="00ED6EDE" w14:paraId="4CF7CA9A" w14:textId="77777777" w:rsidTr="005654A0">
        <w:tc>
          <w:tcPr>
            <w:tcW w:w="544" w:type="pct"/>
            <w:tcBorders>
              <w:top w:val="single" w:sz="4" w:space="0" w:color="auto"/>
              <w:left w:val="single" w:sz="4" w:space="0" w:color="auto"/>
              <w:bottom w:val="single" w:sz="4" w:space="0" w:color="auto"/>
              <w:right w:val="single" w:sz="4" w:space="0" w:color="auto"/>
            </w:tcBorders>
            <w:vAlign w:val="center"/>
          </w:tcPr>
          <w:p w14:paraId="0B56508D" w14:textId="1E08FC6A" w:rsidR="005654A0" w:rsidRPr="00ED6EDE" w:rsidRDefault="005654A0" w:rsidP="005654A0">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095CECDF"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 xml:space="preserve">Administrative Advice: </w:t>
            </w:r>
            <w:r w:rsidRPr="00ED6EDE">
              <w:rPr>
                <w:rFonts w:ascii="Arial Narrow" w:hAnsi="Arial Narrow"/>
                <w:sz w:val="20"/>
                <w:szCs w:val="20"/>
              </w:rPr>
              <w:t>No increase in the maximum quantity or number of units may be authorised.</w:t>
            </w:r>
          </w:p>
        </w:tc>
      </w:tr>
      <w:tr w:rsidR="005654A0" w:rsidRPr="00ED6EDE" w14:paraId="2F8ABD0E" w14:textId="77777777" w:rsidTr="005654A0">
        <w:tc>
          <w:tcPr>
            <w:tcW w:w="544" w:type="pct"/>
            <w:tcBorders>
              <w:top w:val="single" w:sz="4" w:space="0" w:color="auto"/>
              <w:left w:val="single" w:sz="4" w:space="0" w:color="auto"/>
              <w:bottom w:val="single" w:sz="4" w:space="0" w:color="auto"/>
              <w:right w:val="single" w:sz="4" w:space="0" w:color="auto"/>
            </w:tcBorders>
            <w:vAlign w:val="center"/>
          </w:tcPr>
          <w:p w14:paraId="59245A7F" w14:textId="59C83DA1" w:rsidR="005654A0" w:rsidRPr="00ED6EDE" w:rsidRDefault="005654A0" w:rsidP="005654A0">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2B0B132"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 xml:space="preserve">Administrative Advice: </w:t>
            </w:r>
            <w:r w:rsidRPr="00ED6EDE">
              <w:rPr>
                <w:rFonts w:ascii="Arial Narrow" w:hAnsi="Arial Narrow"/>
                <w:sz w:val="20"/>
                <w:szCs w:val="20"/>
              </w:rPr>
              <w:t>No increase in the maximum number of repeats may be authorised</w:t>
            </w:r>
          </w:p>
        </w:tc>
      </w:tr>
      <w:tr w:rsidR="005654A0" w:rsidRPr="00ED6EDE" w14:paraId="434ECDDC" w14:textId="77777777" w:rsidTr="005654A0">
        <w:tc>
          <w:tcPr>
            <w:tcW w:w="544" w:type="pct"/>
            <w:tcBorders>
              <w:top w:val="single" w:sz="4" w:space="0" w:color="auto"/>
              <w:left w:val="single" w:sz="4" w:space="0" w:color="auto"/>
              <w:bottom w:val="single" w:sz="4" w:space="0" w:color="auto"/>
              <w:right w:val="single" w:sz="4" w:space="0" w:color="auto"/>
            </w:tcBorders>
            <w:vAlign w:val="center"/>
          </w:tcPr>
          <w:p w14:paraId="78839F85" w14:textId="71F1427F" w:rsidR="005654A0" w:rsidRPr="00ED6EDE" w:rsidRDefault="005654A0" w:rsidP="005654A0">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C8B9E8F" w14:textId="77777777" w:rsidR="005654A0" w:rsidRPr="00ED6EDE" w:rsidRDefault="005654A0" w:rsidP="005654A0">
            <w:pPr>
              <w:rPr>
                <w:rFonts w:ascii="Arial Narrow" w:hAnsi="Arial Narrow"/>
                <w:sz w:val="20"/>
                <w:szCs w:val="20"/>
              </w:rPr>
            </w:pPr>
            <w:r w:rsidRPr="00ED6EDE">
              <w:rPr>
                <w:rFonts w:ascii="Arial Narrow" w:hAnsi="Arial Narrow"/>
                <w:sz w:val="20"/>
                <w:szCs w:val="20"/>
              </w:rPr>
              <w:t>Administrative Advice Applications for authorisation under this restriction may be made in real time using the Online PBS Authorities system (see www.servicesaustralia.gov.au/HPOS) or by telephone by contacting Services Australia on 1800 888 333</w:t>
            </w:r>
          </w:p>
        </w:tc>
      </w:tr>
      <w:tr w:rsidR="005654A0" w:rsidRPr="00ED6EDE" w14:paraId="45D6F138" w14:textId="77777777" w:rsidTr="005654A0">
        <w:tc>
          <w:tcPr>
            <w:tcW w:w="544" w:type="pct"/>
            <w:vAlign w:val="center"/>
          </w:tcPr>
          <w:p w14:paraId="413C38C7" w14:textId="77777777" w:rsidR="005654A0" w:rsidRPr="00ED6EDE" w:rsidRDefault="005654A0" w:rsidP="005654A0">
            <w:pPr>
              <w:jc w:val="center"/>
              <w:rPr>
                <w:rFonts w:ascii="Arial Narrow" w:hAnsi="Arial Narrow"/>
                <w:sz w:val="20"/>
                <w:szCs w:val="20"/>
              </w:rPr>
            </w:pPr>
          </w:p>
        </w:tc>
        <w:tc>
          <w:tcPr>
            <w:tcW w:w="4456" w:type="pct"/>
            <w:vAlign w:val="center"/>
          </w:tcPr>
          <w:p w14:paraId="3E5B0B8D" w14:textId="77777777" w:rsidR="005654A0" w:rsidRPr="00ED6EDE" w:rsidRDefault="005654A0" w:rsidP="005654A0">
            <w:pPr>
              <w:rPr>
                <w:rFonts w:ascii="Arial Narrow" w:hAnsi="Arial Narrow"/>
                <w:b/>
                <w:bCs/>
                <w:sz w:val="20"/>
                <w:szCs w:val="20"/>
              </w:rPr>
            </w:pPr>
          </w:p>
        </w:tc>
      </w:tr>
      <w:tr w:rsidR="005654A0" w:rsidRPr="00ED6EDE" w14:paraId="7CBFA5FC" w14:textId="77777777" w:rsidTr="005654A0">
        <w:tc>
          <w:tcPr>
            <w:tcW w:w="544" w:type="pct"/>
            <w:shd w:val="clear" w:color="auto" w:fill="BFBFBF" w:themeFill="background1" w:themeFillShade="BF"/>
            <w:vAlign w:val="center"/>
          </w:tcPr>
          <w:p w14:paraId="61F0D8BE" w14:textId="77777777" w:rsidR="005654A0" w:rsidRPr="00ED6EDE" w:rsidRDefault="005654A0" w:rsidP="005654A0">
            <w:pPr>
              <w:jc w:val="center"/>
              <w:rPr>
                <w:rFonts w:ascii="Arial Narrow" w:hAnsi="Arial Narrow"/>
                <w:sz w:val="20"/>
                <w:szCs w:val="20"/>
              </w:rPr>
            </w:pPr>
          </w:p>
        </w:tc>
        <w:tc>
          <w:tcPr>
            <w:tcW w:w="4456" w:type="pct"/>
            <w:shd w:val="clear" w:color="auto" w:fill="BFBFBF" w:themeFill="background1" w:themeFillShade="BF"/>
            <w:vAlign w:val="center"/>
            <w:hideMark/>
          </w:tcPr>
          <w:p w14:paraId="6FB7E456"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Treatment Phase:</w:t>
            </w:r>
            <w:r w:rsidRPr="00ED6EDE">
              <w:rPr>
                <w:rFonts w:ascii="Arial Narrow" w:hAnsi="Arial Narrow"/>
                <w:sz w:val="20"/>
                <w:szCs w:val="20"/>
              </w:rPr>
              <w:t xml:space="preserve"> Initial treatment</w:t>
            </w:r>
          </w:p>
        </w:tc>
      </w:tr>
      <w:tr w:rsidR="005654A0" w:rsidRPr="00ED6EDE" w14:paraId="744D953B" w14:textId="77777777" w:rsidTr="005654A0">
        <w:tc>
          <w:tcPr>
            <w:tcW w:w="544" w:type="pct"/>
            <w:vAlign w:val="center"/>
          </w:tcPr>
          <w:p w14:paraId="5F4FA05E" w14:textId="77777777" w:rsidR="005654A0" w:rsidRPr="00ED6EDE" w:rsidRDefault="005654A0" w:rsidP="005654A0">
            <w:pPr>
              <w:jc w:val="center"/>
              <w:rPr>
                <w:rFonts w:ascii="Arial Narrow" w:hAnsi="Arial Narrow"/>
                <w:sz w:val="20"/>
                <w:szCs w:val="20"/>
              </w:rPr>
            </w:pPr>
          </w:p>
        </w:tc>
        <w:tc>
          <w:tcPr>
            <w:tcW w:w="4456" w:type="pct"/>
            <w:vAlign w:val="center"/>
            <w:hideMark/>
          </w:tcPr>
          <w:p w14:paraId="0CC81EAD"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575FEB71" w14:textId="77777777" w:rsidTr="005654A0">
        <w:tc>
          <w:tcPr>
            <w:tcW w:w="544" w:type="pct"/>
            <w:vAlign w:val="center"/>
          </w:tcPr>
          <w:p w14:paraId="5F62F616" w14:textId="4F90E963" w:rsidR="005654A0" w:rsidRPr="00ED6EDE" w:rsidRDefault="005654A0" w:rsidP="005654A0">
            <w:pPr>
              <w:jc w:val="center"/>
              <w:rPr>
                <w:rFonts w:ascii="Arial Narrow" w:hAnsi="Arial Narrow"/>
                <w:sz w:val="20"/>
                <w:szCs w:val="20"/>
              </w:rPr>
            </w:pPr>
          </w:p>
        </w:tc>
        <w:tc>
          <w:tcPr>
            <w:tcW w:w="4456" w:type="pct"/>
            <w:vAlign w:val="center"/>
          </w:tcPr>
          <w:p w14:paraId="72879B5B" w14:textId="5922D229" w:rsidR="005654A0" w:rsidRPr="00ED6EDE" w:rsidRDefault="00554FF8" w:rsidP="005654A0">
            <w:pPr>
              <w:rPr>
                <w:rFonts w:ascii="Arial Narrow" w:hAnsi="Arial Narrow"/>
                <w:sz w:val="20"/>
                <w:szCs w:val="20"/>
              </w:rPr>
            </w:pPr>
            <w:r w:rsidRPr="00554FF8">
              <w:rPr>
                <w:rFonts w:ascii="Arial Narrow" w:hAnsi="Arial Narrow"/>
                <w:sz w:val="20"/>
                <w:szCs w:val="20"/>
              </w:rPr>
              <w:t>Patient must have received a prior platinum-based chemotherapy regimen for this condition</w:t>
            </w:r>
          </w:p>
        </w:tc>
      </w:tr>
      <w:tr w:rsidR="005654A0" w:rsidRPr="00ED6EDE" w14:paraId="2A69A97B" w14:textId="77777777" w:rsidTr="005654A0">
        <w:tc>
          <w:tcPr>
            <w:tcW w:w="544" w:type="pct"/>
            <w:vAlign w:val="center"/>
          </w:tcPr>
          <w:p w14:paraId="137A9DC3" w14:textId="77777777" w:rsidR="005654A0" w:rsidRPr="00ED6EDE" w:rsidRDefault="005654A0" w:rsidP="005654A0">
            <w:pPr>
              <w:jc w:val="center"/>
              <w:rPr>
                <w:rFonts w:ascii="Arial Narrow" w:hAnsi="Arial Narrow"/>
                <w:sz w:val="20"/>
                <w:szCs w:val="20"/>
              </w:rPr>
            </w:pPr>
          </w:p>
        </w:tc>
        <w:tc>
          <w:tcPr>
            <w:tcW w:w="4456" w:type="pct"/>
            <w:vAlign w:val="center"/>
            <w:hideMark/>
          </w:tcPr>
          <w:p w14:paraId="62030F2A"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5654A0" w:rsidRPr="00ED6EDE" w14:paraId="2ED46B22" w14:textId="77777777" w:rsidTr="005654A0">
        <w:tc>
          <w:tcPr>
            <w:tcW w:w="544" w:type="pct"/>
            <w:vAlign w:val="center"/>
          </w:tcPr>
          <w:p w14:paraId="3297AAC0" w14:textId="77777777" w:rsidR="005654A0" w:rsidRPr="00ED6EDE" w:rsidRDefault="005654A0" w:rsidP="005654A0">
            <w:pPr>
              <w:jc w:val="center"/>
              <w:rPr>
                <w:rFonts w:ascii="Arial Narrow" w:hAnsi="Arial Narrow"/>
                <w:sz w:val="20"/>
                <w:szCs w:val="20"/>
              </w:rPr>
            </w:pPr>
          </w:p>
        </w:tc>
        <w:tc>
          <w:tcPr>
            <w:tcW w:w="4456" w:type="pct"/>
            <w:vAlign w:val="center"/>
            <w:hideMark/>
          </w:tcPr>
          <w:p w14:paraId="7F7E6422"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17825686" w14:textId="77777777" w:rsidTr="005654A0">
        <w:tc>
          <w:tcPr>
            <w:tcW w:w="544" w:type="pct"/>
            <w:vAlign w:val="center"/>
          </w:tcPr>
          <w:p w14:paraId="261EB7B8" w14:textId="0556607F" w:rsidR="005654A0" w:rsidRPr="00ED6EDE" w:rsidRDefault="005654A0" w:rsidP="005654A0">
            <w:pPr>
              <w:jc w:val="center"/>
              <w:rPr>
                <w:rFonts w:ascii="Arial Narrow" w:hAnsi="Arial Narrow"/>
                <w:sz w:val="20"/>
                <w:szCs w:val="20"/>
              </w:rPr>
            </w:pPr>
          </w:p>
        </w:tc>
        <w:tc>
          <w:tcPr>
            <w:tcW w:w="4456" w:type="pct"/>
            <w:vAlign w:val="center"/>
          </w:tcPr>
          <w:p w14:paraId="037AC273" w14:textId="2D76ED9B" w:rsidR="005654A0" w:rsidRPr="00ED6EDE" w:rsidRDefault="00D035E8" w:rsidP="005654A0">
            <w:pPr>
              <w:rPr>
                <w:rFonts w:ascii="Arial Narrow" w:hAnsi="Arial Narrow"/>
                <w:sz w:val="20"/>
                <w:szCs w:val="20"/>
              </w:rPr>
            </w:pPr>
            <w:r w:rsidRPr="00ED6EDE">
              <w:rPr>
                <w:rFonts w:ascii="Arial Narrow" w:hAnsi="Arial Narrow"/>
                <w:sz w:val="20"/>
                <w:szCs w:val="20"/>
              </w:rPr>
              <w:t xml:space="preserve">Patient must not have received prior treatment with lenvatinib for </w:t>
            </w:r>
            <w:r>
              <w:rPr>
                <w:rFonts w:ascii="Arial Narrow" w:hAnsi="Arial Narrow"/>
                <w:sz w:val="20"/>
                <w:szCs w:val="20"/>
              </w:rPr>
              <w:t>this PBS indication</w:t>
            </w:r>
          </w:p>
        </w:tc>
      </w:tr>
      <w:tr w:rsidR="005654A0" w:rsidRPr="00ED6EDE" w14:paraId="4200BF41" w14:textId="77777777" w:rsidTr="005654A0">
        <w:tc>
          <w:tcPr>
            <w:tcW w:w="544" w:type="pct"/>
            <w:vAlign w:val="center"/>
          </w:tcPr>
          <w:p w14:paraId="7E3E149D" w14:textId="77777777" w:rsidR="005654A0" w:rsidRPr="00ED6EDE" w:rsidRDefault="005654A0" w:rsidP="005654A0">
            <w:pPr>
              <w:jc w:val="center"/>
              <w:rPr>
                <w:rFonts w:ascii="Arial Narrow" w:hAnsi="Arial Narrow"/>
                <w:sz w:val="20"/>
                <w:szCs w:val="20"/>
              </w:rPr>
            </w:pPr>
          </w:p>
        </w:tc>
        <w:tc>
          <w:tcPr>
            <w:tcW w:w="4456" w:type="pct"/>
            <w:vAlign w:val="center"/>
            <w:hideMark/>
          </w:tcPr>
          <w:p w14:paraId="2EA9C53F"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D035E8" w:rsidRPr="00ED6EDE" w14:paraId="0D7ABFBB" w14:textId="77777777" w:rsidTr="005654A0">
        <w:tc>
          <w:tcPr>
            <w:tcW w:w="544" w:type="pct"/>
            <w:vAlign w:val="center"/>
          </w:tcPr>
          <w:p w14:paraId="49E80D60" w14:textId="77777777" w:rsidR="00D035E8" w:rsidRPr="00ED6EDE" w:rsidRDefault="00D035E8" w:rsidP="00D035E8">
            <w:pPr>
              <w:jc w:val="center"/>
              <w:rPr>
                <w:rFonts w:ascii="Arial Narrow" w:hAnsi="Arial Narrow"/>
                <w:sz w:val="20"/>
                <w:szCs w:val="20"/>
              </w:rPr>
            </w:pPr>
          </w:p>
        </w:tc>
        <w:tc>
          <w:tcPr>
            <w:tcW w:w="4456" w:type="pct"/>
            <w:vAlign w:val="center"/>
          </w:tcPr>
          <w:p w14:paraId="665607EB" w14:textId="0780A915" w:rsidR="00D035E8" w:rsidRPr="00ED6EDE" w:rsidRDefault="00D035E8" w:rsidP="00D035E8">
            <w:pPr>
              <w:rPr>
                <w:rFonts w:ascii="Arial Narrow" w:hAnsi="Arial Narrow"/>
                <w:b/>
                <w:bCs/>
                <w:sz w:val="20"/>
                <w:szCs w:val="20"/>
              </w:rPr>
            </w:pPr>
            <w:r>
              <w:rPr>
                <w:rFonts w:ascii="Arial Narrow" w:hAnsi="Arial Narrow"/>
                <w:sz w:val="20"/>
                <w:szCs w:val="20"/>
              </w:rPr>
              <w:t>AND</w:t>
            </w:r>
          </w:p>
        </w:tc>
      </w:tr>
      <w:tr w:rsidR="00D035E8" w:rsidRPr="00ED6EDE" w14:paraId="4B6F90CE" w14:textId="77777777" w:rsidTr="005654A0">
        <w:tc>
          <w:tcPr>
            <w:tcW w:w="544" w:type="pct"/>
            <w:vAlign w:val="center"/>
          </w:tcPr>
          <w:p w14:paraId="4EAC5639" w14:textId="5DC0A055" w:rsidR="00D035E8" w:rsidRPr="00ED6EDE" w:rsidRDefault="00D035E8" w:rsidP="00D035E8">
            <w:pPr>
              <w:jc w:val="center"/>
              <w:rPr>
                <w:rFonts w:ascii="Arial Narrow" w:hAnsi="Arial Narrow"/>
                <w:sz w:val="20"/>
                <w:szCs w:val="20"/>
              </w:rPr>
            </w:pPr>
          </w:p>
        </w:tc>
        <w:tc>
          <w:tcPr>
            <w:tcW w:w="4456" w:type="pct"/>
            <w:vAlign w:val="center"/>
          </w:tcPr>
          <w:p w14:paraId="4474AF22" w14:textId="5AA5AD2F" w:rsidR="00D035E8" w:rsidRPr="00ED6EDE" w:rsidRDefault="00D035E8" w:rsidP="00D035E8">
            <w:pPr>
              <w:rPr>
                <w:rFonts w:ascii="Arial Narrow" w:hAnsi="Arial Narrow"/>
                <w:b/>
                <w:bCs/>
                <w:sz w:val="20"/>
                <w:szCs w:val="20"/>
              </w:rPr>
            </w:pPr>
            <w:r>
              <w:rPr>
                <w:rFonts w:ascii="Arial Narrow" w:hAnsi="Arial Narrow"/>
                <w:sz w:val="20"/>
                <w:szCs w:val="20"/>
              </w:rPr>
              <w:t xml:space="preserve">Patient must not have received prior treatment with </w:t>
            </w:r>
            <w:r w:rsidR="008519DC">
              <w:rPr>
                <w:rFonts w:ascii="Arial Narrow" w:hAnsi="Arial Narrow"/>
                <w:sz w:val="20"/>
                <w:szCs w:val="20"/>
              </w:rPr>
              <w:t xml:space="preserve">a </w:t>
            </w:r>
            <w:r w:rsidRPr="00ED6EDE">
              <w:rPr>
                <w:rFonts w:ascii="Arial Narrow" w:hAnsi="Arial Narrow"/>
                <w:sz w:val="20"/>
                <w:szCs w:val="20"/>
              </w:rPr>
              <w:t>programmed cell death-1 (PD-1) inhibitor</w:t>
            </w:r>
            <w:r>
              <w:rPr>
                <w:rFonts w:ascii="Arial Narrow" w:hAnsi="Arial Narrow"/>
                <w:sz w:val="20"/>
                <w:szCs w:val="20"/>
              </w:rPr>
              <w:t xml:space="preserve"> </w:t>
            </w:r>
            <w:r w:rsidR="008519DC">
              <w:rPr>
                <w:rFonts w:ascii="Arial Narrow" w:hAnsi="Arial Narrow"/>
                <w:sz w:val="20"/>
                <w:szCs w:val="20"/>
              </w:rPr>
              <w:t>or</w:t>
            </w:r>
            <w:r w:rsidR="0030377A">
              <w:rPr>
                <w:rFonts w:ascii="Arial Narrow" w:hAnsi="Arial Narrow"/>
                <w:sz w:val="20"/>
                <w:szCs w:val="20"/>
              </w:rPr>
              <w:t xml:space="preserve"> </w:t>
            </w:r>
            <w:r w:rsidRPr="00ED6EDE">
              <w:rPr>
                <w:rFonts w:ascii="Arial Narrow" w:hAnsi="Arial Narrow"/>
                <w:sz w:val="20"/>
                <w:szCs w:val="20"/>
              </w:rPr>
              <w:t xml:space="preserve">programmed cell death ligand-1 (PD-L1) inhibitor for </w:t>
            </w:r>
            <w:r>
              <w:rPr>
                <w:rFonts w:ascii="Arial Narrow" w:hAnsi="Arial Narrow"/>
                <w:sz w:val="20"/>
                <w:szCs w:val="20"/>
              </w:rPr>
              <w:t>this PBS indication</w:t>
            </w:r>
          </w:p>
        </w:tc>
      </w:tr>
      <w:tr w:rsidR="005654A0" w:rsidRPr="00ED6EDE" w14:paraId="38E1C92F" w14:textId="77777777" w:rsidTr="005654A0">
        <w:tc>
          <w:tcPr>
            <w:tcW w:w="544" w:type="pct"/>
            <w:vAlign w:val="center"/>
          </w:tcPr>
          <w:p w14:paraId="31B5F163" w14:textId="41D3BF8F" w:rsidR="005654A0" w:rsidRPr="00ED6EDE" w:rsidRDefault="005654A0" w:rsidP="005654A0">
            <w:pPr>
              <w:jc w:val="center"/>
              <w:rPr>
                <w:rFonts w:ascii="Arial Narrow" w:hAnsi="Arial Narrow"/>
                <w:sz w:val="20"/>
                <w:szCs w:val="20"/>
              </w:rPr>
            </w:pPr>
          </w:p>
        </w:tc>
        <w:tc>
          <w:tcPr>
            <w:tcW w:w="4456" w:type="pct"/>
            <w:vAlign w:val="center"/>
            <w:hideMark/>
          </w:tcPr>
          <w:p w14:paraId="2BFA3576"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7D4462B6" w14:textId="77777777" w:rsidTr="005654A0">
        <w:tc>
          <w:tcPr>
            <w:tcW w:w="544" w:type="pct"/>
            <w:vAlign w:val="center"/>
          </w:tcPr>
          <w:p w14:paraId="48EFD755" w14:textId="7368B341" w:rsidR="005654A0" w:rsidRPr="00ED6EDE" w:rsidRDefault="005654A0" w:rsidP="005654A0">
            <w:pPr>
              <w:jc w:val="center"/>
              <w:rPr>
                <w:rFonts w:ascii="Arial Narrow" w:hAnsi="Arial Narrow"/>
                <w:sz w:val="20"/>
                <w:szCs w:val="20"/>
              </w:rPr>
            </w:pPr>
          </w:p>
        </w:tc>
        <w:tc>
          <w:tcPr>
            <w:tcW w:w="4456" w:type="pct"/>
            <w:vAlign w:val="center"/>
            <w:hideMark/>
          </w:tcPr>
          <w:p w14:paraId="3424A7C1" w14:textId="09DE39C5" w:rsidR="005654A0" w:rsidRPr="00ED6EDE" w:rsidRDefault="00D035E8" w:rsidP="005654A0">
            <w:pPr>
              <w:rPr>
                <w:rFonts w:ascii="Arial Narrow" w:hAnsi="Arial Narrow"/>
                <w:sz w:val="20"/>
                <w:szCs w:val="20"/>
              </w:rPr>
            </w:pPr>
            <w:r w:rsidRPr="00A63014">
              <w:rPr>
                <w:rFonts w:ascii="Arial Narrow" w:hAnsi="Arial Narrow"/>
                <w:iCs/>
                <w:sz w:val="20"/>
                <w:szCs w:val="20"/>
              </w:rPr>
              <w:t>Patient must have a World Health Organisation (WHO) Eastern Cooperative Oncology Group (ECOG) performance status score of no higher than 1 prior to treatment initiation</w:t>
            </w:r>
            <w:r>
              <w:rPr>
                <w:rFonts w:ascii="Arial Narrow" w:hAnsi="Arial Narrow"/>
                <w:iCs/>
                <w:sz w:val="20"/>
                <w:szCs w:val="20"/>
              </w:rPr>
              <w:t xml:space="preserve"> </w:t>
            </w:r>
          </w:p>
        </w:tc>
      </w:tr>
      <w:tr w:rsidR="005654A0" w:rsidRPr="00ED6EDE" w14:paraId="573A89D7" w14:textId="77777777" w:rsidTr="005654A0">
        <w:tc>
          <w:tcPr>
            <w:tcW w:w="544" w:type="pct"/>
            <w:vAlign w:val="center"/>
          </w:tcPr>
          <w:p w14:paraId="438BEAE2" w14:textId="77777777" w:rsidR="005654A0" w:rsidRPr="00ED6EDE" w:rsidRDefault="005654A0" w:rsidP="005654A0">
            <w:pPr>
              <w:jc w:val="center"/>
              <w:rPr>
                <w:rFonts w:ascii="Arial Narrow" w:hAnsi="Arial Narrow"/>
                <w:sz w:val="20"/>
                <w:szCs w:val="20"/>
              </w:rPr>
            </w:pPr>
          </w:p>
        </w:tc>
        <w:tc>
          <w:tcPr>
            <w:tcW w:w="4456" w:type="pct"/>
            <w:vAlign w:val="center"/>
          </w:tcPr>
          <w:p w14:paraId="69BEC939" w14:textId="77777777" w:rsidR="005654A0" w:rsidRPr="00ED6EDE" w:rsidRDefault="005654A0" w:rsidP="005654A0">
            <w:pPr>
              <w:rPr>
                <w:rFonts w:ascii="Arial Narrow" w:hAnsi="Arial Narrow"/>
                <w:b/>
                <w:sz w:val="20"/>
                <w:szCs w:val="20"/>
              </w:rPr>
            </w:pPr>
            <w:r w:rsidRPr="00ED6EDE">
              <w:rPr>
                <w:rFonts w:ascii="Arial Narrow" w:hAnsi="Arial Narrow"/>
                <w:b/>
                <w:sz w:val="20"/>
                <w:szCs w:val="20"/>
              </w:rPr>
              <w:t>AND</w:t>
            </w:r>
          </w:p>
        </w:tc>
      </w:tr>
      <w:tr w:rsidR="005654A0" w:rsidRPr="00ED6EDE" w14:paraId="48A5B2BA" w14:textId="77777777" w:rsidTr="005654A0">
        <w:tc>
          <w:tcPr>
            <w:tcW w:w="544" w:type="pct"/>
            <w:vAlign w:val="center"/>
          </w:tcPr>
          <w:p w14:paraId="7BC6D9CA" w14:textId="77777777" w:rsidR="005654A0" w:rsidRPr="00ED6EDE" w:rsidRDefault="005654A0" w:rsidP="005654A0">
            <w:pPr>
              <w:jc w:val="center"/>
              <w:rPr>
                <w:rFonts w:ascii="Arial Narrow" w:hAnsi="Arial Narrow"/>
                <w:sz w:val="20"/>
                <w:szCs w:val="20"/>
              </w:rPr>
            </w:pPr>
          </w:p>
        </w:tc>
        <w:tc>
          <w:tcPr>
            <w:tcW w:w="4456" w:type="pct"/>
            <w:vAlign w:val="center"/>
            <w:hideMark/>
          </w:tcPr>
          <w:p w14:paraId="169E0EAD"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 xml:space="preserve">Clinical criteria: </w:t>
            </w:r>
          </w:p>
        </w:tc>
      </w:tr>
      <w:tr w:rsidR="005654A0" w:rsidRPr="00ED6EDE" w14:paraId="43F4997D" w14:textId="77777777" w:rsidTr="005654A0">
        <w:tc>
          <w:tcPr>
            <w:tcW w:w="544" w:type="pct"/>
            <w:vAlign w:val="center"/>
          </w:tcPr>
          <w:p w14:paraId="17C66609" w14:textId="12B1AA72" w:rsidR="005654A0" w:rsidRPr="00ED6EDE" w:rsidRDefault="005654A0" w:rsidP="005654A0">
            <w:pPr>
              <w:jc w:val="center"/>
              <w:rPr>
                <w:rFonts w:ascii="Arial Narrow" w:hAnsi="Arial Narrow"/>
                <w:sz w:val="20"/>
                <w:szCs w:val="20"/>
              </w:rPr>
            </w:pPr>
          </w:p>
        </w:tc>
        <w:tc>
          <w:tcPr>
            <w:tcW w:w="4456" w:type="pct"/>
            <w:vAlign w:val="center"/>
            <w:hideMark/>
          </w:tcPr>
          <w:p w14:paraId="3145204B" w14:textId="66217D5E" w:rsidR="005654A0" w:rsidRPr="00ED6EDE" w:rsidRDefault="005654A0" w:rsidP="001678DC">
            <w:pPr>
              <w:rPr>
                <w:rFonts w:ascii="Arial Narrow" w:hAnsi="Arial Narrow"/>
                <w:sz w:val="20"/>
                <w:szCs w:val="20"/>
              </w:rPr>
            </w:pPr>
            <w:r w:rsidRPr="00ED6EDE">
              <w:rPr>
                <w:rFonts w:ascii="Arial Narrow" w:eastAsia="Calibri" w:hAnsi="Arial Narrow" w:cs="Arial Narrow"/>
                <w:iCs/>
                <w:sz w:val="20"/>
                <w:szCs w:val="20"/>
              </w:rPr>
              <w:t>The treatment must be in combination with PBS-subsidised treatment with pembrolizumab for this condition, unless the patient develops an intolerance to pembrolizumab and requires a temporary or permanent discontinuation of pembrolizumab</w:t>
            </w:r>
          </w:p>
        </w:tc>
      </w:tr>
    </w:tbl>
    <w:p w14:paraId="19B12BC0" w14:textId="77777777" w:rsidR="005654A0" w:rsidRPr="00ED6EDE" w:rsidRDefault="005654A0" w:rsidP="005654A0">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8"/>
        <w:gridCol w:w="8049"/>
      </w:tblGrid>
      <w:tr w:rsidR="005654A0" w:rsidRPr="00ED6EDE" w14:paraId="545B52E8" w14:textId="77777777" w:rsidTr="005654A0">
        <w:tc>
          <w:tcPr>
            <w:tcW w:w="537" w:type="pct"/>
            <w:shd w:val="clear" w:color="auto" w:fill="BFBFBF" w:themeFill="background1" w:themeFillShade="BF"/>
            <w:vAlign w:val="center"/>
          </w:tcPr>
          <w:p w14:paraId="3CE82856" w14:textId="77777777" w:rsidR="005654A0" w:rsidRPr="00ED6EDE" w:rsidRDefault="005654A0" w:rsidP="005654A0">
            <w:pPr>
              <w:jc w:val="center"/>
              <w:rPr>
                <w:rFonts w:ascii="Arial Narrow" w:hAnsi="Arial Narrow"/>
                <w:sz w:val="20"/>
                <w:szCs w:val="20"/>
              </w:rPr>
            </w:pPr>
          </w:p>
        </w:tc>
        <w:tc>
          <w:tcPr>
            <w:tcW w:w="4463" w:type="pct"/>
            <w:shd w:val="clear" w:color="auto" w:fill="BFBFBF" w:themeFill="background1" w:themeFillShade="BF"/>
            <w:vAlign w:val="center"/>
            <w:hideMark/>
          </w:tcPr>
          <w:p w14:paraId="31603EF0"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Treatment Phase:</w:t>
            </w:r>
            <w:r w:rsidRPr="00ED6EDE">
              <w:rPr>
                <w:rFonts w:ascii="Arial Narrow" w:hAnsi="Arial Narrow"/>
                <w:sz w:val="20"/>
                <w:szCs w:val="20"/>
              </w:rPr>
              <w:t xml:space="preserve"> </w:t>
            </w:r>
            <w:r w:rsidRPr="00ED6EDE">
              <w:rPr>
                <w:rFonts w:ascii="Arial Narrow" w:hAnsi="Arial Narrow"/>
                <w:bCs/>
                <w:sz w:val="20"/>
                <w:szCs w:val="20"/>
              </w:rPr>
              <w:t>Continuing treatment</w:t>
            </w:r>
          </w:p>
        </w:tc>
      </w:tr>
      <w:tr w:rsidR="005654A0" w:rsidRPr="00ED6EDE" w14:paraId="31532B96" w14:textId="77777777" w:rsidTr="005654A0">
        <w:tc>
          <w:tcPr>
            <w:tcW w:w="537" w:type="pct"/>
            <w:vAlign w:val="center"/>
          </w:tcPr>
          <w:p w14:paraId="4E886054" w14:textId="77777777" w:rsidR="005654A0" w:rsidRPr="00ED6EDE" w:rsidRDefault="005654A0" w:rsidP="005654A0">
            <w:pPr>
              <w:jc w:val="center"/>
              <w:rPr>
                <w:rFonts w:ascii="Arial Narrow" w:hAnsi="Arial Narrow"/>
                <w:sz w:val="20"/>
                <w:szCs w:val="20"/>
              </w:rPr>
            </w:pPr>
          </w:p>
        </w:tc>
        <w:tc>
          <w:tcPr>
            <w:tcW w:w="4463" w:type="pct"/>
            <w:vAlign w:val="center"/>
            <w:hideMark/>
          </w:tcPr>
          <w:p w14:paraId="60E44C62"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78A1EF6E" w14:textId="77777777" w:rsidTr="005654A0">
        <w:tc>
          <w:tcPr>
            <w:tcW w:w="537" w:type="pct"/>
            <w:vAlign w:val="center"/>
          </w:tcPr>
          <w:p w14:paraId="5EBBE71E" w14:textId="44E48532" w:rsidR="005654A0" w:rsidRPr="00ED6EDE" w:rsidRDefault="005654A0" w:rsidP="005654A0">
            <w:pPr>
              <w:jc w:val="center"/>
              <w:rPr>
                <w:rFonts w:ascii="Arial Narrow" w:hAnsi="Arial Narrow"/>
                <w:sz w:val="20"/>
                <w:szCs w:val="20"/>
              </w:rPr>
            </w:pPr>
          </w:p>
        </w:tc>
        <w:tc>
          <w:tcPr>
            <w:tcW w:w="4463" w:type="pct"/>
            <w:vAlign w:val="center"/>
            <w:hideMark/>
          </w:tcPr>
          <w:p w14:paraId="699E4AA1" w14:textId="77777777" w:rsidR="005654A0" w:rsidRPr="00ED6EDE" w:rsidRDefault="005654A0" w:rsidP="005654A0">
            <w:pPr>
              <w:rPr>
                <w:rFonts w:ascii="Arial Narrow" w:hAnsi="Arial Narrow"/>
                <w:sz w:val="20"/>
                <w:szCs w:val="20"/>
              </w:rPr>
            </w:pPr>
            <w:r w:rsidRPr="00ED6EDE">
              <w:rPr>
                <w:rFonts w:ascii="Arial Narrow" w:hAnsi="Arial Narrow"/>
                <w:sz w:val="20"/>
                <w:szCs w:val="20"/>
              </w:rPr>
              <w:t>Patient must have previously received PBS-subsidised treatment with this drug for this condition</w:t>
            </w:r>
          </w:p>
        </w:tc>
      </w:tr>
      <w:tr w:rsidR="005654A0" w:rsidRPr="00ED6EDE" w14:paraId="77BAECE4" w14:textId="77777777" w:rsidTr="005654A0">
        <w:tc>
          <w:tcPr>
            <w:tcW w:w="537" w:type="pct"/>
            <w:vAlign w:val="center"/>
          </w:tcPr>
          <w:p w14:paraId="776B5335" w14:textId="77777777" w:rsidR="005654A0" w:rsidRPr="00ED6EDE" w:rsidRDefault="005654A0" w:rsidP="005654A0">
            <w:pPr>
              <w:jc w:val="center"/>
              <w:rPr>
                <w:rFonts w:ascii="Arial Narrow" w:hAnsi="Arial Narrow"/>
                <w:sz w:val="20"/>
                <w:szCs w:val="20"/>
              </w:rPr>
            </w:pPr>
          </w:p>
        </w:tc>
        <w:tc>
          <w:tcPr>
            <w:tcW w:w="4463" w:type="pct"/>
            <w:vAlign w:val="center"/>
          </w:tcPr>
          <w:p w14:paraId="6B640905"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5654A0" w:rsidRPr="00ED6EDE" w14:paraId="702BA52A" w14:textId="77777777" w:rsidTr="005654A0">
        <w:tc>
          <w:tcPr>
            <w:tcW w:w="537" w:type="pct"/>
            <w:vAlign w:val="center"/>
          </w:tcPr>
          <w:p w14:paraId="591ECC34" w14:textId="0DD6A855" w:rsidR="005654A0" w:rsidRPr="00ED6EDE" w:rsidRDefault="005654A0" w:rsidP="005654A0">
            <w:pPr>
              <w:jc w:val="center"/>
              <w:rPr>
                <w:rFonts w:ascii="Arial Narrow" w:hAnsi="Arial Narrow"/>
                <w:sz w:val="20"/>
                <w:szCs w:val="20"/>
              </w:rPr>
            </w:pPr>
          </w:p>
        </w:tc>
        <w:tc>
          <w:tcPr>
            <w:tcW w:w="4463" w:type="pct"/>
            <w:vAlign w:val="center"/>
          </w:tcPr>
          <w:p w14:paraId="0D8CDDF5"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67B3DE25" w14:textId="77777777" w:rsidTr="005654A0">
        <w:tc>
          <w:tcPr>
            <w:tcW w:w="537" w:type="pct"/>
            <w:vAlign w:val="center"/>
          </w:tcPr>
          <w:p w14:paraId="556C400E" w14:textId="7F047E32" w:rsidR="005654A0" w:rsidRPr="00ED6EDE" w:rsidRDefault="005654A0" w:rsidP="005654A0">
            <w:pPr>
              <w:jc w:val="center"/>
              <w:rPr>
                <w:rFonts w:ascii="Arial Narrow" w:hAnsi="Arial Narrow"/>
                <w:sz w:val="20"/>
                <w:szCs w:val="20"/>
              </w:rPr>
            </w:pPr>
          </w:p>
        </w:tc>
        <w:tc>
          <w:tcPr>
            <w:tcW w:w="4463" w:type="pct"/>
            <w:vAlign w:val="center"/>
          </w:tcPr>
          <w:p w14:paraId="34E24668" w14:textId="024E4B0A" w:rsidR="005654A0" w:rsidRPr="00ED6EDE" w:rsidRDefault="005654A0" w:rsidP="006366B0">
            <w:pPr>
              <w:rPr>
                <w:rFonts w:ascii="Arial Narrow" w:hAnsi="Arial Narrow"/>
                <w:b/>
                <w:bCs/>
                <w:sz w:val="20"/>
                <w:szCs w:val="20"/>
              </w:rPr>
            </w:pPr>
            <w:r w:rsidRPr="00ED6EDE">
              <w:rPr>
                <w:rFonts w:ascii="Arial Narrow" w:hAnsi="Arial Narrow"/>
                <w:sz w:val="20"/>
                <w:szCs w:val="20"/>
              </w:rPr>
              <w:t xml:space="preserve">Patient must not have </w:t>
            </w:r>
            <w:r w:rsidRPr="00ED6EDE">
              <w:rPr>
                <w:rFonts w:ascii="Arial Narrow" w:hAnsi="Arial Narrow"/>
                <w:iCs/>
                <w:sz w:val="20"/>
                <w:szCs w:val="20"/>
              </w:rPr>
              <w:t>developed</w:t>
            </w:r>
            <w:r w:rsidRPr="00ED6EDE">
              <w:rPr>
                <w:rFonts w:ascii="Arial Narrow" w:hAnsi="Arial Narrow"/>
                <w:sz w:val="20"/>
                <w:szCs w:val="20"/>
              </w:rPr>
              <w:t xml:space="preserve"> disease </w:t>
            </w:r>
            <w:r w:rsidRPr="00ED6EDE">
              <w:rPr>
                <w:rFonts w:ascii="Arial Narrow" w:hAnsi="Arial Narrow"/>
                <w:iCs/>
                <w:sz w:val="20"/>
                <w:szCs w:val="20"/>
              </w:rPr>
              <w:t>progression</w:t>
            </w:r>
            <w:r w:rsidRPr="00ED6EDE">
              <w:rPr>
                <w:rFonts w:ascii="Arial Narrow" w:hAnsi="Arial Narrow"/>
                <w:sz w:val="20"/>
                <w:szCs w:val="20"/>
              </w:rPr>
              <w:t xml:space="preserve"> while receiving PBS-subsidised treatment with this drug for this condition.</w:t>
            </w:r>
          </w:p>
        </w:tc>
      </w:tr>
      <w:tr w:rsidR="005654A0" w:rsidRPr="00ED6EDE" w14:paraId="16F7F921" w14:textId="77777777" w:rsidTr="005654A0">
        <w:tc>
          <w:tcPr>
            <w:tcW w:w="537" w:type="pct"/>
            <w:vAlign w:val="center"/>
          </w:tcPr>
          <w:p w14:paraId="7A5E0D86" w14:textId="77777777" w:rsidR="005654A0" w:rsidRPr="00ED6EDE" w:rsidRDefault="005654A0" w:rsidP="005654A0">
            <w:pPr>
              <w:jc w:val="center"/>
              <w:rPr>
                <w:rFonts w:ascii="Arial Narrow" w:hAnsi="Arial Narrow"/>
                <w:sz w:val="20"/>
                <w:szCs w:val="20"/>
              </w:rPr>
            </w:pPr>
          </w:p>
        </w:tc>
        <w:tc>
          <w:tcPr>
            <w:tcW w:w="4463" w:type="pct"/>
            <w:vAlign w:val="center"/>
          </w:tcPr>
          <w:p w14:paraId="0539D6F4" w14:textId="77777777" w:rsidR="005654A0" w:rsidRPr="00ED6EDE" w:rsidRDefault="005654A0" w:rsidP="005654A0">
            <w:pPr>
              <w:rPr>
                <w:rFonts w:ascii="Arial Narrow" w:hAnsi="Arial Narrow" w:cs="Calibri"/>
                <w:iCs/>
                <w:sz w:val="20"/>
                <w:szCs w:val="20"/>
              </w:rPr>
            </w:pPr>
            <w:r w:rsidRPr="00ED6EDE">
              <w:rPr>
                <w:rFonts w:ascii="Arial Narrow" w:hAnsi="Arial Narrow"/>
                <w:b/>
                <w:bCs/>
                <w:sz w:val="20"/>
                <w:szCs w:val="20"/>
              </w:rPr>
              <w:t>AND</w:t>
            </w:r>
          </w:p>
        </w:tc>
      </w:tr>
      <w:tr w:rsidR="005654A0" w:rsidRPr="00ED6EDE" w14:paraId="25A11DDB" w14:textId="77777777" w:rsidTr="005654A0">
        <w:tc>
          <w:tcPr>
            <w:tcW w:w="537" w:type="pct"/>
            <w:vAlign w:val="center"/>
          </w:tcPr>
          <w:p w14:paraId="421D1A17" w14:textId="77777777" w:rsidR="005654A0" w:rsidRPr="00ED6EDE" w:rsidRDefault="005654A0" w:rsidP="005654A0">
            <w:pPr>
              <w:jc w:val="center"/>
              <w:rPr>
                <w:rFonts w:ascii="Arial Narrow" w:hAnsi="Arial Narrow"/>
                <w:sz w:val="20"/>
                <w:szCs w:val="20"/>
              </w:rPr>
            </w:pPr>
          </w:p>
        </w:tc>
        <w:tc>
          <w:tcPr>
            <w:tcW w:w="4463" w:type="pct"/>
            <w:vAlign w:val="center"/>
          </w:tcPr>
          <w:p w14:paraId="717EB98C"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3B9F8AA4" w14:textId="77777777" w:rsidTr="005654A0">
        <w:tc>
          <w:tcPr>
            <w:tcW w:w="537" w:type="pct"/>
            <w:vAlign w:val="center"/>
          </w:tcPr>
          <w:p w14:paraId="310326E9" w14:textId="6A6A42A4" w:rsidR="005654A0" w:rsidRPr="00ED6EDE" w:rsidRDefault="005654A0" w:rsidP="005654A0">
            <w:pPr>
              <w:jc w:val="center"/>
              <w:rPr>
                <w:rFonts w:ascii="Arial Narrow" w:hAnsi="Arial Narrow"/>
                <w:sz w:val="20"/>
                <w:szCs w:val="20"/>
              </w:rPr>
            </w:pPr>
          </w:p>
        </w:tc>
        <w:tc>
          <w:tcPr>
            <w:tcW w:w="4463" w:type="pct"/>
            <w:vAlign w:val="center"/>
            <w:hideMark/>
          </w:tcPr>
          <w:p w14:paraId="60F89601" w14:textId="4947520A" w:rsidR="005654A0" w:rsidRPr="00ED6EDE" w:rsidRDefault="00D035E8" w:rsidP="002026D6">
            <w:pPr>
              <w:rPr>
                <w:rFonts w:ascii="Arial Narrow" w:hAnsi="Arial Narrow"/>
                <w:sz w:val="20"/>
                <w:szCs w:val="20"/>
              </w:rPr>
            </w:pPr>
            <w:r w:rsidRPr="00ED6EDE">
              <w:rPr>
                <w:rFonts w:ascii="Arial Narrow" w:hAnsi="Arial Narrow"/>
                <w:bCs/>
                <w:sz w:val="20"/>
                <w:szCs w:val="20"/>
              </w:rPr>
              <w:t xml:space="preserve">The treatment </w:t>
            </w:r>
            <w:r>
              <w:rPr>
                <w:rFonts w:ascii="Arial Narrow" w:hAnsi="Arial Narrow"/>
                <w:bCs/>
                <w:sz w:val="20"/>
                <w:szCs w:val="20"/>
              </w:rPr>
              <w:t xml:space="preserve">must be </w:t>
            </w:r>
            <w:r w:rsidRPr="00ED6EDE">
              <w:rPr>
                <w:rFonts w:ascii="Arial Narrow" w:hAnsi="Arial Narrow"/>
                <w:bCs/>
                <w:sz w:val="20"/>
                <w:szCs w:val="20"/>
              </w:rPr>
              <w:t xml:space="preserve">in combination with PBS subsidised pembrolizumab for this indication, unless the patient </w:t>
            </w:r>
            <w:r w:rsidRPr="00ED6EDE">
              <w:rPr>
                <w:rFonts w:ascii="Arial Narrow" w:hAnsi="Arial Narrow"/>
                <w:bCs/>
                <w:iCs/>
                <w:sz w:val="20"/>
                <w:szCs w:val="20"/>
              </w:rPr>
              <w:t>(i)</w:t>
            </w:r>
            <w:r w:rsidRPr="00ED6EDE">
              <w:rPr>
                <w:rFonts w:ascii="Arial Narrow" w:hAnsi="Arial Narrow"/>
                <w:bCs/>
                <w:sz w:val="20"/>
                <w:szCs w:val="20"/>
              </w:rPr>
              <w:t xml:space="preserve"> has completed the equivalent of 35</w:t>
            </w:r>
            <w:r w:rsidR="004A4D1D">
              <w:rPr>
                <w:rFonts w:ascii="Arial Narrow" w:hAnsi="Arial Narrow"/>
                <w:bCs/>
                <w:sz w:val="20"/>
                <w:szCs w:val="20"/>
              </w:rPr>
              <w:t xml:space="preserve"> </w:t>
            </w:r>
            <w:r w:rsidR="002026D6">
              <w:rPr>
                <w:rFonts w:ascii="Arial Narrow" w:hAnsi="Arial Narrow"/>
                <w:bCs/>
                <w:sz w:val="20"/>
                <w:szCs w:val="20"/>
              </w:rPr>
              <w:t>dos</w:t>
            </w:r>
            <w:r w:rsidRPr="00ED6EDE">
              <w:rPr>
                <w:rFonts w:ascii="Arial Narrow" w:hAnsi="Arial Narrow"/>
                <w:bCs/>
                <w:sz w:val="20"/>
                <w:szCs w:val="20"/>
              </w:rPr>
              <w:t>es of</w:t>
            </w:r>
            <w:r w:rsidR="004A4D1D">
              <w:rPr>
                <w:rFonts w:ascii="Arial Narrow" w:hAnsi="Arial Narrow"/>
                <w:bCs/>
                <w:sz w:val="20"/>
                <w:szCs w:val="20"/>
              </w:rPr>
              <w:t xml:space="preserve"> 3 weekly regimen of</w:t>
            </w:r>
            <w:r w:rsidRPr="00ED6EDE">
              <w:rPr>
                <w:rFonts w:ascii="Arial Narrow" w:hAnsi="Arial Narrow"/>
                <w:bCs/>
                <w:sz w:val="20"/>
                <w:szCs w:val="20"/>
              </w:rPr>
              <w:t xml:space="preserve"> pembrolizumab</w:t>
            </w:r>
            <w:r w:rsidRPr="00ED6EDE">
              <w:rPr>
                <w:rFonts w:ascii="Arial Narrow" w:hAnsi="Arial Narrow"/>
                <w:bCs/>
                <w:iCs/>
                <w:sz w:val="20"/>
                <w:szCs w:val="20"/>
              </w:rPr>
              <w:t>, or (ii)</w:t>
            </w:r>
            <w:r w:rsidRPr="00ED6EDE">
              <w:rPr>
                <w:rFonts w:ascii="Arial Narrow" w:hAnsi="Arial Narrow"/>
                <w:bCs/>
                <w:sz w:val="20"/>
                <w:szCs w:val="20"/>
              </w:rPr>
              <w:t xml:space="preserve"> develops an intolerance to pembrolizumab and requires a temporary or permanent discontinuation of pembrolizumab</w:t>
            </w:r>
          </w:p>
        </w:tc>
      </w:tr>
    </w:tbl>
    <w:p w14:paraId="72968D17" w14:textId="77777777" w:rsidR="005654A0" w:rsidRPr="00ED6EDE" w:rsidRDefault="005654A0" w:rsidP="005654A0">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8"/>
        <w:gridCol w:w="13"/>
        <w:gridCol w:w="8036"/>
      </w:tblGrid>
      <w:tr w:rsidR="005654A0" w:rsidRPr="00ED6EDE" w14:paraId="061FCA47" w14:textId="77777777" w:rsidTr="005654A0">
        <w:tc>
          <w:tcPr>
            <w:tcW w:w="544" w:type="pct"/>
            <w:gridSpan w:val="2"/>
            <w:shd w:val="clear" w:color="auto" w:fill="BFBFBF" w:themeFill="background1" w:themeFillShade="BF"/>
            <w:vAlign w:val="center"/>
          </w:tcPr>
          <w:p w14:paraId="14AFB18E" w14:textId="77777777" w:rsidR="005654A0" w:rsidRPr="00ED6EDE" w:rsidRDefault="005654A0" w:rsidP="005654A0">
            <w:pPr>
              <w:jc w:val="center"/>
              <w:rPr>
                <w:rFonts w:ascii="Arial Narrow" w:hAnsi="Arial Narrow"/>
                <w:sz w:val="20"/>
                <w:szCs w:val="20"/>
              </w:rPr>
            </w:pPr>
          </w:p>
        </w:tc>
        <w:tc>
          <w:tcPr>
            <w:tcW w:w="4456" w:type="pct"/>
            <w:shd w:val="clear" w:color="auto" w:fill="BFBFBF" w:themeFill="background1" w:themeFillShade="BF"/>
            <w:vAlign w:val="center"/>
            <w:hideMark/>
          </w:tcPr>
          <w:p w14:paraId="333B545A" w14:textId="463654FE" w:rsidR="005654A0" w:rsidRPr="00ED6EDE" w:rsidRDefault="005654A0" w:rsidP="006366B0">
            <w:pPr>
              <w:rPr>
                <w:rFonts w:ascii="Arial Narrow" w:hAnsi="Arial Narrow"/>
                <w:sz w:val="20"/>
                <w:szCs w:val="20"/>
              </w:rPr>
            </w:pPr>
            <w:r w:rsidRPr="00ED6EDE">
              <w:rPr>
                <w:rFonts w:ascii="Arial Narrow" w:hAnsi="Arial Narrow"/>
                <w:b/>
                <w:bCs/>
                <w:sz w:val="20"/>
                <w:szCs w:val="20"/>
              </w:rPr>
              <w:t>Treatment Phase:</w:t>
            </w:r>
            <w:r w:rsidRPr="00ED6EDE">
              <w:rPr>
                <w:rFonts w:ascii="Arial Narrow" w:hAnsi="Arial Narrow"/>
                <w:sz w:val="20"/>
                <w:szCs w:val="20"/>
              </w:rPr>
              <w:t xml:space="preserve"> Transitioning from non-PBS to PBS subsided treatment – ‘Grandfather’ treatment</w:t>
            </w:r>
          </w:p>
        </w:tc>
      </w:tr>
      <w:tr w:rsidR="005654A0" w:rsidRPr="00ED6EDE" w14:paraId="16C28C47" w14:textId="77777777" w:rsidTr="005654A0">
        <w:tc>
          <w:tcPr>
            <w:tcW w:w="544" w:type="pct"/>
            <w:gridSpan w:val="2"/>
            <w:vAlign w:val="center"/>
          </w:tcPr>
          <w:p w14:paraId="0C9FC782" w14:textId="77777777" w:rsidR="005654A0" w:rsidRPr="00ED6EDE" w:rsidRDefault="005654A0" w:rsidP="005654A0">
            <w:pPr>
              <w:jc w:val="center"/>
              <w:rPr>
                <w:rFonts w:ascii="Arial Narrow" w:hAnsi="Arial Narrow"/>
                <w:sz w:val="20"/>
                <w:szCs w:val="20"/>
              </w:rPr>
            </w:pPr>
          </w:p>
        </w:tc>
        <w:tc>
          <w:tcPr>
            <w:tcW w:w="4456" w:type="pct"/>
            <w:vAlign w:val="center"/>
            <w:hideMark/>
          </w:tcPr>
          <w:p w14:paraId="68B5852A"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0714CE1C" w14:textId="77777777" w:rsidTr="005654A0">
        <w:tc>
          <w:tcPr>
            <w:tcW w:w="544" w:type="pct"/>
            <w:gridSpan w:val="2"/>
            <w:vAlign w:val="center"/>
          </w:tcPr>
          <w:p w14:paraId="408C4879" w14:textId="098B7ECC" w:rsidR="005654A0" w:rsidRPr="00ED6EDE" w:rsidRDefault="005654A0" w:rsidP="005654A0">
            <w:pPr>
              <w:jc w:val="center"/>
              <w:rPr>
                <w:rFonts w:ascii="Arial Narrow" w:hAnsi="Arial Narrow"/>
                <w:sz w:val="20"/>
                <w:szCs w:val="20"/>
              </w:rPr>
            </w:pPr>
          </w:p>
        </w:tc>
        <w:tc>
          <w:tcPr>
            <w:tcW w:w="4456" w:type="pct"/>
            <w:vAlign w:val="center"/>
            <w:hideMark/>
          </w:tcPr>
          <w:p w14:paraId="60C52B23" w14:textId="77777777" w:rsidR="005654A0" w:rsidRPr="00ED6EDE" w:rsidRDefault="005654A0" w:rsidP="005654A0">
            <w:pPr>
              <w:rPr>
                <w:rFonts w:ascii="Arial Narrow" w:hAnsi="Arial Narrow"/>
                <w:sz w:val="20"/>
                <w:szCs w:val="20"/>
              </w:rPr>
            </w:pPr>
            <w:r w:rsidRPr="00ED6EDE">
              <w:rPr>
                <w:rFonts w:ascii="Arial Narrow" w:hAnsi="Arial Narrow"/>
                <w:sz w:val="20"/>
                <w:szCs w:val="20"/>
              </w:rPr>
              <w:t>Patient must have previously received non-PBS subsidised treatment with this drug for this condition prior to [listing date]</w:t>
            </w:r>
          </w:p>
        </w:tc>
      </w:tr>
      <w:tr w:rsidR="005654A0" w:rsidRPr="00ED6EDE" w14:paraId="7BC00E67" w14:textId="77777777" w:rsidTr="005654A0">
        <w:tc>
          <w:tcPr>
            <w:tcW w:w="544" w:type="pct"/>
            <w:gridSpan w:val="2"/>
            <w:vAlign w:val="center"/>
          </w:tcPr>
          <w:p w14:paraId="4433CD55" w14:textId="77777777" w:rsidR="005654A0" w:rsidRPr="00ED6EDE" w:rsidRDefault="005654A0" w:rsidP="005654A0">
            <w:pPr>
              <w:jc w:val="center"/>
              <w:rPr>
                <w:rFonts w:ascii="Arial Narrow" w:hAnsi="Arial Narrow"/>
                <w:sz w:val="20"/>
                <w:szCs w:val="20"/>
              </w:rPr>
            </w:pPr>
          </w:p>
        </w:tc>
        <w:tc>
          <w:tcPr>
            <w:tcW w:w="4456" w:type="pct"/>
            <w:vAlign w:val="center"/>
          </w:tcPr>
          <w:p w14:paraId="12590275"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5654A0" w:rsidRPr="00ED6EDE" w14:paraId="6E28439A" w14:textId="77777777" w:rsidTr="005654A0">
        <w:tc>
          <w:tcPr>
            <w:tcW w:w="544" w:type="pct"/>
            <w:gridSpan w:val="2"/>
            <w:vAlign w:val="center"/>
          </w:tcPr>
          <w:p w14:paraId="11F585B3" w14:textId="77777777" w:rsidR="005654A0" w:rsidRPr="00ED6EDE" w:rsidRDefault="005654A0" w:rsidP="005654A0">
            <w:pPr>
              <w:jc w:val="center"/>
              <w:rPr>
                <w:rFonts w:ascii="Arial Narrow" w:hAnsi="Arial Narrow"/>
                <w:sz w:val="20"/>
                <w:szCs w:val="20"/>
              </w:rPr>
            </w:pPr>
          </w:p>
        </w:tc>
        <w:tc>
          <w:tcPr>
            <w:tcW w:w="4456" w:type="pct"/>
            <w:vAlign w:val="center"/>
          </w:tcPr>
          <w:p w14:paraId="1316D64F"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45448FFB" w14:textId="77777777" w:rsidTr="005654A0">
        <w:tc>
          <w:tcPr>
            <w:tcW w:w="544" w:type="pct"/>
            <w:gridSpan w:val="2"/>
            <w:vAlign w:val="center"/>
          </w:tcPr>
          <w:p w14:paraId="19B65FE9" w14:textId="478C1D31" w:rsidR="005654A0" w:rsidRPr="00ED6EDE" w:rsidRDefault="005654A0" w:rsidP="005654A0">
            <w:pPr>
              <w:jc w:val="center"/>
              <w:rPr>
                <w:rFonts w:ascii="Arial Narrow" w:hAnsi="Arial Narrow"/>
                <w:sz w:val="20"/>
                <w:szCs w:val="20"/>
              </w:rPr>
            </w:pPr>
          </w:p>
        </w:tc>
        <w:tc>
          <w:tcPr>
            <w:tcW w:w="4456" w:type="pct"/>
            <w:vAlign w:val="center"/>
          </w:tcPr>
          <w:p w14:paraId="048A35F4" w14:textId="0F1A2701" w:rsidR="005654A0" w:rsidRPr="00ED6EDE" w:rsidRDefault="00554FF8" w:rsidP="005654A0">
            <w:pPr>
              <w:keepNext/>
              <w:keepLines/>
              <w:rPr>
                <w:rFonts w:ascii="Arial Narrow" w:hAnsi="Arial Narrow"/>
                <w:sz w:val="20"/>
                <w:szCs w:val="20"/>
              </w:rPr>
            </w:pPr>
            <w:r w:rsidRPr="00554FF8">
              <w:rPr>
                <w:rFonts w:ascii="Arial Narrow" w:hAnsi="Arial Narrow"/>
                <w:sz w:val="20"/>
                <w:szCs w:val="20"/>
              </w:rPr>
              <w:t>Patient must have received a prior platinum-based chemotherapy regimen for this condition</w:t>
            </w:r>
          </w:p>
        </w:tc>
      </w:tr>
      <w:tr w:rsidR="005654A0" w:rsidRPr="00ED6EDE" w14:paraId="70D9419F" w14:textId="77777777" w:rsidTr="005654A0">
        <w:tc>
          <w:tcPr>
            <w:tcW w:w="544" w:type="pct"/>
            <w:gridSpan w:val="2"/>
            <w:vAlign w:val="center"/>
          </w:tcPr>
          <w:p w14:paraId="0AA25021" w14:textId="77777777" w:rsidR="005654A0" w:rsidRPr="00ED6EDE" w:rsidRDefault="005654A0" w:rsidP="005654A0">
            <w:pPr>
              <w:jc w:val="center"/>
              <w:rPr>
                <w:rFonts w:ascii="Arial Narrow" w:hAnsi="Arial Narrow"/>
                <w:sz w:val="20"/>
                <w:szCs w:val="20"/>
              </w:rPr>
            </w:pPr>
          </w:p>
        </w:tc>
        <w:tc>
          <w:tcPr>
            <w:tcW w:w="4456" w:type="pct"/>
            <w:vAlign w:val="center"/>
            <w:hideMark/>
          </w:tcPr>
          <w:p w14:paraId="0FE8CBA5"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AND</w:t>
            </w:r>
          </w:p>
        </w:tc>
      </w:tr>
      <w:tr w:rsidR="005654A0" w:rsidRPr="00ED6EDE" w14:paraId="7AAF3AF1" w14:textId="77777777" w:rsidTr="005654A0">
        <w:tc>
          <w:tcPr>
            <w:tcW w:w="544" w:type="pct"/>
            <w:gridSpan w:val="2"/>
            <w:vAlign w:val="center"/>
          </w:tcPr>
          <w:p w14:paraId="59B751F1" w14:textId="77777777" w:rsidR="005654A0" w:rsidRPr="00ED6EDE" w:rsidRDefault="005654A0" w:rsidP="005654A0">
            <w:pPr>
              <w:jc w:val="center"/>
              <w:rPr>
                <w:rFonts w:ascii="Arial Narrow" w:hAnsi="Arial Narrow"/>
                <w:sz w:val="20"/>
                <w:szCs w:val="20"/>
              </w:rPr>
            </w:pPr>
          </w:p>
        </w:tc>
        <w:tc>
          <w:tcPr>
            <w:tcW w:w="4456" w:type="pct"/>
            <w:vAlign w:val="center"/>
            <w:hideMark/>
          </w:tcPr>
          <w:p w14:paraId="68CF7B04"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134A71A6" w14:textId="77777777" w:rsidTr="005654A0">
        <w:tc>
          <w:tcPr>
            <w:tcW w:w="544" w:type="pct"/>
            <w:gridSpan w:val="2"/>
            <w:vAlign w:val="center"/>
          </w:tcPr>
          <w:p w14:paraId="2F751E5F" w14:textId="6548CCC5" w:rsidR="005654A0" w:rsidRPr="00ED6EDE" w:rsidRDefault="005654A0" w:rsidP="005654A0">
            <w:pPr>
              <w:jc w:val="center"/>
              <w:rPr>
                <w:rFonts w:ascii="Arial Narrow" w:hAnsi="Arial Narrow"/>
                <w:sz w:val="20"/>
                <w:szCs w:val="20"/>
              </w:rPr>
            </w:pPr>
          </w:p>
        </w:tc>
        <w:tc>
          <w:tcPr>
            <w:tcW w:w="4456" w:type="pct"/>
            <w:vAlign w:val="center"/>
            <w:hideMark/>
          </w:tcPr>
          <w:p w14:paraId="3B1AEEDD" w14:textId="1F0EBFE1" w:rsidR="005654A0" w:rsidRPr="00ED6EDE" w:rsidRDefault="00D035E8" w:rsidP="005654A0">
            <w:pPr>
              <w:rPr>
                <w:rFonts w:ascii="Arial Narrow" w:hAnsi="Arial Narrow"/>
                <w:sz w:val="20"/>
                <w:szCs w:val="20"/>
              </w:rPr>
            </w:pPr>
            <w:r w:rsidRPr="00ED6EDE">
              <w:rPr>
                <w:rFonts w:ascii="Arial Narrow" w:hAnsi="Arial Narrow"/>
                <w:sz w:val="20"/>
                <w:szCs w:val="20"/>
              </w:rPr>
              <w:t>Patient must not have received prior PBS</w:t>
            </w:r>
            <w:r>
              <w:rPr>
                <w:rFonts w:ascii="Arial Narrow" w:hAnsi="Arial Narrow"/>
                <w:sz w:val="20"/>
                <w:szCs w:val="20"/>
              </w:rPr>
              <w:t>-subsidised</w:t>
            </w:r>
            <w:r w:rsidRPr="00ED6EDE">
              <w:rPr>
                <w:rFonts w:ascii="Arial Narrow" w:hAnsi="Arial Narrow"/>
                <w:sz w:val="20"/>
                <w:szCs w:val="20"/>
              </w:rPr>
              <w:t xml:space="preserve"> treatment with </w:t>
            </w:r>
            <w:r w:rsidR="008519DC">
              <w:rPr>
                <w:rFonts w:ascii="Arial Narrow" w:hAnsi="Arial Narrow"/>
                <w:sz w:val="20"/>
                <w:szCs w:val="20"/>
              </w:rPr>
              <w:t>a</w:t>
            </w:r>
            <w:r w:rsidRPr="00ED6EDE">
              <w:rPr>
                <w:rFonts w:ascii="Arial Narrow" w:hAnsi="Arial Narrow"/>
                <w:sz w:val="20"/>
                <w:szCs w:val="20"/>
              </w:rPr>
              <w:t xml:space="preserve"> </w:t>
            </w:r>
            <w:r>
              <w:rPr>
                <w:rFonts w:ascii="Arial Narrow" w:hAnsi="Arial Narrow"/>
                <w:sz w:val="20"/>
                <w:szCs w:val="20"/>
              </w:rPr>
              <w:t xml:space="preserve"> </w:t>
            </w:r>
            <w:r w:rsidRPr="00ED6EDE">
              <w:rPr>
                <w:rFonts w:ascii="Arial Narrow" w:hAnsi="Arial Narrow"/>
                <w:sz w:val="20"/>
                <w:szCs w:val="20"/>
              </w:rPr>
              <w:t>programmed cell death-1 (PD-1) inhibitor</w:t>
            </w:r>
            <w:r w:rsidR="008738FE">
              <w:rPr>
                <w:rFonts w:ascii="Arial Narrow" w:hAnsi="Arial Narrow"/>
                <w:sz w:val="20"/>
                <w:szCs w:val="20"/>
              </w:rPr>
              <w:t xml:space="preserve"> or</w:t>
            </w:r>
            <w:r>
              <w:rPr>
                <w:rFonts w:ascii="Arial Narrow" w:hAnsi="Arial Narrow"/>
                <w:sz w:val="20"/>
                <w:szCs w:val="20"/>
              </w:rPr>
              <w:t xml:space="preserve"> </w:t>
            </w:r>
            <w:r w:rsidRPr="00ED6EDE">
              <w:rPr>
                <w:rFonts w:ascii="Arial Narrow" w:hAnsi="Arial Narrow"/>
                <w:sz w:val="20"/>
                <w:szCs w:val="20"/>
              </w:rPr>
              <w:t>programmed cell death ligand-1 (PD-L1) inhibitor</w:t>
            </w:r>
            <w:r w:rsidR="008738FE">
              <w:rPr>
                <w:rFonts w:ascii="Arial Narrow" w:hAnsi="Arial Narrow"/>
                <w:sz w:val="20"/>
                <w:szCs w:val="20"/>
              </w:rPr>
              <w:t xml:space="preserve"> or any</w:t>
            </w:r>
            <w:r w:rsidRPr="00ED6EDE">
              <w:rPr>
                <w:rFonts w:ascii="Arial Narrow" w:hAnsi="Arial Narrow"/>
                <w:sz w:val="20"/>
                <w:szCs w:val="20"/>
              </w:rPr>
              <w:t xml:space="preserve"> tyrosine kinase inhibitor for </w:t>
            </w:r>
            <w:r>
              <w:rPr>
                <w:rFonts w:ascii="Arial Narrow" w:hAnsi="Arial Narrow"/>
                <w:sz w:val="20"/>
                <w:szCs w:val="20"/>
              </w:rPr>
              <w:t>this PBS indication</w:t>
            </w:r>
          </w:p>
        </w:tc>
      </w:tr>
      <w:tr w:rsidR="005654A0" w:rsidRPr="00ED6EDE" w14:paraId="3C0D1BC1" w14:textId="77777777" w:rsidTr="005654A0">
        <w:tc>
          <w:tcPr>
            <w:tcW w:w="544" w:type="pct"/>
            <w:gridSpan w:val="2"/>
            <w:vAlign w:val="center"/>
          </w:tcPr>
          <w:p w14:paraId="29F6AD38" w14:textId="77777777" w:rsidR="005654A0" w:rsidRPr="00ED6EDE" w:rsidRDefault="005654A0" w:rsidP="005654A0">
            <w:pPr>
              <w:jc w:val="center"/>
              <w:rPr>
                <w:rFonts w:ascii="Arial Narrow" w:hAnsi="Arial Narrow"/>
                <w:sz w:val="20"/>
                <w:szCs w:val="20"/>
              </w:rPr>
            </w:pPr>
          </w:p>
        </w:tc>
        <w:tc>
          <w:tcPr>
            <w:tcW w:w="4456" w:type="pct"/>
            <w:vAlign w:val="center"/>
          </w:tcPr>
          <w:p w14:paraId="776014DB" w14:textId="77777777" w:rsidR="005654A0" w:rsidRPr="00ED6EDE" w:rsidRDefault="005654A0" w:rsidP="005654A0">
            <w:pPr>
              <w:rPr>
                <w:rFonts w:ascii="Arial Narrow" w:hAnsi="Arial Narrow"/>
                <w:b/>
                <w:bCs/>
                <w:sz w:val="20"/>
                <w:szCs w:val="20"/>
              </w:rPr>
            </w:pPr>
            <w:r w:rsidRPr="00ED6EDE">
              <w:rPr>
                <w:rFonts w:ascii="Arial Narrow" w:hAnsi="Arial Narrow"/>
                <w:b/>
                <w:sz w:val="20"/>
                <w:szCs w:val="20"/>
              </w:rPr>
              <w:t>AND</w:t>
            </w:r>
          </w:p>
        </w:tc>
      </w:tr>
      <w:tr w:rsidR="005654A0" w:rsidRPr="00ED6EDE" w14:paraId="3F1B88B9" w14:textId="77777777" w:rsidTr="005654A0">
        <w:tc>
          <w:tcPr>
            <w:tcW w:w="537" w:type="pct"/>
            <w:vAlign w:val="center"/>
          </w:tcPr>
          <w:p w14:paraId="5D34ED67" w14:textId="34E497F4" w:rsidR="005654A0" w:rsidRPr="00ED6EDE" w:rsidRDefault="005654A0" w:rsidP="005654A0">
            <w:pPr>
              <w:jc w:val="center"/>
              <w:rPr>
                <w:rFonts w:ascii="Arial Narrow" w:hAnsi="Arial Narrow"/>
                <w:sz w:val="20"/>
                <w:szCs w:val="20"/>
              </w:rPr>
            </w:pPr>
          </w:p>
        </w:tc>
        <w:tc>
          <w:tcPr>
            <w:tcW w:w="4463" w:type="pct"/>
            <w:gridSpan w:val="2"/>
            <w:vAlign w:val="center"/>
          </w:tcPr>
          <w:p w14:paraId="528478CF"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Clinical criteria:</w:t>
            </w:r>
          </w:p>
        </w:tc>
      </w:tr>
      <w:tr w:rsidR="005654A0" w:rsidRPr="00ED6EDE" w14:paraId="264E4EA6" w14:textId="77777777" w:rsidTr="005654A0">
        <w:tc>
          <w:tcPr>
            <w:tcW w:w="537" w:type="pct"/>
            <w:vAlign w:val="center"/>
          </w:tcPr>
          <w:p w14:paraId="1E58EDC9" w14:textId="40A6452E" w:rsidR="005654A0" w:rsidRPr="00ED6EDE" w:rsidRDefault="005654A0" w:rsidP="005654A0">
            <w:pPr>
              <w:jc w:val="center"/>
              <w:rPr>
                <w:rFonts w:ascii="Arial Narrow" w:hAnsi="Arial Narrow"/>
                <w:sz w:val="20"/>
                <w:szCs w:val="20"/>
              </w:rPr>
            </w:pPr>
          </w:p>
        </w:tc>
        <w:tc>
          <w:tcPr>
            <w:tcW w:w="4463" w:type="pct"/>
            <w:gridSpan w:val="2"/>
            <w:vAlign w:val="center"/>
          </w:tcPr>
          <w:p w14:paraId="54A703EC" w14:textId="77777777" w:rsidR="005654A0" w:rsidRPr="00ED6EDE" w:rsidRDefault="005654A0" w:rsidP="005654A0">
            <w:pPr>
              <w:rPr>
                <w:rFonts w:ascii="Arial Narrow" w:hAnsi="Arial Narrow"/>
                <w:b/>
                <w:bCs/>
                <w:iCs/>
                <w:sz w:val="20"/>
                <w:szCs w:val="20"/>
              </w:rPr>
            </w:pPr>
            <w:r w:rsidRPr="00ED6EDE">
              <w:rPr>
                <w:rFonts w:ascii="Arial Narrow" w:hAnsi="Arial Narrow"/>
                <w:iCs/>
                <w:sz w:val="20"/>
                <w:szCs w:val="20"/>
              </w:rPr>
              <w:t>Patient must not have developed disease progression while receiving PBS-subsidised treatment with this drug for this condition.</w:t>
            </w:r>
          </w:p>
        </w:tc>
      </w:tr>
      <w:tr w:rsidR="005654A0" w:rsidRPr="00ED6EDE" w14:paraId="6D8CECAC" w14:textId="77777777" w:rsidTr="005654A0">
        <w:tc>
          <w:tcPr>
            <w:tcW w:w="544" w:type="pct"/>
            <w:gridSpan w:val="2"/>
            <w:vAlign w:val="center"/>
          </w:tcPr>
          <w:p w14:paraId="252C0EF2" w14:textId="77777777" w:rsidR="005654A0" w:rsidRPr="00ED6EDE" w:rsidRDefault="005654A0" w:rsidP="005654A0">
            <w:pPr>
              <w:jc w:val="center"/>
              <w:rPr>
                <w:rFonts w:ascii="Arial Narrow" w:hAnsi="Arial Narrow"/>
                <w:sz w:val="20"/>
                <w:szCs w:val="20"/>
              </w:rPr>
            </w:pPr>
          </w:p>
        </w:tc>
        <w:tc>
          <w:tcPr>
            <w:tcW w:w="4456" w:type="pct"/>
            <w:vAlign w:val="center"/>
          </w:tcPr>
          <w:p w14:paraId="26462F2F" w14:textId="77777777" w:rsidR="005654A0" w:rsidRPr="00ED6EDE" w:rsidRDefault="005654A0" w:rsidP="005654A0">
            <w:pPr>
              <w:rPr>
                <w:rFonts w:ascii="Arial Narrow" w:hAnsi="Arial Narrow"/>
                <w:bCs/>
                <w:sz w:val="20"/>
                <w:szCs w:val="20"/>
              </w:rPr>
            </w:pPr>
            <w:r w:rsidRPr="00ED6EDE">
              <w:rPr>
                <w:rFonts w:ascii="Arial Narrow" w:hAnsi="Arial Narrow"/>
                <w:b/>
                <w:bCs/>
                <w:sz w:val="20"/>
                <w:szCs w:val="20"/>
              </w:rPr>
              <w:t>AND</w:t>
            </w:r>
          </w:p>
        </w:tc>
      </w:tr>
      <w:tr w:rsidR="005654A0" w:rsidRPr="00ED6EDE" w14:paraId="7AC3E4C1" w14:textId="77777777" w:rsidTr="005654A0">
        <w:tc>
          <w:tcPr>
            <w:tcW w:w="544" w:type="pct"/>
            <w:gridSpan w:val="2"/>
            <w:vAlign w:val="center"/>
          </w:tcPr>
          <w:p w14:paraId="52607114" w14:textId="45B8D1DF" w:rsidR="005654A0" w:rsidRPr="00ED6EDE" w:rsidRDefault="005654A0" w:rsidP="005654A0">
            <w:pPr>
              <w:jc w:val="center"/>
              <w:rPr>
                <w:rFonts w:ascii="Arial Narrow" w:hAnsi="Arial Narrow"/>
                <w:sz w:val="20"/>
                <w:szCs w:val="20"/>
              </w:rPr>
            </w:pPr>
          </w:p>
        </w:tc>
        <w:tc>
          <w:tcPr>
            <w:tcW w:w="4456" w:type="pct"/>
            <w:vAlign w:val="center"/>
          </w:tcPr>
          <w:p w14:paraId="58DEEA00" w14:textId="77777777" w:rsidR="005654A0" w:rsidRPr="00ED6EDE" w:rsidRDefault="005654A0" w:rsidP="005654A0">
            <w:pPr>
              <w:rPr>
                <w:rFonts w:ascii="Arial Narrow" w:hAnsi="Arial Narrow"/>
                <w:bCs/>
                <w:sz w:val="20"/>
                <w:szCs w:val="20"/>
              </w:rPr>
            </w:pPr>
            <w:r w:rsidRPr="00ED6EDE">
              <w:rPr>
                <w:rFonts w:ascii="Arial Narrow" w:hAnsi="Arial Narrow"/>
                <w:b/>
                <w:bCs/>
                <w:sz w:val="20"/>
                <w:szCs w:val="20"/>
              </w:rPr>
              <w:t>Clinical criteria:</w:t>
            </w:r>
          </w:p>
        </w:tc>
      </w:tr>
      <w:tr w:rsidR="005654A0" w:rsidRPr="00ED6EDE" w14:paraId="0E71A6CD" w14:textId="77777777" w:rsidTr="005654A0">
        <w:tc>
          <w:tcPr>
            <w:tcW w:w="544" w:type="pct"/>
            <w:gridSpan w:val="2"/>
            <w:vAlign w:val="center"/>
          </w:tcPr>
          <w:p w14:paraId="482BA963" w14:textId="5E5841E2" w:rsidR="005654A0" w:rsidRPr="00ED6EDE" w:rsidRDefault="005654A0" w:rsidP="005654A0">
            <w:pPr>
              <w:jc w:val="center"/>
              <w:rPr>
                <w:rFonts w:ascii="Arial Narrow" w:hAnsi="Arial Narrow"/>
                <w:sz w:val="20"/>
                <w:szCs w:val="20"/>
              </w:rPr>
            </w:pPr>
          </w:p>
        </w:tc>
        <w:tc>
          <w:tcPr>
            <w:tcW w:w="4456" w:type="pct"/>
            <w:vAlign w:val="center"/>
          </w:tcPr>
          <w:p w14:paraId="4E0E1CBF" w14:textId="71F33030" w:rsidR="005654A0" w:rsidRPr="00ED6EDE" w:rsidRDefault="00D035E8" w:rsidP="005654A0">
            <w:pPr>
              <w:rPr>
                <w:rFonts w:ascii="Arial Narrow" w:hAnsi="Arial Narrow"/>
                <w:bCs/>
                <w:sz w:val="20"/>
                <w:szCs w:val="20"/>
              </w:rPr>
            </w:pPr>
            <w:r w:rsidRPr="00412BC9">
              <w:rPr>
                <w:rFonts w:ascii="Arial Narrow" w:hAnsi="Arial Narrow"/>
                <w:sz w:val="20"/>
                <w:szCs w:val="20"/>
              </w:rPr>
              <w:t>Patient must have had a World Health Organisation (WHO) Eastern Cooperative Oncology Group (ECOG) performance status score of no higher than 1 prior to initiation of non-PBS-subsidised treatment with this drug</w:t>
            </w:r>
            <w:r>
              <w:rPr>
                <w:rFonts w:ascii="Arial Narrow" w:hAnsi="Arial Narrow"/>
                <w:sz w:val="20"/>
                <w:szCs w:val="20"/>
              </w:rPr>
              <w:t xml:space="preserve"> and pembrolizumab</w:t>
            </w:r>
            <w:r w:rsidRPr="00412BC9">
              <w:rPr>
                <w:rFonts w:ascii="Arial Narrow" w:hAnsi="Arial Narrow"/>
                <w:sz w:val="20"/>
                <w:szCs w:val="20"/>
              </w:rPr>
              <w:t xml:space="preserve"> for this condition</w:t>
            </w:r>
          </w:p>
        </w:tc>
      </w:tr>
      <w:tr w:rsidR="005654A0" w:rsidRPr="00ED6EDE" w14:paraId="138B59FE" w14:textId="77777777" w:rsidTr="005654A0">
        <w:tc>
          <w:tcPr>
            <w:tcW w:w="544" w:type="pct"/>
            <w:gridSpan w:val="2"/>
            <w:vAlign w:val="center"/>
          </w:tcPr>
          <w:p w14:paraId="3918D107" w14:textId="77777777" w:rsidR="005654A0" w:rsidRPr="00ED6EDE" w:rsidRDefault="005654A0" w:rsidP="005654A0">
            <w:pPr>
              <w:jc w:val="center"/>
              <w:rPr>
                <w:rFonts w:ascii="Arial Narrow" w:hAnsi="Arial Narrow"/>
                <w:sz w:val="20"/>
                <w:szCs w:val="20"/>
              </w:rPr>
            </w:pPr>
          </w:p>
        </w:tc>
        <w:tc>
          <w:tcPr>
            <w:tcW w:w="4456" w:type="pct"/>
            <w:vAlign w:val="center"/>
          </w:tcPr>
          <w:p w14:paraId="0817C91F" w14:textId="77777777" w:rsidR="005654A0" w:rsidRPr="00ED6EDE" w:rsidRDefault="005654A0" w:rsidP="005654A0">
            <w:pPr>
              <w:rPr>
                <w:rFonts w:ascii="Arial Narrow" w:hAnsi="Arial Narrow"/>
                <w:sz w:val="20"/>
                <w:szCs w:val="20"/>
              </w:rPr>
            </w:pPr>
            <w:r w:rsidRPr="00ED6EDE">
              <w:rPr>
                <w:rFonts w:ascii="Arial Narrow" w:hAnsi="Arial Narrow"/>
                <w:b/>
                <w:sz w:val="20"/>
                <w:szCs w:val="20"/>
              </w:rPr>
              <w:t>AND</w:t>
            </w:r>
          </w:p>
        </w:tc>
      </w:tr>
      <w:tr w:rsidR="005654A0" w:rsidRPr="00ED6EDE" w14:paraId="13010E28" w14:textId="77777777" w:rsidTr="005654A0">
        <w:tc>
          <w:tcPr>
            <w:tcW w:w="544" w:type="pct"/>
            <w:gridSpan w:val="2"/>
            <w:vAlign w:val="center"/>
          </w:tcPr>
          <w:p w14:paraId="640833CC" w14:textId="77777777" w:rsidR="005654A0" w:rsidRPr="00ED6EDE" w:rsidRDefault="005654A0" w:rsidP="005654A0">
            <w:pPr>
              <w:jc w:val="center"/>
              <w:rPr>
                <w:rFonts w:ascii="Arial Narrow" w:hAnsi="Arial Narrow"/>
                <w:sz w:val="20"/>
                <w:szCs w:val="20"/>
              </w:rPr>
            </w:pPr>
          </w:p>
        </w:tc>
        <w:tc>
          <w:tcPr>
            <w:tcW w:w="4456" w:type="pct"/>
            <w:vAlign w:val="center"/>
          </w:tcPr>
          <w:p w14:paraId="29B800BD" w14:textId="77777777" w:rsidR="005654A0" w:rsidRPr="00ED6EDE" w:rsidRDefault="005654A0" w:rsidP="005654A0">
            <w:pPr>
              <w:rPr>
                <w:rFonts w:ascii="Arial Narrow" w:hAnsi="Arial Narrow"/>
                <w:sz w:val="20"/>
                <w:szCs w:val="20"/>
              </w:rPr>
            </w:pPr>
            <w:r w:rsidRPr="00ED6EDE">
              <w:rPr>
                <w:rFonts w:ascii="Arial Narrow" w:hAnsi="Arial Narrow"/>
                <w:b/>
                <w:bCs/>
                <w:sz w:val="20"/>
                <w:szCs w:val="20"/>
              </w:rPr>
              <w:t xml:space="preserve">Clinical criteria: </w:t>
            </w:r>
          </w:p>
        </w:tc>
      </w:tr>
      <w:tr w:rsidR="005654A0" w:rsidRPr="00ED6EDE" w14:paraId="15BC37FC" w14:textId="77777777" w:rsidTr="005654A0">
        <w:tc>
          <w:tcPr>
            <w:tcW w:w="544" w:type="pct"/>
            <w:gridSpan w:val="2"/>
            <w:vAlign w:val="center"/>
          </w:tcPr>
          <w:p w14:paraId="2A88D08D" w14:textId="7AE46E30" w:rsidR="005654A0" w:rsidRPr="00ED6EDE" w:rsidRDefault="005654A0" w:rsidP="005654A0">
            <w:pPr>
              <w:jc w:val="center"/>
              <w:rPr>
                <w:rFonts w:ascii="Arial Narrow" w:hAnsi="Arial Narrow"/>
                <w:sz w:val="20"/>
                <w:szCs w:val="20"/>
              </w:rPr>
            </w:pPr>
          </w:p>
        </w:tc>
        <w:tc>
          <w:tcPr>
            <w:tcW w:w="4456" w:type="pct"/>
            <w:vAlign w:val="center"/>
          </w:tcPr>
          <w:p w14:paraId="5DB577A7" w14:textId="3A7AA691" w:rsidR="005654A0" w:rsidRPr="00ED6EDE" w:rsidRDefault="005654A0" w:rsidP="006801F5">
            <w:pPr>
              <w:rPr>
                <w:rFonts w:ascii="Arial Narrow" w:hAnsi="Arial Narrow"/>
                <w:sz w:val="20"/>
                <w:szCs w:val="20"/>
                <w:highlight w:val="yellow"/>
              </w:rPr>
            </w:pPr>
            <w:r w:rsidRPr="00ED6EDE">
              <w:rPr>
                <w:rFonts w:ascii="Arial Narrow" w:eastAsia="Calibri" w:hAnsi="Arial Narrow" w:cs="Arial Narrow"/>
                <w:iCs/>
                <w:sz w:val="20"/>
                <w:szCs w:val="20"/>
              </w:rPr>
              <w:t xml:space="preserve">The treatment </w:t>
            </w:r>
            <w:r w:rsidR="006801F5">
              <w:rPr>
                <w:rFonts w:ascii="Arial Narrow" w:eastAsia="Calibri" w:hAnsi="Arial Narrow" w:cs="Arial Narrow"/>
                <w:iCs/>
                <w:sz w:val="20"/>
                <w:szCs w:val="20"/>
              </w:rPr>
              <w:t>must be</w:t>
            </w:r>
            <w:r w:rsidRPr="00ED6EDE">
              <w:rPr>
                <w:rFonts w:ascii="Arial Narrow" w:eastAsia="Calibri" w:hAnsi="Arial Narrow" w:cs="Arial Narrow"/>
                <w:iCs/>
                <w:sz w:val="20"/>
                <w:szCs w:val="20"/>
              </w:rPr>
              <w:t xml:space="preserve"> in combination with PBS subsidised pembrolizumab for this indication, unless the patient has completed 35 </w:t>
            </w:r>
            <w:r w:rsidR="006366B0">
              <w:rPr>
                <w:rFonts w:ascii="Arial Narrow" w:eastAsia="Calibri" w:hAnsi="Arial Narrow" w:cs="Arial Narrow"/>
                <w:iCs/>
                <w:sz w:val="20"/>
                <w:szCs w:val="20"/>
              </w:rPr>
              <w:t>dose</w:t>
            </w:r>
            <w:r w:rsidRPr="00ED6EDE">
              <w:rPr>
                <w:rFonts w:ascii="Arial Narrow" w:eastAsia="Calibri" w:hAnsi="Arial Narrow" w:cs="Arial Narrow"/>
                <w:iCs/>
                <w:sz w:val="20"/>
                <w:szCs w:val="20"/>
              </w:rPr>
              <w:t>s of pembrolizumab or develops an intolerance to pembrolizumab and requires a temporary or permanent discontinuation of pembrolizumab.</w:t>
            </w:r>
          </w:p>
        </w:tc>
      </w:tr>
      <w:tr w:rsidR="005654A0" w:rsidRPr="00ED6EDE" w14:paraId="61C46243" w14:textId="77777777" w:rsidTr="005654A0">
        <w:tc>
          <w:tcPr>
            <w:tcW w:w="544" w:type="pct"/>
            <w:gridSpan w:val="2"/>
            <w:vAlign w:val="center"/>
          </w:tcPr>
          <w:p w14:paraId="70BC6AC0" w14:textId="77777777" w:rsidR="005654A0" w:rsidRPr="00ED6EDE" w:rsidRDefault="005654A0" w:rsidP="005654A0">
            <w:pPr>
              <w:jc w:val="center"/>
              <w:rPr>
                <w:rFonts w:ascii="Arial Narrow" w:hAnsi="Arial Narrow"/>
                <w:sz w:val="20"/>
                <w:szCs w:val="20"/>
              </w:rPr>
            </w:pPr>
          </w:p>
        </w:tc>
        <w:tc>
          <w:tcPr>
            <w:tcW w:w="4456" w:type="pct"/>
            <w:vAlign w:val="center"/>
          </w:tcPr>
          <w:p w14:paraId="07584E66" w14:textId="77777777" w:rsidR="005654A0" w:rsidRPr="00ED6EDE" w:rsidRDefault="005654A0" w:rsidP="005654A0">
            <w:pPr>
              <w:rPr>
                <w:rFonts w:ascii="Arial Narrow" w:hAnsi="Arial Narrow"/>
                <w:b/>
                <w:bCs/>
                <w:sz w:val="20"/>
                <w:szCs w:val="20"/>
              </w:rPr>
            </w:pPr>
            <w:r w:rsidRPr="00ED6EDE">
              <w:rPr>
                <w:rFonts w:ascii="Arial Narrow" w:hAnsi="Arial Narrow"/>
                <w:b/>
                <w:bCs/>
                <w:sz w:val="20"/>
                <w:szCs w:val="20"/>
              </w:rPr>
              <w:t>Prescribing instruction:</w:t>
            </w:r>
          </w:p>
        </w:tc>
      </w:tr>
      <w:tr w:rsidR="005654A0" w:rsidRPr="00ED6EDE" w14:paraId="3A2EE2D7" w14:textId="77777777" w:rsidTr="005654A0">
        <w:tc>
          <w:tcPr>
            <w:tcW w:w="544" w:type="pct"/>
            <w:gridSpan w:val="2"/>
            <w:vAlign w:val="center"/>
          </w:tcPr>
          <w:p w14:paraId="45FAA1EB" w14:textId="286427A4" w:rsidR="005654A0" w:rsidRPr="00ED6EDE" w:rsidRDefault="005654A0" w:rsidP="005654A0">
            <w:pPr>
              <w:jc w:val="center"/>
              <w:rPr>
                <w:rFonts w:ascii="Arial Narrow" w:hAnsi="Arial Narrow"/>
                <w:sz w:val="20"/>
                <w:szCs w:val="20"/>
              </w:rPr>
            </w:pPr>
          </w:p>
        </w:tc>
        <w:tc>
          <w:tcPr>
            <w:tcW w:w="4456" w:type="pct"/>
            <w:vAlign w:val="center"/>
          </w:tcPr>
          <w:p w14:paraId="3B229EB2" w14:textId="77777777" w:rsidR="005654A0" w:rsidRPr="00ED6EDE" w:rsidRDefault="005654A0" w:rsidP="005654A0">
            <w:pPr>
              <w:rPr>
                <w:rFonts w:ascii="Arial Narrow" w:hAnsi="Arial Narrow"/>
                <w:sz w:val="20"/>
                <w:szCs w:val="20"/>
              </w:rPr>
            </w:pPr>
            <w:r w:rsidRPr="00ED6EDE">
              <w:rPr>
                <w:rFonts w:ascii="Arial Narrow" w:hAnsi="Arial Narrow"/>
                <w:sz w:val="20"/>
                <w:szCs w:val="20"/>
              </w:rPr>
              <w:t>A patient may qualify for PBS-subsidised treatment under this restriction once only. For continuing PBS-subsidised treatment, a Grandfathered patient must qualify under the Continuing treatment criteria.</w:t>
            </w:r>
          </w:p>
        </w:tc>
      </w:tr>
      <w:tr w:rsidR="005654A0" w:rsidRPr="00ED6EDE" w14:paraId="72BB37F6" w14:textId="77777777" w:rsidTr="005654A0">
        <w:tc>
          <w:tcPr>
            <w:tcW w:w="544" w:type="pct"/>
            <w:gridSpan w:val="2"/>
            <w:tcBorders>
              <w:top w:val="single" w:sz="4" w:space="0" w:color="auto"/>
              <w:left w:val="single" w:sz="4" w:space="0" w:color="auto"/>
              <w:bottom w:val="single" w:sz="4" w:space="0" w:color="auto"/>
              <w:right w:val="single" w:sz="4" w:space="0" w:color="auto"/>
            </w:tcBorders>
            <w:vAlign w:val="center"/>
          </w:tcPr>
          <w:p w14:paraId="33C11338" w14:textId="25519054" w:rsidR="005654A0" w:rsidRPr="00ED6EDE" w:rsidRDefault="005654A0" w:rsidP="005654A0">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110B1F44" w14:textId="77777777" w:rsidR="005654A0" w:rsidRPr="00ED6EDE" w:rsidRDefault="005654A0" w:rsidP="005654A0">
            <w:pPr>
              <w:rPr>
                <w:rFonts w:ascii="Arial Narrow" w:hAnsi="Arial Narrow"/>
                <w:sz w:val="20"/>
                <w:szCs w:val="20"/>
              </w:rPr>
            </w:pPr>
            <w:r w:rsidRPr="00ED6EDE">
              <w:rPr>
                <w:rFonts w:ascii="Arial Narrow" w:hAnsi="Arial Narrow"/>
                <w:sz w:val="20"/>
                <w:szCs w:val="20"/>
              </w:rPr>
              <w:t>This grandfather restriction will cease to operate from 12 months after the date specified in the clinical criteria</w:t>
            </w:r>
          </w:p>
        </w:tc>
      </w:tr>
      <w:bookmarkEnd w:id="0"/>
      <w:bookmarkEnd w:id="1"/>
      <w:bookmarkEnd w:id="2"/>
      <w:bookmarkEnd w:id="3"/>
      <w:bookmarkEnd w:id="4"/>
      <w:bookmarkEnd w:id="63"/>
    </w:tbl>
    <w:p w14:paraId="2D0D5EC6" w14:textId="77777777" w:rsidR="008B4550" w:rsidRPr="008B4550" w:rsidRDefault="008B4550" w:rsidP="005654A0"/>
    <w:p w14:paraId="0FCDEF76" w14:textId="271979F3" w:rsidR="005169DD" w:rsidRPr="00A00349" w:rsidRDefault="00A00349" w:rsidP="005654A0">
      <w:pPr>
        <w:rPr>
          <w:b/>
          <w:i/>
        </w:rPr>
      </w:pPr>
      <w:r w:rsidRPr="00A00349">
        <w:rPr>
          <w:b/>
          <w:i/>
        </w:rPr>
        <w:t>These restrictions may be subject to further review</w:t>
      </w:r>
      <w:r w:rsidR="00F5194B">
        <w:rPr>
          <w:b/>
          <w:i/>
        </w:rPr>
        <w:t>, including to accommodate for the pembrolizumab 400 mg every six week regimen</w:t>
      </w:r>
      <w:r w:rsidRPr="00A00349">
        <w:rPr>
          <w:b/>
          <w:i/>
        </w:rPr>
        <w:t>. Should there be any changes made to the restriction the Sponsor will be informed.</w:t>
      </w:r>
    </w:p>
    <w:p w14:paraId="32E40868" w14:textId="77777777" w:rsidR="00454067" w:rsidRDefault="00454067" w:rsidP="00454067">
      <w:pPr>
        <w:jc w:val="left"/>
        <w:rPr>
          <w:lang w:eastAsia="en-AU"/>
        </w:rPr>
      </w:pPr>
    </w:p>
    <w:p w14:paraId="72C7D64B" w14:textId="29D97DB2" w:rsidR="004744A9" w:rsidRPr="004744A9" w:rsidRDefault="004744A9" w:rsidP="004744A9">
      <w:pPr>
        <w:pStyle w:val="PBACHeading1"/>
        <w:numPr>
          <w:ilvl w:val="0"/>
          <w:numId w:val="2"/>
        </w:numPr>
        <w:outlineLvl w:val="0"/>
        <w:rPr>
          <w:bCs/>
          <w:lang w:val="en-GB"/>
        </w:rPr>
      </w:pPr>
      <w:r w:rsidRPr="004744A9">
        <w:rPr>
          <w:bCs/>
          <w:lang w:val="en-GB"/>
        </w:rPr>
        <w:t>Context for Decision</w:t>
      </w:r>
    </w:p>
    <w:p w14:paraId="7774E33E" w14:textId="77777777" w:rsidR="004744A9" w:rsidRPr="007129F2" w:rsidRDefault="004744A9" w:rsidP="004744A9">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A3EC638" w14:textId="2D634410" w:rsidR="004744A9" w:rsidRPr="004744A9" w:rsidRDefault="004744A9" w:rsidP="004744A9">
      <w:pPr>
        <w:pStyle w:val="PBACHeading1"/>
        <w:numPr>
          <w:ilvl w:val="0"/>
          <w:numId w:val="2"/>
        </w:numPr>
        <w:outlineLvl w:val="0"/>
        <w:rPr>
          <w:bCs/>
          <w:lang w:val="en-GB"/>
        </w:rPr>
      </w:pPr>
      <w:r w:rsidRPr="004744A9">
        <w:rPr>
          <w:bCs/>
          <w:lang w:val="en-GB"/>
        </w:rPr>
        <w:t>Sponsor’s Comment</w:t>
      </w:r>
    </w:p>
    <w:p w14:paraId="5185B1D6" w14:textId="77777777" w:rsidR="00354CC3" w:rsidRPr="00354CC3" w:rsidRDefault="00354CC3" w:rsidP="00354CC3">
      <w:pPr>
        <w:spacing w:after="120"/>
        <w:ind w:left="426"/>
        <w:rPr>
          <w:rFonts w:asciiTheme="minorHAnsi" w:hAnsiTheme="minorHAnsi"/>
          <w:bCs/>
          <w:lang w:val="en-GB"/>
        </w:rPr>
      </w:pPr>
      <w:bookmarkStart w:id="66" w:name="_Hlk104473269"/>
      <w:r w:rsidRPr="00354CC3">
        <w:rPr>
          <w:rFonts w:asciiTheme="minorHAnsi" w:hAnsiTheme="minorHAnsi"/>
          <w:bCs/>
          <w:lang w:val="en-GB"/>
        </w:rPr>
        <w:t>MSD welcomes the positive recommendation given the high unmet need for effective therapies to treat this condition. However, MSD is disappointed that the PBAC did not recommend the listing of pembrolizumab for use as monotherapy in those patients with deficient DNA mismatch repair (dMMR). The recommendation for the use of pembrolizumab in combination with lenvatinib in dMMR patients is outside of the approved TGA indication and therefore problematic for sponsors.</w:t>
      </w:r>
    </w:p>
    <w:p w14:paraId="11043583" w14:textId="77777777" w:rsidR="00354CC3" w:rsidRPr="00354CC3" w:rsidRDefault="00354CC3" w:rsidP="00354CC3">
      <w:pPr>
        <w:spacing w:after="120"/>
        <w:ind w:left="426"/>
        <w:rPr>
          <w:rFonts w:asciiTheme="minorHAnsi" w:hAnsiTheme="minorHAnsi"/>
          <w:bCs/>
          <w:lang w:val="en-GB"/>
        </w:rPr>
      </w:pPr>
    </w:p>
    <w:p w14:paraId="5D10D5E2" w14:textId="2C32F777" w:rsidR="0019217E" w:rsidRDefault="00354CC3" w:rsidP="00354CC3">
      <w:pPr>
        <w:spacing w:after="120"/>
        <w:ind w:left="426"/>
        <w:rPr>
          <w:rFonts w:asciiTheme="minorHAnsi" w:hAnsiTheme="minorHAnsi"/>
          <w:bCs/>
          <w:lang w:val="en-GB"/>
        </w:rPr>
      </w:pPr>
      <w:r w:rsidRPr="00354CC3">
        <w:rPr>
          <w:rFonts w:asciiTheme="minorHAnsi" w:hAnsiTheme="minorHAnsi"/>
          <w:bCs/>
          <w:lang w:val="en-GB"/>
        </w:rPr>
        <w:t>MSD will be looking to work closely with the Department of Health to work through the challenges resulting from this recommendation to ensure that this combination therapy is made available to Australian patients as soon as possible.</w:t>
      </w:r>
      <w:bookmarkEnd w:id="66"/>
    </w:p>
    <w:p w14:paraId="3A4C50E5" w14:textId="77777777" w:rsidR="0019217E" w:rsidRDefault="0019217E">
      <w:pPr>
        <w:widowControl/>
        <w:jc w:val="left"/>
        <w:rPr>
          <w:rFonts w:asciiTheme="minorHAnsi" w:hAnsiTheme="minorHAnsi"/>
          <w:bCs/>
          <w:lang w:val="en-GB"/>
        </w:rPr>
      </w:pPr>
      <w:r>
        <w:rPr>
          <w:rFonts w:asciiTheme="minorHAnsi" w:hAnsiTheme="minorHAnsi"/>
          <w:bCs/>
          <w:lang w:val="en-GB"/>
        </w:rPr>
        <w:br w:type="page"/>
      </w:r>
    </w:p>
    <w:p w14:paraId="25906C2C" w14:textId="28E9EF60" w:rsidR="0019217E" w:rsidRPr="0019217E" w:rsidRDefault="0019217E" w:rsidP="0019217E">
      <w:pPr>
        <w:spacing w:before="120" w:after="160"/>
        <w:outlineLvl w:val="0"/>
        <w:rPr>
          <w:rFonts w:eastAsia="Calibri"/>
          <w:b/>
          <w:color w:val="FF0000"/>
          <w:sz w:val="28"/>
          <w:szCs w:val="24"/>
        </w:rPr>
      </w:pPr>
      <w:r w:rsidRPr="0019217E">
        <w:rPr>
          <w:rFonts w:eastAsia="Calibri"/>
          <w:b/>
          <w:color w:val="FF0000"/>
          <w:sz w:val="28"/>
          <w:szCs w:val="24"/>
        </w:rPr>
        <w:t>Addendum to the March 2022 PBAC Public Summary Document:</w:t>
      </w:r>
    </w:p>
    <w:p w14:paraId="05099601" w14:textId="77777777" w:rsidR="0019217E" w:rsidRPr="00735A33" w:rsidRDefault="0019217E" w:rsidP="0019217E">
      <w:pPr>
        <w:pStyle w:val="PBACHeading1"/>
        <w:numPr>
          <w:ilvl w:val="0"/>
          <w:numId w:val="2"/>
        </w:numPr>
        <w:spacing w:after="120"/>
        <w:outlineLvl w:val="0"/>
        <w:rPr>
          <w:bCs/>
          <w:lang w:val="en-GB"/>
        </w:rPr>
      </w:pPr>
      <w:r w:rsidRPr="00735A33">
        <w:rPr>
          <w:bCs/>
          <w:lang w:val="en-GB"/>
        </w:rPr>
        <w:t>Purpose</w:t>
      </w:r>
    </w:p>
    <w:p w14:paraId="5BCC4541" w14:textId="77777777" w:rsidR="0019217E" w:rsidRPr="00C50A45" w:rsidRDefault="0019217E" w:rsidP="0019217E">
      <w:pPr>
        <w:pStyle w:val="ListParagraph"/>
        <w:widowControl/>
        <w:numPr>
          <w:ilvl w:val="1"/>
          <w:numId w:val="2"/>
        </w:numPr>
        <w:spacing w:after="120"/>
      </w:pPr>
      <w:r w:rsidRPr="00C50A45">
        <w:t xml:space="preserve">To provide the PBAC with an update on the status of listing negotiations between the Department and the respective sponsors for pembrolizumab </w:t>
      </w:r>
      <w:r>
        <w:t>and</w:t>
      </w:r>
      <w:r w:rsidRPr="00C50A45">
        <w:t xml:space="preserve"> lenvatinib. </w:t>
      </w:r>
    </w:p>
    <w:p w14:paraId="4689C4DA" w14:textId="77777777" w:rsidR="0019217E" w:rsidRPr="00C50A45" w:rsidRDefault="0019217E" w:rsidP="0019217E">
      <w:pPr>
        <w:pStyle w:val="ListParagraph"/>
        <w:widowControl/>
        <w:numPr>
          <w:ilvl w:val="1"/>
          <w:numId w:val="2"/>
        </w:numPr>
        <w:spacing w:after="120"/>
      </w:pPr>
      <w:r w:rsidRPr="00C50A45">
        <w:t xml:space="preserve">To seek the PBAC’s advice </w:t>
      </w:r>
      <w:r>
        <w:t xml:space="preserve">at its March 2023 meeting </w:t>
      </w:r>
      <w:r w:rsidRPr="00C50A45">
        <w:t>regarding whether the cost per patient based on the current price offers for pembrolizumab</w:t>
      </w:r>
      <w:r>
        <w:t xml:space="preserve"> and </w:t>
      </w:r>
      <w:r w:rsidRPr="00C50A45">
        <w:t xml:space="preserve">lenvatinib for the treatment of endometrial cancer is acceptably cost-effective. </w:t>
      </w:r>
    </w:p>
    <w:p w14:paraId="2E51AACD" w14:textId="77777777" w:rsidR="0019217E" w:rsidRPr="00735A33" w:rsidRDefault="0019217E" w:rsidP="001265BA">
      <w:pPr>
        <w:pStyle w:val="PBACHeading1"/>
        <w:numPr>
          <w:ilvl w:val="0"/>
          <w:numId w:val="2"/>
        </w:numPr>
        <w:spacing w:before="120" w:after="120"/>
        <w:outlineLvl w:val="0"/>
        <w:rPr>
          <w:bCs/>
          <w:lang w:val="en-GB"/>
        </w:rPr>
      </w:pPr>
      <w:r w:rsidRPr="00735A33">
        <w:rPr>
          <w:bCs/>
          <w:lang w:val="en-GB"/>
        </w:rPr>
        <w:t>Background</w:t>
      </w:r>
    </w:p>
    <w:p w14:paraId="0E123884" w14:textId="6DD00E5C" w:rsidR="0019217E" w:rsidRPr="00735A33" w:rsidRDefault="0019217E" w:rsidP="0019217E">
      <w:pPr>
        <w:pStyle w:val="ListParagraph"/>
        <w:widowControl/>
        <w:numPr>
          <w:ilvl w:val="1"/>
          <w:numId w:val="2"/>
        </w:numPr>
        <w:spacing w:after="120"/>
      </w:pPr>
      <w:r>
        <w:t xml:space="preserve">At its March 2022 meeting, the PBAC </w:t>
      </w:r>
      <w:r w:rsidRPr="00735A33">
        <w:t xml:space="preserve">recommended </w:t>
      </w:r>
      <w:r>
        <w:t xml:space="preserve">the listing of pembrolizumab+lenvatinib for the treatment of patients with advanced endometrial cancer who have disease progression following prior systemic therapy regardless of biomarker status. </w:t>
      </w:r>
    </w:p>
    <w:p w14:paraId="6C0EE2B6" w14:textId="7FE36C4F" w:rsidR="0019217E" w:rsidRDefault="0019217E" w:rsidP="0019217E">
      <w:pPr>
        <w:pStyle w:val="ListParagraph"/>
        <w:widowControl/>
        <w:numPr>
          <w:ilvl w:val="1"/>
          <w:numId w:val="2"/>
        </w:numPr>
        <w:spacing w:after="120"/>
      </w:pPr>
      <w:r>
        <w:t xml:space="preserve">Pembrolizumab and lenvatinib are marketed by different sponsors. Subsequent to the March 2022 recommendation, the sponsors of pembrolizumab and lenvatinib, Merck Sharp &amp; Dohme (MSD) and Eisai respectively, submitted separate listing proposals for endometrial cancer to the Department. The Department has been engaging with each sponsor separately, </w:t>
      </w:r>
      <w:r w:rsidR="002953F2" w:rsidRPr="00D91FB1">
        <w:rPr>
          <w:color w:val="000000"/>
          <w:w w:val="21"/>
          <w:shd w:val="solid" w:color="000000" w:fill="000000"/>
          <w:fitText w:val="71" w:id="-1236556800"/>
          <w14:textFill>
            <w14:solidFill>
              <w14:srgbClr w14:val="000000">
                <w14:alpha w14:val="100000"/>
              </w14:srgbClr>
            </w14:solidFill>
          </w14:textFill>
        </w:rPr>
        <w:t xml:space="preserve">|  </w:t>
      </w:r>
      <w:r w:rsidR="002953F2" w:rsidRPr="00D91FB1">
        <w:rPr>
          <w:color w:val="000000"/>
          <w:spacing w:val="1"/>
          <w:w w:val="21"/>
          <w:shd w:val="solid" w:color="000000" w:fill="000000"/>
          <w:fitText w:val="71" w:id="-1236556800"/>
          <w14:textFill>
            <w14:solidFill>
              <w14:srgbClr w14:val="000000">
                <w14:alpha w14:val="100000"/>
              </w14:srgbClr>
            </w14:solidFill>
          </w14:textFill>
        </w:rPr>
        <w:t>|</w:t>
      </w:r>
    </w:p>
    <w:p w14:paraId="121C5A41" w14:textId="0C262D44" w:rsidR="0019217E" w:rsidRDefault="0019217E" w:rsidP="0019217E">
      <w:pPr>
        <w:pStyle w:val="ListParagraph"/>
        <w:widowControl/>
        <w:numPr>
          <w:ilvl w:val="1"/>
          <w:numId w:val="2"/>
        </w:numPr>
        <w:spacing w:after="120"/>
      </w:pPr>
      <w:r>
        <w:t xml:space="preserve">Following negotiations, the sponsors have presented prices that result in a total patient cost of </w:t>
      </w:r>
      <w:r w:rsidRPr="00735A33">
        <w:t>$</w:t>
      </w:r>
      <w:r w:rsidRPr="003E504A">
        <w:rPr>
          <w:color w:val="000000"/>
          <w:w w:val="15"/>
          <w:shd w:val="solid" w:color="000000" w:fill="000000"/>
          <w:fitText w:val="-20" w:id="-1275399424"/>
          <w14:textFill>
            <w14:solidFill>
              <w14:srgbClr w14:val="000000">
                <w14:alpha w14:val="100000"/>
              </w14:srgbClr>
            </w14:solidFill>
          </w14:textFill>
        </w:rPr>
        <w:t xml:space="preserve">|          </w:t>
      </w:r>
      <w:r w:rsidRPr="003E504A">
        <w:rPr>
          <w:color w:val="000000"/>
          <w:spacing w:val="-133"/>
          <w:w w:val="15"/>
          <w:shd w:val="solid" w:color="000000" w:fill="000000"/>
          <w:fitText w:val="-20" w:id="-1275399424"/>
          <w14:textFill>
            <w14:solidFill>
              <w14:srgbClr w14:val="000000">
                <w14:alpha w14:val="100000"/>
              </w14:srgbClr>
            </w14:solidFill>
          </w14:textFill>
        </w:rPr>
        <w:t>|</w:t>
      </w:r>
      <w:r>
        <w:t>, which is higher than the price calculated based on the PBAC advice in March 2022 ($</w:t>
      </w:r>
      <w:r w:rsidR="002953F2" w:rsidRPr="00D91FB1">
        <w:rPr>
          <w:color w:val="000000"/>
          <w:w w:val="21"/>
          <w:shd w:val="solid" w:color="000000" w:fill="000000"/>
          <w:fitText w:val="71" w:id="-1236556799"/>
          <w14:textFill>
            <w14:solidFill>
              <w14:srgbClr w14:val="000000">
                <w14:alpha w14:val="100000"/>
              </w14:srgbClr>
            </w14:solidFill>
          </w14:textFill>
        </w:rPr>
        <w:t xml:space="preserve">|  </w:t>
      </w:r>
      <w:r w:rsidR="002953F2" w:rsidRPr="00D91FB1">
        <w:rPr>
          <w:color w:val="000000"/>
          <w:spacing w:val="1"/>
          <w:w w:val="21"/>
          <w:shd w:val="solid" w:color="000000" w:fill="000000"/>
          <w:fitText w:val="71" w:id="-1236556799"/>
          <w14:textFill>
            <w14:solidFill>
              <w14:srgbClr w14:val="000000">
                <w14:alpha w14:val="100000"/>
              </w14:srgbClr>
            </w14:solidFill>
          </w14:textFill>
        </w:rPr>
        <w:t>|</w:t>
      </w:r>
      <w:r>
        <w:t xml:space="preserve">). </w:t>
      </w:r>
    </w:p>
    <w:p w14:paraId="64BF2616" w14:textId="77777777" w:rsidR="0019217E" w:rsidRDefault="0019217E" w:rsidP="0019217E">
      <w:pPr>
        <w:pStyle w:val="ListParagraph"/>
        <w:widowControl/>
        <w:numPr>
          <w:ilvl w:val="1"/>
          <w:numId w:val="2"/>
        </w:numPr>
        <w:spacing w:after="120"/>
      </w:pPr>
      <w:r>
        <w:t>The Department seeks PBAC advice as to whether the proposals from the sponsors are acceptable.</w:t>
      </w:r>
    </w:p>
    <w:p w14:paraId="1424F5DB" w14:textId="77777777" w:rsidR="0019217E" w:rsidRPr="00735A33" w:rsidRDefault="0019217E" w:rsidP="0019217E">
      <w:pPr>
        <w:pStyle w:val="PBACHeading1"/>
        <w:numPr>
          <w:ilvl w:val="0"/>
          <w:numId w:val="2"/>
        </w:numPr>
        <w:spacing w:after="120"/>
        <w:outlineLvl w:val="0"/>
        <w:rPr>
          <w:bCs/>
          <w:lang w:val="en-GB"/>
        </w:rPr>
      </w:pPr>
      <w:r w:rsidRPr="00735A33">
        <w:rPr>
          <w:bCs/>
          <w:lang w:val="en-GB"/>
        </w:rPr>
        <w:t>Details of the proposals</w:t>
      </w:r>
    </w:p>
    <w:p w14:paraId="68F8A08F" w14:textId="7518C56A" w:rsidR="0019217E" w:rsidRDefault="0019217E" w:rsidP="0019217E">
      <w:pPr>
        <w:pStyle w:val="ListParagraph"/>
        <w:widowControl/>
        <w:numPr>
          <w:ilvl w:val="1"/>
          <w:numId w:val="2"/>
        </w:numPr>
        <w:spacing w:after="120"/>
      </w:pPr>
      <w:r w:rsidRPr="00BE6AAF">
        <w:t xml:space="preserve">Based on the </w:t>
      </w:r>
      <w:r>
        <w:t>March 2022</w:t>
      </w:r>
      <w:r w:rsidRPr="00BE6AAF">
        <w:t xml:space="preserve"> advice, the </w:t>
      </w:r>
      <w:r>
        <w:t>cost per patient of pembrolizumab+lenvatinib was to be $</w:t>
      </w:r>
      <w:r w:rsidR="002953F2" w:rsidRPr="00D91FB1">
        <w:rPr>
          <w:color w:val="000000"/>
          <w:w w:val="21"/>
          <w:shd w:val="solid" w:color="000000" w:fill="000000"/>
          <w:fitText w:val="72" w:id="-1236556798"/>
          <w14:textFill>
            <w14:solidFill>
              <w14:srgbClr w14:val="000000">
                <w14:alpha w14:val="100000"/>
              </w14:srgbClr>
            </w14:solidFill>
          </w14:textFill>
        </w:rPr>
        <w:t xml:space="preserve">|  </w:t>
      </w:r>
      <w:r w:rsidR="002953F2" w:rsidRPr="00D91FB1">
        <w:rPr>
          <w:color w:val="000000"/>
          <w:spacing w:val="2"/>
          <w:w w:val="21"/>
          <w:shd w:val="solid" w:color="000000" w:fill="000000"/>
          <w:fitText w:val="72" w:id="-1236556798"/>
          <w14:textFill>
            <w14:solidFill>
              <w14:srgbClr w14:val="000000">
                <w14:alpha w14:val="100000"/>
              </w14:srgbClr>
            </w14:solidFill>
          </w14:textFill>
        </w:rPr>
        <w:t>|</w:t>
      </w:r>
      <w:r w:rsidRPr="00BE6AAF">
        <w:t xml:space="preserve">. </w:t>
      </w:r>
      <w:r>
        <w:t>This cost is based on the assumptions that were used for the economic model.</w:t>
      </w:r>
    </w:p>
    <w:p w14:paraId="25346B29" w14:textId="77777777" w:rsidR="0019217E" w:rsidRDefault="0019217E" w:rsidP="0019217E">
      <w:pPr>
        <w:pStyle w:val="ListParagraph"/>
        <w:keepNext/>
        <w:widowControl/>
        <w:spacing w:after="0"/>
      </w:pPr>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Pr>
          <w:rStyle w:val="CommentReference"/>
          <w:noProof/>
        </w:rPr>
        <w:t>17</w:t>
      </w:r>
      <w:r w:rsidRPr="00ED6EDE">
        <w:rPr>
          <w:rStyle w:val="CommentReference"/>
        </w:rPr>
        <w:fldChar w:fldCharType="end"/>
      </w:r>
      <w:r w:rsidRPr="00ED6EDE">
        <w:rPr>
          <w:rStyle w:val="CommentReference"/>
        </w:rPr>
        <w:t>: Drug cost per patient for pembrolizumab and lenvatinib</w:t>
      </w:r>
      <w:r>
        <w:rPr>
          <w:rStyle w:val="CommentReference"/>
        </w:rPr>
        <w:t xml:space="preserve"> in March 2022</w:t>
      </w:r>
    </w:p>
    <w:tbl>
      <w:tblPr>
        <w:tblW w:w="4620" w:type="pct"/>
        <w:tblInd w:w="699"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1"/>
        <w:gridCol w:w="899"/>
        <w:gridCol w:w="1409"/>
        <w:gridCol w:w="1192"/>
        <w:gridCol w:w="1669"/>
        <w:gridCol w:w="1587"/>
      </w:tblGrid>
      <w:tr w:rsidR="0019217E" w:rsidRPr="00ED6EDE" w14:paraId="0E652C39" w14:textId="77777777" w:rsidTr="00DC5D83">
        <w:trPr>
          <w:trHeight w:val="20"/>
        </w:trPr>
        <w:tc>
          <w:tcPr>
            <w:tcW w:w="943" w:type="pct"/>
            <w:vMerge w:val="restart"/>
            <w:shd w:val="clear" w:color="auto" w:fill="auto"/>
            <w:vAlign w:val="center"/>
          </w:tcPr>
          <w:p w14:paraId="66FFDC3C" w14:textId="77777777" w:rsidR="0019217E" w:rsidRPr="00ED6EDE" w:rsidRDefault="0019217E" w:rsidP="00DC5D83">
            <w:pPr>
              <w:keepNext/>
              <w:keepLines/>
              <w:rPr>
                <w:rFonts w:ascii="Arial Narrow" w:hAnsi="Arial Narrow"/>
                <w:b/>
                <w:bCs/>
                <w:sz w:val="20"/>
                <w:szCs w:val="20"/>
              </w:rPr>
            </w:pPr>
            <w:r w:rsidRPr="00ED6EDE">
              <w:rPr>
                <w:rFonts w:ascii="Arial Narrow" w:hAnsi="Arial Narrow"/>
                <w:b/>
                <w:bCs/>
                <w:sz w:val="20"/>
                <w:szCs w:val="20"/>
              </w:rPr>
              <w:t xml:space="preserve">Drug </w:t>
            </w:r>
          </w:p>
        </w:tc>
        <w:tc>
          <w:tcPr>
            <w:tcW w:w="2102" w:type="pct"/>
            <w:gridSpan w:val="3"/>
            <w:shd w:val="clear" w:color="auto" w:fill="auto"/>
            <w:vAlign w:val="center"/>
          </w:tcPr>
          <w:p w14:paraId="00B0C98F" w14:textId="77777777" w:rsidR="0019217E" w:rsidRPr="00ED6EDE" w:rsidRDefault="0019217E" w:rsidP="00DC5D83">
            <w:pPr>
              <w:keepNext/>
              <w:keepLines/>
              <w:jc w:val="center"/>
              <w:rPr>
                <w:rFonts w:ascii="Arial Narrow" w:hAnsi="Arial Narrow"/>
                <w:b/>
                <w:bCs/>
                <w:sz w:val="20"/>
                <w:szCs w:val="20"/>
              </w:rPr>
            </w:pPr>
            <w:r w:rsidRPr="00ED6EDE">
              <w:rPr>
                <w:rFonts w:ascii="Arial Narrow" w:hAnsi="Arial Narrow"/>
                <w:b/>
                <w:bCs/>
                <w:sz w:val="20"/>
                <w:szCs w:val="20"/>
              </w:rPr>
              <w:t>Number of administrations</w:t>
            </w:r>
          </w:p>
        </w:tc>
        <w:tc>
          <w:tcPr>
            <w:tcW w:w="1955" w:type="pct"/>
            <w:gridSpan w:val="2"/>
            <w:shd w:val="clear" w:color="auto" w:fill="auto"/>
            <w:vAlign w:val="center"/>
            <w:hideMark/>
          </w:tcPr>
          <w:p w14:paraId="19312BAC" w14:textId="77777777" w:rsidR="0019217E" w:rsidRPr="00ED6EDE" w:rsidRDefault="0019217E" w:rsidP="00DC5D83">
            <w:pPr>
              <w:keepNext/>
              <w:keepLines/>
              <w:jc w:val="center"/>
              <w:rPr>
                <w:rFonts w:ascii="Arial Narrow" w:hAnsi="Arial Narrow"/>
                <w:b/>
                <w:bCs/>
                <w:sz w:val="20"/>
                <w:szCs w:val="20"/>
              </w:rPr>
            </w:pPr>
            <w:r w:rsidRPr="00ED6EDE">
              <w:rPr>
                <w:rFonts w:ascii="Arial Narrow" w:hAnsi="Arial Narrow"/>
                <w:b/>
                <w:bCs/>
                <w:sz w:val="20"/>
                <w:szCs w:val="20"/>
              </w:rPr>
              <w:t>Total cost per course</w:t>
            </w:r>
          </w:p>
        </w:tc>
      </w:tr>
      <w:tr w:rsidR="0019217E" w:rsidRPr="00ED6EDE" w14:paraId="404C88D9" w14:textId="77777777" w:rsidTr="00DC5D83">
        <w:trPr>
          <w:trHeight w:val="20"/>
        </w:trPr>
        <w:tc>
          <w:tcPr>
            <w:tcW w:w="943" w:type="pct"/>
            <w:vMerge/>
            <w:shd w:val="clear" w:color="auto" w:fill="auto"/>
            <w:vAlign w:val="center"/>
            <w:hideMark/>
          </w:tcPr>
          <w:p w14:paraId="5A5E314D" w14:textId="77777777" w:rsidR="0019217E" w:rsidRPr="00ED6EDE" w:rsidRDefault="0019217E" w:rsidP="00DC5D83">
            <w:pPr>
              <w:keepNext/>
              <w:keepLines/>
              <w:rPr>
                <w:rFonts w:ascii="Arial Narrow" w:hAnsi="Arial Narrow"/>
                <w:b/>
                <w:bCs/>
                <w:sz w:val="20"/>
                <w:szCs w:val="20"/>
              </w:rPr>
            </w:pPr>
          </w:p>
        </w:tc>
        <w:tc>
          <w:tcPr>
            <w:tcW w:w="540" w:type="pct"/>
            <w:shd w:val="clear" w:color="auto" w:fill="auto"/>
            <w:vAlign w:val="center"/>
          </w:tcPr>
          <w:p w14:paraId="6A964E12" w14:textId="77777777" w:rsidR="0019217E" w:rsidRPr="00ED6EDE" w:rsidRDefault="0019217E" w:rsidP="00DC5D83">
            <w:pPr>
              <w:keepNext/>
              <w:keepLines/>
              <w:jc w:val="center"/>
              <w:rPr>
                <w:rFonts w:ascii="Arial Narrow" w:hAnsi="Arial Narrow"/>
                <w:b/>
                <w:bCs/>
                <w:sz w:val="20"/>
                <w:szCs w:val="20"/>
              </w:rPr>
            </w:pPr>
            <w:r>
              <w:rPr>
                <w:rFonts w:ascii="Arial Narrow" w:hAnsi="Arial Narrow"/>
                <w:b/>
                <w:bCs/>
                <w:sz w:val="20"/>
                <w:szCs w:val="20"/>
              </w:rPr>
              <w:t>KN775</w:t>
            </w:r>
          </w:p>
        </w:tc>
        <w:tc>
          <w:tcPr>
            <w:tcW w:w="846" w:type="pct"/>
            <w:shd w:val="clear" w:color="auto" w:fill="auto"/>
            <w:vAlign w:val="center"/>
            <w:hideMark/>
          </w:tcPr>
          <w:p w14:paraId="233DEAB2" w14:textId="77777777" w:rsidR="0019217E" w:rsidRPr="00ED6EDE" w:rsidRDefault="0019217E" w:rsidP="00DC5D83">
            <w:pPr>
              <w:keepNext/>
              <w:keepLines/>
              <w:jc w:val="center"/>
              <w:rPr>
                <w:rFonts w:ascii="Arial Narrow" w:hAnsi="Arial Narrow"/>
                <w:b/>
                <w:bCs/>
                <w:sz w:val="20"/>
                <w:szCs w:val="20"/>
              </w:rPr>
            </w:pPr>
            <w:r>
              <w:rPr>
                <w:rFonts w:ascii="Arial Narrow" w:hAnsi="Arial Narrow"/>
                <w:b/>
                <w:bCs/>
                <w:sz w:val="20"/>
                <w:szCs w:val="20"/>
              </w:rPr>
              <w:t>Model</w:t>
            </w:r>
          </w:p>
        </w:tc>
        <w:tc>
          <w:tcPr>
            <w:tcW w:w="716" w:type="pct"/>
            <w:shd w:val="clear" w:color="auto" w:fill="auto"/>
            <w:vAlign w:val="center"/>
            <w:hideMark/>
          </w:tcPr>
          <w:p w14:paraId="1961868F" w14:textId="77777777" w:rsidR="0019217E" w:rsidRPr="00ED6EDE" w:rsidRDefault="0019217E" w:rsidP="00DC5D83">
            <w:pPr>
              <w:keepNext/>
              <w:keepLines/>
              <w:jc w:val="center"/>
              <w:rPr>
                <w:rFonts w:ascii="Arial Narrow" w:hAnsi="Arial Narrow"/>
                <w:b/>
                <w:bCs/>
                <w:sz w:val="20"/>
                <w:szCs w:val="20"/>
              </w:rPr>
            </w:pPr>
            <w:r w:rsidRPr="00ED6EDE">
              <w:rPr>
                <w:rFonts w:ascii="Arial Narrow" w:hAnsi="Arial Narrow"/>
                <w:b/>
                <w:bCs/>
                <w:sz w:val="20"/>
                <w:szCs w:val="20"/>
              </w:rPr>
              <w:t>Financial</w:t>
            </w:r>
          </w:p>
        </w:tc>
        <w:tc>
          <w:tcPr>
            <w:tcW w:w="1002" w:type="pct"/>
            <w:shd w:val="clear" w:color="auto" w:fill="auto"/>
            <w:vAlign w:val="center"/>
            <w:hideMark/>
          </w:tcPr>
          <w:p w14:paraId="4D73D1E6" w14:textId="77777777" w:rsidR="0019217E" w:rsidRPr="00ED6EDE" w:rsidRDefault="0019217E" w:rsidP="00DC5D83">
            <w:pPr>
              <w:keepNext/>
              <w:keepLines/>
              <w:jc w:val="center"/>
              <w:rPr>
                <w:rFonts w:ascii="Arial Narrow" w:hAnsi="Arial Narrow"/>
                <w:b/>
                <w:bCs/>
                <w:sz w:val="20"/>
                <w:szCs w:val="20"/>
              </w:rPr>
            </w:pPr>
            <w:r w:rsidRPr="00ED6EDE">
              <w:rPr>
                <w:rFonts w:ascii="Arial Narrow" w:hAnsi="Arial Narrow"/>
                <w:b/>
                <w:bCs/>
                <w:sz w:val="20"/>
                <w:szCs w:val="20"/>
              </w:rPr>
              <w:t>Model</w:t>
            </w:r>
          </w:p>
        </w:tc>
        <w:tc>
          <w:tcPr>
            <w:tcW w:w="953" w:type="pct"/>
            <w:shd w:val="clear" w:color="auto" w:fill="auto"/>
            <w:vAlign w:val="center"/>
            <w:hideMark/>
          </w:tcPr>
          <w:p w14:paraId="6F483600" w14:textId="77777777" w:rsidR="0019217E" w:rsidRPr="00ED6EDE" w:rsidRDefault="0019217E" w:rsidP="00DC5D83">
            <w:pPr>
              <w:keepNext/>
              <w:keepLines/>
              <w:jc w:val="center"/>
              <w:rPr>
                <w:rFonts w:ascii="Arial Narrow" w:hAnsi="Arial Narrow"/>
                <w:b/>
                <w:bCs/>
                <w:sz w:val="20"/>
                <w:szCs w:val="20"/>
              </w:rPr>
            </w:pPr>
            <w:r w:rsidRPr="00ED6EDE">
              <w:rPr>
                <w:rFonts w:ascii="Arial Narrow" w:hAnsi="Arial Narrow"/>
                <w:b/>
                <w:bCs/>
                <w:sz w:val="20"/>
                <w:szCs w:val="20"/>
              </w:rPr>
              <w:t>Financials</w:t>
            </w:r>
          </w:p>
        </w:tc>
      </w:tr>
      <w:tr w:rsidR="0019217E" w:rsidRPr="00ED6EDE" w14:paraId="2B37049B" w14:textId="77777777" w:rsidTr="00DC5D83">
        <w:trPr>
          <w:trHeight w:val="20"/>
        </w:trPr>
        <w:tc>
          <w:tcPr>
            <w:tcW w:w="5000" w:type="pct"/>
            <w:gridSpan w:val="6"/>
            <w:shd w:val="clear" w:color="auto" w:fill="auto"/>
            <w:vAlign w:val="center"/>
            <w:hideMark/>
          </w:tcPr>
          <w:p w14:paraId="532AC792" w14:textId="77777777" w:rsidR="0019217E" w:rsidRPr="00D80364" w:rsidRDefault="0019217E" w:rsidP="00DC5D83">
            <w:pPr>
              <w:keepNext/>
              <w:keepLines/>
              <w:rPr>
                <w:rFonts w:ascii="Arial Narrow" w:hAnsi="Arial Narrow"/>
                <w:b/>
                <w:sz w:val="20"/>
                <w:szCs w:val="20"/>
              </w:rPr>
            </w:pPr>
            <w:r w:rsidRPr="00D80364">
              <w:rPr>
                <w:rFonts w:ascii="Arial Narrow" w:hAnsi="Arial Narrow"/>
                <w:b/>
                <w:sz w:val="20"/>
                <w:szCs w:val="20"/>
              </w:rPr>
              <w:t>Pembrolizumab plus lenvatinib</w:t>
            </w:r>
          </w:p>
        </w:tc>
      </w:tr>
      <w:tr w:rsidR="0019217E" w:rsidRPr="00ED6EDE" w14:paraId="5DB99C2B" w14:textId="77777777" w:rsidTr="00DC5D83">
        <w:trPr>
          <w:trHeight w:val="20"/>
        </w:trPr>
        <w:tc>
          <w:tcPr>
            <w:tcW w:w="943" w:type="pct"/>
            <w:shd w:val="clear" w:color="auto" w:fill="auto"/>
            <w:vAlign w:val="center"/>
            <w:hideMark/>
          </w:tcPr>
          <w:p w14:paraId="78B87C9B" w14:textId="77777777" w:rsidR="0019217E" w:rsidRPr="00ED6EDE" w:rsidRDefault="0019217E" w:rsidP="00DC5D83">
            <w:pPr>
              <w:keepNext/>
              <w:keepLines/>
              <w:rPr>
                <w:rFonts w:ascii="Arial Narrow" w:hAnsi="Arial Narrow"/>
                <w:sz w:val="20"/>
                <w:szCs w:val="20"/>
              </w:rPr>
            </w:pPr>
            <w:r w:rsidRPr="00ED6EDE">
              <w:rPr>
                <w:rFonts w:ascii="Arial Narrow" w:hAnsi="Arial Narrow"/>
                <w:sz w:val="20"/>
                <w:szCs w:val="20"/>
              </w:rPr>
              <w:t>Pembrolizumab</w:t>
            </w:r>
          </w:p>
        </w:tc>
        <w:tc>
          <w:tcPr>
            <w:tcW w:w="540" w:type="pct"/>
            <w:shd w:val="clear" w:color="auto" w:fill="auto"/>
            <w:vAlign w:val="center"/>
          </w:tcPr>
          <w:p w14:paraId="58913F64" w14:textId="77777777" w:rsidR="0019217E" w:rsidRPr="00ED6EDE" w:rsidRDefault="0019217E" w:rsidP="00DC5D83">
            <w:pPr>
              <w:keepNext/>
              <w:keepLines/>
              <w:jc w:val="center"/>
              <w:rPr>
                <w:rFonts w:ascii="Arial Narrow" w:hAnsi="Arial Narrow"/>
                <w:sz w:val="20"/>
                <w:szCs w:val="20"/>
              </w:rPr>
            </w:pPr>
            <w:r>
              <w:rPr>
                <w:rFonts w:ascii="Arial Narrow" w:hAnsi="Arial Narrow"/>
                <w:sz w:val="20"/>
                <w:szCs w:val="20"/>
              </w:rPr>
              <w:t>12.1</w:t>
            </w:r>
          </w:p>
        </w:tc>
        <w:tc>
          <w:tcPr>
            <w:tcW w:w="846" w:type="pct"/>
            <w:shd w:val="clear" w:color="auto" w:fill="auto"/>
            <w:vAlign w:val="center"/>
          </w:tcPr>
          <w:p w14:paraId="5739CD8C" w14:textId="4C8B0C15" w:rsidR="0019217E" w:rsidRPr="001B0AE9" w:rsidRDefault="00D91FB1" w:rsidP="00DC5D83">
            <w:pPr>
              <w:keepNext/>
              <w:keepLines/>
              <w:jc w:val="center"/>
              <w:rPr>
                <w:rFonts w:ascii="Arial Narrow" w:hAnsi="Arial Narrow"/>
                <w:sz w:val="20"/>
                <w:szCs w:val="20"/>
                <w:vertAlign w:val="superscript"/>
              </w:rPr>
            </w:pPr>
            <w:r w:rsidRPr="00D91FB1">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rPr>
              <w:t xml:space="preserve"> </w:t>
            </w:r>
            <w:r w:rsidR="0019217E">
              <w:rPr>
                <w:rFonts w:ascii="Arial Narrow" w:hAnsi="Arial Narrow"/>
                <w:sz w:val="20"/>
                <w:szCs w:val="20"/>
                <w:vertAlign w:val="superscript"/>
              </w:rPr>
              <w:t>a</w:t>
            </w:r>
          </w:p>
        </w:tc>
        <w:tc>
          <w:tcPr>
            <w:tcW w:w="716" w:type="pct"/>
            <w:shd w:val="clear" w:color="auto" w:fill="auto"/>
            <w:vAlign w:val="center"/>
          </w:tcPr>
          <w:p w14:paraId="5F8F551D" w14:textId="48C21FA3" w:rsidR="0019217E" w:rsidRPr="00A66414" w:rsidRDefault="00D91FB1" w:rsidP="00DC5D83">
            <w:pPr>
              <w:keepNext/>
              <w:keepLines/>
              <w:jc w:val="center"/>
              <w:rPr>
                <w:rFonts w:ascii="Arial Narrow" w:hAnsi="Arial Narrow"/>
                <w:sz w:val="20"/>
                <w:szCs w:val="20"/>
                <w:vertAlign w:val="superscript"/>
              </w:rPr>
            </w:pPr>
            <w:r w:rsidRPr="00D91FB1">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rPr>
              <w:t xml:space="preserve"> </w:t>
            </w:r>
            <w:r w:rsidR="0019217E">
              <w:rPr>
                <w:rFonts w:ascii="Arial Narrow" w:hAnsi="Arial Narrow"/>
                <w:sz w:val="20"/>
                <w:szCs w:val="20"/>
                <w:vertAlign w:val="superscript"/>
              </w:rPr>
              <w:t>b</w:t>
            </w:r>
          </w:p>
        </w:tc>
        <w:tc>
          <w:tcPr>
            <w:tcW w:w="1002" w:type="pct"/>
            <w:vMerge w:val="restart"/>
            <w:shd w:val="clear" w:color="auto" w:fill="auto"/>
            <w:vAlign w:val="center"/>
          </w:tcPr>
          <w:p w14:paraId="18C130E6" w14:textId="709496A1" w:rsidR="0019217E" w:rsidRPr="00ED6EDE" w:rsidRDefault="0019217E" w:rsidP="00DC5D83">
            <w:pPr>
              <w:keepNext/>
              <w:keepLines/>
              <w:jc w:val="center"/>
              <w:rPr>
                <w:rFonts w:ascii="Arial Narrow" w:hAnsi="Arial Narrow"/>
                <w:sz w:val="20"/>
                <w:szCs w:val="20"/>
              </w:rPr>
            </w:pPr>
            <w:r>
              <w:rPr>
                <w:rFonts w:ascii="Arial Narrow" w:hAnsi="Arial Narrow"/>
                <w:sz w:val="20"/>
                <w:szCs w:val="20"/>
              </w:rPr>
              <w:t>$</w:t>
            </w:r>
            <w:r w:rsidR="002953F2" w:rsidRPr="002953F2">
              <w:rPr>
                <w:rFonts w:ascii="Arial Narrow" w:hAnsi="Arial Narrow" w:hint="eastAsia"/>
                <w:color w:val="000000"/>
                <w:w w:val="26"/>
                <w:sz w:val="20"/>
                <w:szCs w:val="20"/>
                <w:shd w:val="solid" w:color="000000" w:fill="000000"/>
                <w:fitText w:val="116" w:id="-1236556797"/>
                <w14:textFill>
                  <w14:solidFill>
                    <w14:srgbClr w14:val="000000">
                      <w14:alpha w14:val="100000"/>
                    </w14:srgbClr>
                  </w14:solidFill>
                </w14:textFill>
              </w:rPr>
              <w:t xml:space="preserve">　</w:t>
            </w:r>
            <w:r w:rsidR="002953F2" w:rsidRPr="002953F2">
              <w:rPr>
                <w:rFonts w:ascii="Arial Narrow" w:hAnsi="Arial Narrow"/>
                <w:color w:val="000000"/>
                <w:w w:val="26"/>
                <w:sz w:val="20"/>
                <w:szCs w:val="20"/>
                <w:shd w:val="solid" w:color="000000" w:fill="000000"/>
                <w:fitText w:val="116" w:id="-1236556797"/>
                <w14:textFill>
                  <w14:solidFill>
                    <w14:srgbClr w14:val="000000">
                      <w14:alpha w14:val="100000"/>
                    </w14:srgbClr>
                  </w14:solidFill>
                </w14:textFill>
              </w:rPr>
              <w:t>|</w:t>
            </w:r>
            <w:r w:rsidR="002953F2" w:rsidRPr="002953F2">
              <w:rPr>
                <w:rFonts w:ascii="Arial Narrow" w:hAnsi="Arial Narrow" w:hint="eastAsia"/>
                <w:color w:val="000000"/>
                <w:w w:val="26"/>
                <w:sz w:val="20"/>
                <w:szCs w:val="20"/>
                <w:shd w:val="solid" w:color="000000" w:fill="000000"/>
                <w:fitText w:val="116" w:id="-1236556797"/>
                <w14:textFill>
                  <w14:solidFill>
                    <w14:srgbClr w14:val="000000">
                      <w14:alpha w14:val="100000"/>
                    </w14:srgbClr>
                  </w14:solidFill>
                </w14:textFill>
              </w:rPr>
              <w:t xml:space="preserve">　</w:t>
            </w:r>
          </w:p>
        </w:tc>
        <w:tc>
          <w:tcPr>
            <w:tcW w:w="953" w:type="pct"/>
            <w:vMerge w:val="restart"/>
            <w:shd w:val="clear" w:color="auto" w:fill="auto"/>
            <w:vAlign w:val="center"/>
          </w:tcPr>
          <w:p w14:paraId="467DA898" w14:textId="7EC215A3" w:rsidR="0019217E" w:rsidRPr="00ED6EDE" w:rsidRDefault="0019217E" w:rsidP="00DC5D83">
            <w:pPr>
              <w:keepNext/>
              <w:keepLines/>
              <w:jc w:val="center"/>
              <w:rPr>
                <w:rFonts w:ascii="Arial Narrow" w:hAnsi="Arial Narrow"/>
                <w:sz w:val="20"/>
                <w:szCs w:val="20"/>
              </w:rPr>
            </w:pPr>
            <w:r>
              <w:rPr>
                <w:rFonts w:ascii="Arial Narrow" w:hAnsi="Arial Narrow"/>
                <w:sz w:val="20"/>
                <w:szCs w:val="20"/>
              </w:rPr>
              <w:t>$</w:t>
            </w:r>
            <w:r w:rsidR="002953F2" w:rsidRPr="002953F2">
              <w:rPr>
                <w:rFonts w:ascii="Arial Narrow" w:hAnsi="Arial Narrow"/>
                <w:color w:val="000000"/>
                <w:spacing w:val="72"/>
                <w:sz w:val="20"/>
                <w:szCs w:val="20"/>
                <w:shd w:val="solid" w:color="000000" w:fill="000000"/>
                <w:fitText w:val="158" w:id="-1236556796"/>
                <w14:textFill>
                  <w14:solidFill>
                    <w14:srgbClr w14:val="000000">
                      <w14:alpha w14:val="100000"/>
                    </w14:srgbClr>
                  </w14:solidFill>
                </w14:textFill>
              </w:rPr>
              <w:t>|</w:t>
            </w:r>
            <w:r w:rsidR="002953F2" w:rsidRPr="002953F2">
              <w:rPr>
                <w:rFonts w:ascii="Arial Narrow" w:hAnsi="Arial Narrow"/>
                <w:color w:val="000000"/>
                <w:sz w:val="20"/>
                <w:szCs w:val="20"/>
                <w:shd w:val="solid" w:color="000000" w:fill="000000"/>
                <w:fitText w:val="158" w:id="-1236556796"/>
                <w14:textFill>
                  <w14:solidFill>
                    <w14:srgbClr w14:val="000000">
                      <w14:alpha w14:val="100000"/>
                    </w14:srgbClr>
                  </w14:solidFill>
                </w14:textFill>
              </w:rPr>
              <w:t>|</w:t>
            </w:r>
          </w:p>
        </w:tc>
      </w:tr>
      <w:tr w:rsidR="0019217E" w:rsidRPr="00ED6EDE" w14:paraId="55543D9A" w14:textId="77777777" w:rsidTr="00DC5D83">
        <w:trPr>
          <w:trHeight w:val="20"/>
        </w:trPr>
        <w:tc>
          <w:tcPr>
            <w:tcW w:w="943" w:type="pct"/>
            <w:shd w:val="clear" w:color="auto" w:fill="auto"/>
            <w:vAlign w:val="center"/>
          </w:tcPr>
          <w:p w14:paraId="34A90C5E" w14:textId="77777777" w:rsidR="0019217E" w:rsidRPr="00ED6EDE" w:rsidRDefault="0019217E" w:rsidP="00DC5D83">
            <w:pPr>
              <w:keepNext/>
              <w:keepLines/>
              <w:rPr>
                <w:rFonts w:ascii="Arial Narrow" w:hAnsi="Arial Narrow"/>
                <w:sz w:val="20"/>
                <w:szCs w:val="20"/>
              </w:rPr>
            </w:pPr>
            <w:r w:rsidRPr="00ED6EDE">
              <w:rPr>
                <w:rFonts w:ascii="Arial Narrow" w:hAnsi="Arial Narrow"/>
                <w:sz w:val="20"/>
                <w:szCs w:val="20"/>
              </w:rPr>
              <w:t>Lenvatinib</w:t>
            </w:r>
          </w:p>
        </w:tc>
        <w:tc>
          <w:tcPr>
            <w:tcW w:w="540" w:type="pct"/>
            <w:shd w:val="clear" w:color="auto" w:fill="auto"/>
            <w:vAlign w:val="center"/>
          </w:tcPr>
          <w:p w14:paraId="544C3775" w14:textId="77777777" w:rsidR="0019217E" w:rsidRPr="00ED6EDE" w:rsidRDefault="0019217E" w:rsidP="00DC5D83">
            <w:pPr>
              <w:keepNext/>
              <w:keepLines/>
              <w:jc w:val="center"/>
              <w:rPr>
                <w:rFonts w:ascii="Arial Narrow" w:hAnsi="Arial Narrow"/>
                <w:sz w:val="20"/>
                <w:szCs w:val="20"/>
              </w:rPr>
            </w:pPr>
            <w:r>
              <w:rPr>
                <w:rFonts w:ascii="Arial Narrow" w:hAnsi="Arial Narrow"/>
                <w:sz w:val="20"/>
                <w:szCs w:val="20"/>
              </w:rPr>
              <w:t>8.4 “months”</w:t>
            </w:r>
          </w:p>
        </w:tc>
        <w:tc>
          <w:tcPr>
            <w:tcW w:w="846" w:type="pct"/>
            <w:shd w:val="clear" w:color="auto" w:fill="auto"/>
            <w:vAlign w:val="center"/>
          </w:tcPr>
          <w:p w14:paraId="0AF85E05" w14:textId="5DA2E333" w:rsidR="0019217E" w:rsidRPr="00ED6EDE" w:rsidRDefault="00D91FB1" w:rsidP="00DC5D83">
            <w:pPr>
              <w:keepNext/>
              <w:keepLines/>
              <w:jc w:val="center"/>
              <w:rPr>
                <w:rFonts w:ascii="Arial Narrow" w:hAnsi="Arial Narrow"/>
                <w:sz w:val="20"/>
                <w:szCs w:val="20"/>
              </w:rPr>
            </w:pPr>
            <w:r w:rsidRPr="00D91FB1">
              <w:rPr>
                <w:rFonts w:ascii="Arial Narrow" w:hAnsi="Arial Narrow" w:hint="eastAsia"/>
                <w:color w:val="000000"/>
                <w:w w:val="33"/>
                <w:sz w:val="20"/>
                <w:szCs w:val="20"/>
                <w:shd w:val="solid" w:color="000000" w:fill="000000"/>
                <w:fitText w:val="150" w:id="-1230249216"/>
                <w14:textFill>
                  <w14:solidFill>
                    <w14:srgbClr w14:val="000000">
                      <w14:alpha w14:val="100000"/>
                    </w14:srgbClr>
                  </w14:solidFill>
                </w14:textFill>
              </w:rPr>
              <w:t xml:space="preserve">　</w:t>
            </w:r>
            <w:r w:rsidRPr="00D91FB1">
              <w:rPr>
                <w:rFonts w:ascii="Arial Narrow" w:hAnsi="Arial Narrow"/>
                <w:color w:val="000000"/>
                <w:w w:val="33"/>
                <w:sz w:val="20"/>
                <w:szCs w:val="20"/>
                <w:shd w:val="solid" w:color="000000" w:fill="000000"/>
                <w:fitText w:val="150" w:id="-1230249216"/>
                <w14:textFill>
                  <w14:solidFill>
                    <w14:srgbClr w14:val="000000">
                      <w14:alpha w14:val="100000"/>
                    </w14:srgbClr>
                  </w14:solidFill>
                </w14:textFill>
              </w:rPr>
              <w:t>|</w:t>
            </w:r>
            <w:r w:rsidRPr="00D91FB1">
              <w:rPr>
                <w:rFonts w:ascii="Arial Narrow" w:hAnsi="Arial Narrow" w:hint="eastAsia"/>
                <w:color w:val="000000"/>
                <w:w w:val="33"/>
                <w:sz w:val="20"/>
                <w:szCs w:val="20"/>
                <w:shd w:val="solid" w:color="000000" w:fill="000000"/>
                <w:fitText w:val="150" w:id="-1230249216"/>
                <w14:textFill>
                  <w14:solidFill>
                    <w14:srgbClr w14:val="000000">
                      <w14:alpha w14:val="100000"/>
                    </w14:srgbClr>
                  </w14:solidFill>
                </w14:textFill>
              </w:rPr>
              <w:t xml:space="preserve">　</w:t>
            </w:r>
            <w:r>
              <w:rPr>
                <w:rFonts w:ascii="Arial Narrow" w:hAnsi="Arial Narrow"/>
                <w:sz w:val="20"/>
                <w:szCs w:val="20"/>
              </w:rPr>
              <w:t xml:space="preserve"> </w:t>
            </w:r>
            <w:r w:rsidR="0019217E">
              <w:rPr>
                <w:rFonts w:ascii="Arial Narrow" w:hAnsi="Arial Narrow"/>
                <w:sz w:val="20"/>
                <w:szCs w:val="20"/>
              </w:rPr>
              <w:t xml:space="preserve">“months” at </w:t>
            </w:r>
            <w:r w:rsidRPr="00D91FB1">
              <w:rPr>
                <w:rFonts w:ascii="Arial Narrow" w:hAnsi="Arial Narrow"/>
                <w:color w:val="000000"/>
                <w:sz w:val="20"/>
                <w:szCs w:val="20"/>
                <w:shd w:val="solid" w:color="000000" w:fill="000000"/>
                <w14:textFill>
                  <w14:solidFill>
                    <w14:srgbClr w14:val="000000">
                      <w14:alpha w14:val="100000"/>
                    </w14:srgbClr>
                  </w14:solidFill>
                </w14:textFill>
              </w:rPr>
              <w:t>|</w:t>
            </w:r>
            <w:r w:rsidR="0019217E">
              <w:rPr>
                <w:rFonts w:ascii="Arial Narrow" w:hAnsi="Arial Narrow"/>
                <w:sz w:val="20"/>
                <w:szCs w:val="20"/>
              </w:rPr>
              <w:t>% dose intensity</w:t>
            </w:r>
            <w:r w:rsidR="0019217E">
              <w:rPr>
                <w:rFonts w:ascii="Arial Narrow" w:hAnsi="Arial Narrow"/>
                <w:sz w:val="20"/>
                <w:szCs w:val="20"/>
                <w:vertAlign w:val="superscript"/>
              </w:rPr>
              <w:t>c</w:t>
            </w:r>
          </w:p>
        </w:tc>
        <w:tc>
          <w:tcPr>
            <w:tcW w:w="716" w:type="pct"/>
            <w:shd w:val="clear" w:color="auto" w:fill="auto"/>
            <w:vAlign w:val="center"/>
          </w:tcPr>
          <w:p w14:paraId="753BA979" w14:textId="551C5CBA" w:rsidR="0019217E" w:rsidRPr="00A66414" w:rsidRDefault="00D91FB1" w:rsidP="00DC5D83">
            <w:pPr>
              <w:keepNext/>
              <w:keepLines/>
              <w:jc w:val="center"/>
              <w:rPr>
                <w:rFonts w:ascii="Arial Narrow" w:hAnsi="Arial Narrow"/>
                <w:sz w:val="20"/>
                <w:szCs w:val="20"/>
                <w:vertAlign w:val="superscript"/>
              </w:rPr>
            </w:pPr>
            <w:r w:rsidRPr="00D91FB1">
              <w:rPr>
                <w:rFonts w:ascii="Arial Narrow" w:hAnsi="Arial Narrow"/>
                <w:color w:val="000000"/>
                <w:spacing w:val="114"/>
                <w:sz w:val="20"/>
                <w:szCs w:val="20"/>
                <w:shd w:val="solid" w:color="000000" w:fill="000000"/>
                <w:fitText w:val="200" w:id="-1230249215"/>
                <w14:textFill>
                  <w14:solidFill>
                    <w14:srgbClr w14:val="000000">
                      <w14:alpha w14:val="100000"/>
                    </w14:srgbClr>
                  </w14:solidFill>
                </w14:textFill>
              </w:rPr>
              <w:t>|</w:t>
            </w:r>
            <w:r w:rsidRPr="00D91FB1">
              <w:rPr>
                <w:rFonts w:ascii="Arial Narrow" w:hAnsi="Arial Narrow"/>
                <w:color w:val="000000"/>
                <w:sz w:val="20"/>
                <w:szCs w:val="20"/>
                <w:shd w:val="solid" w:color="000000" w:fill="000000"/>
                <w:fitText w:val="200" w:id="-1230249215"/>
                <w14:textFill>
                  <w14:solidFill>
                    <w14:srgbClr w14:val="000000">
                      <w14:alpha w14:val="100000"/>
                    </w14:srgbClr>
                  </w14:solidFill>
                </w14:textFill>
              </w:rPr>
              <w:t>|</w:t>
            </w:r>
            <w:r>
              <w:rPr>
                <w:rFonts w:ascii="Arial Narrow" w:hAnsi="Arial Narrow"/>
                <w:sz w:val="20"/>
                <w:szCs w:val="20"/>
              </w:rPr>
              <w:t xml:space="preserve"> </w:t>
            </w:r>
            <w:r w:rsidR="0019217E">
              <w:rPr>
                <w:rFonts w:ascii="Arial Narrow" w:hAnsi="Arial Narrow"/>
                <w:sz w:val="20"/>
                <w:szCs w:val="20"/>
              </w:rPr>
              <w:t xml:space="preserve">months at dose of </w:t>
            </w:r>
            <w:r w:rsidRPr="00D91FB1">
              <w:rPr>
                <w:rFonts w:ascii="Arial Narrow" w:hAnsi="Arial Narrow" w:hint="eastAsia"/>
                <w:color w:val="000000"/>
                <w:w w:val="15"/>
                <w:sz w:val="20"/>
                <w:szCs w:val="20"/>
                <w:shd w:val="solid" w:color="000000" w:fill="000000"/>
                <w:fitText w:val="40" w:id="-1230248960"/>
                <w14:textFill>
                  <w14:solidFill>
                    <w14:srgbClr w14:val="000000">
                      <w14:alpha w14:val="100000"/>
                    </w14:srgbClr>
                  </w14:solidFill>
                </w14:textFill>
              </w:rPr>
              <w:t xml:space="preserve">　</w:t>
            </w:r>
            <w:r w:rsidRPr="00D91FB1">
              <w:rPr>
                <w:rFonts w:ascii="Arial Narrow" w:hAnsi="Arial Narrow"/>
                <w:color w:val="000000"/>
                <w:w w:val="15"/>
                <w:sz w:val="20"/>
                <w:szCs w:val="20"/>
                <w:shd w:val="solid" w:color="000000" w:fill="000000"/>
                <w:fitText w:val="40" w:id="-1230248960"/>
                <w14:textFill>
                  <w14:solidFill>
                    <w14:srgbClr w14:val="000000">
                      <w14:alpha w14:val="100000"/>
                    </w14:srgbClr>
                  </w14:solidFill>
                </w14:textFill>
              </w:rPr>
              <w:t>|</w:t>
            </w:r>
            <w:r w:rsidRPr="00D91FB1">
              <w:rPr>
                <w:rFonts w:ascii="Arial Narrow" w:hAnsi="Arial Narrow" w:hint="eastAsia"/>
                <w:color w:val="000000"/>
                <w:spacing w:val="-25"/>
                <w:w w:val="15"/>
                <w:sz w:val="20"/>
                <w:szCs w:val="20"/>
                <w:shd w:val="solid" w:color="000000" w:fill="000000"/>
                <w:fitText w:val="40" w:id="-1230248960"/>
                <w14:textFill>
                  <w14:solidFill>
                    <w14:srgbClr w14:val="000000">
                      <w14:alpha w14:val="100000"/>
                    </w14:srgbClr>
                  </w14:solidFill>
                </w14:textFill>
              </w:rPr>
              <w:t xml:space="preserve">　</w:t>
            </w:r>
            <w:r>
              <w:rPr>
                <w:rFonts w:ascii="Arial Narrow" w:hAnsi="Arial Narrow"/>
                <w:sz w:val="20"/>
                <w:szCs w:val="20"/>
              </w:rPr>
              <w:t xml:space="preserve"> </w:t>
            </w:r>
            <w:r w:rsidR="0019217E">
              <w:rPr>
                <w:rFonts w:ascii="Arial Narrow" w:hAnsi="Arial Narrow"/>
                <w:sz w:val="20"/>
                <w:szCs w:val="20"/>
              </w:rPr>
              <w:t xml:space="preserve">mg </w:t>
            </w:r>
            <w:r w:rsidR="0019217E">
              <w:rPr>
                <w:rFonts w:ascii="Arial Narrow" w:hAnsi="Arial Narrow"/>
                <w:sz w:val="20"/>
                <w:szCs w:val="20"/>
                <w:vertAlign w:val="superscript"/>
              </w:rPr>
              <w:t>d</w:t>
            </w:r>
          </w:p>
        </w:tc>
        <w:tc>
          <w:tcPr>
            <w:tcW w:w="1002" w:type="pct"/>
            <w:vMerge/>
            <w:shd w:val="clear" w:color="auto" w:fill="auto"/>
            <w:vAlign w:val="center"/>
          </w:tcPr>
          <w:p w14:paraId="0CE187FD" w14:textId="77777777" w:rsidR="0019217E" w:rsidRPr="00ED6EDE" w:rsidRDefault="0019217E" w:rsidP="00DC5D83">
            <w:pPr>
              <w:keepNext/>
              <w:keepLines/>
              <w:jc w:val="center"/>
              <w:rPr>
                <w:rFonts w:ascii="Arial Narrow" w:hAnsi="Arial Narrow"/>
                <w:sz w:val="20"/>
                <w:szCs w:val="20"/>
              </w:rPr>
            </w:pPr>
          </w:p>
        </w:tc>
        <w:tc>
          <w:tcPr>
            <w:tcW w:w="953" w:type="pct"/>
            <w:vMerge/>
            <w:shd w:val="clear" w:color="auto" w:fill="auto"/>
            <w:vAlign w:val="center"/>
          </w:tcPr>
          <w:p w14:paraId="432AA04B" w14:textId="77777777" w:rsidR="0019217E" w:rsidRPr="00ED6EDE" w:rsidRDefault="0019217E" w:rsidP="00DC5D83">
            <w:pPr>
              <w:keepNext/>
              <w:keepLines/>
              <w:jc w:val="center"/>
              <w:rPr>
                <w:rFonts w:ascii="Arial Narrow" w:hAnsi="Arial Narrow"/>
                <w:sz w:val="20"/>
                <w:szCs w:val="20"/>
              </w:rPr>
            </w:pPr>
          </w:p>
        </w:tc>
      </w:tr>
      <w:tr w:rsidR="0019217E" w:rsidRPr="00ED6EDE" w14:paraId="6AA852C3" w14:textId="77777777" w:rsidTr="00DC5D83">
        <w:trPr>
          <w:trHeight w:val="20"/>
        </w:trPr>
        <w:tc>
          <w:tcPr>
            <w:tcW w:w="3045" w:type="pct"/>
            <w:gridSpan w:val="4"/>
            <w:shd w:val="clear" w:color="auto" w:fill="auto"/>
            <w:vAlign w:val="center"/>
          </w:tcPr>
          <w:p w14:paraId="1BCC2D6A" w14:textId="77777777" w:rsidR="0019217E" w:rsidRPr="00ED6EDE" w:rsidRDefault="0019217E" w:rsidP="00DC5D83">
            <w:pPr>
              <w:keepNext/>
              <w:keepLines/>
              <w:rPr>
                <w:rFonts w:ascii="Arial Narrow" w:hAnsi="Arial Narrow"/>
                <w:sz w:val="20"/>
                <w:szCs w:val="20"/>
              </w:rPr>
            </w:pPr>
            <w:r w:rsidRPr="00ED6EDE">
              <w:rPr>
                <w:rFonts w:ascii="Arial Narrow" w:hAnsi="Arial Narrow"/>
                <w:sz w:val="20"/>
                <w:szCs w:val="20"/>
              </w:rPr>
              <w:t>Total</w:t>
            </w:r>
          </w:p>
        </w:tc>
        <w:tc>
          <w:tcPr>
            <w:tcW w:w="1002" w:type="pct"/>
            <w:vMerge/>
            <w:shd w:val="clear" w:color="auto" w:fill="auto"/>
            <w:vAlign w:val="center"/>
          </w:tcPr>
          <w:p w14:paraId="02F707A4" w14:textId="77777777" w:rsidR="0019217E" w:rsidRPr="00ED6EDE" w:rsidRDefault="0019217E" w:rsidP="00DC5D83">
            <w:pPr>
              <w:keepNext/>
              <w:keepLines/>
              <w:jc w:val="center"/>
              <w:rPr>
                <w:rFonts w:ascii="Arial Narrow" w:hAnsi="Arial Narrow"/>
                <w:sz w:val="20"/>
                <w:szCs w:val="20"/>
              </w:rPr>
            </w:pPr>
          </w:p>
        </w:tc>
        <w:tc>
          <w:tcPr>
            <w:tcW w:w="953" w:type="pct"/>
            <w:vMerge/>
            <w:shd w:val="clear" w:color="auto" w:fill="auto"/>
            <w:vAlign w:val="center"/>
          </w:tcPr>
          <w:p w14:paraId="59ECC0AB" w14:textId="77777777" w:rsidR="0019217E" w:rsidRPr="00ED6EDE" w:rsidRDefault="0019217E" w:rsidP="00DC5D83">
            <w:pPr>
              <w:keepNext/>
              <w:keepLines/>
              <w:jc w:val="center"/>
              <w:rPr>
                <w:rFonts w:ascii="Arial Narrow" w:hAnsi="Arial Narrow"/>
                <w:sz w:val="20"/>
                <w:szCs w:val="20"/>
              </w:rPr>
            </w:pPr>
          </w:p>
        </w:tc>
      </w:tr>
    </w:tbl>
    <w:p w14:paraId="6BBC0F20" w14:textId="3072A560" w:rsidR="0019217E" w:rsidRPr="00F73EF8" w:rsidRDefault="0019217E" w:rsidP="00E4459B">
      <w:pPr>
        <w:pStyle w:val="Tabletextcent"/>
        <w:keepNext/>
        <w:keepLines/>
        <w:spacing w:before="0" w:after="120"/>
        <w:ind w:firstLine="720"/>
        <w:jc w:val="both"/>
      </w:pPr>
      <w:r w:rsidRPr="00953748">
        <w:rPr>
          <w:rFonts w:ascii="Arial Narrow" w:hAnsi="Arial Narrow"/>
        </w:rPr>
        <w:t>Source: Table 14, Ratified PBAC minutes, item 6.07 pembrolizumab March 2022</w:t>
      </w:r>
    </w:p>
    <w:p w14:paraId="289D3CF5" w14:textId="77777777" w:rsidR="0019217E" w:rsidRDefault="0019217E" w:rsidP="0019217E">
      <w:pPr>
        <w:pStyle w:val="ListParagraph"/>
        <w:widowControl/>
        <w:numPr>
          <w:ilvl w:val="1"/>
          <w:numId w:val="2"/>
        </w:numPr>
        <w:spacing w:after="120"/>
      </w:pPr>
      <w:r>
        <w:t>A summary of the prices proposed by the sponsors, and resulting cost per patient, is shown below.</w:t>
      </w:r>
    </w:p>
    <w:p w14:paraId="33384012" w14:textId="77777777" w:rsidR="0019217E" w:rsidRDefault="0019217E" w:rsidP="001265BA">
      <w:pPr>
        <w:pStyle w:val="ListParagraph"/>
        <w:keepNext/>
        <w:widowControl/>
        <w:spacing w:after="0"/>
      </w:pPr>
      <w:r w:rsidRPr="00ED6EDE">
        <w:rPr>
          <w:rStyle w:val="CommentReference"/>
        </w:rPr>
        <w:t xml:space="preserve">Table </w:t>
      </w:r>
      <w:r w:rsidRPr="00ED6EDE">
        <w:rPr>
          <w:rStyle w:val="CommentReference"/>
        </w:rPr>
        <w:fldChar w:fldCharType="begin"/>
      </w:r>
      <w:r w:rsidRPr="00ED6EDE">
        <w:rPr>
          <w:rStyle w:val="CommentReference"/>
        </w:rPr>
        <w:instrText xml:space="preserve"> SEQ Table \* MERGEFORMAT </w:instrText>
      </w:r>
      <w:r w:rsidRPr="00ED6EDE">
        <w:rPr>
          <w:rStyle w:val="CommentReference"/>
        </w:rPr>
        <w:fldChar w:fldCharType="separate"/>
      </w:r>
      <w:r>
        <w:rPr>
          <w:rStyle w:val="CommentReference"/>
          <w:noProof/>
        </w:rPr>
        <w:t>18</w:t>
      </w:r>
      <w:r w:rsidRPr="00ED6EDE">
        <w:rPr>
          <w:rStyle w:val="CommentReference"/>
        </w:rPr>
        <w:fldChar w:fldCharType="end"/>
      </w:r>
      <w:r w:rsidRPr="00ED6EDE">
        <w:rPr>
          <w:rStyle w:val="CommentReference"/>
        </w:rPr>
        <w:t>: Drug cost per patient for pembrolizumab and lenvatinib</w:t>
      </w:r>
      <w:r>
        <w:rPr>
          <w:rStyle w:val="CommentReference"/>
        </w:rPr>
        <w:t xml:space="preserve"> at March 2023</w:t>
      </w:r>
    </w:p>
    <w:tbl>
      <w:tblPr>
        <w:tblStyle w:val="TableGrid"/>
        <w:tblW w:w="8338" w:type="dxa"/>
        <w:tblInd w:w="704" w:type="dxa"/>
        <w:tblLook w:val="04A0" w:firstRow="1" w:lastRow="0" w:firstColumn="1" w:lastColumn="0" w:noHBand="0" w:noVBand="1"/>
      </w:tblPr>
      <w:tblGrid>
        <w:gridCol w:w="2268"/>
        <w:gridCol w:w="3632"/>
        <w:gridCol w:w="2438"/>
      </w:tblGrid>
      <w:tr w:rsidR="0019217E" w:rsidRPr="006305C4" w14:paraId="746FF558" w14:textId="77777777" w:rsidTr="001265BA">
        <w:trPr>
          <w:trHeight w:val="283"/>
        </w:trPr>
        <w:tc>
          <w:tcPr>
            <w:tcW w:w="2268" w:type="dxa"/>
          </w:tcPr>
          <w:p w14:paraId="0FFECDCE" w14:textId="77777777" w:rsidR="0019217E" w:rsidRPr="008C08DC" w:rsidRDefault="0019217E" w:rsidP="001265BA">
            <w:pPr>
              <w:pStyle w:val="3-BodyText"/>
              <w:keepNext/>
              <w:spacing w:after="0"/>
              <w:ind w:left="0" w:firstLine="0"/>
              <w:rPr>
                <w:rFonts w:ascii="Arial Narrow" w:hAnsi="Arial Narrow"/>
                <w:b/>
                <w:bCs/>
                <w:sz w:val="20"/>
                <w:szCs w:val="20"/>
              </w:rPr>
            </w:pPr>
            <w:r w:rsidRPr="008C08DC">
              <w:rPr>
                <w:rFonts w:ascii="Arial Narrow" w:hAnsi="Arial Narrow"/>
                <w:b/>
                <w:bCs/>
                <w:sz w:val="20"/>
                <w:szCs w:val="20"/>
              </w:rPr>
              <w:t>Drug</w:t>
            </w:r>
          </w:p>
        </w:tc>
        <w:tc>
          <w:tcPr>
            <w:tcW w:w="3632" w:type="dxa"/>
          </w:tcPr>
          <w:p w14:paraId="3D2A1474" w14:textId="77777777" w:rsidR="0019217E" w:rsidRPr="008C08DC" w:rsidRDefault="0019217E" w:rsidP="001265BA">
            <w:pPr>
              <w:pStyle w:val="3-BodyText"/>
              <w:keepNext/>
              <w:spacing w:after="0"/>
              <w:ind w:left="0" w:firstLine="0"/>
              <w:rPr>
                <w:rFonts w:ascii="Arial Narrow" w:hAnsi="Arial Narrow"/>
                <w:b/>
                <w:bCs/>
                <w:sz w:val="20"/>
                <w:szCs w:val="20"/>
              </w:rPr>
            </w:pPr>
            <w:r w:rsidRPr="008C08DC">
              <w:rPr>
                <w:rFonts w:ascii="Arial Narrow" w:hAnsi="Arial Narrow"/>
                <w:b/>
                <w:bCs/>
                <w:sz w:val="20"/>
                <w:szCs w:val="20"/>
              </w:rPr>
              <w:t>Unit price</w:t>
            </w:r>
            <w:r>
              <w:rPr>
                <w:rFonts w:ascii="Arial Narrow" w:hAnsi="Arial Narrow"/>
                <w:b/>
                <w:bCs/>
                <w:sz w:val="20"/>
                <w:szCs w:val="20"/>
              </w:rPr>
              <w:t xml:space="preserve"> proposed</w:t>
            </w:r>
          </w:p>
        </w:tc>
        <w:tc>
          <w:tcPr>
            <w:tcW w:w="2438" w:type="dxa"/>
          </w:tcPr>
          <w:p w14:paraId="125F7DF6" w14:textId="77777777" w:rsidR="0019217E" w:rsidRPr="006305C4" w:rsidRDefault="0019217E" w:rsidP="001265BA">
            <w:pPr>
              <w:pStyle w:val="3-BodyText"/>
              <w:keepNext/>
              <w:spacing w:after="0"/>
              <w:ind w:left="0" w:firstLine="0"/>
              <w:jc w:val="center"/>
              <w:rPr>
                <w:rFonts w:ascii="Arial Narrow" w:hAnsi="Arial Narrow"/>
                <w:b/>
                <w:bCs/>
                <w:sz w:val="20"/>
                <w:szCs w:val="20"/>
              </w:rPr>
            </w:pPr>
            <w:r w:rsidRPr="006305C4">
              <w:rPr>
                <w:rFonts w:ascii="Arial Narrow" w:hAnsi="Arial Narrow"/>
                <w:b/>
                <w:bCs/>
                <w:sz w:val="20"/>
                <w:szCs w:val="20"/>
              </w:rPr>
              <w:t>Cost per patient</w:t>
            </w:r>
            <w:r>
              <w:rPr>
                <w:rFonts w:ascii="Arial Narrow" w:hAnsi="Arial Narrow"/>
                <w:b/>
                <w:bCs/>
                <w:sz w:val="20"/>
                <w:szCs w:val="20"/>
              </w:rPr>
              <w:t xml:space="preserve"> per course</w:t>
            </w:r>
          </w:p>
        </w:tc>
      </w:tr>
      <w:tr w:rsidR="0019217E" w:rsidRPr="006305C4" w14:paraId="731F89AE" w14:textId="77777777" w:rsidTr="001265BA">
        <w:trPr>
          <w:trHeight w:val="283"/>
        </w:trPr>
        <w:tc>
          <w:tcPr>
            <w:tcW w:w="2268" w:type="dxa"/>
          </w:tcPr>
          <w:p w14:paraId="06242CE7" w14:textId="77777777" w:rsidR="0019217E" w:rsidRPr="006305C4" w:rsidRDefault="0019217E" w:rsidP="001265BA">
            <w:pPr>
              <w:pStyle w:val="3-BodyText"/>
              <w:keepNext/>
              <w:spacing w:after="0"/>
              <w:ind w:left="0" w:firstLine="0"/>
              <w:rPr>
                <w:rFonts w:ascii="Arial Narrow" w:hAnsi="Arial Narrow"/>
                <w:sz w:val="20"/>
                <w:szCs w:val="20"/>
              </w:rPr>
            </w:pPr>
            <w:r w:rsidRPr="006305C4">
              <w:rPr>
                <w:rFonts w:ascii="Arial Narrow" w:hAnsi="Arial Narrow"/>
                <w:sz w:val="20"/>
                <w:szCs w:val="20"/>
              </w:rPr>
              <w:t>Pembrolizumab</w:t>
            </w:r>
          </w:p>
        </w:tc>
        <w:tc>
          <w:tcPr>
            <w:tcW w:w="3632" w:type="dxa"/>
          </w:tcPr>
          <w:p w14:paraId="34DB5E2E" w14:textId="60995405" w:rsidR="0019217E" w:rsidRPr="006305C4" w:rsidRDefault="0019217E" w:rsidP="001265BA">
            <w:pPr>
              <w:pStyle w:val="3-BodyText"/>
              <w:keepNext/>
              <w:spacing w:after="0"/>
              <w:ind w:left="0" w:firstLine="0"/>
              <w:rPr>
                <w:rFonts w:ascii="Arial Narrow" w:hAnsi="Arial Narrow"/>
                <w:sz w:val="20"/>
                <w:szCs w:val="20"/>
              </w:rPr>
            </w:pPr>
            <w:r w:rsidRPr="006305C4">
              <w:rPr>
                <w:rFonts w:ascii="Arial Narrow" w:hAnsi="Arial Narrow"/>
                <w:sz w:val="20"/>
                <w:szCs w:val="20"/>
              </w:rPr>
              <w:t>$</w:t>
            </w:r>
            <w:r w:rsidR="002953F2" w:rsidRPr="002953F2">
              <w:rPr>
                <w:rFonts w:ascii="Arial Narrow" w:hAnsi="Arial Narrow"/>
                <w:color w:val="000000"/>
                <w:spacing w:val="10"/>
                <w:sz w:val="20"/>
                <w:szCs w:val="20"/>
                <w:shd w:val="solid" w:color="000000" w:fill="000000"/>
                <w:fitText w:val="529" w:id="-1236556795"/>
                <w14:textFill>
                  <w14:solidFill>
                    <w14:srgbClr w14:val="000000">
                      <w14:alpha w14:val="100000"/>
                    </w14:srgbClr>
                  </w14:solidFill>
                </w14:textFill>
              </w:rPr>
              <w:t>||||  |||</w:t>
            </w:r>
            <w:r w:rsidR="002953F2" w:rsidRPr="002953F2">
              <w:rPr>
                <w:rFonts w:ascii="Arial Narrow" w:hAnsi="Arial Narrow"/>
                <w:color w:val="000000"/>
                <w:spacing w:val="8"/>
                <w:sz w:val="20"/>
                <w:szCs w:val="20"/>
                <w:shd w:val="solid" w:color="000000" w:fill="000000"/>
                <w:fitText w:val="529" w:id="-1236556795"/>
                <w14:textFill>
                  <w14:solidFill>
                    <w14:srgbClr w14:val="000000">
                      <w14:alpha w14:val="100000"/>
                    </w14:srgbClr>
                  </w14:solidFill>
                </w14:textFill>
              </w:rPr>
              <w:t>|</w:t>
            </w:r>
            <w:r w:rsidRPr="006305C4">
              <w:rPr>
                <w:rFonts w:ascii="Arial Narrow" w:hAnsi="Arial Narrow"/>
                <w:sz w:val="20"/>
                <w:szCs w:val="20"/>
              </w:rPr>
              <w:t xml:space="preserve"> per 100 mg vial</w:t>
            </w:r>
          </w:p>
        </w:tc>
        <w:tc>
          <w:tcPr>
            <w:tcW w:w="2438" w:type="dxa"/>
          </w:tcPr>
          <w:p w14:paraId="5EB8D065" w14:textId="7C0A969D" w:rsidR="0019217E" w:rsidRPr="006305C4" w:rsidRDefault="0019217E" w:rsidP="001265BA">
            <w:pPr>
              <w:pStyle w:val="3-BodyText"/>
              <w:keepNext/>
              <w:spacing w:after="0"/>
              <w:ind w:left="0" w:firstLine="0"/>
              <w:jc w:val="right"/>
              <w:rPr>
                <w:rFonts w:ascii="Arial Narrow" w:hAnsi="Arial Narrow"/>
                <w:sz w:val="20"/>
                <w:szCs w:val="20"/>
              </w:rPr>
            </w:pPr>
            <w:r w:rsidRPr="006305C4">
              <w:rPr>
                <w:rFonts w:ascii="Arial Narrow" w:hAnsi="Arial Narrow"/>
                <w:sz w:val="20"/>
                <w:szCs w:val="20"/>
              </w:rPr>
              <w:t>$</w:t>
            </w:r>
            <w:r w:rsidR="002953F2" w:rsidRPr="002953F2">
              <w:rPr>
                <w:rFonts w:ascii="Arial Narrow" w:hAnsi="Arial Narrow"/>
                <w:color w:val="000000"/>
                <w:sz w:val="20"/>
                <w:szCs w:val="20"/>
                <w:shd w:val="solid" w:color="000000" w:fill="000000"/>
                <w14:textFill>
                  <w14:solidFill>
                    <w14:srgbClr w14:val="000000">
                      <w14:alpha w14:val="100000"/>
                    </w14:srgbClr>
                  </w14:solidFill>
                </w14:textFill>
              </w:rPr>
              <w:t>|</w:t>
            </w:r>
          </w:p>
        </w:tc>
      </w:tr>
      <w:tr w:rsidR="0019217E" w:rsidRPr="006305C4" w14:paraId="67C0C9B5" w14:textId="77777777" w:rsidTr="001265BA">
        <w:trPr>
          <w:trHeight w:val="283"/>
        </w:trPr>
        <w:tc>
          <w:tcPr>
            <w:tcW w:w="2268" w:type="dxa"/>
          </w:tcPr>
          <w:p w14:paraId="1BF1D3FF" w14:textId="77777777" w:rsidR="0019217E" w:rsidRPr="006305C4" w:rsidRDefault="0019217E" w:rsidP="001265BA">
            <w:pPr>
              <w:pStyle w:val="3-BodyText"/>
              <w:keepNext/>
              <w:spacing w:after="0"/>
              <w:ind w:left="0" w:firstLine="0"/>
              <w:rPr>
                <w:rFonts w:ascii="Arial Narrow" w:hAnsi="Arial Narrow"/>
                <w:sz w:val="20"/>
                <w:szCs w:val="20"/>
              </w:rPr>
            </w:pPr>
            <w:r w:rsidRPr="006305C4">
              <w:rPr>
                <w:rFonts w:ascii="Arial Narrow" w:hAnsi="Arial Narrow"/>
                <w:sz w:val="20"/>
                <w:szCs w:val="20"/>
              </w:rPr>
              <w:t>Lenvatinib</w:t>
            </w:r>
          </w:p>
        </w:tc>
        <w:tc>
          <w:tcPr>
            <w:tcW w:w="3632" w:type="dxa"/>
          </w:tcPr>
          <w:p w14:paraId="275E93D0" w14:textId="77777777" w:rsidR="0019217E" w:rsidRPr="00294DB2" w:rsidRDefault="0019217E" w:rsidP="001265BA">
            <w:pPr>
              <w:pStyle w:val="3-BodyText"/>
              <w:keepNext/>
              <w:spacing w:after="0"/>
              <w:ind w:left="0" w:firstLine="0"/>
              <w:rPr>
                <w:rFonts w:ascii="Arial Narrow" w:hAnsi="Arial Narrow"/>
                <w:sz w:val="20"/>
                <w:szCs w:val="20"/>
              </w:rPr>
            </w:pPr>
            <w:r w:rsidRPr="003E1C81">
              <w:rPr>
                <w:rFonts w:ascii="Arial Narrow" w:hAnsi="Arial Narrow"/>
                <w:sz w:val="20"/>
                <w:szCs w:val="20"/>
              </w:rPr>
              <w:t>$</w:t>
            </w:r>
            <w:r w:rsidRPr="00D91FB1">
              <w:rPr>
                <w:rFonts w:ascii="Arial Narrow" w:hAnsi="Arial Narrow"/>
                <w:color w:val="000000"/>
                <w:w w:val="64"/>
                <w:sz w:val="20"/>
                <w:szCs w:val="20"/>
                <w:shd w:val="solid" w:color="000000" w:fill="000000"/>
                <w:fitText w:val="168" w:id="-1249701120"/>
                <w14:textFill>
                  <w14:solidFill>
                    <w14:srgbClr w14:val="000000">
                      <w14:alpha w14:val="100000"/>
                    </w14:srgbClr>
                  </w14:solidFill>
                </w14:textFill>
              </w:rPr>
              <w:t>||  ||</w:t>
            </w:r>
            <w:r w:rsidRPr="00294DB2">
              <w:rPr>
                <w:rFonts w:ascii="Arial Narrow" w:hAnsi="Arial Narrow"/>
                <w:sz w:val="20"/>
                <w:szCs w:val="20"/>
              </w:rPr>
              <w:t xml:space="preserve"> per 30 pack (10 mg and 4 mg)</w:t>
            </w:r>
          </w:p>
        </w:tc>
        <w:tc>
          <w:tcPr>
            <w:tcW w:w="2438" w:type="dxa"/>
          </w:tcPr>
          <w:p w14:paraId="7259528C" w14:textId="77777777" w:rsidR="0019217E" w:rsidRPr="00294DB2" w:rsidRDefault="0019217E" w:rsidP="001265BA">
            <w:pPr>
              <w:pStyle w:val="3-BodyText"/>
              <w:keepNext/>
              <w:spacing w:after="0"/>
              <w:ind w:left="0" w:firstLine="0"/>
              <w:jc w:val="right"/>
              <w:rPr>
                <w:rFonts w:ascii="Arial Narrow" w:hAnsi="Arial Narrow"/>
                <w:sz w:val="20"/>
                <w:szCs w:val="20"/>
              </w:rPr>
            </w:pPr>
            <w:r w:rsidRPr="00953748">
              <w:rPr>
                <w:rFonts w:ascii="Arial Narrow" w:hAnsi="Arial Narrow"/>
                <w:sz w:val="20"/>
                <w:szCs w:val="20"/>
              </w:rPr>
              <w:t>$</w:t>
            </w:r>
            <w:r w:rsidRPr="00953748">
              <w:rPr>
                <w:rFonts w:ascii="Arial Narrow" w:hAnsi="Arial Narrow"/>
                <w:color w:val="000000"/>
                <w:sz w:val="20"/>
                <w:szCs w:val="20"/>
                <w:shd w:val="solid" w:color="000000" w:fill="000000"/>
                <w14:textFill>
                  <w14:solidFill>
                    <w14:srgbClr w14:val="000000">
                      <w14:alpha w14:val="100000"/>
                    </w14:srgbClr>
                  </w14:solidFill>
                </w14:textFill>
              </w:rPr>
              <w:t>|</w:t>
            </w:r>
          </w:p>
        </w:tc>
      </w:tr>
      <w:tr w:rsidR="0019217E" w:rsidRPr="006305C4" w14:paraId="2C3F19D8" w14:textId="77777777" w:rsidTr="001265BA">
        <w:trPr>
          <w:trHeight w:val="283"/>
        </w:trPr>
        <w:tc>
          <w:tcPr>
            <w:tcW w:w="2268" w:type="dxa"/>
          </w:tcPr>
          <w:p w14:paraId="6A07008A" w14:textId="77777777" w:rsidR="0019217E" w:rsidRPr="00294DB2" w:rsidRDefault="0019217E" w:rsidP="001265BA">
            <w:pPr>
              <w:pStyle w:val="3-BodyText"/>
              <w:keepNext/>
              <w:spacing w:after="0"/>
              <w:ind w:left="0" w:firstLine="0"/>
              <w:rPr>
                <w:rFonts w:ascii="Arial Narrow" w:hAnsi="Arial Narrow"/>
                <w:b/>
                <w:bCs/>
                <w:sz w:val="20"/>
                <w:szCs w:val="20"/>
              </w:rPr>
            </w:pPr>
            <w:r>
              <w:rPr>
                <w:rFonts w:ascii="Arial Narrow" w:hAnsi="Arial Narrow"/>
                <w:b/>
                <w:bCs/>
                <w:sz w:val="20"/>
                <w:szCs w:val="20"/>
              </w:rPr>
              <w:t>Total</w:t>
            </w:r>
          </w:p>
        </w:tc>
        <w:tc>
          <w:tcPr>
            <w:tcW w:w="3632" w:type="dxa"/>
          </w:tcPr>
          <w:p w14:paraId="29AC9B88" w14:textId="77777777" w:rsidR="0019217E" w:rsidRPr="00294DB2" w:rsidRDefault="0019217E" w:rsidP="001265BA">
            <w:pPr>
              <w:pStyle w:val="3-BodyText"/>
              <w:keepNext/>
              <w:spacing w:after="0"/>
              <w:ind w:left="0" w:firstLine="0"/>
              <w:rPr>
                <w:rFonts w:ascii="Arial Narrow" w:hAnsi="Arial Narrow"/>
                <w:sz w:val="20"/>
                <w:szCs w:val="20"/>
              </w:rPr>
            </w:pPr>
          </w:p>
        </w:tc>
        <w:tc>
          <w:tcPr>
            <w:tcW w:w="2438" w:type="dxa"/>
          </w:tcPr>
          <w:p w14:paraId="5DD76B60" w14:textId="77777777" w:rsidR="0019217E" w:rsidRPr="00294DB2" w:rsidRDefault="0019217E" w:rsidP="001265BA">
            <w:pPr>
              <w:pStyle w:val="3-BodyText"/>
              <w:keepNext/>
              <w:spacing w:after="0"/>
              <w:ind w:left="0" w:firstLine="0"/>
              <w:jc w:val="right"/>
              <w:rPr>
                <w:rFonts w:ascii="Arial Narrow" w:hAnsi="Arial Narrow"/>
                <w:b/>
                <w:bCs/>
                <w:sz w:val="20"/>
                <w:szCs w:val="20"/>
              </w:rPr>
            </w:pPr>
            <w:r w:rsidRPr="00953748">
              <w:rPr>
                <w:rFonts w:ascii="Arial Narrow" w:hAnsi="Arial Narrow"/>
                <w:b/>
                <w:bCs/>
                <w:sz w:val="20"/>
                <w:szCs w:val="20"/>
              </w:rPr>
              <w:t>$</w:t>
            </w:r>
            <w:r w:rsidRPr="00953748">
              <w:rPr>
                <w:rFonts w:ascii="Arial Narrow" w:hAnsi="Arial Narrow"/>
                <w:b/>
                <w:bCs/>
                <w:color w:val="000000"/>
                <w:sz w:val="20"/>
                <w:szCs w:val="20"/>
                <w:shd w:val="solid" w:color="000000" w:fill="000000"/>
                <w14:textFill>
                  <w14:solidFill>
                    <w14:srgbClr w14:val="000000">
                      <w14:alpha w14:val="100000"/>
                    </w14:srgbClr>
                  </w14:solidFill>
                </w14:textFill>
              </w:rPr>
              <w:t>|</w:t>
            </w:r>
          </w:p>
        </w:tc>
      </w:tr>
    </w:tbl>
    <w:p w14:paraId="0BCF3064" w14:textId="77777777" w:rsidR="0019217E" w:rsidRPr="00E4459B" w:rsidRDefault="0019217E" w:rsidP="00E4459B">
      <w:pPr>
        <w:pStyle w:val="3-BodyText"/>
        <w:spacing w:after="0"/>
        <w:ind w:firstLine="0"/>
        <w:rPr>
          <w:rFonts w:ascii="Arial Narrow" w:hAnsi="Arial Narrow"/>
          <w:sz w:val="18"/>
          <w:szCs w:val="18"/>
        </w:rPr>
      </w:pPr>
    </w:p>
    <w:p w14:paraId="2680134B" w14:textId="27CAD9C8" w:rsidR="0019217E" w:rsidRDefault="0019217E" w:rsidP="0019217E">
      <w:pPr>
        <w:pStyle w:val="ListParagraph"/>
        <w:widowControl/>
        <w:numPr>
          <w:ilvl w:val="1"/>
          <w:numId w:val="2"/>
        </w:numPr>
        <w:spacing w:after="120"/>
      </w:pPr>
      <w:r>
        <w:t>At a total cost of $</w:t>
      </w:r>
      <w:r w:rsidRPr="00D91FB1">
        <w:rPr>
          <w:color w:val="000000"/>
          <w:spacing w:val="2"/>
          <w:w w:val="52"/>
          <w:shd w:val="solid" w:color="000000" w:fill="000000"/>
          <w:fitText w:val="534" w:id="-1249701119"/>
          <w14:textFill>
            <w14:solidFill>
              <w14:srgbClr w14:val="000000">
                <w14:alpha w14:val="100000"/>
              </w14:srgbClr>
            </w14:solidFill>
          </w14:textFill>
        </w:rPr>
        <w:t>||||  |||</w:t>
      </w:r>
      <w:r w:rsidRPr="00D91FB1">
        <w:rPr>
          <w:color w:val="000000"/>
          <w:spacing w:val="1"/>
          <w:w w:val="52"/>
          <w:shd w:val="solid" w:color="000000" w:fill="000000"/>
          <w:fitText w:val="534" w:id="-1249701119"/>
          <w14:textFill>
            <w14:solidFill>
              <w14:srgbClr w14:val="000000">
                <w14:alpha w14:val="100000"/>
              </w14:srgbClr>
            </w14:solidFill>
          </w14:textFill>
        </w:rPr>
        <w:t>|</w:t>
      </w:r>
      <w:r>
        <w:t xml:space="preserve"> patient per course, the calculated ICER is </w:t>
      </w:r>
      <w:r w:rsidR="00E4459B" w:rsidRPr="00E4459B">
        <w:t>$75,000 to &lt; $95,000</w:t>
      </w:r>
      <w:r>
        <w:t>QALY.</w:t>
      </w:r>
    </w:p>
    <w:p w14:paraId="1A70E91C" w14:textId="77777777" w:rsidR="0019217E" w:rsidRDefault="0019217E" w:rsidP="0019217E">
      <w:pPr>
        <w:pStyle w:val="ListParagraph"/>
        <w:widowControl/>
        <w:numPr>
          <w:ilvl w:val="1"/>
          <w:numId w:val="2"/>
        </w:numPr>
        <w:spacing w:after="120"/>
      </w:pPr>
      <w:r>
        <w:t>The table below</w:t>
      </w:r>
      <w:r w:rsidRPr="00C64062">
        <w:t xml:space="preserve"> presents th</w:t>
      </w:r>
      <w:r w:rsidRPr="008F36E6">
        <w:t>e</w:t>
      </w:r>
      <w:r>
        <w:t xml:space="preserve"> updated</w:t>
      </w:r>
      <w:r w:rsidRPr="008F36E6">
        <w:t xml:space="preserve"> financial</w:t>
      </w:r>
      <w:r>
        <w:t xml:space="preserve"> estimates</w:t>
      </w:r>
      <w:r w:rsidRPr="008F36E6">
        <w:t xml:space="preserve"> of </w:t>
      </w:r>
      <w:r>
        <w:t xml:space="preserve">pembrolizumab+lenvatinib (at the proposed effective unit prices) </w:t>
      </w:r>
      <w:r w:rsidRPr="008F36E6">
        <w:t>to the PBS/RPBS</w:t>
      </w:r>
      <w:r>
        <w:t xml:space="preserve"> for the treatment of endometrial cancer</w:t>
      </w:r>
      <w:r w:rsidRPr="008F36E6">
        <w:t>.</w:t>
      </w:r>
    </w:p>
    <w:p w14:paraId="78AB87DF" w14:textId="77777777" w:rsidR="0019217E" w:rsidRPr="00735A33" w:rsidRDefault="0019217E" w:rsidP="0019217E">
      <w:pPr>
        <w:pStyle w:val="ListParagraph"/>
        <w:keepNext/>
        <w:keepLines/>
        <w:spacing w:after="0"/>
        <w:rPr>
          <w:rFonts w:ascii="Arial Narrow" w:hAnsi="Arial Narrow"/>
          <w:b/>
          <w:sz w:val="20"/>
          <w:szCs w:val="16"/>
        </w:rPr>
      </w:pPr>
      <w:r w:rsidRPr="00F53848">
        <w:rPr>
          <w:rStyle w:val="CommentReference"/>
        </w:rPr>
        <w:t xml:space="preserve">Table </w:t>
      </w:r>
      <w:r w:rsidRPr="00F53848">
        <w:rPr>
          <w:rStyle w:val="CommentReference"/>
        </w:rPr>
        <w:fldChar w:fldCharType="begin"/>
      </w:r>
      <w:r w:rsidRPr="00F53848">
        <w:rPr>
          <w:rStyle w:val="CommentReference"/>
        </w:rPr>
        <w:instrText xml:space="preserve"> SEQ Table \* MERGEFORMAT </w:instrText>
      </w:r>
      <w:r w:rsidRPr="00F53848">
        <w:rPr>
          <w:rStyle w:val="CommentReference"/>
        </w:rPr>
        <w:fldChar w:fldCharType="separate"/>
      </w:r>
      <w:r>
        <w:rPr>
          <w:rStyle w:val="CommentReference"/>
          <w:noProof/>
        </w:rPr>
        <w:t>19</w:t>
      </w:r>
      <w:r w:rsidRPr="00F53848">
        <w:rPr>
          <w:rStyle w:val="CommentReference"/>
        </w:rPr>
        <w:fldChar w:fldCharType="end"/>
      </w:r>
      <w:r w:rsidRPr="00F53848">
        <w:rPr>
          <w:rStyle w:val="CommentReference"/>
        </w:rPr>
        <w:t xml:space="preserve">: Indicative cost of listing </w:t>
      </w:r>
      <w:r>
        <w:rPr>
          <w:rStyle w:val="CommentReference"/>
        </w:rPr>
        <w:t>pembrolizumab + l</w:t>
      </w:r>
      <w:r w:rsidRPr="00F53848">
        <w:rPr>
          <w:rStyle w:val="CommentReference"/>
        </w:rPr>
        <w:t>envatinib</w:t>
      </w:r>
    </w:p>
    <w:tbl>
      <w:tblPr>
        <w:tblW w:w="8363" w:type="dxa"/>
        <w:tblInd w:w="709" w:type="dxa"/>
        <w:tblLayout w:type="fixed"/>
        <w:tblCellMar>
          <w:left w:w="0" w:type="dxa"/>
          <w:right w:w="0" w:type="dxa"/>
        </w:tblCellMar>
        <w:tblLook w:val="04A0" w:firstRow="1" w:lastRow="0" w:firstColumn="1" w:lastColumn="0" w:noHBand="0" w:noVBand="1"/>
      </w:tblPr>
      <w:tblGrid>
        <w:gridCol w:w="1418"/>
        <w:gridCol w:w="1134"/>
        <w:gridCol w:w="1134"/>
        <w:gridCol w:w="1134"/>
        <w:gridCol w:w="1275"/>
        <w:gridCol w:w="1134"/>
        <w:gridCol w:w="1134"/>
      </w:tblGrid>
      <w:tr w:rsidR="0019217E" w:rsidRPr="006B71D1" w14:paraId="52497054" w14:textId="77777777" w:rsidTr="00E4459B">
        <w:trPr>
          <w:trHeight w:val="300"/>
        </w:trPr>
        <w:tc>
          <w:tcPr>
            <w:tcW w:w="1418" w:type="dxa"/>
            <w:tcBorders>
              <w:top w:val="single" w:sz="4" w:space="0" w:color="auto"/>
              <w:left w:val="single" w:sz="4" w:space="0" w:color="auto"/>
              <w:bottom w:val="single" w:sz="8" w:space="0" w:color="auto"/>
            </w:tcBorders>
            <w:noWrap/>
            <w:tcMar>
              <w:top w:w="0" w:type="dxa"/>
              <w:left w:w="108" w:type="dxa"/>
              <w:bottom w:w="0" w:type="dxa"/>
              <w:right w:w="108" w:type="dxa"/>
            </w:tcMar>
            <w:vAlign w:val="center"/>
            <w:hideMark/>
          </w:tcPr>
          <w:p w14:paraId="678878C2" w14:textId="77777777" w:rsidR="0019217E" w:rsidRPr="00953748" w:rsidRDefault="0019217E" w:rsidP="00DC5D83">
            <w:pPr>
              <w:rPr>
                <w:rFonts w:ascii="Arial Narrow" w:hAnsi="Arial Narrow"/>
                <w:b/>
                <w:bCs/>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98DA954" w14:textId="77777777" w:rsidR="0019217E" w:rsidRPr="00953748" w:rsidRDefault="0019217E" w:rsidP="00DC5D83">
            <w:pPr>
              <w:jc w:val="center"/>
              <w:rPr>
                <w:rFonts w:ascii="Arial Narrow" w:hAnsi="Arial Narrow"/>
                <w:b/>
                <w:bCs/>
                <w:color w:val="000000"/>
                <w:sz w:val="20"/>
                <w:szCs w:val="20"/>
              </w:rPr>
            </w:pPr>
            <w:r w:rsidRPr="00953748">
              <w:rPr>
                <w:rFonts w:ascii="Arial Narrow" w:hAnsi="Arial Narrow"/>
                <w:b/>
                <w:bCs/>
                <w:color w:val="000000"/>
                <w:sz w:val="20"/>
                <w:szCs w:val="20"/>
              </w:rPr>
              <w:t>Year 1</w:t>
            </w:r>
          </w:p>
        </w:tc>
        <w:tc>
          <w:tcPr>
            <w:tcW w:w="113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4AA5E936" w14:textId="77777777" w:rsidR="0019217E" w:rsidRPr="00953748" w:rsidRDefault="0019217E" w:rsidP="00DC5D83">
            <w:pPr>
              <w:jc w:val="center"/>
              <w:rPr>
                <w:rFonts w:ascii="Arial Narrow" w:hAnsi="Arial Narrow"/>
                <w:b/>
                <w:bCs/>
                <w:color w:val="000000"/>
                <w:sz w:val="20"/>
                <w:szCs w:val="20"/>
              </w:rPr>
            </w:pPr>
            <w:r w:rsidRPr="00953748">
              <w:rPr>
                <w:rFonts w:ascii="Arial Narrow" w:hAnsi="Arial Narrow"/>
                <w:b/>
                <w:bCs/>
                <w:color w:val="000000"/>
                <w:sz w:val="20"/>
                <w:szCs w:val="20"/>
              </w:rPr>
              <w:t>Year 2</w:t>
            </w:r>
          </w:p>
        </w:tc>
        <w:tc>
          <w:tcPr>
            <w:tcW w:w="113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59F09375" w14:textId="77777777" w:rsidR="0019217E" w:rsidRPr="00953748" w:rsidRDefault="0019217E" w:rsidP="00DC5D83">
            <w:pPr>
              <w:jc w:val="center"/>
              <w:rPr>
                <w:rFonts w:ascii="Arial Narrow" w:hAnsi="Arial Narrow"/>
                <w:b/>
                <w:bCs/>
                <w:color w:val="000000"/>
                <w:sz w:val="20"/>
                <w:szCs w:val="20"/>
              </w:rPr>
            </w:pPr>
            <w:r w:rsidRPr="00953748">
              <w:rPr>
                <w:rFonts w:ascii="Arial Narrow" w:hAnsi="Arial Narrow"/>
                <w:b/>
                <w:bCs/>
                <w:color w:val="000000"/>
                <w:sz w:val="20"/>
                <w:szCs w:val="20"/>
              </w:rPr>
              <w:t>Year 3</w:t>
            </w:r>
          </w:p>
        </w:tc>
        <w:tc>
          <w:tcPr>
            <w:tcW w:w="1275"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7D55DD58" w14:textId="77777777" w:rsidR="0019217E" w:rsidRPr="00953748" w:rsidRDefault="0019217E" w:rsidP="00DC5D83">
            <w:pPr>
              <w:jc w:val="center"/>
              <w:rPr>
                <w:rFonts w:ascii="Arial Narrow" w:hAnsi="Arial Narrow"/>
                <w:b/>
                <w:bCs/>
                <w:color w:val="000000"/>
                <w:sz w:val="20"/>
                <w:szCs w:val="20"/>
              </w:rPr>
            </w:pPr>
            <w:r w:rsidRPr="00953748">
              <w:rPr>
                <w:rFonts w:ascii="Arial Narrow" w:hAnsi="Arial Narrow"/>
                <w:b/>
                <w:bCs/>
                <w:color w:val="000000"/>
                <w:sz w:val="20"/>
                <w:szCs w:val="20"/>
              </w:rPr>
              <w:t>Year 4</w:t>
            </w:r>
          </w:p>
        </w:tc>
        <w:tc>
          <w:tcPr>
            <w:tcW w:w="113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6219841C" w14:textId="77777777" w:rsidR="0019217E" w:rsidRPr="00953748" w:rsidRDefault="0019217E" w:rsidP="00DC5D83">
            <w:pPr>
              <w:jc w:val="center"/>
              <w:rPr>
                <w:rFonts w:ascii="Arial Narrow" w:hAnsi="Arial Narrow"/>
                <w:b/>
                <w:bCs/>
                <w:color w:val="000000"/>
                <w:sz w:val="20"/>
                <w:szCs w:val="20"/>
              </w:rPr>
            </w:pPr>
            <w:r w:rsidRPr="00953748">
              <w:rPr>
                <w:rFonts w:ascii="Arial Narrow" w:hAnsi="Arial Narrow"/>
                <w:b/>
                <w:bCs/>
                <w:color w:val="000000"/>
                <w:sz w:val="20"/>
                <w:szCs w:val="20"/>
              </w:rPr>
              <w:t>Year 5</w:t>
            </w:r>
          </w:p>
        </w:tc>
        <w:tc>
          <w:tcPr>
            <w:tcW w:w="113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7EE0BDA" w14:textId="77777777" w:rsidR="0019217E" w:rsidRPr="00953748" w:rsidRDefault="0019217E" w:rsidP="00DC5D83">
            <w:pPr>
              <w:jc w:val="center"/>
              <w:rPr>
                <w:rFonts w:ascii="Arial Narrow" w:hAnsi="Arial Narrow"/>
                <w:b/>
                <w:bCs/>
                <w:color w:val="000000"/>
                <w:sz w:val="20"/>
                <w:szCs w:val="20"/>
              </w:rPr>
            </w:pPr>
            <w:r w:rsidRPr="00953748">
              <w:rPr>
                <w:rFonts w:ascii="Arial Narrow" w:hAnsi="Arial Narrow"/>
                <w:b/>
                <w:bCs/>
                <w:color w:val="000000"/>
                <w:sz w:val="20"/>
                <w:szCs w:val="20"/>
              </w:rPr>
              <w:t>Year 6</w:t>
            </w:r>
          </w:p>
        </w:tc>
      </w:tr>
      <w:tr w:rsidR="0019217E" w:rsidRPr="006B71D1" w14:paraId="1AA5BB26" w14:textId="77777777" w:rsidTr="00E4459B">
        <w:trPr>
          <w:trHeight w:val="255"/>
        </w:trPr>
        <w:tc>
          <w:tcPr>
            <w:tcW w:w="14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6720F4" w14:textId="77777777" w:rsidR="0019217E" w:rsidRPr="00953748" w:rsidRDefault="0019217E" w:rsidP="00DC5D83">
            <w:pPr>
              <w:rPr>
                <w:rFonts w:ascii="Arial Narrow" w:eastAsiaTheme="minorHAnsi" w:hAnsi="Arial Narrow"/>
                <w:b/>
                <w:bCs/>
                <w:color w:val="000000"/>
                <w:sz w:val="20"/>
                <w:szCs w:val="20"/>
              </w:rPr>
            </w:pPr>
            <w:r w:rsidRPr="00953748">
              <w:rPr>
                <w:rFonts w:ascii="Arial Narrow" w:hAnsi="Arial Narrow"/>
                <w:b/>
                <w:bCs/>
                <w:color w:val="000000"/>
                <w:sz w:val="20"/>
                <w:szCs w:val="20"/>
              </w:rPr>
              <w:t>Net cost PBS / RPBS ($)</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6813B3" w14:textId="77777777" w:rsidR="0019217E" w:rsidRPr="00B85B9C" w:rsidRDefault="0019217E" w:rsidP="00DC5D83">
            <w:pPr>
              <w:jc w:val="right"/>
              <w:rPr>
                <w:rFonts w:ascii="Arial Narrow" w:hAnsi="Arial Narrow"/>
                <w:color w:val="000000"/>
                <w:sz w:val="20"/>
                <w:szCs w:val="20"/>
                <w:vertAlign w:val="superscript"/>
              </w:rPr>
            </w:pPr>
            <w:r w:rsidRPr="002953F2">
              <w:rPr>
                <w:rFonts w:ascii="Arial Narrow" w:hAnsi="Arial Narrow"/>
                <w:color w:val="000000"/>
                <w:spacing w:val="24"/>
                <w:sz w:val="20"/>
                <w:szCs w:val="20"/>
                <w:shd w:val="solid" w:color="000000" w:fill="000000"/>
                <w:fitText w:val="809" w:id="-1249701118"/>
                <w14:textFill>
                  <w14:solidFill>
                    <w14:srgbClr w14:val="000000">
                      <w14:alpha w14:val="100000"/>
                    </w14:srgbClr>
                  </w14:solidFill>
                </w14:textFill>
              </w:rPr>
              <w:t>|||||||||||</w:t>
            </w:r>
            <w:r w:rsidRPr="002953F2">
              <w:rPr>
                <w:rFonts w:ascii="Arial Narrow" w:hAnsi="Arial Narrow"/>
                <w:color w:val="000000"/>
                <w:spacing w:val="32"/>
                <w:sz w:val="20"/>
                <w:szCs w:val="20"/>
                <w:shd w:val="solid" w:color="000000" w:fill="000000"/>
                <w:fitText w:val="809" w:id="-1249701118"/>
                <w14:textFill>
                  <w14:solidFill>
                    <w14:srgbClr w14:val="000000">
                      <w14:alpha w14:val="100000"/>
                    </w14:srgbClr>
                  </w14:solidFill>
                </w14:textFill>
              </w:rPr>
              <w:t>|</w:t>
            </w:r>
            <w:r w:rsidRPr="00B85B9C">
              <w:rPr>
                <w:rFonts w:ascii="Arial Narrow" w:hAnsi="Arial Narrow"/>
                <w:color w:val="000000"/>
                <w:sz w:val="20"/>
                <w:szCs w:val="20"/>
              </w:rPr>
              <w:t xml:space="preserve"> </w:t>
            </w:r>
            <w:r w:rsidRPr="00B85B9C">
              <w:rPr>
                <w:rFonts w:ascii="Arial Narrow" w:hAnsi="Arial Narrow"/>
                <w:color w:val="000000"/>
                <w:sz w:val="20"/>
                <w:szCs w:val="20"/>
                <w:vertAlign w:val="superscript"/>
              </w:rPr>
              <w:t>1</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C87273" w14:textId="77777777" w:rsidR="0019217E" w:rsidRPr="00B85B9C" w:rsidRDefault="0019217E" w:rsidP="00DC5D83">
            <w:pPr>
              <w:jc w:val="right"/>
              <w:rPr>
                <w:rFonts w:ascii="Arial Narrow" w:hAnsi="Arial Narrow"/>
                <w:color w:val="000000"/>
                <w:sz w:val="20"/>
                <w:szCs w:val="20"/>
              </w:rPr>
            </w:pPr>
            <w:r w:rsidRPr="002953F2">
              <w:rPr>
                <w:rFonts w:ascii="Arial Narrow" w:hAnsi="Arial Narrow"/>
                <w:color w:val="000000"/>
                <w:spacing w:val="24"/>
                <w:sz w:val="20"/>
                <w:szCs w:val="20"/>
                <w:shd w:val="solid" w:color="000000" w:fill="000000"/>
                <w:fitText w:val="809" w:id="-1249701117"/>
                <w14:textFill>
                  <w14:solidFill>
                    <w14:srgbClr w14:val="000000">
                      <w14:alpha w14:val="100000"/>
                    </w14:srgbClr>
                  </w14:solidFill>
                </w14:textFill>
              </w:rPr>
              <w:t>|||||||||||</w:t>
            </w:r>
            <w:r w:rsidRPr="002953F2">
              <w:rPr>
                <w:rFonts w:ascii="Arial Narrow" w:hAnsi="Arial Narrow"/>
                <w:color w:val="000000"/>
                <w:spacing w:val="32"/>
                <w:sz w:val="20"/>
                <w:szCs w:val="20"/>
                <w:shd w:val="solid" w:color="000000" w:fill="000000"/>
                <w:fitText w:val="809" w:id="-1249701117"/>
                <w14:textFill>
                  <w14:solidFill>
                    <w14:srgbClr w14:val="000000">
                      <w14:alpha w14:val="100000"/>
                    </w14:srgbClr>
                  </w14:solidFill>
                </w14:textFill>
              </w:rPr>
              <w:t>|</w:t>
            </w:r>
            <w:r w:rsidRPr="00B85B9C">
              <w:rPr>
                <w:rFonts w:ascii="Arial Narrow" w:hAnsi="Arial Narrow"/>
                <w:color w:val="000000"/>
                <w:sz w:val="20"/>
                <w:szCs w:val="20"/>
              </w:rPr>
              <w:t xml:space="preserve"> </w:t>
            </w:r>
            <w:r w:rsidRPr="00B85B9C">
              <w:rPr>
                <w:rFonts w:ascii="Arial Narrow" w:hAnsi="Arial Narrow"/>
                <w:color w:val="000000"/>
                <w:sz w:val="20"/>
                <w:szCs w:val="20"/>
                <w:vertAlign w:val="superscript"/>
              </w:rPr>
              <w:t>1</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0DB76FF" w14:textId="77777777" w:rsidR="0019217E" w:rsidRPr="00B85B9C" w:rsidRDefault="0019217E" w:rsidP="00DC5D83">
            <w:pPr>
              <w:jc w:val="right"/>
              <w:rPr>
                <w:rFonts w:ascii="Arial Narrow" w:hAnsi="Arial Narrow"/>
                <w:color w:val="000000"/>
                <w:sz w:val="20"/>
                <w:szCs w:val="20"/>
              </w:rPr>
            </w:pPr>
            <w:r w:rsidRPr="002953F2">
              <w:rPr>
                <w:rFonts w:ascii="Arial Narrow" w:hAnsi="Arial Narrow"/>
                <w:color w:val="000000"/>
                <w:spacing w:val="24"/>
                <w:sz w:val="20"/>
                <w:szCs w:val="20"/>
                <w:shd w:val="solid" w:color="000000" w:fill="000000"/>
                <w:fitText w:val="809" w:id="-1249701116"/>
                <w14:textFill>
                  <w14:solidFill>
                    <w14:srgbClr w14:val="000000">
                      <w14:alpha w14:val="100000"/>
                    </w14:srgbClr>
                  </w14:solidFill>
                </w14:textFill>
              </w:rPr>
              <w:t>|||||||||||</w:t>
            </w:r>
            <w:r w:rsidRPr="002953F2">
              <w:rPr>
                <w:rFonts w:ascii="Arial Narrow" w:hAnsi="Arial Narrow"/>
                <w:color w:val="000000"/>
                <w:spacing w:val="32"/>
                <w:sz w:val="20"/>
                <w:szCs w:val="20"/>
                <w:shd w:val="solid" w:color="000000" w:fill="000000"/>
                <w:fitText w:val="809" w:id="-1249701116"/>
                <w14:textFill>
                  <w14:solidFill>
                    <w14:srgbClr w14:val="000000">
                      <w14:alpha w14:val="100000"/>
                    </w14:srgbClr>
                  </w14:solidFill>
                </w14:textFill>
              </w:rPr>
              <w:t>|</w:t>
            </w:r>
            <w:r w:rsidRPr="00B85B9C">
              <w:rPr>
                <w:rFonts w:ascii="Arial Narrow" w:hAnsi="Arial Narrow"/>
                <w:color w:val="000000"/>
                <w:sz w:val="20"/>
                <w:szCs w:val="20"/>
              </w:rPr>
              <w:t xml:space="preserve"> </w:t>
            </w:r>
            <w:r w:rsidRPr="00B85B9C">
              <w:rPr>
                <w:rFonts w:ascii="Arial Narrow" w:hAnsi="Arial Narrow"/>
                <w:color w:val="000000"/>
                <w:sz w:val="20"/>
                <w:szCs w:val="20"/>
                <w:vertAlign w:val="superscript"/>
              </w:rPr>
              <w:t>1</w:t>
            </w:r>
          </w:p>
        </w:tc>
        <w:tc>
          <w:tcPr>
            <w:tcW w:w="12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7110F2" w14:textId="77777777" w:rsidR="0019217E" w:rsidRPr="00B85B9C" w:rsidRDefault="0019217E" w:rsidP="00DC5D83">
            <w:pPr>
              <w:jc w:val="right"/>
              <w:rPr>
                <w:rFonts w:ascii="Arial Narrow" w:hAnsi="Arial Narrow"/>
                <w:color w:val="000000"/>
                <w:sz w:val="20"/>
                <w:szCs w:val="20"/>
              </w:rPr>
            </w:pPr>
            <w:r w:rsidRPr="002953F2">
              <w:rPr>
                <w:rFonts w:ascii="Arial Narrow" w:hAnsi="Arial Narrow"/>
                <w:color w:val="000000"/>
                <w:spacing w:val="24"/>
                <w:sz w:val="20"/>
                <w:szCs w:val="20"/>
                <w:shd w:val="solid" w:color="000000" w:fill="000000"/>
                <w:fitText w:val="687" w:id="-1249701115"/>
                <w14:textFill>
                  <w14:solidFill>
                    <w14:srgbClr w14:val="000000">
                      <w14:alpha w14:val="100000"/>
                    </w14:srgbClr>
                  </w14:solidFill>
                </w14:textFill>
              </w:rPr>
              <w:t>|||||||||</w:t>
            </w:r>
            <w:r w:rsidRPr="002953F2">
              <w:rPr>
                <w:rFonts w:ascii="Arial Narrow" w:hAnsi="Arial Narrow"/>
                <w:color w:val="000000"/>
                <w:spacing w:val="40"/>
                <w:sz w:val="20"/>
                <w:szCs w:val="20"/>
                <w:shd w:val="solid" w:color="000000" w:fill="000000"/>
                <w:fitText w:val="687" w:id="-1249701115"/>
                <w14:textFill>
                  <w14:solidFill>
                    <w14:srgbClr w14:val="000000">
                      <w14:alpha w14:val="100000"/>
                    </w14:srgbClr>
                  </w14:solidFill>
                </w14:textFill>
              </w:rPr>
              <w:t>|</w:t>
            </w:r>
            <w:r w:rsidRPr="00B85B9C">
              <w:rPr>
                <w:rFonts w:ascii="Arial Narrow" w:hAnsi="Arial Narrow"/>
                <w:color w:val="000000"/>
                <w:sz w:val="20"/>
                <w:szCs w:val="20"/>
              </w:rPr>
              <w:t xml:space="preserve"> </w:t>
            </w:r>
            <w:r w:rsidRPr="00B85B9C">
              <w:rPr>
                <w:rFonts w:ascii="Arial Narrow" w:hAnsi="Arial Narrow"/>
                <w:color w:val="000000"/>
                <w:sz w:val="20"/>
                <w:szCs w:val="20"/>
                <w:vertAlign w:val="superscript"/>
              </w:rPr>
              <w:t>1</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A3D494" w14:textId="77777777" w:rsidR="0019217E" w:rsidRPr="00B85B9C" w:rsidRDefault="0019217E" w:rsidP="00DC5D83">
            <w:pPr>
              <w:jc w:val="right"/>
              <w:rPr>
                <w:rFonts w:ascii="Arial Narrow" w:hAnsi="Arial Narrow"/>
                <w:color w:val="000000"/>
                <w:sz w:val="20"/>
                <w:szCs w:val="20"/>
              </w:rPr>
            </w:pPr>
            <w:r w:rsidRPr="002953F2">
              <w:rPr>
                <w:rFonts w:ascii="Arial Narrow" w:hAnsi="Arial Narrow"/>
                <w:color w:val="000000"/>
                <w:spacing w:val="24"/>
                <w:sz w:val="20"/>
                <w:szCs w:val="20"/>
                <w:shd w:val="solid" w:color="000000" w:fill="000000"/>
                <w:fitText w:val="808" w:id="-1249701114"/>
                <w14:textFill>
                  <w14:solidFill>
                    <w14:srgbClr w14:val="000000">
                      <w14:alpha w14:val="100000"/>
                    </w14:srgbClr>
                  </w14:solidFill>
                </w14:textFill>
              </w:rPr>
              <w:t>|||||||||||</w:t>
            </w:r>
            <w:r w:rsidRPr="002953F2">
              <w:rPr>
                <w:rFonts w:ascii="Arial Narrow" w:hAnsi="Arial Narrow"/>
                <w:color w:val="000000"/>
                <w:spacing w:val="32"/>
                <w:sz w:val="20"/>
                <w:szCs w:val="20"/>
                <w:shd w:val="solid" w:color="000000" w:fill="000000"/>
                <w:fitText w:val="808" w:id="-1249701114"/>
                <w14:textFill>
                  <w14:solidFill>
                    <w14:srgbClr w14:val="000000">
                      <w14:alpha w14:val="100000"/>
                    </w14:srgbClr>
                  </w14:solidFill>
                </w14:textFill>
              </w:rPr>
              <w:t>|</w:t>
            </w:r>
            <w:r>
              <w:rPr>
                <w:rFonts w:ascii="Arial Narrow" w:hAnsi="Arial Narrow"/>
                <w:color w:val="000000"/>
                <w:sz w:val="20"/>
                <w:szCs w:val="20"/>
              </w:rPr>
              <w:t xml:space="preserve"> </w:t>
            </w:r>
            <w:r w:rsidRPr="00B85B9C">
              <w:rPr>
                <w:rFonts w:ascii="Arial Narrow" w:hAnsi="Arial Narrow"/>
                <w:color w:val="000000"/>
                <w:sz w:val="20"/>
                <w:szCs w:val="20"/>
                <w:vertAlign w:val="superscript"/>
              </w:rPr>
              <w:t>1</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1F023E" w14:textId="77777777" w:rsidR="0019217E" w:rsidRPr="00B85B9C" w:rsidRDefault="0019217E" w:rsidP="00DC5D83">
            <w:pPr>
              <w:jc w:val="right"/>
              <w:rPr>
                <w:rFonts w:ascii="Arial Narrow" w:hAnsi="Arial Narrow"/>
                <w:color w:val="000000"/>
                <w:sz w:val="20"/>
                <w:szCs w:val="20"/>
              </w:rPr>
            </w:pPr>
            <w:r w:rsidRPr="002953F2">
              <w:rPr>
                <w:rFonts w:ascii="Arial Narrow" w:hAnsi="Arial Narrow"/>
                <w:color w:val="000000"/>
                <w:spacing w:val="24"/>
                <w:sz w:val="20"/>
                <w:szCs w:val="20"/>
                <w:shd w:val="solid" w:color="000000" w:fill="000000"/>
                <w:fitText w:val="808" w:id="-1249701113"/>
                <w14:textFill>
                  <w14:solidFill>
                    <w14:srgbClr w14:val="000000">
                      <w14:alpha w14:val="100000"/>
                    </w14:srgbClr>
                  </w14:solidFill>
                </w14:textFill>
              </w:rPr>
              <w:t>|||||||||||</w:t>
            </w:r>
            <w:r w:rsidRPr="002953F2">
              <w:rPr>
                <w:rFonts w:ascii="Arial Narrow" w:hAnsi="Arial Narrow"/>
                <w:color w:val="000000"/>
                <w:spacing w:val="32"/>
                <w:sz w:val="20"/>
                <w:szCs w:val="20"/>
                <w:shd w:val="solid" w:color="000000" w:fill="000000"/>
                <w:fitText w:val="808" w:id="-1249701113"/>
                <w14:textFill>
                  <w14:solidFill>
                    <w14:srgbClr w14:val="000000">
                      <w14:alpha w14:val="100000"/>
                    </w14:srgbClr>
                  </w14:solidFill>
                </w14:textFill>
              </w:rPr>
              <w:t>|</w:t>
            </w:r>
            <w:r>
              <w:rPr>
                <w:rFonts w:ascii="Arial Narrow" w:hAnsi="Arial Narrow"/>
                <w:color w:val="000000"/>
                <w:sz w:val="20"/>
                <w:szCs w:val="20"/>
              </w:rPr>
              <w:t xml:space="preserve"> </w:t>
            </w:r>
            <w:r w:rsidRPr="00B85B9C">
              <w:rPr>
                <w:rFonts w:ascii="Arial Narrow" w:hAnsi="Arial Narrow"/>
                <w:color w:val="000000"/>
                <w:sz w:val="20"/>
                <w:szCs w:val="20"/>
                <w:vertAlign w:val="superscript"/>
              </w:rPr>
              <w:t>1</w:t>
            </w:r>
          </w:p>
        </w:tc>
      </w:tr>
    </w:tbl>
    <w:p w14:paraId="6309643D" w14:textId="77777777" w:rsidR="0019217E" w:rsidRPr="00B85B9C" w:rsidRDefault="0019217E" w:rsidP="0019217E">
      <w:pPr>
        <w:pStyle w:val="TableFigureFooter"/>
        <w:ind w:firstLine="720"/>
        <w:rPr>
          <w:i/>
          <w:iCs/>
        </w:rPr>
      </w:pPr>
      <w:r w:rsidRPr="00B85B9C">
        <w:rPr>
          <w:i/>
          <w:iCs/>
        </w:rPr>
        <w:t>The redacted values correspond to the following ranges:</w:t>
      </w:r>
    </w:p>
    <w:p w14:paraId="05AEFC1F" w14:textId="2C1186E7" w:rsidR="0019217E" w:rsidRDefault="0019217E" w:rsidP="00E4459B">
      <w:pPr>
        <w:pStyle w:val="TableFigureFooter"/>
        <w:ind w:firstLine="720"/>
      </w:pPr>
      <w:r w:rsidRPr="00B85B9C">
        <w:rPr>
          <w:i/>
          <w:iCs/>
          <w:vertAlign w:val="superscript"/>
        </w:rPr>
        <w:t>1</w:t>
      </w:r>
      <w:r w:rsidRPr="00B85B9C">
        <w:rPr>
          <w:i/>
          <w:iCs/>
        </w:rPr>
        <w:t xml:space="preserve"> $10 million to &lt; $20 million</w:t>
      </w:r>
    </w:p>
    <w:p w14:paraId="250ADC59" w14:textId="56546803" w:rsidR="0019217E" w:rsidDel="00294DB2" w:rsidRDefault="0019217E" w:rsidP="0019217E">
      <w:pPr>
        <w:pStyle w:val="ListParagraph"/>
        <w:widowControl/>
        <w:numPr>
          <w:ilvl w:val="1"/>
          <w:numId w:val="2"/>
        </w:numPr>
        <w:spacing w:after="120"/>
      </w:pPr>
      <w:r>
        <w:t xml:space="preserve">In March 2022, the PBAC </w:t>
      </w:r>
      <w:r w:rsidRPr="00735A33">
        <w:t xml:space="preserve">advised that a Risk Sharing Arrangement (RSA) would be required to manage the financial risk of utilisation outside the intended population and the potential for use for longer durations than estimated and that any rebates for expenditure above the caps should be high in order to adequately manage these risks. </w:t>
      </w:r>
      <w:r>
        <w:t xml:space="preserve">MSD in its pricing offer proposed a reimbursement of </w:t>
      </w:r>
      <w:r w:rsidR="002953F2" w:rsidRPr="002953F2">
        <w:rPr>
          <w:color w:val="000000"/>
          <w:w w:val="21"/>
          <w:shd w:val="solid" w:color="000000" w:fill="000000"/>
          <w:fitText w:val="72" w:id="-1236556794"/>
          <w14:textFill>
            <w14:solidFill>
              <w14:srgbClr w14:val="000000">
                <w14:alpha w14:val="100000"/>
              </w14:srgbClr>
            </w14:solidFill>
          </w14:textFill>
        </w:rPr>
        <w:t xml:space="preserve">|  </w:t>
      </w:r>
      <w:r w:rsidR="002953F2" w:rsidRPr="002953F2">
        <w:rPr>
          <w:color w:val="000000"/>
          <w:spacing w:val="2"/>
          <w:w w:val="21"/>
          <w:shd w:val="solid" w:color="000000" w:fill="000000"/>
          <w:fitText w:val="72" w:id="-1236556794"/>
          <w14:textFill>
            <w14:solidFill>
              <w14:srgbClr w14:val="000000">
                <w14:alpha w14:val="100000"/>
              </w14:srgbClr>
            </w14:solidFill>
          </w14:textFill>
        </w:rPr>
        <w:t>|</w:t>
      </w:r>
      <w:r>
        <w:t xml:space="preserve">% to manage the financial risk associated with any expenditure above the subsidisation caps. </w:t>
      </w:r>
      <w:r w:rsidRPr="002953F2">
        <w:rPr>
          <w:color w:val="000000"/>
          <w:w w:val="57"/>
          <w:shd w:val="solid" w:color="000000" w:fill="000000"/>
          <w:fitText w:val="1337" w:id="-1249701112"/>
          <w14:textFill>
            <w14:solidFill>
              <w14:srgbClr w14:val="000000">
                <w14:alpha w14:val="100000"/>
              </w14:srgbClr>
            </w14:solidFill>
          </w14:textFill>
        </w:rPr>
        <w:t>||||||||||  |||||||||</w:t>
      </w:r>
      <w:r w:rsidRPr="002953F2">
        <w:rPr>
          <w:color w:val="000000"/>
          <w:spacing w:val="25"/>
          <w:w w:val="57"/>
          <w:shd w:val="solid" w:color="000000" w:fill="000000"/>
          <w:fitText w:val="1337" w:id="-1249701112"/>
          <w14:textFill>
            <w14:solidFill>
              <w14:srgbClr w14:val="000000">
                <w14:alpha w14:val="100000"/>
              </w14:srgbClr>
            </w14:solidFill>
          </w14:textFill>
        </w:rPr>
        <w:t>|</w:t>
      </w:r>
      <w:r>
        <w:t xml:space="preserve"> </w:t>
      </w:r>
      <w:r w:rsidRPr="002953F2">
        <w:rPr>
          <w:color w:val="000000"/>
          <w:spacing w:val="2"/>
          <w:w w:val="53"/>
          <w:shd w:val="solid" w:color="000000" w:fill="000000"/>
          <w:fitText w:val="5016" w:id="-1249701111"/>
          <w14:textFill>
            <w14:solidFill>
              <w14:srgbClr w14:val="000000">
                <w14:alpha w14:val="100000"/>
              </w14:srgbClr>
            </w14:solidFill>
          </w14:textFill>
        </w:rPr>
        <w:t>|||||||||||||||||||||||||||||||||||||||||  ||||||||||||||||||||||||||||||||||||||||</w:t>
      </w:r>
      <w:r w:rsidRPr="002953F2">
        <w:rPr>
          <w:color w:val="000000"/>
          <w:spacing w:val="-2"/>
          <w:w w:val="53"/>
          <w:shd w:val="solid" w:color="000000" w:fill="000000"/>
          <w:fitText w:val="5016" w:id="-1249701111"/>
          <w14:textFill>
            <w14:solidFill>
              <w14:srgbClr w14:val="000000">
                <w14:alpha w14:val="100000"/>
              </w14:srgbClr>
            </w14:solidFill>
          </w14:textFill>
        </w:rPr>
        <w:t>|</w:t>
      </w:r>
    </w:p>
    <w:p w14:paraId="2CB406D1" w14:textId="77777777" w:rsidR="0019217E" w:rsidRPr="00735A33" w:rsidRDefault="0019217E" w:rsidP="0019217E">
      <w:pPr>
        <w:pStyle w:val="PBACHeading1"/>
        <w:numPr>
          <w:ilvl w:val="0"/>
          <w:numId w:val="2"/>
        </w:numPr>
        <w:spacing w:after="120"/>
        <w:outlineLvl w:val="0"/>
        <w:rPr>
          <w:bCs/>
          <w:lang w:val="en-GB"/>
        </w:rPr>
      </w:pPr>
      <w:r>
        <w:rPr>
          <w:bCs/>
          <w:lang w:val="en-GB"/>
        </w:rPr>
        <w:t xml:space="preserve">PBAC </w:t>
      </w:r>
      <w:r w:rsidRPr="00735A33">
        <w:rPr>
          <w:bCs/>
          <w:lang w:val="en-GB"/>
        </w:rPr>
        <w:t>Outcome</w:t>
      </w:r>
    </w:p>
    <w:p w14:paraId="11765A84" w14:textId="1C2D1968" w:rsidR="0019217E" w:rsidRDefault="0019217E" w:rsidP="0019217E">
      <w:pPr>
        <w:pStyle w:val="ListParagraph"/>
        <w:widowControl/>
        <w:numPr>
          <w:ilvl w:val="1"/>
          <w:numId w:val="2"/>
        </w:numPr>
        <w:spacing w:after="120"/>
      </w:pPr>
      <w:r>
        <w:t xml:space="preserve">The PBAC noted the sponsors’ price offers for pembrolizumab and lenvatinib for the treatment of endometrial cancer, resulting in a total cost per patient per course of </w:t>
      </w:r>
      <w:r w:rsidRPr="00735A33">
        <w:t>$</w:t>
      </w:r>
      <w:r w:rsidRPr="003E504A">
        <w:rPr>
          <w:color w:val="000000"/>
          <w:w w:val="15"/>
          <w:shd w:val="solid" w:color="000000" w:fill="000000"/>
          <w:fitText w:val="-20" w:id="-1275398911"/>
          <w14:textFill>
            <w14:solidFill>
              <w14:srgbClr w14:val="000000">
                <w14:alpha w14:val="100000"/>
              </w14:srgbClr>
            </w14:solidFill>
          </w14:textFill>
        </w:rPr>
        <w:t xml:space="preserve">|  </w:t>
      </w:r>
      <w:r w:rsidRPr="003E504A">
        <w:rPr>
          <w:color w:val="000000"/>
          <w:spacing w:val="-69"/>
          <w:w w:val="15"/>
          <w:shd w:val="solid" w:color="000000" w:fill="000000"/>
          <w:fitText w:val="-20" w:id="-1275398911"/>
          <w14:textFill>
            <w14:solidFill>
              <w14:srgbClr w14:val="000000">
                <w14:alpha w14:val="100000"/>
              </w14:srgbClr>
            </w14:solidFill>
          </w14:textFill>
        </w:rPr>
        <w:t>|</w:t>
      </w:r>
      <w:r w:rsidR="00D7116C">
        <w:t xml:space="preserve"> </w:t>
      </w:r>
      <w:r>
        <w:t xml:space="preserve">and a resulting ICER of </w:t>
      </w:r>
      <w:r w:rsidR="00E4459B" w:rsidRPr="00E4459B">
        <w:t>$75,000 to &lt; $95,000</w:t>
      </w:r>
      <w:r>
        <w:t>/QALY. The PBAC noted that its March 2022 recommendation was based on an ICER of $75,000/QALY or lower.</w:t>
      </w:r>
    </w:p>
    <w:p w14:paraId="047B4496" w14:textId="52064D41" w:rsidR="0019217E" w:rsidRPr="00D65B69" w:rsidRDefault="0019217E" w:rsidP="0019217E">
      <w:pPr>
        <w:pStyle w:val="ListParagraph"/>
        <w:widowControl/>
        <w:numPr>
          <w:ilvl w:val="1"/>
          <w:numId w:val="2"/>
        </w:numPr>
        <w:spacing w:after="120"/>
      </w:pPr>
      <w:r w:rsidRPr="00735A33">
        <w:t xml:space="preserve">The PBAC recalled that there was </w:t>
      </w:r>
      <w:r w:rsidRPr="0019546E">
        <w:t xml:space="preserve">clear benefit </w:t>
      </w:r>
      <w:r>
        <w:t xml:space="preserve">observed in </w:t>
      </w:r>
      <w:r w:rsidRPr="0019546E">
        <w:t>all</w:t>
      </w:r>
      <w:r>
        <w:t>-</w:t>
      </w:r>
      <w:r w:rsidRPr="0019546E">
        <w:t xml:space="preserve">comers in the </w:t>
      </w:r>
      <w:r>
        <w:t>key trial (</w:t>
      </w:r>
      <w:r w:rsidRPr="0019546E">
        <w:t>KN775</w:t>
      </w:r>
      <w:r>
        <w:t>)</w:t>
      </w:r>
      <w:r w:rsidRPr="00735A33">
        <w:t xml:space="preserve"> and further </w:t>
      </w:r>
      <w:r>
        <w:t xml:space="preserve">noted </w:t>
      </w:r>
      <w:r w:rsidRPr="00735A33">
        <w:t>the high clinical need in this patient population in which there have been no recent advances in therapy.</w:t>
      </w:r>
      <w:r>
        <w:t xml:space="preserve"> In the context of the updated financial estimates of a net cost to the PBS/RPBS of </w:t>
      </w:r>
      <w:r w:rsidR="000029F4" w:rsidRPr="000029F4">
        <w:t>$70 million to &lt; $80 million</w:t>
      </w:r>
      <w:r w:rsidR="000029F4" w:rsidRPr="000029F4" w:rsidDel="000029F4">
        <w:t xml:space="preserve"> </w:t>
      </w:r>
      <w:r>
        <w:t xml:space="preserve">to </w:t>
      </w:r>
      <w:r w:rsidR="000029F4" w:rsidRPr="000029F4">
        <w:t>$80 million to &lt; $90 million</w:t>
      </w:r>
      <w:r w:rsidR="000029F4" w:rsidRPr="000029F4" w:rsidDel="000029F4">
        <w:t xml:space="preserve"> </w:t>
      </w:r>
      <w:r>
        <w:t>over 6 years, the PBAC considered that,</w:t>
      </w:r>
      <w:r w:rsidRPr="00CC2D8E">
        <w:t xml:space="preserve"> </w:t>
      </w:r>
      <w:r>
        <w:t xml:space="preserve">on balance, a resulting ICER of </w:t>
      </w:r>
      <w:r w:rsidR="00E4459B" w:rsidRPr="00E4459B">
        <w:t>$75,000 to &lt; $95,000</w:t>
      </w:r>
      <w:r>
        <w:t>/QALY was acceptably cost-effective.</w:t>
      </w:r>
    </w:p>
    <w:p w14:paraId="0802DEAD" w14:textId="724EEC13" w:rsidR="0019217E" w:rsidRPr="00D17B31" w:rsidRDefault="0019217E" w:rsidP="0019217E">
      <w:pPr>
        <w:pStyle w:val="ListParagraph"/>
        <w:widowControl/>
        <w:numPr>
          <w:ilvl w:val="1"/>
          <w:numId w:val="2"/>
        </w:numPr>
        <w:spacing w:after="120"/>
      </w:pPr>
      <w:r>
        <w:t>The PBAC reiterated that a RSA would be required</w:t>
      </w:r>
      <w:r w:rsidRPr="00FE42D5">
        <w:t xml:space="preserve"> </w:t>
      </w:r>
      <w:r>
        <w:t xml:space="preserve">to manage the financial risk of utilisation outside the intended population and the potential for use for longer durations than estimated. The PBAC noted MSD’s offer of </w:t>
      </w:r>
      <w:r w:rsidR="002953F2" w:rsidRPr="00D91FB1">
        <w:rPr>
          <w:color w:val="000000"/>
          <w:w w:val="21"/>
          <w:shd w:val="solid" w:color="000000" w:fill="000000"/>
          <w:fitText w:val="72" w:id="-1236556793"/>
          <w14:textFill>
            <w14:solidFill>
              <w14:srgbClr w14:val="000000">
                <w14:alpha w14:val="100000"/>
              </w14:srgbClr>
            </w14:solidFill>
          </w14:textFill>
        </w:rPr>
        <w:t xml:space="preserve">|  </w:t>
      </w:r>
      <w:r w:rsidR="002953F2" w:rsidRPr="00D91FB1">
        <w:rPr>
          <w:color w:val="000000"/>
          <w:spacing w:val="2"/>
          <w:w w:val="21"/>
          <w:shd w:val="solid" w:color="000000" w:fill="000000"/>
          <w:fitText w:val="72" w:id="-1236556793"/>
          <w14:textFill>
            <w14:solidFill>
              <w14:srgbClr w14:val="000000">
                <w14:alpha w14:val="100000"/>
              </w14:srgbClr>
            </w14:solidFill>
          </w14:textFill>
        </w:rPr>
        <w:t>|</w:t>
      </w:r>
      <w:r>
        <w:t xml:space="preserve">% rebate above caps in the updated pricing proposal. The PBAC advised that at least a </w:t>
      </w:r>
      <w:r w:rsidR="00D91FB1" w:rsidRPr="001265BA">
        <w:rPr>
          <w:color w:val="000000"/>
          <w:w w:val="15"/>
          <w:shd w:val="solid" w:color="000000" w:fill="000000"/>
          <w:fitText w:val="-20" w:id="-1230248704"/>
          <w14:textFill>
            <w14:solidFill>
              <w14:srgbClr w14:val="000000">
                <w14:alpha w14:val="100000"/>
              </w14:srgbClr>
            </w14:solidFill>
          </w14:textFill>
        </w:rPr>
        <w:t xml:space="preserve">|  </w:t>
      </w:r>
      <w:r w:rsidR="00D91FB1" w:rsidRPr="001265BA">
        <w:rPr>
          <w:color w:val="000000"/>
          <w:spacing w:val="-69"/>
          <w:w w:val="15"/>
          <w:shd w:val="solid" w:color="000000" w:fill="000000"/>
          <w:fitText w:val="-20" w:id="-1230248704"/>
          <w14:textFill>
            <w14:solidFill>
              <w14:srgbClr w14:val="000000">
                <w14:alpha w14:val="100000"/>
              </w14:srgbClr>
            </w14:solidFill>
          </w14:textFill>
        </w:rPr>
        <w:t>|</w:t>
      </w:r>
      <w:r>
        <w:t>% rebate above caps would be required, consistent with its March 2022 advice around an appropriate RSA, and especially in the context of the higher revised ICER.</w:t>
      </w:r>
    </w:p>
    <w:p w14:paraId="3CD9DD67" w14:textId="77777777" w:rsidR="0019217E" w:rsidRPr="007E75AE" w:rsidRDefault="0019217E" w:rsidP="00E4459B">
      <w:pPr>
        <w:pStyle w:val="3-BodyText"/>
        <w:spacing w:after="0"/>
        <w:rPr>
          <w:b/>
          <w:bCs/>
        </w:rPr>
      </w:pPr>
      <w:r w:rsidRPr="007E75AE">
        <w:rPr>
          <w:b/>
          <w:bCs/>
        </w:rPr>
        <w:t>Outcome</w:t>
      </w:r>
      <w:r>
        <w:rPr>
          <w:b/>
          <w:bCs/>
        </w:rPr>
        <w:t>:</w:t>
      </w:r>
    </w:p>
    <w:p w14:paraId="0D0F9C9A" w14:textId="77777777" w:rsidR="0019217E" w:rsidRPr="007E75AE" w:rsidRDefault="0019217E" w:rsidP="0019217E">
      <w:pPr>
        <w:pStyle w:val="3-BodyText"/>
      </w:pPr>
      <w:r w:rsidRPr="007E75AE">
        <w:t>Advice provided</w:t>
      </w:r>
    </w:p>
    <w:p w14:paraId="4832E31B" w14:textId="51653802" w:rsidR="00E4459B" w:rsidRPr="00E4459B" w:rsidRDefault="00E4459B" w:rsidP="00E4459B">
      <w:pPr>
        <w:pStyle w:val="PBACHeading1"/>
        <w:numPr>
          <w:ilvl w:val="0"/>
          <w:numId w:val="2"/>
        </w:numPr>
        <w:spacing w:after="120"/>
        <w:outlineLvl w:val="0"/>
        <w:rPr>
          <w:bCs/>
          <w:lang w:val="en-GB"/>
        </w:rPr>
      </w:pPr>
      <w:r w:rsidRPr="00E4459B">
        <w:rPr>
          <w:bCs/>
          <w:lang w:val="en-GB"/>
        </w:rPr>
        <w:t>Context for Decision</w:t>
      </w:r>
    </w:p>
    <w:p w14:paraId="633F5E5F" w14:textId="77777777" w:rsidR="00E4459B" w:rsidRPr="007129F2" w:rsidRDefault="00E4459B" w:rsidP="00E4459B">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1143B01" w14:textId="4F1EBE2C" w:rsidR="00E4459B" w:rsidRPr="00E4459B" w:rsidRDefault="00E4459B" w:rsidP="00E4459B">
      <w:pPr>
        <w:pStyle w:val="PBACHeading1"/>
        <w:numPr>
          <w:ilvl w:val="0"/>
          <w:numId w:val="2"/>
        </w:numPr>
        <w:spacing w:after="120"/>
        <w:outlineLvl w:val="0"/>
        <w:rPr>
          <w:bCs/>
          <w:lang w:val="en-GB"/>
        </w:rPr>
      </w:pPr>
      <w:r w:rsidRPr="00E4459B">
        <w:rPr>
          <w:bCs/>
          <w:lang w:val="en-GB"/>
        </w:rPr>
        <w:t>Sponsor’s Comment</w:t>
      </w:r>
    </w:p>
    <w:p w14:paraId="3778EF82" w14:textId="77777777" w:rsidR="00E4459B" w:rsidRPr="001179AC" w:rsidRDefault="00E4459B" w:rsidP="00E4459B">
      <w:pPr>
        <w:spacing w:after="120"/>
        <w:ind w:left="426" w:firstLine="294"/>
        <w:rPr>
          <w:rFonts w:asciiTheme="minorHAnsi" w:hAnsiTheme="minorHAnsi"/>
          <w:bCs/>
        </w:rPr>
      </w:pPr>
      <w:r w:rsidRPr="00C07617">
        <w:rPr>
          <w:rFonts w:asciiTheme="minorHAnsi" w:hAnsiTheme="minorHAnsi"/>
          <w:bCs/>
        </w:rPr>
        <w:t>The sponsor had no comment.</w:t>
      </w:r>
    </w:p>
    <w:p w14:paraId="5DCACD4D" w14:textId="77777777" w:rsidR="00E4459B" w:rsidRDefault="00E4459B" w:rsidP="00E4459B">
      <w:pPr>
        <w:spacing w:after="120"/>
      </w:pPr>
    </w:p>
    <w:sectPr w:rsidR="00E4459B" w:rsidSect="00E21358">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7497" w14:textId="77777777" w:rsidR="00FE1BE5" w:rsidRDefault="00FE1BE5" w:rsidP="00124A51">
      <w:r>
        <w:separator/>
      </w:r>
    </w:p>
    <w:p w14:paraId="40809C72" w14:textId="77777777" w:rsidR="00FE1BE5" w:rsidRDefault="00FE1BE5"/>
  </w:endnote>
  <w:endnote w:type="continuationSeparator" w:id="0">
    <w:p w14:paraId="648827E9" w14:textId="77777777" w:rsidR="00FE1BE5" w:rsidRDefault="00FE1BE5" w:rsidP="00124A51">
      <w:r>
        <w:continuationSeparator/>
      </w:r>
    </w:p>
    <w:p w14:paraId="566FFEFE" w14:textId="77777777" w:rsidR="00FE1BE5" w:rsidRDefault="00FE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712E" w14:textId="77777777" w:rsidR="003E504A" w:rsidRDefault="003E5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1038" w14:textId="77777777" w:rsidR="00F645B8" w:rsidRDefault="00F645B8" w:rsidP="005169DD">
    <w:pPr>
      <w:pStyle w:val="Footer"/>
      <w:jc w:val="center"/>
    </w:pPr>
  </w:p>
  <w:p w14:paraId="67E3772F" w14:textId="1E94B860" w:rsidR="00F645B8" w:rsidRPr="00DD6DC6" w:rsidRDefault="003E504A" w:rsidP="005169DD">
    <w:pPr>
      <w:pStyle w:val="Footer"/>
      <w:jc w:val="center"/>
      <w:rPr>
        <w:b/>
      </w:rPr>
    </w:pPr>
    <w:sdt>
      <w:sdtPr>
        <w:rPr>
          <w:b/>
        </w:rPr>
        <w:id w:val="788863944"/>
        <w:docPartObj>
          <w:docPartGallery w:val="Page Numbers (Bottom of Page)"/>
          <w:docPartUnique/>
        </w:docPartObj>
      </w:sdtPr>
      <w:sdtEndPr>
        <w:rPr>
          <w:noProof/>
        </w:rPr>
      </w:sdtEndPr>
      <w:sdtContent>
        <w:r w:rsidR="00F645B8" w:rsidRPr="00DD6DC6">
          <w:rPr>
            <w:b/>
          </w:rPr>
          <w:fldChar w:fldCharType="begin"/>
        </w:r>
        <w:r w:rsidR="00F645B8" w:rsidRPr="00DD6DC6">
          <w:rPr>
            <w:b/>
          </w:rPr>
          <w:instrText xml:space="preserve"> PAGE   \* MERGEFORMAT </w:instrText>
        </w:r>
        <w:r w:rsidR="00F645B8" w:rsidRPr="00DD6DC6">
          <w:rPr>
            <w:b/>
          </w:rPr>
          <w:fldChar w:fldCharType="separate"/>
        </w:r>
        <w:r w:rsidR="00F645B8">
          <w:rPr>
            <w:b/>
            <w:noProof/>
          </w:rPr>
          <w:t>34</w:t>
        </w:r>
        <w:r w:rsidR="00F645B8" w:rsidRPr="00DD6DC6">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5F9B" w14:textId="77777777" w:rsidR="003E504A" w:rsidRDefault="003E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0751" w14:textId="77777777" w:rsidR="00FE1BE5" w:rsidRDefault="00FE1BE5" w:rsidP="00124A51">
      <w:r>
        <w:separator/>
      </w:r>
    </w:p>
    <w:p w14:paraId="263A8AF7" w14:textId="77777777" w:rsidR="00FE1BE5" w:rsidRDefault="00FE1BE5"/>
  </w:footnote>
  <w:footnote w:type="continuationSeparator" w:id="0">
    <w:p w14:paraId="1106A255" w14:textId="77777777" w:rsidR="00FE1BE5" w:rsidRDefault="00FE1BE5" w:rsidP="00124A51">
      <w:r>
        <w:continuationSeparator/>
      </w:r>
    </w:p>
    <w:p w14:paraId="468E4C3A" w14:textId="77777777" w:rsidR="00FE1BE5" w:rsidRDefault="00FE1BE5"/>
  </w:footnote>
  <w:footnote w:id="1">
    <w:p w14:paraId="5314DD98" w14:textId="77777777" w:rsidR="00F645B8" w:rsidRPr="00BE1AB3" w:rsidRDefault="00F645B8" w:rsidP="00020E37">
      <w:pPr>
        <w:pStyle w:val="FootnoteText"/>
        <w:rPr>
          <w:rFonts w:ascii="Arial Narrow" w:hAnsi="Arial Narrow"/>
          <w:sz w:val="18"/>
          <w:szCs w:val="18"/>
        </w:rPr>
      </w:pPr>
      <w:r w:rsidRPr="00BE1AB3">
        <w:rPr>
          <w:rStyle w:val="FootnoteReference"/>
          <w:rFonts w:ascii="Arial Narrow" w:hAnsi="Arial Narrow"/>
          <w:sz w:val="18"/>
          <w:szCs w:val="18"/>
        </w:rPr>
        <w:footnoteRef/>
      </w:r>
      <w:r w:rsidRPr="00BE1AB3">
        <w:rPr>
          <w:rFonts w:ascii="Arial Narrow" w:hAnsi="Arial Narrow"/>
          <w:sz w:val="18"/>
          <w:szCs w:val="18"/>
        </w:rPr>
        <w:t xml:space="preserve"> https://www.cancer.org.au/cancer-information/types-of-cancer/uterine-cancer</w:t>
      </w:r>
    </w:p>
  </w:footnote>
  <w:footnote w:id="2">
    <w:p w14:paraId="6285E24D" w14:textId="77777777" w:rsidR="00F645B8" w:rsidRPr="00BE1AB3" w:rsidRDefault="00F645B8" w:rsidP="00020E37">
      <w:pPr>
        <w:pStyle w:val="FootnoteText"/>
        <w:rPr>
          <w:rFonts w:ascii="Arial Narrow" w:hAnsi="Arial Narrow"/>
          <w:sz w:val="18"/>
          <w:szCs w:val="18"/>
        </w:rPr>
      </w:pPr>
      <w:r w:rsidRPr="00BE1AB3">
        <w:rPr>
          <w:rStyle w:val="FootnoteReference"/>
          <w:rFonts w:ascii="Arial Narrow" w:hAnsi="Arial Narrow"/>
          <w:sz w:val="18"/>
          <w:szCs w:val="18"/>
        </w:rPr>
        <w:footnoteRef/>
      </w:r>
      <w:r w:rsidRPr="00BE1AB3">
        <w:rPr>
          <w:rFonts w:ascii="Arial Narrow" w:hAnsi="Arial Narrow"/>
          <w:sz w:val="18"/>
          <w:szCs w:val="18"/>
        </w:rPr>
        <w:t xml:space="preserve"> https://seer.cancer.gov/statfacts/html/corp.html</w:t>
      </w:r>
    </w:p>
  </w:footnote>
  <w:footnote w:id="3">
    <w:p w14:paraId="7B335D00" w14:textId="77777777" w:rsidR="00F645B8" w:rsidRDefault="00F645B8" w:rsidP="00AE0E40">
      <w:pPr>
        <w:pStyle w:val="FootnoteText"/>
      </w:pPr>
      <w:r>
        <w:rPr>
          <w:rStyle w:val="FootnoteReference"/>
        </w:rPr>
        <w:footnoteRef/>
      </w:r>
      <w:r>
        <w:t xml:space="preserve"> van Weelden WJ, Massuger LFAG, ENITEC, Pijnenborg JMA and Romano A (2019) Anti-estrogen Treatment in Endometrial Cancer: A Systematic Review. Front. Oncol. 9:359. doi: 10.3389/fonc.2019.00359</w:t>
      </w:r>
    </w:p>
  </w:footnote>
  <w:footnote w:id="4">
    <w:p w14:paraId="61A0F001" w14:textId="355BAE9F" w:rsidR="00F645B8" w:rsidRDefault="00F645B8">
      <w:pPr>
        <w:pStyle w:val="FootnoteText"/>
      </w:pPr>
      <w:r>
        <w:rPr>
          <w:rStyle w:val="FootnoteReference"/>
        </w:rPr>
        <w:footnoteRef/>
      </w:r>
      <w:r>
        <w:t xml:space="preserve"> </w:t>
      </w:r>
      <w:r w:rsidRPr="002B1B97">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BA32" w14:textId="77777777" w:rsidR="003E504A" w:rsidRDefault="003E5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DC58" w14:textId="65F6720D" w:rsidR="00F645B8" w:rsidRPr="00E1724A" w:rsidRDefault="00F645B8" w:rsidP="002E693E">
    <w:pPr>
      <w:tabs>
        <w:tab w:val="left" w:pos="142"/>
        <w:tab w:val="right" w:pos="9027"/>
      </w:tabs>
      <w:jc w:val="center"/>
      <w:rPr>
        <w:i/>
        <w:iCs/>
      </w:rPr>
    </w:pPr>
    <w:r>
      <w:rPr>
        <w:i/>
        <w:iCs/>
      </w:rPr>
      <w:t>Public Summary Document</w:t>
    </w:r>
    <w:r w:rsidRPr="00E1724A">
      <w:rPr>
        <w:i/>
        <w:iCs/>
      </w:rPr>
      <w:t xml:space="preserve"> – March 2022 PBAC Meeting</w:t>
    </w:r>
    <w:r w:rsidR="0019217E">
      <w:rPr>
        <w:i/>
        <w:iCs/>
      </w:rPr>
      <w:t xml:space="preserve"> with March 2023 Addendum</w:t>
    </w:r>
  </w:p>
  <w:p w14:paraId="38439057" w14:textId="77777777" w:rsidR="00F645B8" w:rsidRDefault="00F645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8179" w14:textId="77777777" w:rsidR="003E504A" w:rsidRDefault="003E5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2709EC"/>
    <w:multiLevelType w:val="multilevel"/>
    <w:tmpl w:val="BF08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B6EC1"/>
    <w:multiLevelType w:val="hybridMultilevel"/>
    <w:tmpl w:val="C802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83867"/>
    <w:multiLevelType w:val="multilevel"/>
    <w:tmpl w:val="B3B0ED6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A621A1"/>
    <w:multiLevelType w:val="hybridMultilevel"/>
    <w:tmpl w:val="9DE6F790"/>
    <w:lvl w:ilvl="0" w:tplc="CA4C565C">
      <w:start w:val="5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0C4F98"/>
    <w:multiLevelType w:val="hybridMultilevel"/>
    <w:tmpl w:val="DB10B1DC"/>
    <w:lvl w:ilvl="0" w:tplc="6EAE61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0346AD7"/>
    <w:multiLevelType w:val="hybridMultilevel"/>
    <w:tmpl w:val="4D60B55C"/>
    <w:lvl w:ilvl="0" w:tplc="A22E5F30">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30B428C9"/>
    <w:multiLevelType w:val="hybridMultilevel"/>
    <w:tmpl w:val="708C20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F209C3"/>
    <w:multiLevelType w:val="hybridMultilevel"/>
    <w:tmpl w:val="3E54A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6606"/>
    <w:multiLevelType w:val="hybridMultilevel"/>
    <w:tmpl w:val="65CC9E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FA60647"/>
    <w:multiLevelType w:val="hybridMultilevel"/>
    <w:tmpl w:val="2D3A6F22"/>
    <w:lvl w:ilvl="0" w:tplc="8C46F616">
      <w:start w:val="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4442297"/>
    <w:multiLevelType w:val="hybridMultilevel"/>
    <w:tmpl w:val="E78C79C6"/>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1D710F"/>
    <w:multiLevelType w:val="hybridMultilevel"/>
    <w:tmpl w:val="3E9EAD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DE46F50"/>
    <w:multiLevelType w:val="hybridMultilevel"/>
    <w:tmpl w:val="217CD640"/>
    <w:lvl w:ilvl="0" w:tplc="87040444">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752835"/>
    <w:multiLevelType w:val="hybridMultilevel"/>
    <w:tmpl w:val="6AAE31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7E1344"/>
    <w:multiLevelType w:val="singleLevel"/>
    <w:tmpl w:val="C92E6932"/>
    <w:lvl w:ilvl="0">
      <w:start w:val="1"/>
      <w:numFmt w:val="bullet"/>
      <w:lvlText w:val=""/>
      <w:lvlJc w:val="left"/>
      <w:pPr>
        <w:tabs>
          <w:tab w:val="num" w:pos="454"/>
        </w:tabs>
        <w:ind w:left="454" w:hanging="454"/>
      </w:pPr>
      <w:rPr>
        <w:rFonts w:ascii="Wingdings" w:hAnsi="Wingdings" w:cs="Wingdings" w:hint="default"/>
        <w:sz w:val="20"/>
        <w:szCs w:val="20"/>
      </w:rPr>
    </w:lvl>
  </w:abstractNum>
  <w:abstractNum w:abstractNumId="22" w15:restartNumberingAfterBreak="0">
    <w:nsid w:val="554E4C64"/>
    <w:multiLevelType w:val="hybridMultilevel"/>
    <w:tmpl w:val="BAACDCDE"/>
    <w:lvl w:ilvl="0" w:tplc="D4EAD428">
      <w:start w:val="1"/>
      <w:numFmt w:val="bullet"/>
      <w:lvlText w:val="-"/>
      <w:lvlJc w:val="left"/>
      <w:pPr>
        <w:tabs>
          <w:tab w:val="num" w:pos="720"/>
        </w:tabs>
        <w:ind w:left="720" w:hanging="360"/>
      </w:pPr>
      <w:rPr>
        <w:rFonts w:ascii="Times New Roman" w:hAnsi="Times New Roman" w:hint="default"/>
      </w:rPr>
    </w:lvl>
    <w:lvl w:ilvl="1" w:tplc="AD400C5A" w:tentative="1">
      <w:start w:val="1"/>
      <w:numFmt w:val="bullet"/>
      <w:lvlText w:val="-"/>
      <w:lvlJc w:val="left"/>
      <w:pPr>
        <w:tabs>
          <w:tab w:val="num" w:pos="1440"/>
        </w:tabs>
        <w:ind w:left="1440" w:hanging="360"/>
      </w:pPr>
      <w:rPr>
        <w:rFonts w:ascii="Times New Roman" w:hAnsi="Times New Roman" w:hint="default"/>
      </w:rPr>
    </w:lvl>
    <w:lvl w:ilvl="2" w:tplc="493048F0" w:tentative="1">
      <w:start w:val="1"/>
      <w:numFmt w:val="bullet"/>
      <w:lvlText w:val="-"/>
      <w:lvlJc w:val="left"/>
      <w:pPr>
        <w:tabs>
          <w:tab w:val="num" w:pos="2160"/>
        </w:tabs>
        <w:ind w:left="2160" w:hanging="360"/>
      </w:pPr>
      <w:rPr>
        <w:rFonts w:ascii="Times New Roman" w:hAnsi="Times New Roman" w:hint="default"/>
      </w:rPr>
    </w:lvl>
    <w:lvl w:ilvl="3" w:tplc="810ABB8C" w:tentative="1">
      <w:start w:val="1"/>
      <w:numFmt w:val="bullet"/>
      <w:lvlText w:val="-"/>
      <w:lvlJc w:val="left"/>
      <w:pPr>
        <w:tabs>
          <w:tab w:val="num" w:pos="2880"/>
        </w:tabs>
        <w:ind w:left="2880" w:hanging="360"/>
      </w:pPr>
      <w:rPr>
        <w:rFonts w:ascii="Times New Roman" w:hAnsi="Times New Roman" w:hint="default"/>
      </w:rPr>
    </w:lvl>
    <w:lvl w:ilvl="4" w:tplc="6C5C9ED6" w:tentative="1">
      <w:start w:val="1"/>
      <w:numFmt w:val="bullet"/>
      <w:lvlText w:val="-"/>
      <w:lvlJc w:val="left"/>
      <w:pPr>
        <w:tabs>
          <w:tab w:val="num" w:pos="3600"/>
        </w:tabs>
        <w:ind w:left="3600" w:hanging="360"/>
      </w:pPr>
      <w:rPr>
        <w:rFonts w:ascii="Times New Roman" w:hAnsi="Times New Roman" w:hint="default"/>
      </w:rPr>
    </w:lvl>
    <w:lvl w:ilvl="5" w:tplc="2092FE72" w:tentative="1">
      <w:start w:val="1"/>
      <w:numFmt w:val="bullet"/>
      <w:lvlText w:val="-"/>
      <w:lvlJc w:val="left"/>
      <w:pPr>
        <w:tabs>
          <w:tab w:val="num" w:pos="4320"/>
        </w:tabs>
        <w:ind w:left="4320" w:hanging="360"/>
      </w:pPr>
      <w:rPr>
        <w:rFonts w:ascii="Times New Roman" w:hAnsi="Times New Roman" w:hint="default"/>
      </w:rPr>
    </w:lvl>
    <w:lvl w:ilvl="6" w:tplc="E92A71AE" w:tentative="1">
      <w:start w:val="1"/>
      <w:numFmt w:val="bullet"/>
      <w:lvlText w:val="-"/>
      <w:lvlJc w:val="left"/>
      <w:pPr>
        <w:tabs>
          <w:tab w:val="num" w:pos="5040"/>
        </w:tabs>
        <w:ind w:left="5040" w:hanging="360"/>
      </w:pPr>
      <w:rPr>
        <w:rFonts w:ascii="Times New Roman" w:hAnsi="Times New Roman" w:hint="default"/>
      </w:rPr>
    </w:lvl>
    <w:lvl w:ilvl="7" w:tplc="AAE48D88" w:tentative="1">
      <w:start w:val="1"/>
      <w:numFmt w:val="bullet"/>
      <w:lvlText w:val="-"/>
      <w:lvlJc w:val="left"/>
      <w:pPr>
        <w:tabs>
          <w:tab w:val="num" w:pos="5760"/>
        </w:tabs>
        <w:ind w:left="5760" w:hanging="360"/>
      </w:pPr>
      <w:rPr>
        <w:rFonts w:ascii="Times New Roman" w:hAnsi="Times New Roman" w:hint="default"/>
      </w:rPr>
    </w:lvl>
    <w:lvl w:ilvl="8" w:tplc="2416C81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96C4681"/>
    <w:multiLevelType w:val="hybridMultilevel"/>
    <w:tmpl w:val="61C2EA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15:restartNumberingAfterBreak="0">
    <w:nsid w:val="5ED42CDC"/>
    <w:multiLevelType w:val="multilevel"/>
    <w:tmpl w:val="E1368C46"/>
    <w:lvl w:ilvl="0">
      <w:start w:val="1"/>
      <w:numFmt w:val="decimal"/>
      <w:lvlText w:val="%1"/>
      <w:lvlJc w:val="left"/>
      <w:pPr>
        <w:ind w:left="720" w:hanging="720"/>
      </w:pPr>
      <w:rPr>
        <w:rFonts w:hint="default"/>
        <w:b/>
        <w:color w:val="auto"/>
      </w:rPr>
    </w:lvl>
    <w:lvl w:ilvl="1">
      <w:start w:val="1"/>
      <w:numFmt w:val="decimal"/>
      <w:lvlText w:val="%2."/>
      <w:lvlJc w:val="left"/>
      <w:pPr>
        <w:ind w:left="720" w:hanging="720"/>
      </w:pPr>
      <w:rPr>
        <w:rFonts w:hint="default"/>
        <w:b w:val="0"/>
        <w:i/>
        <w:i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0C7E7F"/>
    <w:multiLevelType w:val="hybridMultilevel"/>
    <w:tmpl w:val="2AC41AE2"/>
    <w:lvl w:ilvl="0" w:tplc="9DC4FC24">
      <w:start w:val="1"/>
      <w:numFmt w:val="bullet"/>
      <w:lvlText w:val="•"/>
      <w:lvlJc w:val="left"/>
      <w:pPr>
        <w:tabs>
          <w:tab w:val="num" w:pos="720"/>
        </w:tabs>
        <w:ind w:left="720" w:hanging="360"/>
      </w:pPr>
      <w:rPr>
        <w:rFonts w:ascii="Arial" w:hAnsi="Arial" w:hint="default"/>
      </w:rPr>
    </w:lvl>
    <w:lvl w:ilvl="1" w:tplc="9C2CB78E" w:tentative="1">
      <w:start w:val="1"/>
      <w:numFmt w:val="bullet"/>
      <w:lvlText w:val="•"/>
      <w:lvlJc w:val="left"/>
      <w:pPr>
        <w:tabs>
          <w:tab w:val="num" w:pos="1440"/>
        </w:tabs>
        <w:ind w:left="1440" w:hanging="360"/>
      </w:pPr>
      <w:rPr>
        <w:rFonts w:ascii="Arial" w:hAnsi="Arial" w:hint="default"/>
      </w:rPr>
    </w:lvl>
    <w:lvl w:ilvl="2" w:tplc="37FE6C26" w:tentative="1">
      <w:start w:val="1"/>
      <w:numFmt w:val="bullet"/>
      <w:lvlText w:val="•"/>
      <w:lvlJc w:val="left"/>
      <w:pPr>
        <w:tabs>
          <w:tab w:val="num" w:pos="2160"/>
        </w:tabs>
        <w:ind w:left="2160" w:hanging="360"/>
      </w:pPr>
      <w:rPr>
        <w:rFonts w:ascii="Arial" w:hAnsi="Arial" w:hint="default"/>
      </w:rPr>
    </w:lvl>
    <w:lvl w:ilvl="3" w:tplc="73588D12" w:tentative="1">
      <w:start w:val="1"/>
      <w:numFmt w:val="bullet"/>
      <w:lvlText w:val="•"/>
      <w:lvlJc w:val="left"/>
      <w:pPr>
        <w:tabs>
          <w:tab w:val="num" w:pos="2880"/>
        </w:tabs>
        <w:ind w:left="2880" w:hanging="360"/>
      </w:pPr>
      <w:rPr>
        <w:rFonts w:ascii="Arial" w:hAnsi="Arial" w:hint="default"/>
      </w:rPr>
    </w:lvl>
    <w:lvl w:ilvl="4" w:tplc="8DA45B1E" w:tentative="1">
      <w:start w:val="1"/>
      <w:numFmt w:val="bullet"/>
      <w:lvlText w:val="•"/>
      <w:lvlJc w:val="left"/>
      <w:pPr>
        <w:tabs>
          <w:tab w:val="num" w:pos="3600"/>
        </w:tabs>
        <w:ind w:left="3600" w:hanging="360"/>
      </w:pPr>
      <w:rPr>
        <w:rFonts w:ascii="Arial" w:hAnsi="Arial" w:hint="default"/>
      </w:rPr>
    </w:lvl>
    <w:lvl w:ilvl="5" w:tplc="178EE946" w:tentative="1">
      <w:start w:val="1"/>
      <w:numFmt w:val="bullet"/>
      <w:lvlText w:val="•"/>
      <w:lvlJc w:val="left"/>
      <w:pPr>
        <w:tabs>
          <w:tab w:val="num" w:pos="4320"/>
        </w:tabs>
        <w:ind w:left="4320" w:hanging="360"/>
      </w:pPr>
      <w:rPr>
        <w:rFonts w:ascii="Arial" w:hAnsi="Arial" w:hint="default"/>
      </w:rPr>
    </w:lvl>
    <w:lvl w:ilvl="6" w:tplc="AC84C1D0" w:tentative="1">
      <w:start w:val="1"/>
      <w:numFmt w:val="bullet"/>
      <w:lvlText w:val="•"/>
      <w:lvlJc w:val="left"/>
      <w:pPr>
        <w:tabs>
          <w:tab w:val="num" w:pos="5040"/>
        </w:tabs>
        <w:ind w:left="5040" w:hanging="360"/>
      </w:pPr>
      <w:rPr>
        <w:rFonts w:ascii="Arial" w:hAnsi="Arial" w:hint="default"/>
      </w:rPr>
    </w:lvl>
    <w:lvl w:ilvl="7" w:tplc="FF1EC7B6" w:tentative="1">
      <w:start w:val="1"/>
      <w:numFmt w:val="bullet"/>
      <w:lvlText w:val="•"/>
      <w:lvlJc w:val="left"/>
      <w:pPr>
        <w:tabs>
          <w:tab w:val="num" w:pos="5760"/>
        </w:tabs>
        <w:ind w:left="5760" w:hanging="360"/>
      </w:pPr>
      <w:rPr>
        <w:rFonts w:ascii="Arial" w:hAnsi="Arial" w:hint="default"/>
      </w:rPr>
    </w:lvl>
    <w:lvl w:ilvl="8" w:tplc="0D04C4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4D033C"/>
    <w:multiLevelType w:val="multilevel"/>
    <w:tmpl w:val="C1A444D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5C3527"/>
    <w:multiLevelType w:val="hybridMultilevel"/>
    <w:tmpl w:val="B8D657D0"/>
    <w:lvl w:ilvl="0" w:tplc="0C09001B">
      <w:start w:val="1"/>
      <w:numFmt w:val="lowerRoman"/>
      <w:lvlText w:val="%1."/>
      <w:lvlJc w:val="righ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27"/>
  </w:num>
  <w:num w:numId="3">
    <w:abstractNumId w:val="15"/>
  </w:num>
  <w:num w:numId="4">
    <w:abstractNumId w:val="14"/>
  </w:num>
  <w:num w:numId="5">
    <w:abstractNumId w:val="18"/>
  </w:num>
  <w:num w:numId="6">
    <w:abstractNumId w:val="4"/>
  </w:num>
  <w:num w:numId="7">
    <w:abstractNumId w:val="7"/>
  </w:num>
  <w:num w:numId="8">
    <w:abstractNumId w:val="8"/>
  </w:num>
  <w:num w:numId="9">
    <w:abstractNumId w:val="1"/>
  </w:num>
  <w:num w:numId="10">
    <w:abstractNumId w:val="0"/>
  </w:num>
  <w:num w:numId="11">
    <w:abstractNumId w:val="24"/>
  </w:num>
  <w:num w:numId="12">
    <w:abstractNumId w:val="17"/>
  </w:num>
  <w:num w:numId="13">
    <w:abstractNumId w:val="12"/>
  </w:num>
  <w:num w:numId="14">
    <w:abstractNumId w:val="20"/>
  </w:num>
  <w:num w:numId="15">
    <w:abstractNumId w:val="10"/>
  </w:num>
  <w:num w:numId="16">
    <w:abstractNumId w:val="25"/>
  </w:num>
  <w:num w:numId="17">
    <w:abstractNumId w:val="28"/>
  </w:num>
  <w:num w:numId="18">
    <w:abstractNumId w:val="13"/>
  </w:num>
  <w:num w:numId="19">
    <w:abstractNumId w:val="23"/>
  </w:num>
  <w:num w:numId="20">
    <w:abstractNumId w:val="6"/>
  </w:num>
  <w:num w:numId="21">
    <w:abstractNumId w:val="11"/>
  </w:num>
  <w:num w:numId="22">
    <w:abstractNumId w:val="22"/>
  </w:num>
  <w:num w:numId="23">
    <w:abstractNumId w:val="26"/>
  </w:num>
  <w:num w:numId="24">
    <w:abstractNumId w:val="19"/>
  </w:num>
  <w:num w:numId="25">
    <w:abstractNumId w:val="2"/>
  </w:num>
  <w:num w:numId="26">
    <w:abstractNumId w:val="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 w:numId="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900"/>
    <w:rsid w:val="00000CF8"/>
    <w:rsid w:val="0000110B"/>
    <w:rsid w:val="000024B5"/>
    <w:rsid w:val="000029F4"/>
    <w:rsid w:val="00002F78"/>
    <w:rsid w:val="00003499"/>
    <w:rsid w:val="000035F0"/>
    <w:rsid w:val="000039B7"/>
    <w:rsid w:val="0000421B"/>
    <w:rsid w:val="0000436F"/>
    <w:rsid w:val="0000459B"/>
    <w:rsid w:val="00004FF7"/>
    <w:rsid w:val="000071F2"/>
    <w:rsid w:val="00007222"/>
    <w:rsid w:val="0000732D"/>
    <w:rsid w:val="00011D20"/>
    <w:rsid w:val="0001265F"/>
    <w:rsid w:val="00013247"/>
    <w:rsid w:val="00013F3B"/>
    <w:rsid w:val="000148F6"/>
    <w:rsid w:val="00015886"/>
    <w:rsid w:val="000162EF"/>
    <w:rsid w:val="0001687A"/>
    <w:rsid w:val="00016AA6"/>
    <w:rsid w:val="00016C38"/>
    <w:rsid w:val="0001727D"/>
    <w:rsid w:val="0001738D"/>
    <w:rsid w:val="00017454"/>
    <w:rsid w:val="000203C2"/>
    <w:rsid w:val="00020C9E"/>
    <w:rsid w:val="00020E37"/>
    <w:rsid w:val="00021411"/>
    <w:rsid w:val="0002225F"/>
    <w:rsid w:val="00022EBF"/>
    <w:rsid w:val="00023763"/>
    <w:rsid w:val="0002419F"/>
    <w:rsid w:val="00024476"/>
    <w:rsid w:val="000245E5"/>
    <w:rsid w:val="0002525F"/>
    <w:rsid w:val="00027070"/>
    <w:rsid w:val="00027DEC"/>
    <w:rsid w:val="0003041E"/>
    <w:rsid w:val="00030F6C"/>
    <w:rsid w:val="00031121"/>
    <w:rsid w:val="000329AB"/>
    <w:rsid w:val="00032C57"/>
    <w:rsid w:val="00033863"/>
    <w:rsid w:val="00034011"/>
    <w:rsid w:val="00034D3F"/>
    <w:rsid w:val="00035DC0"/>
    <w:rsid w:val="00036829"/>
    <w:rsid w:val="00037762"/>
    <w:rsid w:val="00037F25"/>
    <w:rsid w:val="00040194"/>
    <w:rsid w:val="000405E2"/>
    <w:rsid w:val="00040895"/>
    <w:rsid w:val="00041253"/>
    <w:rsid w:val="00041C72"/>
    <w:rsid w:val="00042583"/>
    <w:rsid w:val="00042A14"/>
    <w:rsid w:val="00043C37"/>
    <w:rsid w:val="000444F6"/>
    <w:rsid w:val="00045017"/>
    <w:rsid w:val="00045A2B"/>
    <w:rsid w:val="00046595"/>
    <w:rsid w:val="0004698F"/>
    <w:rsid w:val="0004775E"/>
    <w:rsid w:val="00047FC9"/>
    <w:rsid w:val="000511FA"/>
    <w:rsid w:val="00051416"/>
    <w:rsid w:val="0005145B"/>
    <w:rsid w:val="0005180E"/>
    <w:rsid w:val="00052163"/>
    <w:rsid w:val="00052D43"/>
    <w:rsid w:val="000539D0"/>
    <w:rsid w:val="00054239"/>
    <w:rsid w:val="00054621"/>
    <w:rsid w:val="000546D7"/>
    <w:rsid w:val="000562E3"/>
    <w:rsid w:val="00057077"/>
    <w:rsid w:val="00057132"/>
    <w:rsid w:val="00057684"/>
    <w:rsid w:val="00057860"/>
    <w:rsid w:val="000579F3"/>
    <w:rsid w:val="000606F3"/>
    <w:rsid w:val="000619BB"/>
    <w:rsid w:val="00061FCE"/>
    <w:rsid w:val="000623AC"/>
    <w:rsid w:val="00064615"/>
    <w:rsid w:val="00065FF2"/>
    <w:rsid w:val="00066223"/>
    <w:rsid w:val="00066360"/>
    <w:rsid w:val="000669E9"/>
    <w:rsid w:val="00066B40"/>
    <w:rsid w:val="000708BB"/>
    <w:rsid w:val="00070F4B"/>
    <w:rsid w:val="00071248"/>
    <w:rsid w:val="000720B9"/>
    <w:rsid w:val="000737F7"/>
    <w:rsid w:val="00073DAC"/>
    <w:rsid w:val="000749C0"/>
    <w:rsid w:val="00074A0B"/>
    <w:rsid w:val="00075766"/>
    <w:rsid w:val="00075CA7"/>
    <w:rsid w:val="0007672F"/>
    <w:rsid w:val="000771F2"/>
    <w:rsid w:val="000774F0"/>
    <w:rsid w:val="00080909"/>
    <w:rsid w:val="000812CA"/>
    <w:rsid w:val="0008258D"/>
    <w:rsid w:val="000834AE"/>
    <w:rsid w:val="0008352E"/>
    <w:rsid w:val="00083E99"/>
    <w:rsid w:val="000842E4"/>
    <w:rsid w:val="00084B1E"/>
    <w:rsid w:val="00085534"/>
    <w:rsid w:val="000856C5"/>
    <w:rsid w:val="000903C1"/>
    <w:rsid w:val="000904C3"/>
    <w:rsid w:val="00090C7E"/>
    <w:rsid w:val="00091909"/>
    <w:rsid w:val="0009237F"/>
    <w:rsid w:val="00092600"/>
    <w:rsid w:val="0009262B"/>
    <w:rsid w:val="00092CAA"/>
    <w:rsid w:val="00092FD7"/>
    <w:rsid w:val="00093310"/>
    <w:rsid w:val="0009445C"/>
    <w:rsid w:val="00095196"/>
    <w:rsid w:val="00095F97"/>
    <w:rsid w:val="00095FE5"/>
    <w:rsid w:val="00096284"/>
    <w:rsid w:val="00096CE4"/>
    <w:rsid w:val="00097AEE"/>
    <w:rsid w:val="000A08E0"/>
    <w:rsid w:val="000A2D7F"/>
    <w:rsid w:val="000A3BCE"/>
    <w:rsid w:val="000A4DAC"/>
    <w:rsid w:val="000A4DAD"/>
    <w:rsid w:val="000A4E7D"/>
    <w:rsid w:val="000A5BB5"/>
    <w:rsid w:val="000A7D08"/>
    <w:rsid w:val="000B0670"/>
    <w:rsid w:val="000B0759"/>
    <w:rsid w:val="000B0E75"/>
    <w:rsid w:val="000B0ED7"/>
    <w:rsid w:val="000B1C2A"/>
    <w:rsid w:val="000B39E0"/>
    <w:rsid w:val="000B4D17"/>
    <w:rsid w:val="000B6CAC"/>
    <w:rsid w:val="000B7612"/>
    <w:rsid w:val="000C01EB"/>
    <w:rsid w:val="000C049D"/>
    <w:rsid w:val="000C27F3"/>
    <w:rsid w:val="000C2886"/>
    <w:rsid w:val="000C2B41"/>
    <w:rsid w:val="000C2FBA"/>
    <w:rsid w:val="000C3032"/>
    <w:rsid w:val="000C33F1"/>
    <w:rsid w:val="000C3506"/>
    <w:rsid w:val="000C36C2"/>
    <w:rsid w:val="000C3DF9"/>
    <w:rsid w:val="000C4805"/>
    <w:rsid w:val="000C4F1B"/>
    <w:rsid w:val="000C5E2C"/>
    <w:rsid w:val="000C6713"/>
    <w:rsid w:val="000C756E"/>
    <w:rsid w:val="000D155B"/>
    <w:rsid w:val="000D1BFC"/>
    <w:rsid w:val="000D1FC5"/>
    <w:rsid w:val="000D281A"/>
    <w:rsid w:val="000D2F3D"/>
    <w:rsid w:val="000D326A"/>
    <w:rsid w:val="000D37A3"/>
    <w:rsid w:val="000D388A"/>
    <w:rsid w:val="000D4681"/>
    <w:rsid w:val="000D51FB"/>
    <w:rsid w:val="000D54C5"/>
    <w:rsid w:val="000D7830"/>
    <w:rsid w:val="000E0249"/>
    <w:rsid w:val="000E0C02"/>
    <w:rsid w:val="000E0D5E"/>
    <w:rsid w:val="000E135D"/>
    <w:rsid w:val="000E1DCA"/>
    <w:rsid w:val="000E1E85"/>
    <w:rsid w:val="000E226A"/>
    <w:rsid w:val="000E4333"/>
    <w:rsid w:val="000E535D"/>
    <w:rsid w:val="000E694F"/>
    <w:rsid w:val="000E73F2"/>
    <w:rsid w:val="000E7547"/>
    <w:rsid w:val="000F00BA"/>
    <w:rsid w:val="000F08E8"/>
    <w:rsid w:val="000F316A"/>
    <w:rsid w:val="000F3C74"/>
    <w:rsid w:val="000F3D7F"/>
    <w:rsid w:val="000F3F33"/>
    <w:rsid w:val="000F49F9"/>
    <w:rsid w:val="000F4BB8"/>
    <w:rsid w:val="000F63B9"/>
    <w:rsid w:val="000F7127"/>
    <w:rsid w:val="000F71E2"/>
    <w:rsid w:val="000F7945"/>
    <w:rsid w:val="00100379"/>
    <w:rsid w:val="00100F8A"/>
    <w:rsid w:val="001018E7"/>
    <w:rsid w:val="00101ABD"/>
    <w:rsid w:val="00101ACF"/>
    <w:rsid w:val="00102DE8"/>
    <w:rsid w:val="00103A76"/>
    <w:rsid w:val="00104519"/>
    <w:rsid w:val="00105AE2"/>
    <w:rsid w:val="0010635C"/>
    <w:rsid w:val="00106B80"/>
    <w:rsid w:val="00107607"/>
    <w:rsid w:val="0011017F"/>
    <w:rsid w:val="0011032E"/>
    <w:rsid w:val="00110535"/>
    <w:rsid w:val="0011348B"/>
    <w:rsid w:val="00113D22"/>
    <w:rsid w:val="00114311"/>
    <w:rsid w:val="00115982"/>
    <w:rsid w:val="00115C31"/>
    <w:rsid w:val="00115F51"/>
    <w:rsid w:val="0011685E"/>
    <w:rsid w:val="00116C53"/>
    <w:rsid w:val="001201C8"/>
    <w:rsid w:val="00120720"/>
    <w:rsid w:val="001216C8"/>
    <w:rsid w:val="00121799"/>
    <w:rsid w:val="001222FC"/>
    <w:rsid w:val="00122429"/>
    <w:rsid w:val="00123C19"/>
    <w:rsid w:val="00124A51"/>
    <w:rsid w:val="001259EA"/>
    <w:rsid w:val="001265BA"/>
    <w:rsid w:val="00126621"/>
    <w:rsid w:val="0012736D"/>
    <w:rsid w:val="001301E9"/>
    <w:rsid w:val="00130753"/>
    <w:rsid w:val="001315AC"/>
    <w:rsid w:val="00131A3E"/>
    <w:rsid w:val="00131D82"/>
    <w:rsid w:val="00131E75"/>
    <w:rsid w:val="00132325"/>
    <w:rsid w:val="00132422"/>
    <w:rsid w:val="0013381F"/>
    <w:rsid w:val="00133D36"/>
    <w:rsid w:val="00134388"/>
    <w:rsid w:val="0013458E"/>
    <w:rsid w:val="001371BF"/>
    <w:rsid w:val="00137645"/>
    <w:rsid w:val="00137E2D"/>
    <w:rsid w:val="00137F15"/>
    <w:rsid w:val="0014015A"/>
    <w:rsid w:val="00140177"/>
    <w:rsid w:val="00140E99"/>
    <w:rsid w:val="001411B7"/>
    <w:rsid w:val="001417FC"/>
    <w:rsid w:val="00141A18"/>
    <w:rsid w:val="00141B66"/>
    <w:rsid w:val="00141FC3"/>
    <w:rsid w:val="00144981"/>
    <w:rsid w:val="00144D8B"/>
    <w:rsid w:val="00145540"/>
    <w:rsid w:val="0014556A"/>
    <w:rsid w:val="001456B0"/>
    <w:rsid w:val="001479DE"/>
    <w:rsid w:val="00150A1E"/>
    <w:rsid w:val="0015114D"/>
    <w:rsid w:val="00154214"/>
    <w:rsid w:val="00154D21"/>
    <w:rsid w:val="001551EC"/>
    <w:rsid w:val="00155871"/>
    <w:rsid w:val="001559CF"/>
    <w:rsid w:val="001563C4"/>
    <w:rsid w:val="00157130"/>
    <w:rsid w:val="001576B1"/>
    <w:rsid w:val="00157BAA"/>
    <w:rsid w:val="00160726"/>
    <w:rsid w:val="001608C7"/>
    <w:rsid w:val="00160A4C"/>
    <w:rsid w:val="00162913"/>
    <w:rsid w:val="00163944"/>
    <w:rsid w:val="00163EFF"/>
    <w:rsid w:val="00164257"/>
    <w:rsid w:val="001661FB"/>
    <w:rsid w:val="001678DC"/>
    <w:rsid w:val="001700FF"/>
    <w:rsid w:val="00170C82"/>
    <w:rsid w:val="00172C4D"/>
    <w:rsid w:val="00173565"/>
    <w:rsid w:val="00173B07"/>
    <w:rsid w:val="00174692"/>
    <w:rsid w:val="001747BB"/>
    <w:rsid w:val="00174DDB"/>
    <w:rsid w:val="001759EA"/>
    <w:rsid w:val="00175E5C"/>
    <w:rsid w:val="00181D9C"/>
    <w:rsid w:val="001820AD"/>
    <w:rsid w:val="001837E0"/>
    <w:rsid w:val="00183C5B"/>
    <w:rsid w:val="00184324"/>
    <w:rsid w:val="0018553C"/>
    <w:rsid w:val="00185795"/>
    <w:rsid w:val="00185C89"/>
    <w:rsid w:val="00186865"/>
    <w:rsid w:val="001869D7"/>
    <w:rsid w:val="00186C99"/>
    <w:rsid w:val="001871BC"/>
    <w:rsid w:val="0018752F"/>
    <w:rsid w:val="001876C3"/>
    <w:rsid w:val="00187E36"/>
    <w:rsid w:val="00190031"/>
    <w:rsid w:val="0019033B"/>
    <w:rsid w:val="00190CF2"/>
    <w:rsid w:val="0019217E"/>
    <w:rsid w:val="00193F39"/>
    <w:rsid w:val="00194CD9"/>
    <w:rsid w:val="00195222"/>
    <w:rsid w:val="0019546E"/>
    <w:rsid w:val="00196AF9"/>
    <w:rsid w:val="001975D8"/>
    <w:rsid w:val="00197B37"/>
    <w:rsid w:val="001A01F4"/>
    <w:rsid w:val="001A03F0"/>
    <w:rsid w:val="001A05B3"/>
    <w:rsid w:val="001A0ABB"/>
    <w:rsid w:val="001A310A"/>
    <w:rsid w:val="001A3BF7"/>
    <w:rsid w:val="001A3CF5"/>
    <w:rsid w:val="001A43FA"/>
    <w:rsid w:val="001A4CE3"/>
    <w:rsid w:val="001A5651"/>
    <w:rsid w:val="001A59FB"/>
    <w:rsid w:val="001A6354"/>
    <w:rsid w:val="001A7AE8"/>
    <w:rsid w:val="001A7E8A"/>
    <w:rsid w:val="001B000C"/>
    <w:rsid w:val="001B0AE9"/>
    <w:rsid w:val="001B1182"/>
    <w:rsid w:val="001B1D72"/>
    <w:rsid w:val="001B1F15"/>
    <w:rsid w:val="001B204E"/>
    <w:rsid w:val="001B3443"/>
    <w:rsid w:val="001B3AEF"/>
    <w:rsid w:val="001B41DB"/>
    <w:rsid w:val="001B46FE"/>
    <w:rsid w:val="001B4D20"/>
    <w:rsid w:val="001B56B0"/>
    <w:rsid w:val="001B7649"/>
    <w:rsid w:val="001B7B2E"/>
    <w:rsid w:val="001C0413"/>
    <w:rsid w:val="001C0C07"/>
    <w:rsid w:val="001C0EA5"/>
    <w:rsid w:val="001C2A9B"/>
    <w:rsid w:val="001C2C40"/>
    <w:rsid w:val="001C2E74"/>
    <w:rsid w:val="001C41DD"/>
    <w:rsid w:val="001C4299"/>
    <w:rsid w:val="001C51B6"/>
    <w:rsid w:val="001C5455"/>
    <w:rsid w:val="001C593E"/>
    <w:rsid w:val="001C5F94"/>
    <w:rsid w:val="001C6E66"/>
    <w:rsid w:val="001C7249"/>
    <w:rsid w:val="001D07C1"/>
    <w:rsid w:val="001D1006"/>
    <w:rsid w:val="001D1983"/>
    <w:rsid w:val="001D224E"/>
    <w:rsid w:val="001D2F6F"/>
    <w:rsid w:val="001D515E"/>
    <w:rsid w:val="001D5BF0"/>
    <w:rsid w:val="001D6AD2"/>
    <w:rsid w:val="001E10E0"/>
    <w:rsid w:val="001E146B"/>
    <w:rsid w:val="001E195A"/>
    <w:rsid w:val="001E21D6"/>
    <w:rsid w:val="001E238E"/>
    <w:rsid w:val="001E2483"/>
    <w:rsid w:val="001E2B1E"/>
    <w:rsid w:val="001E30D4"/>
    <w:rsid w:val="001E43C5"/>
    <w:rsid w:val="001E4441"/>
    <w:rsid w:val="001E52EB"/>
    <w:rsid w:val="001E5490"/>
    <w:rsid w:val="001E61D2"/>
    <w:rsid w:val="001E6910"/>
    <w:rsid w:val="001E740C"/>
    <w:rsid w:val="001F1235"/>
    <w:rsid w:val="001F160D"/>
    <w:rsid w:val="001F1CB3"/>
    <w:rsid w:val="001F2F6A"/>
    <w:rsid w:val="001F38B5"/>
    <w:rsid w:val="001F3B61"/>
    <w:rsid w:val="001F48D4"/>
    <w:rsid w:val="001F6316"/>
    <w:rsid w:val="001F6D60"/>
    <w:rsid w:val="001F7361"/>
    <w:rsid w:val="001F7631"/>
    <w:rsid w:val="00200A1E"/>
    <w:rsid w:val="00200C5F"/>
    <w:rsid w:val="002011B0"/>
    <w:rsid w:val="002026D6"/>
    <w:rsid w:val="00202DC5"/>
    <w:rsid w:val="00203181"/>
    <w:rsid w:val="00203783"/>
    <w:rsid w:val="0020385F"/>
    <w:rsid w:val="00204EBD"/>
    <w:rsid w:val="00206244"/>
    <w:rsid w:val="00207021"/>
    <w:rsid w:val="0020732F"/>
    <w:rsid w:val="00207D00"/>
    <w:rsid w:val="00210202"/>
    <w:rsid w:val="002105C1"/>
    <w:rsid w:val="002106BD"/>
    <w:rsid w:val="0021078F"/>
    <w:rsid w:val="0021152C"/>
    <w:rsid w:val="00213DD3"/>
    <w:rsid w:val="00214F6E"/>
    <w:rsid w:val="002156D3"/>
    <w:rsid w:val="00220079"/>
    <w:rsid w:val="0022035B"/>
    <w:rsid w:val="002211FB"/>
    <w:rsid w:val="00221217"/>
    <w:rsid w:val="00221A53"/>
    <w:rsid w:val="00221B4A"/>
    <w:rsid w:val="00223B49"/>
    <w:rsid w:val="00223E67"/>
    <w:rsid w:val="0022492E"/>
    <w:rsid w:val="00224988"/>
    <w:rsid w:val="00224DD4"/>
    <w:rsid w:val="002253A7"/>
    <w:rsid w:val="00225722"/>
    <w:rsid w:val="00225F42"/>
    <w:rsid w:val="00227453"/>
    <w:rsid w:val="002309CC"/>
    <w:rsid w:val="00231404"/>
    <w:rsid w:val="00231961"/>
    <w:rsid w:val="0023209F"/>
    <w:rsid w:val="002321E1"/>
    <w:rsid w:val="00233AE6"/>
    <w:rsid w:val="00235108"/>
    <w:rsid w:val="00235E4F"/>
    <w:rsid w:val="0023629D"/>
    <w:rsid w:val="00237255"/>
    <w:rsid w:val="00241000"/>
    <w:rsid w:val="0024214B"/>
    <w:rsid w:val="002423C3"/>
    <w:rsid w:val="002424AF"/>
    <w:rsid w:val="002439DC"/>
    <w:rsid w:val="00243A76"/>
    <w:rsid w:val="00244DC8"/>
    <w:rsid w:val="00245663"/>
    <w:rsid w:val="002458BA"/>
    <w:rsid w:val="00245FDB"/>
    <w:rsid w:val="0024636C"/>
    <w:rsid w:val="0024737A"/>
    <w:rsid w:val="0024787B"/>
    <w:rsid w:val="00247925"/>
    <w:rsid w:val="00247A9D"/>
    <w:rsid w:val="00247AD0"/>
    <w:rsid w:val="00247BBC"/>
    <w:rsid w:val="00250A3C"/>
    <w:rsid w:val="00251CBC"/>
    <w:rsid w:val="002520EB"/>
    <w:rsid w:val="002521AB"/>
    <w:rsid w:val="00254331"/>
    <w:rsid w:val="00254C01"/>
    <w:rsid w:val="00254DCF"/>
    <w:rsid w:val="0025534B"/>
    <w:rsid w:val="00255BB7"/>
    <w:rsid w:val="00257541"/>
    <w:rsid w:val="002604EC"/>
    <w:rsid w:val="00260E63"/>
    <w:rsid w:val="0026199E"/>
    <w:rsid w:val="00261CFE"/>
    <w:rsid w:val="00261F09"/>
    <w:rsid w:val="00262044"/>
    <w:rsid w:val="0026260D"/>
    <w:rsid w:val="00262683"/>
    <w:rsid w:val="002627A8"/>
    <w:rsid w:val="00262A1A"/>
    <w:rsid w:val="00262A87"/>
    <w:rsid w:val="00263079"/>
    <w:rsid w:val="00263BCF"/>
    <w:rsid w:val="00263DA4"/>
    <w:rsid w:val="00264D26"/>
    <w:rsid w:val="00265972"/>
    <w:rsid w:val="00267642"/>
    <w:rsid w:val="00267AEA"/>
    <w:rsid w:val="002700E6"/>
    <w:rsid w:val="00270EF5"/>
    <w:rsid w:val="002728CA"/>
    <w:rsid w:val="0027294B"/>
    <w:rsid w:val="0027315C"/>
    <w:rsid w:val="00273C3A"/>
    <w:rsid w:val="00273D6D"/>
    <w:rsid w:val="00274896"/>
    <w:rsid w:val="00274A68"/>
    <w:rsid w:val="00275C5A"/>
    <w:rsid w:val="00276D63"/>
    <w:rsid w:val="00277226"/>
    <w:rsid w:val="002779BC"/>
    <w:rsid w:val="00281014"/>
    <w:rsid w:val="00281D5C"/>
    <w:rsid w:val="00282258"/>
    <w:rsid w:val="00282392"/>
    <w:rsid w:val="002827BE"/>
    <w:rsid w:val="00282ED9"/>
    <w:rsid w:val="002834BD"/>
    <w:rsid w:val="0028469D"/>
    <w:rsid w:val="0028513C"/>
    <w:rsid w:val="00285DCC"/>
    <w:rsid w:val="00286F74"/>
    <w:rsid w:val="00290BC1"/>
    <w:rsid w:val="0029108B"/>
    <w:rsid w:val="00293411"/>
    <w:rsid w:val="00293630"/>
    <w:rsid w:val="002953F2"/>
    <w:rsid w:val="0029764C"/>
    <w:rsid w:val="00297AA1"/>
    <w:rsid w:val="002A14AB"/>
    <w:rsid w:val="002A22B9"/>
    <w:rsid w:val="002A258D"/>
    <w:rsid w:val="002A2ECF"/>
    <w:rsid w:val="002A2F50"/>
    <w:rsid w:val="002A44EC"/>
    <w:rsid w:val="002A46BA"/>
    <w:rsid w:val="002A4B6D"/>
    <w:rsid w:val="002A5F8E"/>
    <w:rsid w:val="002A63C2"/>
    <w:rsid w:val="002A73E1"/>
    <w:rsid w:val="002A74EC"/>
    <w:rsid w:val="002B0195"/>
    <w:rsid w:val="002B09A4"/>
    <w:rsid w:val="002B0BD3"/>
    <w:rsid w:val="002B1411"/>
    <w:rsid w:val="002B1B97"/>
    <w:rsid w:val="002B1C1F"/>
    <w:rsid w:val="002B3755"/>
    <w:rsid w:val="002B3CD2"/>
    <w:rsid w:val="002B41AA"/>
    <w:rsid w:val="002B432F"/>
    <w:rsid w:val="002B4C51"/>
    <w:rsid w:val="002B5A30"/>
    <w:rsid w:val="002B62B3"/>
    <w:rsid w:val="002B63CA"/>
    <w:rsid w:val="002B6722"/>
    <w:rsid w:val="002B6754"/>
    <w:rsid w:val="002B6CCE"/>
    <w:rsid w:val="002B7C09"/>
    <w:rsid w:val="002C046A"/>
    <w:rsid w:val="002C0C3B"/>
    <w:rsid w:val="002C0E16"/>
    <w:rsid w:val="002C224C"/>
    <w:rsid w:val="002C2480"/>
    <w:rsid w:val="002C2510"/>
    <w:rsid w:val="002C2518"/>
    <w:rsid w:val="002C2775"/>
    <w:rsid w:val="002C27C1"/>
    <w:rsid w:val="002C2E6F"/>
    <w:rsid w:val="002C4516"/>
    <w:rsid w:val="002C5099"/>
    <w:rsid w:val="002C53C8"/>
    <w:rsid w:val="002C5889"/>
    <w:rsid w:val="002C5F97"/>
    <w:rsid w:val="002C71CE"/>
    <w:rsid w:val="002C722F"/>
    <w:rsid w:val="002C7385"/>
    <w:rsid w:val="002D00F3"/>
    <w:rsid w:val="002D0E1E"/>
    <w:rsid w:val="002D112D"/>
    <w:rsid w:val="002D1321"/>
    <w:rsid w:val="002D134A"/>
    <w:rsid w:val="002D1DDC"/>
    <w:rsid w:val="002D32AD"/>
    <w:rsid w:val="002D3661"/>
    <w:rsid w:val="002D54FC"/>
    <w:rsid w:val="002D577C"/>
    <w:rsid w:val="002D5EBC"/>
    <w:rsid w:val="002D7F4E"/>
    <w:rsid w:val="002D7F70"/>
    <w:rsid w:val="002E029B"/>
    <w:rsid w:val="002E05ED"/>
    <w:rsid w:val="002E06BB"/>
    <w:rsid w:val="002E0DE5"/>
    <w:rsid w:val="002E1070"/>
    <w:rsid w:val="002E156E"/>
    <w:rsid w:val="002E15B9"/>
    <w:rsid w:val="002E2158"/>
    <w:rsid w:val="002E33C2"/>
    <w:rsid w:val="002E35C4"/>
    <w:rsid w:val="002E39B3"/>
    <w:rsid w:val="002E5453"/>
    <w:rsid w:val="002E581C"/>
    <w:rsid w:val="002E5E35"/>
    <w:rsid w:val="002E693E"/>
    <w:rsid w:val="002E6ACC"/>
    <w:rsid w:val="002E6B39"/>
    <w:rsid w:val="002E6F3A"/>
    <w:rsid w:val="002E73AE"/>
    <w:rsid w:val="002E7722"/>
    <w:rsid w:val="002E7D43"/>
    <w:rsid w:val="002E7E43"/>
    <w:rsid w:val="002F07BA"/>
    <w:rsid w:val="002F0DA9"/>
    <w:rsid w:val="002F3E19"/>
    <w:rsid w:val="002F435B"/>
    <w:rsid w:val="002F534F"/>
    <w:rsid w:val="002F573C"/>
    <w:rsid w:val="002F57FA"/>
    <w:rsid w:val="002F619A"/>
    <w:rsid w:val="002F643C"/>
    <w:rsid w:val="002F71C0"/>
    <w:rsid w:val="002F74D7"/>
    <w:rsid w:val="00300BF0"/>
    <w:rsid w:val="00301017"/>
    <w:rsid w:val="0030155F"/>
    <w:rsid w:val="003016D7"/>
    <w:rsid w:val="00302CD8"/>
    <w:rsid w:val="00302FC0"/>
    <w:rsid w:val="003030B9"/>
    <w:rsid w:val="003032C9"/>
    <w:rsid w:val="0030377A"/>
    <w:rsid w:val="00304021"/>
    <w:rsid w:val="00304C12"/>
    <w:rsid w:val="0030587B"/>
    <w:rsid w:val="00305FC7"/>
    <w:rsid w:val="00306D98"/>
    <w:rsid w:val="0030786C"/>
    <w:rsid w:val="0031031A"/>
    <w:rsid w:val="00310981"/>
    <w:rsid w:val="003110A9"/>
    <w:rsid w:val="00311F2B"/>
    <w:rsid w:val="003131AE"/>
    <w:rsid w:val="003136E0"/>
    <w:rsid w:val="00313A40"/>
    <w:rsid w:val="003143DC"/>
    <w:rsid w:val="00314492"/>
    <w:rsid w:val="00314C48"/>
    <w:rsid w:val="00314E64"/>
    <w:rsid w:val="00314F80"/>
    <w:rsid w:val="00315498"/>
    <w:rsid w:val="00315D77"/>
    <w:rsid w:val="00316809"/>
    <w:rsid w:val="00316815"/>
    <w:rsid w:val="00316AF7"/>
    <w:rsid w:val="00316E4F"/>
    <w:rsid w:val="0031715F"/>
    <w:rsid w:val="00317B83"/>
    <w:rsid w:val="00317F0B"/>
    <w:rsid w:val="00321951"/>
    <w:rsid w:val="00321E48"/>
    <w:rsid w:val="0032209F"/>
    <w:rsid w:val="00322107"/>
    <w:rsid w:val="0032235F"/>
    <w:rsid w:val="00322846"/>
    <w:rsid w:val="00323F28"/>
    <w:rsid w:val="0032535C"/>
    <w:rsid w:val="00326483"/>
    <w:rsid w:val="00326A44"/>
    <w:rsid w:val="00326DA7"/>
    <w:rsid w:val="003270E4"/>
    <w:rsid w:val="00327CAE"/>
    <w:rsid w:val="00330ACF"/>
    <w:rsid w:val="00330ED5"/>
    <w:rsid w:val="00330F5C"/>
    <w:rsid w:val="0033271E"/>
    <w:rsid w:val="00335356"/>
    <w:rsid w:val="003366C9"/>
    <w:rsid w:val="003368F9"/>
    <w:rsid w:val="003371B0"/>
    <w:rsid w:val="0033786E"/>
    <w:rsid w:val="0034084E"/>
    <w:rsid w:val="00340DA7"/>
    <w:rsid w:val="00340DF1"/>
    <w:rsid w:val="003421B3"/>
    <w:rsid w:val="003426D7"/>
    <w:rsid w:val="0034321D"/>
    <w:rsid w:val="00343C03"/>
    <w:rsid w:val="00344367"/>
    <w:rsid w:val="003446F8"/>
    <w:rsid w:val="00345F4F"/>
    <w:rsid w:val="00346F52"/>
    <w:rsid w:val="00347720"/>
    <w:rsid w:val="003517F9"/>
    <w:rsid w:val="00351973"/>
    <w:rsid w:val="0035197A"/>
    <w:rsid w:val="003522E2"/>
    <w:rsid w:val="003529DA"/>
    <w:rsid w:val="0035301F"/>
    <w:rsid w:val="003538BF"/>
    <w:rsid w:val="003540F3"/>
    <w:rsid w:val="003544E3"/>
    <w:rsid w:val="003545F6"/>
    <w:rsid w:val="00354A70"/>
    <w:rsid w:val="00354AB1"/>
    <w:rsid w:val="00354CC3"/>
    <w:rsid w:val="0035509D"/>
    <w:rsid w:val="003557AA"/>
    <w:rsid w:val="0035620E"/>
    <w:rsid w:val="00356727"/>
    <w:rsid w:val="003568AA"/>
    <w:rsid w:val="00356F35"/>
    <w:rsid w:val="0035743C"/>
    <w:rsid w:val="0036119A"/>
    <w:rsid w:val="00361825"/>
    <w:rsid w:val="003624C4"/>
    <w:rsid w:val="00362C6B"/>
    <w:rsid w:val="003641C4"/>
    <w:rsid w:val="00364A4E"/>
    <w:rsid w:val="00365175"/>
    <w:rsid w:val="003653EE"/>
    <w:rsid w:val="003654AC"/>
    <w:rsid w:val="00366F51"/>
    <w:rsid w:val="003670E5"/>
    <w:rsid w:val="003676DF"/>
    <w:rsid w:val="00370C06"/>
    <w:rsid w:val="003710CF"/>
    <w:rsid w:val="0037137B"/>
    <w:rsid w:val="00371F93"/>
    <w:rsid w:val="003723F3"/>
    <w:rsid w:val="0037358A"/>
    <w:rsid w:val="00373866"/>
    <w:rsid w:val="003742EB"/>
    <w:rsid w:val="003743C5"/>
    <w:rsid w:val="0037482C"/>
    <w:rsid w:val="00374D7B"/>
    <w:rsid w:val="003750F6"/>
    <w:rsid w:val="00375610"/>
    <w:rsid w:val="003760FC"/>
    <w:rsid w:val="00377139"/>
    <w:rsid w:val="00377274"/>
    <w:rsid w:val="003776BB"/>
    <w:rsid w:val="00380A6E"/>
    <w:rsid w:val="0038163A"/>
    <w:rsid w:val="0038219E"/>
    <w:rsid w:val="00382814"/>
    <w:rsid w:val="00382DA9"/>
    <w:rsid w:val="00382E20"/>
    <w:rsid w:val="0038365C"/>
    <w:rsid w:val="0038369B"/>
    <w:rsid w:val="00383B78"/>
    <w:rsid w:val="00384233"/>
    <w:rsid w:val="00384485"/>
    <w:rsid w:val="00384FCD"/>
    <w:rsid w:val="00385A9D"/>
    <w:rsid w:val="003872FD"/>
    <w:rsid w:val="00387441"/>
    <w:rsid w:val="003902B1"/>
    <w:rsid w:val="00390E40"/>
    <w:rsid w:val="00391401"/>
    <w:rsid w:val="00392212"/>
    <w:rsid w:val="00392DF5"/>
    <w:rsid w:val="003932AF"/>
    <w:rsid w:val="00393608"/>
    <w:rsid w:val="00394775"/>
    <w:rsid w:val="00394C1B"/>
    <w:rsid w:val="00394CF3"/>
    <w:rsid w:val="00395B13"/>
    <w:rsid w:val="003965D3"/>
    <w:rsid w:val="00396896"/>
    <w:rsid w:val="00396BCF"/>
    <w:rsid w:val="00396FD0"/>
    <w:rsid w:val="00396FE5"/>
    <w:rsid w:val="003A00C2"/>
    <w:rsid w:val="003A0BEE"/>
    <w:rsid w:val="003A1621"/>
    <w:rsid w:val="003A1A7A"/>
    <w:rsid w:val="003A1B87"/>
    <w:rsid w:val="003A2392"/>
    <w:rsid w:val="003A2831"/>
    <w:rsid w:val="003A3ED1"/>
    <w:rsid w:val="003A4A1D"/>
    <w:rsid w:val="003A4ADA"/>
    <w:rsid w:val="003A530B"/>
    <w:rsid w:val="003A5316"/>
    <w:rsid w:val="003A5C1B"/>
    <w:rsid w:val="003A5D6E"/>
    <w:rsid w:val="003A7026"/>
    <w:rsid w:val="003A768C"/>
    <w:rsid w:val="003B0BA3"/>
    <w:rsid w:val="003B1552"/>
    <w:rsid w:val="003B1DC5"/>
    <w:rsid w:val="003B2105"/>
    <w:rsid w:val="003B21A1"/>
    <w:rsid w:val="003B3171"/>
    <w:rsid w:val="003B3B9A"/>
    <w:rsid w:val="003B4028"/>
    <w:rsid w:val="003B4CAB"/>
    <w:rsid w:val="003B4D79"/>
    <w:rsid w:val="003B57C4"/>
    <w:rsid w:val="003B5B61"/>
    <w:rsid w:val="003B71C3"/>
    <w:rsid w:val="003B75A4"/>
    <w:rsid w:val="003B76F1"/>
    <w:rsid w:val="003B7715"/>
    <w:rsid w:val="003C00FA"/>
    <w:rsid w:val="003C1440"/>
    <w:rsid w:val="003C1654"/>
    <w:rsid w:val="003C1CDC"/>
    <w:rsid w:val="003C2457"/>
    <w:rsid w:val="003C3398"/>
    <w:rsid w:val="003C3B99"/>
    <w:rsid w:val="003C48DE"/>
    <w:rsid w:val="003C4AB9"/>
    <w:rsid w:val="003C4AFD"/>
    <w:rsid w:val="003C6450"/>
    <w:rsid w:val="003C6994"/>
    <w:rsid w:val="003C70D2"/>
    <w:rsid w:val="003C740B"/>
    <w:rsid w:val="003C7D19"/>
    <w:rsid w:val="003D0239"/>
    <w:rsid w:val="003D15B4"/>
    <w:rsid w:val="003D1828"/>
    <w:rsid w:val="003D1B7B"/>
    <w:rsid w:val="003D1DE4"/>
    <w:rsid w:val="003D2422"/>
    <w:rsid w:val="003D2922"/>
    <w:rsid w:val="003D2DB3"/>
    <w:rsid w:val="003D34C5"/>
    <w:rsid w:val="003D39A1"/>
    <w:rsid w:val="003D39FB"/>
    <w:rsid w:val="003D3FBF"/>
    <w:rsid w:val="003D4A30"/>
    <w:rsid w:val="003D4C95"/>
    <w:rsid w:val="003D52CB"/>
    <w:rsid w:val="003D543F"/>
    <w:rsid w:val="003D566E"/>
    <w:rsid w:val="003D587F"/>
    <w:rsid w:val="003D5CA9"/>
    <w:rsid w:val="003D5D64"/>
    <w:rsid w:val="003D79BB"/>
    <w:rsid w:val="003D7C98"/>
    <w:rsid w:val="003E0543"/>
    <w:rsid w:val="003E05E8"/>
    <w:rsid w:val="003E110D"/>
    <w:rsid w:val="003E1674"/>
    <w:rsid w:val="003E1C8D"/>
    <w:rsid w:val="003E2EC4"/>
    <w:rsid w:val="003E2F84"/>
    <w:rsid w:val="003E3EC8"/>
    <w:rsid w:val="003E504A"/>
    <w:rsid w:val="003E5FAC"/>
    <w:rsid w:val="003F13CD"/>
    <w:rsid w:val="003F14D3"/>
    <w:rsid w:val="003F2319"/>
    <w:rsid w:val="003F25B1"/>
    <w:rsid w:val="003F2A3B"/>
    <w:rsid w:val="003F4156"/>
    <w:rsid w:val="003F5BF9"/>
    <w:rsid w:val="003F6A43"/>
    <w:rsid w:val="003F7C6B"/>
    <w:rsid w:val="00400B29"/>
    <w:rsid w:val="0040111A"/>
    <w:rsid w:val="004012F0"/>
    <w:rsid w:val="004015D8"/>
    <w:rsid w:val="0040215A"/>
    <w:rsid w:val="0040384F"/>
    <w:rsid w:val="00403898"/>
    <w:rsid w:val="0040394E"/>
    <w:rsid w:val="00403F3F"/>
    <w:rsid w:val="0040430A"/>
    <w:rsid w:val="004047EC"/>
    <w:rsid w:val="0040504B"/>
    <w:rsid w:val="004064AA"/>
    <w:rsid w:val="00407727"/>
    <w:rsid w:val="00407E07"/>
    <w:rsid w:val="00410708"/>
    <w:rsid w:val="00410EC7"/>
    <w:rsid w:val="004117FE"/>
    <w:rsid w:val="00411B39"/>
    <w:rsid w:val="00413441"/>
    <w:rsid w:val="0041399A"/>
    <w:rsid w:val="00413A1E"/>
    <w:rsid w:val="00413CFC"/>
    <w:rsid w:val="00414476"/>
    <w:rsid w:val="00414543"/>
    <w:rsid w:val="00414C2E"/>
    <w:rsid w:val="00414F5F"/>
    <w:rsid w:val="004151CF"/>
    <w:rsid w:val="004152D6"/>
    <w:rsid w:val="00416364"/>
    <w:rsid w:val="004163DD"/>
    <w:rsid w:val="00417DC5"/>
    <w:rsid w:val="00420735"/>
    <w:rsid w:val="00420AA6"/>
    <w:rsid w:val="00420B9F"/>
    <w:rsid w:val="004218B5"/>
    <w:rsid w:val="004219FE"/>
    <w:rsid w:val="00422260"/>
    <w:rsid w:val="00423113"/>
    <w:rsid w:val="0042361E"/>
    <w:rsid w:val="0042413F"/>
    <w:rsid w:val="00424CA7"/>
    <w:rsid w:val="0042561F"/>
    <w:rsid w:val="00425759"/>
    <w:rsid w:val="00425788"/>
    <w:rsid w:val="00430C69"/>
    <w:rsid w:val="0043137E"/>
    <w:rsid w:val="004319F8"/>
    <w:rsid w:val="00431E55"/>
    <w:rsid w:val="004321F6"/>
    <w:rsid w:val="00432672"/>
    <w:rsid w:val="00432A42"/>
    <w:rsid w:val="00433044"/>
    <w:rsid w:val="00434091"/>
    <w:rsid w:val="00435F0D"/>
    <w:rsid w:val="004375B9"/>
    <w:rsid w:val="00437E3D"/>
    <w:rsid w:val="004423AC"/>
    <w:rsid w:val="004427A5"/>
    <w:rsid w:val="00442881"/>
    <w:rsid w:val="004428D0"/>
    <w:rsid w:val="00442CF6"/>
    <w:rsid w:val="00443EB3"/>
    <w:rsid w:val="0044437A"/>
    <w:rsid w:val="004443A7"/>
    <w:rsid w:val="0044442C"/>
    <w:rsid w:val="00445000"/>
    <w:rsid w:val="004454AD"/>
    <w:rsid w:val="004458E9"/>
    <w:rsid w:val="00445941"/>
    <w:rsid w:val="004464EB"/>
    <w:rsid w:val="00446730"/>
    <w:rsid w:val="0044692C"/>
    <w:rsid w:val="00447D26"/>
    <w:rsid w:val="00447F1E"/>
    <w:rsid w:val="00450F30"/>
    <w:rsid w:val="00454067"/>
    <w:rsid w:val="004550A0"/>
    <w:rsid w:val="004555D4"/>
    <w:rsid w:val="00455D45"/>
    <w:rsid w:val="004574FC"/>
    <w:rsid w:val="00457631"/>
    <w:rsid w:val="00457EFB"/>
    <w:rsid w:val="00460FE3"/>
    <w:rsid w:val="004612D8"/>
    <w:rsid w:val="004612EE"/>
    <w:rsid w:val="00462A11"/>
    <w:rsid w:val="00462A23"/>
    <w:rsid w:val="00462F0B"/>
    <w:rsid w:val="00463A2B"/>
    <w:rsid w:val="00464595"/>
    <w:rsid w:val="00464899"/>
    <w:rsid w:val="00464F7D"/>
    <w:rsid w:val="00467763"/>
    <w:rsid w:val="00470BFF"/>
    <w:rsid w:val="00470C24"/>
    <w:rsid w:val="00470D9E"/>
    <w:rsid w:val="00470E22"/>
    <w:rsid w:val="00471013"/>
    <w:rsid w:val="00471756"/>
    <w:rsid w:val="0047268C"/>
    <w:rsid w:val="00472A79"/>
    <w:rsid w:val="00473F19"/>
    <w:rsid w:val="004744A9"/>
    <w:rsid w:val="00475E22"/>
    <w:rsid w:val="00476177"/>
    <w:rsid w:val="00476612"/>
    <w:rsid w:val="00476B8F"/>
    <w:rsid w:val="004777B5"/>
    <w:rsid w:val="00477E11"/>
    <w:rsid w:val="00480398"/>
    <w:rsid w:val="0048088E"/>
    <w:rsid w:val="004809E3"/>
    <w:rsid w:val="00480B89"/>
    <w:rsid w:val="00481B1D"/>
    <w:rsid w:val="00481C97"/>
    <w:rsid w:val="00481CE9"/>
    <w:rsid w:val="00482222"/>
    <w:rsid w:val="00482720"/>
    <w:rsid w:val="0048359E"/>
    <w:rsid w:val="004835E7"/>
    <w:rsid w:val="004840C8"/>
    <w:rsid w:val="004845E0"/>
    <w:rsid w:val="004867E2"/>
    <w:rsid w:val="00486F6F"/>
    <w:rsid w:val="00487003"/>
    <w:rsid w:val="00487DEB"/>
    <w:rsid w:val="00491783"/>
    <w:rsid w:val="00491B3A"/>
    <w:rsid w:val="00491F84"/>
    <w:rsid w:val="00492098"/>
    <w:rsid w:val="0049256C"/>
    <w:rsid w:val="00492813"/>
    <w:rsid w:val="00492CFD"/>
    <w:rsid w:val="004930D2"/>
    <w:rsid w:val="0049336B"/>
    <w:rsid w:val="004933CC"/>
    <w:rsid w:val="004938FD"/>
    <w:rsid w:val="004944A8"/>
    <w:rsid w:val="004945DB"/>
    <w:rsid w:val="00494A26"/>
    <w:rsid w:val="00494DD5"/>
    <w:rsid w:val="00495E20"/>
    <w:rsid w:val="004962D2"/>
    <w:rsid w:val="004971AF"/>
    <w:rsid w:val="004972F3"/>
    <w:rsid w:val="0049757B"/>
    <w:rsid w:val="004A0DA1"/>
    <w:rsid w:val="004A1D1A"/>
    <w:rsid w:val="004A1FB7"/>
    <w:rsid w:val="004A275C"/>
    <w:rsid w:val="004A3B8F"/>
    <w:rsid w:val="004A4307"/>
    <w:rsid w:val="004A4B87"/>
    <w:rsid w:val="004A4D1D"/>
    <w:rsid w:val="004A4DA8"/>
    <w:rsid w:val="004A52E9"/>
    <w:rsid w:val="004A5545"/>
    <w:rsid w:val="004A5923"/>
    <w:rsid w:val="004A5B6C"/>
    <w:rsid w:val="004A6597"/>
    <w:rsid w:val="004A66C6"/>
    <w:rsid w:val="004A7848"/>
    <w:rsid w:val="004A7B44"/>
    <w:rsid w:val="004A7D00"/>
    <w:rsid w:val="004B0F7A"/>
    <w:rsid w:val="004B1724"/>
    <w:rsid w:val="004B1CB4"/>
    <w:rsid w:val="004B23EB"/>
    <w:rsid w:val="004B2DB6"/>
    <w:rsid w:val="004B2F18"/>
    <w:rsid w:val="004B32BF"/>
    <w:rsid w:val="004B3DDB"/>
    <w:rsid w:val="004B44FD"/>
    <w:rsid w:val="004B4703"/>
    <w:rsid w:val="004B5CFC"/>
    <w:rsid w:val="004B6691"/>
    <w:rsid w:val="004B6E6C"/>
    <w:rsid w:val="004B754B"/>
    <w:rsid w:val="004B774D"/>
    <w:rsid w:val="004C010F"/>
    <w:rsid w:val="004C0488"/>
    <w:rsid w:val="004C3D2F"/>
    <w:rsid w:val="004C4747"/>
    <w:rsid w:val="004C4AED"/>
    <w:rsid w:val="004C5E84"/>
    <w:rsid w:val="004C70CE"/>
    <w:rsid w:val="004C78BD"/>
    <w:rsid w:val="004C7A06"/>
    <w:rsid w:val="004D0747"/>
    <w:rsid w:val="004D126D"/>
    <w:rsid w:val="004D2C2D"/>
    <w:rsid w:val="004D357C"/>
    <w:rsid w:val="004D35EB"/>
    <w:rsid w:val="004D3B67"/>
    <w:rsid w:val="004D4023"/>
    <w:rsid w:val="004D4D15"/>
    <w:rsid w:val="004D532A"/>
    <w:rsid w:val="004D6548"/>
    <w:rsid w:val="004D6CDD"/>
    <w:rsid w:val="004D6FBE"/>
    <w:rsid w:val="004D7227"/>
    <w:rsid w:val="004D7547"/>
    <w:rsid w:val="004D7730"/>
    <w:rsid w:val="004D774A"/>
    <w:rsid w:val="004E0717"/>
    <w:rsid w:val="004E0E7F"/>
    <w:rsid w:val="004E0EB8"/>
    <w:rsid w:val="004E115D"/>
    <w:rsid w:val="004E11D4"/>
    <w:rsid w:val="004E1BB4"/>
    <w:rsid w:val="004E2ADC"/>
    <w:rsid w:val="004E38D4"/>
    <w:rsid w:val="004E3E4B"/>
    <w:rsid w:val="004E43B2"/>
    <w:rsid w:val="004E4C57"/>
    <w:rsid w:val="004E651C"/>
    <w:rsid w:val="004E6FEC"/>
    <w:rsid w:val="004E768F"/>
    <w:rsid w:val="004E7835"/>
    <w:rsid w:val="004F02CA"/>
    <w:rsid w:val="004F03FC"/>
    <w:rsid w:val="004F09EE"/>
    <w:rsid w:val="004F15C8"/>
    <w:rsid w:val="004F1D02"/>
    <w:rsid w:val="004F22F9"/>
    <w:rsid w:val="004F2679"/>
    <w:rsid w:val="004F2F21"/>
    <w:rsid w:val="004F4011"/>
    <w:rsid w:val="004F586F"/>
    <w:rsid w:val="004F5E40"/>
    <w:rsid w:val="004F6913"/>
    <w:rsid w:val="004F6CEC"/>
    <w:rsid w:val="004F7865"/>
    <w:rsid w:val="004F7AF0"/>
    <w:rsid w:val="00500146"/>
    <w:rsid w:val="00501D29"/>
    <w:rsid w:val="0050219B"/>
    <w:rsid w:val="005023C4"/>
    <w:rsid w:val="0050283E"/>
    <w:rsid w:val="00502CA5"/>
    <w:rsid w:val="00503563"/>
    <w:rsid w:val="00503C04"/>
    <w:rsid w:val="00503E70"/>
    <w:rsid w:val="00503F17"/>
    <w:rsid w:val="005049D2"/>
    <w:rsid w:val="00504C2B"/>
    <w:rsid w:val="00506928"/>
    <w:rsid w:val="00506A4E"/>
    <w:rsid w:val="00510339"/>
    <w:rsid w:val="0051280F"/>
    <w:rsid w:val="00512C65"/>
    <w:rsid w:val="005132B6"/>
    <w:rsid w:val="005135CC"/>
    <w:rsid w:val="00513D2A"/>
    <w:rsid w:val="005152B5"/>
    <w:rsid w:val="005155AF"/>
    <w:rsid w:val="005169DD"/>
    <w:rsid w:val="005201C3"/>
    <w:rsid w:val="005209AE"/>
    <w:rsid w:val="00521319"/>
    <w:rsid w:val="00521715"/>
    <w:rsid w:val="00521E8B"/>
    <w:rsid w:val="005222C5"/>
    <w:rsid w:val="00522407"/>
    <w:rsid w:val="00522B9B"/>
    <w:rsid w:val="00522BC8"/>
    <w:rsid w:val="00522D2D"/>
    <w:rsid w:val="005230FE"/>
    <w:rsid w:val="00523310"/>
    <w:rsid w:val="00523C28"/>
    <w:rsid w:val="005262B8"/>
    <w:rsid w:val="00526F5C"/>
    <w:rsid w:val="00527167"/>
    <w:rsid w:val="00527853"/>
    <w:rsid w:val="00527E10"/>
    <w:rsid w:val="00531F7E"/>
    <w:rsid w:val="005339EF"/>
    <w:rsid w:val="00533B56"/>
    <w:rsid w:val="00534953"/>
    <w:rsid w:val="0053557C"/>
    <w:rsid w:val="00536547"/>
    <w:rsid w:val="00536C84"/>
    <w:rsid w:val="00536F3D"/>
    <w:rsid w:val="00536F42"/>
    <w:rsid w:val="00537182"/>
    <w:rsid w:val="0054064D"/>
    <w:rsid w:val="00541212"/>
    <w:rsid w:val="00542743"/>
    <w:rsid w:val="00542B8D"/>
    <w:rsid w:val="00542C2D"/>
    <w:rsid w:val="005433F8"/>
    <w:rsid w:val="005445F0"/>
    <w:rsid w:val="0054460B"/>
    <w:rsid w:val="005449BC"/>
    <w:rsid w:val="00545773"/>
    <w:rsid w:val="00545EED"/>
    <w:rsid w:val="005474F4"/>
    <w:rsid w:val="005475AE"/>
    <w:rsid w:val="005502F2"/>
    <w:rsid w:val="00551985"/>
    <w:rsid w:val="005524DB"/>
    <w:rsid w:val="0055294E"/>
    <w:rsid w:val="00552BD3"/>
    <w:rsid w:val="00553565"/>
    <w:rsid w:val="00553C07"/>
    <w:rsid w:val="00554EAC"/>
    <w:rsid w:val="00554FF8"/>
    <w:rsid w:val="00555109"/>
    <w:rsid w:val="00555DDA"/>
    <w:rsid w:val="00556E8F"/>
    <w:rsid w:val="0055774D"/>
    <w:rsid w:val="005601D8"/>
    <w:rsid w:val="0056103A"/>
    <w:rsid w:val="00561680"/>
    <w:rsid w:val="00561FAD"/>
    <w:rsid w:val="00562CBA"/>
    <w:rsid w:val="00563F2E"/>
    <w:rsid w:val="00564EA9"/>
    <w:rsid w:val="00564ED8"/>
    <w:rsid w:val="005654A0"/>
    <w:rsid w:val="00565EFA"/>
    <w:rsid w:val="00566876"/>
    <w:rsid w:val="0056696F"/>
    <w:rsid w:val="005672A5"/>
    <w:rsid w:val="00570B1E"/>
    <w:rsid w:val="0057115E"/>
    <w:rsid w:val="00572269"/>
    <w:rsid w:val="0057244A"/>
    <w:rsid w:val="00573390"/>
    <w:rsid w:val="00573677"/>
    <w:rsid w:val="00575883"/>
    <w:rsid w:val="00575D8D"/>
    <w:rsid w:val="00576009"/>
    <w:rsid w:val="005761E9"/>
    <w:rsid w:val="00576972"/>
    <w:rsid w:val="005802EF"/>
    <w:rsid w:val="00580BB1"/>
    <w:rsid w:val="005829AC"/>
    <w:rsid w:val="0058344C"/>
    <w:rsid w:val="00583699"/>
    <w:rsid w:val="00583F34"/>
    <w:rsid w:val="0058529D"/>
    <w:rsid w:val="005852E9"/>
    <w:rsid w:val="00585B20"/>
    <w:rsid w:val="00585CDD"/>
    <w:rsid w:val="00585FAC"/>
    <w:rsid w:val="0058656B"/>
    <w:rsid w:val="00586DC7"/>
    <w:rsid w:val="00587058"/>
    <w:rsid w:val="00587C65"/>
    <w:rsid w:val="00591957"/>
    <w:rsid w:val="00592831"/>
    <w:rsid w:val="00593A3D"/>
    <w:rsid w:val="00593AB1"/>
    <w:rsid w:val="00597B7E"/>
    <w:rsid w:val="00597BF9"/>
    <w:rsid w:val="00597CA0"/>
    <w:rsid w:val="005A05A3"/>
    <w:rsid w:val="005A118D"/>
    <w:rsid w:val="005A2E0C"/>
    <w:rsid w:val="005A3136"/>
    <w:rsid w:val="005A373D"/>
    <w:rsid w:val="005A3ABD"/>
    <w:rsid w:val="005A3EFD"/>
    <w:rsid w:val="005A5308"/>
    <w:rsid w:val="005A5AE0"/>
    <w:rsid w:val="005A624E"/>
    <w:rsid w:val="005A6886"/>
    <w:rsid w:val="005A6E8D"/>
    <w:rsid w:val="005A7F34"/>
    <w:rsid w:val="005B05A5"/>
    <w:rsid w:val="005B0865"/>
    <w:rsid w:val="005B0C28"/>
    <w:rsid w:val="005B12FC"/>
    <w:rsid w:val="005B22C9"/>
    <w:rsid w:val="005B3144"/>
    <w:rsid w:val="005B3756"/>
    <w:rsid w:val="005B3F88"/>
    <w:rsid w:val="005B43E7"/>
    <w:rsid w:val="005B5857"/>
    <w:rsid w:val="005B7DEB"/>
    <w:rsid w:val="005C05EB"/>
    <w:rsid w:val="005C0EB2"/>
    <w:rsid w:val="005C0EF3"/>
    <w:rsid w:val="005C139F"/>
    <w:rsid w:val="005C1B83"/>
    <w:rsid w:val="005C2D55"/>
    <w:rsid w:val="005C346B"/>
    <w:rsid w:val="005C3A76"/>
    <w:rsid w:val="005C3C41"/>
    <w:rsid w:val="005C4199"/>
    <w:rsid w:val="005C4263"/>
    <w:rsid w:val="005C4532"/>
    <w:rsid w:val="005C4BA5"/>
    <w:rsid w:val="005C502F"/>
    <w:rsid w:val="005C5CC2"/>
    <w:rsid w:val="005C654D"/>
    <w:rsid w:val="005C7713"/>
    <w:rsid w:val="005C7E10"/>
    <w:rsid w:val="005D0284"/>
    <w:rsid w:val="005D044D"/>
    <w:rsid w:val="005D0ABD"/>
    <w:rsid w:val="005D18AD"/>
    <w:rsid w:val="005D22FB"/>
    <w:rsid w:val="005D26B4"/>
    <w:rsid w:val="005D283B"/>
    <w:rsid w:val="005D2B05"/>
    <w:rsid w:val="005D2C4E"/>
    <w:rsid w:val="005D3238"/>
    <w:rsid w:val="005D41C3"/>
    <w:rsid w:val="005D50E6"/>
    <w:rsid w:val="005D53CA"/>
    <w:rsid w:val="005D5573"/>
    <w:rsid w:val="005D6113"/>
    <w:rsid w:val="005E0C0E"/>
    <w:rsid w:val="005E1357"/>
    <w:rsid w:val="005E2A83"/>
    <w:rsid w:val="005E3D2B"/>
    <w:rsid w:val="005E3EA1"/>
    <w:rsid w:val="005E4A0A"/>
    <w:rsid w:val="005E5854"/>
    <w:rsid w:val="005E58BA"/>
    <w:rsid w:val="005E5D0B"/>
    <w:rsid w:val="005E5DDB"/>
    <w:rsid w:val="005E6CBC"/>
    <w:rsid w:val="005E6D23"/>
    <w:rsid w:val="005E73C0"/>
    <w:rsid w:val="005F050B"/>
    <w:rsid w:val="005F0B8D"/>
    <w:rsid w:val="005F1A3E"/>
    <w:rsid w:val="005F1BDF"/>
    <w:rsid w:val="005F220C"/>
    <w:rsid w:val="005F2706"/>
    <w:rsid w:val="005F2B7E"/>
    <w:rsid w:val="005F30C2"/>
    <w:rsid w:val="005F3505"/>
    <w:rsid w:val="005F3693"/>
    <w:rsid w:val="005F4406"/>
    <w:rsid w:val="005F4840"/>
    <w:rsid w:val="005F4FCE"/>
    <w:rsid w:val="005F558D"/>
    <w:rsid w:val="005F5ECB"/>
    <w:rsid w:val="005F6A8F"/>
    <w:rsid w:val="005F7463"/>
    <w:rsid w:val="00601089"/>
    <w:rsid w:val="006010B6"/>
    <w:rsid w:val="00601334"/>
    <w:rsid w:val="006031E3"/>
    <w:rsid w:val="00603DB9"/>
    <w:rsid w:val="00603DE0"/>
    <w:rsid w:val="00603FD5"/>
    <w:rsid w:val="006049A6"/>
    <w:rsid w:val="0060502D"/>
    <w:rsid w:val="00606395"/>
    <w:rsid w:val="00606934"/>
    <w:rsid w:val="00607145"/>
    <w:rsid w:val="006075AA"/>
    <w:rsid w:val="00607669"/>
    <w:rsid w:val="00607AFD"/>
    <w:rsid w:val="00607D16"/>
    <w:rsid w:val="00607D61"/>
    <w:rsid w:val="00607D9D"/>
    <w:rsid w:val="006112E6"/>
    <w:rsid w:val="006116F5"/>
    <w:rsid w:val="006119D0"/>
    <w:rsid w:val="00611D65"/>
    <w:rsid w:val="00612A76"/>
    <w:rsid w:val="00612F97"/>
    <w:rsid w:val="0061345D"/>
    <w:rsid w:val="0061405C"/>
    <w:rsid w:val="0061445E"/>
    <w:rsid w:val="00614D0D"/>
    <w:rsid w:val="00615664"/>
    <w:rsid w:val="00615E3C"/>
    <w:rsid w:val="00616802"/>
    <w:rsid w:val="0061764A"/>
    <w:rsid w:val="00617D3A"/>
    <w:rsid w:val="00617E12"/>
    <w:rsid w:val="006206F2"/>
    <w:rsid w:val="00620F13"/>
    <w:rsid w:val="006210A0"/>
    <w:rsid w:val="00621477"/>
    <w:rsid w:val="00621867"/>
    <w:rsid w:val="006218CB"/>
    <w:rsid w:val="00621B30"/>
    <w:rsid w:val="00621B76"/>
    <w:rsid w:val="00622015"/>
    <w:rsid w:val="00622BAB"/>
    <w:rsid w:val="00623688"/>
    <w:rsid w:val="006237B5"/>
    <w:rsid w:val="00624472"/>
    <w:rsid w:val="00624E72"/>
    <w:rsid w:val="00624ED4"/>
    <w:rsid w:val="0063018C"/>
    <w:rsid w:val="00630271"/>
    <w:rsid w:val="00630F12"/>
    <w:rsid w:val="0063158F"/>
    <w:rsid w:val="00631D6B"/>
    <w:rsid w:val="006322D1"/>
    <w:rsid w:val="00632399"/>
    <w:rsid w:val="006327BF"/>
    <w:rsid w:val="006330A1"/>
    <w:rsid w:val="00633347"/>
    <w:rsid w:val="0063479F"/>
    <w:rsid w:val="006353F0"/>
    <w:rsid w:val="00635CAD"/>
    <w:rsid w:val="006364A1"/>
    <w:rsid w:val="006366B0"/>
    <w:rsid w:val="006371BF"/>
    <w:rsid w:val="006373FC"/>
    <w:rsid w:val="00637BFD"/>
    <w:rsid w:val="00637C7B"/>
    <w:rsid w:val="00637EC9"/>
    <w:rsid w:val="00640183"/>
    <w:rsid w:val="00640A82"/>
    <w:rsid w:val="0064162C"/>
    <w:rsid w:val="00641C4E"/>
    <w:rsid w:val="00642EA5"/>
    <w:rsid w:val="006443BC"/>
    <w:rsid w:val="00645BCB"/>
    <w:rsid w:val="00645E9C"/>
    <w:rsid w:val="0064654A"/>
    <w:rsid w:val="006465E1"/>
    <w:rsid w:val="006471CC"/>
    <w:rsid w:val="00647422"/>
    <w:rsid w:val="00647EF6"/>
    <w:rsid w:val="00650313"/>
    <w:rsid w:val="0065079F"/>
    <w:rsid w:val="00650835"/>
    <w:rsid w:val="00651C2B"/>
    <w:rsid w:val="00651D8C"/>
    <w:rsid w:val="006531CE"/>
    <w:rsid w:val="0065379F"/>
    <w:rsid w:val="00654B48"/>
    <w:rsid w:val="00657500"/>
    <w:rsid w:val="006604E4"/>
    <w:rsid w:val="00660C89"/>
    <w:rsid w:val="00661438"/>
    <w:rsid w:val="00661836"/>
    <w:rsid w:val="00661C6B"/>
    <w:rsid w:val="00662163"/>
    <w:rsid w:val="00663643"/>
    <w:rsid w:val="0066373A"/>
    <w:rsid w:val="00663A1A"/>
    <w:rsid w:val="006649DB"/>
    <w:rsid w:val="00664D91"/>
    <w:rsid w:val="006654ED"/>
    <w:rsid w:val="00665EFA"/>
    <w:rsid w:val="00666E72"/>
    <w:rsid w:val="00666F3D"/>
    <w:rsid w:val="006728BA"/>
    <w:rsid w:val="0067452F"/>
    <w:rsid w:val="00674D10"/>
    <w:rsid w:val="00674E42"/>
    <w:rsid w:val="00676C6D"/>
    <w:rsid w:val="00677986"/>
    <w:rsid w:val="00677DB1"/>
    <w:rsid w:val="006801F5"/>
    <w:rsid w:val="00680C1C"/>
    <w:rsid w:val="0068192D"/>
    <w:rsid w:val="00682112"/>
    <w:rsid w:val="006829AE"/>
    <w:rsid w:val="00682F4C"/>
    <w:rsid w:val="00683846"/>
    <w:rsid w:val="00683A61"/>
    <w:rsid w:val="00686957"/>
    <w:rsid w:val="00686AB0"/>
    <w:rsid w:val="006872BA"/>
    <w:rsid w:val="0069058A"/>
    <w:rsid w:val="00690667"/>
    <w:rsid w:val="00691077"/>
    <w:rsid w:val="00691648"/>
    <w:rsid w:val="006917D7"/>
    <w:rsid w:val="006921CC"/>
    <w:rsid w:val="0069234E"/>
    <w:rsid w:val="00692E38"/>
    <w:rsid w:val="00692EF7"/>
    <w:rsid w:val="00694F44"/>
    <w:rsid w:val="00695274"/>
    <w:rsid w:val="00696E3E"/>
    <w:rsid w:val="00696E92"/>
    <w:rsid w:val="00696FDB"/>
    <w:rsid w:val="006978AD"/>
    <w:rsid w:val="006A0CB4"/>
    <w:rsid w:val="006A12BF"/>
    <w:rsid w:val="006A3C66"/>
    <w:rsid w:val="006A4314"/>
    <w:rsid w:val="006A43BE"/>
    <w:rsid w:val="006A49C6"/>
    <w:rsid w:val="006A523D"/>
    <w:rsid w:val="006A6094"/>
    <w:rsid w:val="006A697E"/>
    <w:rsid w:val="006A726C"/>
    <w:rsid w:val="006A7E5F"/>
    <w:rsid w:val="006A7E89"/>
    <w:rsid w:val="006B1313"/>
    <w:rsid w:val="006B1ED2"/>
    <w:rsid w:val="006B261B"/>
    <w:rsid w:val="006B2C90"/>
    <w:rsid w:val="006B3F25"/>
    <w:rsid w:val="006B40B0"/>
    <w:rsid w:val="006B51E6"/>
    <w:rsid w:val="006B67DA"/>
    <w:rsid w:val="006B6889"/>
    <w:rsid w:val="006B6DD0"/>
    <w:rsid w:val="006B7013"/>
    <w:rsid w:val="006B7413"/>
    <w:rsid w:val="006B742C"/>
    <w:rsid w:val="006B79FA"/>
    <w:rsid w:val="006C0F97"/>
    <w:rsid w:val="006C2A8E"/>
    <w:rsid w:val="006C36CD"/>
    <w:rsid w:val="006C3A46"/>
    <w:rsid w:val="006C3A5D"/>
    <w:rsid w:val="006C3B0D"/>
    <w:rsid w:val="006C3B28"/>
    <w:rsid w:val="006C4A3E"/>
    <w:rsid w:val="006C5C96"/>
    <w:rsid w:val="006C6013"/>
    <w:rsid w:val="006C76D7"/>
    <w:rsid w:val="006C7AE8"/>
    <w:rsid w:val="006C7E57"/>
    <w:rsid w:val="006D114C"/>
    <w:rsid w:val="006D1852"/>
    <w:rsid w:val="006D2C68"/>
    <w:rsid w:val="006D2DC5"/>
    <w:rsid w:val="006D3512"/>
    <w:rsid w:val="006D3C7D"/>
    <w:rsid w:val="006D3E7C"/>
    <w:rsid w:val="006D446F"/>
    <w:rsid w:val="006D5940"/>
    <w:rsid w:val="006D59DD"/>
    <w:rsid w:val="006D5D5F"/>
    <w:rsid w:val="006D616D"/>
    <w:rsid w:val="006D6EC4"/>
    <w:rsid w:val="006D7767"/>
    <w:rsid w:val="006E0103"/>
    <w:rsid w:val="006E0DF4"/>
    <w:rsid w:val="006E2EEC"/>
    <w:rsid w:val="006E4397"/>
    <w:rsid w:val="006E4828"/>
    <w:rsid w:val="006E60AE"/>
    <w:rsid w:val="006E6393"/>
    <w:rsid w:val="006E658C"/>
    <w:rsid w:val="006E6D66"/>
    <w:rsid w:val="006E6D88"/>
    <w:rsid w:val="006F0E15"/>
    <w:rsid w:val="006F11B2"/>
    <w:rsid w:val="006F1A65"/>
    <w:rsid w:val="006F1BFA"/>
    <w:rsid w:val="006F2A55"/>
    <w:rsid w:val="006F306C"/>
    <w:rsid w:val="006F3DBE"/>
    <w:rsid w:val="006F4028"/>
    <w:rsid w:val="006F4DE1"/>
    <w:rsid w:val="006F55BB"/>
    <w:rsid w:val="006F5D3F"/>
    <w:rsid w:val="006F63A5"/>
    <w:rsid w:val="006F718A"/>
    <w:rsid w:val="006F79AC"/>
    <w:rsid w:val="006F7A0D"/>
    <w:rsid w:val="006F7AFD"/>
    <w:rsid w:val="006F7E7F"/>
    <w:rsid w:val="00700408"/>
    <w:rsid w:val="00700B41"/>
    <w:rsid w:val="00701334"/>
    <w:rsid w:val="0070142B"/>
    <w:rsid w:val="00701778"/>
    <w:rsid w:val="00701EDB"/>
    <w:rsid w:val="007024A7"/>
    <w:rsid w:val="0070276E"/>
    <w:rsid w:val="00702B33"/>
    <w:rsid w:val="00702E3E"/>
    <w:rsid w:val="00702F8F"/>
    <w:rsid w:val="00703116"/>
    <w:rsid w:val="007032DB"/>
    <w:rsid w:val="00704C72"/>
    <w:rsid w:val="00704E3A"/>
    <w:rsid w:val="007050CF"/>
    <w:rsid w:val="00705231"/>
    <w:rsid w:val="00707DA0"/>
    <w:rsid w:val="00710036"/>
    <w:rsid w:val="00710090"/>
    <w:rsid w:val="00710414"/>
    <w:rsid w:val="00710A90"/>
    <w:rsid w:val="00711A36"/>
    <w:rsid w:val="0071212E"/>
    <w:rsid w:val="00712131"/>
    <w:rsid w:val="0071296F"/>
    <w:rsid w:val="0071529C"/>
    <w:rsid w:val="00716854"/>
    <w:rsid w:val="00716A11"/>
    <w:rsid w:val="007172AD"/>
    <w:rsid w:val="007178A0"/>
    <w:rsid w:val="007205DE"/>
    <w:rsid w:val="0072060E"/>
    <w:rsid w:val="007207A0"/>
    <w:rsid w:val="00720DB2"/>
    <w:rsid w:val="00721103"/>
    <w:rsid w:val="00722B1B"/>
    <w:rsid w:val="00723B77"/>
    <w:rsid w:val="0072416F"/>
    <w:rsid w:val="007241FD"/>
    <w:rsid w:val="00725557"/>
    <w:rsid w:val="0072566E"/>
    <w:rsid w:val="00726190"/>
    <w:rsid w:val="00727237"/>
    <w:rsid w:val="00727BB8"/>
    <w:rsid w:val="00727C94"/>
    <w:rsid w:val="0073144F"/>
    <w:rsid w:val="0073164D"/>
    <w:rsid w:val="00731C77"/>
    <w:rsid w:val="00731EAE"/>
    <w:rsid w:val="00732BEC"/>
    <w:rsid w:val="00732E7A"/>
    <w:rsid w:val="00733AD8"/>
    <w:rsid w:val="00733ECB"/>
    <w:rsid w:val="00735033"/>
    <w:rsid w:val="00735328"/>
    <w:rsid w:val="0073535C"/>
    <w:rsid w:val="007359B6"/>
    <w:rsid w:val="00735C35"/>
    <w:rsid w:val="00736839"/>
    <w:rsid w:val="0073685B"/>
    <w:rsid w:val="00736C51"/>
    <w:rsid w:val="00737C17"/>
    <w:rsid w:val="00740764"/>
    <w:rsid w:val="00741836"/>
    <w:rsid w:val="00741FEA"/>
    <w:rsid w:val="00742211"/>
    <w:rsid w:val="00742661"/>
    <w:rsid w:val="00743DC3"/>
    <w:rsid w:val="007440E8"/>
    <w:rsid w:val="00745D49"/>
    <w:rsid w:val="0074668F"/>
    <w:rsid w:val="00746B05"/>
    <w:rsid w:val="00747324"/>
    <w:rsid w:val="00747D4A"/>
    <w:rsid w:val="00750229"/>
    <w:rsid w:val="0075090D"/>
    <w:rsid w:val="0075115D"/>
    <w:rsid w:val="00751336"/>
    <w:rsid w:val="00751683"/>
    <w:rsid w:val="00751BDD"/>
    <w:rsid w:val="00752142"/>
    <w:rsid w:val="007523F9"/>
    <w:rsid w:val="00753F1C"/>
    <w:rsid w:val="00754D0F"/>
    <w:rsid w:val="007562AE"/>
    <w:rsid w:val="007573E8"/>
    <w:rsid w:val="00760C4E"/>
    <w:rsid w:val="0076150B"/>
    <w:rsid w:val="0076186C"/>
    <w:rsid w:val="00761E74"/>
    <w:rsid w:val="00761FA4"/>
    <w:rsid w:val="00762304"/>
    <w:rsid w:val="007625DF"/>
    <w:rsid w:val="00762664"/>
    <w:rsid w:val="00763C3C"/>
    <w:rsid w:val="00764B19"/>
    <w:rsid w:val="00765520"/>
    <w:rsid w:val="007658C6"/>
    <w:rsid w:val="00765B1A"/>
    <w:rsid w:val="00765F6F"/>
    <w:rsid w:val="00766943"/>
    <w:rsid w:val="00767156"/>
    <w:rsid w:val="007677B2"/>
    <w:rsid w:val="007703B8"/>
    <w:rsid w:val="0077119A"/>
    <w:rsid w:val="007715D7"/>
    <w:rsid w:val="0077201F"/>
    <w:rsid w:val="00772C9B"/>
    <w:rsid w:val="00772FAD"/>
    <w:rsid w:val="0077312B"/>
    <w:rsid w:val="007731A1"/>
    <w:rsid w:val="00773C5E"/>
    <w:rsid w:val="00774CBC"/>
    <w:rsid w:val="0077585B"/>
    <w:rsid w:val="00775A2B"/>
    <w:rsid w:val="00777668"/>
    <w:rsid w:val="00777A43"/>
    <w:rsid w:val="00781577"/>
    <w:rsid w:val="00781FEA"/>
    <w:rsid w:val="00782038"/>
    <w:rsid w:val="007823FE"/>
    <w:rsid w:val="007841FD"/>
    <w:rsid w:val="007842AF"/>
    <w:rsid w:val="007843F2"/>
    <w:rsid w:val="00785168"/>
    <w:rsid w:val="0078592B"/>
    <w:rsid w:val="00785A8C"/>
    <w:rsid w:val="00785D0B"/>
    <w:rsid w:val="007866D9"/>
    <w:rsid w:val="00786E46"/>
    <w:rsid w:val="00786F43"/>
    <w:rsid w:val="00786F54"/>
    <w:rsid w:val="00791971"/>
    <w:rsid w:val="007925A8"/>
    <w:rsid w:val="00792894"/>
    <w:rsid w:val="0079295D"/>
    <w:rsid w:val="00792B4A"/>
    <w:rsid w:val="00792CEB"/>
    <w:rsid w:val="007933CB"/>
    <w:rsid w:val="0079393B"/>
    <w:rsid w:val="00794CF4"/>
    <w:rsid w:val="00794E75"/>
    <w:rsid w:val="0079557F"/>
    <w:rsid w:val="00795665"/>
    <w:rsid w:val="00796AD5"/>
    <w:rsid w:val="007973DB"/>
    <w:rsid w:val="0079742D"/>
    <w:rsid w:val="00797640"/>
    <w:rsid w:val="007978F5"/>
    <w:rsid w:val="007A0077"/>
    <w:rsid w:val="007A009E"/>
    <w:rsid w:val="007A0357"/>
    <w:rsid w:val="007A0450"/>
    <w:rsid w:val="007A0A12"/>
    <w:rsid w:val="007A1185"/>
    <w:rsid w:val="007A132D"/>
    <w:rsid w:val="007A16C7"/>
    <w:rsid w:val="007A276D"/>
    <w:rsid w:val="007A39AE"/>
    <w:rsid w:val="007A4460"/>
    <w:rsid w:val="007A48F0"/>
    <w:rsid w:val="007A7096"/>
    <w:rsid w:val="007B0A5B"/>
    <w:rsid w:val="007B0D68"/>
    <w:rsid w:val="007B251D"/>
    <w:rsid w:val="007B3AD3"/>
    <w:rsid w:val="007B3B8B"/>
    <w:rsid w:val="007B4F58"/>
    <w:rsid w:val="007B528D"/>
    <w:rsid w:val="007B53C3"/>
    <w:rsid w:val="007B5EF7"/>
    <w:rsid w:val="007B62A0"/>
    <w:rsid w:val="007B6978"/>
    <w:rsid w:val="007B77D1"/>
    <w:rsid w:val="007B780B"/>
    <w:rsid w:val="007C04EA"/>
    <w:rsid w:val="007C0F7B"/>
    <w:rsid w:val="007C1CD9"/>
    <w:rsid w:val="007C1DAE"/>
    <w:rsid w:val="007C1E0E"/>
    <w:rsid w:val="007C361D"/>
    <w:rsid w:val="007C3750"/>
    <w:rsid w:val="007C3941"/>
    <w:rsid w:val="007C4B84"/>
    <w:rsid w:val="007C5F95"/>
    <w:rsid w:val="007D004F"/>
    <w:rsid w:val="007D0458"/>
    <w:rsid w:val="007D0563"/>
    <w:rsid w:val="007D0B38"/>
    <w:rsid w:val="007D0E20"/>
    <w:rsid w:val="007D11D1"/>
    <w:rsid w:val="007D1872"/>
    <w:rsid w:val="007D25C9"/>
    <w:rsid w:val="007D320C"/>
    <w:rsid w:val="007D33BA"/>
    <w:rsid w:val="007D348A"/>
    <w:rsid w:val="007D34CD"/>
    <w:rsid w:val="007D46F8"/>
    <w:rsid w:val="007D4C12"/>
    <w:rsid w:val="007D5440"/>
    <w:rsid w:val="007D5624"/>
    <w:rsid w:val="007D6DD4"/>
    <w:rsid w:val="007D71EE"/>
    <w:rsid w:val="007D7F9F"/>
    <w:rsid w:val="007E03F1"/>
    <w:rsid w:val="007E1BD2"/>
    <w:rsid w:val="007E4EB5"/>
    <w:rsid w:val="007E52C9"/>
    <w:rsid w:val="007E642C"/>
    <w:rsid w:val="007E7936"/>
    <w:rsid w:val="007E7A0F"/>
    <w:rsid w:val="007E7B67"/>
    <w:rsid w:val="007F0714"/>
    <w:rsid w:val="007F1017"/>
    <w:rsid w:val="007F1FD2"/>
    <w:rsid w:val="007F221F"/>
    <w:rsid w:val="007F225D"/>
    <w:rsid w:val="007F26C0"/>
    <w:rsid w:val="007F4438"/>
    <w:rsid w:val="007F4A3F"/>
    <w:rsid w:val="007F4A61"/>
    <w:rsid w:val="007F61C2"/>
    <w:rsid w:val="007F666B"/>
    <w:rsid w:val="007F734F"/>
    <w:rsid w:val="00800BE7"/>
    <w:rsid w:val="00800DA0"/>
    <w:rsid w:val="00802D17"/>
    <w:rsid w:val="00803143"/>
    <w:rsid w:val="00803654"/>
    <w:rsid w:val="00803A48"/>
    <w:rsid w:val="0080416D"/>
    <w:rsid w:val="00804634"/>
    <w:rsid w:val="00805142"/>
    <w:rsid w:val="0080548A"/>
    <w:rsid w:val="00805694"/>
    <w:rsid w:val="00805904"/>
    <w:rsid w:val="00806387"/>
    <w:rsid w:val="008063E7"/>
    <w:rsid w:val="00807A8B"/>
    <w:rsid w:val="00807DB0"/>
    <w:rsid w:val="00807E36"/>
    <w:rsid w:val="00811383"/>
    <w:rsid w:val="00812149"/>
    <w:rsid w:val="00812CAC"/>
    <w:rsid w:val="00812DA7"/>
    <w:rsid w:val="0081304D"/>
    <w:rsid w:val="008135DA"/>
    <w:rsid w:val="00813A22"/>
    <w:rsid w:val="00814756"/>
    <w:rsid w:val="008149A1"/>
    <w:rsid w:val="00815642"/>
    <w:rsid w:val="008166EF"/>
    <w:rsid w:val="00817AA0"/>
    <w:rsid w:val="00817AB1"/>
    <w:rsid w:val="00817CD6"/>
    <w:rsid w:val="00820145"/>
    <w:rsid w:val="00820E5E"/>
    <w:rsid w:val="00821D92"/>
    <w:rsid w:val="008241EE"/>
    <w:rsid w:val="00825404"/>
    <w:rsid w:val="0082551D"/>
    <w:rsid w:val="00825751"/>
    <w:rsid w:val="008264EB"/>
    <w:rsid w:val="0082696E"/>
    <w:rsid w:val="00826B2F"/>
    <w:rsid w:val="0083009A"/>
    <w:rsid w:val="00830446"/>
    <w:rsid w:val="008314B4"/>
    <w:rsid w:val="008319DA"/>
    <w:rsid w:val="00831C59"/>
    <w:rsid w:val="00832150"/>
    <w:rsid w:val="00832DD0"/>
    <w:rsid w:val="008335A2"/>
    <w:rsid w:val="00833B05"/>
    <w:rsid w:val="0083450E"/>
    <w:rsid w:val="00834CF2"/>
    <w:rsid w:val="008353D1"/>
    <w:rsid w:val="008361FE"/>
    <w:rsid w:val="008362B4"/>
    <w:rsid w:val="00836ECB"/>
    <w:rsid w:val="00837A98"/>
    <w:rsid w:val="008401DA"/>
    <w:rsid w:val="00840271"/>
    <w:rsid w:val="00840CA2"/>
    <w:rsid w:val="00842207"/>
    <w:rsid w:val="00842277"/>
    <w:rsid w:val="00842B57"/>
    <w:rsid w:val="0084374F"/>
    <w:rsid w:val="00844D20"/>
    <w:rsid w:val="00844D80"/>
    <w:rsid w:val="00845395"/>
    <w:rsid w:val="00845FB5"/>
    <w:rsid w:val="0084610B"/>
    <w:rsid w:val="00847190"/>
    <w:rsid w:val="00847DF5"/>
    <w:rsid w:val="00850D6F"/>
    <w:rsid w:val="008519DC"/>
    <w:rsid w:val="00851E85"/>
    <w:rsid w:val="0085309D"/>
    <w:rsid w:val="00854E70"/>
    <w:rsid w:val="00856897"/>
    <w:rsid w:val="00856DEF"/>
    <w:rsid w:val="00856E9A"/>
    <w:rsid w:val="00857943"/>
    <w:rsid w:val="00857D16"/>
    <w:rsid w:val="0086017B"/>
    <w:rsid w:val="00860518"/>
    <w:rsid w:val="0086075D"/>
    <w:rsid w:val="00860A19"/>
    <w:rsid w:val="00861D71"/>
    <w:rsid w:val="0086200A"/>
    <w:rsid w:val="00862502"/>
    <w:rsid w:val="00863717"/>
    <w:rsid w:val="0086458B"/>
    <w:rsid w:val="00865D56"/>
    <w:rsid w:val="008660D4"/>
    <w:rsid w:val="00871FA9"/>
    <w:rsid w:val="008720C5"/>
    <w:rsid w:val="008722AA"/>
    <w:rsid w:val="00872492"/>
    <w:rsid w:val="008728E9"/>
    <w:rsid w:val="008738FE"/>
    <w:rsid w:val="00873DC9"/>
    <w:rsid w:val="00873E22"/>
    <w:rsid w:val="008745B2"/>
    <w:rsid w:val="00875532"/>
    <w:rsid w:val="00875A22"/>
    <w:rsid w:val="00876F58"/>
    <w:rsid w:val="00877598"/>
    <w:rsid w:val="00877CCF"/>
    <w:rsid w:val="0088034D"/>
    <w:rsid w:val="0088083E"/>
    <w:rsid w:val="00881090"/>
    <w:rsid w:val="00881474"/>
    <w:rsid w:val="00881606"/>
    <w:rsid w:val="008824FB"/>
    <w:rsid w:val="00882874"/>
    <w:rsid w:val="00882B00"/>
    <w:rsid w:val="00882C52"/>
    <w:rsid w:val="00883168"/>
    <w:rsid w:val="00883787"/>
    <w:rsid w:val="008841B9"/>
    <w:rsid w:val="0088443D"/>
    <w:rsid w:val="00884601"/>
    <w:rsid w:val="00886923"/>
    <w:rsid w:val="00886CD2"/>
    <w:rsid w:val="00886D2E"/>
    <w:rsid w:val="008871FF"/>
    <w:rsid w:val="00890600"/>
    <w:rsid w:val="00892A36"/>
    <w:rsid w:val="00893039"/>
    <w:rsid w:val="00893239"/>
    <w:rsid w:val="00894094"/>
    <w:rsid w:val="00894489"/>
    <w:rsid w:val="00894C11"/>
    <w:rsid w:val="00895B83"/>
    <w:rsid w:val="008963A5"/>
    <w:rsid w:val="0089686B"/>
    <w:rsid w:val="00897F8A"/>
    <w:rsid w:val="008A1212"/>
    <w:rsid w:val="008A1646"/>
    <w:rsid w:val="008A1912"/>
    <w:rsid w:val="008A2269"/>
    <w:rsid w:val="008A2C47"/>
    <w:rsid w:val="008A3363"/>
    <w:rsid w:val="008A3371"/>
    <w:rsid w:val="008A3BD2"/>
    <w:rsid w:val="008A3C3E"/>
    <w:rsid w:val="008A483E"/>
    <w:rsid w:val="008A58CF"/>
    <w:rsid w:val="008A5A9B"/>
    <w:rsid w:val="008A62E9"/>
    <w:rsid w:val="008A698E"/>
    <w:rsid w:val="008A6AE5"/>
    <w:rsid w:val="008A7816"/>
    <w:rsid w:val="008A786D"/>
    <w:rsid w:val="008A79DE"/>
    <w:rsid w:val="008A7ADF"/>
    <w:rsid w:val="008A7C24"/>
    <w:rsid w:val="008B13A4"/>
    <w:rsid w:val="008B1757"/>
    <w:rsid w:val="008B2117"/>
    <w:rsid w:val="008B2CDC"/>
    <w:rsid w:val="008B3D4A"/>
    <w:rsid w:val="008B4087"/>
    <w:rsid w:val="008B4550"/>
    <w:rsid w:val="008B6300"/>
    <w:rsid w:val="008B6C87"/>
    <w:rsid w:val="008B773F"/>
    <w:rsid w:val="008B7D7E"/>
    <w:rsid w:val="008B7E3E"/>
    <w:rsid w:val="008C1115"/>
    <w:rsid w:val="008C1964"/>
    <w:rsid w:val="008C22A6"/>
    <w:rsid w:val="008C2970"/>
    <w:rsid w:val="008C3012"/>
    <w:rsid w:val="008C3A81"/>
    <w:rsid w:val="008C416D"/>
    <w:rsid w:val="008C436D"/>
    <w:rsid w:val="008C7AAE"/>
    <w:rsid w:val="008C7ECB"/>
    <w:rsid w:val="008C7FDB"/>
    <w:rsid w:val="008D136D"/>
    <w:rsid w:val="008D163E"/>
    <w:rsid w:val="008D2652"/>
    <w:rsid w:val="008D266E"/>
    <w:rsid w:val="008D28F9"/>
    <w:rsid w:val="008D2AB7"/>
    <w:rsid w:val="008D397A"/>
    <w:rsid w:val="008D4018"/>
    <w:rsid w:val="008D458A"/>
    <w:rsid w:val="008D4755"/>
    <w:rsid w:val="008D4C3D"/>
    <w:rsid w:val="008D5613"/>
    <w:rsid w:val="008D62F0"/>
    <w:rsid w:val="008D6FE5"/>
    <w:rsid w:val="008D7A8F"/>
    <w:rsid w:val="008E0D3C"/>
    <w:rsid w:val="008E146F"/>
    <w:rsid w:val="008E16EC"/>
    <w:rsid w:val="008E1B9E"/>
    <w:rsid w:val="008E1C45"/>
    <w:rsid w:val="008E2331"/>
    <w:rsid w:val="008E3206"/>
    <w:rsid w:val="008E3478"/>
    <w:rsid w:val="008E3DB1"/>
    <w:rsid w:val="008E3E20"/>
    <w:rsid w:val="008E481A"/>
    <w:rsid w:val="008E4A1A"/>
    <w:rsid w:val="008E4B0D"/>
    <w:rsid w:val="008E4D21"/>
    <w:rsid w:val="008E55AB"/>
    <w:rsid w:val="008E63C1"/>
    <w:rsid w:val="008E6E6F"/>
    <w:rsid w:val="008F120A"/>
    <w:rsid w:val="008F1921"/>
    <w:rsid w:val="008F1EA0"/>
    <w:rsid w:val="008F27E0"/>
    <w:rsid w:val="008F39ED"/>
    <w:rsid w:val="008F41C4"/>
    <w:rsid w:val="008F43A9"/>
    <w:rsid w:val="008F45B7"/>
    <w:rsid w:val="008F48EB"/>
    <w:rsid w:val="008F4982"/>
    <w:rsid w:val="008F4F0B"/>
    <w:rsid w:val="008F5CC6"/>
    <w:rsid w:val="008F5D70"/>
    <w:rsid w:val="008F630A"/>
    <w:rsid w:val="008F6906"/>
    <w:rsid w:val="008F7946"/>
    <w:rsid w:val="00900A83"/>
    <w:rsid w:val="009046C4"/>
    <w:rsid w:val="00904E7D"/>
    <w:rsid w:val="00905253"/>
    <w:rsid w:val="009062A5"/>
    <w:rsid w:val="009076EB"/>
    <w:rsid w:val="00907F18"/>
    <w:rsid w:val="0091080E"/>
    <w:rsid w:val="00911272"/>
    <w:rsid w:val="00911BA6"/>
    <w:rsid w:val="00911BCD"/>
    <w:rsid w:val="00912CED"/>
    <w:rsid w:val="00913275"/>
    <w:rsid w:val="009134A1"/>
    <w:rsid w:val="009135D6"/>
    <w:rsid w:val="009140AD"/>
    <w:rsid w:val="00914C77"/>
    <w:rsid w:val="00914D5C"/>
    <w:rsid w:val="00914ED9"/>
    <w:rsid w:val="00915786"/>
    <w:rsid w:val="00915B6A"/>
    <w:rsid w:val="00916A66"/>
    <w:rsid w:val="00916A93"/>
    <w:rsid w:val="009178EC"/>
    <w:rsid w:val="00920552"/>
    <w:rsid w:val="0092199D"/>
    <w:rsid w:val="00921F42"/>
    <w:rsid w:val="009229F5"/>
    <w:rsid w:val="0092369B"/>
    <w:rsid w:val="009257D3"/>
    <w:rsid w:val="009257F3"/>
    <w:rsid w:val="00925A65"/>
    <w:rsid w:val="00926011"/>
    <w:rsid w:val="009306EA"/>
    <w:rsid w:val="00931009"/>
    <w:rsid w:val="009322AF"/>
    <w:rsid w:val="0093234E"/>
    <w:rsid w:val="00932D67"/>
    <w:rsid w:val="009341B5"/>
    <w:rsid w:val="00934581"/>
    <w:rsid w:val="009347B4"/>
    <w:rsid w:val="00935211"/>
    <w:rsid w:val="00936BF9"/>
    <w:rsid w:val="00936C85"/>
    <w:rsid w:val="00936F12"/>
    <w:rsid w:val="0093713D"/>
    <w:rsid w:val="00937228"/>
    <w:rsid w:val="00937299"/>
    <w:rsid w:val="00940294"/>
    <w:rsid w:val="009402A3"/>
    <w:rsid w:val="00940B96"/>
    <w:rsid w:val="00941687"/>
    <w:rsid w:val="00942172"/>
    <w:rsid w:val="00942485"/>
    <w:rsid w:val="009426E0"/>
    <w:rsid w:val="0094342C"/>
    <w:rsid w:val="0094423C"/>
    <w:rsid w:val="00944775"/>
    <w:rsid w:val="00944E14"/>
    <w:rsid w:val="00945608"/>
    <w:rsid w:val="009460ED"/>
    <w:rsid w:val="00946BBF"/>
    <w:rsid w:val="00947016"/>
    <w:rsid w:val="009470B7"/>
    <w:rsid w:val="009474D8"/>
    <w:rsid w:val="00947D7E"/>
    <w:rsid w:val="00950328"/>
    <w:rsid w:val="009506FF"/>
    <w:rsid w:val="00950EA4"/>
    <w:rsid w:val="009510A2"/>
    <w:rsid w:val="0095237C"/>
    <w:rsid w:val="00953257"/>
    <w:rsid w:val="0095622C"/>
    <w:rsid w:val="00956C32"/>
    <w:rsid w:val="00960D9D"/>
    <w:rsid w:val="00961777"/>
    <w:rsid w:val="00961B18"/>
    <w:rsid w:val="00962659"/>
    <w:rsid w:val="00962A83"/>
    <w:rsid w:val="00962CB9"/>
    <w:rsid w:val="0096423E"/>
    <w:rsid w:val="00964312"/>
    <w:rsid w:val="009644A6"/>
    <w:rsid w:val="009644D8"/>
    <w:rsid w:val="0096488B"/>
    <w:rsid w:val="00965B8A"/>
    <w:rsid w:val="009661D0"/>
    <w:rsid w:val="0096697D"/>
    <w:rsid w:val="0096754F"/>
    <w:rsid w:val="00967F6A"/>
    <w:rsid w:val="009702B6"/>
    <w:rsid w:val="0097125A"/>
    <w:rsid w:val="0097179E"/>
    <w:rsid w:val="009717AC"/>
    <w:rsid w:val="009717B7"/>
    <w:rsid w:val="0097219D"/>
    <w:rsid w:val="00973906"/>
    <w:rsid w:val="00973D3E"/>
    <w:rsid w:val="009740FD"/>
    <w:rsid w:val="00975AB9"/>
    <w:rsid w:val="0097731D"/>
    <w:rsid w:val="00977E77"/>
    <w:rsid w:val="00980944"/>
    <w:rsid w:val="00980B63"/>
    <w:rsid w:val="00980F74"/>
    <w:rsid w:val="00981308"/>
    <w:rsid w:val="009813B5"/>
    <w:rsid w:val="009815E8"/>
    <w:rsid w:val="00981E5F"/>
    <w:rsid w:val="00982029"/>
    <w:rsid w:val="00982B2D"/>
    <w:rsid w:val="00983705"/>
    <w:rsid w:val="00983E57"/>
    <w:rsid w:val="00985081"/>
    <w:rsid w:val="00985E5C"/>
    <w:rsid w:val="00986397"/>
    <w:rsid w:val="0098675D"/>
    <w:rsid w:val="0098717A"/>
    <w:rsid w:val="009903E8"/>
    <w:rsid w:val="00990D34"/>
    <w:rsid w:val="00990F11"/>
    <w:rsid w:val="00991E97"/>
    <w:rsid w:val="00991FA9"/>
    <w:rsid w:val="00992486"/>
    <w:rsid w:val="00993FB5"/>
    <w:rsid w:val="00996B1A"/>
    <w:rsid w:val="00996C2C"/>
    <w:rsid w:val="00996D01"/>
    <w:rsid w:val="00997844"/>
    <w:rsid w:val="009A0378"/>
    <w:rsid w:val="009A08DA"/>
    <w:rsid w:val="009A0C13"/>
    <w:rsid w:val="009A0D34"/>
    <w:rsid w:val="009A218C"/>
    <w:rsid w:val="009A21EE"/>
    <w:rsid w:val="009A26F0"/>
    <w:rsid w:val="009A2B02"/>
    <w:rsid w:val="009A3362"/>
    <w:rsid w:val="009A3B9C"/>
    <w:rsid w:val="009A3EFD"/>
    <w:rsid w:val="009A7F10"/>
    <w:rsid w:val="009B1505"/>
    <w:rsid w:val="009B27E1"/>
    <w:rsid w:val="009B3011"/>
    <w:rsid w:val="009B3811"/>
    <w:rsid w:val="009B3E26"/>
    <w:rsid w:val="009B41A9"/>
    <w:rsid w:val="009B5F5D"/>
    <w:rsid w:val="009B6A5B"/>
    <w:rsid w:val="009C009E"/>
    <w:rsid w:val="009C0CC3"/>
    <w:rsid w:val="009C2F7D"/>
    <w:rsid w:val="009C54D2"/>
    <w:rsid w:val="009C5B49"/>
    <w:rsid w:val="009C6CEA"/>
    <w:rsid w:val="009C6FF9"/>
    <w:rsid w:val="009C7097"/>
    <w:rsid w:val="009C7B85"/>
    <w:rsid w:val="009C7BA5"/>
    <w:rsid w:val="009D153E"/>
    <w:rsid w:val="009D21C4"/>
    <w:rsid w:val="009D2467"/>
    <w:rsid w:val="009D2CF6"/>
    <w:rsid w:val="009D2FF4"/>
    <w:rsid w:val="009D37C3"/>
    <w:rsid w:val="009D3E61"/>
    <w:rsid w:val="009D5678"/>
    <w:rsid w:val="009D5B91"/>
    <w:rsid w:val="009D668F"/>
    <w:rsid w:val="009D6F0C"/>
    <w:rsid w:val="009D75D0"/>
    <w:rsid w:val="009D776F"/>
    <w:rsid w:val="009D792E"/>
    <w:rsid w:val="009E00C8"/>
    <w:rsid w:val="009E040F"/>
    <w:rsid w:val="009E05DF"/>
    <w:rsid w:val="009E0DFE"/>
    <w:rsid w:val="009E34A5"/>
    <w:rsid w:val="009E3CDC"/>
    <w:rsid w:val="009E4500"/>
    <w:rsid w:val="009E4C07"/>
    <w:rsid w:val="009E5227"/>
    <w:rsid w:val="009E55F4"/>
    <w:rsid w:val="009E5979"/>
    <w:rsid w:val="009E616F"/>
    <w:rsid w:val="009E6A07"/>
    <w:rsid w:val="009E6DB5"/>
    <w:rsid w:val="009E7A9E"/>
    <w:rsid w:val="009F05EC"/>
    <w:rsid w:val="009F07D5"/>
    <w:rsid w:val="009F3BB4"/>
    <w:rsid w:val="009F57B1"/>
    <w:rsid w:val="009F6493"/>
    <w:rsid w:val="009F7897"/>
    <w:rsid w:val="00A00349"/>
    <w:rsid w:val="00A00D09"/>
    <w:rsid w:val="00A01184"/>
    <w:rsid w:val="00A016D2"/>
    <w:rsid w:val="00A02777"/>
    <w:rsid w:val="00A02FF7"/>
    <w:rsid w:val="00A03D43"/>
    <w:rsid w:val="00A03FC6"/>
    <w:rsid w:val="00A04075"/>
    <w:rsid w:val="00A041D2"/>
    <w:rsid w:val="00A04380"/>
    <w:rsid w:val="00A051F2"/>
    <w:rsid w:val="00A057FA"/>
    <w:rsid w:val="00A062E7"/>
    <w:rsid w:val="00A06CDF"/>
    <w:rsid w:val="00A06FE8"/>
    <w:rsid w:val="00A11171"/>
    <w:rsid w:val="00A118DC"/>
    <w:rsid w:val="00A118EA"/>
    <w:rsid w:val="00A11CD0"/>
    <w:rsid w:val="00A13948"/>
    <w:rsid w:val="00A139BB"/>
    <w:rsid w:val="00A146A2"/>
    <w:rsid w:val="00A1474A"/>
    <w:rsid w:val="00A14878"/>
    <w:rsid w:val="00A1555B"/>
    <w:rsid w:val="00A155C5"/>
    <w:rsid w:val="00A167EA"/>
    <w:rsid w:val="00A16A85"/>
    <w:rsid w:val="00A16AD8"/>
    <w:rsid w:val="00A17DA3"/>
    <w:rsid w:val="00A214B8"/>
    <w:rsid w:val="00A21CF3"/>
    <w:rsid w:val="00A22612"/>
    <w:rsid w:val="00A2369A"/>
    <w:rsid w:val="00A23CF8"/>
    <w:rsid w:val="00A24F31"/>
    <w:rsid w:val="00A25531"/>
    <w:rsid w:val="00A25611"/>
    <w:rsid w:val="00A25B59"/>
    <w:rsid w:val="00A26C60"/>
    <w:rsid w:val="00A26D8D"/>
    <w:rsid w:val="00A27084"/>
    <w:rsid w:val="00A27AEC"/>
    <w:rsid w:val="00A3123A"/>
    <w:rsid w:val="00A3154B"/>
    <w:rsid w:val="00A32054"/>
    <w:rsid w:val="00A320DB"/>
    <w:rsid w:val="00A33CB5"/>
    <w:rsid w:val="00A33DE1"/>
    <w:rsid w:val="00A34A8A"/>
    <w:rsid w:val="00A34B78"/>
    <w:rsid w:val="00A34F1B"/>
    <w:rsid w:val="00A35205"/>
    <w:rsid w:val="00A35D16"/>
    <w:rsid w:val="00A36D8F"/>
    <w:rsid w:val="00A37B82"/>
    <w:rsid w:val="00A37BCD"/>
    <w:rsid w:val="00A40454"/>
    <w:rsid w:val="00A4085B"/>
    <w:rsid w:val="00A41D92"/>
    <w:rsid w:val="00A4201E"/>
    <w:rsid w:val="00A42B1C"/>
    <w:rsid w:val="00A43C59"/>
    <w:rsid w:val="00A446BD"/>
    <w:rsid w:val="00A44903"/>
    <w:rsid w:val="00A44F69"/>
    <w:rsid w:val="00A4529B"/>
    <w:rsid w:val="00A47168"/>
    <w:rsid w:val="00A50395"/>
    <w:rsid w:val="00A50ECD"/>
    <w:rsid w:val="00A5173C"/>
    <w:rsid w:val="00A518F3"/>
    <w:rsid w:val="00A52729"/>
    <w:rsid w:val="00A52753"/>
    <w:rsid w:val="00A5287B"/>
    <w:rsid w:val="00A52BD9"/>
    <w:rsid w:val="00A53152"/>
    <w:rsid w:val="00A53675"/>
    <w:rsid w:val="00A54886"/>
    <w:rsid w:val="00A551FA"/>
    <w:rsid w:val="00A556AA"/>
    <w:rsid w:val="00A564D7"/>
    <w:rsid w:val="00A56B6A"/>
    <w:rsid w:val="00A578DC"/>
    <w:rsid w:val="00A61EE2"/>
    <w:rsid w:val="00A62DCB"/>
    <w:rsid w:val="00A63B16"/>
    <w:rsid w:val="00A659F9"/>
    <w:rsid w:val="00A65AD4"/>
    <w:rsid w:val="00A66414"/>
    <w:rsid w:val="00A66CD6"/>
    <w:rsid w:val="00A66FDD"/>
    <w:rsid w:val="00A6725B"/>
    <w:rsid w:val="00A67556"/>
    <w:rsid w:val="00A67DB0"/>
    <w:rsid w:val="00A70605"/>
    <w:rsid w:val="00A71F62"/>
    <w:rsid w:val="00A7273F"/>
    <w:rsid w:val="00A72970"/>
    <w:rsid w:val="00A73134"/>
    <w:rsid w:val="00A73B95"/>
    <w:rsid w:val="00A755E7"/>
    <w:rsid w:val="00A755E9"/>
    <w:rsid w:val="00A75609"/>
    <w:rsid w:val="00A77385"/>
    <w:rsid w:val="00A776C2"/>
    <w:rsid w:val="00A777B2"/>
    <w:rsid w:val="00A80322"/>
    <w:rsid w:val="00A80543"/>
    <w:rsid w:val="00A8116B"/>
    <w:rsid w:val="00A815CF"/>
    <w:rsid w:val="00A82B37"/>
    <w:rsid w:val="00A82CAB"/>
    <w:rsid w:val="00A835E7"/>
    <w:rsid w:val="00A849AD"/>
    <w:rsid w:val="00A84BC3"/>
    <w:rsid w:val="00A8683A"/>
    <w:rsid w:val="00A86E8B"/>
    <w:rsid w:val="00A87164"/>
    <w:rsid w:val="00A877CE"/>
    <w:rsid w:val="00A87E04"/>
    <w:rsid w:val="00A91242"/>
    <w:rsid w:val="00A916D7"/>
    <w:rsid w:val="00A92E0E"/>
    <w:rsid w:val="00A93072"/>
    <w:rsid w:val="00A93953"/>
    <w:rsid w:val="00A9405D"/>
    <w:rsid w:val="00A94678"/>
    <w:rsid w:val="00A9482A"/>
    <w:rsid w:val="00A94A16"/>
    <w:rsid w:val="00A95049"/>
    <w:rsid w:val="00A951BA"/>
    <w:rsid w:val="00A95216"/>
    <w:rsid w:val="00A958A1"/>
    <w:rsid w:val="00A959D8"/>
    <w:rsid w:val="00A96C89"/>
    <w:rsid w:val="00A978AE"/>
    <w:rsid w:val="00A97AB9"/>
    <w:rsid w:val="00AA039A"/>
    <w:rsid w:val="00AA0A40"/>
    <w:rsid w:val="00AA0D83"/>
    <w:rsid w:val="00AA113D"/>
    <w:rsid w:val="00AA17B3"/>
    <w:rsid w:val="00AA208C"/>
    <w:rsid w:val="00AA253A"/>
    <w:rsid w:val="00AA2725"/>
    <w:rsid w:val="00AA3366"/>
    <w:rsid w:val="00AA338A"/>
    <w:rsid w:val="00AA379C"/>
    <w:rsid w:val="00AA37E3"/>
    <w:rsid w:val="00AA3B28"/>
    <w:rsid w:val="00AA4CF9"/>
    <w:rsid w:val="00AA511B"/>
    <w:rsid w:val="00AA6C7D"/>
    <w:rsid w:val="00AA7138"/>
    <w:rsid w:val="00AA7FD6"/>
    <w:rsid w:val="00AB042A"/>
    <w:rsid w:val="00AB046D"/>
    <w:rsid w:val="00AB102B"/>
    <w:rsid w:val="00AB1469"/>
    <w:rsid w:val="00AB1CAE"/>
    <w:rsid w:val="00AB24EE"/>
    <w:rsid w:val="00AB2D34"/>
    <w:rsid w:val="00AB30AD"/>
    <w:rsid w:val="00AB3430"/>
    <w:rsid w:val="00AB4AD1"/>
    <w:rsid w:val="00AB534B"/>
    <w:rsid w:val="00AB5E33"/>
    <w:rsid w:val="00AB6139"/>
    <w:rsid w:val="00AB6E1F"/>
    <w:rsid w:val="00AB7C9B"/>
    <w:rsid w:val="00AB7CFA"/>
    <w:rsid w:val="00AC060C"/>
    <w:rsid w:val="00AC11AB"/>
    <w:rsid w:val="00AC2197"/>
    <w:rsid w:val="00AC231C"/>
    <w:rsid w:val="00AC2E84"/>
    <w:rsid w:val="00AC4BEF"/>
    <w:rsid w:val="00AC5B48"/>
    <w:rsid w:val="00AC6EF0"/>
    <w:rsid w:val="00AC7FAC"/>
    <w:rsid w:val="00AD0431"/>
    <w:rsid w:val="00AD0F71"/>
    <w:rsid w:val="00AD0FFB"/>
    <w:rsid w:val="00AD1EEC"/>
    <w:rsid w:val="00AD1F6D"/>
    <w:rsid w:val="00AD24D7"/>
    <w:rsid w:val="00AD3816"/>
    <w:rsid w:val="00AD3FB6"/>
    <w:rsid w:val="00AD4D9C"/>
    <w:rsid w:val="00AD5021"/>
    <w:rsid w:val="00AD5BBE"/>
    <w:rsid w:val="00AD62D5"/>
    <w:rsid w:val="00AD6502"/>
    <w:rsid w:val="00AD74BF"/>
    <w:rsid w:val="00AE0E40"/>
    <w:rsid w:val="00AE1E7E"/>
    <w:rsid w:val="00AE2423"/>
    <w:rsid w:val="00AE30BD"/>
    <w:rsid w:val="00AE31A9"/>
    <w:rsid w:val="00AE32AF"/>
    <w:rsid w:val="00AE3465"/>
    <w:rsid w:val="00AE37C3"/>
    <w:rsid w:val="00AE39E7"/>
    <w:rsid w:val="00AE4456"/>
    <w:rsid w:val="00AE632F"/>
    <w:rsid w:val="00AE639D"/>
    <w:rsid w:val="00AE63D6"/>
    <w:rsid w:val="00AE6453"/>
    <w:rsid w:val="00AE6ADA"/>
    <w:rsid w:val="00AE6DB6"/>
    <w:rsid w:val="00AF0070"/>
    <w:rsid w:val="00AF027D"/>
    <w:rsid w:val="00AF1315"/>
    <w:rsid w:val="00AF19BF"/>
    <w:rsid w:val="00AF1A7C"/>
    <w:rsid w:val="00AF1B43"/>
    <w:rsid w:val="00AF22C5"/>
    <w:rsid w:val="00AF2425"/>
    <w:rsid w:val="00AF2DC3"/>
    <w:rsid w:val="00AF38F4"/>
    <w:rsid w:val="00AF3C4D"/>
    <w:rsid w:val="00AF4715"/>
    <w:rsid w:val="00AF5168"/>
    <w:rsid w:val="00AF615A"/>
    <w:rsid w:val="00AF61CE"/>
    <w:rsid w:val="00AF75E7"/>
    <w:rsid w:val="00B0031D"/>
    <w:rsid w:val="00B010ED"/>
    <w:rsid w:val="00B018D0"/>
    <w:rsid w:val="00B02389"/>
    <w:rsid w:val="00B03157"/>
    <w:rsid w:val="00B033E5"/>
    <w:rsid w:val="00B0389E"/>
    <w:rsid w:val="00B03A63"/>
    <w:rsid w:val="00B04126"/>
    <w:rsid w:val="00B06600"/>
    <w:rsid w:val="00B06973"/>
    <w:rsid w:val="00B11A5B"/>
    <w:rsid w:val="00B11B16"/>
    <w:rsid w:val="00B11D08"/>
    <w:rsid w:val="00B12321"/>
    <w:rsid w:val="00B14026"/>
    <w:rsid w:val="00B159B3"/>
    <w:rsid w:val="00B201A4"/>
    <w:rsid w:val="00B213A6"/>
    <w:rsid w:val="00B21518"/>
    <w:rsid w:val="00B22B4E"/>
    <w:rsid w:val="00B24847"/>
    <w:rsid w:val="00B24DF6"/>
    <w:rsid w:val="00B25FC0"/>
    <w:rsid w:val="00B27445"/>
    <w:rsid w:val="00B3054C"/>
    <w:rsid w:val="00B3074A"/>
    <w:rsid w:val="00B31A42"/>
    <w:rsid w:val="00B31C30"/>
    <w:rsid w:val="00B32DB0"/>
    <w:rsid w:val="00B33F04"/>
    <w:rsid w:val="00B3416A"/>
    <w:rsid w:val="00B349AC"/>
    <w:rsid w:val="00B34FE2"/>
    <w:rsid w:val="00B357D8"/>
    <w:rsid w:val="00B35F78"/>
    <w:rsid w:val="00B360C5"/>
    <w:rsid w:val="00B36398"/>
    <w:rsid w:val="00B36C7A"/>
    <w:rsid w:val="00B37BFC"/>
    <w:rsid w:val="00B4010D"/>
    <w:rsid w:val="00B40358"/>
    <w:rsid w:val="00B41614"/>
    <w:rsid w:val="00B4199E"/>
    <w:rsid w:val="00B41D56"/>
    <w:rsid w:val="00B42851"/>
    <w:rsid w:val="00B42AC4"/>
    <w:rsid w:val="00B42F80"/>
    <w:rsid w:val="00B435CB"/>
    <w:rsid w:val="00B43B32"/>
    <w:rsid w:val="00B441C8"/>
    <w:rsid w:val="00B45018"/>
    <w:rsid w:val="00B46193"/>
    <w:rsid w:val="00B47485"/>
    <w:rsid w:val="00B47AE0"/>
    <w:rsid w:val="00B47B5B"/>
    <w:rsid w:val="00B50524"/>
    <w:rsid w:val="00B50953"/>
    <w:rsid w:val="00B50DB8"/>
    <w:rsid w:val="00B51774"/>
    <w:rsid w:val="00B526BB"/>
    <w:rsid w:val="00B53654"/>
    <w:rsid w:val="00B53905"/>
    <w:rsid w:val="00B53D4B"/>
    <w:rsid w:val="00B54B5B"/>
    <w:rsid w:val="00B5562E"/>
    <w:rsid w:val="00B57000"/>
    <w:rsid w:val="00B571C2"/>
    <w:rsid w:val="00B605C8"/>
    <w:rsid w:val="00B605EC"/>
    <w:rsid w:val="00B60939"/>
    <w:rsid w:val="00B60AFD"/>
    <w:rsid w:val="00B62715"/>
    <w:rsid w:val="00B62EA8"/>
    <w:rsid w:val="00B6455D"/>
    <w:rsid w:val="00B661AD"/>
    <w:rsid w:val="00B66358"/>
    <w:rsid w:val="00B66805"/>
    <w:rsid w:val="00B676FF"/>
    <w:rsid w:val="00B6795C"/>
    <w:rsid w:val="00B67C78"/>
    <w:rsid w:val="00B71009"/>
    <w:rsid w:val="00B72E4E"/>
    <w:rsid w:val="00B73746"/>
    <w:rsid w:val="00B746B1"/>
    <w:rsid w:val="00B767AA"/>
    <w:rsid w:val="00B76DC4"/>
    <w:rsid w:val="00B77F03"/>
    <w:rsid w:val="00B804A2"/>
    <w:rsid w:val="00B80549"/>
    <w:rsid w:val="00B812D0"/>
    <w:rsid w:val="00B818A4"/>
    <w:rsid w:val="00B82043"/>
    <w:rsid w:val="00B834F8"/>
    <w:rsid w:val="00B83F85"/>
    <w:rsid w:val="00B84117"/>
    <w:rsid w:val="00B84263"/>
    <w:rsid w:val="00B84CEF"/>
    <w:rsid w:val="00B850E2"/>
    <w:rsid w:val="00B85AA2"/>
    <w:rsid w:val="00B8649C"/>
    <w:rsid w:val="00B86583"/>
    <w:rsid w:val="00B87F0A"/>
    <w:rsid w:val="00B90071"/>
    <w:rsid w:val="00B914C6"/>
    <w:rsid w:val="00B9173C"/>
    <w:rsid w:val="00B92B51"/>
    <w:rsid w:val="00B92D0B"/>
    <w:rsid w:val="00B9337B"/>
    <w:rsid w:val="00B93E34"/>
    <w:rsid w:val="00B940BB"/>
    <w:rsid w:val="00B944CF"/>
    <w:rsid w:val="00B94945"/>
    <w:rsid w:val="00B95676"/>
    <w:rsid w:val="00B9638A"/>
    <w:rsid w:val="00B96531"/>
    <w:rsid w:val="00B96E62"/>
    <w:rsid w:val="00BA0115"/>
    <w:rsid w:val="00BA21B5"/>
    <w:rsid w:val="00BA243F"/>
    <w:rsid w:val="00BA2C10"/>
    <w:rsid w:val="00BA2CA0"/>
    <w:rsid w:val="00BA2E29"/>
    <w:rsid w:val="00BA322D"/>
    <w:rsid w:val="00BA32CB"/>
    <w:rsid w:val="00BA3860"/>
    <w:rsid w:val="00BA3A5B"/>
    <w:rsid w:val="00BA3E49"/>
    <w:rsid w:val="00BA4CC7"/>
    <w:rsid w:val="00BA5D89"/>
    <w:rsid w:val="00BA6E83"/>
    <w:rsid w:val="00BA7F84"/>
    <w:rsid w:val="00BB0BDD"/>
    <w:rsid w:val="00BB1460"/>
    <w:rsid w:val="00BB1CE1"/>
    <w:rsid w:val="00BB233D"/>
    <w:rsid w:val="00BB246C"/>
    <w:rsid w:val="00BB2A73"/>
    <w:rsid w:val="00BB317E"/>
    <w:rsid w:val="00BB34D2"/>
    <w:rsid w:val="00BB3585"/>
    <w:rsid w:val="00BB3D6A"/>
    <w:rsid w:val="00BB3FFF"/>
    <w:rsid w:val="00BB4920"/>
    <w:rsid w:val="00BB4ACC"/>
    <w:rsid w:val="00BB55BD"/>
    <w:rsid w:val="00BB5EA4"/>
    <w:rsid w:val="00BB60DB"/>
    <w:rsid w:val="00BB703E"/>
    <w:rsid w:val="00BB7405"/>
    <w:rsid w:val="00BB7C76"/>
    <w:rsid w:val="00BC01B0"/>
    <w:rsid w:val="00BC038A"/>
    <w:rsid w:val="00BC0ACA"/>
    <w:rsid w:val="00BC0B94"/>
    <w:rsid w:val="00BC1069"/>
    <w:rsid w:val="00BC1C9C"/>
    <w:rsid w:val="00BC2689"/>
    <w:rsid w:val="00BC2A63"/>
    <w:rsid w:val="00BC328A"/>
    <w:rsid w:val="00BC3631"/>
    <w:rsid w:val="00BC5D74"/>
    <w:rsid w:val="00BC6690"/>
    <w:rsid w:val="00BD1307"/>
    <w:rsid w:val="00BD1E48"/>
    <w:rsid w:val="00BD22ED"/>
    <w:rsid w:val="00BD2D3D"/>
    <w:rsid w:val="00BD3859"/>
    <w:rsid w:val="00BD427F"/>
    <w:rsid w:val="00BD4C7D"/>
    <w:rsid w:val="00BD5562"/>
    <w:rsid w:val="00BD60B5"/>
    <w:rsid w:val="00BD63E8"/>
    <w:rsid w:val="00BD6739"/>
    <w:rsid w:val="00BD68A3"/>
    <w:rsid w:val="00BD6938"/>
    <w:rsid w:val="00BD6CF3"/>
    <w:rsid w:val="00BE1AB3"/>
    <w:rsid w:val="00BE2180"/>
    <w:rsid w:val="00BE21F2"/>
    <w:rsid w:val="00BE277B"/>
    <w:rsid w:val="00BE298C"/>
    <w:rsid w:val="00BE3603"/>
    <w:rsid w:val="00BE4275"/>
    <w:rsid w:val="00BE4D4C"/>
    <w:rsid w:val="00BE4E2A"/>
    <w:rsid w:val="00BE5511"/>
    <w:rsid w:val="00BE5B92"/>
    <w:rsid w:val="00BE7066"/>
    <w:rsid w:val="00BE76EB"/>
    <w:rsid w:val="00BE7B53"/>
    <w:rsid w:val="00BE7D46"/>
    <w:rsid w:val="00BF0F95"/>
    <w:rsid w:val="00BF1051"/>
    <w:rsid w:val="00BF209A"/>
    <w:rsid w:val="00BF2433"/>
    <w:rsid w:val="00BF2590"/>
    <w:rsid w:val="00BF26D2"/>
    <w:rsid w:val="00BF2783"/>
    <w:rsid w:val="00BF32D4"/>
    <w:rsid w:val="00BF356E"/>
    <w:rsid w:val="00BF430D"/>
    <w:rsid w:val="00BF5F00"/>
    <w:rsid w:val="00BF61C9"/>
    <w:rsid w:val="00BF6519"/>
    <w:rsid w:val="00BF6A2A"/>
    <w:rsid w:val="00BF6C94"/>
    <w:rsid w:val="00BF6CEC"/>
    <w:rsid w:val="00C00424"/>
    <w:rsid w:val="00C00930"/>
    <w:rsid w:val="00C00ED4"/>
    <w:rsid w:val="00C01812"/>
    <w:rsid w:val="00C01B6E"/>
    <w:rsid w:val="00C01D10"/>
    <w:rsid w:val="00C02CFA"/>
    <w:rsid w:val="00C035C4"/>
    <w:rsid w:val="00C03A81"/>
    <w:rsid w:val="00C04037"/>
    <w:rsid w:val="00C04EE6"/>
    <w:rsid w:val="00C06284"/>
    <w:rsid w:val="00C062AE"/>
    <w:rsid w:val="00C07B7A"/>
    <w:rsid w:val="00C07D24"/>
    <w:rsid w:val="00C1034D"/>
    <w:rsid w:val="00C11A93"/>
    <w:rsid w:val="00C11B33"/>
    <w:rsid w:val="00C12C14"/>
    <w:rsid w:val="00C13E06"/>
    <w:rsid w:val="00C148A2"/>
    <w:rsid w:val="00C15569"/>
    <w:rsid w:val="00C15D84"/>
    <w:rsid w:val="00C200AA"/>
    <w:rsid w:val="00C2085E"/>
    <w:rsid w:val="00C21D4E"/>
    <w:rsid w:val="00C21EAE"/>
    <w:rsid w:val="00C2267B"/>
    <w:rsid w:val="00C22ACC"/>
    <w:rsid w:val="00C23352"/>
    <w:rsid w:val="00C237ED"/>
    <w:rsid w:val="00C24104"/>
    <w:rsid w:val="00C24632"/>
    <w:rsid w:val="00C25418"/>
    <w:rsid w:val="00C2554E"/>
    <w:rsid w:val="00C25D9C"/>
    <w:rsid w:val="00C26C64"/>
    <w:rsid w:val="00C2700D"/>
    <w:rsid w:val="00C2778B"/>
    <w:rsid w:val="00C3004E"/>
    <w:rsid w:val="00C3064B"/>
    <w:rsid w:val="00C31559"/>
    <w:rsid w:val="00C31649"/>
    <w:rsid w:val="00C31868"/>
    <w:rsid w:val="00C31D39"/>
    <w:rsid w:val="00C345F1"/>
    <w:rsid w:val="00C349AE"/>
    <w:rsid w:val="00C35E38"/>
    <w:rsid w:val="00C36C77"/>
    <w:rsid w:val="00C36D0D"/>
    <w:rsid w:val="00C400E7"/>
    <w:rsid w:val="00C40385"/>
    <w:rsid w:val="00C40E10"/>
    <w:rsid w:val="00C41CBA"/>
    <w:rsid w:val="00C4219B"/>
    <w:rsid w:val="00C43A8D"/>
    <w:rsid w:val="00C43D9F"/>
    <w:rsid w:val="00C44F28"/>
    <w:rsid w:val="00C4512E"/>
    <w:rsid w:val="00C4518C"/>
    <w:rsid w:val="00C475AA"/>
    <w:rsid w:val="00C51F93"/>
    <w:rsid w:val="00C523BE"/>
    <w:rsid w:val="00C5279B"/>
    <w:rsid w:val="00C54222"/>
    <w:rsid w:val="00C5570D"/>
    <w:rsid w:val="00C5609F"/>
    <w:rsid w:val="00C562DA"/>
    <w:rsid w:val="00C56569"/>
    <w:rsid w:val="00C574A6"/>
    <w:rsid w:val="00C57CA7"/>
    <w:rsid w:val="00C6014D"/>
    <w:rsid w:val="00C61210"/>
    <w:rsid w:val="00C61878"/>
    <w:rsid w:val="00C62043"/>
    <w:rsid w:val="00C62E1D"/>
    <w:rsid w:val="00C62EA1"/>
    <w:rsid w:val="00C6320E"/>
    <w:rsid w:val="00C63A81"/>
    <w:rsid w:val="00C65576"/>
    <w:rsid w:val="00C65A26"/>
    <w:rsid w:val="00C65D73"/>
    <w:rsid w:val="00C66165"/>
    <w:rsid w:val="00C66647"/>
    <w:rsid w:val="00C6665E"/>
    <w:rsid w:val="00C707F4"/>
    <w:rsid w:val="00C70CF7"/>
    <w:rsid w:val="00C7151A"/>
    <w:rsid w:val="00C71909"/>
    <w:rsid w:val="00C71CC0"/>
    <w:rsid w:val="00C71F60"/>
    <w:rsid w:val="00C72032"/>
    <w:rsid w:val="00C721C9"/>
    <w:rsid w:val="00C72241"/>
    <w:rsid w:val="00C72BFD"/>
    <w:rsid w:val="00C745E5"/>
    <w:rsid w:val="00C750C8"/>
    <w:rsid w:val="00C755FB"/>
    <w:rsid w:val="00C7560F"/>
    <w:rsid w:val="00C76A4B"/>
    <w:rsid w:val="00C805B6"/>
    <w:rsid w:val="00C80A0E"/>
    <w:rsid w:val="00C80D95"/>
    <w:rsid w:val="00C8143E"/>
    <w:rsid w:val="00C81C28"/>
    <w:rsid w:val="00C8213F"/>
    <w:rsid w:val="00C839B7"/>
    <w:rsid w:val="00C83D1D"/>
    <w:rsid w:val="00C8481F"/>
    <w:rsid w:val="00C8497A"/>
    <w:rsid w:val="00C85E2B"/>
    <w:rsid w:val="00C861DE"/>
    <w:rsid w:val="00C86385"/>
    <w:rsid w:val="00C870A6"/>
    <w:rsid w:val="00C8797A"/>
    <w:rsid w:val="00C900B8"/>
    <w:rsid w:val="00C90C2B"/>
    <w:rsid w:val="00C90C71"/>
    <w:rsid w:val="00C912B4"/>
    <w:rsid w:val="00C92270"/>
    <w:rsid w:val="00C92C67"/>
    <w:rsid w:val="00C931CF"/>
    <w:rsid w:val="00C938CF"/>
    <w:rsid w:val="00C941B7"/>
    <w:rsid w:val="00C9468D"/>
    <w:rsid w:val="00C94F84"/>
    <w:rsid w:val="00C95C05"/>
    <w:rsid w:val="00C960BF"/>
    <w:rsid w:val="00C961D9"/>
    <w:rsid w:val="00C9624D"/>
    <w:rsid w:val="00C9657C"/>
    <w:rsid w:val="00C969DA"/>
    <w:rsid w:val="00C974FA"/>
    <w:rsid w:val="00C97F09"/>
    <w:rsid w:val="00CA07DF"/>
    <w:rsid w:val="00CA0CB2"/>
    <w:rsid w:val="00CA174B"/>
    <w:rsid w:val="00CA19F5"/>
    <w:rsid w:val="00CA2342"/>
    <w:rsid w:val="00CA2C77"/>
    <w:rsid w:val="00CA2D7D"/>
    <w:rsid w:val="00CA444F"/>
    <w:rsid w:val="00CA49C7"/>
    <w:rsid w:val="00CA4F3D"/>
    <w:rsid w:val="00CA5245"/>
    <w:rsid w:val="00CA54B1"/>
    <w:rsid w:val="00CA6303"/>
    <w:rsid w:val="00CA6CE3"/>
    <w:rsid w:val="00CA71F4"/>
    <w:rsid w:val="00CA7474"/>
    <w:rsid w:val="00CA7B09"/>
    <w:rsid w:val="00CB03C6"/>
    <w:rsid w:val="00CB0CEA"/>
    <w:rsid w:val="00CB0EDE"/>
    <w:rsid w:val="00CB14D5"/>
    <w:rsid w:val="00CB1D3D"/>
    <w:rsid w:val="00CB24C7"/>
    <w:rsid w:val="00CB286E"/>
    <w:rsid w:val="00CB2A26"/>
    <w:rsid w:val="00CB2B0E"/>
    <w:rsid w:val="00CB2E71"/>
    <w:rsid w:val="00CB2F2A"/>
    <w:rsid w:val="00CB2FF0"/>
    <w:rsid w:val="00CB3C46"/>
    <w:rsid w:val="00CB4039"/>
    <w:rsid w:val="00CB4C7F"/>
    <w:rsid w:val="00CB5225"/>
    <w:rsid w:val="00CB5632"/>
    <w:rsid w:val="00CB5B1A"/>
    <w:rsid w:val="00CB5C3C"/>
    <w:rsid w:val="00CB6574"/>
    <w:rsid w:val="00CB6B22"/>
    <w:rsid w:val="00CB7E6F"/>
    <w:rsid w:val="00CB7F5F"/>
    <w:rsid w:val="00CC0510"/>
    <w:rsid w:val="00CC05C4"/>
    <w:rsid w:val="00CC1A90"/>
    <w:rsid w:val="00CC1B39"/>
    <w:rsid w:val="00CC23A9"/>
    <w:rsid w:val="00CC29CB"/>
    <w:rsid w:val="00CC34A7"/>
    <w:rsid w:val="00CC3CDB"/>
    <w:rsid w:val="00CC402F"/>
    <w:rsid w:val="00CC40E3"/>
    <w:rsid w:val="00CC4F31"/>
    <w:rsid w:val="00CC5147"/>
    <w:rsid w:val="00CC768E"/>
    <w:rsid w:val="00CD37C5"/>
    <w:rsid w:val="00CD48AD"/>
    <w:rsid w:val="00CD5649"/>
    <w:rsid w:val="00CD6ADC"/>
    <w:rsid w:val="00CD765D"/>
    <w:rsid w:val="00CD7BC1"/>
    <w:rsid w:val="00CE0827"/>
    <w:rsid w:val="00CE137A"/>
    <w:rsid w:val="00CE1B5C"/>
    <w:rsid w:val="00CE2052"/>
    <w:rsid w:val="00CE2B0E"/>
    <w:rsid w:val="00CE2CB2"/>
    <w:rsid w:val="00CE2DFB"/>
    <w:rsid w:val="00CE304B"/>
    <w:rsid w:val="00CE34C1"/>
    <w:rsid w:val="00CE443B"/>
    <w:rsid w:val="00CE470E"/>
    <w:rsid w:val="00CE4D60"/>
    <w:rsid w:val="00CE4E18"/>
    <w:rsid w:val="00CE6274"/>
    <w:rsid w:val="00CE70FC"/>
    <w:rsid w:val="00CF0BA4"/>
    <w:rsid w:val="00CF0F16"/>
    <w:rsid w:val="00CF14F4"/>
    <w:rsid w:val="00CF19ED"/>
    <w:rsid w:val="00CF1EBE"/>
    <w:rsid w:val="00CF2817"/>
    <w:rsid w:val="00CF2A90"/>
    <w:rsid w:val="00CF2B8D"/>
    <w:rsid w:val="00CF3116"/>
    <w:rsid w:val="00CF39AC"/>
    <w:rsid w:val="00CF3B43"/>
    <w:rsid w:val="00CF3FC2"/>
    <w:rsid w:val="00CF4151"/>
    <w:rsid w:val="00CF456B"/>
    <w:rsid w:val="00CF4572"/>
    <w:rsid w:val="00CF4A2F"/>
    <w:rsid w:val="00CF5A22"/>
    <w:rsid w:val="00CF690B"/>
    <w:rsid w:val="00CF692D"/>
    <w:rsid w:val="00CF6D51"/>
    <w:rsid w:val="00CF7295"/>
    <w:rsid w:val="00CF79F5"/>
    <w:rsid w:val="00D00F26"/>
    <w:rsid w:val="00D01556"/>
    <w:rsid w:val="00D0177B"/>
    <w:rsid w:val="00D02309"/>
    <w:rsid w:val="00D0262E"/>
    <w:rsid w:val="00D02E72"/>
    <w:rsid w:val="00D0352D"/>
    <w:rsid w:val="00D035E8"/>
    <w:rsid w:val="00D03ADD"/>
    <w:rsid w:val="00D0411F"/>
    <w:rsid w:val="00D04A06"/>
    <w:rsid w:val="00D04D9E"/>
    <w:rsid w:val="00D0513B"/>
    <w:rsid w:val="00D057BD"/>
    <w:rsid w:val="00D057FE"/>
    <w:rsid w:val="00D05AD3"/>
    <w:rsid w:val="00D06017"/>
    <w:rsid w:val="00D072F6"/>
    <w:rsid w:val="00D07C78"/>
    <w:rsid w:val="00D110BD"/>
    <w:rsid w:val="00D117FC"/>
    <w:rsid w:val="00D12533"/>
    <w:rsid w:val="00D12632"/>
    <w:rsid w:val="00D13675"/>
    <w:rsid w:val="00D13CE2"/>
    <w:rsid w:val="00D141E1"/>
    <w:rsid w:val="00D146A3"/>
    <w:rsid w:val="00D15088"/>
    <w:rsid w:val="00D15090"/>
    <w:rsid w:val="00D150D2"/>
    <w:rsid w:val="00D15610"/>
    <w:rsid w:val="00D17B31"/>
    <w:rsid w:val="00D17BF3"/>
    <w:rsid w:val="00D17D6C"/>
    <w:rsid w:val="00D20082"/>
    <w:rsid w:val="00D21992"/>
    <w:rsid w:val="00D222C0"/>
    <w:rsid w:val="00D22A6E"/>
    <w:rsid w:val="00D22BFA"/>
    <w:rsid w:val="00D232B6"/>
    <w:rsid w:val="00D23B12"/>
    <w:rsid w:val="00D24180"/>
    <w:rsid w:val="00D24F33"/>
    <w:rsid w:val="00D24F3E"/>
    <w:rsid w:val="00D252E1"/>
    <w:rsid w:val="00D25F43"/>
    <w:rsid w:val="00D2611D"/>
    <w:rsid w:val="00D266E9"/>
    <w:rsid w:val="00D26DD2"/>
    <w:rsid w:val="00D2754D"/>
    <w:rsid w:val="00D27B27"/>
    <w:rsid w:val="00D27BB2"/>
    <w:rsid w:val="00D27E30"/>
    <w:rsid w:val="00D334B5"/>
    <w:rsid w:val="00D33BDE"/>
    <w:rsid w:val="00D33BE9"/>
    <w:rsid w:val="00D34A84"/>
    <w:rsid w:val="00D356D6"/>
    <w:rsid w:val="00D357AA"/>
    <w:rsid w:val="00D357FF"/>
    <w:rsid w:val="00D35C12"/>
    <w:rsid w:val="00D36416"/>
    <w:rsid w:val="00D36674"/>
    <w:rsid w:val="00D40714"/>
    <w:rsid w:val="00D41CA9"/>
    <w:rsid w:val="00D41DF7"/>
    <w:rsid w:val="00D424C7"/>
    <w:rsid w:val="00D43833"/>
    <w:rsid w:val="00D43B2A"/>
    <w:rsid w:val="00D43EE1"/>
    <w:rsid w:val="00D440AA"/>
    <w:rsid w:val="00D442F0"/>
    <w:rsid w:val="00D44405"/>
    <w:rsid w:val="00D44C34"/>
    <w:rsid w:val="00D45034"/>
    <w:rsid w:val="00D46256"/>
    <w:rsid w:val="00D4654D"/>
    <w:rsid w:val="00D47575"/>
    <w:rsid w:val="00D4776E"/>
    <w:rsid w:val="00D47BD9"/>
    <w:rsid w:val="00D51B93"/>
    <w:rsid w:val="00D523FE"/>
    <w:rsid w:val="00D53F06"/>
    <w:rsid w:val="00D54FC2"/>
    <w:rsid w:val="00D55FBF"/>
    <w:rsid w:val="00D56D37"/>
    <w:rsid w:val="00D60CDD"/>
    <w:rsid w:val="00D6101F"/>
    <w:rsid w:val="00D612A4"/>
    <w:rsid w:val="00D62225"/>
    <w:rsid w:val="00D65B35"/>
    <w:rsid w:val="00D66BCF"/>
    <w:rsid w:val="00D676EA"/>
    <w:rsid w:val="00D70390"/>
    <w:rsid w:val="00D7043A"/>
    <w:rsid w:val="00D70806"/>
    <w:rsid w:val="00D70F16"/>
    <w:rsid w:val="00D7116C"/>
    <w:rsid w:val="00D7201A"/>
    <w:rsid w:val="00D723B1"/>
    <w:rsid w:val="00D756A4"/>
    <w:rsid w:val="00D76A44"/>
    <w:rsid w:val="00D76F43"/>
    <w:rsid w:val="00D80364"/>
    <w:rsid w:val="00D80A39"/>
    <w:rsid w:val="00D810CF"/>
    <w:rsid w:val="00D8158C"/>
    <w:rsid w:val="00D815EF"/>
    <w:rsid w:val="00D81672"/>
    <w:rsid w:val="00D81D5B"/>
    <w:rsid w:val="00D81FD2"/>
    <w:rsid w:val="00D82149"/>
    <w:rsid w:val="00D831EA"/>
    <w:rsid w:val="00D837EB"/>
    <w:rsid w:val="00D838AB"/>
    <w:rsid w:val="00D83D2F"/>
    <w:rsid w:val="00D84EA3"/>
    <w:rsid w:val="00D855D8"/>
    <w:rsid w:val="00D85BE6"/>
    <w:rsid w:val="00D85EB0"/>
    <w:rsid w:val="00D86089"/>
    <w:rsid w:val="00D860F6"/>
    <w:rsid w:val="00D86344"/>
    <w:rsid w:val="00D879EC"/>
    <w:rsid w:val="00D87B1B"/>
    <w:rsid w:val="00D902FB"/>
    <w:rsid w:val="00D90D26"/>
    <w:rsid w:val="00D911D6"/>
    <w:rsid w:val="00D91923"/>
    <w:rsid w:val="00D91FB1"/>
    <w:rsid w:val="00D92899"/>
    <w:rsid w:val="00D92931"/>
    <w:rsid w:val="00D93422"/>
    <w:rsid w:val="00D93753"/>
    <w:rsid w:val="00D93921"/>
    <w:rsid w:val="00D93EFD"/>
    <w:rsid w:val="00D94517"/>
    <w:rsid w:val="00D94C1F"/>
    <w:rsid w:val="00D94C56"/>
    <w:rsid w:val="00D96FE5"/>
    <w:rsid w:val="00D97FB8"/>
    <w:rsid w:val="00DA0B4D"/>
    <w:rsid w:val="00DA119F"/>
    <w:rsid w:val="00DA252E"/>
    <w:rsid w:val="00DA3167"/>
    <w:rsid w:val="00DA3E9E"/>
    <w:rsid w:val="00DA4C1E"/>
    <w:rsid w:val="00DA4DC3"/>
    <w:rsid w:val="00DA4ED3"/>
    <w:rsid w:val="00DA562E"/>
    <w:rsid w:val="00DA6492"/>
    <w:rsid w:val="00DA6E0E"/>
    <w:rsid w:val="00DA77A5"/>
    <w:rsid w:val="00DA7F8B"/>
    <w:rsid w:val="00DB1712"/>
    <w:rsid w:val="00DB3BE1"/>
    <w:rsid w:val="00DB3ED2"/>
    <w:rsid w:val="00DB484F"/>
    <w:rsid w:val="00DB49F4"/>
    <w:rsid w:val="00DB51D3"/>
    <w:rsid w:val="00DB60E6"/>
    <w:rsid w:val="00DB7A25"/>
    <w:rsid w:val="00DC04F6"/>
    <w:rsid w:val="00DC1BB2"/>
    <w:rsid w:val="00DC25B4"/>
    <w:rsid w:val="00DC2FDF"/>
    <w:rsid w:val="00DC37C1"/>
    <w:rsid w:val="00DC3C57"/>
    <w:rsid w:val="00DC4634"/>
    <w:rsid w:val="00DC5501"/>
    <w:rsid w:val="00DC6F9D"/>
    <w:rsid w:val="00DC7D47"/>
    <w:rsid w:val="00DC7F28"/>
    <w:rsid w:val="00DD159A"/>
    <w:rsid w:val="00DD15BC"/>
    <w:rsid w:val="00DD1793"/>
    <w:rsid w:val="00DD273C"/>
    <w:rsid w:val="00DD3759"/>
    <w:rsid w:val="00DD37EC"/>
    <w:rsid w:val="00DD3E58"/>
    <w:rsid w:val="00DD3F28"/>
    <w:rsid w:val="00DD4470"/>
    <w:rsid w:val="00DD4503"/>
    <w:rsid w:val="00DD4537"/>
    <w:rsid w:val="00DD4E15"/>
    <w:rsid w:val="00DD54E8"/>
    <w:rsid w:val="00DD55A5"/>
    <w:rsid w:val="00DD5BD7"/>
    <w:rsid w:val="00DD6389"/>
    <w:rsid w:val="00DD6777"/>
    <w:rsid w:val="00DD6DC6"/>
    <w:rsid w:val="00DD77B8"/>
    <w:rsid w:val="00DD7F13"/>
    <w:rsid w:val="00DE07FA"/>
    <w:rsid w:val="00DE1221"/>
    <w:rsid w:val="00DE129E"/>
    <w:rsid w:val="00DE2943"/>
    <w:rsid w:val="00DE3138"/>
    <w:rsid w:val="00DE37F8"/>
    <w:rsid w:val="00DE3F55"/>
    <w:rsid w:val="00DE4FCB"/>
    <w:rsid w:val="00DE5233"/>
    <w:rsid w:val="00DE52E3"/>
    <w:rsid w:val="00DE5E06"/>
    <w:rsid w:val="00DE7832"/>
    <w:rsid w:val="00DF13FA"/>
    <w:rsid w:val="00DF18FC"/>
    <w:rsid w:val="00DF22F8"/>
    <w:rsid w:val="00DF256E"/>
    <w:rsid w:val="00DF29AB"/>
    <w:rsid w:val="00DF5D2B"/>
    <w:rsid w:val="00DF602F"/>
    <w:rsid w:val="00DF7DCA"/>
    <w:rsid w:val="00E00C82"/>
    <w:rsid w:val="00E00E8E"/>
    <w:rsid w:val="00E01B48"/>
    <w:rsid w:val="00E04B23"/>
    <w:rsid w:val="00E05630"/>
    <w:rsid w:val="00E06DBB"/>
    <w:rsid w:val="00E07034"/>
    <w:rsid w:val="00E07196"/>
    <w:rsid w:val="00E10149"/>
    <w:rsid w:val="00E111D6"/>
    <w:rsid w:val="00E125C3"/>
    <w:rsid w:val="00E12DE6"/>
    <w:rsid w:val="00E14398"/>
    <w:rsid w:val="00E14AF9"/>
    <w:rsid w:val="00E15374"/>
    <w:rsid w:val="00E159F7"/>
    <w:rsid w:val="00E1614A"/>
    <w:rsid w:val="00E16372"/>
    <w:rsid w:val="00E172D4"/>
    <w:rsid w:val="00E17C4A"/>
    <w:rsid w:val="00E20A86"/>
    <w:rsid w:val="00E20E4D"/>
    <w:rsid w:val="00E20ED6"/>
    <w:rsid w:val="00E21358"/>
    <w:rsid w:val="00E2223D"/>
    <w:rsid w:val="00E2249B"/>
    <w:rsid w:val="00E22A0D"/>
    <w:rsid w:val="00E234A2"/>
    <w:rsid w:val="00E23558"/>
    <w:rsid w:val="00E24F81"/>
    <w:rsid w:val="00E25DEF"/>
    <w:rsid w:val="00E27112"/>
    <w:rsid w:val="00E2771E"/>
    <w:rsid w:val="00E27C17"/>
    <w:rsid w:val="00E308E2"/>
    <w:rsid w:val="00E3170F"/>
    <w:rsid w:val="00E31A76"/>
    <w:rsid w:val="00E32AF2"/>
    <w:rsid w:val="00E33B36"/>
    <w:rsid w:val="00E3462F"/>
    <w:rsid w:val="00E347A4"/>
    <w:rsid w:val="00E34948"/>
    <w:rsid w:val="00E349CC"/>
    <w:rsid w:val="00E35012"/>
    <w:rsid w:val="00E35017"/>
    <w:rsid w:val="00E350F1"/>
    <w:rsid w:val="00E37569"/>
    <w:rsid w:val="00E37872"/>
    <w:rsid w:val="00E37903"/>
    <w:rsid w:val="00E40CFA"/>
    <w:rsid w:val="00E41C64"/>
    <w:rsid w:val="00E41E30"/>
    <w:rsid w:val="00E424FF"/>
    <w:rsid w:val="00E42B3A"/>
    <w:rsid w:val="00E43D70"/>
    <w:rsid w:val="00E43EAF"/>
    <w:rsid w:val="00E4459B"/>
    <w:rsid w:val="00E448E2"/>
    <w:rsid w:val="00E463F6"/>
    <w:rsid w:val="00E466F3"/>
    <w:rsid w:val="00E47B2C"/>
    <w:rsid w:val="00E47DB7"/>
    <w:rsid w:val="00E50904"/>
    <w:rsid w:val="00E50A3F"/>
    <w:rsid w:val="00E50D6E"/>
    <w:rsid w:val="00E51560"/>
    <w:rsid w:val="00E51B0B"/>
    <w:rsid w:val="00E52AA8"/>
    <w:rsid w:val="00E52D8C"/>
    <w:rsid w:val="00E54347"/>
    <w:rsid w:val="00E55120"/>
    <w:rsid w:val="00E55318"/>
    <w:rsid w:val="00E55424"/>
    <w:rsid w:val="00E554CD"/>
    <w:rsid w:val="00E55BB5"/>
    <w:rsid w:val="00E55C5E"/>
    <w:rsid w:val="00E56F56"/>
    <w:rsid w:val="00E57222"/>
    <w:rsid w:val="00E60DFE"/>
    <w:rsid w:val="00E6192E"/>
    <w:rsid w:val="00E625E6"/>
    <w:rsid w:val="00E63615"/>
    <w:rsid w:val="00E65E79"/>
    <w:rsid w:val="00E66BA2"/>
    <w:rsid w:val="00E67416"/>
    <w:rsid w:val="00E67806"/>
    <w:rsid w:val="00E67FC5"/>
    <w:rsid w:val="00E71261"/>
    <w:rsid w:val="00E718B6"/>
    <w:rsid w:val="00E723BA"/>
    <w:rsid w:val="00E729E0"/>
    <w:rsid w:val="00E73581"/>
    <w:rsid w:val="00E73766"/>
    <w:rsid w:val="00E73794"/>
    <w:rsid w:val="00E74801"/>
    <w:rsid w:val="00E7495A"/>
    <w:rsid w:val="00E74B31"/>
    <w:rsid w:val="00E757B6"/>
    <w:rsid w:val="00E75A60"/>
    <w:rsid w:val="00E760B7"/>
    <w:rsid w:val="00E76C8A"/>
    <w:rsid w:val="00E77431"/>
    <w:rsid w:val="00E77DE8"/>
    <w:rsid w:val="00E81CDE"/>
    <w:rsid w:val="00E81F0A"/>
    <w:rsid w:val="00E820A2"/>
    <w:rsid w:val="00E8251D"/>
    <w:rsid w:val="00E828B5"/>
    <w:rsid w:val="00E833F7"/>
    <w:rsid w:val="00E83BDF"/>
    <w:rsid w:val="00E8518E"/>
    <w:rsid w:val="00E87A1D"/>
    <w:rsid w:val="00E903F8"/>
    <w:rsid w:val="00E90C4B"/>
    <w:rsid w:val="00E926A5"/>
    <w:rsid w:val="00E92E14"/>
    <w:rsid w:val="00E9420E"/>
    <w:rsid w:val="00E94820"/>
    <w:rsid w:val="00E95362"/>
    <w:rsid w:val="00E96038"/>
    <w:rsid w:val="00E9638E"/>
    <w:rsid w:val="00E96F53"/>
    <w:rsid w:val="00E97764"/>
    <w:rsid w:val="00E979B5"/>
    <w:rsid w:val="00EA17C3"/>
    <w:rsid w:val="00EA2803"/>
    <w:rsid w:val="00EA284E"/>
    <w:rsid w:val="00EA2CAA"/>
    <w:rsid w:val="00EA3864"/>
    <w:rsid w:val="00EA3B5F"/>
    <w:rsid w:val="00EA59C4"/>
    <w:rsid w:val="00EA7283"/>
    <w:rsid w:val="00EA72BB"/>
    <w:rsid w:val="00EA7ED9"/>
    <w:rsid w:val="00EB020D"/>
    <w:rsid w:val="00EB15B6"/>
    <w:rsid w:val="00EB1CB9"/>
    <w:rsid w:val="00EB2000"/>
    <w:rsid w:val="00EB222B"/>
    <w:rsid w:val="00EB239B"/>
    <w:rsid w:val="00EB25AB"/>
    <w:rsid w:val="00EB41AA"/>
    <w:rsid w:val="00EB4916"/>
    <w:rsid w:val="00EB4BF0"/>
    <w:rsid w:val="00EB644C"/>
    <w:rsid w:val="00EB6ABE"/>
    <w:rsid w:val="00EB7B43"/>
    <w:rsid w:val="00EC00C9"/>
    <w:rsid w:val="00EC0569"/>
    <w:rsid w:val="00EC0BD7"/>
    <w:rsid w:val="00EC1ED9"/>
    <w:rsid w:val="00EC2649"/>
    <w:rsid w:val="00EC347C"/>
    <w:rsid w:val="00EC38A6"/>
    <w:rsid w:val="00EC3B43"/>
    <w:rsid w:val="00EC40DE"/>
    <w:rsid w:val="00EC54BF"/>
    <w:rsid w:val="00EC6DA7"/>
    <w:rsid w:val="00EC6DF1"/>
    <w:rsid w:val="00EC7576"/>
    <w:rsid w:val="00ED12D5"/>
    <w:rsid w:val="00ED203F"/>
    <w:rsid w:val="00ED3387"/>
    <w:rsid w:val="00ED57EA"/>
    <w:rsid w:val="00ED5A37"/>
    <w:rsid w:val="00ED5C88"/>
    <w:rsid w:val="00ED633D"/>
    <w:rsid w:val="00ED6EDE"/>
    <w:rsid w:val="00EE02CA"/>
    <w:rsid w:val="00EE07D3"/>
    <w:rsid w:val="00EE0A08"/>
    <w:rsid w:val="00EE0EF1"/>
    <w:rsid w:val="00EE22AF"/>
    <w:rsid w:val="00EE2D95"/>
    <w:rsid w:val="00EE3BDE"/>
    <w:rsid w:val="00EE4242"/>
    <w:rsid w:val="00EE5CC5"/>
    <w:rsid w:val="00EE68AD"/>
    <w:rsid w:val="00EE73AE"/>
    <w:rsid w:val="00EF0171"/>
    <w:rsid w:val="00EF0646"/>
    <w:rsid w:val="00EF06B6"/>
    <w:rsid w:val="00EF1B25"/>
    <w:rsid w:val="00EF1D90"/>
    <w:rsid w:val="00EF3242"/>
    <w:rsid w:val="00EF3514"/>
    <w:rsid w:val="00EF46A6"/>
    <w:rsid w:val="00EF4747"/>
    <w:rsid w:val="00EF4BF8"/>
    <w:rsid w:val="00EF6744"/>
    <w:rsid w:val="00EF7557"/>
    <w:rsid w:val="00EF7E8E"/>
    <w:rsid w:val="00F01845"/>
    <w:rsid w:val="00F02253"/>
    <w:rsid w:val="00F0267D"/>
    <w:rsid w:val="00F0280A"/>
    <w:rsid w:val="00F032F2"/>
    <w:rsid w:val="00F03402"/>
    <w:rsid w:val="00F039BF"/>
    <w:rsid w:val="00F03C2E"/>
    <w:rsid w:val="00F042F2"/>
    <w:rsid w:val="00F04A66"/>
    <w:rsid w:val="00F0516C"/>
    <w:rsid w:val="00F067A2"/>
    <w:rsid w:val="00F06C35"/>
    <w:rsid w:val="00F07B7E"/>
    <w:rsid w:val="00F11188"/>
    <w:rsid w:val="00F1194A"/>
    <w:rsid w:val="00F1263A"/>
    <w:rsid w:val="00F146B4"/>
    <w:rsid w:val="00F165C4"/>
    <w:rsid w:val="00F16EAF"/>
    <w:rsid w:val="00F17CB8"/>
    <w:rsid w:val="00F200ED"/>
    <w:rsid w:val="00F21087"/>
    <w:rsid w:val="00F2142C"/>
    <w:rsid w:val="00F221D6"/>
    <w:rsid w:val="00F2259B"/>
    <w:rsid w:val="00F244AA"/>
    <w:rsid w:val="00F24837"/>
    <w:rsid w:val="00F2575F"/>
    <w:rsid w:val="00F270AB"/>
    <w:rsid w:val="00F27565"/>
    <w:rsid w:val="00F30977"/>
    <w:rsid w:val="00F310D4"/>
    <w:rsid w:val="00F315F2"/>
    <w:rsid w:val="00F31646"/>
    <w:rsid w:val="00F31A06"/>
    <w:rsid w:val="00F31D5A"/>
    <w:rsid w:val="00F32833"/>
    <w:rsid w:val="00F328C1"/>
    <w:rsid w:val="00F32E62"/>
    <w:rsid w:val="00F33085"/>
    <w:rsid w:val="00F33656"/>
    <w:rsid w:val="00F337F8"/>
    <w:rsid w:val="00F33B3E"/>
    <w:rsid w:val="00F33DE9"/>
    <w:rsid w:val="00F34824"/>
    <w:rsid w:val="00F34AAA"/>
    <w:rsid w:val="00F351C6"/>
    <w:rsid w:val="00F35A61"/>
    <w:rsid w:val="00F3619A"/>
    <w:rsid w:val="00F3732E"/>
    <w:rsid w:val="00F40AAA"/>
    <w:rsid w:val="00F40BA7"/>
    <w:rsid w:val="00F41139"/>
    <w:rsid w:val="00F41704"/>
    <w:rsid w:val="00F41ABA"/>
    <w:rsid w:val="00F423F0"/>
    <w:rsid w:val="00F44328"/>
    <w:rsid w:val="00F45069"/>
    <w:rsid w:val="00F4507B"/>
    <w:rsid w:val="00F46B4D"/>
    <w:rsid w:val="00F46CB6"/>
    <w:rsid w:val="00F4708A"/>
    <w:rsid w:val="00F473D0"/>
    <w:rsid w:val="00F47BE7"/>
    <w:rsid w:val="00F47DE8"/>
    <w:rsid w:val="00F50B46"/>
    <w:rsid w:val="00F50B68"/>
    <w:rsid w:val="00F51682"/>
    <w:rsid w:val="00F5194B"/>
    <w:rsid w:val="00F519DB"/>
    <w:rsid w:val="00F52155"/>
    <w:rsid w:val="00F5252D"/>
    <w:rsid w:val="00F534F9"/>
    <w:rsid w:val="00F53848"/>
    <w:rsid w:val="00F542C1"/>
    <w:rsid w:val="00F552F0"/>
    <w:rsid w:val="00F55E73"/>
    <w:rsid w:val="00F55EDA"/>
    <w:rsid w:val="00F5623A"/>
    <w:rsid w:val="00F60092"/>
    <w:rsid w:val="00F61091"/>
    <w:rsid w:val="00F611BC"/>
    <w:rsid w:val="00F61C4F"/>
    <w:rsid w:val="00F61FB2"/>
    <w:rsid w:val="00F62032"/>
    <w:rsid w:val="00F6248A"/>
    <w:rsid w:val="00F631AD"/>
    <w:rsid w:val="00F63C03"/>
    <w:rsid w:val="00F63E94"/>
    <w:rsid w:val="00F64247"/>
    <w:rsid w:val="00F645B8"/>
    <w:rsid w:val="00F64873"/>
    <w:rsid w:val="00F65F4B"/>
    <w:rsid w:val="00F675BB"/>
    <w:rsid w:val="00F70C9D"/>
    <w:rsid w:val="00F71672"/>
    <w:rsid w:val="00F716CA"/>
    <w:rsid w:val="00F719D1"/>
    <w:rsid w:val="00F721BB"/>
    <w:rsid w:val="00F74659"/>
    <w:rsid w:val="00F748C0"/>
    <w:rsid w:val="00F74AB4"/>
    <w:rsid w:val="00F74CD9"/>
    <w:rsid w:val="00F77417"/>
    <w:rsid w:val="00F7770E"/>
    <w:rsid w:val="00F80433"/>
    <w:rsid w:val="00F8061F"/>
    <w:rsid w:val="00F8097F"/>
    <w:rsid w:val="00F80A7B"/>
    <w:rsid w:val="00F80E5D"/>
    <w:rsid w:val="00F80EF8"/>
    <w:rsid w:val="00F82010"/>
    <w:rsid w:val="00F827D4"/>
    <w:rsid w:val="00F82C96"/>
    <w:rsid w:val="00F83782"/>
    <w:rsid w:val="00F851CE"/>
    <w:rsid w:val="00F85AE8"/>
    <w:rsid w:val="00F86E0F"/>
    <w:rsid w:val="00F8743D"/>
    <w:rsid w:val="00F91219"/>
    <w:rsid w:val="00F91723"/>
    <w:rsid w:val="00F918FC"/>
    <w:rsid w:val="00F9242A"/>
    <w:rsid w:val="00F9323C"/>
    <w:rsid w:val="00F93962"/>
    <w:rsid w:val="00F93BC4"/>
    <w:rsid w:val="00F94939"/>
    <w:rsid w:val="00F94A66"/>
    <w:rsid w:val="00F94D45"/>
    <w:rsid w:val="00F95773"/>
    <w:rsid w:val="00F95C4C"/>
    <w:rsid w:val="00F96517"/>
    <w:rsid w:val="00F965A4"/>
    <w:rsid w:val="00F97A78"/>
    <w:rsid w:val="00F97D35"/>
    <w:rsid w:val="00FA0B20"/>
    <w:rsid w:val="00FA1629"/>
    <w:rsid w:val="00FA2111"/>
    <w:rsid w:val="00FA24E7"/>
    <w:rsid w:val="00FA3A42"/>
    <w:rsid w:val="00FA4050"/>
    <w:rsid w:val="00FA50A7"/>
    <w:rsid w:val="00FA53D4"/>
    <w:rsid w:val="00FA6437"/>
    <w:rsid w:val="00FA73C5"/>
    <w:rsid w:val="00FA760B"/>
    <w:rsid w:val="00FA7BB3"/>
    <w:rsid w:val="00FA7CF6"/>
    <w:rsid w:val="00FB0471"/>
    <w:rsid w:val="00FB0ABD"/>
    <w:rsid w:val="00FB1160"/>
    <w:rsid w:val="00FB17C2"/>
    <w:rsid w:val="00FB1FF6"/>
    <w:rsid w:val="00FB2FCB"/>
    <w:rsid w:val="00FB3B10"/>
    <w:rsid w:val="00FB4AE4"/>
    <w:rsid w:val="00FB6937"/>
    <w:rsid w:val="00FB6BFA"/>
    <w:rsid w:val="00FB71A5"/>
    <w:rsid w:val="00FB7B29"/>
    <w:rsid w:val="00FB7C9A"/>
    <w:rsid w:val="00FC0983"/>
    <w:rsid w:val="00FC0D27"/>
    <w:rsid w:val="00FC1074"/>
    <w:rsid w:val="00FC1167"/>
    <w:rsid w:val="00FC149E"/>
    <w:rsid w:val="00FC1884"/>
    <w:rsid w:val="00FC2E46"/>
    <w:rsid w:val="00FC31A1"/>
    <w:rsid w:val="00FC371D"/>
    <w:rsid w:val="00FC39D2"/>
    <w:rsid w:val="00FC5F0B"/>
    <w:rsid w:val="00FC5F55"/>
    <w:rsid w:val="00FC6249"/>
    <w:rsid w:val="00FC7CC1"/>
    <w:rsid w:val="00FD0544"/>
    <w:rsid w:val="00FD1FB9"/>
    <w:rsid w:val="00FD2100"/>
    <w:rsid w:val="00FD3D93"/>
    <w:rsid w:val="00FD436C"/>
    <w:rsid w:val="00FD446D"/>
    <w:rsid w:val="00FD5A95"/>
    <w:rsid w:val="00FD6394"/>
    <w:rsid w:val="00FD7021"/>
    <w:rsid w:val="00FE0A8B"/>
    <w:rsid w:val="00FE0BFB"/>
    <w:rsid w:val="00FE0E6C"/>
    <w:rsid w:val="00FE1BE5"/>
    <w:rsid w:val="00FE3952"/>
    <w:rsid w:val="00FE42D5"/>
    <w:rsid w:val="00FE495A"/>
    <w:rsid w:val="00FE4D29"/>
    <w:rsid w:val="00FE6DDC"/>
    <w:rsid w:val="00FE70C3"/>
    <w:rsid w:val="00FF00A6"/>
    <w:rsid w:val="00FF22C8"/>
    <w:rsid w:val="00FF2C59"/>
    <w:rsid w:val="00FF347C"/>
    <w:rsid w:val="00FF354A"/>
    <w:rsid w:val="00FF39B7"/>
    <w:rsid w:val="00FF3DCF"/>
    <w:rsid w:val="00FF492C"/>
    <w:rsid w:val="00FF4A21"/>
    <w:rsid w:val="00FF5AA3"/>
    <w:rsid w:val="00FF5AD8"/>
    <w:rsid w:val="00FF5D9C"/>
    <w:rsid w:val="00FF60E7"/>
    <w:rsid w:val="00FF73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lsdException w:name="List Number" w:uiPriority="16"/>
    <w:lsdException w:name="List 2" w:semiHidden="1" w:unhideWhenUsed="1"/>
    <w:lsdException w:name="List 3" w:semiHidden="1" w:unhideWhenUsed="1"/>
    <w:lsdException w:name="List Bullet 2" w:semiHidden="1" w:uiPriority="16" w:unhideWhenUsed="1"/>
    <w:lsdException w:name="List Bullet 3" w:semiHidden="1" w:uiPriority="16" w:unhideWhenUsed="1"/>
    <w:lsdException w:name="List Bullet 4" w:semiHidden="1" w:uiPriority="16"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42"/>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aliases w:val="Appendix Heading 2"/>
    <w:basedOn w:val="Normal"/>
    <w:next w:val="Normal"/>
    <w:link w:val="Heading7Char"/>
    <w:rsid w:val="00124A51"/>
    <w:pPr>
      <w:keepNext/>
      <w:jc w:val="center"/>
      <w:outlineLvl w:val="6"/>
    </w:pPr>
    <w:rPr>
      <w:b/>
      <w:sz w:val="20"/>
    </w:rPr>
  </w:style>
  <w:style w:type="paragraph" w:styleId="Heading8">
    <w:name w:val="heading 8"/>
    <w:aliases w:val="Appendix Heading 3"/>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aliases w:val="Appendix Heading 2 Char"/>
    <w:basedOn w:val="DefaultParagraphFont"/>
    <w:link w:val="Heading7"/>
    <w:rsid w:val="00124A51"/>
    <w:rPr>
      <w:rFonts w:ascii="Arial" w:hAnsi="Arial"/>
      <w:b/>
      <w:snapToGrid w:val="0"/>
      <w:lang w:eastAsia="en-US"/>
    </w:rPr>
  </w:style>
  <w:style w:type="character" w:customStyle="1" w:styleId="Heading8Char">
    <w:name w:val="Heading 8 Char"/>
    <w:aliases w:val="Appendix Heading 3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igure_name,Numbered Indented Text,Bullet- First level,List NUmber,Listenabsatz1,lp1,List Paragraph11,Style 2,TOC style,List Paragraph2,List Paragraph Char Char,Number_1,SGLText List Paragraph,L"/>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igure_name Char,Numbered Indented Text Char,Bullet- First level Char,List NUmber Char,Listenabsatz1 Char,lp1 Char,List Paragraph11 Char,Style 2 Char,TOC style Char,L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MSD Table Grid,ASD Table,Dossier table,Section 3- footnotes,Header Table,NICE instructions,Source table_,HealthConsult,CMA Table Template,new style,PBAC table,Lash Style Tab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Annotationtext,Char, Char,Char1,Char2,Comment Text Char1 Char,list paragraph 2,Comment Text ZS"/>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Annotationtext Char,Char Char, Char Char,Char1 Char,Char2 Char,Comment Text Char1 Char Char,list paragraph 2 Char,Comment Text ZS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link w:val="PBACHeading1Char"/>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paragraph" w:styleId="FootnoteText">
    <w:name w:val="footnote text"/>
    <w:aliases w:val="Footnote Text Char Char,Footnote Text Char2,Footnote Text Char Char1"/>
    <w:basedOn w:val="Normal"/>
    <w:link w:val="FootnoteTextChar"/>
    <w:uiPriority w:val="99"/>
    <w:unhideWhenUsed/>
    <w:rsid w:val="004A1D1A"/>
    <w:pPr>
      <w:widowControl/>
    </w:pPr>
    <w:rPr>
      <w:snapToGrid/>
      <w:sz w:val="20"/>
      <w:szCs w:val="20"/>
      <w:lang w:eastAsia="en-AU"/>
    </w:rPr>
  </w:style>
  <w:style w:type="character" w:customStyle="1" w:styleId="FootnoteTextChar">
    <w:name w:val="Footnote Text Char"/>
    <w:aliases w:val="Footnote Text Char Char Char,Footnote Text Char2 Char,Footnote Text Char Char1 Char"/>
    <w:basedOn w:val="DefaultParagraphFont"/>
    <w:link w:val="FootnoteText"/>
    <w:uiPriority w:val="99"/>
    <w:rsid w:val="004A1D1A"/>
    <w:rPr>
      <w:rFonts w:ascii="Calibri" w:hAnsi="Calibri" w:cs="Arial"/>
    </w:rPr>
  </w:style>
  <w:style w:type="character" w:styleId="FootnoteReference">
    <w:name w:val="footnote reference"/>
    <w:basedOn w:val="DefaultParagraphFont"/>
    <w:unhideWhenUsed/>
    <w:rsid w:val="004A1D1A"/>
    <w:rPr>
      <w:vertAlign w:val="superscript"/>
    </w:rPr>
  </w:style>
  <w:style w:type="character" w:customStyle="1" w:styleId="UnresolvedMention1">
    <w:name w:val="Unresolved Mention1"/>
    <w:basedOn w:val="DefaultParagraphFont"/>
    <w:uiPriority w:val="99"/>
    <w:unhideWhenUsed/>
    <w:rsid w:val="005155AF"/>
    <w:rPr>
      <w:color w:val="605E5C"/>
      <w:shd w:val="clear" w:color="auto" w:fill="E1DFDD"/>
    </w:rPr>
  </w:style>
  <w:style w:type="paragraph" w:styleId="ListBullet">
    <w:name w:val="List Bullet"/>
    <w:basedOn w:val="Normal"/>
    <w:uiPriority w:val="16"/>
    <w:rsid w:val="00B43B32"/>
    <w:pPr>
      <w:widowControl/>
      <w:numPr>
        <w:numId w:val="4"/>
      </w:numPr>
      <w:spacing w:after="24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rsid w:val="00B43B32"/>
    <w:pPr>
      <w:numPr>
        <w:ilvl w:val="1"/>
      </w:numPr>
    </w:pPr>
  </w:style>
  <w:style w:type="paragraph" w:styleId="ListBullet3">
    <w:name w:val="List Bullet 3"/>
    <w:basedOn w:val="Normal"/>
    <w:uiPriority w:val="16"/>
    <w:rsid w:val="00B43B32"/>
    <w:pPr>
      <w:widowControl/>
      <w:numPr>
        <w:ilvl w:val="2"/>
        <w:numId w:val="4"/>
      </w:numPr>
      <w:spacing w:after="24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rsid w:val="00B43B32"/>
    <w:pPr>
      <w:widowControl/>
      <w:numPr>
        <w:ilvl w:val="3"/>
        <w:numId w:val="4"/>
      </w:numPr>
      <w:spacing w:after="240" w:line="360" w:lineRule="auto"/>
      <w:contextualSpacing/>
      <w:jc w:val="left"/>
    </w:pPr>
    <w:rPr>
      <w:rFonts w:ascii="Arial" w:eastAsiaTheme="minorHAnsi" w:hAnsi="Arial" w:cstheme="minorBidi"/>
      <w:snapToGrid/>
      <w:sz w:val="20"/>
      <w:szCs w:val="20"/>
    </w:rPr>
  </w:style>
  <w:style w:type="table" w:styleId="TableWeb2">
    <w:name w:val="Table Web 2"/>
    <w:basedOn w:val="TableNormal"/>
    <w:uiPriority w:val="99"/>
    <w:rsid w:val="0089303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9303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930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77986"/>
    <w:rPr>
      <w:rFonts w:ascii="Calibri" w:hAnsi="Calibri" w:cs="Arial"/>
      <w:b/>
      <w:caps/>
      <w:snapToGrid w:val="0"/>
      <w:sz w:val="32"/>
      <w:szCs w:val="22"/>
      <w:lang w:eastAsia="en-US"/>
    </w:rPr>
  </w:style>
  <w:style w:type="character" w:customStyle="1" w:styleId="Heading3Char">
    <w:name w:val="Heading 3 Char"/>
    <w:basedOn w:val="DefaultParagraphFont"/>
    <w:link w:val="Heading3"/>
    <w:uiPriority w:val="9"/>
    <w:rsid w:val="00677986"/>
    <w:rPr>
      <w:rFonts w:ascii="Calibri" w:hAnsi="Calibri" w:cs="Arial"/>
      <w:snapToGrid w:val="0"/>
      <w:sz w:val="24"/>
      <w:szCs w:val="22"/>
      <w:u w:val="single"/>
      <w:lang w:eastAsia="en-US"/>
    </w:rPr>
  </w:style>
  <w:style w:type="character" w:customStyle="1" w:styleId="Heading4Char">
    <w:name w:val="Heading 4 Char"/>
    <w:basedOn w:val="DefaultParagraphFont"/>
    <w:link w:val="Heading4"/>
    <w:uiPriority w:val="9"/>
    <w:rsid w:val="00677986"/>
    <w:rPr>
      <w:rFonts w:ascii="Calibri" w:hAnsi="Calibri" w:cs="Arial"/>
      <w:b/>
      <w:bCs/>
      <w:i/>
      <w:snapToGrid w:val="0"/>
      <w:sz w:val="26"/>
      <w:szCs w:val="28"/>
      <w:lang w:eastAsia="en-US"/>
    </w:rPr>
  </w:style>
  <w:style w:type="character" w:customStyle="1" w:styleId="Heading5Char">
    <w:name w:val="Heading 5 Char"/>
    <w:basedOn w:val="DefaultParagraphFont"/>
    <w:link w:val="Heading5"/>
    <w:uiPriority w:val="9"/>
    <w:rsid w:val="00677986"/>
    <w:rPr>
      <w:rFonts w:ascii="Calibri" w:hAnsi="Calibri" w:cs="Arial"/>
      <w:b/>
      <w:bCs/>
      <w:iCs/>
      <w:snapToGrid w:val="0"/>
      <w:sz w:val="26"/>
      <w:szCs w:val="26"/>
      <w:lang w:eastAsia="en-US"/>
    </w:rPr>
  </w:style>
  <w:style w:type="character" w:customStyle="1" w:styleId="Heading6Char">
    <w:name w:val="Heading 6 Char"/>
    <w:basedOn w:val="DefaultParagraphFont"/>
    <w:link w:val="Heading6"/>
    <w:uiPriority w:val="9"/>
    <w:rsid w:val="00677986"/>
    <w:rPr>
      <w:rFonts w:ascii="Calibri" w:hAnsi="Calibri" w:cs="Arial"/>
      <w:b/>
      <w:bCs/>
      <w:i/>
      <w:snapToGrid w:val="0"/>
      <w:sz w:val="24"/>
      <w:szCs w:val="22"/>
      <w:lang w:eastAsia="en-US"/>
    </w:rPr>
  </w:style>
  <w:style w:type="paragraph" w:customStyle="1" w:styleId="CoverSubtitle">
    <w:name w:val="Cover Subtitle"/>
    <w:basedOn w:val="Normal"/>
    <w:next w:val="Normal"/>
    <w:uiPriority w:val="21"/>
    <w:rsid w:val="00677986"/>
    <w:pPr>
      <w:widowControl/>
      <w:spacing w:before="3000"/>
      <w:jc w:val="center"/>
    </w:pPr>
    <w:rPr>
      <w:rFonts w:asciiTheme="majorHAnsi" w:eastAsiaTheme="minorHAnsi" w:hAnsiTheme="majorHAnsi" w:cstheme="minorBidi"/>
      <w:snapToGrid/>
      <w:sz w:val="36"/>
      <w:szCs w:val="20"/>
    </w:rPr>
  </w:style>
  <w:style w:type="paragraph" w:customStyle="1" w:styleId="SubHeading">
    <w:name w:val="Sub Heading"/>
    <w:basedOn w:val="Normal"/>
    <w:next w:val="Normal"/>
    <w:uiPriority w:val="9"/>
    <w:rsid w:val="00677986"/>
    <w:pPr>
      <w:widowControl/>
      <w:spacing w:before="360" w:line="360" w:lineRule="auto"/>
      <w:jc w:val="left"/>
    </w:pPr>
    <w:rPr>
      <w:rFonts w:ascii="Arial" w:eastAsiaTheme="minorHAnsi" w:hAnsi="Arial" w:cstheme="minorBidi"/>
      <w:b/>
      <w:snapToGrid/>
      <w:sz w:val="20"/>
      <w:szCs w:val="20"/>
    </w:rPr>
  </w:style>
  <w:style w:type="paragraph" w:customStyle="1" w:styleId="CoverIntroductionText">
    <w:name w:val="Cover Introduction Text"/>
    <w:basedOn w:val="Normal"/>
    <w:uiPriority w:val="21"/>
    <w:rsid w:val="00677986"/>
    <w:pPr>
      <w:widowControl/>
      <w:spacing w:after="240" w:line="360" w:lineRule="auto"/>
      <w:jc w:val="center"/>
    </w:pPr>
    <w:rPr>
      <w:rFonts w:ascii="Arial" w:eastAsiaTheme="minorHAnsi" w:hAnsi="Arial" w:cstheme="minorBidi"/>
      <w:b/>
      <w:snapToGrid/>
      <w:spacing w:val="-2"/>
      <w:szCs w:val="20"/>
    </w:rPr>
  </w:style>
  <w:style w:type="paragraph" w:styleId="ListNumber">
    <w:name w:val="List Number"/>
    <w:basedOn w:val="Normal"/>
    <w:uiPriority w:val="16"/>
    <w:rsid w:val="00677986"/>
    <w:pPr>
      <w:widowControl/>
      <w:numPr>
        <w:ilvl w:val="1"/>
      </w:numPr>
      <w:spacing w:after="240" w:line="360" w:lineRule="auto"/>
      <w:jc w:val="left"/>
    </w:pPr>
    <w:rPr>
      <w:rFonts w:ascii="Arial" w:eastAsiaTheme="minorHAnsi" w:hAnsi="Arial" w:cstheme="minorBidi"/>
      <w:snapToGrid/>
      <w:sz w:val="20"/>
      <w:szCs w:val="20"/>
    </w:rPr>
  </w:style>
  <w:style w:type="paragraph" w:styleId="ListNumber2">
    <w:name w:val="List Number 2"/>
    <w:basedOn w:val="Normal"/>
    <w:uiPriority w:val="16"/>
    <w:rsid w:val="00677986"/>
    <w:pPr>
      <w:widowControl/>
      <w:numPr>
        <w:ilvl w:val="2"/>
      </w:numPr>
      <w:spacing w:after="240" w:line="360" w:lineRule="auto"/>
      <w:jc w:val="left"/>
    </w:pPr>
    <w:rPr>
      <w:rFonts w:ascii="Arial" w:eastAsiaTheme="minorHAnsi" w:hAnsi="Arial" w:cstheme="minorBidi"/>
      <w:snapToGrid/>
      <w:sz w:val="20"/>
      <w:szCs w:val="20"/>
    </w:rPr>
  </w:style>
  <w:style w:type="numbering" w:customStyle="1" w:styleId="Lists">
    <w:name w:val="Lists"/>
    <w:uiPriority w:val="99"/>
    <w:rsid w:val="00677986"/>
    <w:pPr>
      <w:numPr>
        <w:numId w:val="5"/>
      </w:numPr>
    </w:pPr>
  </w:style>
  <w:style w:type="paragraph" w:styleId="ListNumber3">
    <w:name w:val="List Number 3"/>
    <w:basedOn w:val="Normal"/>
    <w:uiPriority w:val="16"/>
    <w:rsid w:val="00677986"/>
    <w:pPr>
      <w:widowControl/>
      <w:numPr>
        <w:ilvl w:val="3"/>
      </w:numPr>
      <w:spacing w:after="240" w:line="360" w:lineRule="auto"/>
      <w:jc w:val="left"/>
    </w:pPr>
    <w:rPr>
      <w:rFonts w:ascii="Arial" w:eastAsiaTheme="minorHAnsi" w:hAnsi="Arial" w:cstheme="minorBidi"/>
      <w:snapToGrid/>
      <w:sz w:val="20"/>
      <w:szCs w:val="20"/>
    </w:rPr>
  </w:style>
  <w:style w:type="numbering" w:customStyle="1" w:styleId="MultiLevelheadinglist">
    <w:name w:val="Multi Level heading list"/>
    <w:uiPriority w:val="99"/>
    <w:locked/>
    <w:rsid w:val="00677986"/>
    <w:pPr>
      <w:numPr>
        <w:numId w:val="11"/>
      </w:numPr>
    </w:pPr>
  </w:style>
  <w:style w:type="character" w:styleId="PlaceholderText">
    <w:name w:val="Placeholder Text"/>
    <w:basedOn w:val="DefaultParagraphFont"/>
    <w:uiPriority w:val="99"/>
    <w:unhideWhenUsed/>
    <w:rsid w:val="00677986"/>
    <w:rPr>
      <w:b/>
      <w:noProof w:val="0"/>
      <w:color w:val="7F7F7F" w:themeColor="text1" w:themeTint="80"/>
      <w:sz w:val="22"/>
      <w:lang w:val="en-AU"/>
    </w:rPr>
  </w:style>
  <w:style w:type="paragraph" w:styleId="ListNumber4">
    <w:name w:val="List Number 4"/>
    <w:basedOn w:val="Normal"/>
    <w:uiPriority w:val="16"/>
    <w:rsid w:val="00677986"/>
    <w:pPr>
      <w:widowControl/>
      <w:numPr>
        <w:ilvl w:val="4"/>
      </w:numPr>
      <w:spacing w:after="240" w:line="360" w:lineRule="auto"/>
      <w:contextualSpacing/>
      <w:jc w:val="left"/>
    </w:pPr>
    <w:rPr>
      <w:rFonts w:ascii="Arial" w:eastAsiaTheme="minorHAnsi" w:hAnsi="Arial" w:cstheme="minorBidi"/>
      <w:snapToGrid/>
      <w:sz w:val="20"/>
      <w:szCs w:val="20"/>
    </w:rPr>
  </w:style>
  <w:style w:type="paragraph" w:styleId="Bibliography">
    <w:name w:val="Bibliography"/>
    <w:basedOn w:val="Normal"/>
    <w:next w:val="Normal"/>
    <w:uiPriority w:val="37"/>
    <w:semiHidden/>
    <w:unhideWhenUsed/>
    <w:rsid w:val="00677986"/>
    <w:pPr>
      <w:widowControl/>
      <w:spacing w:after="240" w:line="360" w:lineRule="auto"/>
      <w:jc w:val="left"/>
    </w:pPr>
    <w:rPr>
      <w:rFonts w:ascii="Arial" w:eastAsiaTheme="minorHAnsi" w:hAnsi="Arial" w:cstheme="minorBidi"/>
      <w:snapToGrid/>
      <w:sz w:val="20"/>
      <w:szCs w:val="20"/>
    </w:rPr>
  </w:style>
  <w:style w:type="paragraph" w:styleId="BlockText">
    <w:name w:val="Block Text"/>
    <w:basedOn w:val="Normal"/>
    <w:uiPriority w:val="99"/>
    <w:semiHidden/>
    <w:unhideWhenUsed/>
    <w:rsid w:val="00677986"/>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40" w:line="360" w:lineRule="auto"/>
      <w:ind w:left="1152" w:right="1152"/>
      <w:jc w:val="left"/>
    </w:pPr>
    <w:rPr>
      <w:rFonts w:asciiTheme="minorHAnsi" w:eastAsiaTheme="minorEastAsia" w:hAnsiTheme="minorHAnsi" w:cstheme="minorBidi"/>
      <w:i/>
      <w:iCs/>
      <w:snapToGrid/>
      <w:color w:val="4F81BD" w:themeColor="accent1"/>
      <w:sz w:val="20"/>
      <w:szCs w:val="20"/>
    </w:rPr>
  </w:style>
  <w:style w:type="paragraph" w:styleId="BodyText2">
    <w:name w:val="Body Text 2"/>
    <w:basedOn w:val="Normal"/>
    <w:link w:val="BodyText2Char"/>
    <w:uiPriority w:val="99"/>
    <w:semiHidden/>
    <w:unhideWhenUsed/>
    <w:rsid w:val="00677986"/>
    <w:pPr>
      <w:widowControl/>
      <w:spacing w:after="240" w:line="480" w:lineRule="auto"/>
      <w:jc w:val="left"/>
    </w:pPr>
    <w:rPr>
      <w:rFonts w:ascii="Arial" w:eastAsiaTheme="minorHAnsi" w:hAnsi="Arial" w:cstheme="minorBidi"/>
      <w:snapToGrid/>
      <w:sz w:val="20"/>
      <w:szCs w:val="20"/>
    </w:rPr>
  </w:style>
  <w:style w:type="character" w:customStyle="1" w:styleId="BodyText2Char">
    <w:name w:val="Body Text 2 Char"/>
    <w:basedOn w:val="DefaultParagraphFont"/>
    <w:link w:val="BodyText2"/>
    <w:uiPriority w:val="99"/>
    <w:semiHidden/>
    <w:rsid w:val="00677986"/>
    <w:rPr>
      <w:rFonts w:ascii="Arial" w:eastAsiaTheme="minorHAnsi" w:hAnsi="Arial" w:cstheme="minorBidi"/>
      <w:lang w:eastAsia="en-US"/>
    </w:rPr>
  </w:style>
  <w:style w:type="paragraph" w:styleId="BodyText3">
    <w:name w:val="Body Text 3"/>
    <w:basedOn w:val="Normal"/>
    <w:link w:val="BodyText3Char"/>
    <w:uiPriority w:val="99"/>
    <w:semiHidden/>
    <w:unhideWhenUsed/>
    <w:rsid w:val="00677986"/>
    <w:pPr>
      <w:widowControl/>
      <w:spacing w:after="240" w:line="360" w:lineRule="auto"/>
      <w:jc w:val="left"/>
    </w:pPr>
    <w:rPr>
      <w:rFonts w:ascii="Arial" w:eastAsiaTheme="minorHAnsi" w:hAnsi="Arial" w:cstheme="minorBidi"/>
      <w:snapToGrid/>
      <w:sz w:val="16"/>
      <w:szCs w:val="16"/>
    </w:rPr>
  </w:style>
  <w:style w:type="character" w:customStyle="1" w:styleId="BodyText3Char">
    <w:name w:val="Body Text 3 Char"/>
    <w:basedOn w:val="DefaultParagraphFont"/>
    <w:link w:val="BodyText3"/>
    <w:uiPriority w:val="99"/>
    <w:semiHidden/>
    <w:rsid w:val="00677986"/>
    <w:rPr>
      <w:rFonts w:ascii="Arial" w:eastAsiaTheme="minorHAnsi" w:hAnsi="Arial" w:cstheme="minorBidi"/>
      <w:sz w:val="16"/>
      <w:szCs w:val="16"/>
      <w:lang w:eastAsia="en-US"/>
    </w:rPr>
  </w:style>
  <w:style w:type="paragraph" w:styleId="BodyTextFirstIndent">
    <w:name w:val="Body Text First Indent"/>
    <w:basedOn w:val="BodyText"/>
    <w:link w:val="BodyTextFirstIndentChar"/>
    <w:uiPriority w:val="99"/>
    <w:unhideWhenUsed/>
    <w:rsid w:val="00677986"/>
    <w:pPr>
      <w:widowControl/>
      <w:spacing w:after="170" w:line="360" w:lineRule="auto"/>
      <w:ind w:firstLine="360"/>
    </w:pPr>
    <w:rPr>
      <w:rFonts w:ascii="Arial" w:eastAsiaTheme="minorHAnsi" w:hAnsi="Arial" w:cstheme="minorBidi"/>
      <w:snapToGrid/>
      <w:sz w:val="20"/>
      <w:szCs w:val="20"/>
    </w:rPr>
  </w:style>
  <w:style w:type="character" w:customStyle="1" w:styleId="BodyTextFirstIndentChar">
    <w:name w:val="Body Text First Indent Char"/>
    <w:basedOn w:val="BodyTextChar"/>
    <w:link w:val="BodyTextFirstIndent"/>
    <w:uiPriority w:val="99"/>
    <w:rsid w:val="00677986"/>
    <w:rPr>
      <w:rFonts w:ascii="Arial" w:eastAsiaTheme="minorHAnsi" w:hAnsi="Arial" w:cstheme="minorBidi"/>
      <w:snapToGrid/>
      <w:sz w:val="22"/>
      <w:lang w:eastAsia="en-US"/>
    </w:rPr>
  </w:style>
  <w:style w:type="paragraph" w:styleId="BodyTextFirstIndent2">
    <w:name w:val="Body Text First Indent 2"/>
    <w:basedOn w:val="BodyTextIndent"/>
    <w:link w:val="BodyTextFirstIndent2Char"/>
    <w:uiPriority w:val="99"/>
    <w:semiHidden/>
    <w:unhideWhenUsed/>
    <w:rsid w:val="00677986"/>
    <w:pPr>
      <w:widowControl/>
      <w:spacing w:after="170" w:line="360" w:lineRule="auto"/>
      <w:ind w:left="360" w:firstLine="360"/>
      <w:jc w:val="left"/>
    </w:pPr>
    <w:rPr>
      <w:rFonts w:ascii="Arial" w:eastAsiaTheme="minorHAnsi" w:hAnsi="Arial" w:cstheme="minorBidi"/>
      <w:snapToGrid/>
      <w:sz w:val="20"/>
      <w:szCs w:val="20"/>
    </w:rPr>
  </w:style>
  <w:style w:type="character" w:customStyle="1" w:styleId="BodyTextFirstIndent2Char">
    <w:name w:val="Body Text First Indent 2 Char"/>
    <w:basedOn w:val="BodyTextIndentChar"/>
    <w:link w:val="BodyTextFirstIndent2"/>
    <w:uiPriority w:val="99"/>
    <w:semiHidden/>
    <w:rsid w:val="00677986"/>
    <w:rPr>
      <w:rFonts w:ascii="Arial" w:eastAsiaTheme="minorHAnsi" w:hAnsi="Arial" w:cstheme="minorBidi"/>
      <w:snapToGrid/>
      <w:sz w:val="22"/>
      <w:lang w:eastAsia="en-US"/>
    </w:rPr>
  </w:style>
  <w:style w:type="paragraph" w:styleId="BodyTextIndent2">
    <w:name w:val="Body Text Indent 2"/>
    <w:basedOn w:val="Normal"/>
    <w:link w:val="BodyTextIndent2Char"/>
    <w:uiPriority w:val="99"/>
    <w:semiHidden/>
    <w:unhideWhenUsed/>
    <w:rsid w:val="00677986"/>
    <w:pPr>
      <w:widowControl/>
      <w:spacing w:after="240" w:line="480" w:lineRule="auto"/>
      <w:ind w:left="283"/>
      <w:jc w:val="left"/>
    </w:pPr>
    <w:rPr>
      <w:rFonts w:ascii="Arial" w:eastAsiaTheme="minorHAnsi" w:hAnsi="Arial" w:cstheme="minorBidi"/>
      <w:snapToGrid/>
      <w:sz w:val="20"/>
      <w:szCs w:val="20"/>
    </w:rPr>
  </w:style>
  <w:style w:type="character" w:customStyle="1" w:styleId="BodyTextIndent2Char">
    <w:name w:val="Body Text Indent 2 Char"/>
    <w:basedOn w:val="DefaultParagraphFont"/>
    <w:link w:val="BodyTextIndent2"/>
    <w:uiPriority w:val="99"/>
    <w:semiHidden/>
    <w:rsid w:val="00677986"/>
    <w:rPr>
      <w:rFonts w:ascii="Arial" w:eastAsiaTheme="minorHAnsi" w:hAnsi="Arial" w:cstheme="minorBidi"/>
      <w:lang w:eastAsia="en-US"/>
    </w:rPr>
  </w:style>
  <w:style w:type="paragraph" w:styleId="BodyTextIndent3">
    <w:name w:val="Body Text Indent 3"/>
    <w:basedOn w:val="Normal"/>
    <w:link w:val="BodyTextIndent3Char"/>
    <w:uiPriority w:val="99"/>
    <w:semiHidden/>
    <w:unhideWhenUsed/>
    <w:rsid w:val="00677986"/>
    <w:pPr>
      <w:widowControl/>
      <w:spacing w:after="240" w:line="360" w:lineRule="auto"/>
      <w:ind w:left="283"/>
      <w:jc w:val="left"/>
    </w:pPr>
    <w:rPr>
      <w:rFonts w:ascii="Arial" w:eastAsiaTheme="minorHAnsi" w:hAnsi="Arial" w:cstheme="minorBidi"/>
      <w:snapToGrid/>
      <w:sz w:val="16"/>
      <w:szCs w:val="16"/>
    </w:rPr>
  </w:style>
  <w:style w:type="character" w:customStyle="1" w:styleId="BodyTextIndent3Char">
    <w:name w:val="Body Text Indent 3 Char"/>
    <w:basedOn w:val="DefaultParagraphFont"/>
    <w:link w:val="BodyTextIndent3"/>
    <w:uiPriority w:val="99"/>
    <w:semiHidden/>
    <w:rsid w:val="00677986"/>
    <w:rPr>
      <w:rFonts w:ascii="Arial" w:eastAsiaTheme="minorHAnsi" w:hAnsi="Arial" w:cstheme="minorBidi"/>
      <w:sz w:val="16"/>
      <w:szCs w:val="16"/>
      <w:lang w:eastAsia="en-US"/>
    </w:rPr>
  </w:style>
  <w:style w:type="character" w:styleId="BookTitle">
    <w:name w:val="Book Title"/>
    <w:basedOn w:val="DefaultParagraphFont"/>
    <w:uiPriority w:val="33"/>
    <w:rsid w:val="00677986"/>
    <w:rPr>
      <w:b/>
      <w:bCs/>
      <w:smallCaps/>
      <w:noProof w:val="0"/>
      <w:spacing w:val="5"/>
      <w:lang w:val="en-AU"/>
    </w:rPr>
  </w:style>
  <w:style w:type="paragraph" w:styleId="Closing">
    <w:name w:val="Closing"/>
    <w:basedOn w:val="Normal"/>
    <w:link w:val="ClosingChar"/>
    <w:uiPriority w:val="99"/>
    <w:semiHidden/>
    <w:unhideWhenUsed/>
    <w:rsid w:val="00677986"/>
    <w:pPr>
      <w:widowControl/>
      <w:ind w:left="4252"/>
      <w:jc w:val="left"/>
    </w:pPr>
    <w:rPr>
      <w:rFonts w:ascii="Arial" w:eastAsiaTheme="minorHAnsi" w:hAnsi="Arial" w:cstheme="minorBidi"/>
      <w:snapToGrid/>
      <w:sz w:val="20"/>
      <w:szCs w:val="20"/>
    </w:rPr>
  </w:style>
  <w:style w:type="character" w:customStyle="1" w:styleId="ClosingChar">
    <w:name w:val="Closing Char"/>
    <w:basedOn w:val="DefaultParagraphFont"/>
    <w:link w:val="Closing"/>
    <w:uiPriority w:val="99"/>
    <w:semiHidden/>
    <w:rsid w:val="00677986"/>
    <w:rPr>
      <w:rFonts w:ascii="Arial" w:eastAsiaTheme="minorHAnsi" w:hAnsi="Arial" w:cstheme="minorBidi"/>
      <w:lang w:eastAsia="en-US"/>
    </w:rPr>
  </w:style>
  <w:style w:type="table" w:styleId="ColorfulGrid">
    <w:name w:val="Colorful Grid"/>
    <w:basedOn w:val="TableNormal"/>
    <w:uiPriority w:val="73"/>
    <w:rsid w:val="00677986"/>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77986"/>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77986"/>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77986"/>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77986"/>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77986"/>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77986"/>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77986"/>
    <w:rPr>
      <w:rFonts w:ascii="Arial" w:eastAsiaTheme="minorHAnsi" w:hAnsi="Arial" w:cstheme="minorBidi"/>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77986"/>
    <w:rPr>
      <w:rFonts w:ascii="Arial" w:eastAsiaTheme="minorHAnsi" w:hAnsi="Arial" w:cstheme="minorBidi"/>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77986"/>
    <w:rPr>
      <w:rFonts w:ascii="Arial" w:eastAsiaTheme="minorHAnsi" w:hAnsi="Arial" w:cstheme="minorBidi"/>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77986"/>
    <w:rPr>
      <w:rFonts w:ascii="Arial" w:eastAsiaTheme="minorHAnsi" w:hAnsi="Arial" w:cstheme="minorBidi"/>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77986"/>
    <w:rPr>
      <w:rFonts w:ascii="Arial" w:eastAsiaTheme="minorHAnsi" w:hAnsi="Arial" w:cstheme="minorBidi"/>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77986"/>
    <w:rPr>
      <w:rFonts w:ascii="Arial" w:eastAsiaTheme="minorHAnsi" w:hAnsi="Arial" w:cstheme="minorBidi"/>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77986"/>
    <w:rPr>
      <w:rFonts w:ascii="Arial" w:eastAsiaTheme="minorHAnsi" w:hAnsi="Arial" w:cstheme="minorBidi"/>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77986"/>
    <w:rPr>
      <w:rFonts w:ascii="Arial" w:eastAsiaTheme="minorHAnsi" w:hAnsi="Arial"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77986"/>
    <w:rPr>
      <w:rFonts w:ascii="Arial" w:eastAsiaTheme="minorHAnsi" w:hAnsi="Arial" w:cstheme="minorBidi"/>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77986"/>
    <w:rPr>
      <w:rFonts w:ascii="Arial" w:eastAsiaTheme="minorHAnsi" w:hAnsi="Arial" w:cstheme="minorBidi"/>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77986"/>
    <w:rPr>
      <w:rFonts w:ascii="Arial" w:eastAsiaTheme="minorHAnsi" w:hAnsi="Arial" w:cstheme="minorBidi"/>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77986"/>
    <w:rPr>
      <w:rFonts w:ascii="Arial" w:eastAsiaTheme="minorHAnsi" w:hAnsi="Arial" w:cstheme="minorBidi"/>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77986"/>
    <w:rPr>
      <w:rFonts w:ascii="Arial" w:eastAsiaTheme="minorHAnsi" w:hAnsi="Arial" w:cstheme="minorBidi"/>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77986"/>
    <w:rPr>
      <w:rFonts w:ascii="Arial" w:eastAsiaTheme="minorHAnsi" w:hAnsi="Arial" w:cstheme="minorBidi"/>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677986"/>
    <w:rPr>
      <w:rFonts w:ascii="Arial" w:eastAsiaTheme="minorHAnsi" w:hAnsi="Arial"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77986"/>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77986"/>
    <w:rPr>
      <w:rFonts w:ascii="Arial" w:eastAsiaTheme="minorHAnsi" w:hAnsi="Arial"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77986"/>
    <w:rPr>
      <w:rFonts w:ascii="Arial" w:eastAsiaTheme="minorHAnsi" w:hAnsi="Arial"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77986"/>
    <w:rPr>
      <w:rFonts w:ascii="Arial" w:eastAsiaTheme="minorHAnsi" w:hAnsi="Arial"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77986"/>
    <w:rPr>
      <w:rFonts w:ascii="Arial" w:eastAsiaTheme="minorHAnsi" w:hAnsi="Arial"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77986"/>
    <w:rPr>
      <w:rFonts w:ascii="Arial" w:eastAsiaTheme="minorHAnsi" w:hAnsi="Arial"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677986"/>
    <w:pPr>
      <w:widowControl/>
      <w:spacing w:after="240" w:line="360" w:lineRule="auto"/>
      <w:jc w:val="left"/>
    </w:pPr>
    <w:rPr>
      <w:rFonts w:ascii="Arial" w:eastAsiaTheme="minorHAnsi" w:hAnsi="Arial" w:cstheme="minorBidi"/>
      <w:snapToGrid/>
      <w:sz w:val="20"/>
      <w:szCs w:val="20"/>
    </w:rPr>
  </w:style>
  <w:style w:type="character" w:customStyle="1" w:styleId="DateChar">
    <w:name w:val="Date Char"/>
    <w:basedOn w:val="DefaultParagraphFont"/>
    <w:link w:val="Date"/>
    <w:uiPriority w:val="99"/>
    <w:rsid w:val="00677986"/>
    <w:rPr>
      <w:rFonts w:ascii="Arial" w:eastAsiaTheme="minorHAnsi" w:hAnsi="Arial" w:cstheme="minorBidi"/>
      <w:lang w:eastAsia="en-US"/>
    </w:rPr>
  </w:style>
  <w:style w:type="paragraph" w:styleId="DocumentMap">
    <w:name w:val="Document Map"/>
    <w:basedOn w:val="Normal"/>
    <w:link w:val="DocumentMapChar"/>
    <w:uiPriority w:val="99"/>
    <w:semiHidden/>
    <w:unhideWhenUsed/>
    <w:rsid w:val="00677986"/>
    <w:pPr>
      <w:widowControl/>
      <w:jc w:val="left"/>
    </w:pPr>
    <w:rPr>
      <w:rFonts w:ascii="Tahoma" w:eastAsiaTheme="minorHAnsi" w:hAnsi="Tahoma" w:cs="Tahoma"/>
      <w:snapToGrid/>
      <w:sz w:val="16"/>
      <w:szCs w:val="16"/>
    </w:rPr>
  </w:style>
  <w:style w:type="character" w:customStyle="1" w:styleId="DocumentMapChar">
    <w:name w:val="Document Map Char"/>
    <w:basedOn w:val="DefaultParagraphFont"/>
    <w:link w:val="DocumentMap"/>
    <w:uiPriority w:val="99"/>
    <w:semiHidden/>
    <w:rsid w:val="00677986"/>
    <w:rPr>
      <w:rFonts w:ascii="Tahoma" w:eastAsiaTheme="minorHAnsi" w:hAnsi="Tahoma" w:cs="Tahoma"/>
      <w:sz w:val="16"/>
      <w:szCs w:val="16"/>
      <w:lang w:eastAsia="en-US"/>
    </w:rPr>
  </w:style>
  <w:style w:type="paragraph" w:styleId="E-mailSignature">
    <w:name w:val="E-mail Signature"/>
    <w:basedOn w:val="Normal"/>
    <w:link w:val="E-mailSignatureChar"/>
    <w:uiPriority w:val="99"/>
    <w:semiHidden/>
    <w:unhideWhenUsed/>
    <w:rsid w:val="00677986"/>
    <w:pPr>
      <w:widowControl/>
      <w:jc w:val="left"/>
    </w:pPr>
    <w:rPr>
      <w:rFonts w:ascii="Arial" w:eastAsiaTheme="minorHAnsi" w:hAnsi="Arial" w:cstheme="minorBidi"/>
      <w:snapToGrid/>
      <w:sz w:val="20"/>
      <w:szCs w:val="20"/>
    </w:rPr>
  </w:style>
  <w:style w:type="character" w:customStyle="1" w:styleId="E-mailSignatureChar">
    <w:name w:val="E-mail Signature Char"/>
    <w:basedOn w:val="DefaultParagraphFont"/>
    <w:link w:val="E-mailSignature"/>
    <w:uiPriority w:val="99"/>
    <w:semiHidden/>
    <w:rsid w:val="00677986"/>
    <w:rPr>
      <w:rFonts w:ascii="Arial" w:eastAsiaTheme="minorHAnsi" w:hAnsi="Arial" w:cstheme="minorBidi"/>
      <w:lang w:eastAsia="en-US"/>
    </w:rPr>
  </w:style>
  <w:style w:type="character" w:styleId="Emphasis">
    <w:name w:val="Emphasis"/>
    <w:basedOn w:val="DefaultParagraphFont"/>
    <w:uiPriority w:val="20"/>
    <w:rsid w:val="00677986"/>
    <w:rPr>
      <w:i/>
      <w:iCs/>
      <w:noProof w:val="0"/>
      <w:lang w:val="en-AU"/>
    </w:rPr>
  </w:style>
  <w:style w:type="character" w:styleId="EndnoteReference">
    <w:name w:val="endnote reference"/>
    <w:basedOn w:val="DefaultParagraphFont"/>
    <w:uiPriority w:val="99"/>
    <w:rsid w:val="00677986"/>
    <w:rPr>
      <w:noProof w:val="0"/>
      <w:vertAlign w:val="superscript"/>
      <w:lang w:val="en-AU"/>
    </w:rPr>
  </w:style>
  <w:style w:type="paragraph" w:styleId="EndnoteText">
    <w:name w:val="endnote text"/>
    <w:basedOn w:val="Normal"/>
    <w:link w:val="EndnoteTextChar"/>
    <w:uiPriority w:val="99"/>
    <w:rsid w:val="00677986"/>
    <w:pPr>
      <w:widowControl/>
      <w:spacing w:after="120"/>
      <w:jc w:val="left"/>
    </w:pPr>
    <w:rPr>
      <w:rFonts w:ascii="Arial" w:eastAsiaTheme="minorHAnsi" w:hAnsi="Arial" w:cstheme="minorBidi"/>
      <w:snapToGrid/>
      <w:sz w:val="18"/>
      <w:szCs w:val="20"/>
    </w:rPr>
  </w:style>
  <w:style w:type="character" w:customStyle="1" w:styleId="EndnoteTextChar">
    <w:name w:val="Endnote Text Char"/>
    <w:basedOn w:val="DefaultParagraphFont"/>
    <w:link w:val="EndnoteText"/>
    <w:uiPriority w:val="99"/>
    <w:rsid w:val="00677986"/>
    <w:rPr>
      <w:rFonts w:ascii="Arial" w:eastAsiaTheme="minorHAnsi" w:hAnsi="Arial" w:cstheme="minorBidi"/>
      <w:sz w:val="18"/>
      <w:lang w:eastAsia="en-US"/>
    </w:rPr>
  </w:style>
  <w:style w:type="paragraph" w:styleId="EnvelopeAddress">
    <w:name w:val="envelope address"/>
    <w:basedOn w:val="Normal"/>
    <w:uiPriority w:val="99"/>
    <w:semiHidden/>
    <w:unhideWhenUsed/>
    <w:rsid w:val="00677986"/>
    <w:pPr>
      <w:framePr w:w="7920" w:h="1980" w:hRule="exact" w:hSpace="180" w:wrap="auto" w:hAnchor="page" w:xAlign="center" w:yAlign="bottom"/>
      <w:widowControl/>
      <w:ind w:left="2880"/>
      <w:jc w:val="left"/>
    </w:pPr>
    <w:rPr>
      <w:rFonts w:asciiTheme="majorHAnsi" w:eastAsiaTheme="majorEastAsia" w:hAnsiTheme="majorHAnsi" w:cstheme="majorBidi"/>
      <w:snapToGrid/>
      <w:sz w:val="20"/>
      <w:szCs w:val="20"/>
    </w:rPr>
  </w:style>
  <w:style w:type="paragraph" w:styleId="EnvelopeReturn">
    <w:name w:val="envelope return"/>
    <w:basedOn w:val="Normal"/>
    <w:uiPriority w:val="99"/>
    <w:semiHidden/>
    <w:unhideWhenUsed/>
    <w:rsid w:val="00677986"/>
    <w:pPr>
      <w:widowControl/>
      <w:jc w:val="left"/>
    </w:pPr>
    <w:rPr>
      <w:rFonts w:asciiTheme="majorHAnsi" w:eastAsiaTheme="majorEastAsia" w:hAnsiTheme="majorHAnsi" w:cstheme="majorBidi"/>
      <w:snapToGrid/>
      <w:sz w:val="20"/>
      <w:szCs w:val="20"/>
    </w:rPr>
  </w:style>
  <w:style w:type="character" w:styleId="HTMLAcronym">
    <w:name w:val="HTML Acronym"/>
    <w:basedOn w:val="DefaultParagraphFont"/>
    <w:uiPriority w:val="99"/>
    <w:semiHidden/>
    <w:unhideWhenUsed/>
    <w:rsid w:val="00677986"/>
    <w:rPr>
      <w:noProof w:val="0"/>
      <w:lang w:val="en-AU"/>
    </w:rPr>
  </w:style>
  <w:style w:type="paragraph" w:styleId="HTMLAddress">
    <w:name w:val="HTML Address"/>
    <w:basedOn w:val="Normal"/>
    <w:link w:val="HTMLAddressChar"/>
    <w:uiPriority w:val="99"/>
    <w:semiHidden/>
    <w:unhideWhenUsed/>
    <w:rsid w:val="00677986"/>
    <w:pPr>
      <w:widowControl/>
      <w:jc w:val="left"/>
    </w:pPr>
    <w:rPr>
      <w:rFonts w:ascii="Arial" w:eastAsiaTheme="minorHAnsi" w:hAnsi="Arial" w:cstheme="minorBidi"/>
      <w:i/>
      <w:iCs/>
      <w:snapToGrid/>
      <w:sz w:val="20"/>
      <w:szCs w:val="20"/>
    </w:rPr>
  </w:style>
  <w:style w:type="character" w:customStyle="1" w:styleId="HTMLAddressChar">
    <w:name w:val="HTML Address Char"/>
    <w:basedOn w:val="DefaultParagraphFont"/>
    <w:link w:val="HTMLAddress"/>
    <w:uiPriority w:val="99"/>
    <w:semiHidden/>
    <w:rsid w:val="00677986"/>
    <w:rPr>
      <w:rFonts w:ascii="Arial" w:eastAsiaTheme="minorHAnsi" w:hAnsi="Arial" w:cstheme="minorBidi"/>
      <w:i/>
      <w:iCs/>
      <w:lang w:eastAsia="en-US"/>
    </w:rPr>
  </w:style>
  <w:style w:type="character" w:styleId="HTMLCite">
    <w:name w:val="HTML Cite"/>
    <w:basedOn w:val="DefaultParagraphFont"/>
    <w:uiPriority w:val="99"/>
    <w:semiHidden/>
    <w:unhideWhenUsed/>
    <w:rsid w:val="00677986"/>
    <w:rPr>
      <w:i/>
      <w:iCs/>
      <w:noProof w:val="0"/>
      <w:lang w:val="en-AU"/>
    </w:rPr>
  </w:style>
  <w:style w:type="character" w:styleId="HTMLCode">
    <w:name w:val="HTML Code"/>
    <w:basedOn w:val="DefaultParagraphFont"/>
    <w:uiPriority w:val="99"/>
    <w:semiHidden/>
    <w:unhideWhenUsed/>
    <w:rsid w:val="00677986"/>
    <w:rPr>
      <w:rFonts w:ascii="Consolas" w:hAnsi="Consolas"/>
      <w:noProof w:val="0"/>
      <w:sz w:val="20"/>
      <w:szCs w:val="20"/>
      <w:lang w:val="en-AU"/>
    </w:rPr>
  </w:style>
  <w:style w:type="character" w:styleId="HTMLDefinition">
    <w:name w:val="HTML Definition"/>
    <w:basedOn w:val="DefaultParagraphFont"/>
    <w:uiPriority w:val="99"/>
    <w:semiHidden/>
    <w:unhideWhenUsed/>
    <w:rsid w:val="00677986"/>
    <w:rPr>
      <w:i/>
      <w:iCs/>
      <w:noProof w:val="0"/>
      <w:lang w:val="en-AU"/>
    </w:rPr>
  </w:style>
  <w:style w:type="character" w:styleId="HTMLKeyboard">
    <w:name w:val="HTML Keyboard"/>
    <w:basedOn w:val="DefaultParagraphFont"/>
    <w:uiPriority w:val="99"/>
    <w:semiHidden/>
    <w:unhideWhenUsed/>
    <w:rsid w:val="00677986"/>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677986"/>
    <w:pPr>
      <w:widowControl/>
      <w:jc w:val="left"/>
    </w:pPr>
    <w:rPr>
      <w:rFonts w:ascii="Consolas" w:eastAsiaTheme="minorHAnsi" w:hAnsi="Consolas" w:cstheme="minorBidi"/>
      <w:snapToGrid/>
      <w:sz w:val="20"/>
      <w:szCs w:val="20"/>
    </w:rPr>
  </w:style>
  <w:style w:type="character" w:customStyle="1" w:styleId="HTMLPreformattedChar">
    <w:name w:val="HTML Preformatted Char"/>
    <w:basedOn w:val="DefaultParagraphFont"/>
    <w:link w:val="HTMLPreformatted"/>
    <w:uiPriority w:val="99"/>
    <w:semiHidden/>
    <w:rsid w:val="00677986"/>
    <w:rPr>
      <w:rFonts w:ascii="Consolas" w:eastAsiaTheme="minorHAnsi" w:hAnsi="Consolas" w:cstheme="minorBidi"/>
      <w:lang w:eastAsia="en-US"/>
    </w:rPr>
  </w:style>
  <w:style w:type="character" w:styleId="HTMLSample">
    <w:name w:val="HTML Sample"/>
    <w:basedOn w:val="DefaultParagraphFont"/>
    <w:uiPriority w:val="99"/>
    <w:semiHidden/>
    <w:unhideWhenUsed/>
    <w:rsid w:val="00677986"/>
    <w:rPr>
      <w:rFonts w:ascii="Consolas" w:hAnsi="Consolas"/>
      <w:noProof w:val="0"/>
      <w:sz w:val="24"/>
      <w:szCs w:val="24"/>
      <w:lang w:val="en-AU"/>
    </w:rPr>
  </w:style>
  <w:style w:type="character" w:styleId="HTMLTypewriter">
    <w:name w:val="HTML Typewriter"/>
    <w:basedOn w:val="DefaultParagraphFont"/>
    <w:uiPriority w:val="99"/>
    <w:semiHidden/>
    <w:unhideWhenUsed/>
    <w:rsid w:val="00677986"/>
    <w:rPr>
      <w:rFonts w:ascii="Consolas" w:hAnsi="Consolas"/>
      <w:noProof w:val="0"/>
      <w:sz w:val="20"/>
      <w:szCs w:val="20"/>
      <w:lang w:val="en-AU"/>
    </w:rPr>
  </w:style>
  <w:style w:type="character" w:styleId="HTMLVariable">
    <w:name w:val="HTML Variable"/>
    <w:basedOn w:val="DefaultParagraphFont"/>
    <w:uiPriority w:val="99"/>
    <w:semiHidden/>
    <w:unhideWhenUsed/>
    <w:rsid w:val="00677986"/>
    <w:rPr>
      <w:i/>
      <w:iCs/>
      <w:noProof w:val="0"/>
      <w:lang w:val="en-AU"/>
    </w:rPr>
  </w:style>
  <w:style w:type="paragraph" w:styleId="Index1">
    <w:name w:val="index 1"/>
    <w:basedOn w:val="Normal"/>
    <w:next w:val="Normal"/>
    <w:autoRedefine/>
    <w:uiPriority w:val="99"/>
    <w:semiHidden/>
    <w:unhideWhenUsed/>
    <w:rsid w:val="00677986"/>
    <w:pPr>
      <w:widowControl/>
      <w:ind w:left="190" w:hanging="190"/>
      <w:jc w:val="left"/>
    </w:pPr>
    <w:rPr>
      <w:rFonts w:ascii="Arial" w:eastAsiaTheme="minorHAnsi" w:hAnsi="Arial" w:cstheme="minorBidi"/>
      <w:snapToGrid/>
      <w:sz w:val="20"/>
      <w:szCs w:val="20"/>
    </w:rPr>
  </w:style>
  <w:style w:type="paragraph" w:styleId="Index2">
    <w:name w:val="index 2"/>
    <w:basedOn w:val="Normal"/>
    <w:next w:val="Normal"/>
    <w:autoRedefine/>
    <w:uiPriority w:val="99"/>
    <w:semiHidden/>
    <w:unhideWhenUsed/>
    <w:rsid w:val="00677986"/>
    <w:pPr>
      <w:widowControl/>
      <w:ind w:left="380" w:hanging="190"/>
      <w:jc w:val="left"/>
    </w:pPr>
    <w:rPr>
      <w:rFonts w:ascii="Arial" w:eastAsiaTheme="minorHAnsi" w:hAnsi="Arial" w:cstheme="minorBidi"/>
      <w:snapToGrid/>
      <w:sz w:val="20"/>
      <w:szCs w:val="20"/>
    </w:rPr>
  </w:style>
  <w:style w:type="paragraph" w:styleId="Index3">
    <w:name w:val="index 3"/>
    <w:basedOn w:val="Normal"/>
    <w:next w:val="Normal"/>
    <w:autoRedefine/>
    <w:uiPriority w:val="99"/>
    <w:semiHidden/>
    <w:unhideWhenUsed/>
    <w:rsid w:val="00677986"/>
    <w:pPr>
      <w:widowControl/>
      <w:ind w:left="570" w:hanging="190"/>
      <w:jc w:val="left"/>
    </w:pPr>
    <w:rPr>
      <w:rFonts w:ascii="Arial" w:eastAsiaTheme="minorHAnsi" w:hAnsi="Arial" w:cstheme="minorBidi"/>
      <w:snapToGrid/>
      <w:sz w:val="20"/>
      <w:szCs w:val="20"/>
    </w:rPr>
  </w:style>
  <w:style w:type="paragraph" w:styleId="Index4">
    <w:name w:val="index 4"/>
    <w:basedOn w:val="Normal"/>
    <w:next w:val="Normal"/>
    <w:autoRedefine/>
    <w:uiPriority w:val="99"/>
    <w:semiHidden/>
    <w:unhideWhenUsed/>
    <w:rsid w:val="00677986"/>
    <w:pPr>
      <w:widowControl/>
      <w:ind w:left="760" w:hanging="190"/>
      <w:jc w:val="left"/>
    </w:pPr>
    <w:rPr>
      <w:rFonts w:ascii="Arial" w:eastAsiaTheme="minorHAnsi" w:hAnsi="Arial" w:cstheme="minorBidi"/>
      <w:snapToGrid/>
      <w:sz w:val="20"/>
      <w:szCs w:val="20"/>
    </w:rPr>
  </w:style>
  <w:style w:type="paragraph" w:styleId="Index5">
    <w:name w:val="index 5"/>
    <w:basedOn w:val="Normal"/>
    <w:next w:val="Normal"/>
    <w:autoRedefine/>
    <w:uiPriority w:val="99"/>
    <w:semiHidden/>
    <w:unhideWhenUsed/>
    <w:rsid w:val="00677986"/>
    <w:pPr>
      <w:widowControl/>
      <w:ind w:left="950" w:hanging="190"/>
      <w:jc w:val="left"/>
    </w:pPr>
    <w:rPr>
      <w:rFonts w:ascii="Arial" w:eastAsiaTheme="minorHAnsi" w:hAnsi="Arial" w:cstheme="minorBidi"/>
      <w:snapToGrid/>
      <w:sz w:val="20"/>
      <w:szCs w:val="20"/>
    </w:rPr>
  </w:style>
  <w:style w:type="paragraph" w:styleId="Index6">
    <w:name w:val="index 6"/>
    <w:basedOn w:val="Normal"/>
    <w:next w:val="Normal"/>
    <w:autoRedefine/>
    <w:uiPriority w:val="99"/>
    <w:semiHidden/>
    <w:unhideWhenUsed/>
    <w:rsid w:val="00677986"/>
    <w:pPr>
      <w:widowControl/>
      <w:ind w:left="1140" w:hanging="190"/>
      <w:jc w:val="left"/>
    </w:pPr>
    <w:rPr>
      <w:rFonts w:ascii="Arial" w:eastAsiaTheme="minorHAnsi" w:hAnsi="Arial" w:cstheme="minorBidi"/>
      <w:snapToGrid/>
      <w:sz w:val="20"/>
      <w:szCs w:val="20"/>
    </w:rPr>
  </w:style>
  <w:style w:type="paragraph" w:styleId="Index7">
    <w:name w:val="index 7"/>
    <w:basedOn w:val="Normal"/>
    <w:next w:val="Normal"/>
    <w:autoRedefine/>
    <w:uiPriority w:val="99"/>
    <w:semiHidden/>
    <w:unhideWhenUsed/>
    <w:rsid w:val="00677986"/>
    <w:pPr>
      <w:widowControl/>
      <w:ind w:left="1330" w:hanging="190"/>
      <w:jc w:val="left"/>
    </w:pPr>
    <w:rPr>
      <w:rFonts w:ascii="Arial" w:eastAsiaTheme="minorHAnsi" w:hAnsi="Arial" w:cstheme="minorBidi"/>
      <w:snapToGrid/>
      <w:sz w:val="20"/>
      <w:szCs w:val="20"/>
    </w:rPr>
  </w:style>
  <w:style w:type="paragraph" w:styleId="Index8">
    <w:name w:val="index 8"/>
    <w:basedOn w:val="Normal"/>
    <w:next w:val="Normal"/>
    <w:autoRedefine/>
    <w:uiPriority w:val="99"/>
    <w:semiHidden/>
    <w:unhideWhenUsed/>
    <w:rsid w:val="00677986"/>
    <w:pPr>
      <w:widowControl/>
      <w:ind w:left="1520" w:hanging="190"/>
      <w:jc w:val="left"/>
    </w:pPr>
    <w:rPr>
      <w:rFonts w:ascii="Arial" w:eastAsiaTheme="minorHAnsi" w:hAnsi="Arial" w:cstheme="minorBidi"/>
      <w:snapToGrid/>
      <w:sz w:val="20"/>
      <w:szCs w:val="20"/>
    </w:rPr>
  </w:style>
  <w:style w:type="paragraph" w:styleId="Index9">
    <w:name w:val="index 9"/>
    <w:basedOn w:val="Normal"/>
    <w:next w:val="Normal"/>
    <w:autoRedefine/>
    <w:uiPriority w:val="99"/>
    <w:semiHidden/>
    <w:unhideWhenUsed/>
    <w:rsid w:val="00677986"/>
    <w:pPr>
      <w:widowControl/>
      <w:ind w:left="1710" w:hanging="190"/>
      <w:jc w:val="left"/>
    </w:pPr>
    <w:rPr>
      <w:rFonts w:ascii="Arial" w:eastAsiaTheme="minorHAnsi" w:hAnsi="Arial" w:cstheme="minorBidi"/>
      <w:snapToGrid/>
      <w:sz w:val="20"/>
      <w:szCs w:val="20"/>
    </w:rPr>
  </w:style>
  <w:style w:type="paragraph" w:styleId="IndexHeading">
    <w:name w:val="index heading"/>
    <w:basedOn w:val="Normal"/>
    <w:next w:val="Index1"/>
    <w:uiPriority w:val="99"/>
    <w:semiHidden/>
    <w:unhideWhenUsed/>
    <w:rsid w:val="00677986"/>
    <w:pPr>
      <w:widowControl/>
      <w:spacing w:after="240" w:line="360" w:lineRule="auto"/>
      <w:jc w:val="left"/>
    </w:pPr>
    <w:rPr>
      <w:rFonts w:asciiTheme="majorHAnsi" w:eastAsiaTheme="majorEastAsia" w:hAnsiTheme="majorHAnsi" w:cstheme="majorBidi"/>
      <w:b/>
      <w:bCs/>
      <w:snapToGrid/>
      <w:sz w:val="20"/>
      <w:szCs w:val="20"/>
    </w:rPr>
  </w:style>
  <w:style w:type="character" w:styleId="IntenseEmphasis">
    <w:name w:val="Intense Emphasis"/>
    <w:basedOn w:val="DefaultParagraphFont"/>
    <w:uiPriority w:val="21"/>
    <w:rsid w:val="00677986"/>
    <w:rPr>
      <w:b/>
      <w:bCs/>
      <w:i/>
      <w:iCs/>
      <w:noProof w:val="0"/>
      <w:color w:val="4F81BD" w:themeColor="accent1"/>
      <w:lang w:val="en-AU"/>
    </w:rPr>
  </w:style>
  <w:style w:type="paragraph" w:styleId="IntenseQuote">
    <w:name w:val="Intense Quote"/>
    <w:basedOn w:val="Normal"/>
    <w:next w:val="Normal"/>
    <w:link w:val="IntenseQuoteChar"/>
    <w:uiPriority w:val="30"/>
    <w:rsid w:val="00677986"/>
    <w:pPr>
      <w:widowControl/>
      <w:pBdr>
        <w:bottom w:val="single" w:sz="4" w:space="4" w:color="4F81BD" w:themeColor="accent1"/>
      </w:pBdr>
      <w:spacing w:before="200" w:after="280" w:line="360" w:lineRule="auto"/>
      <w:ind w:left="936" w:right="936"/>
      <w:jc w:val="left"/>
    </w:pPr>
    <w:rPr>
      <w:rFonts w:ascii="Arial" w:eastAsiaTheme="minorHAnsi" w:hAnsi="Arial" w:cstheme="minorBidi"/>
      <w:b/>
      <w:bCs/>
      <w:i/>
      <w:iCs/>
      <w:snapToGrid/>
      <w:color w:val="4F81BD" w:themeColor="accent1"/>
      <w:sz w:val="20"/>
      <w:szCs w:val="20"/>
    </w:rPr>
  </w:style>
  <w:style w:type="character" w:customStyle="1" w:styleId="IntenseQuoteChar">
    <w:name w:val="Intense Quote Char"/>
    <w:basedOn w:val="DefaultParagraphFont"/>
    <w:link w:val="IntenseQuote"/>
    <w:uiPriority w:val="30"/>
    <w:rsid w:val="00677986"/>
    <w:rPr>
      <w:rFonts w:ascii="Arial" w:eastAsiaTheme="minorHAnsi" w:hAnsi="Arial" w:cstheme="minorBidi"/>
      <w:b/>
      <w:bCs/>
      <w:i/>
      <w:iCs/>
      <w:color w:val="4F81BD" w:themeColor="accent1"/>
      <w:lang w:eastAsia="en-US"/>
    </w:rPr>
  </w:style>
  <w:style w:type="character" w:styleId="IntenseReference">
    <w:name w:val="Intense Reference"/>
    <w:basedOn w:val="DefaultParagraphFont"/>
    <w:uiPriority w:val="32"/>
    <w:rsid w:val="00677986"/>
    <w:rPr>
      <w:b/>
      <w:bCs/>
      <w:smallCaps/>
      <w:noProof w:val="0"/>
      <w:color w:val="C0504D" w:themeColor="accent2"/>
      <w:spacing w:val="5"/>
      <w:u w:val="single"/>
      <w:lang w:val="en-AU"/>
    </w:rPr>
  </w:style>
  <w:style w:type="table" w:styleId="LightGrid">
    <w:name w:val="Light Grid"/>
    <w:basedOn w:val="TableNormal"/>
    <w:uiPriority w:val="62"/>
    <w:rsid w:val="00677986"/>
    <w:rPr>
      <w:rFonts w:ascii="Arial" w:eastAsiaTheme="minorHAnsi" w:hAnsi="Arial"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77986"/>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77986"/>
    <w:rPr>
      <w:rFonts w:ascii="Arial" w:eastAsiaTheme="minorHAnsi" w:hAnsi="Arial"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77986"/>
    <w:rPr>
      <w:rFonts w:ascii="Arial" w:eastAsiaTheme="minorHAnsi" w:hAnsi="Arial"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77986"/>
    <w:rPr>
      <w:rFonts w:ascii="Arial" w:eastAsiaTheme="minorHAnsi" w:hAnsi="Arial"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77986"/>
    <w:rPr>
      <w:rFonts w:ascii="Arial" w:eastAsiaTheme="minorHAnsi" w:hAnsi="Arial"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77986"/>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77986"/>
    <w:rPr>
      <w:rFonts w:ascii="Arial" w:eastAsiaTheme="minorHAnsi" w:hAnsi="Arial"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77986"/>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77986"/>
    <w:rPr>
      <w:rFonts w:ascii="Arial" w:eastAsiaTheme="minorHAnsi" w:hAnsi="Arial"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77986"/>
    <w:rPr>
      <w:rFonts w:ascii="Arial" w:eastAsiaTheme="minorHAnsi" w:hAnsi="Arial"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77986"/>
    <w:rPr>
      <w:rFonts w:ascii="Arial" w:eastAsiaTheme="minorHAnsi" w:hAnsi="Arial"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77986"/>
    <w:rPr>
      <w:rFonts w:ascii="Arial" w:eastAsiaTheme="minorHAnsi" w:hAnsi="Arial"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77986"/>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77986"/>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77986"/>
    <w:rPr>
      <w:rFonts w:ascii="Arial" w:eastAsiaTheme="minorHAnsi" w:hAnsi="Arial"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77986"/>
    <w:rPr>
      <w:rFonts w:ascii="Arial" w:eastAsiaTheme="minorHAnsi" w:hAnsi="Arial"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77986"/>
    <w:rPr>
      <w:rFonts w:ascii="Arial" w:eastAsiaTheme="minorHAnsi" w:hAnsi="Arial"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77986"/>
    <w:rPr>
      <w:rFonts w:ascii="Arial" w:eastAsiaTheme="minorHAnsi" w:hAnsi="Arial"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77986"/>
    <w:rPr>
      <w:rFonts w:ascii="Arial" w:eastAsiaTheme="minorHAnsi" w:hAnsi="Arial"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77986"/>
    <w:rPr>
      <w:rFonts w:ascii="Arial" w:eastAsiaTheme="minorHAnsi" w:hAnsi="Arial"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77986"/>
    <w:rPr>
      <w:noProof w:val="0"/>
      <w:lang w:val="en-AU"/>
    </w:rPr>
  </w:style>
  <w:style w:type="paragraph" w:styleId="List">
    <w:name w:val="List"/>
    <w:basedOn w:val="Normal"/>
    <w:uiPriority w:val="99"/>
    <w:semiHidden/>
    <w:unhideWhenUsed/>
    <w:rsid w:val="00677986"/>
    <w:pPr>
      <w:widowControl/>
      <w:spacing w:after="240" w:line="360" w:lineRule="auto"/>
      <w:ind w:left="283" w:hanging="283"/>
      <w:contextualSpacing/>
      <w:jc w:val="left"/>
    </w:pPr>
    <w:rPr>
      <w:rFonts w:ascii="Arial" w:eastAsiaTheme="minorHAnsi" w:hAnsi="Arial" w:cstheme="minorBidi"/>
      <w:snapToGrid/>
      <w:sz w:val="20"/>
      <w:szCs w:val="20"/>
    </w:rPr>
  </w:style>
  <w:style w:type="paragraph" w:styleId="List2">
    <w:name w:val="List 2"/>
    <w:basedOn w:val="Normal"/>
    <w:uiPriority w:val="99"/>
    <w:semiHidden/>
    <w:unhideWhenUsed/>
    <w:rsid w:val="00677986"/>
    <w:pPr>
      <w:widowControl/>
      <w:spacing w:after="240" w:line="360" w:lineRule="auto"/>
      <w:ind w:left="566" w:hanging="283"/>
      <w:contextualSpacing/>
      <w:jc w:val="left"/>
    </w:pPr>
    <w:rPr>
      <w:rFonts w:ascii="Arial" w:eastAsiaTheme="minorHAnsi" w:hAnsi="Arial" w:cstheme="minorBidi"/>
      <w:snapToGrid/>
      <w:sz w:val="20"/>
      <w:szCs w:val="20"/>
    </w:rPr>
  </w:style>
  <w:style w:type="paragraph" w:styleId="List3">
    <w:name w:val="List 3"/>
    <w:basedOn w:val="Normal"/>
    <w:uiPriority w:val="99"/>
    <w:semiHidden/>
    <w:unhideWhenUsed/>
    <w:rsid w:val="00677986"/>
    <w:pPr>
      <w:widowControl/>
      <w:spacing w:after="240" w:line="360" w:lineRule="auto"/>
      <w:ind w:left="849" w:hanging="283"/>
      <w:contextualSpacing/>
      <w:jc w:val="left"/>
    </w:pPr>
    <w:rPr>
      <w:rFonts w:ascii="Arial" w:eastAsiaTheme="minorHAnsi" w:hAnsi="Arial" w:cstheme="minorBidi"/>
      <w:snapToGrid/>
      <w:sz w:val="20"/>
      <w:szCs w:val="20"/>
    </w:rPr>
  </w:style>
  <w:style w:type="paragraph" w:styleId="List4">
    <w:name w:val="List 4"/>
    <w:basedOn w:val="Normal"/>
    <w:uiPriority w:val="99"/>
    <w:unhideWhenUsed/>
    <w:rsid w:val="00677986"/>
    <w:pPr>
      <w:widowControl/>
      <w:spacing w:after="240" w:line="360" w:lineRule="auto"/>
      <w:ind w:left="1132" w:hanging="283"/>
      <w:contextualSpacing/>
      <w:jc w:val="left"/>
    </w:pPr>
    <w:rPr>
      <w:rFonts w:ascii="Arial" w:eastAsiaTheme="minorHAnsi" w:hAnsi="Arial" w:cstheme="minorBidi"/>
      <w:snapToGrid/>
      <w:sz w:val="20"/>
      <w:szCs w:val="20"/>
    </w:rPr>
  </w:style>
  <w:style w:type="paragraph" w:styleId="List5">
    <w:name w:val="List 5"/>
    <w:basedOn w:val="Normal"/>
    <w:uiPriority w:val="99"/>
    <w:unhideWhenUsed/>
    <w:rsid w:val="00677986"/>
    <w:pPr>
      <w:widowControl/>
      <w:spacing w:after="240" w:line="360" w:lineRule="auto"/>
      <w:ind w:left="1415" w:hanging="283"/>
      <w:contextualSpacing/>
      <w:jc w:val="left"/>
    </w:pPr>
    <w:rPr>
      <w:rFonts w:ascii="Arial" w:eastAsiaTheme="minorHAnsi" w:hAnsi="Arial" w:cstheme="minorBidi"/>
      <w:snapToGrid/>
      <w:sz w:val="20"/>
      <w:szCs w:val="20"/>
    </w:rPr>
  </w:style>
  <w:style w:type="paragraph" w:styleId="ListBullet5">
    <w:name w:val="List Bullet 5"/>
    <w:basedOn w:val="Normal"/>
    <w:uiPriority w:val="99"/>
    <w:semiHidden/>
    <w:rsid w:val="00677986"/>
    <w:pPr>
      <w:widowControl/>
      <w:numPr>
        <w:numId w:val="9"/>
      </w:numPr>
      <w:spacing w:after="240" w:line="360" w:lineRule="auto"/>
      <w:contextualSpacing/>
      <w:jc w:val="left"/>
    </w:pPr>
    <w:rPr>
      <w:rFonts w:ascii="Arial" w:eastAsiaTheme="minorHAnsi" w:hAnsi="Arial" w:cstheme="minorBidi"/>
      <w:snapToGrid/>
      <w:sz w:val="20"/>
      <w:szCs w:val="20"/>
    </w:rPr>
  </w:style>
  <w:style w:type="paragraph" w:styleId="ListContinue">
    <w:name w:val="List Continue"/>
    <w:basedOn w:val="Normal"/>
    <w:uiPriority w:val="99"/>
    <w:semiHidden/>
    <w:unhideWhenUsed/>
    <w:rsid w:val="00677986"/>
    <w:pPr>
      <w:widowControl/>
      <w:spacing w:after="240" w:line="360" w:lineRule="auto"/>
      <w:ind w:left="283"/>
      <w:contextualSpacing/>
      <w:jc w:val="left"/>
    </w:pPr>
    <w:rPr>
      <w:rFonts w:ascii="Arial" w:eastAsiaTheme="minorHAnsi" w:hAnsi="Arial" w:cstheme="minorBidi"/>
      <w:snapToGrid/>
      <w:sz w:val="20"/>
      <w:szCs w:val="20"/>
    </w:rPr>
  </w:style>
  <w:style w:type="paragraph" w:styleId="ListContinue2">
    <w:name w:val="List Continue 2"/>
    <w:basedOn w:val="Normal"/>
    <w:uiPriority w:val="99"/>
    <w:semiHidden/>
    <w:unhideWhenUsed/>
    <w:rsid w:val="00677986"/>
    <w:pPr>
      <w:widowControl/>
      <w:spacing w:after="240" w:line="360" w:lineRule="auto"/>
      <w:ind w:left="566"/>
      <w:contextualSpacing/>
      <w:jc w:val="left"/>
    </w:pPr>
    <w:rPr>
      <w:rFonts w:ascii="Arial" w:eastAsiaTheme="minorHAnsi" w:hAnsi="Arial" w:cstheme="minorBidi"/>
      <w:snapToGrid/>
      <w:sz w:val="20"/>
      <w:szCs w:val="20"/>
    </w:rPr>
  </w:style>
  <w:style w:type="paragraph" w:styleId="ListContinue3">
    <w:name w:val="List Continue 3"/>
    <w:basedOn w:val="Normal"/>
    <w:uiPriority w:val="99"/>
    <w:semiHidden/>
    <w:unhideWhenUsed/>
    <w:rsid w:val="00677986"/>
    <w:pPr>
      <w:widowControl/>
      <w:spacing w:after="240" w:line="360" w:lineRule="auto"/>
      <w:ind w:left="849"/>
      <w:contextualSpacing/>
      <w:jc w:val="left"/>
    </w:pPr>
    <w:rPr>
      <w:rFonts w:ascii="Arial" w:eastAsiaTheme="minorHAnsi" w:hAnsi="Arial" w:cstheme="minorBidi"/>
      <w:snapToGrid/>
      <w:sz w:val="20"/>
      <w:szCs w:val="20"/>
    </w:rPr>
  </w:style>
  <w:style w:type="paragraph" w:styleId="ListContinue4">
    <w:name w:val="List Continue 4"/>
    <w:basedOn w:val="Normal"/>
    <w:uiPriority w:val="99"/>
    <w:semiHidden/>
    <w:unhideWhenUsed/>
    <w:rsid w:val="00677986"/>
    <w:pPr>
      <w:widowControl/>
      <w:spacing w:after="240" w:line="360" w:lineRule="auto"/>
      <w:ind w:left="1132"/>
      <w:contextualSpacing/>
      <w:jc w:val="left"/>
    </w:pPr>
    <w:rPr>
      <w:rFonts w:ascii="Arial" w:eastAsiaTheme="minorHAnsi" w:hAnsi="Arial" w:cstheme="minorBidi"/>
      <w:snapToGrid/>
      <w:sz w:val="20"/>
      <w:szCs w:val="20"/>
    </w:rPr>
  </w:style>
  <w:style w:type="paragraph" w:styleId="ListContinue5">
    <w:name w:val="List Continue 5"/>
    <w:basedOn w:val="Normal"/>
    <w:uiPriority w:val="99"/>
    <w:semiHidden/>
    <w:unhideWhenUsed/>
    <w:rsid w:val="00677986"/>
    <w:pPr>
      <w:widowControl/>
      <w:spacing w:after="240" w:line="360" w:lineRule="auto"/>
      <w:ind w:left="1415"/>
      <w:contextualSpacing/>
      <w:jc w:val="left"/>
    </w:pPr>
    <w:rPr>
      <w:rFonts w:ascii="Arial" w:eastAsiaTheme="minorHAnsi" w:hAnsi="Arial" w:cstheme="minorBidi"/>
      <w:snapToGrid/>
      <w:sz w:val="20"/>
      <w:szCs w:val="20"/>
    </w:rPr>
  </w:style>
  <w:style w:type="paragraph" w:styleId="ListNumber5">
    <w:name w:val="List Number 5"/>
    <w:basedOn w:val="Normal"/>
    <w:uiPriority w:val="99"/>
    <w:semiHidden/>
    <w:rsid w:val="00677986"/>
    <w:pPr>
      <w:widowControl/>
      <w:numPr>
        <w:numId w:val="10"/>
      </w:numPr>
      <w:spacing w:after="240" w:line="360" w:lineRule="auto"/>
      <w:contextualSpacing/>
      <w:jc w:val="left"/>
    </w:pPr>
    <w:rPr>
      <w:rFonts w:ascii="Arial" w:eastAsiaTheme="minorHAnsi" w:hAnsi="Arial" w:cstheme="minorBidi"/>
      <w:snapToGrid/>
      <w:sz w:val="20"/>
      <w:szCs w:val="20"/>
    </w:rPr>
  </w:style>
  <w:style w:type="paragraph" w:styleId="MacroText">
    <w:name w:val="macro"/>
    <w:link w:val="MacroTextChar"/>
    <w:uiPriority w:val="99"/>
    <w:semiHidden/>
    <w:unhideWhenUsed/>
    <w:rsid w:val="00677986"/>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semiHidden/>
    <w:rsid w:val="00677986"/>
    <w:rPr>
      <w:rFonts w:ascii="Consolas" w:eastAsiaTheme="minorHAnsi" w:hAnsi="Consolas" w:cstheme="minorBidi"/>
      <w:lang w:eastAsia="en-US"/>
    </w:rPr>
  </w:style>
  <w:style w:type="table" w:styleId="MediumGrid1">
    <w:name w:val="Medium Grid 1"/>
    <w:basedOn w:val="TableNormal"/>
    <w:uiPriority w:val="67"/>
    <w:rsid w:val="00677986"/>
    <w:rPr>
      <w:rFonts w:ascii="Arial" w:eastAsiaTheme="minorHAnsi" w:hAnsi="Arial"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77986"/>
    <w:rPr>
      <w:rFonts w:ascii="Arial" w:eastAsiaTheme="minorHAnsi" w:hAnsi="Arial"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77986"/>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77986"/>
    <w:rPr>
      <w:rFonts w:ascii="Arial" w:eastAsiaTheme="minorHAnsi" w:hAnsi="Arial"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77986"/>
    <w:rPr>
      <w:rFonts w:ascii="Arial" w:eastAsiaTheme="minorHAnsi" w:hAnsi="Arial"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77986"/>
    <w:rPr>
      <w:rFonts w:ascii="Arial" w:eastAsiaTheme="minorHAnsi" w:hAnsi="Arial"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77986"/>
    <w:rPr>
      <w:rFonts w:ascii="Arial" w:eastAsiaTheme="minorHAnsi" w:hAnsi="Arial"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77986"/>
    <w:rPr>
      <w:rFonts w:asciiTheme="majorHAnsi" w:eastAsiaTheme="majorEastAsia" w:hAnsiTheme="majorHAnsi" w:cstheme="maj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77986"/>
    <w:rPr>
      <w:rFonts w:asciiTheme="majorHAnsi" w:eastAsiaTheme="majorEastAsia" w:hAnsiTheme="majorHAnsi" w:cstheme="maj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77986"/>
    <w:rPr>
      <w:rFonts w:asciiTheme="majorHAnsi" w:eastAsiaTheme="majorEastAsia" w:hAnsiTheme="majorHAnsi" w:cstheme="maj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77986"/>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77986"/>
    <w:rPr>
      <w:rFonts w:asciiTheme="majorHAnsi" w:eastAsiaTheme="majorEastAsia" w:hAnsiTheme="majorHAnsi" w:cstheme="maj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77986"/>
    <w:rPr>
      <w:rFonts w:asciiTheme="majorHAnsi" w:eastAsiaTheme="majorEastAsia" w:hAnsiTheme="majorHAnsi" w:cstheme="maj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77986"/>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77986"/>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77986"/>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77986"/>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77986"/>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77986"/>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77986"/>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77986"/>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77986"/>
    <w:rPr>
      <w:rFonts w:ascii="Arial" w:eastAsiaTheme="minorHAnsi" w:hAnsi="Arial" w:cstheme="minorBidi"/>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77986"/>
    <w:rPr>
      <w:rFonts w:ascii="Arial" w:eastAsiaTheme="minorHAnsi" w:hAnsi="Arial" w:cstheme="minorBidi"/>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77986"/>
    <w:rPr>
      <w:rFonts w:ascii="Arial" w:eastAsiaTheme="minorHAnsi" w:hAnsi="Arial" w:cstheme="minorBidi"/>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77986"/>
    <w:rPr>
      <w:rFonts w:ascii="Arial" w:eastAsiaTheme="minorHAnsi" w:hAnsi="Arial" w:cstheme="minorBidi"/>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77986"/>
    <w:rPr>
      <w:rFonts w:ascii="Arial" w:eastAsiaTheme="minorHAnsi" w:hAnsi="Arial" w:cstheme="minorBidi"/>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77986"/>
    <w:rPr>
      <w:rFonts w:ascii="Arial" w:eastAsiaTheme="minorHAnsi" w:hAnsi="Arial" w:cstheme="minorBidi"/>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77986"/>
    <w:rPr>
      <w:rFonts w:ascii="Arial" w:eastAsiaTheme="minorHAnsi" w:hAnsi="Arial" w:cstheme="minorBidi"/>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77986"/>
    <w:rPr>
      <w:rFonts w:asciiTheme="majorHAnsi" w:eastAsiaTheme="majorEastAsia" w:hAnsiTheme="majorHAnsi" w:cstheme="maj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77986"/>
    <w:rPr>
      <w:rFonts w:asciiTheme="majorHAnsi" w:eastAsiaTheme="majorEastAsia" w:hAnsiTheme="majorHAnsi" w:cstheme="maj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77986"/>
    <w:rPr>
      <w:rFonts w:asciiTheme="majorHAnsi" w:eastAsiaTheme="majorEastAsia" w:hAnsiTheme="majorHAnsi" w:cstheme="maj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77986"/>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77986"/>
    <w:rPr>
      <w:rFonts w:asciiTheme="majorHAnsi" w:eastAsiaTheme="majorEastAsia" w:hAnsiTheme="majorHAnsi" w:cstheme="maj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77986"/>
    <w:rPr>
      <w:rFonts w:asciiTheme="majorHAnsi" w:eastAsiaTheme="majorEastAsia" w:hAnsiTheme="majorHAnsi" w:cstheme="maj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77986"/>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77986"/>
    <w:rPr>
      <w:rFonts w:ascii="Arial" w:eastAsiaTheme="minorHAnsi" w:hAnsi="Arial"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77986"/>
    <w:rPr>
      <w:rFonts w:ascii="Arial" w:eastAsiaTheme="minorHAnsi" w:hAnsi="Arial"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77986"/>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77986"/>
    <w:rPr>
      <w:rFonts w:ascii="Arial" w:eastAsiaTheme="minorHAnsi" w:hAnsi="Arial"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77986"/>
    <w:rPr>
      <w:rFonts w:ascii="Arial" w:eastAsiaTheme="minorHAnsi" w:hAnsi="Arial"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77986"/>
    <w:rPr>
      <w:rFonts w:ascii="Arial" w:eastAsiaTheme="minorHAnsi" w:hAnsi="Arial"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77986"/>
    <w:rPr>
      <w:rFonts w:ascii="Arial" w:eastAsiaTheme="minorHAnsi" w:hAnsi="Arial"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77986"/>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77986"/>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77986"/>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77986"/>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77986"/>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77986"/>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77986"/>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77986"/>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napToGrid/>
      <w:sz w:val="20"/>
      <w:szCs w:val="20"/>
    </w:rPr>
  </w:style>
  <w:style w:type="character" w:customStyle="1" w:styleId="MessageHeaderChar">
    <w:name w:val="Message Header Char"/>
    <w:basedOn w:val="DefaultParagraphFont"/>
    <w:link w:val="MessageHeader"/>
    <w:uiPriority w:val="99"/>
    <w:semiHidden/>
    <w:rsid w:val="00677986"/>
    <w:rPr>
      <w:rFonts w:asciiTheme="majorHAnsi" w:eastAsiaTheme="majorEastAsia" w:hAnsiTheme="majorHAnsi" w:cstheme="majorBidi"/>
      <w:shd w:val="pct20" w:color="auto" w:fill="auto"/>
      <w:lang w:eastAsia="en-US"/>
    </w:rPr>
  </w:style>
  <w:style w:type="paragraph" w:styleId="NormalIndent">
    <w:name w:val="Normal Indent"/>
    <w:basedOn w:val="Normal"/>
    <w:uiPriority w:val="99"/>
    <w:semiHidden/>
    <w:unhideWhenUsed/>
    <w:rsid w:val="00677986"/>
    <w:pPr>
      <w:widowControl/>
      <w:spacing w:after="240" w:line="360" w:lineRule="auto"/>
      <w:ind w:left="720"/>
      <w:jc w:val="left"/>
    </w:pPr>
    <w:rPr>
      <w:rFonts w:ascii="Arial" w:eastAsiaTheme="minorHAnsi" w:hAnsi="Arial" w:cstheme="minorBidi"/>
      <w:snapToGrid/>
      <w:sz w:val="20"/>
      <w:szCs w:val="20"/>
    </w:rPr>
  </w:style>
  <w:style w:type="paragraph" w:styleId="NoteHeading">
    <w:name w:val="Note Heading"/>
    <w:basedOn w:val="Normal"/>
    <w:next w:val="Normal"/>
    <w:link w:val="NoteHeadingChar"/>
    <w:uiPriority w:val="99"/>
    <w:semiHidden/>
    <w:unhideWhenUsed/>
    <w:rsid w:val="00677986"/>
    <w:pPr>
      <w:widowControl/>
      <w:jc w:val="left"/>
    </w:pPr>
    <w:rPr>
      <w:rFonts w:ascii="Arial" w:eastAsiaTheme="minorHAnsi" w:hAnsi="Arial" w:cstheme="minorBidi"/>
      <w:snapToGrid/>
      <w:sz w:val="20"/>
      <w:szCs w:val="20"/>
    </w:rPr>
  </w:style>
  <w:style w:type="character" w:customStyle="1" w:styleId="NoteHeadingChar">
    <w:name w:val="Note Heading Char"/>
    <w:basedOn w:val="DefaultParagraphFont"/>
    <w:link w:val="NoteHeading"/>
    <w:uiPriority w:val="99"/>
    <w:semiHidden/>
    <w:rsid w:val="00677986"/>
    <w:rPr>
      <w:rFonts w:ascii="Arial" w:eastAsiaTheme="minorHAnsi" w:hAnsi="Arial" w:cstheme="minorBidi"/>
      <w:lang w:eastAsia="en-US"/>
    </w:rPr>
  </w:style>
  <w:style w:type="paragraph" w:styleId="PlainText">
    <w:name w:val="Plain Text"/>
    <w:basedOn w:val="Normal"/>
    <w:link w:val="PlainTextChar"/>
    <w:uiPriority w:val="99"/>
    <w:semiHidden/>
    <w:unhideWhenUsed/>
    <w:rsid w:val="00677986"/>
    <w:pPr>
      <w:widowControl/>
      <w:jc w:val="left"/>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semiHidden/>
    <w:rsid w:val="00677986"/>
    <w:rPr>
      <w:rFonts w:ascii="Consolas" w:eastAsiaTheme="minorHAnsi" w:hAnsi="Consolas" w:cstheme="minorBidi"/>
      <w:sz w:val="21"/>
      <w:szCs w:val="21"/>
      <w:lang w:eastAsia="en-US"/>
    </w:rPr>
  </w:style>
  <w:style w:type="paragraph" w:styleId="Quote">
    <w:name w:val="Quote"/>
    <w:basedOn w:val="Normal"/>
    <w:next w:val="Normal"/>
    <w:link w:val="QuoteChar"/>
    <w:uiPriority w:val="29"/>
    <w:rsid w:val="00677986"/>
    <w:pPr>
      <w:widowControl/>
      <w:spacing w:after="240" w:line="360" w:lineRule="auto"/>
      <w:jc w:val="left"/>
    </w:pPr>
    <w:rPr>
      <w:rFonts w:ascii="Arial" w:eastAsiaTheme="minorHAnsi" w:hAnsi="Arial" w:cstheme="minorBidi"/>
      <w:i/>
      <w:iCs/>
      <w:snapToGrid/>
      <w:sz w:val="20"/>
      <w:szCs w:val="20"/>
    </w:rPr>
  </w:style>
  <w:style w:type="character" w:customStyle="1" w:styleId="QuoteChar">
    <w:name w:val="Quote Char"/>
    <w:basedOn w:val="DefaultParagraphFont"/>
    <w:link w:val="Quote"/>
    <w:uiPriority w:val="29"/>
    <w:rsid w:val="00677986"/>
    <w:rPr>
      <w:rFonts w:ascii="Arial" w:eastAsiaTheme="minorHAnsi" w:hAnsi="Arial" w:cstheme="minorBidi"/>
      <w:i/>
      <w:iCs/>
      <w:lang w:eastAsia="en-US"/>
    </w:rPr>
  </w:style>
  <w:style w:type="paragraph" w:styleId="Salutation">
    <w:name w:val="Salutation"/>
    <w:basedOn w:val="Normal"/>
    <w:next w:val="Normal"/>
    <w:link w:val="SalutationChar"/>
    <w:uiPriority w:val="99"/>
    <w:unhideWhenUsed/>
    <w:rsid w:val="00677986"/>
    <w:pPr>
      <w:widowControl/>
      <w:spacing w:after="240" w:line="360" w:lineRule="auto"/>
      <w:jc w:val="left"/>
    </w:pPr>
    <w:rPr>
      <w:rFonts w:ascii="Arial" w:eastAsiaTheme="minorHAnsi" w:hAnsi="Arial" w:cstheme="minorBidi"/>
      <w:snapToGrid/>
      <w:sz w:val="20"/>
      <w:szCs w:val="20"/>
    </w:rPr>
  </w:style>
  <w:style w:type="character" w:customStyle="1" w:styleId="SalutationChar">
    <w:name w:val="Salutation Char"/>
    <w:basedOn w:val="DefaultParagraphFont"/>
    <w:link w:val="Salutation"/>
    <w:uiPriority w:val="99"/>
    <w:rsid w:val="00677986"/>
    <w:rPr>
      <w:rFonts w:ascii="Arial" w:eastAsiaTheme="minorHAnsi" w:hAnsi="Arial" w:cstheme="minorBidi"/>
      <w:lang w:eastAsia="en-US"/>
    </w:rPr>
  </w:style>
  <w:style w:type="paragraph" w:styleId="Signature">
    <w:name w:val="Signature"/>
    <w:basedOn w:val="Normal"/>
    <w:link w:val="SignatureChar"/>
    <w:uiPriority w:val="99"/>
    <w:semiHidden/>
    <w:unhideWhenUsed/>
    <w:rsid w:val="00677986"/>
    <w:pPr>
      <w:widowControl/>
      <w:ind w:left="4252"/>
      <w:jc w:val="left"/>
    </w:pPr>
    <w:rPr>
      <w:rFonts w:ascii="Arial" w:eastAsiaTheme="minorHAnsi" w:hAnsi="Arial" w:cstheme="minorBidi"/>
      <w:snapToGrid/>
      <w:sz w:val="20"/>
      <w:szCs w:val="20"/>
    </w:rPr>
  </w:style>
  <w:style w:type="character" w:customStyle="1" w:styleId="SignatureChar">
    <w:name w:val="Signature Char"/>
    <w:basedOn w:val="DefaultParagraphFont"/>
    <w:link w:val="Signature"/>
    <w:uiPriority w:val="99"/>
    <w:semiHidden/>
    <w:rsid w:val="00677986"/>
    <w:rPr>
      <w:rFonts w:ascii="Arial" w:eastAsiaTheme="minorHAnsi" w:hAnsi="Arial" w:cstheme="minorBidi"/>
      <w:lang w:eastAsia="en-US"/>
    </w:rPr>
  </w:style>
  <w:style w:type="character" w:styleId="Strong">
    <w:name w:val="Strong"/>
    <w:basedOn w:val="DefaultParagraphFont"/>
    <w:uiPriority w:val="22"/>
    <w:rsid w:val="00677986"/>
    <w:rPr>
      <w:b/>
      <w:bCs/>
      <w:noProof w:val="0"/>
      <w:lang w:val="en-AU"/>
    </w:rPr>
  </w:style>
  <w:style w:type="character" w:styleId="SubtleEmphasis">
    <w:name w:val="Subtle Emphasis"/>
    <w:basedOn w:val="DefaultParagraphFont"/>
    <w:uiPriority w:val="19"/>
    <w:rsid w:val="00677986"/>
    <w:rPr>
      <w:i/>
      <w:iCs/>
      <w:noProof w:val="0"/>
      <w:color w:val="808080" w:themeColor="text1" w:themeTint="7F"/>
      <w:lang w:val="en-AU"/>
    </w:rPr>
  </w:style>
  <w:style w:type="character" w:styleId="SubtleReference">
    <w:name w:val="Subtle Reference"/>
    <w:basedOn w:val="DefaultParagraphFont"/>
    <w:uiPriority w:val="31"/>
    <w:rsid w:val="00677986"/>
    <w:rPr>
      <w:smallCaps/>
      <w:noProof w:val="0"/>
      <w:color w:val="C0504D" w:themeColor="accent2"/>
      <w:u w:val="single"/>
      <w:lang w:val="en-AU"/>
    </w:rPr>
  </w:style>
  <w:style w:type="table" w:styleId="Table3Deffects1">
    <w:name w:val="Table 3D effects 1"/>
    <w:basedOn w:val="TableNormal"/>
    <w:uiPriority w:val="99"/>
    <w:semiHidden/>
    <w:unhideWhenUsed/>
    <w:rsid w:val="00677986"/>
    <w:pPr>
      <w:spacing w:after="360" w:line="360" w:lineRule="auto"/>
    </w:pPr>
    <w:rPr>
      <w:rFonts w:ascii="Arial" w:eastAsiaTheme="minorHAnsi" w:hAnsi="Arial"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77986"/>
    <w:pPr>
      <w:spacing w:after="360" w:line="360" w:lineRule="auto"/>
    </w:pPr>
    <w:rPr>
      <w:rFonts w:ascii="Arial" w:eastAsiaTheme="minorHAnsi" w:hAnsi="Arial"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77986"/>
    <w:pPr>
      <w:spacing w:after="360" w:line="360" w:lineRule="auto"/>
    </w:pPr>
    <w:rPr>
      <w:rFonts w:ascii="Arial" w:eastAsiaTheme="minorHAnsi" w:hAnsi="Arial"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77986"/>
    <w:pPr>
      <w:spacing w:after="360" w:line="360" w:lineRule="auto"/>
    </w:pPr>
    <w:rPr>
      <w:rFonts w:ascii="Arial" w:eastAsiaTheme="minorHAnsi" w:hAnsi="Arial"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77986"/>
    <w:pPr>
      <w:spacing w:after="360" w:line="360" w:lineRule="auto"/>
    </w:pPr>
    <w:rPr>
      <w:rFonts w:ascii="Arial" w:eastAsiaTheme="minorHAnsi" w:hAnsi="Arial"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77986"/>
    <w:pPr>
      <w:spacing w:after="360" w:line="360" w:lineRule="auto"/>
    </w:pPr>
    <w:rPr>
      <w:rFonts w:ascii="Arial" w:eastAsiaTheme="minorHAnsi" w:hAnsi="Arial"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77986"/>
    <w:pPr>
      <w:spacing w:after="360" w:line="360" w:lineRule="auto"/>
    </w:pPr>
    <w:rPr>
      <w:rFonts w:ascii="Arial" w:eastAsiaTheme="minorHAnsi" w:hAnsi="Arial"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77986"/>
    <w:pPr>
      <w:spacing w:after="360" w:line="360" w:lineRule="auto"/>
    </w:pPr>
    <w:rPr>
      <w:rFonts w:ascii="Arial" w:eastAsiaTheme="minorHAnsi" w:hAnsi="Arial"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77986"/>
    <w:pPr>
      <w:spacing w:after="360" w:line="360" w:lineRule="auto"/>
    </w:pPr>
    <w:rPr>
      <w:rFonts w:ascii="Arial" w:eastAsiaTheme="minorHAnsi" w:hAnsi="Arial"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77986"/>
    <w:pPr>
      <w:spacing w:after="360" w:line="360" w:lineRule="auto"/>
    </w:pPr>
    <w:rPr>
      <w:rFonts w:ascii="Arial" w:eastAsiaTheme="minorHAnsi" w:hAnsi="Arial"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77986"/>
    <w:pPr>
      <w:spacing w:after="360" w:line="360" w:lineRule="auto"/>
    </w:pPr>
    <w:rPr>
      <w:rFonts w:ascii="Arial" w:eastAsiaTheme="minorHAnsi" w:hAnsi="Arial"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77986"/>
    <w:pPr>
      <w:spacing w:after="360" w:line="360" w:lineRule="auto"/>
    </w:pPr>
    <w:rPr>
      <w:rFonts w:ascii="Arial" w:eastAsiaTheme="minorHAnsi" w:hAnsi="Arial"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77986"/>
    <w:pPr>
      <w:spacing w:after="360" w:line="360" w:lineRule="auto"/>
    </w:pPr>
    <w:rPr>
      <w:rFonts w:ascii="Arial" w:eastAsiaTheme="minorHAnsi" w:hAnsi="Arial"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77986"/>
    <w:pPr>
      <w:spacing w:after="360" w:line="360" w:lineRule="auto"/>
    </w:pPr>
    <w:rPr>
      <w:rFonts w:ascii="Arial" w:eastAsiaTheme="minorHAnsi" w:hAnsi="Arial"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77986"/>
    <w:pPr>
      <w:spacing w:after="360" w:line="360" w:lineRule="auto"/>
    </w:pPr>
    <w:rPr>
      <w:rFonts w:ascii="Arial" w:eastAsiaTheme="minorHAnsi" w:hAnsi="Arial"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77986"/>
    <w:pPr>
      <w:spacing w:after="360" w:line="360" w:lineRule="auto"/>
    </w:pPr>
    <w:rPr>
      <w:rFonts w:ascii="Arial" w:eastAsiaTheme="minorHAnsi" w:hAnsi="Arial"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77986"/>
    <w:pPr>
      <w:spacing w:after="360" w:line="360" w:lineRule="auto"/>
    </w:pPr>
    <w:rPr>
      <w:rFonts w:ascii="Arial" w:eastAsiaTheme="minorHAnsi" w:hAnsi="Arial"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77986"/>
    <w:pPr>
      <w:spacing w:after="360" w:line="360" w:lineRule="auto"/>
    </w:pPr>
    <w:rPr>
      <w:rFonts w:ascii="Arial" w:eastAsiaTheme="minorHAnsi" w:hAnsi="Arial"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77986"/>
    <w:pPr>
      <w:spacing w:after="360" w:line="360" w:lineRule="auto"/>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77986"/>
    <w:pPr>
      <w:spacing w:after="360" w:line="360" w:lineRule="auto"/>
    </w:pPr>
    <w:rPr>
      <w:rFonts w:ascii="Arial" w:eastAsiaTheme="minorHAnsi" w:hAnsi="Arial"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77986"/>
    <w:pPr>
      <w:spacing w:after="360" w:line="360" w:lineRule="auto"/>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77986"/>
    <w:pPr>
      <w:widowControl/>
      <w:spacing w:line="360" w:lineRule="auto"/>
      <w:ind w:left="190" w:hanging="190"/>
      <w:jc w:val="left"/>
    </w:pPr>
    <w:rPr>
      <w:rFonts w:ascii="Arial" w:eastAsiaTheme="minorHAnsi" w:hAnsi="Arial" w:cstheme="minorBidi"/>
      <w:snapToGrid/>
      <w:sz w:val="20"/>
      <w:szCs w:val="20"/>
    </w:rPr>
  </w:style>
  <w:style w:type="paragraph" w:styleId="TableofFigures">
    <w:name w:val="table of figures"/>
    <w:basedOn w:val="Normal"/>
    <w:next w:val="Normal"/>
    <w:uiPriority w:val="99"/>
    <w:rsid w:val="00677986"/>
    <w:pPr>
      <w:widowControl/>
      <w:tabs>
        <w:tab w:val="left" w:pos="1418"/>
        <w:tab w:val="right" w:leader="dot" w:pos="9639"/>
      </w:tabs>
      <w:spacing w:line="360" w:lineRule="auto"/>
      <w:ind w:left="1418" w:hanging="1418"/>
      <w:jc w:val="left"/>
    </w:pPr>
    <w:rPr>
      <w:rFonts w:ascii="Arial" w:eastAsiaTheme="minorHAnsi" w:hAnsi="Arial" w:cstheme="minorBidi"/>
      <w:b/>
      <w:snapToGrid/>
      <w:sz w:val="20"/>
      <w:szCs w:val="20"/>
    </w:rPr>
  </w:style>
  <w:style w:type="table" w:styleId="TableProfessional">
    <w:name w:val="Table Professional"/>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77986"/>
    <w:pPr>
      <w:spacing w:after="360" w:line="360" w:lineRule="auto"/>
    </w:pPr>
    <w:rPr>
      <w:rFonts w:ascii="Arial" w:eastAsiaTheme="minorHAnsi" w:hAnsi="Arial"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77986"/>
    <w:pPr>
      <w:spacing w:after="360" w:line="360" w:lineRule="auto"/>
    </w:pPr>
    <w:rPr>
      <w:rFonts w:ascii="Arial" w:eastAsiaTheme="minorHAnsi" w:hAnsi="Arial"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77986"/>
    <w:pPr>
      <w:spacing w:after="360" w:line="360" w:lineRule="auto"/>
    </w:pPr>
    <w:rPr>
      <w:rFonts w:ascii="Arial" w:eastAsiaTheme="minorHAnsi" w:hAnsi="Arial"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77986"/>
    <w:pPr>
      <w:spacing w:after="360" w:line="360" w:lineRule="auto"/>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77986"/>
    <w:pPr>
      <w:spacing w:after="360" w:line="360" w:lineRule="auto"/>
    </w:pPr>
    <w:rPr>
      <w:rFonts w:ascii="Arial" w:eastAsiaTheme="minorHAnsi" w:hAnsi="Arial"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677986"/>
    <w:pPr>
      <w:pageBreakBefore/>
      <w:widowControl/>
      <w:spacing w:before="480" w:after="240" w:line="360" w:lineRule="auto"/>
      <w:jc w:val="left"/>
    </w:pPr>
    <w:rPr>
      <w:rFonts w:asciiTheme="majorHAnsi" w:eastAsiaTheme="majorEastAsia" w:hAnsiTheme="majorHAnsi" w:cstheme="majorBidi"/>
      <w:b/>
      <w:bCs/>
      <w:snapToGrid/>
      <w:sz w:val="32"/>
      <w:szCs w:val="20"/>
    </w:rPr>
  </w:style>
  <w:style w:type="numbering" w:customStyle="1" w:styleId="GeneralList">
    <w:name w:val="General List"/>
    <w:uiPriority w:val="99"/>
    <w:locked/>
    <w:rsid w:val="00677986"/>
    <w:pPr>
      <w:numPr>
        <w:numId w:val="8"/>
      </w:numPr>
    </w:pPr>
  </w:style>
  <w:style w:type="numbering" w:customStyle="1" w:styleId="CustomHeadingList">
    <w:name w:val="Custom Heading List"/>
    <w:uiPriority w:val="99"/>
    <w:rsid w:val="00677986"/>
    <w:pPr>
      <w:numPr>
        <w:numId w:val="7"/>
      </w:numPr>
    </w:pPr>
  </w:style>
  <w:style w:type="paragraph" w:customStyle="1" w:styleId="ExecSummBody">
    <w:name w:val="Exec Summ Body"/>
    <w:basedOn w:val="Normal"/>
    <w:uiPriority w:val="17"/>
    <w:rsid w:val="00677986"/>
    <w:pPr>
      <w:widowControl/>
      <w:spacing w:after="80"/>
      <w:jc w:val="left"/>
    </w:pPr>
    <w:rPr>
      <w:rFonts w:ascii="Arial" w:eastAsiaTheme="minorHAnsi" w:hAnsi="Arial" w:cstheme="minorBidi"/>
      <w:snapToGrid/>
      <w:sz w:val="22"/>
      <w:szCs w:val="20"/>
    </w:rPr>
  </w:style>
  <w:style w:type="table" w:customStyle="1" w:styleId="ExecSummTable">
    <w:name w:val="Exec Summ Table"/>
    <w:basedOn w:val="MSDShaded"/>
    <w:uiPriority w:val="99"/>
    <w:rsid w:val="00677986"/>
    <w:pPr>
      <w:spacing w:after="80"/>
    </w:pPr>
    <w:rPr>
      <w:sz w:val="18"/>
      <w:lang w:val="en-US" w:eastAsia="en-GB" w:bidi="th-TH"/>
    </w:rP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paragraph" w:customStyle="1" w:styleId="CoverReportNumber">
    <w:name w:val="Cover Report Number"/>
    <w:basedOn w:val="Normal"/>
    <w:uiPriority w:val="21"/>
    <w:unhideWhenUsed/>
    <w:rsid w:val="00677986"/>
    <w:pPr>
      <w:widowControl/>
      <w:spacing w:line="360" w:lineRule="auto"/>
      <w:jc w:val="left"/>
    </w:pPr>
    <w:rPr>
      <w:rFonts w:ascii="Arial" w:eastAsiaTheme="minorHAnsi" w:hAnsi="Arial" w:cstheme="minorBidi"/>
      <w:snapToGrid/>
      <w:sz w:val="20"/>
      <w:szCs w:val="20"/>
    </w:rPr>
  </w:style>
  <w:style w:type="paragraph" w:customStyle="1" w:styleId="CoverVersionDate">
    <w:name w:val="Cover Version / Date"/>
    <w:basedOn w:val="CoverReportNumber"/>
    <w:uiPriority w:val="21"/>
    <w:rsid w:val="00677986"/>
    <w:pPr>
      <w:jc w:val="center"/>
    </w:pPr>
    <w:rPr>
      <w:b/>
      <w:caps/>
      <w:sz w:val="24"/>
    </w:rPr>
  </w:style>
  <w:style w:type="table" w:customStyle="1" w:styleId="TableGridLight1">
    <w:name w:val="Table Grid Light1"/>
    <w:basedOn w:val="TableNormal"/>
    <w:uiPriority w:val="40"/>
    <w:locked/>
    <w:rsid w:val="00677986"/>
    <w:rPr>
      <w:rFonts w:ascii="Arial" w:eastAsiaTheme="minorHAnsi" w:hAnsi="Arial"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locked/>
    <w:rsid w:val="00677986"/>
    <w:pPr>
      <w:numPr>
        <w:numId w:val="6"/>
      </w:numPr>
    </w:pPr>
  </w:style>
  <w:style w:type="paragraph" w:customStyle="1" w:styleId="PartHeading">
    <w:name w:val="Part Heading"/>
    <w:basedOn w:val="Normal"/>
    <w:next w:val="Normal"/>
    <w:uiPriority w:val="7"/>
    <w:rsid w:val="00677986"/>
    <w:pPr>
      <w:pageBreakBefore/>
      <w:widowControl/>
      <w:spacing w:after="240" w:line="360" w:lineRule="auto"/>
      <w:jc w:val="left"/>
    </w:pPr>
    <w:rPr>
      <w:rFonts w:ascii="Arial" w:eastAsiaTheme="minorHAnsi" w:hAnsi="Arial" w:cstheme="minorBidi"/>
      <w:b/>
      <w:caps/>
      <w:snapToGrid/>
      <w:sz w:val="40"/>
      <w:szCs w:val="20"/>
    </w:rPr>
  </w:style>
  <w:style w:type="paragraph" w:customStyle="1" w:styleId="Heading1NoNumbers">
    <w:name w:val="Heading 1 No Numbers"/>
    <w:basedOn w:val="Heading1"/>
    <w:next w:val="Normal"/>
    <w:uiPriority w:val="8"/>
    <w:rsid w:val="00677986"/>
    <w:pPr>
      <w:keepNext/>
      <w:widowControl/>
      <w:spacing w:before="240" w:after="240" w:line="360" w:lineRule="auto"/>
      <w:ind w:left="0" w:firstLine="0"/>
      <w:jc w:val="left"/>
    </w:pPr>
    <w:rPr>
      <w:rFonts w:asciiTheme="majorHAnsi" w:eastAsiaTheme="majorEastAsia" w:hAnsiTheme="majorHAnsi" w:cstheme="majorBidi"/>
      <w:bCs/>
      <w:snapToGrid/>
      <w:szCs w:val="28"/>
    </w:rPr>
  </w:style>
  <w:style w:type="paragraph" w:customStyle="1" w:styleId="SubSectionHeading1">
    <w:name w:val="Sub Section Heading 1"/>
    <w:basedOn w:val="Heading1"/>
    <w:uiPriority w:val="8"/>
    <w:rsid w:val="00677986"/>
    <w:pPr>
      <w:keepNext/>
      <w:widowControl/>
      <w:spacing w:before="240" w:after="240" w:line="360" w:lineRule="auto"/>
      <w:ind w:left="0" w:firstLine="0"/>
      <w:jc w:val="left"/>
    </w:pPr>
    <w:rPr>
      <w:rFonts w:asciiTheme="majorHAnsi" w:eastAsiaTheme="majorEastAsia" w:hAnsiTheme="majorHAnsi" w:cstheme="majorBidi"/>
      <w:bCs/>
      <w:snapToGrid/>
      <w:szCs w:val="28"/>
    </w:rPr>
  </w:style>
  <w:style w:type="paragraph" w:customStyle="1" w:styleId="Heading2NoNumbers">
    <w:name w:val="Heading 2 No Numbers"/>
    <w:basedOn w:val="Heading2"/>
    <w:next w:val="Normal"/>
    <w:uiPriority w:val="9"/>
    <w:rsid w:val="00677986"/>
    <w:pPr>
      <w:keepNext/>
      <w:widowControl/>
      <w:spacing w:before="120" w:after="240" w:line="360" w:lineRule="auto"/>
      <w:jc w:val="left"/>
    </w:pPr>
    <w:rPr>
      <w:rFonts w:asciiTheme="majorHAnsi" w:eastAsiaTheme="majorEastAsia" w:hAnsiTheme="majorHAnsi" w:cstheme="majorBidi"/>
      <w:bCs/>
      <w:i w:val="0"/>
      <w:smallCaps/>
      <w:snapToGrid/>
      <w:szCs w:val="26"/>
    </w:rPr>
  </w:style>
  <w:style w:type="paragraph" w:customStyle="1" w:styleId="Heading3NoNumbers">
    <w:name w:val="Heading 3 No Numbers"/>
    <w:basedOn w:val="Heading3"/>
    <w:next w:val="Normal"/>
    <w:uiPriority w:val="9"/>
    <w:rsid w:val="00677986"/>
    <w:pPr>
      <w:keepNext/>
      <w:widowControl/>
      <w:spacing w:before="120" w:after="120" w:line="360" w:lineRule="auto"/>
      <w:jc w:val="left"/>
    </w:pPr>
    <w:rPr>
      <w:rFonts w:asciiTheme="majorHAnsi" w:eastAsiaTheme="majorEastAsia" w:hAnsiTheme="majorHAnsi" w:cstheme="majorBidi"/>
      <w:b/>
      <w:bCs/>
      <w:snapToGrid/>
      <w:szCs w:val="20"/>
      <w:u w:val="none"/>
    </w:rPr>
  </w:style>
  <w:style w:type="paragraph" w:customStyle="1" w:styleId="Heading4NoNumbers">
    <w:name w:val="Heading 4 No Numbers"/>
    <w:basedOn w:val="Heading4"/>
    <w:next w:val="Normal"/>
    <w:uiPriority w:val="9"/>
    <w:rsid w:val="00677986"/>
    <w:pPr>
      <w:widowControl/>
      <w:spacing w:before="120" w:after="120" w:line="360" w:lineRule="auto"/>
      <w:jc w:val="left"/>
    </w:pPr>
    <w:rPr>
      <w:rFonts w:asciiTheme="majorHAnsi" w:eastAsiaTheme="majorEastAsia" w:hAnsiTheme="majorHAnsi" w:cstheme="majorBidi"/>
      <w:i w:val="0"/>
      <w:iCs/>
      <w:snapToGrid/>
      <w:sz w:val="24"/>
      <w:szCs w:val="20"/>
    </w:rPr>
  </w:style>
  <w:style w:type="paragraph" w:customStyle="1" w:styleId="ConfidentialityStatement">
    <w:name w:val="Confidentiality Statement"/>
    <w:basedOn w:val="Normal"/>
    <w:uiPriority w:val="22"/>
    <w:rsid w:val="00677986"/>
    <w:pPr>
      <w:widowControl/>
      <w:spacing w:before="1000" w:after="1134" w:line="360" w:lineRule="auto"/>
      <w:jc w:val="center"/>
    </w:pPr>
    <w:rPr>
      <w:rFonts w:ascii="Arial" w:eastAsiaTheme="minorHAnsi" w:hAnsi="Arial" w:cstheme="minorBidi"/>
      <w:b/>
      <w:snapToGrid/>
      <w:szCs w:val="20"/>
      <w:u w:val="single"/>
    </w:rPr>
  </w:style>
  <w:style w:type="table" w:customStyle="1" w:styleId="MSDShaded">
    <w:name w:val="MSD Shaded"/>
    <w:basedOn w:val="TableGrid"/>
    <w:uiPriority w:val="99"/>
    <w:rsid w:val="00677986"/>
    <w:pPr>
      <w:spacing w:after="120" w:line="360" w:lineRule="auto"/>
      <w:ind w:left="57" w:right="57"/>
    </w:pPr>
    <w:rPr>
      <w:rFonts w:ascii="Arial" w:eastAsiaTheme="minorHAnsi" w:hAnsi="Arial" w:cstheme="minorBidi"/>
      <w:lang w:eastAsia="en-US"/>
    </w:rPr>
    <w:tblPr>
      <w:tblStyleRowBandSize w:val="1"/>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paragraph" w:customStyle="1" w:styleId="Source">
    <w:name w:val="Source"/>
    <w:basedOn w:val="Normal"/>
    <w:uiPriority w:val="35"/>
    <w:qFormat/>
    <w:rsid w:val="00677986"/>
    <w:pPr>
      <w:widowControl/>
      <w:tabs>
        <w:tab w:val="left" w:pos="284"/>
      </w:tabs>
      <w:spacing w:before="60" w:after="240" w:line="360" w:lineRule="auto"/>
      <w:contextualSpacing/>
      <w:jc w:val="left"/>
    </w:pPr>
    <w:rPr>
      <w:rFonts w:ascii="Arial" w:eastAsiaTheme="minorHAnsi" w:hAnsi="Arial" w:cstheme="minorBidi"/>
      <w:snapToGrid/>
      <w:sz w:val="18"/>
      <w:szCs w:val="20"/>
    </w:rPr>
  </w:style>
  <w:style w:type="table" w:customStyle="1" w:styleId="ExecSummTable1">
    <w:name w:val="Exec Summ Table1"/>
    <w:basedOn w:val="TableNormal"/>
    <w:uiPriority w:val="99"/>
    <w:rsid w:val="00677986"/>
    <w:pPr>
      <w:spacing w:after="80" w:line="360" w:lineRule="auto"/>
      <w:ind w:left="57" w:right="57"/>
    </w:pPr>
    <w:rPr>
      <w:rFonts w:ascii="Arial" w:eastAsiaTheme="minorHAnsi" w:hAnsi="Arial" w:cstheme="minorBidi"/>
      <w:sz w:val="18"/>
      <w:lang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customStyle="1" w:styleId="MSDAustralia">
    <w:name w:val="MSD Australia"/>
    <w:basedOn w:val="TableGrid"/>
    <w:uiPriority w:val="99"/>
    <w:rsid w:val="00677986"/>
    <w:pPr>
      <w:ind w:left="57" w:right="57"/>
    </w:pPr>
    <w:rPr>
      <w:rFonts w:ascii="Arial" w:eastAsiaTheme="minorHAnsi" w:hAnsi="Arial" w:cstheme="minorBidi"/>
      <w:lang w:eastAsia="en-US"/>
    </w:rPr>
    <w:tblPr>
      <w:tblBorders>
        <w:top w:val="single" w:sz="12" w:space="0" w:color="004540"/>
        <w:left w:val="none" w:sz="0" w:space="0" w:color="auto"/>
        <w:bottom w:val="single" w:sz="12" w:space="0" w:color="004540"/>
        <w:right w:val="none" w:sz="0" w:space="0" w:color="auto"/>
        <w:insideH w:val="single" w:sz="4" w:space="0" w:color="004540"/>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004540"/>
          <w:left w:val="nil"/>
          <w:bottom w:val="single" w:sz="12" w:space="0" w:color="004540"/>
          <w:right w:val="nil"/>
          <w:insideH w:val="nil"/>
          <w:insideV w:val="nil"/>
          <w:tl2br w:val="nil"/>
          <w:tr2bl w:val="nil"/>
        </w:tcBorders>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table" w:customStyle="1" w:styleId="TableGrid10">
    <w:name w:val="Table Grid1"/>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677986"/>
    <w:rPr>
      <w:color w:val="2B579A"/>
      <w:shd w:val="clear" w:color="auto" w:fill="E1DFDD"/>
    </w:rPr>
  </w:style>
  <w:style w:type="table" w:customStyle="1" w:styleId="TableGrid30">
    <w:name w:val="Table Grid3"/>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1">
    <w:name w:val="PBAC table1"/>
    <w:basedOn w:val="TableNormal"/>
    <w:next w:val="TableGrid"/>
    <w:uiPriority w:val="3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TableGrid11">
    <w:name w:val="Table Grid11"/>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
    <w:name w:val="ASD Table1"/>
    <w:basedOn w:val="TableNormal"/>
    <w:next w:val="TableGrid"/>
    <w:uiPriority w:val="5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TableGrid50">
    <w:name w:val="Table Grid5"/>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Australia1">
    <w:name w:val="MSD Australia1"/>
    <w:basedOn w:val="TableGrid"/>
    <w:uiPriority w:val="99"/>
    <w:rsid w:val="00677986"/>
    <w:pPr>
      <w:ind w:left="57" w:right="57"/>
    </w:pPr>
    <w:rPr>
      <w:rFonts w:ascii="Arial" w:eastAsiaTheme="minorHAnsi" w:hAnsi="Arial" w:cstheme="minorBidi"/>
      <w:lang w:eastAsia="en-US"/>
    </w:rPr>
    <w:tblPr>
      <w:tblBorders>
        <w:top w:val="single" w:sz="12" w:space="0" w:color="004540"/>
        <w:left w:val="none" w:sz="0" w:space="0" w:color="auto"/>
        <w:bottom w:val="single" w:sz="12" w:space="0" w:color="004540"/>
        <w:right w:val="none" w:sz="0" w:space="0" w:color="auto"/>
        <w:insideH w:val="single" w:sz="4" w:space="0" w:color="004540"/>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004540"/>
          <w:left w:val="nil"/>
          <w:bottom w:val="single" w:sz="12" w:space="0" w:color="004540"/>
          <w:right w:val="nil"/>
          <w:insideH w:val="nil"/>
          <w:insideV w:val="nil"/>
          <w:tl2br w:val="nil"/>
          <w:tr2bl w:val="nil"/>
        </w:tcBorders>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table" w:customStyle="1" w:styleId="TableGrid18">
    <w:name w:val="Table Grid18"/>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77986"/>
  </w:style>
  <w:style w:type="table" w:styleId="PlainTable2">
    <w:name w:val="Plain Table 2"/>
    <w:basedOn w:val="TableNormal"/>
    <w:uiPriority w:val="42"/>
    <w:rsid w:val="00677986"/>
    <w:rPr>
      <w:rFonts w:ascii="Arial" w:eastAsiaTheme="minorHAnsi" w:hAnsi="Arial"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9">
    <w:name w:val="Table Grid19"/>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67798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5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ExecSummTable101">
    <w:name w:val="Exec Summ Table101"/>
    <w:basedOn w:val="TableNormal"/>
    <w:uiPriority w:val="99"/>
    <w:rsid w:val="00677986"/>
    <w:pPr>
      <w:ind w:left="57" w:right="57"/>
    </w:pPr>
    <w:rPr>
      <w:rFonts w:ascii="Arial" w:eastAsiaTheme="minorHAnsi" w:hAnsi="Arial" w:cstheme="minorBidi"/>
      <w:sz w:val="18"/>
      <w:lang w:bidi="th-TH"/>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ExecSummTable1261">
    <w:name w:val="Exec Summ Table1261"/>
    <w:basedOn w:val="TableNormal"/>
    <w:uiPriority w:val="99"/>
    <w:rsid w:val="00677986"/>
    <w:pPr>
      <w:ind w:left="57" w:right="57"/>
    </w:pPr>
    <w:rPr>
      <w:rFonts w:ascii="Arial" w:eastAsiaTheme="minorHAnsi" w:hAnsi="Arial" w:cstheme="minorBidi"/>
      <w:sz w:val="18"/>
      <w:lang w:bidi="th-TH"/>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TableGrid3">
    <w:name w:val="MSD Table Grid3"/>
    <w:basedOn w:val="TableNormal"/>
    <w:next w:val="TableGrid"/>
    <w:uiPriority w:val="5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MSDTableGrid5">
    <w:name w:val="MSD Table Grid5"/>
    <w:basedOn w:val="TableNormal"/>
    <w:next w:val="TableGrid"/>
    <w:uiPriority w:val="5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MSDTableGrid6">
    <w:name w:val="MSD Table Grid6"/>
    <w:basedOn w:val="TableNormal"/>
    <w:next w:val="TableGrid"/>
    <w:uiPriority w:val="5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ASDTable11">
    <w:name w:val="ASD Table11"/>
    <w:basedOn w:val="TableNormal"/>
    <w:next w:val="TableGrid"/>
    <w:uiPriority w:val="5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ASDTable3">
    <w:name w:val="ASD Table3"/>
    <w:basedOn w:val="TableNormal"/>
    <w:next w:val="TableGrid"/>
    <w:uiPriority w:val="5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ASDTable4">
    <w:name w:val="ASD Table4"/>
    <w:basedOn w:val="TableNormal"/>
    <w:next w:val="TableGrid"/>
    <w:uiPriority w:val="5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MSDAustralia2">
    <w:name w:val="MSD Australia2"/>
    <w:basedOn w:val="TableGrid"/>
    <w:uiPriority w:val="99"/>
    <w:rsid w:val="00677986"/>
    <w:pPr>
      <w:ind w:left="57" w:right="57"/>
    </w:pPr>
    <w:rPr>
      <w:rFonts w:ascii="Arial" w:eastAsiaTheme="minorHAnsi" w:hAnsi="Arial" w:cstheme="minorBidi"/>
      <w:lang w:eastAsia="en-US"/>
    </w:rPr>
    <w:tblPr>
      <w:tblBorders>
        <w:top w:val="single" w:sz="12" w:space="0" w:color="004540"/>
        <w:left w:val="none" w:sz="0" w:space="0" w:color="auto"/>
        <w:bottom w:val="single" w:sz="12" w:space="0" w:color="004540"/>
        <w:right w:val="none" w:sz="0" w:space="0" w:color="auto"/>
        <w:insideH w:val="single" w:sz="4" w:space="0" w:color="004540"/>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004540"/>
          <w:left w:val="nil"/>
          <w:bottom w:val="single" w:sz="12" w:space="0" w:color="004540"/>
          <w:right w:val="nil"/>
          <w:insideH w:val="nil"/>
          <w:insideV w:val="nil"/>
          <w:tl2br w:val="nil"/>
          <w:tr2bl w:val="nil"/>
        </w:tcBorders>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table" w:customStyle="1" w:styleId="ExecSummTable2">
    <w:name w:val="Exec Summ Table2"/>
    <w:basedOn w:val="TableNormal"/>
    <w:uiPriority w:val="99"/>
    <w:rsid w:val="00677986"/>
    <w:pPr>
      <w:spacing w:after="80" w:line="360" w:lineRule="auto"/>
      <w:ind w:left="57" w:right="57"/>
    </w:pPr>
    <w:rPr>
      <w:rFonts w:ascii="Arial" w:eastAsiaTheme="minorHAnsi" w:hAnsi="Arial" w:cstheme="minorBidi"/>
      <w:sz w:val="18"/>
      <w:lang w:val="en-NZ"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customStyle="1" w:styleId="TableGrid61">
    <w:name w:val="Table Grid61"/>
    <w:basedOn w:val="TableNormal"/>
    <w:uiPriority w:val="39"/>
    <w:rsid w:val="00677986"/>
    <w:rPr>
      <w:rFonts w:ascii="Calibri" w:eastAsia="Arial"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677986"/>
    <w:rPr>
      <w:rFonts w:ascii="Calibri" w:eastAsia="Arial"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677986"/>
    <w:rPr>
      <w:rFonts w:ascii="Calibri" w:eastAsia="Arial"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677986"/>
    <w:rPr>
      <w:rFonts w:ascii="Calibri" w:eastAsia="Arial"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677986"/>
    <w:rPr>
      <w:rFonts w:ascii="Calibri" w:eastAsia="Arial"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677986"/>
    <w:rPr>
      <w:rFonts w:ascii="Calibri" w:eastAsia="Arial"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rsid w:val="00677986"/>
    <w:rPr>
      <w:rFonts w:ascii="Calibri" w:eastAsia="Arial"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ection3-footnotes1">
    <w:name w:val="Section 3- footnotes1"/>
    <w:basedOn w:val="TableNormal"/>
    <w:next w:val="TableGrid"/>
    <w:uiPriority w:val="3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Section3-footnotes2">
    <w:name w:val="Section 3- footnotes2"/>
    <w:basedOn w:val="TableNormal"/>
    <w:next w:val="TableGrid"/>
    <w:uiPriority w:val="3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Section3-footnotes3">
    <w:name w:val="Section 3- footnotes3"/>
    <w:basedOn w:val="TableNormal"/>
    <w:next w:val="TableGrid"/>
    <w:uiPriority w:val="3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customStyle="1" w:styleId="ExecSummTable11">
    <w:name w:val="Exec Summ Table11"/>
    <w:basedOn w:val="TableNormal"/>
    <w:uiPriority w:val="99"/>
    <w:rsid w:val="00677986"/>
    <w:pPr>
      <w:spacing w:after="80" w:line="360" w:lineRule="auto"/>
      <w:ind w:left="57" w:right="57"/>
    </w:pPr>
    <w:rPr>
      <w:rFonts w:ascii="Arial" w:eastAsiaTheme="minorHAnsi" w:hAnsi="Arial" w:cstheme="minorBidi"/>
      <w:sz w:val="18"/>
      <w:lang w:val="en-NZ"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customStyle="1" w:styleId="ExecSummTable21">
    <w:name w:val="Exec Summ Table21"/>
    <w:basedOn w:val="TableNormal"/>
    <w:uiPriority w:val="99"/>
    <w:rsid w:val="00677986"/>
    <w:pPr>
      <w:spacing w:after="80" w:line="360" w:lineRule="auto"/>
      <w:ind w:left="57" w:right="57"/>
    </w:pPr>
    <w:rPr>
      <w:rFonts w:ascii="Arial" w:eastAsiaTheme="minorHAnsi" w:hAnsi="Arial" w:cstheme="minorBidi"/>
      <w:sz w:val="18"/>
      <w:lang w:val="en-NZ"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customStyle="1" w:styleId="ExecSummTable3">
    <w:name w:val="Exec Summ Table3"/>
    <w:basedOn w:val="TableNormal"/>
    <w:uiPriority w:val="99"/>
    <w:rsid w:val="00677986"/>
    <w:pPr>
      <w:spacing w:after="80" w:line="360" w:lineRule="auto"/>
      <w:ind w:left="57" w:right="57"/>
    </w:pPr>
    <w:rPr>
      <w:rFonts w:ascii="Arial" w:eastAsiaTheme="minorHAnsi" w:hAnsi="Arial" w:cstheme="minorBidi"/>
      <w:sz w:val="18"/>
      <w:lang w:val="en-NZ"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customStyle="1" w:styleId="ExecSummTable4">
    <w:name w:val="Exec Summ Table4"/>
    <w:basedOn w:val="TableNormal"/>
    <w:uiPriority w:val="99"/>
    <w:rsid w:val="00677986"/>
    <w:pPr>
      <w:spacing w:after="80" w:line="360" w:lineRule="auto"/>
      <w:ind w:left="57" w:right="57"/>
    </w:pPr>
    <w:rPr>
      <w:rFonts w:ascii="Arial" w:eastAsiaTheme="minorHAnsi" w:hAnsi="Arial" w:cstheme="minorBidi"/>
      <w:sz w:val="18"/>
      <w:lang w:val="en-NZ"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customStyle="1" w:styleId="Section3-footnotes11">
    <w:name w:val="Section 3- footnotes11"/>
    <w:basedOn w:val="TableNormal"/>
    <w:next w:val="TableGrid"/>
    <w:uiPriority w:val="39"/>
    <w:rsid w:val="00677986"/>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table" w:styleId="ListTable5Dark-Accent4">
    <w:name w:val="List Table 5 Dark Accent 4"/>
    <w:basedOn w:val="TableNormal"/>
    <w:uiPriority w:val="50"/>
    <w:rsid w:val="0067798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fault">
    <w:name w:val="Default"/>
    <w:rsid w:val="00C01D10"/>
    <w:pPr>
      <w:autoSpaceDE w:val="0"/>
      <w:autoSpaceDN w:val="0"/>
      <w:adjustRightInd w:val="0"/>
    </w:pPr>
    <w:rPr>
      <w:color w:val="000000"/>
      <w:sz w:val="24"/>
      <w:szCs w:val="24"/>
      <w:lang w:val="en-US"/>
    </w:rPr>
  </w:style>
  <w:style w:type="table" w:customStyle="1" w:styleId="Section3-footnotes4">
    <w:name w:val="Section 3- footnotes4"/>
    <w:basedOn w:val="TableNormal"/>
    <w:next w:val="TableGrid"/>
    <w:uiPriority w:val="39"/>
    <w:rsid w:val="000D2F3D"/>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paragraph" w:customStyle="1" w:styleId="TableFigureFooter">
    <w:name w:val="Table/Figure Footer"/>
    <w:basedOn w:val="Normal"/>
    <w:link w:val="TableFigureFooterChar"/>
    <w:qFormat/>
    <w:rsid w:val="00DC37C1"/>
    <w:pPr>
      <w:widowControl/>
      <w:spacing w:after="120"/>
      <w:contextualSpacing/>
      <w:jc w:val="left"/>
    </w:pPr>
    <w:rPr>
      <w:rFonts w:ascii="Arial Narrow" w:hAnsi="Arial Narrow" w:cs="Times New Roman"/>
      <w:snapToGrid/>
      <w:sz w:val="18"/>
      <w:szCs w:val="24"/>
      <w:lang w:val="en-US" w:eastAsia="en-AU"/>
    </w:rPr>
  </w:style>
  <w:style w:type="character" w:customStyle="1" w:styleId="TableFigureFooterChar">
    <w:name w:val="Table/Figure Footer Char"/>
    <w:link w:val="TableFigureFooter"/>
    <w:rsid w:val="00DC37C1"/>
    <w:rPr>
      <w:rFonts w:ascii="Arial Narrow" w:hAnsi="Arial Narrow"/>
      <w:sz w:val="18"/>
      <w:szCs w:val="24"/>
      <w:lang w:val="en-US"/>
    </w:rPr>
  </w:style>
  <w:style w:type="table" w:customStyle="1" w:styleId="Section3-footnotes5">
    <w:name w:val="Section 3- footnotes5"/>
    <w:basedOn w:val="TableNormal"/>
    <w:next w:val="TableGrid"/>
    <w:uiPriority w:val="39"/>
    <w:rsid w:val="00FC1167"/>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character" w:customStyle="1" w:styleId="TableTextChar0">
    <w:name w:val="Table Text Char"/>
    <w:basedOn w:val="DefaultParagraphFont"/>
    <w:link w:val="TableText0"/>
    <w:locked/>
    <w:rsid w:val="00020E37"/>
    <w:rPr>
      <w:rFonts w:ascii="Arial Narrow" w:eastAsiaTheme="minorHAnsi" w:hAnsi="Arial Narrow" w:cstheme="minorBidi"/>
      <w:szCs w:val="22"/>
      <w:lang w:eastAsia="en-US"/>
    </w:rPr>
  </w:style>
  <w:style w:type="paragraph" w:customStyle="1" w:styleId="In-tableHeading">
    <w:name w:val="In-table Heading"/>
    <w:basedOn w:val="Normal"/>
    <w:qFormat/>
    <w:rsid w:val="006F3DBE"/>
    <w:pPr>
      <w:keepNext/>
      <w:widowControl/>
      <w:jc w:val="left"/>
    </w:pPr>
    <w:rPr>
      <w:rFonts w:ascii="Arial Narrow" w:eastAsiaTheme="minorHAnsi" w:hAnsi="Arial Narrow" w:cs="Calibri"/>
      <w:b/>
      <w:bCs/>
      <w:snapToGrid/>
      <w:sz w:val="20"/>
      <w:szCs w:val="20"/>
      <w:lang w:eastAsia="en-AU"/>
    </w:rPr>
  </w:style>
  <w:style w:type="character" w:customStyle="1" w:styleId="PBACHeading1Char">
    <w:name w:val="PBAC Heading 1 Char"/>
    <w:basedOn w:val="DefaultParagraphFont"/>
    <w:link w:val="PBACHeading1"/>
    <w:rsid w:val="00BA32CB"/>
    <w:rPr>
      <w:rFonts w:ascii="Calibri" w:hAnsi="Calibri" w:cs="Arial"/>
      <w:b/>
      <w:snapToGrid w:val="0"/>
      <w:sz w:val="32"/>
      <w:szCs w:val="22"/>
      <w:lang w:eastAsia="en-US"/>
    </w:rPr>
  </w:style>
  <w:style w:type="paragraph" w:customStyle="1" w:styleId="2-SectionHeading">
    <w:name w:val="2-Section Heading"/>
    <w:qFormat/>
    <w:rsid w:val="00BA32CB"/>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BA32CB"/>
    <w:pPr>
      <w:widowControl/>
      <w:spacing w:after="120"/>
      <w:ind w:hanging="720"/>
    </w:pPr>
    <w:rPr>
      <w:rFonts w:asciiTheme="minorHAnsi" w:hAnsiTheme="minorHAnsi"/>
      <w:szCs w:val="24"/>
      <w:lang w:eastAsia="en-AU"/>
    </w:rPr>
  </w:style>
  <w:style w:type="paragraph" w:customStyle="1" w:styleId="4-SubsectionHeading">
    <w:name w:val="4-Subsection Heading"/>
    <w:basedOn w:val="Heading2"/>
    <w:next w:val="3-BodyText"/>
    <w:link w:val="4-SubsectionHeadingChar"/>
    <w:qFormat/>
    <w:rsid w:val="000C5E2C"/>
    <w:pPr>
      <w:keepNext/>
      <w:widowControl/>
      <w:spacing w:before="120" w:after="120"/>
    </w:pPr>
    <w:rPr>
      <w:rFonts w:asciiTheme="minorHAnsi" w:eastAsiaTheme="majorEastAsia" w:hAnsiTheme="minorHAnsi" w:cstheme="majorBidi"/>
      <w:snapToGrid/>
      <w:spacing w:val="5"/>
      <w:kern w:val="28"/>
      <w:szCs w:val="36"/>
    </w:rPr>
  </w:style>
  <w:style w:type="character" w:customStyle="1" w:styleId="4-SubsectionHeadingChar">
    <w:name w:val="4-Subsection Heading Char"/>
    <w:basedOn w:val="Heading2Char"/>
    <w:link w:val="4-SubsectionHeading"/>
    <w:rsid w:val="000C5E2C"/>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0C5E2C"/>
    <w:pPr>
      <w:keepNext/>
      <w:keepLines/>
      <w:widowControl/>
      <w:spacing w:before="160" w:after="120"/>
    </w:pPr>
    <w:rPr>
      <w:rFonts w:asciiTheme="minorHAnsi" w:eastAsiaTheme="majorEastAsia" w:hAnsiTheme="minorHAnsi" w:cstheme="majorBidi"/>
      <w:b/>
      <w:snapToGrid/>
      <w:color w:val="000000" w:themeColor="text1"/>
      <w:szCs w:val="24"/>
      <w:u w:val="none"/>
      <w:lang w:eastAsia="en-AU"/>
    </w:rPr>
  </w:style>
  <w:style w:type="character" w:customStyle="1" w:styleId="5-SubsectionSubheadingChar">
    <w:name w:val="5-Subsection Subheading Char"/>
    <w:basedOn w:val="DefaultParagraphFont"/>
    <w:link w:val="5-SubsectionSubheading"/>
    <w:rsid w:val="000C5E2C"/>
    <w:rPr>
      <w:rFonts w:asciiTheme="minorHAnsi" w:eastAsiaTheme="majorEastAsia" w:hAnsiTheme="minorHAnsi" w:cstheme="majorBidi"/>
      <w:b/>
      <w:color w:val="000000" w:themeColor="text1"/>
      <w:sz w:val="24"/>
      <w:szCs w:val="24"/>
    </w:rPr>
  </w:style>
  <w:style w:type="table" w:customStyle="1" w:styleId="newstyle1">
    <w:name w:val="new style1"/>
    <w:basedOn w:val="TableNormal"/>
    <w:next w:val="TableGrid"/>
    <w:uiPriority w:val="59"/>
    <w:rsid w:val="0013458E"/>
    <w:rPr>
      <w:rFonts w:ascii="Arial Narrow" w:eastAsia="MS Gothic" w:hAnsi="Arial Narrow"/>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2">
    <w:name w:val="new style2"/>
    <w:basedOn w:val="TableNormal"/>
    <w:next w:val="TableGrid"/>
    <w:uiPriority w:val="59"/>
    <w:rsid w:val="0013458E"/>
    <w:rPr>
      <w:rFonts w:ascii="Arial Narrow" w:eastAsia="MS Gothic" w:hAnsi="Arial Narrow"/>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NotesChar">
    <w:name w:val="Table Notes Char"/>
    <w:basedOn w:val="DefaultParagraphFont"/>
    <w:link w:val="TableNotes"/>
    <w:uiPriority w:val="6"/>
    <w:locked/>
    <w:rsid w:val="0013458E"/>
    <w:rPr>
      <w:rFonts w:ascii="Arial Narrow" w:hAnsi="Arial Narrow" w:cstheme="majorBidi"/>
      <w:sz w:val="16"/>
    </w:rPr>
  </w:style>
  <w:style w:type="paragraph" w:customStyle="1" w:styleId="TableNotes">
    <w:name w:val="Table Notes"/>
    <w:basedOn w:val="Normal"/>
    <w:link w:val="TableNotesChar"/>
    <w:uiPriority w:val="6"/>
    <w:qFormat/>
    <w:rsid w:val="0013458E"/>
    <w:pPr>
      <w:widowControl/>
      <w:spacing w:after="40"/>
      <w:jc w:val="left"/>
    </w:pPr>
    <w:rPr>
      <w:rFonts w:ascii="Arial Narrow" w:hAnsi="Arial Narrow" w:cstheme="majorBidi"/>
      <w:snapToGrid/>
      <w:sz w:val="16"/>
      <w:szCs w:val="20"/>
      <w:lang w:eastAsia="en-AU"/>
    </w:rPr>
  </w:style>
  <w:style w:type="paragraph" w:customStyle="1" w:styleId="3Bodytext">
    <w:name w:val="3. Body text"/>
    <w:basedOn w:val="ListParagraph"/>
    <w:link w:val="3BodytextChar"/>
    <w:qFormat/>
    <w:rsid w:val="008A786D"/>
    <w:pPr>
      <w:widowControl/>
      <w:spacing w:after="120"/>
      <w:ind w:hanging="720"/>
      <w:jc w:val="left"/>
    </w:pPr>
    <w:rPr>
      <w:rFonts w:asciiTheme="minorHAnsi" w:hAnsiTheme="minorHAnsi" w:cstheme="minorBidi"/>
      <w:snapToGrid/>
      <w:lang w:eastAsia="en-AU"/>
    </w:rPr>
  </w:style>
  <w:style w:type="character" w:customStyle="1" w:styleId="3BodytextChar">
    <w:name w:val="3. Body text Char"/>
    <w:basedOn w:val="DefaultParagraphFont"/>
    <w:link w:val="3Bodytext"/>
    <w:rsid w:val="008A786D"/>
    <w:rPr>
      <w:rFonts w:asciiTheme="minorHAnsi" w:hAnsiTheme="minorHAnsi" w:cstheme="minorBidi"/>
      <w:sz w:val="24"/>
      <w:szCs w:val="22"/>
    </w:rPr>
  </w:style>
  <w:style w:type="table" w:customStyle="1" w:styleId="TableGrid181">
    <w:name w:val="Table Grid181"/>
    <w:basedOn w:val="TableNormal"/>
    <w:uiPriority w:val="39"/>
    <w:rsid w:val="007C0F7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1">
    <w:name w:val="HTAtableplain1"/>
    <w:basedOn w:val="TableNormal"/>
    <w:next w:val="TableGrid"/>
    <w:uiPriority w:val="39"/>
    <w:rsid w:val="00DC7D47"/>
    <w:rPr>
      <w:rFonts w:ascii="Symbol" w:eastAsia="Symbol" w:hAnsi="Symbol" w:cs="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A009E"/>
    <w:pPr>
      <w:widowControl/>
      <w:spacing w:before="100" w:beforeAutospacing="1" w:after="100" w:afterAutospacing="1"/>
      <w:jc w:val="left"/>
    </w:pPr>
    <w:rPr>
      <w:rFonts w:ascii="Times New Roman" w:hAnsi="Times New Roman" w:cs="Times New Roman"/>
      <w:snapToGrid/>
      <w:szCs w:val="24"/>
      <w:lang w:eastAsia="en-AU"/>
    </w:rPr>
  </w:style>
  <w:style w:type="character" w:customStyle="1" w:styleId="3-BodyTextChar">
    <w:name w:val="3-Body Text Char"/>
    <w:basedOn w:val="DefaultParagraphFont"/>
    <w:link w:val="3-BodyText"/>
    <w:rsid w:val="0019217E"/>
    <w:rPr>
      <w:rFonts w:asciiTheme="minorHAnsi" w:hAnsiTheme="minorHAnsi" w:cs="Arial"/>
      <w:snapToGrid w:val="0"/>
      <w:sz w:val="24"/>
      <w:szCs w:val="24"/>
    </w:rPr>
  </w:style>
  <w:style w:type="paragraph" w:customStyle="1" w:styleId="Tabletextcent">
    <w:name w:val="Table text cent"/>
    <w:basedOn w:val="Normal"/>
    <w:qFormat/>
    <w:rsid w:val="0019217E"/>
    <w:pPr>
      <w:widowControl/>
      <w:spacing w:before="20" w:after="20"/>
      <w:jc w:val="center"/>
    </w:pPr>
    <w:rPr>
      <w:rFonts w:asciiTheme="minorHAnsi" w:hAnsiTheme="minorHAnsi" w:cs="Times New Roman"/>
      <w:snapToGrid/>
      <w:sz w:val="18"/>
      <w:szCs w:val="20"/>
      <w:lang w:val="de-D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870">
      <w:bodyDiv w:val="1"/>
      <w:marLeft w:val="0"/>
      <w:marRight w:val="0"/>
      <w:marTop w:val="0"/>
      <w:marBottom w:val="0"/>
      <w:divBdr>
        <w:top w:val="none" w:sz="0" w:space="0" w:color="auto"/>
        <w:left w:val="none" w:sz="0" w:space="0" w:color="auto"/>
        <w:bottom w:val="none" w:sz="0" w:space="0" w:color="auto"/>
        <w:right w:val="none" w:sz="0" w:space="0" w:color="auto"/>
      </w:divBdr>
    </w:div>
    <w:div w:id="84034388">
      <w:bodyDiv w:val="1"/>
      <w:marLeft w:val="0"/>
      <w:marRight w:val="0"/>
      <w:marTop w:val="0"/>
      <w:marBottom w:val="0"/>
      <w:divBdr>
        <w:top w:val="none" w:sz="0" w:space="0" w:color="auto"/>
        <w:left w:val="none" w:sz="0" w:space="0" w:color="auto"/>
        <w:bottom w:val="none" w:sz="0" w:space="0" w:color="auto"/>
        <w:right w:val="none" w:sz="0" w:space="0" w:color="auto"/>
      </w:divBdr>
    </w:div>
    <w:div w:id="119421204">
      <w:bodyDiv w:val="1"/>
      <w:marLeft w:val="0"/>
      <w:marRight w:val="0"/>
      <w:marTop w:val="0"/>
      <w:marBottom w:val="0"/>
      <w:divBdr>
        <w:top w:val="none" w:sz="0" w:space="0" w:color="auto"/>
        <w:left w:val="none" w:sz="0" w:space="0" w:color="auto"/>
        <w:bottom w:val="none" w:sz="0" w:space="0" w:color="auto"/>
        <w:right w:val="none" w:sz="0" w:space="0" w:color="auto"/>
      </w:divBdr>
    </w:div>
    <w:div w:id="151484849">
      <w:bodyDiv w:val="1"/>
      <w:marLeft w:val="0"/>
      <w:marRight w:val="0"/>
      <w:marTop w:val="0"/>
      <w:marBottom w:val="0"/>
      <w:divBdr>
        <w:top w:val="none" w:sz="0" w:space="0" w:color="auto"/>
        <w:left w:val="none" w:sz="0" w:space="0" w:color="auto"/>
        <w:bottom w:val="none" w:sz="0" w:space="0" w:color="auto"/>
        <w:right w:val="none" w:sz="0" w:space="0" w:color="auto"/>
      </w:divBdr>
    </w:div>
    <w:div w:id="270359029">
      <w:bodyDiv w:val="1"/>
      <w:marLeft w:val="0"/>
      <w:marRight w:val="0"/>
      <w:marTop w:val="0"/>
      <w:marBottom w:val="0"/>
      <w:divBdr>
        <w:top w:val="none" w:sz="0" w:space="0" w:color="auto"/>
        <w:left w:val="none" w:sz="0" w:space="0" w:color="auto"/>
        <w:bottom w:val="none" w:sz="0" w:space="0" w:color="auto"/>
        <w:right w:val="none" w:sz="0" w:space="0" w:color="auto"/>
      </w:divBdr>
    </w:div>
    <w:div w:id="297535596">
      <w:bodyDiv w:val="1"/>
      <w:marLeft w:val="0"/>
      <w:marRight w:val="0"/>
      <w:marTop w:val="0"/>
      <w:marBottom w:val="0"/>
      <w:divBdr>
        <w:top w:val="none" w:sz="0" w:space="0" w:color="auto"/>
        <w:left w:val="none" w:sz="0" w:space="0" w:color="auto"/>
        <w:bottom w:val="none" w:sz="0" w:space="0" w:color="auto"/>
        <w:right w:val="none" w:sz="0" w:space="0" w:color="auto"/>
      </w:divBdr>
    </w:div>
    <w:div w:id="442767955">
      <w:bodyDiv w:val="1"/>
      <w:marLeft w:val="0"/>
      <w:marRight w:val="0"/>
      <w:marTop w:val="0"/>
      <w:marBottom w:val="0"/>
      <w:divBdr>
        <w:top w:val="none" w:sz="0" w:space="0" w:color="auto"/>
        <w:left w:val="none" w:sz="0" w:space="0" w:color="auto"/>
        <w:bottom w:val="none" w:sz="0" w:space="0" w:color="auto"/>
        <w:right w:val="none" w:sz="0" w:space="0" w:color="auto"/>
      </w:divBdr>
    </w:div>
    <w:div w:id="449513957">
      <w:bodyDiv w:val="1"/>
      <w:marLeft w:val="0"/>
      <w:marRight w:val="0"/>
      <w:marTop w:val="0"/>
      <w:marBottom w:val="0"/>
      <w:divBdr>
        <w:top w:val="none" w:sz="0" w:space="0" w:color="auto"/>
        <w:left w:val="none" w:sz="0" w:space="0" w:color="auto"/>
        <w:bottom w:val="none" w:sz="0" w:space="0" w:color="auto"/>
        <w:right w:val="none" w:sz="0" w:space="0" w:color="auto"/>
      </w:divBdr>
    </w:div>
    <w:div w:id="460155829">
      <w:bodyDiv w:val="1"/>
      <w:marLeft w:val="0"/>
      <w:marRight w:val="0"/>
      <w:marTop w:val="0"/>
      <w:marBottom w:val="0"/>
      <w:divBdr>
        <w:top w:val="none" w:sz="0" w:space="0" w:color="auto"/>
        <w:left w:val="none" w:sz="0" w:space="0" w:color="auto"/>
        <w:bottom w:val="none" w:sz="0" w:space="0" w:color="auto"/>
        <w:right w:val="none" w:sz="0" w:space="0" w:color="auto"/>
      </w:divBdr>
    </w:div>
    <w:div w:id="546143804">
      <w:bodyDiv w:val="1"/>
      <w:marLeft w:val="0"/>
      <w:marRight w:val="0"/>
      <w:marTop w:val="0"/>
      <w:marBottom w:val="0"/>
      <w:divBdr>
        <w:top w:val="none" w:sz="0" w:space="0" w:color="auto"/>
        <w:left w:val="none" w:sz="0" w:space="0" w:color="auto"/>
        <w:bottom w:val="none" w:sz="0" w:space="0" w:color="auto"/>
        <w:right w:val="none" w:sz="0" w:space="0" w:color="auto"/>
      </w:divBdr>
      <w:divsChild>
        <w:div w:id="594171494">
          <w:marLeft w:val="360"/>
          <w:marRight w:val="0"/>
          <w:marTop w:val="200"/>
          <w:marBottom w:val="0"/>
          <w:divBdr>
            <w:top w:val="none" w:sz="0" w:space="0" w:color="auto"/>
            <w:left w:val="none" w:sz="0" w:space="0" w:color="auto"/>
            <w:bottom w:val="none" w:sz="0" w:space="0" w:color="auto"/>
            <w:right w:val="none" w:sz="0" w:space="0" w:color="auto"/>
          </w:divBdr>
        </w:div>
      </w:divsChild>
    </w:div>
    <w:div w:id="549611614">
      <w:bodyDiv w:val="1"/>
      <w:marLeft w:val="0"/>
      <w:marRight w:val="0"/>
      <w:marTop w:val="0"/>
      <w:marBottom w:val="0"/>
      <w:divBdr>
        <w:top w:val="none" w:sz="0" w:space="0" w:color="auto"/>
        <w:left w:val="none" w:sz="0" w:space="0" w:color="auto"/>
        <w:bottom w:val="none" w:sz="0" w:space="0" w:color="auto"/>
        <w:right w:val="none" w:sz="0" w:space="0" w:color="auto"/>
      </w:divBdr>
    </w:div>
    <w:div w:id="558246422">
      <w:bodyDiv w:val="1"/>
      <w:marLeft w:val="0"/>
      <w:marRight w:val="0"/>
      <w:marTop w:val="0"/>
      <w:marBottom w:val="0"/>
      <w:divBdr>
        <w:top w:val="none" w:sz="0" w:space="0" w:color="auto"/>
        <w:left w:val="none" w:sz="0" w:space="0" w:color="auto"/>
        <w:bottom w:val="none" w:sz="0" w:space="0" w:color="auto"/>
        <w:right w:val="none" w:sz="0" w:space="0" w:color="auto"/>
      </w:divBdr>
    </w:div>
    <w:div w:id="566503107">
      <w:bodyDiv w:val="1"/>
      <w:marLeft w:val="0"/>
      <w:marRight w:val="0"/>
      <w:marTop w:val="0"/>
      <w:marBottom w:val="0"/>
      <w:divBdr>
        <w:top w:val="none" w:sz="0" w:space="0" w:color="auto"/>
        <w:left w:val="none" w:sz="0" w:space="0" w:color="auto"/>
        <w:bottom w:val="none" w:sz="0" w:space="0" w:color="auto"/>
        <w:right w:val="none" w:sz="0" w:space="0" w:color="auto"/>
      </w:divBdr>
    </w:div>
    <w:div w:id="628635397">
      <w:bodyDiv w:val="1"/>
      <w:marLeft w:val="0"/>
      <w:marRight w:val="0"/>
      <w:marTop w:val="0"/>
      <w:marBottom w:val="0"/>
      <w:divBdr>
        <w:top w:val="none" w:sz="0" w:space="0" w:color="auto"/>
        <w:left w:val="none" w:sz="0" w:space="0" w:color="auto"/>
        <w:bottom w:val="none" w:sz="0" w:space="0" w:color="auto"/>
        <w:right w:val="none" w:sz="0" w:space="0" w:color="auto"/>
      </w:divBdr>
    </w:div>
    <w:div w:id="772936575">
      <w:bodyDiv w:val="1"/>
      <w:marLeft w:val="0"/>
      <w:marRight w:val="0"/>
      <w:marTop w:val="0"/>
      <w:marBottom w:val="0"/>
      <w:divBdr>
        <w:top w:val="none" w:sz="0" w:space="0" w:color="auto"/>
        <w:left w:val="none" w:sz="0" w:space="0" w:color="auto"/>
        <w:bottom w:val="none" w:sz="0" w:space="0" w:color="auto"/>
        <w:right w:val="none" w:sz="0" w:space="0" w:color="auto"/>
      </w:divBdr>
    </w:div>
    <w:div w:id="791939932">
      <w:bodyDiv w:val="1"/>
      <w:marLeft w:val="0"/>
      <w:marRight w:val="0"/>
      <w:marTop w:val="0"/>
      <w:marBottom w:val="0"/>
      <w:divBdr>
        <w:top w:val="none" w:sz="0" w:space="0" w:color="auto"/>
        <w:left w:val="none" w:sz="0" w:space="0" w:color="auto"/>
        <w:bottom w:val="none" w:sz="0" w:space="0" w:color="auto"/>
        <w:right w:val="none" w:sz="0" w:space="0" w:color="auto"/>
      </w:divBdr>
    </w:div>
    <w:div w:id="795608509">
      <w:bodyDiv w:val="1"/>
      <w:marLeft w:val="0"/>
      <w:marRight w:val="0"/>
      <w:marTop w:val="0"/>
      <w:marBottom w:val="0"/>
      <w:divBdr>
        <w:top w:val="none" w:sz="0" w:space="0" w:color="auto"/>
        <w:left w:val="none" w:sz="0" w:space="0" w:color="auto"/>
        <w:bottom w:val="none" w:sz="0" w:space="0" w:color="auto"/>
        <w:right w:val="none" w:sz="0" w:space="0" w:color="auto"/>
      </w:divBdr>
    </w:div>
    <w:div w:id="825635136">
      <w:bodyDiv w:val="1"/>
      <w:marLeft w:val="0"/>
      <w:marRight w:val="0"/>
      <w:marTop w:val="0"/>
      <w:marBottom w:val="0"/>
      <w:divBdr>
        <w:top w:val="none" w:sz="0" w:space="0" w:color="auto"/>
        <w:left w:val="none" w:sz="0" w:space="0" w:color="auto"/>
        <w:bottom w:val="none" w:sz="0" w:space="0" w:color="auto"/>
        <w:right w:val="none" w:sz="0" w:space="0" w:color="auto"/>
      </w:divBdr>
      <w:divsChild>
        <w:div w:id="1008479648">
          <w:marLeft w:val="446"/>
          <w:marRight w:val="0"/>
          <w:marTop w:val="0"/>
          <w:marBottom w:val="0"/>
          <w:divBdr>
            <w:top w:val="none" w:sz="0" w:space="0" w:color="auto"/>
            <w:left w:val="none" w:sz="0" w:space="0" w:color="auto"/>
            <w:bottom w:val="none" w:sz="0" w:space="0" w:color="auto"/>
            <w:right w:val="none" w:sz="0" w:space="0" w:color="auto"/>
          </w:divBdr>
        </w:div>
        <w:div w:id="1237865083">
          <w:marLeft w:val="446"/>
          <w:marRight w:val="0"/>
          <w:marTop w:val="0"/>
          <w:marBottom w:val="0"/>
          <w:divBdr>
            <w:top w:val="none" w:sz="0" w:space="0" w:color="auto"/>
            <w:left w:val="none" w:sz="0" w:space="0" w:color="auto"/>
            <w:bottom w:val="none" w:sz="0" w:space="0" w:color="auto"/>
            <w:right w:val="none" w:sz="0" w:space="0" w:color="auto"/>
          </w:divBdr>
        </w:div>
        <w:div w:id="1885018641">
          <w:marLeft w:val="446"/>
          <w:marRight w:val="0"/>
          <w:marTop w:val="0"/>
          <w:marBottom w:val="0"/>
          <w:divBdr>
            <w:top w:val="none" w:sz="0" w:space="0" w:color="auto"/>
            <w:left w:val="none" w:sz="0" w:space="0" w:color="auto"/>
            <w:bottom w:val="none" w:sz="0" w:space="0" w:color="auto"/>
            <w:right w:val="none" w:sz="0" w:space="0" w:color="auto"/>
          </w:divBdr>
        </w:div>
        <w:div w:id="679355366">
          <w:marLeft w:val="446"/>
          <w:marRight w:val="0"/>
          <w:marTop w:val="0"/>
          <w:marBottom w:val="0"/>
          <w:divBdr>
            <w:top w:val="none" w:sz="0" w:space="0" w:color="auto"/>
            <w:left w:val="none" w:sz="0" w:space="0" w:color="auto"/>
            <w:bottom w:val="none" w:sz="0" w:space="0" w:color="auto"/>
            <w:right w:val="none" w:sz="0" w:space="0" w:color="auto"/>
          </w:divBdr>
        </w:div>
      </w:divsChild>
    </w:div>
    <w:div w:id="846165994">
      <w:bodyDiv w:val="1"/>
      <w:marLeft w:val="0"/>
      <w:marRight w:val="0"/>
      <w:marTop w:val="0"/>
      <w:marBottom w:val="0"/>
      <w:divBdr>
        <w:top w:val="none" w:sz="0" w:space="0" w:color="auto"/>
        <w:left w:val="none" w:sz="0" w:space="0" w:color="auto"/>
        <w:bottom w:val="none" w:sz="0" w:space="0" w:color="auto"/>
        <w:right w:val="none" w:sz="0" w:space="0" w:color="auto"/>
      </w:divBdr>
    </w:div>
    <w:div w:id="874775071">
      <w:bodyDiv w:val="1"/>
      <w:marLeft w:val="0"/>
      <w:marRight w:val="0"/>
      <w:marTop w:val="0"/>
      <w:marBottom w:val="0"/>
      <w:divBdr>
        <w:top w:val="none" w:sz="0" w:space="0" w:color="auto"/>
        <w:left w:val="none" w:sz="0" w:space="0" w:color="auto"/>
        <w:bottom w:val="none" w:sz="0" w:space="0" w:color="auto"/>
        <w:right w:val="none" w:sz="0" w:space="0" w:color="auto"/>
      </w:divBdr>
    </w:div>
    <w:div w:id="883716067">
      <w:bodyDiv w:val="1"/>
      <w:marLeft w:val="0"/>
      <w:marRight w:val="0"/>
      <w:marTop w:val="0"/>
      <w:marBottom w:val="0"/>
      <w:divBdr>
        <w:top w:val="none" w:sz="0" w:space="0" w:color="auto"/>
        <w:left w:val="none" w:sz="0" w:space="0" w:color="auto"/>
        <w:bottom w:val="none" w:sz="0" w:space="0" w:color="auto"/>
        <w:right w:val="none" w:sz="0" w:space="0" w:color="auto"/>
      </w:divBdr>
    </w:div>
    <w:div w:id="925918297">
      <w:bodyDiv w:val="1"/>
      <w:marLeft w:val="0"/>
      <w:marRight w:val="0"/>
      <w:marTop w:val="0"/>
      <w:marBottom w:val="0"/>
      <w:divBdr>
        <w:top w:val="none" w:sz="0" w:space="0" w:color="auto"/>
        <w:left w:val="none" w:sz="0" w:space="0" w:color="auto"/>
        <w:bottom w:val="none" w:sz="0" w:space="0" w:color="auto"/>
        <w:right w:val="none" w:sz="0" w:space="0" w:color="auto"/>
      </w:divBdr>
    </w:div>
    <w:div w:id="938097072">
      <w:bodyDiv w:val="1"/>
      <w:marLeft w:val="0"/>
      <w:marRight w:val="0"/>
      <w:marTop w:val="0"/>
      <w:marBottom w:val="0"/>
      <w:divBdr>
        <w:top w:val="none" w:sz="0" w:space="0" w:color="auto"/>
        <w:left w:val="none" w:sz="0" w:space="0" w:color="auto"/>
        <w:bottom w:val="none" w:sz="0" w:space="0" w:color="auto"/>
        <w:right w:val="none" w:sz="0" w:space="0" w:color="auto"/>
      </w:divBdr>
    </w:div>
    <w:div w:id="954822597">
      <w:bodyDiv w:val="1"/>
      <w:marLeft w:val="0"/>
      <w:marRight w:val="0"/>
      <w:marTop w:val="0"/>
      <w:marBottom w:val="0"/>
      <w:divBdr>
        <w:top w:val="none" w:sz="0" w:space="0" w:color="auto"/>
        <w:left w:val="none" w:sz="0" w:space="0" w:color="auto"/>
        <w:bottom w:val="none" w:sz="0" w:space="0" w:color="auto"/>
        <w:right w:val="none" w:sz="0" w:space="0" w:color="auto"/>
      </w:divBdr>
    </w:div>
    <w:div w:id="971523714">
      <w:bodyDiv w:val="1"/>
      <w:marLeft w:val="0"/>
      <w:marRight w:val="0"/>
      <w:marTop w:val="0"/>
      <w:marBottom w:val="0"/>
      <w:divBdr>
        <w:top w:val="none" w:sz="0" w:space="0" w:color="auto"/>
        <w:left w:val="none" w:sz="0" w:space="0" w:color="auto"/>
        <w:bottom w:val="none" w:sz="0" w:space="0" w:color="auto"/>
        <w:right w:val="none" w:sz="0" w:space="0" w:color="auto"/>
      </w:divBdr>
      <w:divsChild>
        <w:div w:id="1709991588">
          <w:marLeft w:val="446"/>
          <w:marRight w:val="0"/>
          <w:marTop w:val="0"/>
          <w:marBottom w:val="0"/>
          <w:divBdr>
            <w:top w:val="none" w:sz="0" w:space="0" w:color="auto"/>
            <w:left w:val="none" w:sz="0" w:space="0" w:color="auto"/>
            <w:bottom w:val="none" w:sz="0" w:space="0" w:color="auto"/>
            <w:right w:val="none" w:sz="0" w:space="0" w:color="auto"/>
          </w:divBdr>
        </w:div>
        <w:div w:id="152992288">
          <w:marLeft w:val="446"/>
          <w:marRight w:val="0"/>
          <w:marTop w:val="0"/>
          <w:marBottom w:val="0"/>
          <w:divBdr>
            <w:top w:val="none" w:sz="0" w:space="0" w:color="auto"/>
            <w:left w:val="none" w:sz="0" w:space="0" w:color="auto"/>
            <w:bottom w:val="none" w:sz="0" w:space="0" w:color="auto"/>
            <w:right w:val="none" w:sz="0" w:space="0" w:color="auto"/>
          </w:divBdr>
        </w:div>
      </w:divsChild>
    </w:div>
    <w:div w:id="1037389764">
      <w:bodyDiv w:val="1"/>
      <w:marLeft w:val="0"/>
      <w:marRight w:val="0"/>
      <w:marTop w:val="0"/>
      <w:marBottom w:val="0"/>
      <w:divBdr>
        <w:top w:val="none" w:sz="0" w:space="0" w:color="auto"/>
        <w:left w:val="none" w:sz="0" w:space="0" w:color="auto"/>
        <w:bottom w:val="none" w:sz="0" w:space="0" w:color="auto"/>
        <w:right w:val="none" w:sz="0" w:space="0" w:color="auto"/>
      </w:divBdr>
    </w:div>
    <w:div w:id="1062023388">
      <w:bodyDiv w:val="1"/>
      <w:marLeft w:val="0"/>
      <w:marRight w:val="0"/>
      <w:marTop w:val="0"/>
      <w:marBottom w:val="0"/>
      <w:divBdr>
        <w:top w:val="none" w:sz="0" w:space="0" w:color="auto"/>
        <w:left w:val="none" w:sz="0" w:space="0" w:color="auto"/>
        <w:bottom w:val="none" w:sz="0" w:space="0" w:color="auto"/>
        <w:right w:val="none" w:sz="0" w:space="0" w:color="auto"/>
      </w:divBdr>
      <w:divsChild>
        <w:div w:id="505873172">
          <w:marLeft w:val="446"/>
          <w:marRight w:val="0"/>
          <w:marTop w:val="0"/>
          <w:marBottom w:val="0"/>
          <w:divBdr>
            <w:top w:val="none" w:sz="0" w:space="0" w:color="auto"/>
            <w:left w:val="none" w:sz="0" w:space="0" w:color="auto"/>
            <w:bottom w:val="none" w:sz="0" w:space="0" w:color="auto"/>
            <w:right w:val="none" w:sz="0" w:space="0" w:color="auto"/>
          </w:divBdr>
        </w:div>
        <w:div w:id="188956955">
          <w:marLeft w:val="446"/>
          <w:marRight w:val="0"/>
          <w:marTop w:val="0"/>
          <w:marBottom w:val="0"/>
          <w:divBdr>
            <w:top w:val="none" w:sz="0" w:space="0" w:color="auto"/>
            <w:left w:val="none" w:sz="0" w:space="0" w:color="auto"/>
            <w:bottom w:val="none" w:sz="0" w:space="0" w:color="auto"/>
            <w:right w:val="none" w:sz="0" w:space="0" w:color="auto"/>
          </w:divBdr>
        </w:div>
        <w:div w:id="861671927">
          <w:marLeft w:val="446"/>
          <w:marRight w:val="0"/>
          <w:marTop w:val="0"/>
          <w:marBottom w:val="0"/>
          <w:divBdr>
            <w:top w:val="none" w:sz="0" w:space="0" w:color="auto"/>
            <w:left w:val="none" w:sz="0" w:space="0" w:color="auto"/>
            <w:bottom w:val="none" w:sz="0" w:space="0" w:color="auto"/>
            <w:right w:val="none" w:sz="0" w:space="0" w:color="auto"/>
          </w:divBdr>
        </w:div>
        <w:div w:id="1094394981">
          <w:marLeft w:val="446"/>
          <w:marRight w:val="0"/>
          <w:marTop w:val="0"/>
          <w:marBottom w:val="0"/>
          <w:divBdr>
            <w:top w:val="none" w:sz="0" w:space="0" w:color="auto"/>
            <w:left w:val="none" w:sz="0" w:space="0" w:color="auto"/>
            <w:bottom w:val="none" w:sz="0" w:space="0" w:color="auto"/>
            <w:right w:val="none" w:sz="0" w:space="0" w:color="auto"/>
          </w:divBdr>
        </w:div>
      </w:divsChild>
    </w:div>
    <w:div w:id="1083842397">
      <w:bodyDiv w:val="1"/>
      <w:marLeft w:val="0"/>
      <w:marRight w:val="0"/>
      <w:marTop w:val="0"/>
      <w:marBottom w:val="0"/>
      <w:divBdr>
        <w:top w:val="none" w:sz="0" w:space="0" w:color="auto"/>
        <w:left w:val="none" w:sz="0" w:space="0" w:color="auto"/>
        <w:bottom w:val="none" w:sz="0" w:space="0" w:color="auto"/>
        <w:right w:val="none" w:sz="0" w:space="0" w:color="auto"/>
      </w:divBdr>
    </w:div>
    <w:div w:id="1117872739">
      <w:bodyDiv w:val="1"/>
      <w:marLeft w:val="0"/>
      <w:marRight w:val="0"/>
      <w:marTop w:val="0"/>
      <w:marBottom w:val="0"/>
      <w:divBdr>
        <w:top w:val="none" w:sz="0" w:space="0" w:color="auto"/>
        <w:left w:val="none" w:sz="0" w:space="0" w:color="auto"/>
        <w:bottom w:val="none" w:sz="0" w:space="0" w:color="auto"/>
        <w:right w:val="none" w:sz="0" w:space="0" w:color="auto"/>
      </w:divBdr>
    </w:div>
    <w:div w:id="1241063791">
      <w:bodyDiv w:val="1"/>
      <w:marLeft w:val="0"/>
      <w:marRight w:val="0"/>
      <w:marTop w:val="0"/>
      <w:marBottom w:val="0"/>
      <w:divBdr>
        <w:top w:val="none" w:sz="0" w:space="0" w:color="auto"/>
        <w:left w:val="none" w:sz="0" w:space="0" w:color="auto"/>
        <w:bottom w:val="none" w:sz="0" w:space="0" w:color="auto"/>
        <w:right w:val="none" w:sz="0" w:space="0" w:color="auto"/>
      </w:divBdr>
    </w:div>
    <w:div w:id="1266230023">
      <w:bodyDiv w:val="1"/>
      <w:marLeft w:val="0"/>
      <w:marRight w:val="0"/>
      <w:marTop w:val="0"/>
      <w:marBottom w:val="0"/>
      <w:divBdr>
        <w:top w:val="none" w:sz="0" w:space="0" w:color="auto"/>
        <w:left w:val="none" w:sz="0" w:space="0" w:color="auto"/>
        <w:bottom w:val="none" w:sz="0" w:space="0" w:color="auto"/>
        <w:right w:val="none" w:sz="0" w:space="0" w:color="auto"/>
      </w:divBdr>
    </w:div>
    <w:div w:id="1313826304">
      <w:bodyDiv w:val="1"/>
      <w:marLeft w:val="0"/>
      <w:marRight w:val="0"/>
      <w:marTop w:val="0"/>
      <w:marBottom w:val="0"/>
      <w:divBdr>
        <w:top w:val="none" w:sz="0" w:space="0" w:color="auto"/>
        <w:left w:val="none" w:sz="0" w:space="0" w:color="auto"/>
        <w:bottom w:val="none" w:sz="0" w:space="0" w:color="auto"/>
        <w:right w:val="none" w:sz="0" w:space="0" w:color="auto"/>
      </w:divBdr>
      <w:divsChild>
        <w:div w:id="1685132305">
          <w:marLeft w:val="0"/>
          <w:marRight w:val="0"/>
          <w:marTop w:val="0"/>
          <w:marBottom w:val="0"/>
          <w:divBdr>
            <w:top w:val="none" w:sz="0" w:space="0" w:color="auto"/>
            <w:left w:val="none" w:sz="0" w:space="0" w:color="auto"/>
            <w:bottom w:val="none" w:sz="0" w:space="0" w:color="auto"/>
            <w:right w:val="none" w:sz="0" w:space="0" w:color="auto"/>
          </w:divBdr>
        </w:div>
      </w:divsChild>
    </w:div>
    <w:div w:id="1456221015">
      <w:bodyDiv w:val="1"/>
      <w:marLeft w:val="0"/>
      <w:marRight w:val="0"/>
      <w:marTop w:val="0"/>
      <w:marBottom w:val="0"/>
      <w:divBdr>
        <w:top w:val="none" w:sz="0" w:space="0" w:color="auto"/>
        <w:left w:val="none" w:sz="0" w:space="0" w:color="auto"/>
        <w:bottom w:val="none" w:sz="0" w:space="0" w:color="auto"/>
        <w:right w:val="none" w:sz="0" w:space="0" w:color="auto"/>
      </w:divBdr>
    </w:div>
    <w:div w:id="1506673422">
      <w:bodyDiv w:val="1"/>
      <w:marLeft w:val="0"/>
      <w:marRight w:val="0"/>
      <w:marTop w:val="0"/>
      <w:marBottom w:val="0"/>
      <w:divBdr>
        <w:top w:val="none" w:sz="0" w:space="0" w:color="auto"/>
        <w:left w:val="none" w:sz="0" w:space="0" w:color="auto"/>
        <w:bottom w:val="none" w:sz="0" w:space="0" w:color="auto"/>
        <w:right w:val="none" w:sz="0" w:space="0" w:color="auto"/>
      </w:divBdr>
    </w:div>
    <w:div w:id="1524326426">
      <w:bodyDiv w:val="1"/>
      <w:marLeft w:val="0"/>
      <w:marRight w:val="0"/>
      <w:marTop w:val="0"/>
      <w:marBottom w:val="0"/>
      <w:divBdr>
        <w:top w:val="none" w:sz="0" w:space="0" w:color="auto"/>
        <w:left w:val="none" w:sz="0" w:space="0" w:color="auto"/>
        <w:bottom w:val="none" w:sz="0" w:space="0" w:color="auto"/>
        <w:right w:val="none" w:sz="0" w:space="0" w:color="auto"/>
      </w:divBdr>
    </w:div>
    <w:div w:id="1687709673">
      <w:bodyDiv w:val="1"/>
      <w:marLeft w:val="0"/>
      <w:marRight w:val="0"/>
      <w:marTop w:val="0"/>
      <w:marBottom w:val="0"/>
      <w:divBdr>
        <w:top w:val="none" w:sz="0" w:space="0" w:color="auto"/>
        <w:left w:val="none" w:sz="0" w:space="0" w:color="auto"/>
        <w:bottom w:val="none" w:sz="0" w:space="0" w:color="auto"/>
        <w:right w:val="none" w:sz="0" w:space="0" w:color="auto"/>
      </w:divBdr>
    </w:div>
    <w:div w:id="1712225592">
      <w:bodyDiv w:val="1"/>
      <w:marLeft w:val="0"/>
      <w:marRight w:val="0"/>
      <w:marTop w:val="0"/>
      <w:marBottom w:val="0"/>
      <w:divBdr>
        <w:top w:val="none" w:sz="0" w:space="0" w:color="auto"/>
        <w:left w:val="none" w:sz="0" w:space="0" w:color="auto"/>
        <w:bottom w:val="none" w:sz="0" w:space="0" w:color="auto"/>
        <w:right w:val="none" w:sz="0" w:space="0" w:color="auto"/>
      </w:divBdr>
    </w:div>
    <w:div w:id="1753820275">
      <w:bodyDiv w:val="1"/>
      <w:marLeft w:val="0"/>
      <w:marRight w:val="0"/>
      <w:marTop w:val="0"/>
      <w:marBottom w:val="0"/>
      <w:divBdr>
        <w:top w:val="none" w:sz="0" w:space="0" w:color="auto"/>
        <w:left w:val="none" w:sz="0" w:space="0" w:color="auto"/>
        <w:bottom w:val="none" w:sz="0" w:space="0" w:color="auto"/>
        <w:right w:val="none" w:sz="0" w:space="0" w:color="auto"/>
      </w:divBdr>
    </w:div>
    <w:div w:id="1793669576">
      <w:bodyDiv w:val="1"/>
      <w:marLeft w:val="0"/>
      <w:marRight w:val="0"/>
      <w:marTop w:val="0"/>
      <w:marBottom w:val="0"/>
      <w:divBdr>
        <w:top w:val="none" w:sz="0" w:space="0" w:color="auto"/>
        <w:left w:val="none" w:sz="0" w:space="0" w:color="auto"/>
        <w:bottom w:val="none" w:sz="0" w:space="0" w:color="auto"/>
        <w:right w:val="none" w:sz="0" w:space="0" w:color="auto"/>
      </w:divBdr>
    </w:div>
    <w:div w:id="1829443825">
      <w:bodyDiv w:val="1"/>
      <w:marLeft w:val="0"/>
      <w:marRight w:val="0"/>
      <w:marTop w:val="0"/>
      <w:marBottom w:val="0"/>
      <w:divBdr>
        <w:top w:val="none" w:sz="0" w:space="0" w:color="auto"/>
        <w:left w:val="none" w:sz="0" w:space="0" w:color="auto"/>
        <w:bottom w:val="none" w:sz="0" w:space="0" w:color="auto"/>
        <w:right w:val="none" w:sz="0" w:space="0" w:color="auto"/>
      </w:divBdr>
    </w:div>
    <w:div w:id="1845896659">
      <w:bodyDiv w:val="1"/>
      <w:marLeft w:val="0"/>
      <w:marRight w:val="0"/>
      <w:marTop w:val="0"/>
      <w:marBottom w:val="0"/>
      <w:divBdr>
        <w:top w:val="none" w:sz="0" w:space="0" w:color="auto"/>
        <w:left w:val="none" w:sz="0" w:space="0" w:color="auto"/>
        <w:bottom w:val="none" w:sz="0" w:space="0" w:color="auto"/>
        <w:right w:val="none" w:sz="0" w:space="0" w:color="auto"/>
      </w:divBdr>
    </w:div>
    <w:div w:id="1897467726">
      <w:bodyDiv w:val="1"/>
      <w:marLeft w:val="0"/>
      <w:marRight w:val="0"/>
      <w:marTop w:val="0"/>
      <w:marBottom w:val="0"/>
      <w:divBdr>
        <w:top w:val="none" w:sz="0" w:space="0" w:color="auto"/>
        <w:left w:val="none" w:sz="0" w:space="0" w:color="auto"/>
        <w:bottom w:val="none" w:sz="0" w:space="0" w:color="auto"/>
        <w:right w:val="none" w:sz="0" w:space="0" w:color="auto"/>
      </w:divBdr>
    </w:div>
    <w:div w:id="2031445337">
      <w:bodyDiv w:val="1"/>
      <w:marLeft w:val="0"/>
      <w:marRight w:val="0"/>
      <w:marTop w:val="0"/>
      <w:marBottom w:val="0"/>
      <w:divBdr>
        <w:top w:val="none" w:sz="0" w:space="0" w:color="auto"/>
        <w:left w:val="none" w:sz="0" w:space="0" w:color="auto"/>
        <w:bottom w:val="none" w:sz="0" w:space="0" w:color="auto"/>
        <w:right w:val="none" w:sz="0" w:space="0" w:color="auto"/>
      </w:divBdr>
    </w:div>
    <w:div w:id="20427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82D3-3A78-4253-B1C5-94599DAE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18875</Words>
  <Characters>106756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2023-06-27T01:38:00Z</dcterms:created>
  <dcterms:modified xsi:type="dcterms:W3CDTF">2023-06-27T01:38:00Z</dcterms:modified>
</cp:coreProperties>
</file>