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BD2E5" w14:textId="3DD34327" w:rsidR="005304FD" w:rsidRPr="009E4EB8" w:rsidRDefault="00F82E3B" w:rsidP="005304FD">
      <w:pPr>
        <w:pStyle w:val="1-MainHeading"/>
      </w:pPr>
      <w:bookmarkStart w:id="0" w:name="_Toc22898842"/>
      <w:bookmarkStart w:id="1" w:name="_Toc93422853"/>
      <w:bookmarkStart w:id="2" w:name="_Toc341702043"/>
      <w:bookmarkStart w:id="3" w:name="_Toc380742621"/>
      <w:bookmarkStart w:id="4" w:name="_Toc380746188"/>
      <w:bookmarkStart w:id="5" w:name="_Toc380746314"/>
      <w:bookmarkStart w:id="6" w:name="_Toc380746595"/>
      <w:r w:rsidRPr="009E4EB8">
        <w:t>7.09</w:t>
      </w:r>
      <w:r w:rsidR="005304FD" w:rsidRPr="009E4EB8">
        <w:tab/>
      </w:r>
      <w:bookmarkEnd w:id="0"/>
      <w:r w:rsidR="00E345B7" w:rsidRPr="009E4EB8">
        <w:t>SELINEXOR,</w:t>
      </w:r>
      <w:r w:rsidR="00E345B7" w:rsidRPr="009E4EB8">
        <w:br/>
        <w:t>Tablet 20 mg,</w:t>
      </w:r>
      <w:r w:rsidR="00E345B7" w:rsidRPr="009E4EB8" w:rsidDel="00234902">
        <w:t xml:space="preserve"> </w:t>
      </w:r>
      <w:r w:rsidR="00E345B7" w:rsidRPr="009E4EB8">
        <w:br/>
        <w:t>Xpovio®,</w:t>
      </w:r>
      <w:r w:rsidR="00E345B7" w:rsidRPr="009E4EB8">
        <w:br/>
        <w:t>Antengene Australia Pty Ltd.</w:t>
      </w:r>
      <w:bookmarkEnd w:id="1"/>
    </w:p>
    <w:p w14:paraId="38AE4A59" w14:textId="77777777" w:rsidR="005304FD" w:rsidRPr="009E4EB8" w:rsidRDefault="005304FD" w:rsidP="005304FD">
      <w:pPr>
        <w:pStyle w:val="2-SectionHeading"/>
        <w:numPr>
          <w:ilvl w:val="0"/>
          <w:numId w:val="1"/>
        </w:numPr>
      </w:pPr>
      <w:bookmarkStart w:id="7" w:name="_Toc22898844"/>
      <w:bookmarkStart w:id="8" w:name="_Toc93422855"/>
      <w:r w:rsidRPr="009E4EB8">
        <w:t>Purpose of submission</w:t>
      </w:r>
      <w:bookmarkEnd w:id="7"/>
      <w:bookmarkEnd w:id="8"/>
    </w:p>
    <w:p w14:paraId="389F480B" w14:textId="0D24206A" w:rsidR="003853AB" w:rsidRPr="009E4EB8" w:rsidRDefault="003853AB" w:rsidP="003853AB">
      <w:pPr>
        <w:pStyle w:val="3-BodyText"/>
      </w:pPr>
      <w:r w:rsidRPr="009E4EB8">
        <w:t xml:space="preserve">The </w:t>
      </w:r>
      <w:r w:rsidR="00E82D18" w:rsidRPr="009E4EB8">
        <w:t xml:space="preserve">standard re-entry </w:t>
      </w:r>
      <w:r w:rsidRPr="009E4EB8">
        <w:t>resubmission requested a Section 100 (Highly Specialised Drug), Authority Required (</w:t>
      </w:r>
      <w:r w:rsidR="00397FF5" w:rsidRPr="009E4EB8">
        <w:t>telephone/electronic</w:t>
      </w:r>
      <w:r w:rsidRPr="009E4EB8">
        <w:t xml:space="preserve">) listing for selinexor in combination with dexamethasone (Sd) </w:t>
      </w:r>
      <w:r w:rsidR="00F3066E" w:rsidRPr="009E4EB8">
        <w:t xml:space="preserve">for the treatment of patients with relapsed and/or refractory multiple myeloma (RRMM), who had received at least four prior </w:t>
      </w:r>
      <w:r w:rsidR="00900CE5" w:rsidRPr="009E4EB8">
        <w:t xml:space="preserve">lines of therapy </w:t>
      </w:r>
      <w:r w:rsidR="00F3066E" w:rsidRPr="009E4EB8">
        <w:t>and whose disease is refractory to a</w:t>
      </w:r>
      <w:r w:rsidR="00184199" w:rsidRPr="009E4EB8">
        <w:t>t</w:t>
      </w:r>
      <w:r w:rsidR="00F3066E" w:rsidRPr="009E4EB8">
        <w:t xml:space="preserve"> least two proteasome inhibitors (PIs), at least </w:t>
      </w:r>
      <w:r w:rsidR="00BD0038" w:rsidRPr="009E4EB8">
        <w:t>two immunomodulatory agents (</w:t>
      </w:r>
      <w:proofErr w:type="spellStart"/>
      <w:r w:rsidR="00BD0038" w:rsidRPr="009E4EB8">
        <w:t>IMi</w:t>
      </w:r>
      <w:r w:rsidR="00F3066E" w:rsidRPr="009E4EB8">
        <w:t>Ds</w:t>
      </w:r>
      <w:proofErr w:type="spellEnd"/>
      <w:r w:rsidR="00F3066E" w:rsidRPr="009E4EB8">
        <w:t>) and an anti</w:t>
      </w:r>
      <w:r w:rsidR="00F3066E" w:rsidRPr="009E4EB8">
        <w:noBreakHyphen/>
        <w:t xml:space="preserve">CD38 monoclonal antibody (mAb); referred in the resubmission as triple-class-refractory and penta-refractory multiple myeloma (TCR/PR MM). </w:t>
      </w:r>
    </w:p>
    <w:p w14:paraId="4C16CE62" w14:textId="7DEAE1BE" w:rsidR="00ED560D" w:rsidRPr="009E4EB8" w:rsidRDefault="00ED560D" w:rsidP="00ED560D">
      <w:pPr>
        <w:pStyle w:val="3-BodyText"/>
      </w:pPr>
      <w:r w:rsidRPr="009E4EB8">
        <w:t xml:space="preserve">Listing was requested </w:t>
      </w:r>
      <w:proofErr w:type="gramStart"/>
      <w:r w:rsidRPr="009E4EB8">
        <w:t>on the basis of</w:t>
      </w:r>
      <w:proofErr w:type="gramEnd"/>
      <w:r w:rsidRPr="009E4EB8">
        <w:t xml:space="preserve"> a cost-utility analysis </w:t>
      </w:r>
      <w:r w:rsidR="00640A47" w:rsidRPr="009E4EB8">
        <w:t xml:space="preserve">(CUA) </w:t>
      </w:r>
      <w:r w:rsidRPr="009E4EB8">
        <w:t>versus salvage chemotherapy, represented by dexamethasone</w:t>
      </w:r>
      <w:r w:rsidR="00561CCD" w:rsidRPr="009E4EB8">
        <w:t xml:space="preserve"> +</w:t>
      </w:r>
      <w:r w:rsidRPr="009E4EB8">
        <w:t xml:space="preserve"> cyclophosphamide</w:t>
      </w:r>
      <w:r w:rsidR="00561CCD" w:rsidRPr="009E4EB8">
        <w:t xml:space="preserve"> +</w:t>
      </w:r>
      <w:r w:rsidRPr="009E4EB8">
        <w:t xml:space="preserve"> etoposide</w:t>
      </w:r>
      <w:r w:rsidR="00561CCD" w:rsidRPr="009E4EB8">
        <w:t xml:space="preserve"> + </w:t>
      </w:r>
      <w:r w:rsidRPr="009E4EB8">
        <w:t>cisplatin (DCEP), as the main comparator. The components of the overall clinical issue addressed by the submission are summarised in</w:t>
      </w:r>
      <w:r w:rsidR="00BC3A69" w:rsidRPr="009E4EB8">
        <w:t xml:space="preserve"> </w:t>
      </w:r>
      <w:r w:rsidR="006C2945" w:rsidRPr="009E4EB8">
        <w:rPr>
          <w:rFonts w:cstheme="minorHAnsi"/>
        </w:rPr>
        <w:t>Table 1</w:t>
      </w:r>
      <w:r w:rsidRPr="009E4EB8">
        <w:rPr>
          <w:rFonts w:cstheme="minorHAnsi"/>
        </w:rPr>
        <w:t>.</w:t>
      </w:r>
      <w:r w:rsidRPr="009E4EB8">
        <w:t xml:space="preserve"> </w:t>
      </w:r>
    </w:p>
    <w:p w14:paraId="429A4E4E" w14:textId="47718233" w:rsidR="005304FD" w:rsidRPr="009E4EB8" w:rsidRDefault="00BC3A69" w:rsidP="000D4FB9">
      <w:pPr>
        <w:pStyle w:val="Caption"/>
        <w:keepNext/>
        <w:keepLines/>
        <w:spacing w:after="0"/>
        <w:jc w:val="left"/>
        <w:rPr>
          <w:rStyle w:val="CommentReference"/>
          <w:b/>
          <w:color w:val="auto"/>
          <w:szCs w:val="20"/>
        </w:rPr>
      </w:pPr>
      <w:bookmarkStart w:id="9" w:name="_Ref90898749"/>
      <w:bookmarkStart w:id="10" w:name="_Ref90898745"/>
      <w:r w:rsidRPr="009E4EB8">
        <w:rPr>
          <w:rFonts w:ascii="Arial Narrow" w:hAnsi="Arial Narrow"/>
          <w:color w:val="auto"/>
          <w:sz w:val="20"/>
          <w:szCs w:val="20"/>
        </w:rPr>
        <w:t xml:space="preserve">Table </w:t>
      </w:r>
      <w:r w:rsidRPr="009E4EB8">
        <w:rPr>
          <w:rFonts w:ascii="Arial Narrow" w:hAnsi="Arial Narrow"/>
          <w:color w:val="auto"/>
          <w:sz w:val="20"/>
          <w:szCs w:val="20"/>
        </w:rPr>
        <w:fldChar w:fldCharType="begin"/>
      </w:r>
      <w:r w:rsidRPr="009E4EB8">
        <w:rPr>
          <w:rFonts w:ascii="Arial Narrow" w:hAnsi="Arial Narrow"/>
          <w:color w:val="auto"/>
          <w:sz w:val="20"/>
          <w:szCs w:val="20"/>
        </w:rPr>
        <w:instrText xml:space="preserve"> SEQ Table \* ARABIC </w:instrText>
      </w:r>
      <w:r w:rsidRPr="009E4EB8">
        <w:rPr>
          <w:rFonts w:ascii="Arial Narrow" w:hAnsi="Arial Narrow"/>
          <w:color w:val="auto"/>
          <w:sz w:val="20"/>
          <w:szCs w:val="20"/>
        </w:rPr>
        <w:fldChar w:fldCharType="separate"/>
      </w:r>
      <w:r w:rsidR="00964E38">
        <w:rPr>
          <w:rFonts w:ascii="Arial Narrow" w:hAnsi="Arial Narrow"/>
          <w:noProof/>
          <w:color w:val="auto"/>
          <w:sz w:val="20"/>
          <w:szCs w:val="20"/>
        </w:rPr>
        <w:t>1</w:t>
      </w:r>
      <w:r w:rsidRPr="009E4EB8">
        <w:rPr>
          <w:rFonts w:ascii="Arial Narrow" w:hAnsi="Arial Narrow"/>
          <w:color w:val="auto"/>
          <w:sz w:val="20"/>
          <w:szCs w:val="20"/>
        </w:rPr>
        <w:fldChar w:fldCharType="end"/>
      </w:r>
      <w:bookmarkEnd w:id="9"/>
      <w:r w:rsidRPr="009E4EB8">
        <w:rPr>
          <w:rFonts w:ascii="Arial Narrow" w:hAnsi="Arial Narrow"/>
          <w:color w:val="auto"/>
          <w:sz w:val="20"/>
          <w:szCs w:val="20"/>
        </w:rPr>
        <w:t xml:space="preserve">: </w:t>
      </w:r>
      <w:bookmarkStart w:id="11" w:name="_Ref90898771"/>
      <w:r w:rsidR="005304FD" w:rsidRPr="009E4EB8">
        <w:rPr>
          <w:rStyle w:val="CommentReference"/>
          <w:b/>
          <w:color w:val="auto"/>
          <w:szCs w:val="20"/>
        </w:rPr>
        <w:t>Key components of the clinical issue addressed by the submission (as stated in the submission)</w:t>
      </w:r>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361"/>
      </w:tblGrid>
      <w:tr w:rsidR="004635D7" w:rsidRPr="009E4EB8" w14:paraId="7D094267" w14:textId="77777777" w:rsidTr="00D041EE">
        <w:tc>
          <w:tcPr>
            <w:tcW w:w="1668" w:type="dxa"/>
            <w:vAlign w:val="center"/>
          </w:tcPr>
          <w:p w14:paraId="6E3E1FA0" w14:textId="77777777" w:rsidR="004635D7" w:rsidRPr="009E4EB8" w:rsidRDefault="004635D7" w:rsidP="000D4FB9">
            <w:pPr>
              <w:pStyle w:val="In-tableHeading"/>
              <w:keepLines/>
              <w:rPr>
                <w:lang w:val="en-AU"/>
              </w:rPr>
            </w:pPr>
            <w:r w:rsidRPr="009E4EB8">
              <w:rPr>
                <w:lang w:val="en-AU"/>
              </w:rPr>
              <w:t>Component</w:t>
            </w:r>
          </w:p>
        </w:tc>
        <w:tc>
          <w:tcPr>
            <w:tcW w:w="7488" w:type="dxa"/>
            <w:vAlign w:val="center"/>
          </w:tcPr>
          <w:p w14:paraId="605020DA" w14:textId="77777777" w:rsidR="004635D7" w:rsidRPr="009E4EB8" w:rsidRDefault="004635D7" w:rsidP="000D4FB9">
            <w:pPr>
              <w:pStyle w:val="In-tableHeading"/>
              <w:keepLines/>
              <w:rPr>
                <w:lang w:val="en-AU"/>
              </w:rPr>
            </w:pPr>
            <w:r w:rsidRPr="009E4EB8">
              <w:rPr>
                <w:lang w:val="en-AU"/>
              </w:rPr>
              <w:t>Description</w:t>
            </w:r>
          </w:p>
        </w:tc>
      </w:tr>
      <w:tr w:rsidR="004635D7" w:rsidRPr="009E4EB8" w14:paraId="6B958C00" w14:textId="77777777" w:rsidTr="00D041EE">
        <w:tc>
          <w:tcPr>
            <w:tcW w:w="1668" w:type="dxa"/>
            <w:shd w:val="clear" w:color="auto" w:fill="C6D9F1" w:themeFill="text2" w:themeFillTint="33"/>
            <w:vAlign w:val="center"/>
          </w:tcPr>
          <w:p w14:paraId="6745693E" w14:textId="77777777" w:rsidR="004635D7" w:rsidRPr="009E4EB8" w:rsidRDefault="004635D7" w:rsidP="000D4FB9">
            <w:pPr>
              <w:pStyle w:val="TableText0"/>
              <w:keepLines/>
            </w:pPr>
            <w:r w:rsidRPr="009E4EB8">
              <w:t>Population</w:t>
            </w:r>
          </w:p>
        </w:tc>
        <w:tc>
          <w:tcPr>
            <w:tcW w:w="7488" w:type="dxa"/>
            <w:shd w:val="clear" w:color="auto" w:fill="C6D9F1" w:themeFill="text2" w:themeFillTint="33"/>
          </w:tcPr>
          <w:p w14:paraId="6CE36B3A" w14:textId="77777777" w:rsidR="004635D7" w:rsidRPr="009E4EB8" w:rsidRDefault="004635D7" w:rsidP="000D4FB9">
            <w:pPr>
              <w:pStyle w:val="TableText0"/>
              <w:keepLines/>
            </w:pPr>
            <w:r w:rsidRPr="009E4EB8">
              <w:t>Adult patients with relapsed and/or refractory multiple myeloma, who have received at least four prior therapies and whose disease is refractory to at least two proteasome inhibitors, at least two immunomodulatory agents, and an anti-CD38 monoclonal antibody</w:t>
            </w:r>
          </w:p>
        </w:tc>
      </w:tr>
      <w:tr w:rsidR="004635D7" w:rsidRPr="009E4EB8" w14:paraId="1B139510" w14:textId="77777777" w:rsidTr="00D041EE">
        <w:tc>
          <w:tcPr>
            <w:tcW w:w="1668" w:type="dxa"/>
            <w:shd w:val="clear" w:color="auto" w:fill="C6D9F1" w:themeFill="text2" w:themeFillTint="33"/>
            <w:vAlign w:val="center"/>
          </w:tcPr>
          <w:p w14:paraId="6328C69F" w14:textId="77777777" w:rsidR="004635D7" w:rsidRPr="009E4EB8" w:rsidRDefault="004635D7" w:rsidP="000D4FB9">
            <w:pPr>
              <w:pStyle w:val="TableText0"/>
              <w:keepLines/>
            </w:pPr>
            <w:r w:rsidRPr="009E4EB8">
              <w:t>Intervention</w:t>
            </w:r>
          </w:p>
        </w:tc>
        <w:tc>
          <w:tcPr>
            <w:tcW w:w="7488" w:type="dxa"/>
            <w:shd w:val="clear" w:color="auto" w:fill="C6D9F1" w:themeFill="text2" w:themeFillTint="33"/>
          </w:tcPr>
          <w:p w14:paraId="2E58ADE2" w14:textId="77777777" w:rsidR="004635D7" w:rsidRPr="009E4EB8" w:rsidRDefault="004635D7" w:rsidP="000D4FB9">
            <w:pPr>
              <w:pStyle w:val="TableText0"/>
              <w:keepLines/>
            </w:pPr>
            <w:r w:rsidRPr="009E4EB8">
              <w:t xml:space="preserve">Selinexor 80 mg twice weekly, oral tablet </w:t>
            </w:r>
            <w:r w:rsidRPr="009E4EB8">
              <w:rPr>
                <w:vertAlign w:val="superscript"/>
              </w:rPr>
              <w:t>a</w:t>
            </w:r>
            <w:r w:rsidRPr="009E4EB8">
              <w:t>, in combination with low-dose dexamethasone (20 mg)</w:t>
            </w:r>
          </w:p>
        </w:tc>
      </w:tr>
      <w:tr w:rsidR="004635D7" w:rsidRPr="009E4EB8" w14:paraId="1ED39376" w14:textId="77777777" w:rsidTr="00D041EE">
        <w:tc>
          <w:tcPr>
            <w:tcW w:w="1668" w:type="dxa"/>
            <w:shd w:val="clear" w:color="auto" w:fill="C6D9F1" w:themeFill="text2" w:themeFillTint="33"/>
            <w:vAlign w:val="center"/>
          </w:tcPr>
          <w:p w14:paraId="594A581C" w14:textId="77777777" w:rsidR="004635D7" w:rsidRPr="009E4EB8" w:rsidRDefault="004635D7" w:rsidP="000D4FB9">
            <w:pPr>
              <w:pStyle w:val="TableText0"/>
              <w:keepLines/>
            </w:pPr>
            <w:r w:rsidRPr="009E4EB8">
              <w:t>Comparator</w:t>
            </w:r>
          </w:p>
        </w:tc>
        <w:tc>
          <w:tcPr>
            <w:tcW w:w="7488" w:type="dxa"/>
            <w:shd w:val="clear" w:color="auto" w:fill="C6D9F1" w:themeFill="text2" w:themeFillTint="33"/>
          </w:tcPr>
          <w:p w14:paraId="14230716" w14:textId="77777777" w:rsidR="004635D7" w:rsidRPr="009E4EB8" w:rsidRDefault="004635D7" w:rsidP="000D4FB9">
            <w:pPr>
              <w:pStyle w:val="TableText0"/>
              <w:keepLines/>
              <w:rPr>
                <w:vertAlign w:val="superscript"/>
              </w:rPr>
            </w:pPr>
            <w:r w:rsidRPr="009E4EB8">
              <w:t xml:space="preserve">Salvage chemotherapy </w:t>
            </w:r>
            <w:r w:rsidRPr="009E4EB8">
              <w:rPr>
                <w:vertAlign w:val="superscript"/>
              </w:rPr>
              <w:t>b</w:t>
            </w:r>
          </w:p>
        </w:tc>
      </w:tr>
      <w:tr w:rsidR="004635D7" w:rsidRPr="009E4EB8" w14:paraId="012A4848" w14:textId="77777777" w:rsidTr="00D041EE">
        <w:tc>
          <w:tcPr>
            <w:tcW w:w="1668" w:type="dxa"/>
            <w:shd w:val="clear" w:color="auto" w:fill="C6D9F1" w:themeFill="text2" w:themeFillTint="33"/>
            <w:vAlign w:val="center"/>
          </w:tcPr>
          <w:p w14:paraId="35CCDFBF" w14:textId="77777777" w:rsidR="004635D7" w:rsidRPr="009E4EB8" w:rsidRDefault="004635D7" w:rsidP="000D4FB9">
            <w:pPr>
              <w:pStyle w:val="TableText0"/>
              <w:keepLines/>
            </w:pPr>
            <w:r w:rsidRPr="009E4EB8">
              <w:t>Outcomes</w:t>
            </w:r>
          </w:p>
        </w:tc>
        <w:tc>
          <w:tcPr>
            <w:tcW w:w="7488" w:type="dxa"/>
            <w:shd w:val="clear" w:color="auto" w:fill="C6D9F1" w:themeFill="text2" w:themeFillTint="33"/>
          </w:tcPr>
          <w:p w14:paraId="0FB07FFA" w14:textId="77777777" w:rsidR="004635D7" w:rsidRPr="009E4EB8" w:rsidRDefault="004635D7" w:rsidP="000D4FB9">
            <w:pPr>
              <w:pStyle w:val="TableText0"/>
              <w:keepLines/>
            </w:pPr>
            <w:r w:rsidRPr="009E4EB8">
              <w:t>Overall response rate, progression-free and overall survival, safety</w:t>
            </w:r>
          </w:p>
        </w:tc>
      </w:tr>
      <w:tr w:rsidR="004635D7" w:rsidRPr="009E4EB8" w14:paraId="510F2BF6" w14:textId="77777777" w:rsidTr="00D041EE">
        <w:tc>
          <w:tcPr>
            <w:tcW w:w="1668" w:type="dxa"/>
            <w:vAlign w:val="center"/>
          </w:tcPr>
          <w:p w14:paraId="4E2396F2" w14:textId="77777777" w:rsidR="004635D7" w:rsidRPr="009E4EB8" w:rsidRDefault="004635D7" w:rsidP="000D4FB9">
            <w:pPr>
              <w:pStyle w:val="TableText0"/>
              <w:keepLines/>
            </w:pPr>
            <w:r w:rsidRPr="009E4EB8">
              <w:t>Clinical claim</w:t>
            </w:r>
          </w:p>
        </w:tc>
        <w:tc>
          <w:tcPr>
            <w:tcW w:w="7488" w:type="dxa"/>
          </w:tcPr>
          <w:p w14:paraId="4662A2DF" w14:textId="77777777" w:rsidR="004635D7" w:rsidRPr="009E4EB8" w:rsidRDefault="004635D7" w:rsidP="000D4FB9">
            <w:pPr>
              <w:pStyle w:val="TableText0"/>
              <w:keepLines/>
              <w:rPr>
                <w:vertAlign w:val="superscript"/>
              </w:rPr>
            </w:pPr>
            <w:r w:rsidRPr="009E4EB8">
              <w:t xml:space="preserve">XPOVIO (selinexor) in combination with dexamethasone has superior efficacy and at least non-inferior safety relative to salvage chemotherapy </w:t>
            </w:r>
            <w:r w:rsidRPr="009E4EB8">
              <w:rPr>
                <w:vertAlign w:val="superscript"/>
              </w:rPr>
              <w:t>c</w:t>
            </w:r>
          </w:p>
        </w:tc>
      </w:tr>
    </w:tbl>
    <w:p w14:paraId="3B01418B" w14:textId="77777777" w:rsidR="004635D7" w:rsidRPr="009E4EB8" w:rsidRDefault="005304FD" w:rsidP="000D4FB9">
      <w:pPr>
        <w:pStyle w:val="TableFigureFooter"/>
        <w:keepNext/>
        <w:keepLines/>
      </w:pPr>
      <w:r w:rsidRPr="009E4EB8">
        <w:t xml:space="preserve">Source: </w:t>
      </w:r>
      <w:r w:rsidR="004635D7" w:rsidRPr="009E4EB8">
        <w:t>Table 1-2, p7 of the resubmission; Table 1, p1 Selinexor (TCR/PR), PBAC Minutes, July 2021 PBAC meeting</w:t>
      </w:r>
    </w:p>
    <w:p w14:paraId="3A3C45F1" w14:textId="5869499C" w:rsidR="004635D7" w:rsidRPr="009E4EB8" w:rsidRDefault="004635D7" w:rsidP="000D4FB9">
      <w:pPr>
        <w:pStyle w:val="TableFigureFooter"/>
        <w:keepNext/>
        <w:keepLines/>
      </w:pPr>
      <w:r w:rsidRPr="009E4EB8">
        <w:t>Abbreviations: mg = milligram</w:t>
      </w:r>
      <w:r w:rsidR="00285171" w:rsidRPr="009E4EB8">
        <w:t>.</w:t>
      </w:r>
    </w:p>
    <w:p w14:paraId="3553FD3A" w14:textId="77777777" w:rsidR="004635D7" w:rsidRPr="009E4EB8" w:rsidRDefault="004635D7" w:rsidP="000D4FB9">
      <w:pPr>
        <w:pStyle w:val="TableFigureFooter"/>
        <w:keepNext/>
        <w:keepLines/>
      </w:pPr>
      <w:r w:rsidRPr="009E4EB8">
        <w:t xml:space="preserve">Note: </w:t>
      </w:r>
      <w:proofErr w:type="gramStart"/>
      <w:r w:rsidRPr="009E4EB8">
        <w:rPr>
          <w:vertAlign w:val="superscript"/>
        </w:rPr>
        <w:t>a</w:t>
      </w:r>
      <w:proofErr w:type="gramEnd"/>
      <w:r w:rsidRPr="009E4EB8">
        <w:rPr>
          <w:vertAlign w:val="superscript"/>
        </w:rPr>
        <w:t xml:space="preserve"> </w:t>
      </w:r>
      <w:r w:rsidRPr="009E4EB8">
        <w:t>Median dose in the trial was actually 115 mg/week ~60 mg twice weekly dose</w:t>
      </w:r>
    </w:p>
    <w:p w14:paraId="72266944" w14:textId="77777777" w:rsidR="004635D7" w:rsidRPr="009E4EB8" w:rsidRDefault="004635D7" w:rsidP="000D4FB9">
      <w:pPr>
        <w:pStyle w:val="TableFigureFooter"/>
        <w:keepNext/>
        <w:keepLines/>
        <w:rPr>
          <w:iCs/>
        </w:rPr>
      </w:pPr>
      <w:r w:rsidRPr="009E4EB8">
        <w:rPr>
          <w:vertAlign w:val="superscript"/>
        </w:rPr>
        <w:t>b</w:t>
      </w:r>
      <w:r w:rsidRPr="009E4EB8">
        <w:t xml:space="preserve"> </w:t>
      </w:r>
      <w:r w:rsidRPr="009E4EB8">
        <w:rPr>
          <w:iCs/>
        </w:rPr>
        <w:t>the resubmission nominated salvage chemotherapy with DCEP (dexamethasone + cyclophosphamide + etoposide + cisplatin) as the main comparator consistent with the July 2021 submission</w:t>
      </w:r>
    </w:p>
    <w:p w14:paraId="46A155AE" w14:textId="77777777" w:rsidR="004635D7" w:rsidRPr="009E4EB8" w:rsidRDefault="004635D7" w:rsidP="000D4FB9">
      <w:pPr>
        <w:pStyle w:val="TableFigureFooter"/>
        <w:keepNext/>
        <w:keepLines/>
        <w:rPr>
          <w:iCs/>
        </w:rPr>
      </w:pPr>
      <w:r w:rsidRPr="009E4EB8">
        <w:rPr>
          <w:vertAlign w:val="superscript"/>
        </w:rPr>
        <w:t xml:space="preserve">c </w:t>
      </w:r>
      <w:r w:rsidRPr="009E4EB8">
        <w:rPr>
          <w:iCs/>
        </w:rPr>
        <w:t>the clinical claim from the July 2021 submission was that ‘selinexor in combination with dexamethasone provides clinical benefit for patients with TCR/PR MM and has a manageable safety/tolerability profile’</w:t>
      </w:r>
    </w:p>
    <w:p w14:paraId="288F7D5D" w14:textId="13CD2274" w:rsidR="00730AE6" w:rsidRDefault="004635D7" w:rsidP="000D4FB9">
      <w:pPr>
        <w:pStyle w:val="TableFigureFooter"/>
        <w:keepNext/>
        <w:keepLines/>
      </w:pPr>
      <w:r w:rsidRPr="009E4EB8">
        <w:t>Blue shading denotes text remains unchanged from the July 2021 submission.</w:t>
      </w:r>
    </w:p>
    <w:p w14:paraId="3FAF6760" w14:textId="77777777" w:rsidR="00730AE6" w:rsidRDefault="00730AE6">
      <w:pPr>
        <w:jc w:val="left"/>
        <w:rPr>
          <w:rFonts w:ascii="Arial Narrow" w:hAnsi="Arial Narrow"/>
          <w:snapToGrid w:val="0"/>
          <w:sz w:val="18"/>
          <w:szCs w:val="22"/>
        </w:rPr>
      </w:pPr>
      <w:r>
        <w:br w:type="page"/>
      </w:r>
    </w:p>
    <w:p w14:paraId="50A6385D" w14:textId="77777777" w:rsidR="005304FD" w:rsidRPr="009E4EB8" w:rsidRDefault="005304FD" w:rsidP="000D4FB9">
      <w:pPr>
        <w:pStyle w:val="TableFigureFooter"/>
        <w:keepNext/>
        <w:keepLines/>
        <w:rPr>
          <w:szCs w:val="18"/>
        </w:rPr>
      </w:pPr>
    </w:p>
    <w:p w14:paraId="23C91ED8" w14:textId="1AF971F3" w:rsidR="005304FD" w:rsidRPr="009E4EB8" w:rsidRDefault="005304FD" w:rsidP="005304FD">
      <w:pPr>
        <w:pStyle w:val="2-SectionHeading"/>
        <w:numPr>
          <w:ilvl w:val="0"/>
          <w:numId w:val="1"/>
        </w:numPr>
      </w:pPr>
      <w:bookmarkStart w:id="12" w:name="_Toc22898845"/>
      <w:bookmarkStart w:id="13" w:name="_Toc93422856"/>
      <w:r w:rsidRPr="009E4EB8">
        <w:t>Background</w:t>
      </w:r>
      <w:bookmarkEnd w:id="12"/>
      <w:bookmarkEnd w:id="13"/>
    </w:p>
    <w:p w14:paraId="75B117F0" w14:textId="77777777" w:rsidR="005304FD" w:rsidRPr="009E4EB8" w:rsidRDefault="005304FD" w:rsidP="005304FD">
      <w:pPr>
        <w:pStyle w:val="4-SubsectionHeading"/>
      </w:pPr>
      <w:bookmarkStart w:id="14" w:name="_Toc22897638"/>
      <w:bookmarkStart w:id="15" w:name="_Toc22898846"/>
      <w:bookmarkStart w:id="16" w:name="_Toc93422857"/>
      <w:r w:rsidRPr="009E4EB8">
        <w:t>Registration status</w:t>
      </w:r>
      <w:bookmarkEnd w:id="14"/>
      <w:bookmarkEnd w:id="15"/>
      <w:bookmarkEnd w:id="16"/>
    </w:p>
    <w:p w14:paraId="3959F57F" w14:textId="41B227B1" w:rsidR="007823EF" w:rsidRPr="009E4EB8" w:rsidRDefault="007823EF" w:rsidP="007823EF">
      <w:pPr>
        <w:pStyle w:val="ListParagraph"/>
        <w:numPr>
          <w:ilvl w:val="1"/>
          <w:numId w:val="1"/>
        </w:numPr>
        <w:spacing w:after="160"/>
      </w:pPr>
      <w:r w:rsidRPr="009E4EB8">
        <w:t xml:space="preserve">Selinexor was TGA registered on 8 March 2022 for the following indication: </w:t>
      </w:r>
    </w:p>
    <w:p w14:paraId="6AA98A9D" w14:textId="2861FD93" w:rsidR="007823EF" w:rsidRPr="009E4EB8" w:rsidRDefault="007823EF" w:rsidP="00640A47">
      <w:pPr>
        <w:pStyle w:val="ListBullet"/>
        <w:tabs>
          <w:tab w:val="clear" w:pos="360"/>
          <w:tab w:val="num" w:pos="1080"/>
        </w:tabs>
        <w:spacing w:after="240"/>
        <w:ind w:left="1080"/>
      </w:pPr>
      <w:r w:rsidRPr="009E4EB8">
        <w:t>In combination with dexamethasone for the treatment of adult patients with relapsed or refractory multiple myeloma (RRMM) who have received at least three prior therapies and whose disease is refractory to at least one proteasome inhibitor, at least one immunomodulatory medicinal product (IMiD), and an anti-CD38 monoclonal antibody (mAb).</w:t>
      </w:r>
    </w:p>
    <w:p w14:paraId="67FE359B" w14:textId="1001AB75" w:rsidR="002D44CE" w:rsidRPr="009E4EB8" w:rsidRDefault="00184199" w:rsidP="00184199">
      <w:pPr>
        <w:pStyle w:val="3-BodyText"/>
      </w:pPr>
      <w:r w:rsidRPr="009E4EB8">
        <w:t xml:space="preserve">The submission was made under the TGA/PBAC Parallel Process. </w:t>
      </w:r>
      <w:r w:rsidR="005304FD" w:rsidRPr="009E4EB8">
        <w:t xml:space="preserve">At the time of evaluation for PBAC consideration, </w:t>
      </w:r>
      <w:r w:rsidR="00B85BCB" w:rsidRPr="009E4EB8">
        <w:t>the Clinical Evaluation Report</w:t>
      </w:r>
      <w:r w:rsidR="00437464" w:rsidRPr="009E4EB8">
        <w:t>, the</w:t>
      </w:r>
      <w:r w:rsidR="00025FFA" w:rsidRPr="009E4EB8">
        <w:t xml:space="preserve"> Delegate’s </w:t>
      </w:r>
      <w:proofErr w:type="gramStart"/>
      <w:r w:rsidR="00025FFA" w:rsidRPr="009E4EB8">
        <w:t>Overview</w:t>
      </w:r>
      <w:proofErr w:type="gramEnd"/>
      <w:r w:rsidR="00025FFA" w:rsidRPr="009E4EB8">
        <w:t xml:space="preserve"> </w:t>
      </w:r>
      <w:r w:rsidR="00C623DC" w:rsidRPr="009E4EB8">
        <w:t xml:space="preserve">and the Advisory Committee on Medicine (ACM) </w:t>
      </w:r>
      <w:r w:rsidR="00DE0086" w:rsidRPr="009E4EB8">
        <w:t xml:space="preserve">minutes </w:t>
      </w:r>
      <w:r w:rsidR="005304FD" w:rsidRPr="009E4EB8">
        <w:t xml:space="preserve">were available. </w:t>
      </w:r>
    </w:p>
    <w:p w14:paraId="5CA5026F" w14:textId="2F072A10" w:rsidR="009577E2" w:rsidRPr="009E4EB8" w:rsidRDefault="009577E2" w:rsidP="009577E2">
      <w:pPr>
        <w:pStyle w:val="3-BodyText"/>
      </w:pPr>
      <w:r w:rsidRPr="009E4EB8">
        <w:t xml:space="preserve">The FDA in July 2019 and EMA in January 2021 approved the use of Sd for the treatment of adult patients with RRMM who have received at least four prior therapies and whose disease is refractory to at least two proteasome inhibitors, at least two immunomodulatory agents, and an anti-CD38 monoclonal antibody. </w:t>
      </w:r>
      <w:r w:rsidR="002C731D" w:rsidRPr="009E4EB8">
        <w:rPr>
          <w:iCs/>
        </w:rPr>
        <w:t xml:space="preserve">The FDA and EMA indications are consistent with the requested PBS </w:t>
      </w:r>
      <w:r w:rsidR="00A20173" w:rsidRPr="009E4EB8">
        <w:rPr>
          <w:iCs/>
        </w:rPr>
        <w:t>restriction</w:t>
      </w:r>
      <w:r w:rsidR="002C731D" w:rsidRPr="009E4EB8">
        <w:rPr>
          <w:iCs/>
        </w:rPr>
        <w:t xml:space="preserve">. </w:t>
      </w:r>
    </w:p>
    <w:p w14:paraId="0BD58346" w14:textId="77777777" w:rsidR="005304FD" w:rsidRPr="009E4EB8" w:rsidRDefault="005304FD" w:rsidP="005304FD">
      <w:pPr>
        <w:pStyle w:val="4-SubsectionHeading"/>
      </w:pPr>
      <w:bookmarkStart w:id="17" w:name="_Toc22897639"/>
      <w:bookmarkStart w:id="18" w:name="_Toc22898847"/>
      <w:bookmarkStart w:id="19" w:name="_Toc93422858"/>
      <w:r w:rsidRPr="009E4EB8">
        <w:t>Previous PBAC consideration</w:t>
      </w:r>
      <w:bookmarkEnd w:id="17"/>
      <w:bookmarkEnd w:id="18"/>
      <w:bookmarkEnd w:id="19"/>
    </w:p>
    <w:p w14:paraId="1919C9C8" w14:textId="2A147DEC" w:rsidR="005304FD" w:rsidRPr="009E4EB8" w:rsidRDefault="008475A1" w:rsidP="005304FD">
      <w:pPr>
        <w:pStyle w:val="3-BodyText"/>
      </w:pPr>
      <w:r w:rsidRPr="009E4EB8">
        <w:t>A s</w:t>
      </w:r>
      <w:r w:rsidR="009A6611" w:rsidRPr="009E4EB8">
        <w:t xml:space="preserve">ummary of the key matters of concern from the previous PBAC consideration is presented </w:t>
      </w:r>
      <w:r w:rsidR="009A6611" w:rsidRPr="009E4EB8">
        <w:rPr>
          <w:rFonts w:cstheme="minorHAnsi"/>
        </w:rPr>
        <w:t xml:space="preserve">in </w:t>
      </w:r>
      <w:r w:rsidR="006C2945" w:rsidRPr="009E4EB8">
        <w:rPr>
          <w:rFonts w:cstheme="minorHAnsi"/>
        </w:rPr>
        <w:t>Table 2</w:t>
      </w:r>
      <w:r w:rsidR="009A6611" w:rsidRPr="009E4EB8">
        <w:rPr>
          <w:rFonts w:cstheme="minorHAnsi"/>
        </w:rPr>
        <w:t>.</w:t>
      </w:r>
    </w:p>
    <w:p w14:paraId="06A1214D" w14:textId="6F8CA667" w:rsidR="005304FD" w:rsidRPr="009E4EB8" w:rsidRDefault="009B24CB" w:rsidP="009B24CB">
      <w:pPr>
        <w:pStyle w:val="Caption"/>
        <w:keepNext/>
        <w:spacing w:after="0"/>
        <w:jc w:val="left"/>
        <w:rPr>
          <w:rStyle w:val="CommentReference"/>
          <w:b/>
          <w:color w:val="auto"/>
          <w:szCs w:val="20"/>
        </w:rPr>
      </w:pPr>
      <w:bookmarkStart w:id="20" w:name="_Ref90899538"/>
      <w:r w:rsidRPr="009E4EB8">
        <w:rPr>
          <w:rFonts w:ascii="Arial Narrow" w:hAnsi="Arial Narrow"/>
          <w:color w:val="auto"/>
          <w:sz w:val="20"/>
          <w:szCs w:val="20"/>
        </w:rPr>
        <w:lastRenderedPageBreak/>
        <w:t xml:space="preserve">Table </w:t>
      </w:r>
      <w:r w:rsidRPr="009E4EB8">
        <w:rPr>
          <w:rFonts w:ascii="Arial Narrow" w:hAnsi="Arial Narrow"/>
          <w:color w:val="auto"/>
          <w:sz w:val="20"/>
          <w:szCs w:val="20"/>
        </w:rPr>
        <w:fldChar w:fldCharType="begin"/>
      </w:r>
      <w:r w:rsidRPr="009E4EB8">
        <w:rPr>
          <w:rFonts w:ascii="Arial Narrow" w:hAnsi="Arial Narrow"/>
          <w:color w:val="auto"/>
          <w:sz w:val="20"/>
          <w:szCs w:val="20"/>
        </w:rPr>
        <w:instrText xml:space="preserve"> SEQ Table \* ARABIC </w:instrText>
      </w:r>
      <w:r w:rsidRPr="009E4EB8">
        <w:rPr>
          <w:rFonts w:ascii="Arial Narrow" w:hAnsi="Arial Narrow"/>
          <w:color w:val="auto"/>
          <w:sz w:val="20"/>
          <w:szCs w:val="20"/>
        </w:rPr>
        <w:fldChar w:fldCharType="separate"/>
      </w:r>
      <w:r w:rsidR="00964E38">
        <w:rPr>
          <w:rFonts w:ascii="Arial Narrow" w:hAnsi="Arial Narrow"/>
          <w:noProof/>
          <w:color w:val="auto"/>
          <w:sz w:val="20"/>
          <w:szCs w:val="20"/>
        </w:rPr>
        <w:t>2</w:t>
      </w:r>
      <w:r w:rsidRPr="009E4EB8">
        <w:rPr>
          <w:rFonts w:ascii="Arial Narrow" w:hAnsi="Arial Narrow"/>
          <w:color w:val="auto"/>
          <w:sz w:val="20"/>
          <w:szCs w:val="20"/>
        </w:rPr>
        <w:fldChar w:fldCharType="end"/>
      </w:r>
      <w:bookmarkEnd w:id="20"/>
      <w:r w:rsidR="005304FD" w:rsidRPr="009E4EB8">
        <w:rPr>
          <w:rStyle w:val="CommentReference"/>
          <w:b/>
          <w:color w:val="auto"/>
          <w:szCs w:val="20"/>
        </w:rPr>
        <w:t>: Summary of key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997"/>
        <w:gridCol w:w="4918"/>
      </w:tblGrid>
      <w:tr w:rsidR="00BD432C" w:rsidRPr="009E4EB8" w14:paraId="5252D1C3" w14:textId="77777777" w:rsidTr="00085306">
        <w:trPr>
          <w:cantSplit/>
          <w:tblHeader/>
        </w:trPr>
        <w:tc>
          <w:tcPr>
            <w:tcW w:w="0" w:type="auto"/>
            <w:tcMar>
              <w:left w:w="28" w:type="dxa"/>
              <w:right w:w="28" w:type="dxa"/>
            </w:tcMar>
            <w:vAlign w:val="center"/>
          </w:tcPr>
          <w:p w14:paraId="6E873833" w14:textId="77777777" w:rsidR="005304FD" w:rsidRPr="009E4EB8" w:rsidRDefault="005304FD" w:rsidP="00D041EE">
            <w:pPr>
              <w:pStyle w:val="In-tableHeading"/>
              <w:rPr>
                <w:lang w:val="en-AU"/>
              </w:rPr>
            </w:pPr>
            <w:r w:rsidRPr="009E4EB8">
              <w:rPr>
                <w:lang w:val="en-AU"/>
              </w:rPr>
              <w:t>Component</w:t>
            </w:r>
          </w:p>
        </w:tc>
        <w:tc>
          <w:tcPr>
            <w:tcW w:w="2997" w:type="dxa"/>
            <w:tcMar>
              <w:left w:w="28" w:type="dxa"/>
              <w:right w:w="28" w:type="dxa"/>
            </w:tcMar>
            <w:vAlign w:val="center"/>
          </w:tcPr>
          <w:p w14:paraId="5483E354" w14:textId="77777777" w:rsidR="005304FD" w:rsidRPr="009E4EB8" w:rsidRDefault="005304FD" w:rsidP="00D041EE">
            <w:pPr>
              <w:pStyle w:val="In-tableHeading"/>
              <w:rPr>
                <w:lang w:val="en-AU"/>
              </w:rPr>
            </w:pPr>
            <w:r w:rsidRPr="009E4EB8">
              <w:rPr>
                <w:lang w:val="en-AU"/>
              </w:rPr>
              <w:t>Matter of concern</w:t>
            </w:r>
          </w:p>
        </w:tc>
        <w:tc>
          <w:tcPr>
            <w:tcW w:w="0" w:type="auto"/>
            <w:tcMar>
              <w:left w:w="28" w:type="dxa"/>
              <w:right w:w="28" w:type="dxa"/>
            </w:tcMar>
            <w:vAlign w:val="center"/>
          </w:tcPr>
          <w:p w14:paraId="62B4EF72" w14:textId="77777777" w:rsidR="005304FD" w:rsidRPr="009E4EB8" w:rsidRDefault="005304FD" w:rsidP="00D041EE">
            <w:pPr>
              <w:pStyle w:val="In-tableHeading"/>
              <w:rPr>
                <w:lang w:val="en-AU"/>
              </w:rPr>
            </w:pPr>
            <w:r w:rsidRPr="009E4EB8">
              <w:rPr>
                <w:lang w:val="en-AU"/>
              </w:rPr>
              <w:t>How the resubmission addresses it</w:t>
            </w:r>
          </w:p>
        </w:tc>
      </w:tr>
      <w:tr w:rsidR="00BD432C" w:rsidRPr="009E4EB8" w14:paraId="7EBB3238" w14:textId="77777777" w:rsidTr="00085306">
        <w:trPr>
          <w:cantSplit/>
        </w:trPr>
        <w:tc>
          <w:tcPr>
            <w:tcW w:w="0" w:type="auto"/>
            <w:tcMar>
              <w:left w:w="28" w:type="dxa"/>
              <w:right w:w="28" w:type="dxa"/>
            </w:tcMar>
          </w:tcPr>
          <w:p w14:paraId="4E460E84" w14:textId="4141E692" w:rsidR="005304FD" w:rsidRPr="009E4EB8" w:rsidRDefault="003A4A09" w:rsidP="00D041EE">
            <w:pPr>
              <w:pStyle w:val="TableText0"/>
            </w:pPr>
            <w:r w:rsidRPr="009E4EB8">
              <w:t>Clinical Effectiveness</w:t>
            </w:r>
          </w:p>
        </w:tc>
        <w:tc>
          <w:tcPr>
            <w:tcW w:w="2997" w:type="dxa"/>
            <w:tcMar>
              <w:left w:w="28" w:type="dxa"/>
              <w:right w:w="28" w:type="dxa"/>
            </w:tcMar>
          </w:tcPr>
          <w:p w14:paraId="0A9B12D8" w14:textId="2334EE0D" w:rsidR="005304FD" w:rsidRPr="009E4EB8" w:rsidRDefault="00E154F7" w:rsidP="0062521B">
            <w:pPr>
              <w:pStyle w:val="TableText0"/>
              <w:jc w:val="both"/>
              <w:rPr>
                <w:rFonts w:eastAsia="Times New Roman" w:cs="Arial"/>
                <w:bCs w:val="0"/>
                <w:snapToGrid w:val="0"/>
                <w:szCs w:val="20"/>
              </w:rPr>
            </w:pPr>
            <w:r w:rsidRPr="009E4EB8">
              <w:rPr>
                <w:rFonts w:eastAsia="Times New Roman" w:cs="Arial"/>
                <w:bCs w:val="0"/>
                <w:snapToGrid w:val="0"/>
                <w:szCs w:val="20"/>
              </w:rPr>
              <w:t xml:space="preserve">The PBAC </w:t>
            </w:r>
            <w:r w:rsidR="00045422" w:rsidRPr="009E4EB8">
              <w:rPr>
                <w:rFonts w:eastAsia="Times New Roman" w:cs="Arial"/>
                <w:bCs w:val="0"/>
                <w:snapToGrid w:val="0"/>
                <w:szCs w:val="20"/>
              </w:rPr>
              <w:t>considered</w:t>
            </w:r>
            <w:r w:rsidRPr="009E4EB8">
              <w:rPr>
                <w:rFonts w:eastAsia="Times New Roman" w:cs="Arial"/>
                <w:bCs w:val="0"/>
                <w:snapToGrid w:val="0"/>
                <w:szCs w:val="20"/>
              </w:rPr>
              <w:t xml:space="preserve"> that the naïve ITC between the TCR/PE </w:t>
            </w:r>
            <w:r w:rsidR="002B7D13" w:rsidRPr="009E4EB8">
              <w:rPr>
                <w:rFonts w:eastAsia="Times New Roman" w:cs="Arial"/>
                <w:bCs w:val="0"/>
                <w:snapToGrid w:val="0"/>
                <w:szCs w:val="20"/>
              </w:rPr>
              <w:t xml:space="preserve">MM </w:t>
            </w:r>
            <w:r w:rsidRPr="009E4EB8">
              <w:rPr>
                <w:rFonts w:eastAsia="Times New Roman" w:cs="Arial"/>
                <w:bCs w:val="0"/>
                <w:snapToGrid w:val="0"/>
                <w:szCs w:val="20"/>
              </w:rPr>
              <w:t>subgroup of STO</w:t>
            </w:r>
            <w:r w:rsidR="003745FB" w:rsidRPr="009E4EB8">
              <w:rPr>
                <w:rFonts w:eastAsia="Times New Roman" w:cs="Arial"/>
                <w:bCs w:val="0"/>
                <w:snapToGrid w:val="0"/>
                <w:szCs w:val="20"/>
              </w:rPr>
              <w:t>RM</w:t>
            </w:r>
            <w:r w:rsidRPr="009E4EB8">
              <w:rPr>
                <w:rFonts w:eastAsia="Times New Roman" w:cs="Arial"/>
                <w:bCs w:val="0"/>
                <w:snapToGrid w:val="0"/>
                <w:szCs w:val="20"/>
              </w:rPr>
              <w:t xml:space="preserve"> </w:t>
            </w:r>
            <w:r w:rsidR="000403AF" w:rsidRPr="009E4EB8">
              <w:rPr>
                <w:rFonts w:eastAsia="Times New Roman" w:cs="Arial"/>
                <w:bCs w:val="0"/>
                <w:snapToGrid w:val="0"/>
                <w:szCs w:val="20"/>
              </w:rPr>
              <w:t>and the MAMMOTH and FLATIRON were highly uncertain</w:t>
            </w:r>
            <w:r w:rsidR="00742773" w:rsidRPr="009E4EB8">
              <w:rPr>
                <w:rFonts w:eastAsia="Times New Roman" w:cs="Arial"/>
                <w:bCs w:val="0"/>
                <w:snapToGrid w:val="0"/>
                <w:szCs w:val="20"/>
              </w:rPr>
              <w:t xml:space="preserve"> as: </w:t>
            </w:r>
          </w:p>
          <w:p w14:paraId="562915A3" w14:textId="669DFC91" w:rsidR="001C6D3B" w:rsidRPr="009E4EB8" w:rsidRDefault="001C6D3B" w:rsidP="0062521B">
            <w:pPr>
              <w:pStyle w:val="TableText0"/>
              <w:jc w:val="both"/>
              <w:rPr>
                <w:szCs w:val="20"/>
              </w:rPr>
            </w:pPr>
            <w:r w:rsidRPr="009E4EB8">
              <w:rPr>
                <w:szCs w:val="20"/>
              </w:rPr>
              <w:t xml:space="preserve">• there were differences between the patient populations </w:t>
            </w:r>
          </w:p>
          <w:p w14:paraId="33CA2C9F" w14:textId="77777777" w:rsidR="00D61912" w:rsidRPr="009E4EB8" w:rsidRDefault="001C6D3B" w:rsidP="0062521B">
            <w:pPr>
              <w:pStyle w:val="TableText0"/>
              <w:jc w:val="both"/>
              <w:rPr>
                <w:szCs w:val="20"/>
              </w:rPr>
            </w:pPr>
            <w:r w:rsidRPr="009E4EB8">
              <w:rPr>
                <w:szCs w:val="20"/>
              </w:rPr>
              <w:t xml:space="preserve">• </w:t>
            </w:r>
            <w:r w:rsidR="00D61912" w:rsidRPr="009E4EB8">
              <w:rPr>
                <w:szCs w:val="20"/>
              </w:rPr>
              <w:t>applicability issues included</w:t>
            </w:r>
            <w:r w:rsidRPr="009E4EB8">
              <w:rPr>
                <w:szCs w:val="20"/>
              </w:rPr>
              <w:t xml:space="preserve"> </w:t>
            </w:r>
          </w:p>
          <w:p w14:paraId="72FCC351" w14:textId="69E61672" w:rsidR="003B489B" w:rsidRPr="009E4EB8" w:rsidRDefault="003B489B" w:rsidP="003B489B">
            <w:pPr>
              <w:pStyle w:val="TableText0"/>
              <w:ind w:left="148"/>
              <w:jc w:val="both"/>
              <w:rPr>
                <w:szCs w:val="20"/>
              </w:rPr>
            </w:pPr>
            <w:r w:rsidRPr="009E4EB8">
              <w:rPr>
                <w:bCs w:val="0"/>
                <w:szCs w:val="20"/>
              </w:rPr>
              <w:t>(</w:t>
            </w:r>
            <w:proofErr w:type="spellStart"/>
            <w:r w:rsidRPr="009E4EB8">
              <w:rPr>
                <w:bCs w:val="0"/>
                <w:szCs w:val="20"/>
              </w:rPr>
              <w:t>i</w:t>
            </w:r>
            <w:proofErr w:type="spellEnd"/>
            <w:r w:rsidRPr="009E4EB8">
              <w:rPr>
                <w:szCs w:val="20"/>
              </w:rPr>
              <w:t xml:space="preserve">) </w:t>
            </w:r>
            <w:r w:rsidR="001C6D3B" w:rsidRPr="009E4EB8">
              <w:rPr>
                <w:szCs w:val="20"/>
              </w:rPr>
              <w:t xml:space="preserve">the TCR/PE subgroup of STORM was not the PBS-proposed population, and </w:t>
            </w:r>
          </w:p>
          <w:p w14:paraId="70A7AE46" w14:textId="7801C34C" w:rsidR="004A1923" w:rsidRPr="009E4EB8" w:rsidRDefault="001C6D3B" w:rsidP="003B489B">
            <w:pPr>
              <w:pStyle w:val="TableText0"/>
              <w:ind w:left="148"/>
              <w:jc w:val="both"/>
              <w:rPr>
                <w:szCs w:val="20"/>
                <w:highlight w:val="cyan"/>
              </w:rPr>
            </w:pPr>
            <w:r w:rsidRPr="009E4EB8">
              <w:rPr>
                <w:szCs w:val="20"/>
              </w:rPr>
              <w:t>(ii) MAMMOTH and FLATIRON did not represent the clinical outcomes of the proposed comparator (</w:t>
            </w:r>
            <w:proofErr w:type="gramStart"/>
            <w:r w:rsidRPr="009E4EB8">
              <w:rPr>
                <w:szCs w:val="20"/>
              </w:rPr>
              <w:t>DCEP</w:t>
            </w:r>
            <w:r w:rsidR="003B489B" w:rsidRPr="009E4EB8">
              <w:rPr>
                <w:szCs w:val="20"/>
              </w:rPr>
              <w:t>;</w:t>
            </w:r>
            <w:proofErr w:type="gramEnd"/>
            <w:r w:rsidR="003B489B" w:rsidRPr="009E4EB8">
              <w:rPr>
                <w:szCs w:val="20"/>
              </w:rPr>
              <w:t xml:space="preserve"> </w:t>
            </w:r>
            <w:r w:rsidR="00780D9F" w:rsidRPr="009E4EB8">
              <w:rPr>
                <w:szCs w:val="20"/>
              </w:rPr>
              <w:t>Para. 7.</w:t>
            </w:r>
            <w:r w:rsidR="00A240D9" w:rsidRPr="009E4EB8">
              <w:rPr>
                <w:szCs w:val="20"/>
              </w:rPr>
              <w:t>7</w:t>
            </w:r>
            <w:r w:rsidR="00780D9F" w:rsidRPr="009E4EB8">
              <w:rPr>
                <w:szCs w:val="20"/>
              </w:rPr>
              <w:t>, July 2021 PBAC Meeting).</w:t>
            </w:r>
          </w:p>
        </w:tc>
        <w:tc>
          <w:tcPr>
            <w:tcW w:w="0" w:type="auto"/>
            <w:tcMar>
              <w:left w:w="28" w:type="dxa"/>
              <w:right w:w="28" w:type="dxa"/>
            </w:tcMar>
          </w:tcPr>
          <w:p w14:paraId="6BD5A8D7" w14:textId="317CC356" w:rsidR="005304FD" w:rsidRPr="009E4EB8" w:rsidRDefault="00387681" w:rsidP="006059A2">
            <w:pPr>
              <w:pStyle w:val="TableText0"/>
              <w:jc w:val="both"/>
              <w:rPr>
                <w:i/>
              </w:rPr>
            </w:pPr>
            <w:r w:rsidRPr="009E4EB8">
              <w:rPr>
                <w:iCs/>
              </w:rPr>
              <w:t xml:space="preserve">The resubmission presented a naïve comparison between the TCR/PR </w:t>
            </w:r>
            <w:r w:rsidR="002B7D13" w:rsidRPr="009E4EB8">
              <w:rPr>
                <w:iCs/>
              </w:rPr>
              <w:t xml:space="preserve">MM </w:t>
            </w:r>
            <w:r w:rsidR="0064670C" w:rsidRPr="009E4EB8">
              <w:rPr>
                <w:iCs/>
              </w:rPr>
              <w:t xml:space="preserve">sub-groups </w:t>
            </w:r>
            <w:r w:rsidRPr="009E4EB8">
              <w:rPr>
                <w:iCs/>
              </w:rPr>
              <w:t>of STORM</w:t>
            </w:r>
            <w:r w:rsidR="00E9021E" w:rsidRPr="009E4EB8">
              <w:rPr>
                <w:iCs/>
              </w:rPr>
              <w:t xml:space="preserve"> and </w:t>
            </w:r>
            <w:r w:rsidR="0062521B" w:rsidRPr="009E4EB8">
              <w:rPr>
                <w:iCs/>
              </w:rPr>
              <w:t>MAMMOT</w:t>
            </w:r>
            <w:r w:rsidR="00AE71E4" w:rsidRPr="009E4EB8">
              <w:rPr>
                <w:iCs/>
              </w:rPr>
              <w:t>H, consistent with the requested PBS population. A</w:t>
            </w:r>
            <w:r w:rsidR="00E9021E" w:rsidRPr="009E4EB8">
              <w:rPr>
                <w:iCs/>
              </w:rPr>
              <w:t>dditional data from Goldsmith 2020 (</w:t>
            </w:r>
            <w:r w:rsidR="00F51B47" w:rsidRPr="009E4EB8">
              <w:rPr>
                <w:iCs/>
              </w:rPr>
              <w:t xml:space="preserve">previously </w:t>
            </w:r>
            <w:r w:rsidR="003745FB" w:rsidRPr="009E4EB8">
              <w:rPr>
                <w:iCs/>
              </w:rPr>
              <w:t>presented in Section 3</w:t>
            </w:r>
            <w:r w:rsidR="00E9021E" w:rsidRPr="009E4EB8">
              <w:rPr>
                <w:iCs/>
              </w:rPr>
              <w:t xml:space="preserve"> of the July 2021 submission</w:t>
            </w:r>
            <w:r w:rsidR="00C94F8B" w:rsidRPr="009E4EB8">
              <w:rPr>
                <w:iCs/>
              </w:rPr>
              <w:t>)</w:t>
            </w:r>
            <w:r w:rsidR="004A75C4" w:rsidRPr="009E4EB8">
              <w:rPr>
                <w:iCs/>
              </w:rPr>
              <w:t xml:space="preserve"> was presented to represent</w:t>
            </w:r>
            <w:r w:rsidR="00747A05" w:rsidRPr="009E4EB8">
              <w:rPr>
                <w:iCs/>
              </w:rPr>
              <w:t xml:space="preserve"> patients who</w:t>
            </w:r>
            <w:r w:rsidR="006059A2" w:rsidRPr="009E4EB8">
              <w:rPr>
                <w:iCs/>
              </w:rPr>
              <w:t xml:space="preserve"> ha</w:t>
            </w:r>
            <w:r w:rsidR="00747A05" w:rsidRPr="009E4EB8">
              <w:rPr>
                <w:iCs/>
              </w:rPr>
              <w:t xml:space="preserve">d received DCEP. </w:t>
            </w:r>
            <w:r w:rsidR="00747A05" w:rsidRPr="009E4EB8">
              <w:t xml:space="preserve">However, </w:t>
            </w:r>
            <w:r w:rsidR="00552288" w:rsidRPr="009E4EB8">
              <w:t>this study included 74% of patients with PR MM</w:t>
            </w:r>
            <w:r w:rsidR="00904680" w:rsidRPr="009E4EB8">
              <w:t>.</w:t>
            </w:r>
            <w:r w:rsidR="00552288" w:rsidRPr="009E4EB8">
              <w:t xml:space="preserve"> </w:t>
            </w:r>
            <w:r w:rsidR="00904680" w:rsidRPr="009E4EB8">
              <w:t>A</w:t>
            </w:r>
            <w:r w:rsidR="00552288" w:rsidRPr="009E4EB8">
              <w:t xml:space="preserve">ssessment of baseline characteristics between the three studies </w:t>
            </w:r>
            <w:r w:rsidR="00904680" w:rsidRPr="009E4EB8">
              <w:t>was</w:t>
            </w:r>
            <w:r w:rsidR="00552288" w:rsidRPr="009E4EB8">
              <w:t xml:space="preserve"> limited. </w:t>
            </w:r>
            <w:r w:rsidR="004A4CB6" w:rsidRPr="009E4EB8">
              <w:t xml:space="preserve">Furthermore, the dosing regimen of DCEP within </w:t>
            </w:r>
            <w:r w:rsidR="00D66FEE" w:rsidRPr="009E4EB8">
              <w:t xml:space="preserve">Goldsmith 2020 </w:t>
            </w:r>
            <w:r w:rsidR="004A4CB6" w:rsidRPr="009E4EB8">
              <w:t xml:space="preserve">was different to that </w:t>
            </w:r>
            <w:r w:rsidR="00293B26" w:rsidRPr="009E4EB8">
              <w:t xml:space="preserve">presented in the safety data and still different to </w:t>
            </w:r>
            <w:r w:rsidR="00966553" w:rsidRPr="009E4EB8">
              <w:t xml:space="preserve">that </w:t>
            </w:r>
            <w:r w:rsidR="004A4CB6" w:rsidRPr="009E4EB8">
              <w:t>considered in the economic evaluation and financial estimates.</w:t>
            </w:r>
          </w:p>
        </w:tc>
      </w:tr>
      <w:tr w:rsidR="00BD432C" w:rsidRPr="009E4EB8" w14:paraId="56B6F4AD" w14:textId="77777777" w:rsidTr="00085306">
        <w:trPr>
          <w:cantSplit/>
          <w:trHeight w:val="1621"/>
        </w:trPr>
        <w:tc>
          <w:tcPr>
            <w:tcW w:w="0" w:type="auto"/>
            <w:tcMar>
              <w:left w:w="28" w:type="dxa"/>
              <w:right w:w="28" w:type="dxa"/>
            </w:tcMar>
          </w:tcPr>
          <w:p w14:paraId="541C1DC7" w14:textId="330A618A" w:rsidR="00F97C32" w:rsidRPr="009E4EB8" w:rsidRDefault="002449B8" w:rsidP="00D041EE">
            <w:pPr>
              <w:pStyle w:val="TableText0"/>
            </w:pPr>
            <w:r w:rsidRPr="009E4EB8">
              <w:t>Safety</w:t>
            </w:r>
          </w:p>
        </w:tc>
        <w:tc>
          <w:tcPr>
            <w:tcW w:w="2997" w:type="dxa"/>
            <w:tcMar>
              <w:left w:w="28" w:type="dxa"/>
              <w:right w:w="28" w:type="dxa"/>
            </w:tcMar>
          </w:tcPr>
          <w:p w14:paraId="55AF350E" w14:textId="06734371" w:rsidR="00F97C32" w:rsidRPr="009E4EB8" w:rsidRDefault="001511C3" w:rsidP="0062521B">
            <w:pPr>
              <w:pStyle w:val="TableText0"/>
              <w:jc w:val="both"/>
              <w:rPr>
                <w:rFonts w:eastAsia="Times New Roman" w:cs="Arial"/>
                <w:bCs w:val="0"/>
                <w:snapToGrid w:val="0"/>
                <w:szCs w:val="20"/>
              </w:rPr>
            </w:pPr>
            <w:r w:rsidRPr="009E4EB8">
              <w:rPr>
                <w:rFonts w:eastAsia="Times New Roman" w:cs="Arial"/>
                <w:bCs w:val="0"/>
                <w:snapToGrid w:val="0"/>
                <w:szCs w:val="20"/>
              </w:rPr>
              <w:t>The PBAC noted that no comparative safety data were presented for DCEP</w:t>
            </w:r>
            <w:r w:rsidR="00D314CB" w:rsidRPr="009E4EB8">
              <w:rPr>
                <w:rFonts w:eastAsia="Times New Roman" w:cs="Arial"/>
                <w:bCs w:val="0"/>
                <w:snapToGrid w:val="0"/>
                <w:szCs w:val="20"/>
              </w:rPr>
              <w:t>. Therefore,</w:t>
            </w:r>
            <w:r w:rsidRPr="009E4EB8">
              <w:rPr>
                <w:rFonts w:eastAsia="Times New Roman" w:cs="Arial"/>
                <w:bCs w:val="0"/>
                <w:snapToGrid w:val="0"/>
                <w:szCs w:val="20"/>
              </w:rPr>
              <w:t xml:space="preserve"> </w:t>
            </w:r>
            <w:r w:rsidR="00D314CB" w:rsidRPr="009E4EB8">
              <w:rPr>
                <w:rFonts w:eastAsia="Times New Roman" w:cs="Arial"/>
                <w:bCs w:val="0"/>
                <w:snapToGrid w:val="0"/>
                <w:szCs w:val="20"/>
              </w:rPr>
              <w:t>t</w:t>
            </w:r>
            <w:r w:rsidR="00780D9F" w:rsidRPr="009E4EB8">
              <w:rPr>
                <w:rFonts w:eastAsia="Times New Roman" w:cs="Arial"/>
                <w:bCs w:val="0"/>
                <w:snapToGrid w:val="0"/>
                <w:szCs w:val="20"/>
              </w:rPr>
              <w:t>he PBAC considered that the submission’s claim that Sd was superior to DCEP in terms of safety was not supported. (</w:t>
            </w:r>
            <w:r w:rsidR="00A240D9" w:rsidRPr="009E4EB8">
              <w:rPr>
                <w:rFonts w:eastAsia="Times New Roman" w:cs="Arial"/>
                <w:bCs w:val="0"/>
                <w:snapToGrid w:val="0"/>
                <w:szCs w:val="20"/>
              </w:rPr>
              <w:t>Para. 7.10, July 2021 PBAC Meeting).</w:t>
            </w:r>
          </w:p>
        </w:tc>
        <w:tc>
          <w:tcPr>
            <w:tcW w:w="0" w:type="auto"/>
            <w:tcMar>
              <w:left w:w="28" w:type="dxa"/>
              <w:right w:w="28" w:type="dxa"/>
            </w:tcMar>
          </w:tcPr>
          <w:p w14:paraId="3D934B27" w14:textId="2DEA6FAF" w:rsidR="00F97C32" w:rsidRPr="009E4EB8" w:rsidRDefault="00014123" w:rsidP="008475A1">
            <w:pPr>
              <w:pStyle w:val="TableText0"/>
              <w:jc w:val="both"/>
              <w:rPr>
                <w:i/>
              </w:rPr>
            </w:pPr>
            <w:r w:rsidRPr="009E4EB8">
              <w:rPr>
                <w:iCs/>
              </w:rPr>
              <w:t xml:space="preserve">Comparative safety data </w:t>
            </w:r>
            <w:r w:rsidR="004D3286" w:rsidRPr="009E4EB8">
              <w:rPr>
                <w:iCs/>
              </w:rPr>
              <w:t>was</w:t>
            </w:r>
            <w:r w:rsidRPr="009E4EB8">
              <w:rPr>
                <w:iCs/>
              </w:rPr>
              <w:t xml:space="preserve"> provided based on </w:t>
            </w:r>
            <w:r w:rsidR="002179F2" w:rsidRPr="009E4EB8">
              <w:rPr>
                <w:iCs/>
              </w:rPr>
              <w:t>a comparison of STORM with</w:t>
            </w:r>
            <w:r w:rsidR="00411676" w:rsidRPr="009E4EB8">
              <w:rPr>
                <w:iCs/>
              </w:rPr>
              <w:t xml:space="preserve"> </w:t>
            </w:r>
            <w:r w:rsidRPr="009E4EB8">
              <w:rPr>
                <w:iCs/>
              </w:rPr>
              <w:t>studies of DCEP</w:t>
            </w:r>
            <w:r w:rsidR="004D3286" w:rsidRPr="009E4EB8">
              <w:rPr>
                <w:iCs/>
              </w:rPr>
              <w:t xml:space="preserve"> (Yuen</w:t>
            </w:r>
            <w:r w:rsidR="0018349A" w:rsidRPr="009E4EB8">
              <w:rPr>
                <w:iCs/>
              </w:rPr>
              <w:t xml:space="preserve"> 2018 and Griffin 2015)</w:t>
            </w:r>
            <w:r w:rsidRPr="009E4EB8">
              <w:rPr>
                <w:iCs/>
              </w:rPr>
              <w:t>.</w:t>
            </w:r>
            <w:r w:rsidR="0018349A" w:rsidRPr="009E4EB8">
              <w:rPr>
                <w:iCs/>
              </w:rPr>
              <w:t xml:space="preserve"> </w:t>
            </w:r>
            <w:r w:rsidR="00770AE0" w:rsidRPr="009E4EB8">
              <w:t>AE reporting between the three studies differed (</w:t>
            </w:r>
            <w:proofErr w:type="gramStart"/>
            <w:r w:rsidR="00770AE0" w:rsidRPr="009E4EB8">
              <w:t>e.g.</w:t>
            </w:r>
            <w:proofErr w:type="gramEnd"/>
            <w:r w:rsidR="00770AE0" w:rsidRPr="009E4EB8">
              <w:t xml:space="preserve"> STORM and Yuen 2018 presented Grade ≥ 3 AEs whilst </w:t>
            </w:r>
            <w:r w:rsidR="006B50A1" w:rsidRPr="009E4EB8">
              <w:t xml:space="preserve">Griffin presented clinically relevant AEs). </w:t>
            </w:r>
            <w:r w:rsidR="0042115D" w:rsidRPr="009E4EB8">
              <w:t xml:space="preserve">Furthermore, </w:t>
            </w:r>
            <w:r w:rsidR="00524944" w:rsidRPr="009E4EB8">
              <w:t xml:space="preserve">the DCEP regimen between the two studies differed and </w:t>
            </w:r>
            <w:r w:rsidR="0042115D" w:rsidRPr="009E4EB8">
              <w:t xml:space="preserve">a large proportion of </w:t>
            </w:r>
            <w:r w:rsidR="00524944" w:rsidRPr="009E4EB8">
              <w:t>patients</w:t>
            </w:r>
            <w:r w:rsidR="0042115D" w:rsidRPr="009E4EB8">
              <w:t xml:space="preserve"> </w:t>
            </w:r>
            <w:r w:rsidR="00524944" w:rsidRPr="009E4EB8">
              <w:t>in Yuen 2018 received either thalidomide (56%) or lenalidomide (18%) in addition to the DCEP backbone</w:t>
            </w:r>
            <w:r w:rsidR="003529E2" w:rsidRPr="009E4EB8">
              <w:t>.</w:t>
            </w:r>
          </w:p>
        </w:tc>
      </w:tr>
      <w:tr w:rsidR="00BD432C" w:rsidRPr="009E4EB8" w14:paraId="7C7DCD66" w14:textId="77777777" w:rsidTr="00085306">
        <w:trPr>
          <w:cantSplit/>
        </w:trPr>
        <w:tc>
          <w:tcPr>
            <w:tcW w:w="0" w:type="auto"/>
            <w:tcMar>
              <w:left w:w="28" w:type="dxa"/>
              <w:right w:w="28" w:type="dxa"/>
            </w:tcMar>
            <w:vAlign w:val="center"/>
          </w:tcPr>
          <w:p w14:paraId="516E98DC" w14:textId="34A18224" w:rsidR="005304FD" w:rsidRPr="009E4EB8" w:rsidRDefault="00C67F1D" w:rsidP="00D041EE">
            <w:pPr>
              <w:pStyle w:val="TableText0"/>
              <w:rPr>
                <w:highlight w:val="cyan"/>
              </w:rPr>
            </w:pPr>
            <w:r w:rsidRPr="009E4EB8">
              <w:t xml:space="preserve">Economic </w:t>
            </w:r>
            <w:r w:rsidR="00CF10D4" w:rsidRPr="009E4EB8">
              <w:t>e</w:t>
            </w:r>
            <w:r w:rsidRPr="009E4EB8">
              <w:t>valuation</w:t>
            </w:r>
          </w:p>
        </w:tc>
        <w:tc>
          <w:tcPr>
            <w:tcW w:w="2997" w:type="dxa"/>
            <w:tcMar>
              <w:left w:w="28" w:type="dxa"/>
              <w:right w:w="28" w:type="dxa"/>
            </w:tcMar>
          </w:tcPr>
          <w:p w14:paraId="1AEB08CA" w14:textId="4ED71945" w:rsidR="007A4DCD" w:rsidRPr="009E4EB8" w:rsidRDefault="00751E8F" w:rsidP="00C67F1D">
            <w:pPr>
              <w:pStyle w:val="TableText0"/>
              <w:jc w:val="both"/>
              <w:rPr>
                <w:szCs w:val="20"/>
              </w:rPr>
            </w:pPr>
            <w:r w:rsidRPr="009E4EB8">
              <w:rPr>
                <w:rFonts w:eastAsia="Times New Roman" w:cs="Arial"/>
                <w:bCs w:val="0"/>
                <w:snapToGrid w:val="0"/>
                <w:szCs w:val="20"/>
              </w:rPr>
              <w:t xml:space="preserve">The </w:t>
            </w:r>
            <w:r w:rsidR="00DC7C04" w:rsidRPr="009E4EB8">
              <w:rPr>
                <w:rFonts w:eastAsia="Times New Roman" w:cs="Arial"/>
                <w:bCs w:val="0"/>
                <w:snapToGrid w:val="0"/>
                <w:szCs w:val="20"/>
              </w:rPr>
              <w:t xml:space="preserve">PBAC considered the ICER unacceptably uncertain, and in this context, considered the ICER to be high (Para. 7.12, July 2021 PBAC Meeting). </w:t>
            </w:r>
            <w:r w:rsidRPr="009E4EB8">
              <w:rPr>
                <w:rFonts w:eastAsia="Times New Roman" w:cs="Arial"/>
                <w:bCs w:val="0"/>
                <w:snapToGrid w:val="0"/>
                <w:szCs w:val="20"/>
              </w:rPr>
              <w:t xml:space="preserve"> </w:t>
            </w:r>
          </w:p>
        </w:tc>
        <w:tc>
          <w:tcPr>
            <w:tcW w:w="0" w:type="auto"/>
            <w:tcMar>
              <w:left w:w="28" w:type="dxa"/>
              <w:right w:w="28" w:type="dxa"/>
            </w:tcMar>
          </w:tcPr>
          <w:p w14:paraId="45BCF131" w14:textId="5C38BDA8" w:rsidR="000B6E6E" w:rsidRPr="009E4EB8" w:rsidRDefault="00A44491" w:rsidP="008475A1">
            <w:pPr>
              <w:pStyle w:val="TableText0"/>
              <w:spacing w:after="160"/>
              <w:rPr>
                <w:rFonts w:eastAsia="Times New Roman" w:cs="Arial"/>
                <w:bCs w:val="0"/>
                <w:snapToGrid w:val="0"/>
                <w:szCs w:val="20"/>
              </w:rPr>
            </w:pPr>
            <w:r w:rsidRPr="009E4EB8">
              <w:rPr>
                <w:rFonts w:eastAsia="Times New Roman" w:cs="Arial"/>
                <w:bCs w:val="0"/>
                <w:snapToGrid w:val="0"/>
                <w:szCs w:val="20"/>
              </w:rPr>
              <w:t xml:space="preserve">The resubmission </w:t>
            </w:r>
            <w:r w:rsidR="00A875C7" w:rsidRPr="009E4EB8">
              <w:rPr>
                <w:rFonts w:eastAsia="Times New Roman" w:cs="Arial"/>
                <w:bCs w:val="0"/>
                <w:snapToGrid w:val="0"/>
                <w:szCs w:val="20"/>
              </w:rPr>
              <w:t>reduced the time horizon</w:t>
            </w:r>
            <w:r w:rsidR="00357068" w:rsidRPr="009E4EB8">
              <w:rPr>
                <w:rFonts w:eastAsia="Times New Roman" w:cs="Arial"/>
                <w:bCs w:val="0"/>
                <w:snapToGrid w:val="0"/>
                <w:szCs w:val="20"/>
              </w:rPr>
              <w:t xml:space="preserve">, increased </w:t>
            </w:r>
            <w:r w:rsidR="00C31C5A" w:rsidRPr="009E4EB8">
              <w:rPr>
                <w:rFonts w:eastAsia="Times New Roman" w:cs="Arial"/>
                <w:bCs w:val="0"/>
                <w:snapToGrid w:val="0"/>
                <w:szCs w:val="20"/>
              </w:rPr>
              <w:t xml:space="preserve">prior assumption of duration </w:t>
            </w:r>
            <w:r w:rsidR="00CE21F7" w:rsidRPr="009E4EB8">
              <w:rPr>
                <w:rFonts w:eastAsia="Times New Roman" w:cs="Arial"/>
                <w:bCs w:val="0"/>
                <w:snapToGrid w:val="0"/>
                <w:szCs w:val="20"/>
              </w:rPr>
              <w:t xml:space="preserve">and incidence of </w:t>
            </w:r>
            <w:proofErr w:type="gramStart"/>
            <w:r w:rsidR="00CE21F7" w:rsidRPr="009E4EB8">
              <w:rPr>
                <w:rFonts w:eastAsia="Times New Roman" w:cs="Arial"/>
                <w:bCs w:val="0"/>
                <w:snapToGrid w:val="0"/>
                <w:szCs w:val="20"/>
              </w:rPr>
              <w:t>AEs</w:t>
            </w:r>
            <w:proofErr w:type="gramEnd"/>
            <w:r w:rsidR="00A875C7" w:rsidRPr="009E4EB8">
              <w:rPr>
                <w:rFonts w:eastAsia="Times New Roman" w:cs="Arial"/>
                <w:bCs w:val="0"/>
                <w:snapToGrid w:val="0"/>
                <w:szCs w:val="20"/>
              </w:rPr>
              <w:t xml:space="preserve"> and </w:t>
            </w:r>
            <w:r w:rsidR="000B6E6E" w:rsidRPr="009E4EB8">
              <w:rPr>
                <w:rFonts w:eastAsia="Times New Roman" w:cs="Arial"/>
                <w:bCs w:val="0"/>
                <w:snapToGrid w:val="0"/>
                <w:szCs w:val="20"/>
              </w:rPr>
              <w:t xml:space="preserve">did not assume a treatment effect for Sd in terms of PFS as per PBAC’s previous consideration. </w:t>
            </w:r>
            <w:r w:rsidR="00E07933" w:rsidRPr="009E4EB8">
              <w:rPr>
                <w:rFonts w:eastAsia="Times New Roman" w:cs="Arial"/>
                <w:bCs w:val="0"/>
                <w:snapToGrid w:val="0"/>
                <w:szCs w:val="20"/>
              </w:rPr>
              <w:t xml:space="preserve">The price of selinexor was decreased by </w:t>
            </w:r>
            <w:r w:rsidR="00992522" w:rsidRPr="00992522">
              <w:rPr>
                <w:rFonts w:eastAsia="Times New Roman" w:cs="Arial"/>
                <w:bCs w:val="0"/>
                <w:snapToGrid w:val="0"/>
                <w:color w:val="000000"/>
                <w:spacing w:val="52"/>
                <w:szCs w:val="20"/>
                <w:shd w:val="solid" w:color="000000" w:fill="000000"/>
                <w:fitText w:val="330" w:id="-1504991488"/>
                <w14:textFill>
                  <w14:solidFill>
                    <w14:srgbClr w14:val="000000">
                      <w14:alpha w14:val="100000"/>
                    </w14:srgbClr>
                  </w14:solidFill>
                </w14:textFill>
              </w:rPr>
              <w:t>|||</w:t>
            </w:r>
            <w:r w:rsidR="00992522" w:rsidRPr="00992522">
              <w:rPr>
                <w:rFonts w:eastAsia="Times New Roman" w:cs="Arial"/>
                <w:bCs w:val="0"/>
                <w:snapToGrid w:val="0"/>
                <w:color w:val="000000"/>
                <w:spacing w:val="2"/>
                <w:szCs w:val="20"/>
                <w:shd w:val="solid" w:color="000000" w:fill="000000"/>
                <w:fitText w:val="330" w:id="-1504991488"/>
                <w14:textFill>
                  <w14:solidFill>
                    <w14:srgbClr w14:val="000000">
                      <w14:alpha w14:val="100000"/>
                    </w14:srgbClr>
                  </w14:solidFill>
                </w14:textFill>
              </w:rPr>
              <w:t>|</w:t>
            </w:r>
            <w:r w:rsidR="00E07933" w:rsidRPr="009E4EB8">
              <w:rPr>
                <w:rFonts w:eastAsia="Times New Roman" w:cs="Arial"/>
                <w:bCs w:val="0"/>
                <w:snapToGrid w:val="0"/>
                <w:szCs w:val="20"/>
              </w:rPr>
              <w:t>% (</w:t>
            </w:r>
            <w:r w:rsidR="00A97755" w:rsidRPr="009E4EB8">
              <w:rPr>
                <w:rFonts w:eastAsia="Times New Roman" w:cs="Arial"/>
                <w:bCs w:val="0"/>
                <w:snapToGrid w:val="0"/>
                <w:szCs w:val="20"/>
              </w:rPr>
              <w:t>effective DPMQ reduction from $</w:t>
            </w:r>
            <w:r w:rsidR="00992522" w:rsidRPr="00992522">
              <w:rPr>
                <w:rFonts w:eastAsia="Times New Roman" w:cs="Arial"/>
                <w:bCs w:val="0"/>
                <w:snapToGrid w:val="0"/>
                <w:color w:val="000000"/>
                <w:spacing w:val="52"/>
                <w:szCs w:val="20"/>
                <w:shd w:val="solid" w:color="000000" w:fill="000000"/>
                <w:fitText w:val="330" w:id="-1504991487"/>
                <w14:textFill>
                  <w14:solidFill>
                    <w14:srgbClr w14:val="000000">
                      <w14:alpha w14:val="100000"/>
                    </w14:srgbClr>
                  </w14:solidFill>
                </w14:textFill>
              </w:rPr>
              <w:t>|||</w:t>
            </w:r>
            <w:r w:rsidR="00992522" w:rsidRPr="00992522">
              <w:rPr>
                <w:rFonts w:eastAsia="Times New Roman" w:cs="Arial"/>
                <w:bCs w:val="0"/>
                <w:snapToGrid w:val="0"/>
                <w:color w:val="000000"/>
                <w:spacing w:val="2"/>
                <w:szCs w:val="20"/>
                <w:shd w:val="solid" w:color="000000" w:fill="000000"/>
                <w:fitText w:val="330" w:id="-1504991487"/>
                <w14:textFill>
                  <w14:solidFill>
                    <w14:srgbClr w14:val="000000">
                      <w14:alpha w14:val="100000"/>
                    </w14:srgbClr>
                  </w14:solidFill>
                </w14:textFill>
              </w:rPr>
              <w:t>|</w:t>
            </w:r>
            <w:r w:rsidR="00A97755" w:rsidRPr="009E4EB8">
              <w:rPr>
                <w:rFonts w:eastAsia="Times New Roman" w:cs="Arial"/>
                <w:bCs w:val="0"/>
                <w:snapToGrid w:val="0"/>
                <w:szCs w:val="20"/>
              </w:rPr>
              <w:t xml:space="preserve"> to $</w:t>
            </w:r>
            <w:r w:rsidR="00992522" w:rsidRPr="00992522">
              <w:rPr>
                <w:rFonts w:eastAsia="Times New Roman" w:cs="Arial"/>
                <w:bCs w:val="0"/>
                <w:snapToGrid w:val="0"/>
                <w:color w:val="000000"/>
                <w:spacing w:val="52"/>
                <w:szCs w:val="20"/>
                <w:shd w:val="solid" w:color="000000" w:fill="000000"/>
                <w:fitText w:val="330" w:id="-1504991486"/>
                <w14:textFill>
                  <w14:solidFill>
                    <w14:srgbClr w14:val="000000">
                      <w14:alpha w14:val="100000"/>
                    </w14:srgbClr>
                  </w14:solidFill>
                </w14:textFill>
              </w:rPr>
              <w:t>|||</w:t>
            </w:r>
            <w:r w:rsidR="00992522" w:rsidRPr="00992522">
              <w:rPr>
                <w:rFonts w:eastAsia="Times New Roman" w:cs="Arial"/>
                <w:bCs w:val="0"/>
                <w:snapToGrid w:val="0"/>
                <w:color w:val="000000"/>
                <w:spacing w:val="2"/>
                <w:szCs w:val="20"/>
                <w:shd w:val="solid" w:color="000000" w:fill="000000"/>
                <w:fitText w:val="330" w:id="-1504991486"/>
                <w14:textFill>
                  <w14:solidFill>
                    <w14:srgbClr w14:val="000000">
                      <w14:alpha w14:val="100000"/>
                    </w14:srgbClr>
                  </w14:solidFill>
                </w14:textFill>
              </w:rPr>
              <w:t>|</w:t>
            </w:r>
            <w:r w:rsidR="00A97755" w:rsidRPr="009E4EB8">
              <w:rPr>
                <w:rFonts w:eastAsia="Times New Roman" w:cs="Arial"/>
                <w:bCs w:val="0"/>
                <w:snapToGrid w:val="0"/>
                <w:szCs w:val="20"/>
              </w:rPr>
              <w:t xml:space="preserve">). </w:t>
            </w:r>
            <w:r w:rsidR="00CE21F7" w:rsidRPr="009E4EB8">
              <w:rPr>
                <w:rFonts w:eastAsia="Times New Roman" w:cs="Arial"/>
                <w:bCs w:val="0"/>
                <w:snapToGrid w:val="0"/>
                <w:szCs w:val="20"/>
              </w:rPr>
              <w:t xml:space="preserve">The base case </w:t>
            </w:r>
            <w:r w:rsidR="002079C8" w:rsidRPr="009E4EB8">
              <w:rPr>
                <w:rFonts w:eastAsia="Times New Roman" w:cs="Arial"/>
                <w:bCs w:val="0"/>
                <w:snapToGrid w:val="0"/>
                <w:szCs w:val="20"/>
              </w:rPr>
              <w:t xml:space="preserve">did not consider post progression costs, but </w:t>
            </w:r>
            <w:r w:rsidR="0010445E" w:rsidRPr="009E4EB8">
              <w:rPr>
                <w:rFonts w:eastAsia="Times New Roman" w:cs="Arial"/>
                <w:bCs w:val="0"/>
                <w:snapToGrid w:val="0"/>
                <w:szCs w:val="20"/>
              </w:rPr>
              <w:t>this was applied as a sensitiv</w:t>
            </w:r>
            <w:r w:rsidR="006059A2" w:rsidRPr="009E4EB8">
              <w:rPr>
                <w:rFonts w:eastAsia="Times New Roman" w:cs="Arial"/>
                <w:bCs w:val="0"/>
                <w:snapToGrid w:val="0"/>
                <w:szCs w:val="20"/>
              </w:rPr>
              <w:t>ity</w:t>
            </w:r>
            <w:r w:rsidR="0010445E" w:rsidRPr="009E4EB8">
              <w:rPr>
                <w:rFonts w:eastAsia="Times New Roman" w:cs="Arial"/>
                <w:bCs w:val="0"/>
                <w:snapToGrid w:val="0"/>
                <w:szCs w:val="20"/>
              </w:rPr>
              <w:t xml:space="preserve"> analysis. </w:t>
            </w:r>
          </w:p>
        </w:tc>
      </w:tr>
      <w:tr w:rsidR="00BD432C" w:rsidRPr="009E4EB8" w14:paraId="693D1FA2" w14:textId="77777777" w:rsidTr="00085306">
        <w:trPr>
          <w:cantSplit/>
        </w:trPr>
        <w:tc>
          <w:tcPr>
            <w:tcW w:w="0" w:type="auto"/>
            <w:tcMar>
              <w:left w:w="28" w:type="dxa"/>
              <w:right w:w="28" w:type="dxa"/>
            </w:tcMar>
            <w:vAlign w:val="center"/>
          </w:tcPr>
          <w:p w14:paraId="013DB1C7" w14:textId="13F81BCA" w:rsidR="005304FD" w:rsidRPr="009E4EB8" w:rsidRDefault="00D0262A" w:rsidP="00BB2A60">
            <w:pPr>
              <w:pStyle w:val="TableText0"/>
              <w:keepNext w:val="0"/>
              <w:rPr>
                <w:highlight w:val="cyan"/>
              </w:rPr>
            </w:pPr>
            <w:r w:rsidRPr="009E4EB8">
              <w:t>Financial impact</w:t>
            </w:r>
          </w:p>
        </w:tc>
        <w:tc>
          <w:tcPr>
            <w:tcW w:w="2997" w:type="dxa"/>
            <w:tcMar>
              <w:left w:w="28" w:type="dxa"/>
              <w:right w:w="28" w:type="dxa"/>
            </w:tcMar>
          </w:tcPr>
          <w:p w14:paraId="36D9CC2D" w14:textId="007FFDD5" w:rsidR="005304FD" w:rsidRPr="009E4EB8" w:rsidRDefault="0074649A" w:rsidP="008475A1">
            <w:pPr>
              <w:pStyle w:val="TableText0"/>
              <w:keepNext w:val="0"/>
              <w:rPr>
                <w:rFonts w:eastAsia="Times New Roman" w:cs="Arial"/>
                <w:bCs w:val="0"/>
                <w:snapToGrid w:val="0"/>
                <w:color w:val="0066FF"/>
                <w:szCs w:val="20"/>
                <w:highlight w:val="cyan"/>
              </w:rPr>
            </w:pPr>
            <w:r w:rsidRPr="009E4EB8">
              <w:rPr>
                <w:rFonts w:eastAsia="Times New Roman" w:cs="Arial"/>
                <w:bCs w:val="0"/>
                <w:snapToGrid w:val="0"/>
                <w:szCs w:val="20"/>
              </w:rPr>
              <w:t xml:space="preserve">The PBAC considered </w:t>
            </w:r>
            <w:r w:rsidR="00DA52CB" w:rsidRPr="009E4EB8">
              <w:rPr>
                <w:rFonts w:eastAsia="Times New Roman" w:cs="Arial"/>
                <w:bCs w:val="0"/>
                <w:snapToGrid w:val="0"/>
                <w:szCs w:val="20"/>
              </w:rPr>
              <w:t>the</w:t>
            </w:r>
            <w:r w:rsidR="008475A1" w:rsidRPr="009E4EB8">
              <w:rPr>
                <w:rFonts w:eastAsia="Times New Roman" w:cs="Arial"/>
                <w:bCs w:val="0"/>
                <w:snapToGrid w:val="0"/>
                <w:szCs w:val="20"/>
              </w:rPr>
              <w:t xml:space="preserve"> estimates</w:t>
            </w:r>
            <w:r w:rsidR="00DA52CB" w:rsidRPr="009E4EB8">
              <w:rPr>
                <w:rFonts w:eastAsia="Times New Roman" w:cs="Arial"/>
                <w:bCs w:val="0"/>
                <w:snapToGrid w:val="0"/>
                <w:szCs w:val="20"/>
              </w:rPr>
              <w:t xml:space="preserve"> were overestimated </w:t>
            </w:r>
            <w:r w:rsidR="00B64E3B" w:rsidRPr="009E4EB8">
              <w:rPr>
                <w:rFonts w:eastAsia="Times New Roman" w:cs="Arial"/>
                <w:bCs w:val="0"/>
                <w:snapToGrid w:val="0"/>
                <w:szCs w:val="20"/>
              </w:rPr>
              <w:t xml:space="preserve">due to the </w:t>
            </w:r>
            <w:r w:rsidR="0093372C" w:rsidRPr="009E4EB8">
              <w:rPr>
                <w:rFonts w:eastAsia="Times New Roman" w:cs="Arial"/>
                <w:bCs w:val="0"/>
                <w:snapToGrid w:val="0"/>
                <w:szCs w:val="20"/>
              </w:rPr>
              <w:t>assumptions/inputs to the epidemiological approach</w:t>
            </w:r>
            <w:r w:rsidR="00BD432C" w:rsidRPr="009E4EB8">
              <w:rPr>
                <w:rFonts w:eastAsia="Times New Roman" w:cs="Arial"/>
                <w:bCs w:val="0"/>
                <w:snapToGrid w:val="0"/>
                <w:szCs w:val="20"/>
              </w:rPr>
              <w:t xml:space="preserve"> and</w:t>
            </w:r>
            <w:r w:rsidR="0093372C" w:rsidRPr="009E4EB8">
              <w:rPr>
                <w:rFonts w:eastAsia="Times New Roman" w:cs="Arial"/>
                <w:bCs w:val="0"/>
                <w:snapToGrid w:val="0"/>
                <w:szCs w:val="20"/>
              </w:rPr>
              <w:t xml:space="preserve"> overestimation of selinexor uptake rates</w:t>
            </w:r>
            <w:r w:rsidR="00BD432C" w:rsidRPr="009E4EB8">
              <w:rPr>
                <w:rFonts w:eastAsia="Times New Roman" w:cs="Arial"/>
                <w:bCs w:val="0"/>
                <w:snapToGrid w:val="0"/>
                <w:szCs w:val="20"/>
              </w:rPr>
              <w:t xml:space="preserve">, </w:t>
            </w:r>
            <w:r w:rsidR="00437E2D" w:rsidRPr="009E4EB8">
              <w:rPr>
                <w:rFonts w:eastAsia="Times New Roman" w:cs="Arial"/>
                <w:bCs w:val="0"/>
                <w:snapToGrid w:val="0"/>
                <w:szCs w:val="20"/>
              </w:rPr>
              <w:t>duration of therapy</w:t>
            </w:r>
            <w:r w:rsidR="00BD432C" w:rsidRPr="009E4EB8">
              <w:rPr>
                <w:rFonts w:eastAsia="Times New Roman" w:cs="Arial"/>
                <w:bCs w:val="0"/>
                <w:snapToGrid w:val="0"/>
                <w:szCs w:val="20"/>
              </w:rPr>
              <w:t xml:space="preserve"> and compliance rate </w:t>
            </w:r>
            <w:r w:rsidR="00DA52CB" w:rsidRPr="009E4EB8">
              <w:rPr>
                <w:rFonts w:eastAsia="Times New Roman" w:cs="Arial"/>
                <w:bCs w:val="0"/>
                <w:snapToGrid w:val="0"/>
                <w:szCs w:val="20"/>
              </w:rPr>
              <w:t>(Para.</w:t>
            </w:r>
            <w:r w:rsidR="00602F49" w:rsidRPr="009E4EB8">
              <w:rPr>
                <w:rFonts w:eastAsia="Times New Roman" w:cs="Arial"/>
                <w:bCs w:val="0"/>
                <w:snapToGrid w:val="0"/>
                <w:szCs w:val="20"/>
              </w:rPr>
              <w:t>6.55 and</w:t>
            </w:r>
            <w:r w:rsidR="00DA52CB" w:rsidRPr="009E4EB8">
              <w:rPr>
                <w:rFonts w:eastAsia="Times New Roman" w:cs="Arial"/>
                <w:bCs w:val="0"/>
                <w:snapToGrid w:val="0"/>
                <w:szCs w:val="20"/>
              </w:rPr>
              <w:t xml:space="preserve"> 7.1</w:t>
            </w:r>
            <w:r w:rsidR="00B64E3B" w:rsidRPr="009E4EB8">
              <w:rPr>
                <w:rFonts w:eastAsia="Times New Roman" w:cs="Arial"/>
                <w:bCs w:val="0"/>
                <w:snapToGrid w:val="0"/>
                <w:szCs w:val="20"/>
              </w:rPr>
              <w:t>3</w:t>
            </w:r>
            <w:r w:rsidR="00DA52CB" w:rsidRPr="009E4EB8">
              <w:rPr>
                <w:rFonts w:eastAsia="Times New Roman" w:cs="Arial"/>
                <w:bCs w:val="0"/>
                <w:snapToGrid w:val="0"/>
                <w:szCs w:val="20"/>
              </w:rPr>
              <w:t xml:space="preserve">, July 2021 PBAC Meeting).  </w:t>
            </w:r>
          </w:p>
        </w:tc>
        <w:tc>
          <w:tcPr>
            <w:tcW w:w="0" w:type="auto"/>
            <w:tcMar>
              <w:left w:w="28" w:type="dxa"/>
              <w:right w:w="28" w:type="dxa"/>
            </w:tcMar>
          </w:tcPr>
          <w:p w14:paraId="0EC599D0" w14:textId="2D992948" w:rsidR="005304FD" w:rsidRPr="009E4EB8" w:rsidRDefault="0067571E" w:rsidP="00BB2A60">
            <w:pPr>
              <w:pStyle w:val="TableText0"/>
              <w:keepNext w:val="0"/>
              <w:tabs>
                <w:tab w:val="center" w:pos="2115"/>
              </w:tabs>
              <w:spacing w:after="120"/>
              <w:rPr>
                <w:rFonts w:eastAsia="Times New Roman" w:cs="Arial"/>
                <w:bCs w:val="0"/>
                <w:snapToGrid w:val="0"/>
                <w:szCs w:val="20"/>
              </w:rPr>
            </w:pPr>
            <w:r w:rsidRPr="009E4EB8">
              <w:rPr>
                <w:rFonts w:eastAsia="Times New Roman" w:cs="Arial"/>
                <w:bCs w:val="0"/>
                <w:snapToGrid w:val="0"/>
                <w:szCs w:val="20"/>
              </w:rPr>
              <w:t xml:space="preserve">The resubmission applied a different epidemiological approach to </w:t>
            </w:r>
            <w:r w:rsidR="002A6147" w:rsidRPr="009E4EB8">
              <w:rPr>
                <w:rFonts w:eastAsia="Times New Roman" w:cs="Arial"/>
                <w:bCs w:val="0"/>
                <w:snapToGrid w:val="0"/>
                <w:szCs w:val="20"/>
              </w:rPr>
              <w:t>that of the July 2021 submission</w:t>
            </w:r>
            <w:r w:rsidR="00E07957" w:rsidRPr="009E4EB8">
              <w:rPr>
                <w:rFonts w:eastAsia="Times New Roman" w:cs="Arial"/>
                <w:bCs w:val="0"/>
                <w:snapToGrid w:val="0"/>
                <w:szCs w:val="20"/>
              </w:rPr>
              <w:t>. The resubmission estimated</w:t>
            </w:r>
            <w:r w:rsidR="002A6147" w:rsidRPr="009E4EB8">
              <w:rPr>
                <w:rFonts w:eastAsia="Times New Roman" w:cs="Arial"/>
                <w:bCs w:val="0"/>
                <w:snapToGrid w:val="0"/>
                <w:szCs w:val="20"/>
              </w:rPr>
              <w:t xml:space="preserve"> the eligible population as based on </w:t>
            </w:r>
            <w:r w:rsidR="00960C2E" w:rsidRPr="009E4EB8">
              <w:rPr>
                <w:rFonts w:eastAsia="Times New Roman" w:cs="Arial"/>
                <w:bCs w:val="0"/>
                <w:snapToGrid w:val="0"/>
                <w:szCs w:val="20"/>
              </w:rPr>
              <w:t xml:space="preserve">the PBS utilisation of Pd. </w:t>
            </w:r>
            <w:r w:rsidR="00081C6D" w:rsidRPr="009E4EB8">
              <w:rPr>
                <w:rFonts w:eastAsia="Times New Roman" w:cs="Arial"/>
                <w:bCs w:val="0"/>
                <w:snapToGrid w:val="0"/>
                <w:szCs w:val="20"/>
              </w:rPr>
              <w:t>The</w:t>
            </w:r>
            <w:r w:rsidR="00A55357" w:rsidRPr="009E4EB8">
              <w:rPr>
                <w:rFonts w:eastAsia="Times New Roman" w:cs="Arial"/>
                <w:bCs w:val="0"/>
                <w:snapToGrid w:val="0"/>
                <w:szCs w:val="20"/>
              </w:rPr>
              <w:t xml:space="preserve"> compliance rate and duration of therapy estimate</w:t>
            </w:r>
            <w:r w:rsidR="00081C6D" w:rsidRPr="009E4EB8">
              <w:rPr>
                <w:rFonts w:eastAsia="Times New Roman" w:cs="Arial"/>
                <w:bCs w:val="0"/>
                <w:snapToGrid w:val="0"/>
                <w:szCs w:val="20"/>
              </w:rPr>
              <w:t>s</w:t>
            </w:r>
            <w:r w:rsidR="00A55357" w:rsidRPr="009E4EB8">
              <w:rPr>
                <w:rFonts w:eastAsia="Times New Roman" w:cs="Arial"/>
                <w:bCs w:val="0"/>
                <w:snapToGrid w:val="0"/>
                <w:szCs w:val="20"/>
              </w:rPr>
              <w:t xml:space="preserve"> were reduced. </w:t>
            </w:r>
          </w:p>
          <w:p w14:paraId="5C7AAC9E" w14:textId="182AFE11" w:rsidR="00A55357" w:rsidRPr="009E4EB8" w:rsidRDefault="009F63C4" w:rsidP="00081C6D">
            <w:pPr>
              <w:pStyle w:val="TableText0"/>
              <w:keepNext w:val="0"/>
              <w:tabs>
                <w:tab w:val="center" w:pos="2115"/>
              </w:tabs>
              <w:rPr>
                <w:rFonts w:eastAsia="Times New Roman" w:cs="Arial"/>
                <w:bCs w:val="0"/>
                <w:snapToGrid w:val="0"/>
                <w:szCs w:val="20"/>
              </w:rPr>
            </w:pPr>
            <w:r w:rsidRPr="009E4EB8">
              <w:rPr>
                <w:rFonts w:eastAsia="Times New Roman" w:cs="Arial"/>
                <w:bCs w:val="0"/>
                <w:iCs/>
                <w:snapToGrid w:val="0"/>
                <w:szCs w:val="20"/>
              </w:rPr>
              <w:t>Although the s</w:t>
            </w:r>
            <w:r w:rsidR="004B7A3D" w:rsidRPr="009E4EB8">
              <w:rPr>
                <w:rFonts w:eastAsia="Times New Roman" w:cs="Arial"/>
                <w:bCs w:val="0"/>
                <w:iCs/>
                <w:snapToGrid w:val="0"/>
                <w:szCs w:val="20"/>
              </w:rPr>
              <w:t>elinexor</w:t>
            </w:r>
            <w:r w:rsidR="007C6A86" w:rsidRPr="009E4EB8">
              <w:rPr>
                <w:rFonts w:eastAsia="Times New Roman" w:cs="Arial"/>
                <w:bCs w:val="0"/>
                <w:iCs/>
                <w:snapToGrid w:val="0"/>
                <w:szCs w:val="20"/>
              </w:rPr>
              <w:t xml:space="preserve"> uptake rate applied in the resubmission remained the same</w:t>
            </w:r>
            <w:r w:rsidR="003D7A1D" w:rsidRPr="009E4EB8">
              <w:rPr>
                <w:rFonts w:eastAsia="Times New Roman" w:cs="Arial"/>
                <w:bCs w:val="0"/>
                <w:iCs/>
                <w:snapToGrid w:val="0"/>
                <w:szCs w:val="20"/>
              </w:rPr>
              <w:t xml:space="preserve">, </w:t>
            </w:r>
            <w:r w:rsidR="00DE5BA0" w:rsidRPr="009E4EB8">
              <w:rPr>
                <w:rFonts w:eastAsia="Times New Roman" w:cs="Arial"/>
                <w:bCs w:val="0"/>
                <w:iCs/>
                <w:snapToGrid w:val="0"/>
                <w:szCs w:val="20"/>
              </w:rPr>
              <w:t>t</w:t>
            </w:r>
            <w:r w:rsidR="003D7A1D" w:rsidRPr="009E4EB8">
              <w:rPr>
                <w:iCs/>
                <w:szCs w:val="20"/>
              </w:rPr>
              <w:t>he uptake rates were more conservatively applied</w:t>
            </w:r>
            <w:r w:rsidR="00DE5BA0" w:rsidRPr="009E4EB8">
              <w:rPr>
                <w:iCs/>
                <w:szCs w:val="20"/>
              </w:rPr>
              <w:t xml:space="preserve"> given the approach to calculating the eligible population</w:t>
            </w:r>
            <w:r w:rsidR="003D7A1D" w:rsidRPr="009E4EB8">
              <w:rPr>
                <w:iCs/>
                <w:szCs w:val="20"/>
              </w:rPr>
              <w:t xml:space="preserve"> (</w:t>
            </w:r>
            <w:proofErr w:type="gramStart"/>
            <w:r w:rsidR="003D7A1D" w:rsidRPr="009E4EB8">
              <w:rPr>
                <w:iCs/>
                <w:szCs w:val="20"/>
              </w:rPr>
              <w:t>i.e.</w:t>
            </w:r>
            <w:proofErr w:type="gramEnd"/>
            <w:r w:rsidR="003D7A1D" w:rsidRPr="009E4EB8">
              <w:rPr>
                <w:iCs/>
                <w:szCs w:val="20"/>
              </w:rPr>
              <w:t xml:space="preserve"> </w:t>
            </w:r>
            <w:r w:rsidR="00992522" w:rsidRPr="00992522">
              <w:rPr>
                <w:iCs/>
                <w:color w:val="000000"/>
                <w:spacing w:val="52"/>
                <w:szCs w:val="20"/>
                <w:shd w:val="solid" w:color="000000" w:fill="000000"/>
                <w:fitText w:val="330" w:id="-1504991485"/>
                <w14:textFill>
                  <w14:solidFill>
                    <w14:srgbClr w14:val="000000">
                      <w14:alpha w14:val="100000"/>
                    </w14:srgbClr>
                  </w14:solidFill>
                </w14:textFill>
              </w:rPr>
              <w:t>|||</w:t>
            </w:r>
            <w:r w:rsidR="00992522" w:rsidRPr="00992522">
              <w:rPr>
                <w:iCs/>
                <w:color w:val="000000"/>
                <w:spacing w:val="2"/>
                <w:szCs w:val="20"/>
                <w:shd w:val="solid" w:color="000000" w:fill="000000"/>
                <w:fitText w:val="330" w:id="-1504991485"/>
                <w14:textFill>
                  <w14:solidFill>
                    <w14:srgbClr w14:val="000000">
                      <w14:alpha w14:val="100000"/>
                    </w14:srgbClr>
                  </w14:solidFill>
                </w14:textFill>
              </w:rPr>
              <w:t>|</w:t>
            </w:r>
            <w:r w:rsidR="003D7A1D" w:rsidRPr="00885237">
              <w:rPr>
                <w:iCs/>
                <w:szCs w:val="20"/>
              </w:rPr>
              <w:t>%</w:t>
            </w:r>
            <w:r w:rsidR="003D7A1D" w:rsidRPr="009E4EB8">
              <w:rPr>
                <w:iCs/>
                <w:szCs w:val="20"/>
              </w:rPr>
              <w:t xml:space="preserve"> of patients treated with Pd likely to receive subsequent therapy)</w:t>
            </w:r>
            <w:r w:rsidR="0056151E" w:rsidRPr="009E4EB8">
              <w:rPr>
                <w:iCs/>
                <w:szCs w:val="20"/>
              </w:rPr>
              <w:t>.</w:t>
            </w:r>
          </w:p>
        </w:tc>
      </w:tr>
    </w:tbl>
    <w:p w14:paraId="78FFA31C" w14:textId="5450CDB0" w:rsidR="003F69E1" w:rsidRPr="009E4EB8" w:rsidRDefault="003F69E1" w:rsidP="003F69E1">
      <w:pPr>
        <w:pStyle w:val="TableFigureFooter"/>
      </w:pPr>
      <w:r w:rsidRPr="009E4EB8">
        <w:t xml:space="preserve">Source: Table E.1, </w:t>
      </w:r>
      <w:r w:rsidR="00AE2CB6" w:rsidRPr="009E4EB8">
        <w:t xml:space="preserve">pp110-111, pp159-61 </w:t>
      </w:r>
      <w:r w:rsidRPr="009E4EB8">
        <w:t>of the resubmission.</w:t>
      </w:r>
    </w:p>
    <w:p w14:paraId="3ACFAF3C" w14:textId="057AF9E3" w:rsidR="00EC5349" w:rsidRPr="009E4EB8" w:rsidRDefault="00AE2CB6" w:rsidP="00EC5349">
      <w:pPr>
        <w:pStyle w:val="TableFigureFooter"/>
      </w:pPr>
      <w:r w:rsidRPr="009E4EB8">
        <w:t>Abbreviations:</w:t>
      </w:r>
      <w:r w:rsidR="00047D59" w:rsidRPr="009E4EB8">
        <w:t xml:space="preserve"> </w:t>
      </w:r>
      <w:r w:rsidR="00E84499" w:rsidRPr="009E4EB8">
        <w:t xml:space="preserve">AE = adverse event; </w:t>
      </w:r>
      <w:r w:rsidR="00047D59" w:rsidRPr="009E4EB8">
        <w:t xml:space="preserve">DCEP = dexamethasone + cyclophosphamide + etoposide + cisplatin; </w:t>
      </w:r>
      <w:r w:rsidR="00B90EDE" w:rsidRPr="009E4EB8">
        <w:t xml:space="preserve">DPMQ = dispensed price for maximum quantity; </w:t>
      </w:r>
      <w:r w:rsidR="00E84499" w:rsidRPr="009E4EB8">
        <w:t xml:space="preserve">ICER = incremental cost effectiveness ratio; </w:t>
      </w:r>
      <w:r w:rsidR="00EC5349" w:rsidRPr="009E4EB8">
        <w:t xml:space="preserve">ITC = indirect treatment comparison; </w:t>
      </w:r>
      <w:r w:rsidR="004B7A3D" w:rsidRPr="009E4EB8">
        <w:t xml:space="preserve">MM = multiple myeloma; </w:t>
      </w:r>
      <w:r w:rsidRPr="009E4EB8">
        <w:t xml:space="preserve">PBAC = </w:t>
      </w:r>
      <w:r w:rsidR="00EC5349" w:rsidRPr="009E4EB8">
        <w:t xml:space="preserve">Pharmaceutical Benefits Advisory Committee; </w:t>
      </w:r>
      <w:r w:rsidR="000A019B" w:rsidRPr="009E4EB8">
        <w:t xml:space="preserve">PBS = Pharmaceutical Benefits Scheme; </w:t>
      </w:r>
      <w:r w:rsidR="0082604D" w:rsidRPr="009E4EB8">
        <w:t xml:space="preserve">Pd = pomalidomide + dexamethasone; </w:t>
      </w:r>
      <w:r w:rsidR="00FB6531" w:rsidRPr="009E4EB8">
        <w:t xml:space="preserve">PR MM = penta-refractory multiple myeloma; </w:t>
      </w:r>
      <w:r w:rsidR="00883FCC" w:rsidRPr="009E4EB8">
        <w:t xml:space="preserve">Sd = selinexor + dexamethasone; </w:t>
      </w:r>
      <w:r w:rsidR="002B7D13" w:rsidRPr="009E4EB8">
        <w:t xml:space="preserve">TCR/PE = triple class refractory and penta-exposed multiple myeloma; </w:t>
      </w:r>
      <w:r w:rsidR="00EC5349" w:rsidRPr="009E4EB8">
        <w:t xml:space="preserve">TCR/PR </w:t>
      </w:r>
      <w:r w:rsidR="002B7D13" w:rsidRPr="009E4EB8">
        <w:t xml:space="preserve">MM </w:t>
      </w:r>
      <w:r w:rsidR="00EC5349" w:rsidRPr="009E4EB8">
        <w:t xml:space="preserve">= triple class refractory and penta-refractory </w:t>
      </w:r>
      <w:r w:rsidR="002B7D13" w:rsidRPr="009E4EB8">
        <w:t>multiple myeloma</w:t>
      </w:r>
    </w:p>
    <w:p w14:paraId="3AEFBCF8" w14:textId="7E1E58D7" w:rsidR="00AE2CB6" w:rsidRPr="009E4EB8" w:rsidRDefault="00AE2CB6" w:rsidP="003F69E1">
      <w:pPr>
        <w:pStyle w:val="TableFigureFooter"/>
      </w:pPr>
    </w:p>
    <w:p w14:paraId="56C532FE" w14:textId="77777777" w:rsidR="002C3290" w:rsidRPr="009E4EB8" w:rsidRDefault="002C3290" w:rsidP="002C3290">
      <w:pPr>
        <w:ind w:firstLine="709"/>
        <w:rPr>
          <w:rFonts w:asciiTheme="minorHAnsi" w:hAnsiTheme="minorHAnsi"/>
          <w:i/>
        </w:rPr>
      </w:pPr>
      <w:bookmarkStart w:id="21" w:name="_Hlk76375324"/>
      <w:r w:rsidRPr="009E4EB8">
        <w:rPr>
          <w:rFonts w:asciiTheme="minorHAnsi" w:hAnsiTheme="minorHAnsi"/>
          <w:i/>
        </w:rPr>
        <w:t>For more detail on PBAC’s view, see section 7 PBAC outcome.</w:t>
      </w:r>
    </w:p>
    <w:bookmarkEnd w:id="21"/>
    <w:p w14:paraId="6D431C99" w14:textId="77777777" w:rsidR="002C3290" w:rsidRPr="009E4EB8" w:rsidRDefault="002C3290" w:rsidP="003F69E1">
      <w:pPr>
        <w:pStyle w:val="TableFigureFooter"/>
      </w:pPr>
    </w:p>
    <w:p w14:paraId="7827B0A3" w14:textId="7CB6D8CE" w:rsidR="005304FD" w:rsidRPr="009E4EB8" w:rsidRDefault="005304FD" w:rsidP="005304FD">
      <w:pPr>
        <w:pStyle w:val="2-SectionHeading"/>
        <w:numPr>
          <w:ilvl w:val="0"/>
          <w:numId w:val="1"/>
        </w:numPr>
      </w:pPr>
      <w:bookmarkStart w:id="22" w:name="_Toc22898848"/>
      <w:bookmarkStart w:id="23" w:name="_Toc93422859"/>
      <w:r w:rsidRPr="009E4EB8">
        <w:lastRenderedPageBreak/>
        <w:t>Requested listing</w:t>
      </w:r>
      <w:bookmarkEnd w:id="22"/>
      <w:bookmarkEnd w:id="23"/>
    </w:p>
    <w:p w14:paraId="0DA85BFD" w14:textId="7E88A52E" w:rsidR="00B17EAA" w:rsidRPr="009E4EB8" w:rsidRDefault="00B17EAA" w:rsidP="00B17EAA">
      <w:pPr>
        <w:pStyle w:val="ListParagraph"/>
        <w:numPr>
          <w:ilvl w:val="1"/>
          <w:numId w:val="1"/>
        </w:numPr>
        <w:rPr>
          <w:rFonts w:cs="Calibri"/>
          <w:bCs/>
        </w:rPr>
      </w:pPr>
      <w:r w:rsidRPr="009E4EB8">
        <w:rPr>
          <w:rFonts w:cstheme="minorHAnsi"/>
          <w:iCs/>
        </w:rPr>
        <w:t>Suggestions and additions propose by the Secretariat are added in italics and suggested deletions are crossed out with strikethrough.</w:t>
      </w:r>
    </w:p>
    <w:tbl>
      <w:tblPr>
        <w:tblStyle w:val="HTATableshaded"/>
        <w:tblW w:w="5000" w:type="pct"/>
        <w:tblLayout w:type="fixed"/>
        <w:tblCellMar>
          <w:left w:w="57" w:type="dxa"/>
          <w:right w:w="57" w:type="dxa"/>
        </w:tblCellMar>
        <w:tblLook w:val="04A0" w:firstRow="1" w:lastRow="0" w:firstColumn="1" w:lastColumn="0" w:noHBand="0" w:noVBand="1"/>
      </w:tblPr>
      <w:tblGrid>
        <w:gridCol w:w="1856"/>
        <w:gridCol w:w="949"/>
        <w:gridCol w:w="949"/>
        <w:gridCol w:w="950"/>
        <w:gridCol w:w="2863"/>
        <w:gridCol w:w="1460"/>
      </w:tblGrid>
      <w:tr w:rsidR="00A96157" w:rsidRPr="009E4EB8" w14:paraId="57D07DD3" w14:textId="77777777" w:rsidTr="00324E90">
        <w:trPr>
          <w:cnfStyle w:val="100000000000" w:firstRow="1" w:lastRow="0" w:firstColumn="0" w:lastColumn="0" w:oddVBand="0" w:evenVBand="0" w:oddHBand="0" w:evenHBand="0" w:firstRowFirstColumn="0" w:firstRowLastColumn="0" w:lastRowFirstColumn="0" w:lastRowLastColumn="0"/>
        </w:trPr>
        <w:tc>
          <w:tcPr>
            <w:tcW w:w="1856" w:type="dxa"/>
            <w:tcBorders>
              <w:left w:val="nil"/>
              <w:right w:val="nil"/>
            </w:tcBorders>
          </w:tcPr>
          <w:p w14:paraId="23215F36" w14:textId="77777777" w:rsidR="00A96157" w:rsidRPr="009E4EB8" w:rsidRDefault="00A96157" w:rsidP="00B6360D">
            <w:pPr>
              <w:pStyle w:val="TableFigureHeading"/>
              <w:jc w:val="center"/>
              <w:rPr>
                <w:sz w:val="20"/>
                <w:szCs w:val="20"/>
              </w:rPr>
            </w:pPr>
            <w:r w:rsidRPr="009E4EB8">
              <w:rPr>
                <w:sz w:val="20"/>
                <w:szCs w:val="20"/>
              </w:rPr>
              <w:t>Name, restriction, manner of administration, form</w:t>
            </w:r>
          </w:p>
        </w:tc>
        <w:tc>
          <w:tcPr>
            <w:tcW w:w="949" w:type="dxa"/>
            <w:tcBorders>
              <w:left w:val="nil"/>
              <w:right w:val="nil"/>
            </w:tcBorders>
          </w:tcPr>
          <w:p w14:paraId="524E5C07" w14:textId="77777777" w:rsidR="00A96157" w:rsidRPr="009E4EB8" w:rsidRDefault="00A96157" w:rsidP="00B6360D">
            <w:pPr>
              <w:pStyle w:val="TableFigureHeading"/>
              <w:jc w:val="center"/>
              <w:rPr>
                <w:sz w:val="20"/>
                <w:szCs w:val="20"/>
              </w:rPr>
            </w:pPr>
            <w:r w:rsidRPr="009E4EB8">
              <w:rPr>
                <w:sz w:val="20"/>
                <w:szCs w:val="20"/>
              </w:rPr>
              <w:t>Max Qty (packs)</w:t>
            </w:r>
          </w:p>
        </w:tc>
        <w:tc>
          <w:tcPr>
            <w:tcW w:w="949" w:type="dxa"/>
            <w:tcBorders>
              <w:left w:val="nil"/>
              <w:right w:val="nil"/>
            </w:tcBorders>
          </w:tcPr>
          <w:p w14:paraId="232D6857" w14:textId="77777777" w:rsidR="00A96157" w:rsidRPr="009E4EB8" w:rsidRDefault="00A96157" w:rsidP="00B6360D">
            <w:pPr>
              <w:pStyle w:val="TableFigureHeading"/>
              <w:jc w:val="center"/>
              <w:rPr>
                <w:sz w:val="20"/>
                <w:szCs w:val="20"/>
              </w:rPr>
            </w:pPr>
            <w:r w:rsidRPr="009E4EB8">
              <w:rPr>
                <w:sz w:val="20"/>
                <w:szCs w:val="20"/>
              </w:rPr>
              <w:t>Max Qty (units)</w:t>
            </w:r>
          </w:p>
        </w:tc>
        <w:tc>
          <w:tcPr>
            <w:tcW w:w="950" w:type="dxa"/>
            <w:tcBorders>
              <w:left w:val="nil"/>
              <w:right w:val="nil"/>
            </w:tcBorders>
          </w:tcPr>
          <w:p w14:paraId="20088562" w14:textId="77777777" w:rsidR="00A96157" w:rsidRPr="009E4EB8" w:rsidRDefault="00A96157" w:rsidP="00B6360D">
            <w:pPr>
              <w:pStyle w:val="TableFigureHeading"/>
              <w:jc w:val="center"/>
              <w:rPr>
                <w:sz w:val="20"/>
                <w:szCs w:val="20"/>
              </w:rPr>
            </w:pPr>
            <w:r w:rsidRPr="009E4EB8">
              <w:rPr>
                <w:sz w:val="20"/>
                <w:szCs w:val="20"/>
              </w:rPr>
              <w:t>No. of repeats</w:t>
            </w:r>
          </w:p>
        </w:tc>
        <w:tc>
          <w:tcPr>
            <w:tcW w:w="2863" w:type="dxa"/>
            <w:tcBorders>
              <w:left w:val="nil"/>
              <w:right w:val="nil"/>
            </w:tcBorders>
          </w:tcPr>
          <w:p w14:paraId="01F1C7CA" w14:textId="77777777" w:rsidR="00A96157" w:rsidRPr="009E4EB8" w:rsidRDefault="00A96157" w:rsidP="006D2C49">
            <w:pPr>
              <w:pStyle w:val="TableFigureHeading"/>
              <w:ind w:left="531" w:hanging="531"/>
              <w:jc w:val="center"/>
              <w:rPr>
                <w:sz w:val="20"/>
                <w:szCs w:val="20"/>
              </w:rPr>
            </w:pPr>
            <w:r w:rsidRPr="009E4EB8">
              <w:rPr>
                <w:sz w:val="20"/>
                <w:szCs w:val="20"/>
              </w:rPr>
              <w:t>DPMQ</w:t>
            </w:r>
          </w:p>
        </w:tc>
        <w:tc>
          <w:tcPr>
            <w:tcW w:w="1460" w:type="dxa"/>
            <w:tcBorders>
              <w:left w:val="nil"/>
              <w:right w:val="nil"/>
            </w:tcBorders>
          </w:tcPr>
          <w:p w14:paraId="338A32ED" w14:textId="77777777" w:rsidR="00A96157" w:rsidRPr="009E4EB8" w:rsidRDefault="00A96157" w:rsidP="00B6360D">
            <w:pPr>
              <w:pStyle w:val="TableFigureHeading"/>
              <w:jc w:val="center"/>
              <w:rPr>
                <w:sz w:val="20"/>
                <w:szCs w:val="20"/>
              </w:rPr>
            </w:pPr>
            <w:r w:rsidRPr="009E4EB8">
              <w:rPr>
                <w:sz w:val="20"/>
                <w:szCs w:val="20"/>
              </w:rPr>
              <w:t>Proprietary name and manufacturer</w:t>
            </w:r>
          </w:p>
        </w:tc>
      </w:tr>
      <w:tr w:rsidR="00A5786F" w:rsidRPr="009E4EB8" w14:paraId="268C3936" w14:textId="77777777" w:rsidTr="00A5786F">
        <w:tc>
          <w:tcPr>
            <w:tcW w:w="1856" w:type="dxa"/>
            <w:vMerge w:val="restart"/>
            <w:tcBorders>
              <w:left w:val="nil"/>
              <w:right w:val="nil"/>
            </w:tcBorders>
            <w:shd w:val="clear" w:color="auto" w:fill="C6D9F1" w:themeFill="text2" w:themeFillTint="33"/>
            <w:vAlign w:val="center"/>
          </w:tcPr>
          <w:p w14:paraId="7477DC52" w14:textId="77777777" w:rsidR="0014052F" w:rsidRPr="009E4EB8" w:rsidRDefault="0014052F" w:rsidP="0014052F">
            <w:pPr>
              <w:pStyle w:val="TableLeft"/>
              <w:rPr>
                <w:rFonts w:ascii="Arial Narrow" w:hAnsi="Arial Narrow"/>
                <w:szCs w:val="20"/>
              </w:rPr>
            </w:pPr>
            <w:r w:rsidRPr="009E4EB8">
              <w:rPr>
                <w:rFonts w:ascii="Arial Narrow" w:hAnsi="Arial Narrow"/>
                <w:szCs w:val="20"/>
              </w:rPr>
              <w:t>Selinexor, 20 mg tablets</w:t>
            </w:r>
          </w:p>
        </w:tc>
        <w:tc>
          <w:tcPr>
            <w:tcW w:w="949" w:type="dxa"/>
            <w:tcBorders>
              <w:left w:val="nil"/>
              <w:right w:val="nil"/>
            </w:tcBorders>
            <w:shd w:val="clear" w:color="auto" w:fill="C6D9F1" w:themeFill="text2" w:themeFillTint="33"/>
          </w:tcPr>
          <w:p w14:paraId="354C195F" w14:textId="77777777" w:rsidR="0014052F" w:rsidRPr="009E4EB8" w:rsidRDefault="0014052F" w:rsidP="0014052F">
            <w:pPr>
              <w:pStyle w:val="TableLeft"/>
              <w:jc w:val="center"/>
              <w:rPr>
                <w:rFonts w:ascii="Arial Narrow" w:hAnsi="Arial Narrow"/>
                <w:szCs w:val="20"/>
              </w:rPr>
            </w:pPr>
            <w:r w:rsidRPr="009E4EB8">
              <w:rPr>
                <w:rFonts w:ascii="Arial Narrow" w:hAnsi="Arial Narrow"/>
                <w:szCs w:val="20"/>
              </w:rPr>
              <w:t>1</w:t>
            </w:r>
          </w:p>
        </w:tc>
        <w:tc>
          <w:tcPr>
            <w:tcW w:w="949" w:type="dxa"/>
            <w:tcBorders>
              <w:left w:val="nil"/>
              <w:right w:val="nil"/>
            </w:tcBorders>
            <w:shd w:val="clear" w:color="auto" w:fill="C6D9F1" w:themeFill="text2" w:themeFillTint="33"/>
          </w:tcPr>
          <w:p w14:paraId="4376146C" w14:textId="77777777" w:rsidR="0014052F" w:rsidRPr="009E4EB8" w:rsidRDefault="0014052F" w:rsidP="0014052F">
            <w:pPr>
              <w:pStyle w:val="TableLeft"/>
              <w:jc w:val="center"/>
              <w:rPr>
                <w:rFonts w:ascii="Arial Narrow" w:hAnsi="Arial Narrow"/>
                <w:szCs w:val="20"/>
              </w:rPr>
            </w:pPr>
            <w:r w:rsidRPr="009E4EB8">
              <w:rPr>
                <w:rFonts w:ascii="Arial Narrow" w:hAnsi="Arial Narrow"/>
                <w:szCs w:val="20"/>
              </w:rPr>
              <w:t>32</w:t>
            </w:r>
          </w:p>
        </w:tc>
        <w:tc>
          <w:tcPr>
            <w:tcW w:w="950" w:type="dxa"/>
            <w:tcBorders>
              <w:left w:val="nil"/>
              <w:right w:val="nil"/>
            </w:tcBorders>
            <w:shd w:val="clear" w:color="auto" w:fill="C6D9F1" w:themeFill="text2" w:themeFillTint="33"/>
          </w:tcPr>
          <w:p w14:paraId="23FA54F1" w14:textId="77777777" w:rsidR="0014052F" w:rsidRPr="009E4EB8" w:rsidRDefault="0014052F" w:rsidP="0014052F">
            <w:pPr>
              <w:pStyle w:val="TableLeft"/>
              <w:jc w:val="center"/>
              <w:rPr>
                <w:rFonts w:ascii="Arial Narrow" w:hAnsi="Arial Narrow"/>
                <w:szCs w:val="20"/>
              </w:rPr>
            </w:pPr>
            <w:r w:rsidRPr="009E4EB8">
              <w:rPr>
                <w:rFonts w:ascii="Arial Narrow" w:hAnsi="Arial Narrow"/>
                <w:szCs w:val="20"/>
              </w:rPr>
              <w:t>2</w:t>
            </w:r>
          </w:p>
        </w:tc>
        <w:tc>
          <w:tcPr>
            <w:tcW w:w="2863" w:type="dxa"/>
            <w:tcBorders>
              <w:left w:val="nil"/>
              <w:right w:val="nil"/>
            </w:tcBorders>
          </w:tcPr>
          <w:p w14:paraId="6D2AC10E" w14:textId="72281576" w:rsidR="000D68F6" w:rsidRPr="009E4EB8" w:rsidRDefault="0014052F" w:rsidP="00A93185">
            <w:pPr>
              <w:keepNext/>
              <w:spacing w:before="0" w:after="0"/>
              <w:jc w:val="left"/>
              <w:rPr>
                <w:rFonts w:ascii="Arial Narrow" w:hAnsi="Arial Narrow"/>
                <w:sz w:val="20"/>
                <w:szCs w:val="20"/>
              </w:rPr>
            </w:pPr>
            <w:r w:rsidRPr="009E4EB8">
              <w:rPr>
                <w:rFonts w:ascii="Arial Narrow" w:hAnsi="Arial Narrow"/>
                <w:sz w:val="20"/>
                <w:szCs w:val="20"/>
              </w:rPr>
              <w:t>Published</w:t>
            </w:r>
            <w:r w:rsidR="00304EF5" w:rsidRPr="009E4EB8">
              <w:rPr>
                <w:rFonts w:ascii="Arial Narrow" w:hAnsi="Arial Narrow"/>
                <w:sz w:val="20"/>
                <w:szCs w:val="20"/>
              </w:rPr>
              <w:t xml:space="preserve">: </w:t>
            </w:r>
            <w:r w:rsidRPr="009E4EB8">
              <w:rPr>
                <w:rFonts w:ascii="Arial Narrow" w:hAnsi="Arial Narrow"/>
                <w:sz w:val="20"/>
                <w:szCs w:val="20"/>
              </w:rPr>
              <w:t xml:space="preserve">  </w:t>
            </w:r>
          </w:p>
          <w:p w14:paraId="10A31EAB" w14:textId="1C3D31CC" w:rsidR="0014052F" w:rsidRPr="009E4EB8" w:rsidRDefault="0014052F" w:rsidP="00A93185">
            <w:pPr>
              <w:keepNext/>
              <w:spacing w:before="0" w:after="0"/>
              <w:jc w:val="left"/>
              <w:rPr>
                <w:rFonts w:ascii="Arial Narrow" w:hAnsi="Arial Narrow"/>
                <w:sz w:val="20"/>
                <w:szCs w:val="20"/>
              </w:rPr>
            </w:pPr>
            <w:r w:rsidRPr="009E4EB8">
              <w:rPr>
                <w:rFonts w:ascii="Arial Narrow" w:hAnsi="Arial Narrow"/>
                <w:sz w:val="20"/>
                <w:szCs w:val="20"/>
              </w:rPr>
              <w:t>$23,050.88 (HSD Public)</w:t>
            </w:r>
          </w:p>
          <w:p w14:paraId="5CDC3866" w14:textId="06CC36D3" w:rsidR="0014052F" w:rsidRPr="009E4EB8" w:rsidRDefault="0014052F" w:rsidP="00304EF5">
            <w:pPr>
              <w:keepNext/>
              <w:spacing w:before="0" w:after="80"/>
              <w:jc w:val="left"/>
              <w:rPr>
                <w:rFonts w:ascii="Arial Narrow" w:hAnsi="Arial Narrow"/>
                <w:sz w:val="20"/>
                <w:szCs w:val="20"/>
              </w:rPr>
            </w:pPr>
            <w:r w:rsidRPr="009E4EB8">
              <w:rPr>
                <w:rFonts w:ascii="Arial Narrow" w:hAnsi="Arial Narrow"/>
                <w:sz w:val="20"/>
                <w:szCs w:val="20"/>
              </w:rPr>
              <w:t>$23,098.66 (HSD Private)</w:t>
            </w:r>
          </w:p>
          <w:p w14:paraId="701F0F98" w14:textId="7881E432" w:rsidR="00304EF5" w:rsidRPr="009E4EB8" w:rsidRDefault="0014052F" w:rsidP="00A93185">
            <w:pPr>
              <w:keepNext/>
              <w:spacing w:before="0" w:after="0"/>
              <w:jc w:val="left"/>
              <w:rPr>
                <w:rFonts w:ascii="Arial Narrow" w:hAnsi="Arial Narrow"/>
                <w:sz w:val="20"/>
                <w:szCs w:val="20"/>
              </w:rPr>
            </w:pPr>
            <w:r w:rsidRPr="009E4EB8">
              <w:rPr>
                <w:rFonts w:ascii="Arial Narrow" w:hAnsi="Arial Narrow"/>
                <w:sz w:val="20"/>
                <w:szCs w:val="20"/>
              </w:rPr>
              <w:t>Effective (after rebate)</w:t>
            </w:r>
            <w:r w:rsidR="00304EF5" w:rsidRPr="009E4EB8">
              <w:rPr>
                <w:rFonts w:ascii="Arial Narrow" w:hAnsi="Arial Narrow"/>
                <w:sz w:val="20"/>
                <w:szCs w:val="20"/>
              </w:rPr>
              <w:t>:</w:t>
            </w:r>
            <w:r w:rsidRPr="009E4EB8">
              <w:rPr>
                <w:rFonts w:ascii="Arial Narrow" w:hAnsi="Arial Narrow"/>
                <w:sz w:val="20"/>
                <w:szCs w:val="20"/>
              </w:rPr>
              <w:t xml:space="preserve"> </w:t>
            </w:r>
          </w:p>
          <w:p w14:paraId="076C7654" w14:textId="780B83AB" w:rsidR="0014052F" w:rsidRPr="009E4EB8" w:rsidRDefault="0014052F" w:rsidP="00A93185">
            <w:pPr>
              <w:keepNext/>
              <w:spacing w:before="0" w:after="0"/>
              <w:jc w:val="left"/>
              <w:rPr>
                <w:rFonts w:ascii="Arial Narrow" w:hAnsi="Arial Narrow"/>
                <w:sz w:val="20"/>
                <w:szCs w:val="20"/>
              </w:rPr>
            </w:pPr>
            <w:r w:rsidRPr="009E4EB8">
              <w:rPr>
                <w:rFonts w:ascii="Arial Narrow" w:hAnsi="Arial Narrow"/>
                <w:sz w:val="20"/>
                <w:szCs w:val="20"/>
              </w:rPr>
              <w:t>$</w:t>
            </w:r>
            <w:r w:rsidR="00992522" w:rsidRPr="00992522">
              <w:rPr>
                <w:rFonts w:ascii="Arial Narrow" w:hAnsi="Arial Narrow"/>
                <w:color w:val="000000"/>
                <w:spacing w:val="52"/>
                <w:sz w:val="20"/>
                <w:szCs w:val="20"/>
                <w:shd w:val="solid" w:color="000000" w:fill="000000"/>
                <w:fitText w:val="330" w:id="-1504991484"/>
                <w14:textFill>
                  <w14:solidFill>
                    <w14:srgbClr w14:val="000000">
                      <w14:alpha w14:val="100000"/>
                    </w14:srgbClr>
                  </w14:solidFill>
                </w14:textFill>
              </w:rPr>
              <w:t>|||</w:t>
            </w:r>
            <w:r w:rsidR="00992522" w:rsidRPr="00992522">
              <w:rPr>
                <w:rFonts w:ascii="Arial Narrow" w:hAnsi="Arial Narrow"/>
                <w:color w:val="000000"/>
                <w:spacing w:val="2"/>
                <w:sz w:val="20"/>
                <w:szCs w:val="20"/>
                <w:shd w:val="solid" w:color="000000" w:fill="000000"/>
                <w:fitText w:val="330" w:id="-1504991484"/>
                <w14:textFill>
                  <w14:solidFill>
                    <w14:srgbClr w14:val="000000">
                      <w14:alpha w14:val="100000"/>
                    </w14:srgbClr>
                  </w14:solidFill>
                </w14:textFill>
              </w:rPr>
              <w:t>|</w:t>
            </w:r>
            <w:r w:rsidRPr="009E4EB8">
              <w:rPr>
                <w:rFonts w:ascii="Arial Narrow" w:hAnsi="Arial Narrow"/>
                <w:sz w:val="20"/>
                <w:szCs w:val="20"/>
              </w:rPr>
              <w:t xml:space="preserve"> (HSD Public)</w:t>
            </w:r>
          </w:p>
          <w:p w14:paraId="60883607" w14:textId="2A5B7FA4" w:rsidR="0014052F" w:rsidRPr="009E4EB8" w:rsidRDefault="0014052F" w:rsidP="00A93185">
            <w:pPr>
              <w:spacing w:before="0" w:after="0"/>
              <w:jc w:val="left"/>
              <w:rPr>
                <w:rStyle w:val="SmallHighlight"/>
                <w:rFonts w:ascii="Arial Narrow" w:hAnsi="Arial Narrow"/>
                <w:szCs w:val="20"/>
              </w:rPr>
            </w:pPr>
            <w:r w:rsidRPr="009E4EB8">
              <w:rPr>
                <w:rFonts w:ascii="Arial Narrow" w:hAnsi="Arial Narrow"/>
                <w:sz w:val="20"/>
                <w:szCs w:val="20"/>
              </w:rPr>
              <w:t>$</w:t>
            </w:r>
            <w:r w:rsidR="00992522" w:rsidRPr="00992522">
              <w:rPr>
                <w:rFonts w:ascii="Arial Narrow" w:hAnsi="Arial Narrow"/>
                <w:color w:val="000000"/>
                <w:spacing w:val="52"/>
                <w:sz w:val="20"/>
                <w:szCs w:val="20"/>
                <w:shd w:val="solid" w:color="000000" w:fill="000000"/>
                <w:fitText w:val="330" w:id="-1504991483"/>
                <w14:textFill>
                  <w14:solidFill>
                    <w14:srgbClr w14:val="000000">
                      <w14:alpha w14:val="100000"/>
                    </w14:srgbClr>
                  </w14:solidFill>
                </w14:textFill>
              </w:rPr>
              <w:t>|||</w:t>
            </w:r>
            <w:r w:rsidR="00992522" w:rsidRPr="00992522">
              <w:rPr>
                <w:rFonts w:ascii="Arial Narrow" w:hAnsi="Arial Narrow"/>
                <w:color w:val="000000"/>
                <w:spacing w:val="2"/>
                <w:sz w:val="20"/>
                <w:szCs w:val="20"/>
                <w:shd w:val="solid" w:color="000000" w:fill="000000"/>
                <w:fitText w:val="330" w:id="-1504991483"/>
                <w14:textFill>
                  <w14:solidFill>
                    <w14:srgbClr w14:val="000000">
                      <w14:alpha w14:val="100000"/>
                    </w14:srgbClr>
                  </w14:solidFill>
                </w14:textFill>
              </w:rPr>
              <w:t>|</w:t>
            </w:r>
            <w:r w:rsidRPr="009E4EB8">
              <w:rPr>
                <w:rFonts w:ascii="Arial Narrow" w:hAnsi="Arial Narrow"/>
                <w:sz w:val="20"/>
                <w:szCs w:val="20"/>
              </w:rPr>
              <w:t xml:space="preserve"> (HSD Private)</w:t>
            </w:r>
          </w:p>
        </w:tc>
        <w:tc>
          <w:tcPr>
            <w:tcW w:w="1460" w:type="dxa"/>
            <w:vMerge w:val="restart"/>
            <w:tcBorders>
              <w:left w:val="nil"/>
              <w:right w:val="nil"/>
            </w:tcBorders>
            <w:shd w:val="clear" w:color="auto" w:fill="C6D9F1" w:themeFill="text2" w:themeFillTint="33"/>
            <w:vAlign w:val="center"/>
          </w:tcPr>
          <w:p w14:paraId="648D94A4" w14:textId="77777777" w:rsidR="0014052F" w:rsidRPr="009E4EB8" w:rsidRDefault="0014052F" w:rsidP="0014052F">
            <w:pPr>
              <w:pStyle w:val="TableLeft"/>
              <w:rPr>
                <w:rFonts w:ascii="Arial Narrow" w:hAnsi="Arial Narrow"/>
                <w:szCs w:val="20"/>
              </w:rPr>
            </w:pPr>
            <w:r w:rsidRPr="009E4EB8">
              <w:rPr>
                <w:rFonts w:ascii="Arial Narrow" w:hAnsi="Arial Narrow"/>
                <w:szCs w:val="20"/>
              </w:rPr>
              <w:t>XPOVIO, ANTENGENE Pty Ltd</w:t>
            </w:r>
          </w:p>
        </w:tc>
      </w:tr>
      <w:tr w:rsidR="00A5786F" w:rsidRPr="009E4EB8" w14:paraId="4B7FF649" w14:textId="77777777" w:rsidTr="00A5786F">
        <w:tc>
          <w:tcPr>
            <w:tcW w:w="1856" w:type="dxa"/>
            <w:vMerge/>
            <w:tcBorders>
              <w:left w:val="nil"/>
              <w:right w:val="nil"/>
            </w:tcBorders>
            <w:shd w:val="clear" w:color="auto" w:fill="C6D9F1" w:themeFill="text2" w:themeFillTint="33"/>
          </w:tcPr>
          <w:p w14:paraId="6C7B9A17" w14:textId="77777777" w:rsidR="0014052F" w:rsidRPr="009E4EB8" w:rsidRDefault="0014052F" w:rsidP="0014052F">
            <w:pPr>
              <w:pStyle w:val="TableLeft"/>
              <w:rPr>
                <w:rFonts w:ascii="Arial Narrow" w:hAnsi="Arial Narrow"/>
                <w:szCs w:val="20"/>
              </w:rPr>
            </w:pPr>
          </w:p>
        </w:tc>
        <w:tc>
          <w:tcPr>
            <w:tcW w:w="949" w:type="dxa"/>
            <w:tcBorders>
              <w:left w:val="nil"/>
              <w:right w:val="nil"/>
            </w:tcBorders>
            <w:shd w:val="clear" w:color="auto" w:fill="C6D9F1" w:themeFill="text2" w:themeFillTint="33"/>
          </w:tcPr>
          <w:p w14:paraId="5CD35D83" w14:textId="77777777" w:rsidR="0014052F" w:rsidRPr="009E4EB8" w:rsidRDefault="0014052F" w:rsidP="0014052F">
            <w:pPr>
              <w:pStyle w:val="TableLeft"/>
              <w:jc w:val="center"/>
              <w:rPr>
                <w:rFonts w:ascii="Arial Narrow" w:hAnsi="Arial Narrow"/>
                <w:szCs w:val="20"/>
              </w:rPr>
            </w:pPr>
            <w:r w:rsidRPr="009E4EB8">
              <w:rPr>
                <w:rFonts w:ascii="Arial Narrow" w:hAnsi="Arial Narrow"/>
                <w:szCs w:val="20"/>
              </w:rPr>
              <w:t>1</w:t>
            </w:r>
          </w:p>
        </w:tc>
        <w:tc>
          <w:tcPr>
            <w:tcW w:w="949" w:type="dxa"/>
            <w:tcBorders>
              <w:left w:val="nil"/>
              <w:right w:val="nil"/>
            </w:tcBorders>
            <w:shd w:val="clear" w:color="auto" w:fill="C6D9F1" w:themeFill="text2" w:themeFillTint="33"/>
          </w:tcPr>
          <w:p w14:paraId="33B75FDB" w14:textId="77777777" w:rsidR="0014052F" w:rsidRPr="009E4EB8" w:rsidRDefault="0014052F" w:rsidP="0014052F">
            <w:pPr>
              <w:pStyle w:val="TableLeft"/>
              <w:jc w:val="center"/>
              <w:rPr>
                <w:rFonts w:ascii="Arial Narrow" w:hAnsi="Arial Narrow"/>
                <w:szCs w:val="20"/>
              </w:rPr>
            </w:pPr>
            <w:r w:rsidRPr="009E4EB8">
              <w:rPr>
                <w:rFonts w:ascii="Arial Narrow" w:hAnsi="Arial Narrow"/>
                <w:szCs w:val="20"/>
              </w:rPr>
              <w:t>24</w:t>
            </w:r>
          </w:p>
        </w:tc>
        <w:tc>
          <w:tcPr>
            <w:tcW w:w="950" w:type="dxa"/>
            <w:tcBorders>
              <w:left w:val="nil"/>
              <w:right w:val="nil"/>
            </w:tcBorders>
            <w:shd w:val="clear" w:color="auto" w:fill="C6D9F1" w:themeFill="text2" w:themeFillTint="33"/>
          </w:tcPr>
          <w:p w14:paraId="1CE5124D" w14:textId="77777777" w:rsidR="0014052F" w:rsidRPr="009E4EB8" w:rsidRDefault="0014052F" w:rsidP="0014052F">
            <w:pPr>
              <w:pStyle w:val="TableLeft"/>
              <w:jc w:val="center"/>
              <w:rPr>
                <w:rFonts w:ascii="Arial Narrow" w:hAnsi="Arial Narrow"/>
                <w:szCs w:val="20"/>
              </w:rPr>
            </w:pPr>
            <w:r w:rsidRPr="009E4EB8">
              <w:rPr>
                <w:rFonts w:ascii="Arial Narrow" w:hAnsi="Arial Narrow"/>
                <w:szCs w:val="20"/>
              </w:rPr>
              <w:t>2</w:t>
            </w:r>
          </w:p>
        </w:tc>
        <w:tc>
          <w:tcPr>
            <w:tcW w:w="2863" w:type="dxa"/>
            <w:tcBorders>
              <w:left w:val="nil"/>
              <w:right w:val="nil"/>
            </w:tcBorders>
          </w:tcPr>
          <w:p w14:paraId="6FC168E6" w14:textId="0CC0F04A" w:rsidR="00304EF5" w:rsidRPr="009E4EB8" w:rsidRDefault="0014052F" w:rsidP="00A93185">
            <w:pPr>
              <w:keepNext/>
              <w:spacing w:before="0" w:after="0"/>
              <w:jc w:val="left"/>
              <w:rPr>
                <w:rFonts w:ascii="Arial Narrow" w:hAnsi="Arial Narrow"/>
                <w:sz w:val="20"/>
                <w:szCs w:val="20"/>
              </w:rPr>
            </w:pPr>
            <w:r w:rsidRPr="009E4EB8">
              <w:rPr>
                <w:rFonts w:ascii="Arial Narrow" w:hAnsi="Arial Narrow"/>
                <w:sz w:val="20"/>
                <w:szCs w:val="20"/>
              </w:rPr>
              <w:t>Published</w:t>
            </w:r>
            <w:r w:rsidR="00304EF5" w:rsidRPr="009E4EB8">
              <w:rPr>
                <w:rFonts w:ascii="Arial Narrow" w:hAnsi="Arial Narrow"/>
                <w:sz w:val="20"/>
                <w:szCs w:val="20"/>
              </w:rPr>
              <w:t>:</w:t>
            </w:r>
          </w:p>
          <w:p w14:paraId="78DE6DB3" w14:textId="69E242E7" w:rsidR="0014052F" w:rsidRPr="009E4EB8" w:rsidRDefault="0014052F" w:rsidP="00A93185">
            <w:pPr>
              <w:keepNext/>
              <w:spacing w:before="0" w:after="0"/>
              <w:jc w:val="left"/>
              <w:rPr>
                <w:rFonts w:ascii="Arial Narrow" w:hAnsi="Arial Narrow"/>
                <w:sz w:val="20"/>
                <w:szCs w:val="20"/>
              </w:rPr>
            </w:pPr>
            <w:r w:rsidRPr="009E4EB8">
              <w:rPr>
                <w:rFonts w:ascii="Arial Narrow" w:hAnsi="Arial Narrow"/>
                <w:sz w:val="20"/>
                <w:szCs w:val="20"/>
              </w:rPr>
              <w:t>$17,288.16 (HSD Public)</w:t>
            </w:r>
          </w:p>
          <w:p w14:paraId="08237526" w14:textId="282D81CB" w:rsidR="0014052F" w:rsidRPr="009E4EB8" w:rsidRDefault="0014052F" w:rsidP="00304EF5">
            <w:pPr>
              <w:keepNext/>
              <w:spacing w:before="0" w:after="80"/>
              <w:jc w:val="left"/>
              <w:rPr>
                <w:rFonts w:ascii="Arial Narrow" w:hAnsi="Arial Narrow"/>
                <w:sz w:val="20"/>
                <w:szCs w:val="20"/>
              </w:rPr>
            </w:pPr>
            <w:r w:rsidRPr="009E4EB8">
              <w:rPr>
                <w:rFonts w:ascii="Arial Narrow" w:hAnsi="Arial Narrow"/>
                <w:sz w:val="20"/>
                <w:szCs w:val="20"/>
              </w:rPr>
              <w:t>$17,335.94 (HSD Private)</w:t>
            </w:r>
          </w:p>
          <w:p w14:paraId="47199CCC" w14:textId="60CEEDFE" w:rsidR="00304EF5" w:rsidRPr="009E4EB8" w:rsidRDefault="0014052F" w:rsidP="00A93185">
            <w:pPr>
              <w:keepNext/>
              <w:spacing w:before="0" w:after="0"/>
              <w:jc w:val="left"/>
              <w:rPr>
                <w:rFonts w:ascii="Arial Narrow" w:hAnsi="Arial Narrow"/>
                <w:sz w:val="20"/>
                <w:szCs w:val="20"/>
              </w:rPr>
            </w:pPr>
            <w:r w:rsidRPr="009E4EB8">
              <w:rPr>
                <w:rFonts w:ascii="Arial Narrow" w:hAnsi="Arial Narrow"/>
                <w:sz w:val="20"/>
                <w:szCs w:val="20"/>
              </w:rPr>
              <w:t>Effective (after rebate)</w:t>
            </w:r>
            <w:r w:rsidR="00304EF5" w:rsidRPr="009E4EB8">
              <w:rPr>
                <w:rFonts w:ascii="Arial Narrow" w:hAnsi="Arial Narrow"/>
                <w:sz w:val="20"/>
                <w:szCs w:val="20"/>
              </w:rPr>
              <w:t>:</w:t>
            </w:r>
            <w:r w:rsidRPr="009E4EB8">
              <w:rPr>
                <w:rFonts w:ascii="Arial Narrow" w:hAnsi="Arial Narrow"/>
                <w:sz w:val="20"/>
                <w:szCs w:val="20"/>
              </w:rPr>
              <w:t xml:space="preserve"> </w:t>
            </w:r>
          </w:p>
          <w:p w14:paraId="5351F5DD" w14:textId="7D7E8248" w:rsidR="0014052F" w:rsidRPr="009E4EB8" w:rsidRDefault="0014052F" w:rsidP="00A93185">
            <w:pPr>
              <w:keepNext/>
              <w:spacing w:before="0" w:after="0"/>
              <w:jc w:val="left"/>
              <w:rPr>
                <w:rFonts w:ascii="Arial Narrow" w:hAnsi="Arial Narrow"/>
                <w:sz w:val="20"/>
                <w:szCs w:val="20"/>
              </w:rPr>
            </w:pPr>
            <w:r w:rsidRPr="009E4EB8">
              <w:rPr>
                <w:rFonts w:ascii="Arial Narrow" w:hAnsi="Arial Narrow"/>
                <w:sz w:val="20"/>
                <w:szCs w:val="20"/>
              </w:rPr>
              <w:t>$</w:t>
            </w:r>
            <w:r w:rsidR="00992522" w:rsidRPr="00992522">
              <w:rPr>
                <w:rFonts w:ascii="Arial Narrow" w:hAnsi="Arial Narrow"/>
                <w:color w:val="000000"/>
                <w:spacing w:val="52"/>
                <w:sz w:val="20"/>
                <w:szCs w:val="20"/>
                <w:shd w:val="solid" w:color="000000" w:fill="000000"/>
                <w:fitText w:val="330" w:id="-1504991482"/>
                <w14:textFill>
                  <w14:solidFill>
                    <w14:srgbClr w14:val="000000">
                      <w14:alpha w14:val="100000"/>
                    </w14:srgbClr>
                  </w14:solidFill>
                </w14:textFill>
              </w:rPr>
              <w:t>|||</w:t>
            </w:r>
            <w:r w:rsidR="00992522" w:rsidRPr="00992522">
              <w:rPr>
                <w:rFonts w:ascii="Arial Narrow" w:hAnsi="Arial Narrow"/>
                <w:color w:val="000000"/>
                <w:spacing w:val="2"/>
                <w:sz w:val="20"/>
                <w:szCs w:val="20"/>
                <w:shd w:val="solid" w:color="000000" w:fill="000000"/>
                <w:fitText w:val="330" w:id="-1504991482"/>
                <w14:textFill>
                  <w14:solidFill>
                    <w14:srgbClr w14:val="000000">
                      <w14:alpha w14:val="100000"/>
                    </w14:srgbClr>
                  </w14:solidFill>
                </w14:textFill>
              </w:rPr>
              <w:t>|</w:t>
            </w:r>
            <w:r w:rsidRPr="009E4EB8">
              <w:rPr>
                <w:rFonts w:ascii="Arial Narrow" w:hAnsi="Arial Narrow"/>
                <w:sz w:val="20"/>
                <w:szCs w:val="20"/>
              </w:rPr>
              <w:t xml:space="preserve"> (HSD Public)</w:t>
            </w:r>
          </w:p>
          <w:p w14:paraId="473EBE99" w14:textId="6FB1D329" w:rsidR="0014052F" w:rsidRPr="009E4EB8" w:rsidRDefault="0014052F" w:rsidP="00A93185">
            <w:pPr>
              <w:spacing w:before="0" w:after="0"/>
              <w:jc w:val="left"/>
              <w:rPr>
                <w:rFonts w:ascii="Arial Narrow" w:hAnsi="Arial Narrow"/>
                <w:sz w:val="20"/>
                <w:szCs w:val="20"/>
                <w:highlight w:val="yellow"/>
              </w:rPr>
            </w:pPr>
            <w:r w:rsidRPr="009E4EB8">
              <w:rPr>
                <w:rFonts w:ascii="Arial Narrow" w:hAnsi="Arial Narrow"/>
                <w:sz w:val="20"/>
                <w:szCs w:val="20"/>
              </w:rPr>
              <w:t>$</w:t>
            </w:r>
            <w:r w:rsidR="00992522" w:rsidRPr="00992522">
              <w:rPr>
                <w:rFonts w:ascii="Arial Narrow" w:hAnsi="Arial Narrow"/>
                <w:color w:val="000000"/>
                <w:spacing w:val="52"/>
                <w:sz w:val="20"/>
                <w:szCs w:val="20"/>
                <w:shd w:val="solid" w:color="000000" w:fill="000000"/>
                <w:fitText w:val="330" w:id="-1504991481"/>
                <w14:textFill>
                  <w14:solidFill>
                    <w14:srgbClr w14:val="000000">
                      <w14:alpha w14:val="100000"/>
                    </w14:srgbClr>
                  </w14:solidFill>
                </w14:textFill>
              </w:rPr>
              <w:t>|||</w:t>
            </w:r>
            <w:r w:rsidR="00992522" w:rsidRPr="00992522">
              <w:rPr>
                <w:rFonts w:ascii="Arial Narrow" w:hAnsi="Arial Narrow"/>
                <w:color w:val="000000"/>
                <w:spacing w:val="2"/>
                <w:sz w:val="20"/>
                <w:szCs w:val="20"/>
                <w:shd w:val="solid" w:color="000000" w:fill="000000"/>
                <w:fitText w:val="330" w:id="-1504991481"/>
                <w14:textFill>
                  <w14:solidFill>
                    <w14:srgbClr w14:val="000000">
                      <w14:alpha w14:val="100000"/>
                    </w14:srgbClr>
                  </w14:solidFill>
                </w14:textFill>
              </w:rPr>
              <w:t>|</w:t>
            </w:r>
            <w:r w:rsidRPr="009E4EB8">
              <w:rPr>
                <w:rFonts w:ascii="Arial Narrow" w:hAnsi="Arial Narrow"/>
                <w:sz w:val="20"/>
                <w:szCs w:val="20"/>
              </w:rPr>
              <w:t xml:space="preserve"> (HSD Private)</w:t>
            </w:r>
          </w:p>
        </w:tc>
        <w:tc>
          <w:tcPr>
            <w:tcW w:w="1460" w:type="dxa"/>
            <w:vMerge/>
            <w:tcBorders>
              <w:left w:val="nil"/>
              <w:right w:val="nil"/>
            </w:tcBorders>
            <w:shd w:val="clear" w:color="auto" w:fill="C6D9F1" w:themeFill="text2" w:themeFillTint="33"/>
          </w:tcPr>
          <w:p w14:paraId="4D22CF85" w14:textId="77777777" w:rsidR="0014052F" w:rsidRPr="009E4EB8" w:rsidRDefault="0014052F" w:rsidP="0014052F">
            <w:pPr>
              <w:pStyle w:val="TableLeft"/>
              <w:rPr>
                <w:rFonts w:ascii="Arial Narrow" w:hAnsi="Arial Narrow"/>
                <w:szCs w:val="20"/>
              </w:rPr>
            </w:pPr>
          </w:p>
        </w:tc>
      </w:tr>
      <w:tr w:rsidR="00A5786F" w:rsidRPr="009E4EB8" w14:paraId="13446C97" w14:textId="77777777" w:rsidTr="00A5786F">
        <w:tc>
          <w:tcPr>
            <w:tcW w:w="1856" w:type="dxa"/>
            <w:vMerge/>
            <w:tcBorders>
              <w:left w:val="nil"/>
              <w:right w:val="nil"/>
            </w:tcBorders>
            <w:shd w:val="clear" w:color="auto" w:fill="C6D9F1" w:themeFill="text2" w:themeFillTint="33"/>
          </w:tcPr>
          <w:p w14:paraId="0718279D" w14:textId="77777777" w:rsidR="0014052F" w:rsidRPr="009E4EB8" w:rsidRDefault="0014052F" w:rsidP="0014052F">
            <w:pPr>
              <w:pStyle w:val="TableLeft"/>
              <w:rPr>
                <w:rFonts w:ascii="Arial Narrow" w:hAnsi="Arial Narrow"/>
                <w:szCs w:val="20"/>
              </w:rPr>
            </w:pPr>
          </w:p>
        </w:tc>
        <w:tc>
          <w:tcPr>
            <w:tcW w:w="949" w:type="dxa"/>
            <w:tcBorders>
              <w:left w:val="nil"/>
              <w:right w:val="nil"/>
            </w:tcBorders>
            <w:shd w:val="clear" w:color="auto" w:fill="C6D9F1" w:themeFill="text2" w:themeFillTint="33"/>
          </w:tcPr>
          <w:p w14:paraId="44B46463" w14:textId="77777777" w:rsidR="0014052F" w:rsidRPr="009E4EB8" w:rsidRDefault="0014052F" w:rsidP="0014052F">
            <w:pPr>
              <w:pStyle w:val="TableLeft"/>
              <w:jc w:val="center"/>
              <w:rPr>
                <w:rFonts w:ascii="Arial Narrow" w:hAnsi="Arial Narrow"/>
                <w:szCs w:val="20"/>
              </w:rPr>
            </w:pPr>
            <w:r w:rsidRPr="009E4EB8">
              <w:rPr>
                <w:rFonts w:ascii="Arial Narrow" w:hAnsi="Arial Narrow"/>
                <w:szCs w:val="20"/>
              </w:rPr>
              <w:t>1</w:t>
            </w:r>
          </w:p>
        </w:tc>
        <w:tc>
          <w:tcPr>
            <w:tcW w:w="949" w:type="dxa"/>
            <w:tcBorders>
              <w:left w:val="nil"/>
              <w:right w:val="nil"/>
            </w:tcBorders>
            <w:shd w:val="clear" w:color="auto" w:fill="C6D9F1" w:themeFill="text2" w:themeFillTint="33"/>
          </w:tcPr>
          <w:p w14:paraId="577C0633" w14:textId="77777777" w:rsidR="0014052F" w:rsidRPr="009E4EB8" w:rsidRDefault="0014052F" w:rsidP="0014052F">
            <w:pPr>
              <w:pStyle w:val="TableLeft"/>
              <w:jc w:val="center"/>
              <w:rPr>
                <w:rFonts w:ascii="Arial Narrow" w:hAnsi="Arial Narrow"/>
                <w:szCs w:val="20"/>
              </w:rPr>
            </w:pPr>
            <w:r w:rsidRPr="009E4EB8">
              <w:rPr>
                <w:rFonts w:ascii="Arial Narrow" w:hAnsi="Arial Narrow"/>
                <w:szCs w:val="20"/>
              </w:rPr>
              <w:t>20</w:t>
            </w:r>
          </w:p>
        </w:tc>
        <w:tc>
          <w:tcPr>
            <w:tcW w:w="950" w:type="dxa"/>
            <w:tcBorders>
              <w:left w:val="nil"/>
              <w:right w:val="nil"/>
            </w:tcBorders>
            <w:shd w:val="clear" w:color="auto" w:fill="C6D9F1" w:themeFill="text2" w:themeFillTint="33"/>
          </w:tcPr>
          <w:p w14:paraId="4C06C35E" w14:textId="77777777" w:rsidR="0014052F" w:rsidRPr="009E4EB8" w:rsidRDefault="0014052F" w:rsidP="0014052F">
            <w:pPr>
              <w:pStyle w:val="TableLeft"/>
              <w:jc w:val="center"/>
              <w:rPr>
                <w:rFonts w:ascii="Arial Narrow" w:hAnsi="Arial Narrow"/>
                <w:szCs w:val="20"/>
              </w:rPr>
            </w:pPr>
            <w:r w:rsidRPr="009E4EB8">
              <w:rPr>
                <w:rFonts w:ascii="Arial Narrow" w:hAnsi="Arial Narrow"/>
                <w:szCs w:val="20"/>
              </w:rPr>
              <w:t>2</w:t>
            </w:r>
          </w:p>
        </w:tc>
        <w:tc>
          <w:tcPr>
            <w:tcW w:w="2863" w:type="dxa"/>
            <w:tcBorders>
              <w:left w:val="nil"/>
              <w:right w:val="nil"/>
            </w:tcBorders>
          </w:tcPr>
          <w:p w14:paraId="76971579" w14:textId="7D8D226E" w:rsidR="00304EF5" w:rsidRPr="009E4EB8" w:rsidRDefault="0014052F" w:rsidP="00A93185">
            <w:pPr>
              <w:keepNext/>
              <w:spacing w:before="0" w:after="0"/>
              <w:jc w:val="left"/>
              <w:rPr>
                <w:rFonts w:ascii="Arial Narrow" w:hAnsi="Arial Narrow"/>
                <w:sz w:val="20"/>
                <w:szCs w:val="20"/>
              </w:rPr>
            </w:pPr>
            <w:r w:rsidRPr="009E4EB8">
              <w:rPr>
                <w:rFonts w:ascii="Arial Narrow" w:hAnsi="Arial Narrow"/>
                <w:sz w:val="20"/>
                <w:szCs w:val="20"/>
              </w:rPr>
              <w:t>Published</w:t>
            </w:r>
            <w:r w:rsidR="00304EF5" w:rsidRPr="009E4EB8">
              <w:rPr>
                <w:rFonts w:ascii="Arial Narrow" w:hAnsi="Arial Narrow"/>
                <w:sz w:val="20"/>
                <w:szCs w:val="20"/>
              </w:rPr>
              <w:t>:</w:t>
            </w:r>
          </w:p>
          <w:p w14:paraId="4E08252E" w14:textId="1D1FB573" w:rsidR="0014052F" w:rsidRPr="009E4EB8" w:rsidRDefault="0014052F" w:rsidP="00A93185">
            <w:pPr>
              <w:keepNext/>
              <w:spacing w:before="0" w:after="0"/>
              <w:jc w:val="left"/>
              <w:rPr>
                <w:rFonts w:ascii="Arial Narrow" w:hAnsi="Arial Narrow"/>
                <w:sz w:val="20"/>
                <w:szCs w:val="20"/>
              </w:rPr>
            </w:pPr>
            <w:r w:rsidRPr="009E4EB8">
              <w:rPr>
                <w:rFonts w:ascii="Arial Narrow" w:hAnsi="Arial Narrow"/>
                <w:sz w:val="20"/>
                <w:szCs w:val="20"/>
              </w:rPr>
              <w:t>$14,406.80 (HSD Public)</w:t>
            </w:r>
          </w:p>
          <w:p w14:paraId="2987443B" w14:textId="6480C53B" w:rsidR="0014052F" w:rsidRPr="009E4EB8" w:rsidRDefault="0014052F" w:rsidP="00304EF5">
            <w:pPr>
              <w:keepNext/>
              <w:spacing w:before="0" w:after="80"/>
              <w:jc w:val="left"/>
              <w:rPr>
                <w:rFonts w:ascii="Arial Narrow" w:hAnsi="Arial Narrow"/>
                <w:sz w:val="20"/>
                <w:szCs w:val="20"/>
              </w:rPr>
            </w:pPr>
            <w:r w:rsidRPr="009E4EB8">
              <w:rPr>
                <w:rFonts w:ascii="Arial Narrow" w:hAnsi="Arial Narrow"/>
                <w:sz w:val="20"/>
                <w:szCs w:val="20"/>
              </w:rPr>
              <w:t>$14,454.58 (HSD Private)</w:t>
            </w:r>
          </w:p>
          <w:p w14:paraId="2381BE4C" w14:textId="2A6ECB27" w:rsidR="00304EF5" w:rsidRPr="009E4EB8" w:rsidRDefault="0014052F" w:rsidP="00A93185">
            <w:pPr>
              <w:keepNext/>
              <w:spacing w:before="0" w:after="0"/>
              <w:jc w:val="left"/>
              <w:rPr>
                <w:rFonts w:ascii="Arial Narrow" w:hAnsi="Arial Narrow"/>
                <w:sz w:val="20"/>
                <w:szCs w:val="20"/>
              </w:rPr>
            </w:pPr>
            <w:r w:rsidRPr="009E4EB8">
              <w:rPr>
                <w:rFonts w:ascii="Arial Narrow" w:hAnsi="Arial Narrow"/>
                <w:sz w:val="20"/>
                <w:szCs w:val="20"/>
              </w:rPr>
              <w:t>Effective (after rebate)</w:t>
            </w:r>
            <w:r w:rsidR="00304EF5" w:rsidRPr="009E4EB8">
              <w:rPr>
                <w:rFonts w:ascii="Arial Narrow" w:hAnsi="Arial Narrow"/>
                <w:sz w:val="20"/>
                <w:szCs w:val="20"/>
              </w:rPr>
              <w:t>:</w:t>
            </w:r>
            <w:r w:rsidRPr="009E4EB8">
              <w:rPr>
                <w:rFonts w:ascii="Arial Narrow" w:hAnsi="Arial Narrow"/>
                <w:sz w:val="20"/>
                <w:szCs w:val="20"/>
              </w:rPr>
              <w:t xml:space="preserve"> </w:t>
            </w:r>
          </w:p>
          <w:p w14:paraId="45516233" w14:textId="547644F1" w:rsidR="0014052F" w:rsidRPr="009E4EB8" w:rsidRDefault="0014052F" w:rsidP="00A93185">
            <w:pPr>
              <w:keepNext/>
              <w:spacing w:before="0" w:after="0"/>
              <w:jc w:val="left"/>
              <w:rPr>
                <w:rFonts w:ascii="Arial Narrow" w:hAnsi="Arial Narrow"/>
                <w:sz w:val="20"/>
                <w:szCs w:val="20"/>
              </w:rPr>
            </w:pPr>
            <w:r w:rsidRPr="009E4EB8">
              <w:rPr>
                <w:rFonts w:ascii="Arial Narrow" w:hAnsi="Arial Narrow"/>
                <w:sz w:val="20"/>
                <w:szCs w:val="20"/>
              </w:rPr>
              <w:t>$</w:t>
            </w:r>
            <w:r w:rsidR="00992522" w:rsidRPr="00992522">
              <w:rPr>
                <w:rFonts w:ascii="Arial Narrow" w:hAnsi="Arial Narrow"/>
                <w:color w:val="000000"/>
                <w:spacing w:val="52"/>
                <w:sz w:val="20"/>
                <w:szCs w:val="20"/>
                <w:shd w:val="solid" w:color="000000" w:fill="000000"/>
                <w:fitText w:val="330" w:id="-1504991480"/>
                <w14:textFill>
                  <w14:solidFill>
                    <w14:srgbClr w14:val="000000">
                      <w14:alpha w14:val="100000"/>
                    </w14:srgbClr>
                  </w14:solidFill>
                </w14:textFill>
              </w:rPr>
              <w:t>|||</w:t>
            </w:r>
            <w:r w:rsidR="00992522" w:rsidRPr="00992522">
              <w:rPr>
                <w:rFonts w:ascii="Arial Narrow" w:hAnsi="Arial Narrow"/>
                <w:color w:val="000000"/>
                <w:spacing w:val="2"/>
                <w:sz w:val="20"/>
                <w:szCs w:val="20"/>
                <w:shd w:val="solid" w:color="000000" w:fill="000000"/>
                <w:fitText w:val="330" w:id="-1504991480"/>
                <w14:textFill>
                  <w14:solidFill>
                    <w14:srgbClr w14:val="000000">
                      <w14:alpha w14:val="100000"/>
                    </w14:srgbClr>
                  </w14:solidFill>
                </w14:textFill>
              </w:rPr>
              <w:t>|</w:t>
            </w:r>
            <w:r w:rsidRPr="009E4EB8">
              <w:rPr>
                <w:rFonts w:ascii="Arial Narrow" w:hAnsi="Arial Narrow"/>
                <w:sz w:val="20"/>
                <w:szCs w:val="20"/>
              </w:rPr>
              <w:t xml:space="preserve"> (HSD Public)</w:t>
            </w:r>
          </w:p>
          <w:p w14:paraId="5EC31FB8" w14:textId="22268813" w:rsidR="0014052F" w:rsidRPr="009E4EB8" w:rsidRDefault="0014052F" w:rsidP="00A93185">
            <w:pPr>
              <w:spacing w:before="0" w:after="0"/>
              <w:jc w:val="left"/>
              <w:rPr>
                <w:rFonts w:ascii="Arial Narrow" w:hAnsi="Arial Narrow"/>
                <w:sz w:val="20"/>
                <w:szCs w:val="20"/>
                <w:highlight w:val="yellow"/>
              </w:rPr>
            </w:pPr>
            <w:r w:rsidRPr="009E4EB8">
              <w:rPr>
                <w:rFonts w:ascii="Arial Narrow" w:hAnsi="Arial Narrow"/>
                <w:sz w:val="20"/>
                <w:szCs w:val="20"/>
              </w:rPr>
              <w:t>$</w:t>
            </w:r>
            <w:r w:rsidR="00992522" w:rsidRPr="00992522">
              <w:rPr>
                <w:rFonts w:ascii="Arial Narrow" w:hAnsi="Arial Narrow"/>
                <w:color w:val="000000"/>
                <w:spacing w:val="52"/>
                <w:sz w:val="20"/>
                <w:szCs w:val="20"/>
                <w:shd w:val="solid" w:color="000000" w:fill="000000"/>
                <w:fitText w:val="330" w:id="-1504991479"/>
                <w14:textFill>
                  <w14:solidFill>
                    <w14:srgbClr w14:val="000000">
                      <w14:alpha w14:val="100000"/>
                    </w14:srgbClr>
                  </w14:solidFill>
                </w14:textFill>
              </w:rPr>
              <w:t>|||</w:t>
            </w:r>
            <w:r w:rsidR="00992522" w:rsidRPr="00992522">
              <w:rPr>
                <w:rFonts w:ascii="Arial Narrow" w:hAnsi="Arial Narrow"/>
                <w:color w:val="000000"/>
                <w:spacing w:val="2"/>
                <w:sz w:val="20"/>
                <w:szCs w:val="20"/>
                <w:shd w:val="solid" w:color="000000" w:fill="000000"/>
                <w:fitText w:val="330" w:id="-1504991479"/>
                <w14:textFill>
                  <w14:solidFill>
                    <w14:srgbClr w14:val="000000">
                      <w14:alpha w14:val="100000"/>
                    </w14:srgbClr>
                  </w14:solidFill>
                </w14:textFill>
              </w:rPr>
              <w:t>|</w:t>
            </w:r>
            <w:r w:rsidRPr="009E4EB8">
              <w:rPr>
                <w:rFonts w:ascii="Arial Narrow" w:hAnsi="Arial Narrow"/>
                <w:sz w:val="20"/>
                <w:szCs w:val="20"/>
              </w:rPr>
              <w:t xml:space="preserve"> (HSD Private)</w:t>
            </w:r>
          </w:p>
        </w:tc>
        <w:tc>
          <w:tcPr>
            <w:tcW w:w="1460" w:type="dxa"/>
            <w:vMerge/>
            <w:tcBorders>
              <w:left w:val="nil"/>
              <w:right w:val="nil"/>
            </w:tcBorders>
            <w:shd w:val="clear" w:color="auto" w:fill="C6D9F1" w:themeFill="text2" w:themeFillTint="33"/>
          </w:tcPr>
          <w:p w14:paraId="7EA4CC74" w14:textId="77777777" w:rsidR="0014052F" w:rsidRPr="009E4EB8" w:rsidRDefault="0014052F" w:rsidP="0014052F">
            <w:pPr>
              <w:pStyle w:val="TableLeft"/>
              <w:rPr>
                <w:rFonts w:ascii="Arial Narrow" w:hAnsi="Arial Narrow"/>
                <w:szCs w:val="20"/>
              </w:rPr>
            </w:pPr>
          </w:p>
        </w:tc>
      </w:tr>
      <w:tr w:rsidR="00A5786F" w:rsidRPr="009E4EB8" w14:paraId="1F62F4D1" w14:textId="77777777" w:rsidTr="00A5786F">
        <w:tc>
          <w:tcPr>
            <w:tcW w:w="1856" w:type="dxa"/>
            <w:vMerge/>
            <w:tcBorders>
              <w:left w:val="nil"/>
              <w:right w:val="nil"/>
            </w:tcBorders>
            <w:shd w:val="clear" w:color="auto" w:fill="C6D9F1" w:themeFill="text2" w:themeFillTint="33"/>
          </w:tcPr>
          <w:p w14:paraId="43068671" w14:textId="77777777" w:rsidR="0014052F" w:rsidRPr="009E4EB8" w:rsidRDefault="0014052F" w:rsidP="0014052F">
            <w:pPr>
              <w:pStyle w:val="TableLeft"/>
              <w:rPr>
                <w:rFonts w:ascii="Arial Narrow" w:hAnsi="Arial Narrow"/>
                <w:szCs w:val="20"/>
              </w:rPr>
            </w:pPr>
          </w:p>
        </w:tc>
        <w:tc>
          <w:tcPr>
            <w:tcW w:w="949" w:type="dxa"/>
            <w:tcBorders>
              <w:left w:val="nil"/>
              <w:right w:val="nil"/>
            </w:tcBorders>
            <w:shd w:val="clear" w:color="auto" w:fill="C6D9F1" w:themeFill="text2" w:themeFillTint="33"/>
          </w:tcPr>
          <w:p w14:paraId="6C606F9F" w14:textId="77777777" w:rsidR="0014052F" w:rsidRPr="009E4EB8" w:rsidRDefault="0014052F" w:rsidP="0014052F">
            <w:pPr>
              <w:pStyle w:val="TableLeft"/>
              <w:jc w:val="center"/>
              <w:rPr>
                <w:rFonts w:ascii="Arial Narrow" w:hAnsi="Arial Narrow"/>
                <w:szCs w:val="20"/>
              </w:rPr>
            </w:pPr>
            <w:r w:rsidRPr="009E4EB8">
              <w:rPr>
                <w:rFonts w:ascii="Arial Narrow" w:hAnsi="Arial Narrow"/>
                <w:szCs w:val="20"/>
              </w:rPr>
              <w:t>1</w:t>
            </w:r>
          </w:p>
        </w:tc>
        <w:tc>
          <w:tcPr>
            <w:tcW w:w="949" w:type="dxa"/>
            <w:tcBorders>
              <w:left w:val="nil"/>
              <w:right w:val="nil"/>
            </w:tcBorders>
            <w:shd w:val="clear" w:color="auto" w:fill="C6D9F1" w:themeFill="text2" w:themeFillTint="33"/>
          </w:tcPr>
          <w:p w14:paraId="4AA7070B" w14:textId="77777777" w:rsidR="0014052F" w:rsidRPr="009E4EB8" w:rsidRDefault="0014052F" w:rsidP="0014052F">
            <w:pPr>
              <w:pStyle w:val="TableLeft"/>
              <w:jc w:val="center"/>
              <w:rPr>
                <w:rFonts w:ascii="Arial Narrow" w:hAnsi="Arial Narrow"/>
                <w:szCs w:val="20"/>
              </w:rPr>
            </w:pPr>
            <w:r w:rsidRPr="009E4EB8">
              <w:rPr>
                <w:rFonts w:ascii="Arial Narrow" w:hAnsi="Arial Narrow"/>
                <w:szCs w:val="20"/>
              </w:rPr>
              <w:t>16</w:t>
            </w:r>
          </w:p>
        </w:tc>
        <w:tc>
          <w:tcPr>
            <w:tcW w:w="950" w:type="dxa"/>
            <w:tcBorders>
              <w:left w:val="nil"/>
              <w:right w:val="nil"/>
            </w:tcBorders>
            <w:shd w:val="clear" w:color="auto" w:fill="C6D9F1" w:themeFill="text2" w:themeFillTint="33"/>
          </w:tcPr>
          <w:p w14:paraId="04C61A93" w14:textId="77777777" w:rsidR="0014052F" w:rsidRPr="009E4EB8" w:rsidRDefault="0014052F" w:rsidP="0014052F">
            <w:pPr>
              <w:pStyle w:val="TableLeft"/>
              <w:jc w:val="center"/>
              <w:rPr>
                <w:rFonts w:ascii="Arial Narrow" w:hAnsi="Arial Narrow"/>
                <w:szCs w:val="20"/>
              </w:rPr>
            </w:pPr>
            <w:r w:rsidRPr="009E4EB8">
              <w:rPr>
                <w:rFonts w:ascii="Arial Narrow" w:hAnsi="Arial Narrow"/>
                <w:szCs w:val="20"/>
              </w:rPr>
              <w:t>2</w:t>
            </w:r>
          </w:p>
        </w:tc>
        <w:tc>
          <w:tcPr>
            <w:tcW w:w="2863" w:type="dxa"/>
            <w:tcBorders>
              <w:left w:val="nil"/>
              <w:right w:val="nil"/>
            </w:tcBorders>
          </w:tcPr>
          <w:p w14:paraId="66F60AFB" w14:textId="77744DF0" w:rsidR="00304EF5" w:rsidRPr="009E4EB8" w:rsidRDefault="0014052F" w:rsidP="00A93185">
            <w:pPr>
              <w:keepNext/>
              <w:spacing w:before="0" w:after="0"/>
              <w:jc w:val="left"/>
              <w:rPr>
                <w:rFonts w:ascii="Arial Narrow" w:hAnsi="Arial Narrow"/>
                <w:sz w:val="20"/>
                <w:szCs w:val="20"/>
              </w:rPr>
            </w:pPr>
            <w:r w:rsidRPr="009E4EB8">
              <w:rPr>
                <w:rFonts w:ascii="Arial Narrow" w:hAnsi="Arial Narrow"/>
                <w:sz w:val="20"/>
                <w:szCs w:val="20"/>
              </w:rPr>
              <w:t>Published</w:t>
            </w:r>
            <w:r w:rsidR="00304EF5" w:rsidRPr="009E4EB8">
              <w:rPr>
                <w:rFonts w:ascii="Arial Narrow" w:hAnsi="Arial Narrow"/>
                <w:sz w:val="20"/>
                <w:szCs w:val="20"/>
              </w:rPr>
              <w:t>:</w:t>
            </w:r>
          </w:p>
          <w:p w14:paraId="1E74C952" w14:textId="081039FF" w:rsidR="0014052F" w:rsidRPr="009E4EB8" w:rsidRDefault="0014052F" w:rsidP="00A93185">
            <w:pPr>
              <w:keepNext/>
              <w:spacing w:before="0" w:after="0"/>
              <w:jc w:val="left"/>
              <w:rPr>
                <w:rFonts w:ascii="Arial Narrow" w:hAnsi="Arial Narrow"/>
                <w:sz w:val="20"/>
                <w:szCs w:val="20"/>
              </w:rPr>
            </w:pPr>
            <w:r w:rsidRPr="009E4EB8">
              <w:rPr>
                <w:rFonts w:ascii="Arial Narrow" w:hAnsi="Arial Narrow"/>
                <w:sz w:val="20"/>
                <w:szCs w:val="20"/>
              </w:rPr>
              <w:t>$11,525.44 (HSD Public)</w:t>
            </w:r>
          </w:p>
          <w:p w14:paraId="015C0DA8" w14:textId="718D93F2" w:rsidR="0014052F" w:rsidRPr="009E4EB8" w:rsidRDefault="0014052F" w:rsidP="00304EF5">
            <w:pPr>
              <w:keepNext/>
              <w:spacing w:before="0" w:after="80"/>
              <w:jc w:val="left"/>
              <w:rPr>
                <w:rFonts w:ascii="Arial Narrow" w:hAnsi="Arial Narrow"/>
                <w:sz w:val="20"/>
                <w:szCs w:val="20"/>
              </w:rPr>
            </w:pPr>
            <w:r w:rsidRPr="009E4EB8">
              <w:rPr>
                <w:rFonts w:ascii="Arial Narrow" w:hAnsi="Arial Narrow"/>
                <w:sz w:val="20"/>
                <w:szCs w:val="20"/>
              </w:rPr>
              <w:t>$11,573.22 (HSD Private)</w:t>
            </w:r>
          </w:p>
          <w:p w14:paraId="25264203" w14:textId="43DEE7EC" w:rsidR="00304EF5" w:rsidRPr="009E4EB8" w:rsidRDefault="0014052F" w:rsidP="00A93185">
            <w:pPr>
              <w:keepNext/>
              <w:spacing w:before="0" w:after="0"/>
              <w:jc w:val="left"/>
              <w:rPr>
                <w:rFonts w:ascii="Arial Narrow" w:hAnsi="Arial Narrow"/>
                <w:sz w:val="20"/>
                <w:szCs w:val="20"/>
              </w:rPr>
            </w:pPr>
            <w:r w:rsidRPr="009E4EB8">
              <w:rPr>
                <w:rFonts w:ascii="Arial Narrow" w:hAnsi="Arial Narrow"/>
                <w:sz w:val="20"/>
                <w:szCs w:val="20"/>
              </w:rPr>
              <w:t>Effective (after rebate)</w:t>
            </w:r>
            <w:r w:rsidR="00304EF5" w:rsidRPr="009E4EB8">
              <w:rPr>
                <w:rFonts w:ascii="Arial Narrow" w:hAnsi="Arial Narrow"/>
                <w:sz w:val="20"/>
                <w:szCs w:val="20"/>
              </w:rPr>
              <w:t>:</w:t>
            </w:r>
            <w:r w:rsidRPr="009E4EB8">
              <w:rPr>
                <w:rFonts w:ascii="Arial Narrow" w:hAnsi="Arial Narrow"/>
                <w:sz w:val="20"/>
                <w:szCs w:val="20"/>
              </w:rPr>
              <w:t xml:space="preserve"> </w:t>
            </w:r>
          </w:p>
          <w:p w14:paraId="4384A8B8" w14:textId="67C1F40D" w:rsidR="0014052F" w:rsidRPr="009E4EB8" w:rsidRDefault="0014052F" w:rsidP="00A93185">
            <w:pPr>
              <w:keepNext/>
              <w:spacing w:before="0" w:after="0"/>
              <w:jc w:val="left"/>
              <w:rPr>
                <w:rFonts w:ascii="Arial Narrow" w:hAnsi="Arial Narrow"/>
                <w:sz w:val="20"/>
                <w:szCs w:val="20"/>
              </w:rPr>
            </w:pPr>
            <w:r w:rsidRPr="009E4EB8">
              <w:rPr>
                <w:rFonts w:ascii="Arial Narrow" w:hAnsi="Arial Narrow"/>
                <w:sz w:val="20"/>
                <w:szCs w:val="20"/>
              </w:rPr>
              <w:t>$</w:t>
            </w:r>
            <w:r w:rsidR="00992522" w:rsidRPr="00992522">
              <w:rPr>
                <w:rFonts w:ascii="Arial Narrow" w:hAnsi="Arial Narrow"/>
                <w:color w:val="000000"/>
                <w:spacing w:val="52"/>
                <w:sz w:val="20"/>
                <w:szCs w:val="20"/>
                <w:shd w:val="solid" w:color="000000" w:fill="000000"/>
                <w:fitText w:val="330" w:id="-1504991478"/>
                <w14:textFill>
                  <w14:solidFill>
                    <w14:srgbClr w14:val="000000">
                      <w14:alpha w14:val="100000"/>
                    </w14:srgbClr>
                  </w14:solidFill>
                </w14:textFill>
              </w:rPr>
              <w:t>|||</w:t>
            </w:r>
            <w:r w:rsidR="00992522" w:rsidRPr="00992522">
              <w:rPr>
                <w:rFonts w:ascii="Arial Narrow" w:hAnsi="Arial Narrow"/>
                <w:color w:val="000000"/>
                <w:spacing w:val="2"/>
                <w:sz w:val="20"/>
                <w:szCs w:val="20"/>
                <w:shd w:val="solid" w:color="000000" w:fill="000000"/>
                <w:fitText w:val="330" w:id="-1504991478"/>
                <w14:textFill>
                  <w14:solidFill>
                    <w14:srgbClr w14:val="000000">
                      <w14:alpha w14:val="100000"/>
                    </w14:srgbClr>
                  </w14:solidFill>
                </w14:textFill>
              </w:rPr>
              <w:t>|</w:t>
            </w:r>
            <w:r w:rsidRPr="009E4EB8">
              <w:rPr>
                <w:rFonts w:ascii="Arial Narrow" w:hAnsi="Arial Narrow"/>
                <w:sz w:val="20"/>
                <w:szCs w:val="20"/>
              </w:rPr>
              <w:t xml:space="preserve"> (HSD Public)</w:t>
            </w:r>
          </w:p>
          <w:p w14:paraId="50000779" w14:textId="4E494717" w:rsidR="0014052F" w:rsidRPr="009E4EB8" w:rsidRDefault="0014052F" w:rsidP="00A93185">
            <w:pPr>
              <w:pStyle w:val="TableLeft"/>
              <w:spacing w:before="0" w:after="0"/>
              <w:rPr>
                <w:rFonts w:ascii="Arial Narrow" w:hAnsi="Arial Narrow"/>
                <w:szCs w:val="20"/>
                <w:highlight w:val="yellow"/>
              </w:rPr>
            </w:pPr>
            <w:r w:rsidRPr="009E4EB8">
              <w:rPr>
                <w:rFonts w:ascii="Arial Narrow" w:hAnsi="Arial Narrow"/>
                <w:szCs w:val="20"/>
              </w:rPr>
              <w:t>$</w:t>
            </w:r>
            <w:r w:rsidR="00992522" w:rsidRPr="00992522">
              <w:rPr>
                <w:rFonts w:ascii="Arial Narrow" w:hAnsi="Arial Narrow"/>
                <w:color w:val="000000"/>
                <w:spacing w:val="52"/>
                <w:szCs w:val="20"/>
                <w:shd w:val="solid" w:color="000000" w:fill="000000"/>
                <w:fitText w:val="330" w:id="-1504991477"/>
                <w14:textFill>
                  <w14:solidFill>
                    <w14:srgbClr w14:val="000000">
                      <w14:alpha w14:val="100000"/>
                    </w14:srgbClr>
                  </w14:solidFill>
                </w14:textFill>
              </w:rPr>
              <w:t>|||</w:t>
            </w:r>
            <w:r w:rsidR="00992522" w:rsidRPr="00992522">
              <w:rPr>
                <w:rFonts w:ascii="Arial Narrow" w:hAnsi="Arial Narrow"/>
                <w:color w:val="000000"/>
                <w:spacing w:val="2"/>
                <w:szCs w:val="20"/>
                <w:shd w:val="solid" w:color="000000" w:fill="000000"/>
                <w:fitText w:val="330" w:id="-1504991477"/>
                <w14:textFill>
                  <w14:solidFill>
                    <w14:srgbClr w14:val="000000">
                      <w14:alpha w14:val="100000"/>
                    </w14:srgbClr>
                  </w14:solidFill>
                </w14:textFill>
              </w:rPr>
              <w:t>|</w:t>
            </w:r>
            <w:r w:rsidRPr="009E4EB8">
              <w:rPr>
                <w:rFonts w:ascii="Arial Narrow" w:hAnsi="Arial Narrow"/>
                <w:szCs w:val="20"/>
              </w:rPr>
              <w:t xml:space="preserve"> (HSD Private)</w:t>
            </w:r>
          </w:p>
        </w:tc>
        <w:tc>
          <w:tcPr>
            <w:tcW w:w="1460" w:type="dxa"/>
            <w:vMerge/>
            <w:tcBorders>
              <w:left w:val="nil"/>
              <w:right w:val="nil"/>
            </w:tcBorders>
            <w:shd w:val="clear" w:color="auto" w:fill="C6D9F1" w:themeFill="text2" w:themeFillTint="33"/>
          </w:tcPr>
          <w:p w14:paraId="2C2B9795" w14:textId="77777777" w:rsidR="0014052F" w:rsidRPr="009E4EB8" w:rsidRDefault="0014052F" w:rsidP="0014052F">
            <w:pPr>
              <w:pStyle w:val="TableLeft"/>
              <w:rPr>
                <w:rFonts w:ascii="Arial Narrow" w:hAnsi="Arial Narrow"/>
                <w:szCs w:val="20"/>
              </w:rPr>
            </w:pPr>
          </w:p>
        </w:tc>
      </w:tr>
    </w:tbl>
    <w:p w14:paraId="360B0201" w14:textId="77777777" w:rsidR="00AC2172" w:rsidRPr="009E4EB8" w:rsidRDefault="00AC2172" w:rsidP="00AC2172">
      <w:pPr>
        <w:pStyle w:val="TableFigureFooter"/>
        <w:rPr>
          <w:szCs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567"/>
        <w:gridCol w:w="7654"/>
      </w:tblGrid>
      <w:tr w:rsidR="007670F7" w:rsidRPr="009E4EB8" w14:paraId="22CDD670" w14:textId="77777777" w:rsidTr="007670F7">
        <w:tc>
          <w:tcPr>
            <w:tcW w:w="9072" w:type="dxa"/>
            <w:gridSpan w:val="3"/>
            <w:tcBorders>
              <w:top w:val="single" w:sz="4" w:space="0" w:color="auto"/>
              <w:left w:val="single" w:sz="4" w:space="0" w:color="auto"/>
              <w:right w:val="single" w:sz="4" w:space="0" w:color="auto"/>
            </w:tcBorders>
          </w:tcPr>
          <w:p w14:paraId="7693E53A" w14:textId="77777777" w:rsidR="007670F7" w:rsidRPr="009E4EB8" w:rsidRDefault="007670F7" w:rsidP="007670F7">
            <w:pPr>
              <w:rPr>
                <w:rFonts w:ascii="Arial Narrow" w:hAnsi="Arial Narrow"/>
                <w:b/>
                <w:sz w:val="20"/>
                <w:szCs w:val="20"/>
              </w:rPr>
            </w:pPr>
            <w:r w:rsidRPr="009E4EB8">
              <w:rPr>
                <w:rFonts w:ascii="Arial Narrow" w:hAnsi="Arial Narrow"/>
                <w:b/>
                <w:sz w:val="20"/>
                <w:szCs w:val="20"/>
              </w:rPr>
              <w:t>Restriction Summary [new] / Treatment of Concept: [new]</w:t>
            </w:r>
          </w:p>
        </w:tc>
      </w:tr>
      <w:tr w:rsidR="007670F7" w:rsidRPr="009E4EB8" w14:paraId="3E0F5D74" w14:textId="77777777" w:rsidTr="007670F7">
        <w:tc>
          <w:tcPr>
            <w:tcW w:w="1418" w:type="dxa"/>
            <w:gridSpan w:val="2"/>
            <w:vMerge w:val="restart"/>
            <w:tcBorders>
              <w:top w:val="single" w:sz="4" w:space="0" w:color="auto"/>
              <w:left w:val="single" w:sz="4" w:space="0" w:color="auto"/>
              <w:right w:val="single" w:sz="4" w:space="0" w:color="auto"/>
            </w:tcBorders>
          </w:tcPr>
          <w:p w14:paraId="313963F6" w14:textId="77777777" w:rsidR="007670F7" w:rsidRPr="009E4EB8" w:rsidRDefault="007670F7" w:rsidP="00730AE6">
            <w:pPr>
              <w:jc w:val="center"/>
              <w:rPr>
                <w:rFonts w:ascii="Arial Narrow" w:hAnsi="Arial Narrow"/>
                <w:b/>
                <w:sz w:val="20"/>
                <w:szCs w:val="20"/>
              </w:rPr>
            </w:pPr>
          </w:p>
        </w:tc>
        <w:tc>
          <w:tcPr>
            <w:tcW w:w="7654" w:type="dxa"/>
            <w:tcBorders>
              <w:top w:val="single" w:sz="4" w:space="0" w:color="auto"/>
              <w:left w:val="single" w:sz="4" w:space="0" w:color="auto"/>
              <w:bottom w:val="single" w:sz="4" w:space="0" w:color="auto"/>
              <w:right w:val="single" w:sz="4" w:space="0" w:color="auto"/>
            </w:tcBorders>
          </w:tcPr>
          <w:p w14:paraId="01BCAB96" w14:textId="77777777" w:rsidR="007670F7" w:rsidRPr="009E4EB8" w:rsidRDefault="007670F7" w:rsidP="007670F7">
            <w:pPr>
              <w:rPr>
                <w:rFonts w:ascii="Arial Narrow" w:hAnsi="Arial Narrow"/>
                <w:sz w:val="20"/>
                <w:szCs w:val="20"/>
              </w:rPr>
            </w:pPr>
            <w:r w:rsidRPr="009E4EB8">
              <w:rPr>
                <w:rFonts w:ascii="Arial Narrow" w:hAnsi="Arial Narrow"/>
                <w:b/>
                <w:sz w:val="20"/>
                <w:szCs w:val="20"/>
              </w:rPr>
              <w:t xml:space="preserve">Category / Program:   </w:t>
            </w:r>
            <w:r w:rsidRPr="009E4EB8">
              <w:rPr>
                <w:rFonts w:ascii="Arial Narrow" w:hAnsi="Arial Narrow"/>
                <w:sz w:val="20"/>
                <w:szCs w:val="20"/>
              </w:rPr>
              <w:t>Section 100 – Highly Specialised Drugs Program</w:t>
            </w:r>
          </w:p>
        </w:tc>
      </w:tr>
      <w:tr w:rsidR="007670F7" w:rsidRPr="009E4EB8" w14:paraId="6A0AE159" w14:textId="77777777" w:rsidTr="007670F7">
        <w:trPr>
          <w:trHeight w:val="240"/>
        </w:trPr>
        <w:tc>
          <w:tcPr>
            <w:tcW w:w="1418" w:type="dxa"/>
            <w:gridSpan w:val="2"/>
            <w:vMerge/>
            <w:tcBorders>
              <w:left w:val="single" w:sz="4" w:space="0" w:color="auto"/>
              <w:right w:val="single" w:sz="4" w:space="0" w:color="auto"/>
            </w:tcBorders>
          </w:tcPr>
          <w:p w14:paraId="6E80FB50" w14:textId="77777777" w:rsidR="007670F7" w:rsidRPr="009E4EB8" w:rsidRDefault="007670F7" w:rsidP="007670F7">
            <w:pP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tcPr>
          <w:p w14:paraId="65362A8A" w14:textId="77777777" w:rsidR="007670F7" w:rsidRPr="009E4EB8" w:rsidRDefault="007670F7" w:rsidP="007670F7">
            <w:pPr>
              <w:rPr>
                <w:rFonts w:ascii="Arial Narrow" w:hAnsi="Arial Narrow"/>
                <w:b/>
                <w:sz w:val="20"/>
                <w:szCs w:val="20"/>
              </w:rPr>
            </w:pPr>
            <w:r w:rsidRPr="009E4EB8">
              <w:rPr>
                <w:rFonts w:ascii="Arial Narrow" w:hAnsi="Arial Narrow"/>
                <w:b/>
                <w:sz w:val="20"/>
                <w:szCs w:val="20"/>
              </w:rPr>
              <w:t xml:space="preserve">Prescriber type: </w:t>
            </w:r>
            <w:r w:rsidRPr="009E4EB8">
              <w:rPr>
                <w:rFonts w:ascii="Arial Narrow" w:hAnsi="Arial Narrow"/>
                <w:sz w:val="20"/>
                <w:szCs w:val="20"/>
              </w:rPr>
              <w:fldChar w:fldCharType="begin">
                <w:ffData>
                  <w:name w:val=""/>
                  <w:enabled/>
                  <w:calcOnExit w:val="0"/>
                  <w:checkBox>
                    <w:sizeAuto/>
                    <w:default w:val="1"/>
                  </w:checkBox>
                </w:ffData>
              </w:fldChar>
            </w:r>
            <w:r w:rsidRPr="009E4EB8">
              <w:rPr>
                <w:rFonts w:ascii="Arial Narrow" w:hAnsi="Arial Narrow"/>
                <w:sz w:val="20"/>
                <w:szCs w:val="20"/>
              </w:rPr>
              <w:instrText xml:space="preserve"> FORMCHECKBOX </w:instrText>
            </w:r>
            <w:r w:rsidR="00964E38">
              <w:rPr>
                <w:rFonts w:ascii="Arial Narrow" w:hAnsi="Arial Narrow"/>
                <w:sz w:val="20"/>
                <w:szCs w:val="20"/>
              </w:rPr>
            </w:r>
            <w:r w:rsidR="00964E38">
              <w:rPr>
                <w:rFonts w:ascii="Arial Narrow" w:hAnsi="Arial Narrow"/>
                <w:sz w:val="20"/>
                <w:szCs w:val="20"/>
              </w:rPr>
              <w:fldChar w:fldCharType="separate"/>
            </w:r>
            <w:r w:rsidRPr="009E4EB8">
              <w:rPr>
                <w:rFonts w:ascii="Arial Narrow" w:hAnsi="Arial Narrow"/>
                <w:sz w:val="20"/>
                <w:szCs w:val="20"/>
              </w:rPr>
              <w:fldChar w:fldCharType="end"/>
            </w:r>
            <w:r w:rsidRPr="009E4EB8">
              <w:rPr>
                <w:rFonts w:ascii="Arial Narrow" w:hAnsi="Arial Narrow"/>
                <w:sz w:val="20"/>
                <w:szCs w:val="20"/>
              </w:rPr>
              <w:t>Medical Practitioners</w:t>
            </w:r>
          </w:p>
        </w:tc>
      </w:tr>
      <w:tr w:rsidR="007670F7" w:rsidRPr="009E4EB8" w14:paraId="320CDD1D" w14:textId="77777777" w:rsidTr="007670F7">
        <w:tc>
          <w:tcPr>
            <w:tcW w:w="1418" w:type="dxa"/>
            <w:gridSpan w:val="2"/>
            <w:vMerge/>
            <w:tcBorders>
              <w:left w:val="single" w:sz="4" w:space="0" w:color="auto"/>
              <w:bottom w:val="single" w:sz="4" w:space="0" w:color="auto"/>
              <w:right w:val="single" w:sz="4" w:space="0" w:color="auto"/>
            </w:tcBorders>
          </w:tcPr>
          <w:p w14:paraId="3E73FEC8" w14:textId="77777777" w:rsidR="007670F7" w:rsidRPr="009E4EB8" w:rsidRDefault="007670F7" w:rsidP="007670F7">
            <w:pP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tcPr>
          <w:p w14:paraId="03020445" w14:textId="77777777" w:rsidR="007670F7" w:rsidRPr="009E4EB8" w:rsidRDefault="007670F7" w:rsidP="007670F7">
            <w:pPr>
              <w:rPr>
                <w:rFonts w:ascii="Arial Narrow" w:hAnsi="Arial Narrow" w:cstheme="minorHAnsi"/>
                <w:b/>
                <w:sz w:val="20"/>
                <w:szCs w:val="20"/>
              </w:rPr>
            </w:pPr>
            <w:r w:rsidRPr="009E4EB8">
              <w:rPr>
                <w:rFonts w:ascii="Arial Narrow" w:hAnsi="Arial Narrow" w:cstheme="minorHAnsi"/>
                <w:b/>
                <w:sz w:val="20"/>
                <w:szCs w:val="20"/>
              </w:rPr>
              <w:t>Restriction type:</w:t>
            </w:r>
          </w:p>
          <w:p w14:paraId="7F6A74B9" w14:textId="77777777" w:rsidR="007670F7" w:rsidRPr="009E4EB8" w:rsidRDefault="007670F7" w:rsidP="007670F7">
            <w:pPr>
              <w:rPr>
                <w:rFonts w:ascii="Arial Narrow" w:eastAsia="Calibri" w:hAnsi="Arial Narrow"/>
                <w:sz w:val="20"/>
                <w:szCs w:val="20"/>
              </w:rPr>
            </w:pPr>
            <w:r w:rsidRPr="009E4EB8">
              <w:rPr>
                <w:rFonts w:ascii="Arial Narrow" w:hAnsi="Arial Narrow"/>
                <w:bCs/>
                <w:sz w:val="20"/>
                <w:szCs w:val="20"/>
              </w:rPr>
              <w:fldChar w:fldCharType="begin">
                <w:ffData>
                  <w:name w:val="Check3"/>
                  <w:enabled/>
                  <w:calcOnExit w:val="0"/>
                  <w:checkBox>
                    <w:sizeAuto/>
                    <w:default w:val="1"/>
                  </w:checkBox>
                </w:ffData>
              </w:fldChar>
            </w:r>
            <w:r w:rsidRPr="009E4EB8">
              <w:rPr>
                <w:rFonts w:ascii="Arial Narrow" w:hAnsi="Arial Narrow"/>
                <w:bCs/>
                <w:sz w:val="20"/>
                <w:szCs w:val="20"/>
              </w:rPr>
              <w:instrText xml:space="preserve"> FORMCHECKBOX </w:instrText>
            </w:r>
            <w:r w:rsidR="00964E38">
              <w:rPr>
                <w:rFonts w:ascii="Arial Narrow" w:hAnsi="Arial Narrow"/>
                <w:bCs/>
                <w:sz w:val="20"/>
                <w:szCs w:val="20"/>
              </w:rPr>
            </w:r>
            <w:r w:rsidR="00964E38">
              <w:rPr>
                <w:rFonts w:ascii="Arial Narrow" w:hAnsi="Arial Narrow"/>
                <w:bCs/>
                <w:sz w:val="20"/>
                <w:szCs w:val="20"/>
              </w:rPr>
              <w:fldChar w:fldCharType="separate"/>
            </w:r>
            <w:r w:rsidRPr="009E4EB8">
              <w:rPr>
                <w:rFonts w:ascii="Arial Narrow" w:hAnsi="Arial Narrow"/>
                <w:bCs/>
                <w:sz w:val="20"/>
                <w:szCs w:val="20"/>
              </w:rPr>
              <w:fldChar w:fldCharType="end"/>
            </w:r>
            <w:r w:rsidRPr="009E4EB8">
              <w:rPr>
                <w:rFonts w:ascii="Arial Narrow" w:hAnsi="Arial Narrow"/>
                <w:bCs/>
                <w:sz w:val="20"/>
                <w:szCs w:val="20"/>
              </w:rPr>
              <w:t xml:space="preserve"> </w:t>
            </w:r>
            <w:r w:rsidRPr="009E4EB8">
              <w:rPr>
                <w:rFonts w:ascii="Arial Narrow" w:hAnsi="Arial Narrow" w:cstheme="minorHAnsi"/>
                <w:sz w:val="20"/>
                <w:szCs w:val="20"/>
              </w:rPr>
              <w:t>Authority Required – immediate/real-time assessment by Services Australia (telephone/electronic)</w:t>
            </w:r>
          </w:p>
        </w:tc>
      </w:tr>
      <w:tr w:rsidR="007670F7" w:rsidRPr="009E4EB8" w14:paraId="1D854605" w14:textId="77777777" w:rsidTr="007670F7">
        <w:trPr>
          <w:trHeight w:val="262"/>
        </w:trPr>
        <w:tc>
          <w:tcPr>
            <w:tcW w:w="851" w:type="dxa"/>
            <w:vMerge w:val="restart"/>
            <w:tcBorders>
              <w:left w:val="single" w:sz="4" w:space="0" w:color="auto"/>
              <w:right w:val="single" w:sz="4" w:space="0" w:color="auto"/>
            </w:tcBorders>
            <w:textDirection w:val="btLr"/>
          </w:tcPr>
          <w:p w14:paraId="328B6E56" w14:textId="569B55F4" w:rsidR="007670F7" w:rsidRPr="009E4EB8" w:rsidRDefault="007670F7" w:rsidP="007670F7">
            <w:pPr>
              <w:ind w:left="113" w:right="113"/>
              <w:rPr>
                <w:rFonts w:ascii="Arial Narrow" w:hAnsi="Arial Narrow"/>
                <w:sz w:val="20"/>
                <w:szCs w:val="20"/>
              </w:rPr>
            </w:pPr>
          </w:p>
        </w:tc>
        <w:tc>
          <w:tcPr>
            <w:tcW w:w="567" w:type="dxa"/>
            <w:vAlign w:val="center"/>
          </w:tcPr>
          <w:p w14:paraId="2A14BA0D" w14:textId="471DA04C" w:rsidR="007670F7" w:rsidRPr="009E4EB8" w:rsidRDefault="007670F7" w:rsidP="007670F7">
            <w:pPr>
              <w:jc w:val="center"/>
              <w:rPr>
                <w:rFonts w:ascii="Arial Narrow" w:hAnsi="Arial Narrow"/>
                <w:i/>
                <w:vanish/>
                <w:sz w:val="20"/>
                <w:szCs w:val="20"/>
              </w:rPr>
            </w:pPr>
          </w:p>
        </w:tc>
        <w:tc>
          <w:tcPr>
            <w:tcW w:w="7654" w:type="dxa"/>
            <w:vAlign w:val="center"/>
          </w:tcPr>
          <w:p w14:paraId="78325245" w14:textId="77777777" w:rsidR="007670F7" w:rsidRPr="009E4EB8" w:rsidRDefault="007670F7" w:rsidP="007670F7">
            <w:pPr>
              <w:pStyle w:val="NormalWeb"/>
              <w:spacing w:before="0" w:after="0"/>
              <w:rPr>
                <w:rFonts w:ascii="Arial Narrow" w:hAnsi="Arial Narrow"/>
                <w:i/>
                <w:sz w:val="20"/>
                <w:szCs w:val="20"/>
                <w:lang w:val="en-AU"/>
              </w:rPr>
            </w:pPr>
            <w:r w:rsidRPr="009E4EB8">
              <w:rPr>
                <w:rStyle w:val="Strong"/>
                <w:rFonts w:ascii="Arial Narrow" w:hAnsi="Arial Narrow"/>
                <w:i/>
                <w:sz w:val="20"/>
                <w:szCs w:val="20"/>
                <w:lang w:val="en-AU"/>
              </w:rPr>
              <w:t>Administrative Advice:</w:t>
            </w:r>
          </w:p>
          <w:p w14:paraId="3D8B2132" w14:textId="77777777" w:rsidR="007670F7" w:rsidRPr="009E4EB8" w:rsidRDefault="007670F7" w:rsidP="007670F7">
            <w:pPr>
              <w:rPr>
                <w:rFonts w:ascii="Arial Narrow" w:hAnsi="Arial Narrow"/>
                <w:i/>
                <w:sz w:val="20"/>
                <w:szCs w:val="20"/>
              </w:rPr>
            </w:pPr>
            <w:r w:rsidRPr="009E4EB8">
              <w:rPr>
                <w:rFonts w:ascii="Arial Narrow" w:hAnsi="Arial Narrow"/>
                <w:i/>
                <w:sz w:val="20"/>
                <w:szCs w:val="20"/>
              </w:rPr>
              <w:t>Special Pricing Arrangements apply.</w:t>
            </w:r>
          </w:p>
        </w:tc>
      </w:tr>
      <w:tr w:rsidR="007670F7" w:rsidRPr="009E4EB8" w14:paraId="6A59D9B6" w14:textId="77777777" w:rsidTr="007670F7">
        <w:trPr>
          <w:trHeight w:val="261"/>
        </w:trPr>
        <w:tc>
          <w:tcPr>
            <w:tcW w:w="851" w:type="dxa"/>
            <w:vMerge/>
            <w:tcBorders>
              <w:left w:val="single" w:sz="4" w:space="0" w:color="auto"/>
              <w:right w:val="single" w:sz="4" w:space="0" w:color="auto"/>
            </w:tcBorders>
            <w:textDirection w:val="btLr"/>
          </w:tcPr>
          <w:p w14:paraId="1CDBF2E7" w14:textId="77777777" w:rsidR="007670F7" w:rsidRPr="009E4EB8" w:rsidRDefault="007670F7" w:rsidP="007670F7">
            <w:pPr>
              <w:ind w:left="113" w:right="113"/>
              <w:rPr>
                <w:rFonts w:ascii="Arial Narrow" w:hAnsi="Arial Narrow"/>
                <w:sz w:val="20"/>
                <w:szCs w:val="20"/>
              </w:rPr>
            </w:pPr>
          </w:p>
        </w:tc>
        <w:tc>
          <w:tcPr>
            <w:tcW w:w="567" w:type="dxa"/>
            <w:vAlign w:val="center"/>
          </w:tcPr>
          <w:p w14:paraId="3D024D87" w14:textId="203D6362" w:rsidR="007670F7" w:rsidRPr="009E4EB8" w:rsidRDefault="007670F7" w:rsidP="007670F7">
            <w:pPr>
              <w:jc w:val="center"/>
              <w:rPr>
                <w:rFonts w:ascii="Arial Narrow" w:hAnsi="Arial Narrow"/>
                <w:i/>
                <w:sz w:val="20"/>
                <w:szCs w:val="20"/>
              </w:rPr>
            </w:pPr>
          </w:p>
        </w:tc>
        <w:tc>
          <w:tcPr>
            <w:tcW w:w="7654" w:type="dxa"/>
            <w:vAlign w:val="center"/>
          </w:tcPr>
          <w:p w14:paraId="1C650412" w14:textId="77777777" w:rsidR="007670F7" w:rsidRPr="009E4EB8" w:rsidRDefault="007670F7" w:rsidP="007670F7">
            <w:pPr>
              <w:pStyle w:val="NormalWeb"/>
              <w:spacing w:before="0" w:after="0"/>
              <w:rPr>
                <w:rStyle w:val="Strong"/>
                <w:rFonts w:ascii="Arial Narrow" w:hAnsi="Arial Narrow"/>
                <w:i/>
                <w:sz w:val="20"/>
                <w:szCs w:val="20"/>
                <w:lang w:val="en-AU"/>
              </w:rPr>
            </w:pPr>
            <w:r w:rsidRPr="009E4EB8">
              <w:rPr>
                <w:rFonts w:ascii="Arial Narrow" w:hAnsi="Arial Narrow"/>
                <w:b/>
                <w:bCs/>
                <w:i/>
                <w:sz w:val="20"/>
                <w:szCs w:val="20"/>
                <w:lang w:val="en-AU"/>
              </w:rPr>
              <w:t xml:space="preserve">Administrative Advice: </w:t>
            </w:r>
            <w:r w:rsidRPr="009E4EB8">
              <w:rPr>
                <w:rFonts w:ascii="Arial Narrow" w:hAnsi="Arial Narrow"/>
                <w:bCs/>
                <w:i/>
                <w:sz w:val="20"/>
                <w:szCs w:val="20"/>
                <w:lang w:val="en-AU"/>
              </w:rPr>
              <w:t>No increase in the maximum quantity or number of units may be authorised.</w:t>
            </w:r>
          </w:p>
        </w:tc>
      </w:tr>
      <w:tr w:rsidR="007670F7" w:rsidRPr="009E4EB8" w14:paraId="22638A7D" w14:textId="77777777" w:rsidTr="007670F7">
        <w:trPr>
          <w:trHeight w:val="261"/>
        </w:trPr>
        <w:tc>
          <w:tcPr>
            <w:tcW w:w="851" w:type="dxa"/>
            <w:vMerge/>
            <w:tcBorders>
              <w:left w:val="single" w:sz="4" w:space="0" w:color="auto"/>
              <w:right w:val="single" w:sz="4" w:space="0" w:color="auto"/>
            </w:tcBorders>
            <w:textDirection w:val="btLr"/>
          </w:tcPr>
          <w:p w14:paraId="14021DA5" w14:textId="77777777" w:rsidR="007670F7" w:rsidRPr="009E4EB8" w:rsidRDefault="007670F7" w:rsidP="007670F7">
            <w:pPr>
              <w:ind w:left="113" w:right="113"/>
              <w:rPr>
                <w:rFonts w:ascii="Arial Narrow" w:hAnsi="Arial Narrow"/>
                <w:sz w:val="20"/>
                <w:szCs w:val="20"/>
              </w:rPr>
            </w:pPr>
          </w:p>
        </w:tc>
        <w:tc>
          <w:tcPr>
            <w:tcW w:w="567" w:type="dxa"/>
            <w:vAlign w:val="center"/>
          </w:tcPr>
          <w:p w14:paraId="30380674" w14:textId="6E1A7619" w:rsidR="007670F7" w:rsidRPr="009E4EB8" w:rsidRDefault="007670F7" w:rsidP="007670F7">
            <w:pPr>
              <w:jc w:val="center"/>
              <w:rPr>
                <w:rFonts w:ascii="Arial Narrow" w:hAnsi="Arial Narrow"/>
                <w:i/>
                <w:sz w:val="20"/>
                <w:szCs w:val="20"/>
              </w:rPr>
            </w:pPr>
          </w:p>
        </w:tc>
        <w:tc>
          <w:tcPr>
            <w:tcW w:w="7654" w:type="dxa"/>
            <w:vAlign w:val="center"/>
          </w:tcPr>
          <w:p w14:paraId="705C5CDD" w14:textId="77777777" w:rsidR="007670F7" w:rsidRPr="009E4EB8" w:rsidRDefault="007670F7" w:rsidP="007670F7">
            <w:pPr>
              <w:pStyle w:val="NormalWeb"/>
              <w:spacing w:before="0" w:after="0"/>
              <w:rPr>
                <w:rStyle w:val="Strong"/>
                <w:rFonts w:ascii="Arial Narrow" w:hAnsi="Arial Narrow"/>
                <w:i/>
                <w:sz w:val="20"/>
                <w:szCs w:val="20"/>
                <w:lang w:val="en-AU"/>
              </w:rPr>
            </w:pPr>
            <w:r w:rsidRPr="009E4EB8">
              <w:rPr>
                <w:rFonts w:ascii="Arial Narrow" w:hAnsi="Arial Narrow"/>
                <w:b/>
                <w:bCs/>
                <w:i/>
                <w:sz w:val="20"/>
                <w:szCs w:val="20"/>
                <w:lang w:val="en-AU"/>
              </w:rPr>
              <w:t xml:space="preserve">Administrative Advice: </w:t>
            </w:r>
            <w:r w:rsidRPr="009E4EB8">
              <w:rPr>
                <w:rFonts w:ascii="Arial Narrow" w:hAnsi="Arial Narrow"/>
                <w:bCs/>
                <w:i/>
                <w:sz w:val="20"/>
                <w:szCs w:val="20"/>
                <w:lang w:val="en-AU"/>
              </w:rPr>
              <w:t>No increase in the maximum number of repeats may be authorised.</w:t>
            </w:r>
          </w:p>
        </w:tc>
      </w:tr>
      <w:tr w:rsidR="007670F7" w:rsidRPr="009E4EB8" w14:paraId="359E01EF" w14:textId="77777777" w:rsidTr="007670F7">
        <w:tc>
          <w:tcPr>
            <w:tcW w:w="1418" w:type="dxa"/>
            <w:gridSpan w:val="2"/>
            <w:vAlign w:val="center"/>
          </w:tcPr>
          <w:p w14:paraId="5FC4AF28" w14:textId="77777777" w:rsidR="007670F7" w:rsidRPr="009E4EB8" w:rsidRDefault="007670F7" w:rsidP="007670F7">
            <w:pPr>
              <w:jc w:val="center"/>
              <w:rPr>
                <w:rFonts w:ascii="Arial Narrow" w:hAnsi="Arial Narrow"/>
                <w:sz w:val="20"/>
                <w:szCs w:val="20"/>
              </w:rPr>
            </w:pPr>
          </w:p>
        </w:tc>
        <w:tc>
          <w:tcPr>
            <w:tcW w:w="7654" w:type="dxa"/>
          </w:tcPr>
          <w:p w14:paraId="178071E4" w14:textId="77777777" w:rsidR="007670F7" w:rsidRPr="009E4EB8" w:rsidRDefault="007670F7" w:rsidP="007670F7">
            <w:pPr>
              <w:rPr>
                <w:rFonts w:ascii="Arial Narrow" w:hAnsi="Arial Narrow"/>
                <w:b/>
                <w:bCs/>
                <w:sz w:val="20"/>
                <w:szCs w:val="20"/>
              </w:rPr>
            </w:pPr>
            <w:proofErr w:type="spellStart"/>
            <w:r w:rsidRPr="009E4EB8">
              <w:rPr>
                <w:rFonts w:ascii="Arial Narrow" w:hAnsi="Arial Narrow" w:cstheme="minorHAnsi"/>
                <w:b/>
                <w:i/>
                <w:sz w:val="20"/>
                <w:szCs w:val="20"/>
              </w:rPr>
              <w:t>Episodicity</w:t>
            </w:r>
            <w:proofErr w:type="spellEnd"/>
            <w:r w:rsidRPr="009E4EB8">
              <w:rPr>
                <w:rFonts w:ascii="Arial Narrow" w:hAnsi="Arial Narrow" w:cstheme="minorHAnsi"/>
                <w:b/>
                <w:i/>
                <w:sz w:val="20"/>
                <w:szCs w:val="20"/>
              </w:rPr>
              <w:t xml:space="preserve">: </w:t>
            </w:r>
            <w:r w:rsidRPr="009E4EB8">
              <w:rPr>
                <w:rFonts w:ascii="Arial Narrow" w:hAnsi="Arial Narrow" w:cstheme="minorHAnsi"/>
                <w:i/>
                <w:sz w:val="20"/>
                <w:szCs w:val="20"/>
              </w:rPr>
              <w:t>Relapsed and/or refractory</w:t>
            </w:r>
          </w:p>
        </w:tc>
      </w:tr>
      <w:tr w:rsidR="007670F7" w:rsidRPr="009E4EB8" w14:paraId="3F68615C" w14:textId="77777777" w:rsidTr="007670F7">
        <w:tc>
          <w:tcPr>
            <w:tcW w:w="1418" w:type="dxa"/>
            <w:gridSpan w:val="2"/>
            <w:vAlign w:val="center"/>
          </w:tcPr>
          <w:p w14:paraId="09BCF9F4" w14:textId="77777777" w:rsidR="007670F7" w:rsidRPr="009E4EB8" w:rsidRDefault="007670F7" w:rsidP="007670F7">
            <w:pPr>
              <w:jc w:val="center"/>
              <w:rPr>
                <w:rFonts w:ascii="Arial Narrow" w:hAnsi="Arial Narrow"/>
                <w:sz w:val="20"/>
                <w:szCs w:val="20"/>
              </w:rPr>
            </w:pPr>
          </w:p>
        </w:tc>
        <w:tc>
          <w:tcPr>
            <w:tcW w:w="7654" w:type="dxa"/>
          </w:tcPr>
          <w:p w14:paraId="31CDCE19" w14:textId="77777777" w:rsidR="007670F7" w:rsidRPr="009E4EB8" w:rsidRDefault="007670F7" w:rsidP="007670F7">
            <w:pPr>
              <w:rPr>
                <w:rFonts w:ascii="Arial Narrow" w:hAnsi="Arial Narrow"/>
                <w:b/>
                <w:bCs/>
                <w:sz w:val="20"/>
                <w:szCs w:val="20"/>
              </w:rPr>
            </w:pPr>
            <w:r w:rsidRPr="009E4EB8">
              <w:rPr>
                <w:rFonts w:ascii="Arial Narrow" w:hAnsi="Arial Narrow" w:cstheme="minorHAnsi"/>
                <w:b/>
                <w:i/>
                <w:sz w:val="20"/>
                <w:szCs w:val="20"/>
              </w:rPr>
              <w:t xml:space="preserve">Severity: </w:t>
            </w:r>
            <w:r w:rsidRPr="009E4EB8">
              <w:rPr>
                <w:rFonts w:ascii="Arial Narrow" w:hAnsi="Arial Narrow" w:cstheme="minorHAnsi"/>
                <w:i/>
                <w:sz w:val="20"/>
                <w:szCs w:val="20"/>
              </w:rPr>
              <w:t>[blank]</w:t>
            </w:r>
          </w:p>
        </w:tc>
      </w:tr>
      <w:tr w:rsidR="007670F7" w:rsidRPr="009E4EB8" w14:paraId="516F1182" w14:textId="77777777" w:rsidTr="007670F7">
        <w:tc>
          <w:tcPr>
            <w:tcW w:w="1418" w:type="dxa"/>
            <w:gridSpan w:val="2"/>
            <w:vAlign w:val="center"/>
          </w:tcPr>
          <w:p w14:paraId="226BDCD1" w14:textId="77777777" w:rsidR="007670F7" w:rsidRPr="009E4EB8" w:rsidRDefault="007670F7" w:rsidP="007670F7">
            <w:pPr>
              <w:jc w:val="center"/>
              <w:rPr>
                <w:rFonts w:ascii="Arial Narrow" w:hAnsi="Arial Narrow"/>
                <w:sz w:val="20"/>
                <w:szCs w:val="20"/>
              </w:rPr>
            </w:pPr>
          </w:p>
        </w:tc>
        <w:tc>
          <w:tcPr>
            <w:tcW w:w="7654" w:type="dxa"/>
          </w:tcPr>
          <w:p w14:paraId="1F0301F7" w14:textId="77777777" w:rsidR="007670F7" w:rsidRPr="009E4EB8" w:rsidRDefault="007670F7" w:rsidP="007670F7">
            <w:pPr>
              <w:rPr>
                <w:rFonts w:ascii="Arial Narrow" w:hAnsi="Arial Narrow"/>
                <w:b/>
                <w:bCs/>
                <w:i/>
                <w:sz w:val="20"/>
                <w:szCs w:val="20"/>
              </w:rPr>
            </w:pPr>
            <w:r w:rsidRPr="009E4EB8">
              <w:rPr>
                <w:rFonts w:ascii="Arial Narrow" w:hAnsi="Arial Narrow" w:cstheme="minorHAnsi"/>
                <w:b/>
                <w:i/>
                <w:sz w:val="20"/>
                <w:szCs w:val="20"/>
              </w:rPr>
              <w:t xml:space="preserve">Condition: </w:t>
            </w:r>
            <w:r w:rsidRPr="009E4EB8">
              <w:rPr>
                <w:rFonts w:ascii="Arial Narrow" w:hAnsi="Arial Narrow" w:cstheme="minorHAnsi"/>
                <w:i/>
                <w:sz w:val="20"/>
                <w:szCs w:val="20"/>
              </w:rPr>
              <w:t>Multiple myeloma</w:t>
            </w:r>
          </w:p>
        </w:tc>
      </w:tr>
      <w:tr w:rsidR="007670F7" w:rsidRPr="009E4EB8" w14:paraId="6215C155" w14:textId="77777777" w:rsidTr="00730AE6">
        <w:tc>
          <w:tcPr>
            <w:tcW w:w="1418" w:type="dxa"/>
            <w:gridSpan w:val="2"/>
            <w:vAlign w:val="center"/>
          </w:tcPr>
          <w:p w14:paraId="2CFF8B95" w14:textId="08319293" w:rsidR="007670F7" w:rsidRPr="009E4EB8" w:rsidRDefault="007670F7" w:rsidP="007670F7">
            <w:pPr>
              <w:jc w:val="center"/>
              <w:rPr>
                <w:rFonts w:ascii="Arial Narrow" w:hAnsi="Arial Narrow"/>
                <w:sz w:val="20"/>
                <w:szCs w:val="20"/>
              </w:rPr>
            </w:pPr>
          </w:p>
        </w:tc>
        <w:tc>
          <w:tcPr>
            <w:tcW w:w="7654" w:type="dxa"/>
            <w:vAlign w:val="center"/>
            <w:hideMark/>
          </w:tcPr>
          <w:p w14:paraId="629AA76C"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Indication:</w:t>
            </w:r>
            <w:r w:rsidRPr="009E4EB8">
              <w:rPr>
                <w:rFonts w:ascii="Arial Narrow" w:hAnsi="Arial Narrow"/>
                <w:sz w:val="20"/>
                <w:szCs w:val="20"/>
              </w:rPr>
              <w:t xml:space="preserve"> Relapsed and/or refractory multiple myeloma</w:t>
            </w:r>
          </w:p>
        </w:tc>
      </w:tr>
      <w:tr w:rsidR="007670F7" w:rsidRPr="009E4EB8" w14:paraId="4CB50C03" w14:textId="77777777" w:rsidTr="00730AE6">
        <w:tc>
          <w:tcPr>
            <w:tcW w:w="1418" w:type="dxa"/>
            <w:gridSpan w:val="2"/>
            <w:vAlign w:val="center"/>
          </w:tcPr>
          <w:p w14:paraId="77A6D7AE" w14:textId="77777777" w:rsidR="007670F7" w:rsidRPr="009E4EB8" w:rsidRDefault="007670F7" w:rsidP="007670F7">
            <w:pPr>
              <w:jc w:val="center"/>
              <w:rPr>
                <w:rFonts w:ascii="Arial Narrow" w:hAnsi="Arial Narrow"/>
                <w:sz w:val="20"/>
                <w:szCs w:val="20"/>
              </w:rPr>
            </w:pPr>
          </w:p>
        </w:tc>
        <w:tc>
          <w:tcPr>
            <w:tcW w:w="7654" w:type="dxa"/>
            <w:vAlign w:val="center"/>
            <w:hideMark/>
          </w:tcPr>
          <w:p w14:paraId="56AD2D70"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Treatment Phase:</w:t>
            </w:r>
            <w:r w:rsidRPr="009E4EB8">
              <w:rPr>
                <w:rFonts w:ascii="Arial Narrow" w:hAnsi="Arial Narrow"/>
                <w:sz w:val="20"/>
                <w:szCs w:val="20"/>
              </w:rPr>
              <w:t xml:space="preserve"> Initial treatment </w:t>
            </w:r>
          </w:p>
        </w:tc>
      </w:tr>
      <w:tr w:rsidR="007670F7" w:rsidRPr="009E4EB8" w14:paraId="341189D9"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589A9F43" w14:textId="70D0BDAF"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EDCB4D1" w14:textId="77777777" w:rsidR="007670F7" w:rsidRPr="009E4EB8" w:rsidRDefault="007670F7" w:rsidP="007670F7">
            <w:pPr>
              <w:spacing w:before="100" w:beforeAutospacing="1" w:after="100" w:afterAutospacing="1"/>
              <w:rPr>
                <w:rFonts w:ascii="Arial Narrow" w:hAnsi="Arial Narrow"/>
                <w:sz w:val="20"/>
                <w:szCs w:val="20"/>
              </w:rPr>
            </w:pPr>
            <w:r w:rsidRPr="009E4EB8">
              <w:rPr>
                <w:rFonts w:ascii="Arial Narrow" w:hAnsi="Arial Narrow"/>
                <w:b/>
                <w:bCs/>
                <w:sz w:val="20"/>
                <w:szCs w:val="20"/>
              </w:rPr>
              <w:t>Clinical criteria:</w:t>
            </w:r>
          </w:p>
        </w:tc>
      </w:tr>
      <w:tr w:rsidR="007670F7" w:rsidRPr="009E4EB8" w14:paraId="3CD56A69"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1FE20E18" w14:textId="1309C9D4"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E437467"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The treatment must be in combination with dexamethasone</w:t>
            </w:r>
          </w:p>
        </w:tc>
      </w:tr>
      <w:tr w:rsidR="007670F7" w:rsidRPr="009E4EB8" w14:paraId="6BC6062F"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2601390" w14:textId="77777777"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1ADB57DA"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AND</w:t>
            </w:r>
          </w:p>
        </w:tc>
      </w:tr>
      <w:tr w:rsidR="007670F7" w:rsidRPr="009E4EB8" w14:paraId="1BA8ADB2"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26E81790" w14:textId="77777777"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0DCA4BD" w14:textId="77777777" w:rsidR="007670F7" w:rsidRPr="009E4EB8" w:rsidRDefault="007670F7" w:rsidP="007670F7">
            <w:pPr>
              <w:spacing w:before="100" w:beforeAutospacing="1" w:after="100" w:afterAutospacing="1"/>
              <w:rPr>
                <w:rFonts w:ascii="Arial Narrow" w:hAnsi="Arial Narrow"/>
                <w:sz w:val="20"/>
                <w:szCs w:val="20"/>
              </w:rPr>
            </w:pPr>
            <w:r w:rsidRPr="009E4EB8">
              <w:rPr>
                <w:rFonts w:ascii="Arial Narrow" w:hAnsi="Arial Narrow"/>
                <w:b/>
                <w:bCs/>
                <w:sz w:val="20"/>
                <w:szCs w:val="20"/>
              </w:rPr>
              <w:t>Clinical criteria:</w:t>
            </w:r>
          </w:p>
        </w:tc>
      </w:tr>
      <w:tr w:rsidR="007670F7" w:rsidRPr="009E4EB8" w14:paraId="248A5B35"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311C40A2" w14:textId="7990892D"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3E85ED2"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 xml:space="preserve">Patient must have progressive disease after at least four prior </w:t>
            </w:r>
            <w:r w:rsidRPr="009E4EB8">
              <w:rPr>
                <w:rFonts w:ascii="Arial Narrow" w:hAnsi="Arial Narrow"/>
                <w:i/>
                <w:sz w:val="20"/>
                <w:szCs w:val="20"/>
              </w:rPr>
              <w:t>lines of therapy</w:t>
            </w:r>
            <w:r w:rsidRPr="009E4EB8">
              <w:rPr>
                <w:rFonts w:ascii="Arial Narrow" w:hAnsi="Arial Narrow"/>
                <w:sz w:val="20"/>
                <w:szCs w:val="20"/>
              </w:rPr>
              <w:t xml:space="preserve"> </w:t>
            </w:r>
            <w:r w:rsidRPr="009E4EB8">
              <w:rPr>
                <w:rFonts w:ascii="Arial Narrow" w:hAnsi="Arial Narrow"/>
                <w:i/>
                <w:sz w:val="20"/>
                <w:szCs w:val="20"/>
              </w:rPr>
              <w:t>for this condition</w:t>
            </w:r>
            <w:r w:rsidRPr="009E4EB8">
              <w:rPr>
                <w:rFonts w:ascii="Arial Narrow" w:hAnsi="Arial Narrow"/>
                <w:sz w:val="20"/>
                <w:szCs w:val="20"/>
              </w:rPr>
              <w:t xml:space="preserve"> </w:t>
            </w:r>
          </w:p>
        </w:tc>
      </w:tr>
      <w:tr w:rsidR="007670F7" w:rsidRPr="009E4EB8" w14:paraId="50DD6E0D"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AD9CD94" w14:textId="77777777"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0B091FD" w14:textId="77777777" w:rsidR="007670F7" w:rsidRPr="009E4EB8" w:rsidRDefault="007670F7" w:rsidP="007670F7">
            <w:pPr>
              <w:rPr>
                <w:rFonts w:ascii="Arial Narrow" w:hAnsi="Arial Narrow"/>
                <w:i/>
                <w:sz w:val="20"/>
                <w:szCs w:val="20"/>
              </w:rPr>
            </w:pPr>
            <w:r w:rsidRPr="009E4EB8">
              <w:rPr>
                <w:rFonts w:ascii="Arial Narrow" w:hAnsi="Arial Narrow"/>
                <w:b/>
                <w:bCs/>
                <w:i/>
                <w:sz w:val="20"/>
                <w:szCs w:val="20"/>
              </w:rPr>
              <w:t>AND</w:t>
            </w:r>
          </w:p>
        </w:tc>
      </w:tr>
      <w:tr w:rsidR="007670F7" w:rsidRPr="009E4EB8" w14:paraId="621B280C"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59D3CC14" w14:textId="77777777"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2D48EF90" w14:textId="77777777" w:rsidR="007670F7" w:rsidRPr="009E4EB8" w:rsidRDefault="007670F7" w:rsidP="007670F7">
            <w:pPr>
              <w:rPr>
                <w:rFonts w:ascii="Arial Narrow" w:hAnsi="Arial Narrow"/>
                <w:b/>
                <w:bCs/>
                <w:i/>
                <w:sz w:val="20"/>
                <w:szCs w:val="20"/>
              </w:rPr>
            </w:pPr>
            <w:r w:rsidRPr="009E4EB8">
              <w:rPr>
                <w:rFonts w:ascii="Arial Narrow" w:hAnsi="Arial Narrow"/>
                <w:b/>
                <w:bCs/>
                <w:i/>
                <w:sz w:val="20"/>
                <w:szCs w:val="20"/>
              </w:rPr>
              <w:t>Clinical criteria:</w:t>
            </w:r>
          </w:p>
        </w:tc>
      </w:tr>
      <w:tr w:rsidR="007670F7" w:rsidRPr="009E4EB8" w14:paraId="41E4056F"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6DC522A" w14:textId="77777777"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0D48EE20" w14:textId="77777777" w:rsidR="007670F7" w:rsidRPr="009E4EB8" w:rsidRDefault="007670F7" w:rsidP="007670F7">
            <w:pPr>
              <w:rPr>
                <w:rFonts w:ascii="Arial Narrow" w:hAnsi="Arial Narrow"/>
                <w:bCs/>
                <w:i/>
                <w:sz w:val="20"/>
                <w:szCs w:val="20"/>
              </w:rPr>
            </w:pPr>
            <w:r w:rsidRPr="009E4EB8">
              <w:rPr>
                <w:rFonts w:ascii="Arial Narrow" w:hAnsi="Arial Narrow"/>
                <w:bCs/>
                <w:i/>
                <w:sz w:val="20"/>
                <w:szCs w:val="20"/>
              </w:rPr>
              <w:t>Patient must not have previously received this drug for this condition</w:t>
            </w:r>
          </w:p>
        </w:tc>
      </w:tr>
      <w:tr w:rsidR="007670F7" w:rsidRPr="009E4EB8" w14:paraId="4287A150"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3B15BEC" w14:textId="77777777"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26205C74" w14:textId="77777777" w:rsidR="007670F7" w:rsidRPr="009E4EB8" w:rsidRDefault="007670F7" w:rsidP="007670F7">
            <w:pPr>
              <w:rPr>
                <w:rFonts w:ascii="Arial Narrow" w:hAnsi="Arial Narrow"/>
                <w:b/>
                <w:bCs/>
                <w:sz w:val="20"/>
                <w:szCs w:val="20"/>
              </w:rPr>
            </w:pPr>
            <w:r w:rsidRPr="009E4EB8">
              <w:rPr>
                <w:rFonts w:ascii="Arial Narrow" w:hAnsi="Arial Narrow"/>
                <w:b/>
                <w:bCs/>
                <w:sz w:val="20"/>
                <w:szCs w:val="20"/>
              </w:rPr>
              <w:t>AND</w:t>
            </w:r>
          </w:p>
        </w:tc>
      </w:tr>
      <w:tr w:rsidR="007670F7" w:rsidRPr="009E4EB8" w14:paraId="3068B975"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844455D" w14:textId="77777777"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1E25EFAE" w14:textId="77777777" w:rsidR="007670F7" w:rsidRPr="009E4EB8" w:rsidRDefault="007670F7" w:rsidP="007670F7">
            <w:pPr>
              <w:rPr>
                <w:rFonts w:ascii="Arial Narrow" w:hAnsi="Arial Narrow"/>
                <w:b/>
                <w:bCs/>
                <w:sz w:val="20"/>
                <w:szCs w:val="20"/>
              </w:rPr>
            </w:pPr>
            <w:r w:rsidRPr="009E4EB8">
              <w:rPr>
                <w:rFonts w:ascii="Arial Narrow" w:hAnsi="Arial Narrow"/>
                <w:b/>
                <w:bCs/>
                <w:sz w:val="20"/>
                <w:szCs w:val="20"/>
              </w:rPr>
              <w:t>Clinical criteria:</w:t>
            </w:r>
          </w:p>
        </w:tc>
      </w:tr>
      <w:tr w:rsidR="007670F7" w:rsidRPr="009E4EB8" w14:paraId="62BE9202"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3C9F8FC7" w14:textId="38EB8845"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505B89B4" w14:textId="77777777" w:rsidR="007670F7" w:rsidRPr="009E4EB8" w:rsidRDefault="007670F7" w:rsidP="007670F7">
            <w:pPr>
              <w:rPr>
                <w:rFonts w:ascii="Arial Narrow" w:hAnsi="Arial Narrow"/>
                <w:bCs/>
                <w:sz w:val="20"/>
                <w:szCs w:val="20"/>
              </w:rPr>
            </w:pPr>
            <w:r w:rsidRPr="009E4EB8">
              <w:rPr>
                <w:rFonts w:ascii="Arial Narrow" w:hAnsi="Arial Narrow"/>
                <w:bCs/>
                <w:sz w:val="20"/>
                <w:szCs w:val="20"/>
              </w:rPr>
              <w:t xml:space="preserve">Patient </w:t>
            </w:r>
            <w:r w:rsidRPr="009E4EB8">
              <w:rPr>
                <w:rFonts w:ascii="Arial Narrow" w:hAnsi="Arial Narrow"/>
                <w:bCs/>
                <w:strike/>
                <w:sz w:val="20"/>
                <w:szCs w:val="20"/>
              </w:rPr>
              <w:t>is</w:t>
            </w:r>
            <w:r w:rsidRPr="009E4EB8">
              <w:rPr>
                <w:rFonts w:ascii="Arial Narrow" w:hAnsi="Arial Narrow"/>
                <w:bCs/>
                <w:sz w:val="20"/>
                <w:szCs w:val="20"/>
              </w:rPr>
              <w:t xml:space="preserve"> </w:t>
            </w:r>
            <w:r w:rsidRPr="009E4EB8">
              <w:rPr>
                <w:rFonts w:ascii="Arial Narrow" w:hAnsi="Arial Narrow"/>
                <w:bCs/>
                <w:i/>
                <w:sz w:val="20"/>
                <w:szCs w:val="20"/>
              </w:rPr>
              <w:t xml:space="preserve">must have demonstrated </w:t>
            </w:r>
            <w:r w:rsidRPr="009E4EB8">
              <w:rPr>
                <w:rFonts w:ascii="Arial Narrow" w:hAnsi="Arial Narrow"/>
                <w:bCs/>
                <w:sz w:val="20"/>
                <w:szCs w:val="20"/>
              </w:rPr>
              <w:t xml:space="preserve">refractory </w:t>
            </w:r>
            <w:r w:rsidRPr="009E4EB8">
              <w:rPr>
                <w:rFonts w:ascii="Arial Narrow" w:hAnsi="Arial Narrow"/>
                <w:bCs/>
                <w:i/>
                <w:sz w:val="20"/>
                <w:szCs w:val="20"/>
              </w:rPr>
              <w:t>disease</w:t>
            </w:r>
            <w:r w:rsidRPr="009E4EB8">
              <w:rPr>
                <w:rFonts w:ascii="Arial Narrow" w:hAnsi="Arial Narrow"/>
                <w:bCs/>
                <w:sz w:val="20"/>
                <w:szCs w:val="20"/>
              </w:rPr>
              <w:t xml:space="preserve"> to </w:t>
            </w:r>
            <w:r w:rsidRPr="009E4EB8">
              <w:rPr>
                <w:rFonts w:ascii="Arial Narrow" w:hAnsi="Arial Narrow"/>
                <w:bCs/>
                <w:i/>
                <w:sz w:val="20"/>
                <w:szCs w:val="20"/>
              </w:rPr>
              <w:t>the following</w:t>
            </w:r>
            <w:r w:rsidRPr="009E4EB8">
              <w:rPr>
                <w:rFonts w:ascii="Arial Narrow" w:hAnsi="Arial Narrow"/>
                <w:bCs/>
                <w:sz w:val="20"/>
                <w:szCs w:val="20"/>
              </w:rPr>
              <w:t xml:space="preserve"> prior treatments </w:t>
            </w:r>
            <w:r w:rsidRPr="009E4EB8">
              <w:rPr>
                <w:rFonts w:ascii="Arial Narrow" w:hAnsi="Arial Narrow"/>
                <w:bCs/>
                <w:i/>
                <w:sz w:val="20"/>
                <w:szCs w:val="20"/>
              </w:rPr>
              <w:t>for this condition,</w:t>
            </w:r>
            <w:r w:rsidRPr="009E4EB8">
              <w:rPr>
                <w:rFonts w:ascii="Arial Narrow" w:hAnsi="Arial Narrow"/>
                <w:bCs/>
                <w:sz w:val="20"/>
                <w:szCs w:val="20"/>
              </w:rPr>
              <w:t xml:space="preserve"> which must include: </w:t>
            </w:r>
            <w:r w:rsidRPr="009E4EB8">
              <w:rPr>
                <w:rFonts w:ascii="Arial Narrow" w:hAnsi="Arial Narrow"/>
                <w:bCs/>
                <w:i/>
                <w:sz w:val="20"/>
                <w:szCs w:val="20"/>
              </w:rPr>
              <w:t>(</w:t>
            </w:r>
            <w:proofErr w:type="spellStart"/>
            <w:r w:rsidRPr="009E4EB8">
              <w:rPr>
                <w:rFonts w:ascii="Arial Narrow" w:hAnsi="Arial Narrow"/>
                <w:bCs/>
                <w:i/>
                <w:sz w:val="20"/>
                <w:szCs w:val="20"/>
              </w:rPr>
              <w:t>i</w:t>
            </w:r>
            <w:proofErr w:type="spellEnd"/>
            <w:r w:rsidRPr="009E4EB8">
              <w:rPr>
                <w:rFonts w:ascii="Arial Narrow" w:hAnsi="Arial Narrow"/>
                <w:bCs/>
                <w:i/>
                <w:sz w:val="20"/>
                <w:szCs w:val="20"/>
              </w:rPr>
              <w:t>) a minimum</w:t>
            </w:r>
            <w:r w:rsidRPr="009E4EB8">
              <w:rPr>
                <w:rFonts w:ascii="Arial Narrow" w:hAnsi="Arial Narrow"/>
                <w:bCs/>
                <w:sz w:val="20"/>
                <w:szCs w:val="20"/>
              </w:rPr>
              <w:t xml:space="preserve"> </w:t>
            </w:r>
            <w:r w:rsidRPr="009E4EB8">
              <w:rPr>
                <w:rFonts w:ascii="Arial Narrow" w:hAnsi="Arial Narrow"/>
                <w:bCs/>
                <w:i/>
                <w:sz w:val="20"/>
                <w:szCs w:val="20"/>
              </w:rPr>
              <w:t xml:space="preserve">of </w:t>
            </w:r>
            <w:r w:rsidRPr="009E4EB8">
              <w:rPr>
                <w:rFonts w:ascii="Arial Narrow" w:hAnsi="Arial Narrow"/>
                <w:bCs/>
                <w:sz w:val="20"/>
                <w:szCs w:val="20"/>
              </w:rPr>
              <w:t>two proteasome inhibitors</w:t>
            </w:r>
            <w:r w:rsidRPr="009E4EB8">
              <w:rPr>
                <w:rFonts w:ascii="Arial Narrow" w:hAnsi="Arial Narrow"/>
                <w:bCs/>
                <w:i/>
                <w:sz w:val="20"/>
                <w:szCs w:val="20"/>
              </w:rPr>
              <w:t>; and (ii)</w:t>
            </w:r>
            <w:r w:rsidRPr="009E4EB8">
              <w:rPr>
                <w:rFonts w:ascii="Arial Narrow" w:hAnsi="Arial Narrow"/>
                <w:bCs/>
                <w:sz w:val="20"/>
                <w:szCs w:val="20"/>
              </w:rPr>
              <w:t xml:space="preserve"> </w:t>
            </w:r>
            <w:r w:rsidRPr="009E4EB8">
              <w:rPr>
                <w:rFonts w:ascii="Arial Narrow" w:hAnsi="Arial Narrow"/>
                <w:bCs/>
                <w:i/>
                <w:sz w:val="20"/>
                <w:szCs w:val="20"/>
              </w:rPr>
              <w:t>a minimum of</w:t>
            </w:r>
            <w:r w:rsidRPr="009E4EB8">
              <w:rPr>
                <w:rFonts w:ascii="Arial Narrow" w:hAnsi="Arial Narrow"/>
                <w:bCs/>
                <w:sz w:val="20"/>
                <w:szCs w:val="20"/>
              </w:rPr>
              <w:t xml:space="preserve"> two </w:t>
            </w:r>
            <w:proofErr w:type="spellStart"/>
            <w:r w:rsidRPr="009E4EB8">
              <w:rPr>
                <w:rFonts w:ascii="Arial Narrow" w:hAnsi="Arial Narrow"/>
                <w:bCs/>
                <w:sz w:val="20"/>
                <w:szCs w:val="20"/>
              </w:rPr>
              <w:t>immunomodulator</w:t>
            </w:r>
            <w:r w:rsidRPr="009E4EB8">
              <w:rPr>
                <w:rFonts w:ascii="Arial Narrow" w:hAnsi="Arial Narrow"/>
                <w:bCs/>
                <w:i/>
                <w:sz w:val="20"/>
                <w:szCs w:val="20"/>
              </w:rPr>
              <w:t>s</w:t>
            </w:r>
            <w:r w:rsidRPr="009E4EB8">
              <w:rPr>
                <w:rFonts w:ascii="Arial Narrow" w:hAnsi="Arial Narrow"/>
                <w:bCs/>
                <w:strike/>
                <w:sz w:val="20"/>
                <w:szCs w:val="20"/>
              </w:rPr>
              <w:t>y</w:t>
            </w:r>
            <w:proofErr w:type="spellEnd"/>
            <w:r w:rsidRPr="009E4EB8">
              <w:rPr>
                <w:rFonts w:ascii="Arial Narrow" w:hAnsi="Arial Narrow"/>
                <w:bCs/>
                <w:strike/>
                <w:sz w:val="20"/>
                <w:szCs w:val="20"/>
              </w:rPr>
              <w:t xml:space="preserve"> agents</w:t>
            </w:r>
            <w:r w:rsidRPr="009E4EB8">
              <w:rPr>
                <w:rFonts w:ascii="Arial Narrow" w:hAnsi="Arial Narrow"/>
                <w:bCs/>
                <w:i/>
                <w:sz w:val="20"/>
                <w:szCs w:val="20"/>
              </w:rPr>
              <w:t xml:space="preserve">; </w:t>
            </w:r>
            <w:r w:rsidRPr="009E4EB8">
              <w:rPr>
                <w:rFonts w:ascii="Arial Narrow" w:hAnsi="Arial Narrow"/>
                <w:bCs/>
                <w:sz w:val="20"/>
                <w:szCs w:val="20"/>
              </w:rPr>
              <w:t xml:space="preserve">and </w:t>
            </w:r>
            <w:r w:rsidRPr="009E4EB8">
              <w:rPr>
                <w:rFonts w:ascii="Arial Narrow" w:hAnsi="Arial Narrow"/>
                <w:bCs/>
                <w:i/>
                <w:sz w:val="20"/>
                <w:szCs w:val="20"/>
              </w:rPr>
              <w:t>(iii)</w:t>
            </w:r>
            <w:r w:rsidRPr="009E4EB8">
              <w:rPr>
                <w:rFonts w:ascii="Arial Narrow" w:hAnsi="Arial Narrow"/>
                <w:bCs/>
                <w:sz w:val="20"/>
                <w:szCs w:val="20"/>
              </w:rPr>
              <w:t xml:space="preserve"> an anti-CD38 monoclonal antibody</w:t>
            </w:r>
          </w:p>
        </w:tc>
      </w:tr>
      <w:tr w:rsidR="007670F7" w:rsidRPr="009E4EB8" w14:paraId="55B74BEC"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3F44BD7" w14:textId="77777777"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0E0E4D47"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AND</w:t>
            </w:r>
          </w:p>
        </w:tc>
      </w:tr>
      <w:tr w:rsidR="007670F7" w:rsidRPr="009E4EB8" w14:paraId="5F0C8943"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73E8803C" w14:textId="77777777"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98C8664" w14:textId="77777777" w:rsidR="007670F7" w:rsidRPr="009E4EB8" w:rsidRDefault="007670F7" w:rsidP="007670F7">
            <w:pPr>
              <w:spacing w:before="100" w:beforeAutospacing="1" w:after="100" w:afterAutospacing="1"/>
              <w:rPr>
                <w:rFonts w:ascii="Arial Narrow" w:hAnsi="Arial Narrow"/>
                <w:sz w:val="20"/>
                <w:szCs w:val="20"/>
              </w:rPr>
            </w:pPr>
            <w:r w:rsidRPr="009E4EB8">
              <w:rPr>
                <w:rFonts w:ascii="Arial Narrow" w:hAnsi="Arial Narrow"/>
                <w:b/>
                <w:bCs/>
                <w:sz w:val="20"/>
                <w:szCs w:val="20"/>
              </w:rPr>
              <w:t>Clinical criteria:</w:t>
            </w:r>
          </w:p>
        </w:tc>
      </w:tr>
      <w:tr w:rsidR="007670F7" w:rsidRPr="009E4EB8" w14:paraId="4C63B64D"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7EFAAE7F" w14:textId="3ED7A1E6"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72053233" w14:textId="36E3431D" w:rsidR="007670F7" w:rsidRPr="009E4EB8" w:rsidRDefault="007670F7" w:rsidP="007670F7">
            <w:pPr>
              <w:rPr>
                <w:rFonts w:ascii="Arial Narrow" w:hAnsi="Arial Narrow"/>
                <w:sz w:val="20"/>
                <w:szCs w:val="20"/>
              </w:rPr>
            </w:pPr>
            <w:r w:rsidRPr="009E4EB8">
              <w:rPr>
                <w:rFonts w:ascii="Arial Narrow" w:hAnsi="Arial Narrow"/>
                <w:sz w:val="20"/>
                <w:szCs w:val="20"/>
              </w:rPr>
              <w:t>Patient must not be receiving concomitant PBS-</w:t>
            </w:r>
            <w:r w:rsidRPr="009E4EB8">
              <w:rPr>
                <w:rFonts w:ascii="Arial Narrow" w:hAnsi="Arial Narrow"/>
                <w:i/>
                <w:sz w:val="20"/>
                <w:szCs w:val="20"/>
              </w:rPr>
              <w:t>subsidised treatment with any of the following: (</w:t>
            </w:r>
            <w:proofErr w:type="spellStart"/>
            <w:r w:rsidRPr="009E4EB8">
              <w:rPr>
                <w:rFonts w:ascii="Arial Narrow" w:hAnsi="Arial Narrow"/>
                <w:i/>
                <w:sz w:val="20"/>
                <w:szCs w:val="20"/>
              </w:rPr>
              <w:t>i</w:t>
            </w:r>
            <w:proofErr w:type="spellEnd"/>
            <w:r w:rsidRPr="009E4EB8">
              <w:rPr>
                <w:rFonts w:ascii="Arial Narrow" w:hAnsi="Arial Narrow"/>
                <w:i/>
                <w:sz w:val="20"/>
                <w:szCs w:val="20"/>
              </w:rPr>
              <w:t xml:space="preserve">) </w:t>
            </w:r>
            <w:r w:rsidRPr="009E4EB8">
              <w:rPr>
                <w:rFonts w:ascii="Arial Narrow" w:hAnsi="Arial Narrow"/>
                <w:bCs/>
                <w:i/>
                <w:sz w:val="20"/>
                <w:szCs w:val="20"/>
              </w:rPr>
              <w:t>proteasome inhibitors</w:t>
            </w:r>
            <w:r w:rsidRPr="009E4EB8">
              <w:rPr>
                <w:rFonts w:ascii="Arial Narrow" w:hAnsi="Arial Narrow"/>
                <w:i/>
                <w:sz w:val="20"/>
                <w:szCs w:val="20"/>
              </w:rPr>
              <w:t xml:space="preserve">, (ii) Immunomodulators, (iii) </w:t>
            </w:r>
            <w:r w:rsidRPr="009E4EB8">
              <w:rPr>
                <w:rFonts w:ascii="Arial Narrow" w:hAnsi="Arial Narrow"/>
                <w:bCs/>
                <w:i/>
                <w:sz w:val="20"/>
                <w:szCs w:val="20"/>
              </w:rPr>
              <w:t>anti-CD38 monoclonal antibody</w:t>
            </w:r>
            <w:r w:rsidRPr="009E4EB8" w:rsidDel="00782F28">
              <w:rPr>
                <w:rFonts w:ascii="Arial Narrow" w:hAnsi="Arial Narrow"/>
                <w:i/>
                <w:sz w:val="20"/>
                <w:szCs w:val="20"/>
              </w:rPr>
              <w:t xml:space="preserve"> </w:t>
            </w:r>
            <w:r w:rsidRPr="009E4EB8">
              <w:rPr>
                <w:rFonts w:ascii="Arial Narrow" w:hAnsi="Arial Narrow"/>
                <w:strike/>
                <w:sz w:val="20"/>
                <w:szCs w:val="20"/>
              </w:rPr>
              <w:t>bortezomib, carfilzomib, lenalidomide, thalidomide, pomalidomide or its analogues</w:t>
            </w:r>
          </w:p>
        </w:tc>
      </w:tr>
      <w:tr w:rsidR="007670F7" w:rsidRPr="009E4EB8" w14:paraId="364263B1"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285597D8" w14:textId="716ABE6E"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76AEF436"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Prescribing Instructions:</w:t>
            </w:r>
          </w:p>
          <w:p w14:paraId="30DBA50B"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Progressive disease is defined as at least 1 of the following:</w:t>
            </w:r>
          </w:p>
          <w:p w14:paraId="75576059"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(a) at least a 25% increase and an absolute increase of at least 5 g per L in serum M protein (monoclonal protein); or</w:t>
            </w:r>
          </w:p>
          <w:p w14:paraId="34182FDE"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(b) at least a 25% increase in 24-hour urinary light chain M protein excretion, and an absolute increase of at least 200 mg per 24 hours; or</w:t>
            </w:r>
          </w:p>
          <w:p w14:paraId="1EF1231B"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 xml:space="preserve">(c) in oligo-secretory and non-secretory myeloma patients only, at least a 50% increase in the difference between involved free light chain and uninvolved free light </w:t>
            </w:r>
            <w:proofErr w:type="gramStart"/>
            <w:r w:rsidRPr="009E4EB8">
              <w:rPr>
                <w:rFonts w:ascii="Arial Narrow" w:hAnsi="Arial Narrow"/>
                <w:sz w:val="20"/>
                <w:szCs w:val="20"/>
              </w:rPr>
              <w:t>chain;</w:t>
            </w:r>
            <w:proofErr w:type="gramEnd"/>
            <w:r w:rsidRPr="009E4EB8">
              <w:rPr>
                <w:rFonts w:ascii="Arial Narrow" w:hAnsi="Arial Narrow"/>
                <w:sz w:val="20"/>
                <w:szCs w:val="20"/>
              </w:rPr>
              <w:t xml:space="preserve"> or</w:t>
            </w:r>
          </w:p>
          <w:p w14:paraId="23DC72EA"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(d) at least a 25% relative increase and at least a 10% absolute increase in plasma cells in a bone marrow aspirate or on biopsy; or</w:t>
            </w:r>
          </w:p>
          <w:p w14:paraId="5B314602"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(e) an increase in the size or number of lytic bone lesions (not including compression fractures); or</w:t>
            </w:r>
          </w:p>
          <w:p w14:paraId="0C57B41D"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(f) at least a 25% increase in the size of an existing or the development of a new soft tissue plasmacytoma (determined by clinical examination or diagnostic imaging); or</w:t>
            </w:r>
          </w:p>
          <w:p w14:paraId="1BA579E7"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(g) development of hypercalcaemia (corrected serum calcium greater than 2.65 mmol per L not attributable to any other cause).</w:t>
            </w:r>
          </w:p>
        </w:tc>
      </w:tr>
      <w:tr w:rsidR="007670F7" w:rsidRPr="009E4EB8" w14:paraId="2D8B5B6F"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2BF74FCC" w14:textId="271885E9"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9BD1E6C"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Prescribing Instructions:</w:t>
            </w:r>
          </w:p>
          <w:p w14:paraId="774502DA"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Oligo-secretory and non-secretory patients are defined as having active disease with less than 10 g per L serum M protein.</w:t>
            </w:r>
          </w:p>
        </w:tc>
      </w:tr>
      <w:tr w:rsidR="007670F7" w:rsidRPr="009E4EB8" w14:paraId="69B6DD4C"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563F7D13" w14:textId="72D61089"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5CAE343E"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Prescribing Instructions:</w:t>
            </w:r>
          </w:p>
          <w:p w14:paraId="22170F68" w14:textId="77777777" w:rsidR="007670F7" w:rsidRPr="009E4EB8" w:rsidRDefault="007670F7" w:rsidP="007670F7">
            <w:pPr>
              <w:rPr>
                <w:rFonts w:ascii="Arial Narrow" w:hAnsi="Arial Narrow"/>
                <w:bCs/>
                <w:sz w:val="20"/>
                <w:szCs w:val="20"/>
              </w:rPr>
            </w:pPr>
            <w:r w:rsidRPr="009E4EB8">
              <w:rPr>
                <w:rFonts w:ascii="Arial Narrow" w:hAnsi="Arial Narrow"/>
                <w:bCs/>
                <w:sz w:val="20"/>
                <w:szCs w:val="20"/>
              </w:rPr>
              <w:t>Refractory disease is defined as ≤25% response to therapy or progression during or within 60 days after completion of therapy</w:t>
            </w:r>
          </w:p>
        </w:tc>
      </w:tr>
      <w:tr w:rsidR="007670F7" w:rsidRPr="009E4EB8" w14:paraId="52F078B2"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2754A89E" w14:textId="19455042" w:rsidR="007670F7" w:rsidRPr="009E4EB8" w:rsidRDefault="007670F7" w:rsidP="007670F7">
            <w:pPr>
              <w:spacing w:before="100" w:beforeAutospacing="1" w:after="100" w:afterAutospacing="1"/>
              <w:jc w:val="center"/>
              <w:rPr>
                <w:rFonts w:ascii="Arial Narrow" w:hAnsi="Arial Narrow"/>
                <w:strike/>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75D58079"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Prescribing Instructions:</w:t>
            </w:r>
          </w:p>
          <w:p w14:paraId="1AAEA250"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A line of therapy is defined as 1 or more cycles of a planned treatment program. This may consist of 1 or more planned cycles of single-agent therapy or combination therapy, as well as a sequence of treatments administered in a planned manner.</w:t>
            </w:r>
          </w:p>
          <w:p w14:paraId="38959062" w14:textId="77777777" w:rsidR="007670F7" w:rsidRPr="009E4EB8" w:rsidRDefault="007670F7" w:rsidP="007670F7">
            <w:pPr>
              <w:rPr>
                <w:rFonts w:ascii="Arial Narrow" w:hAnsi="Arial Narrow"/>
                <w:sz w:val="20"/>
                <w:szCs w:val="20"/>
              </w:rPr>
            </w:pPr>
          </w:p>
          <w:p w14:paraId="5CD0D7B7" w14:textId="77777777" w:rsidR="007670F7" w:rsidRPr="009E4EB8" w:rsidRDefault="007670F7" w:rsidP="007670F7">
            <w:pPr>
              <w:rPr>
                <w:rFonts w:ascii="Arial Narrow" w:hAnsi="Arial Narrow"/>
                <w:strike/>
                <w:sz w:val="20"/>
                <w:szCs w:val="20"/>
              </w:rPr>
            </w:pPr>
            <w:r w:rsidRPr="009E4EB8">
              <w:rPr>
                <w:rFonts w:ascii="Arial Narrow" w:hAnsi="Arial Narrow"/>
                <w:sz w:val="20"/>
                <w:szCs w:val="20"/>
              </w:rPr>
              <w:t xml:space="preserve">A new line of therapy starts when a planned course of therapy is modified to include other treatment agents (alone or in combination) </w:t>
            </w:r>
            <w:proofErr w:type="gramStart"/>
            <w:r w:rsidRPr="009E4EB8">
              <w:rPr>
                <w:rFonts w:ascii="Arial Narrow" w:hAnsi="Arial Narrow"/>
                <w:sz w:val="20"/>
                <w:szCs w:val="20"/>
              </w:rPr>
              <w:t>as a result of</w:t>
            </w:r>
            <w:proofErr w:type="gramEnd"/>
            <w:r w:rsidRPr="009E4EB8">
              <w:rPr>
                <w:rFonts w:ascii="Arial Narrow" w:hAnsi="Arial Narrow"/>
                <w:sz w:val="20"/>
                <w:szCs w:val="20"/>
              </w:rPr>
              <w:t xml:space="preserve">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r>
      <w:tr w:rsidR="007670F7" w:rsidRPr="009E4EB8" w14:paraId="25051BA4" w14:textId="77777777" w:rsidTr="007670F7">
        <w:tc>
          <w:tcPr>
            <w:tcW w:w="1418" w:type="dxa"/>
            <w:gridSpan w:val="2"/>
            <w:vAlign w:val="center"/>
          </w:tcPr>
          <w:p w14:paraId="6E53301C" w14:textId="1324AA74" w:rsidR="007670F7" w:rsidRPr="009E4EB8" w:rsidRDefault="007670F7" w:rsidP="007670F7">
            <w:pPr>
              <w:jc w:val="center"/>
              <w:rPr>
                <w:rFonts w:ascii="Arial Narrow" w:hAnsi="Arial Narrow"/>
                <w:i/>
                <w:sz w:val="20"/>
                <w:szCs w:val="20"/>
              </w:rPr>
            </w:pPr>
          </w:p>
        </w:tc>
        <w:tc>
          <w:tcPr>
            <w:tcW w:w="7654" w:type="dxa"/>
            <w:vAlign w:val="center"/>
          </w:tcPr>
          <w:p w14:paraId="08698E26" w14:textId="77777777" w:rsidR="007670F7" w:rsidRPr="009E4EB8" w:rsidRDefault="007670F7" w:rsidP="007670F7">
            <w:pPr>
              <w:pStyle w:val="NormalWeb"/>
              <w:spacing w:before="0" w:after="0"/>
              <w:rPr>
                <w:rFonts w:ascii="Arial Narrow" w:hAnsi="Arial Narrow"/>
                <w:i/>
                <w:sz w:val="20"/>
                <w:szCs w:val="20"/>
                <w:lang w:val="en-AU"/>
              </w:rPr>
            </w:pPr>
            <w:r w:rsidRPr="009E4EB8">
              <w:rPr>
                <w:rStyle w:val="Strong"/>
                <w:rFonts w:ascii="Arial Narrow" w:hAnsi="Arial Narrow"/>
                <w:i/>
                <w:sz w:val="20"/>
                <w:szCs w:val="20"/>
                <w:lang w:val="en-AU"/>
              </w:rPr>
              <w:t>Administrative Advice:</w:t>
            </w:r>
          </w:p>
          <w:p w14:paraId="547EF18A" w14:textId="77777777" w:rsidR="007670F7" w:rsidRPr="009E4EB8" w:rsidRDefault="007670F7" w:rsidP="007670F7">
            <w:pPr>
              <w:rPr>
                <w:rFonts w:ascii="Arial Narrow" w:hAnsi="Arial Narrow"/>
                <w:bCs/>
                <w:i/>
                <w:sz w:val="20"/>
                <w:szCs w:val="20"/>
              </w:rPr>
            </w:pPr>
            <w:r w:rsidRPr="009E4EB8">
              <w:rPr>
                <w:rFonts w:ascii="Arial Narrow" w:hAnsi="Arial Narrow"/>
                <w:bCs/>
                <w:i/>
                <w:sz w:val="20"/>
                <w:szCs w:val="20"/>
              </w:rPr>
              <w:lastRenderedPageBreak/>
              <w:t>Applications for authorisation under this restriction may be made in real time using the Online PBS Authorities system (see www.servicesaustralia.gov.au/HPOS) or by telephone by contacting Services Australia on 1800 888 333.</w:t>
            </w:r>
          </w:p>
        </w:tc>
      </w:tr>
      <w:tr w:rsidR="007670F7" w:rsidRPr="009E4EB8" w14:paraId="226C0E83" w14:textId="77777777" w:rsidTr="007670F7">
        <w:tc>
          <w:tcPr>
            <w:tcW w:w="1418" w:type="dxa"/>
            <w:gridSpan w:val="2"/>
          </w:tcPr>
          <w:p w14:paraId="50023A9E" w14:textId="00ABD9A5" w:rsidR="007670F7" w:rsidRPr="009E4EB8" w:rsidRDefault="007670F7" w:rsidP="007670F7">
            <w:pPr>
              <w:jc w:val="center"/>
              <w:rPr>
                <w:rFonts w:ascii="Arial Narrow" w:hAnsi="Arial Narrow"/>
                <w:i/>
                <w:sz w:val="20"/>
                <w:szCs w:val="20"/>
              </w:rPr>
            </w:pPr>
          </w:p>
        </w:tc>
        <w:tc>
          <w:tcPr>
            <w:tcW w:w="7654" w:type="dxa"/>
          </w:tcPr>
          <w:p w14:paraId="008FA9A7" w14:textId="2B28B6D0" w:rsidR="007670F7" w:rsidRPr="009E4EB8" w:rsidRDefault="007670F7" w:rsidP="00B17EAA">
            <w:pPr>
              <w:pStyle w:val="NormalWeb"/>
              <w:spacing w:before="0" w:after="0"/>
              <w:rPr>
                <w:rStyle w:val="Strong"/>
                <w:rFonts w:ascii="Arial Narrow" w:hAnsi="Arial Narrow"/>
                <w:i/>
                <w:sz w:val="20"/>
                <w:szCs w:val="20"/>
                <w:lang w:val="en-AU"/>
              </w:rPr>
            </w:pPr>
            <w:r w:rsidRPr="009E4EB8">
              <w:rPr>
                <w:rFonts w:ascii="Arial Narrow" w:hAnsi="Arial Narrow" w:cstheme="minorHAnsi"/>
                <w:b/>
                <w:i/>
                <w:sz w:val="20"/>
                <w:szCs w:val="20"/>
                <w:lang w:val="en-AU"/>
              </w:rPr>
              <w:t xml:space="preserve">Caution: </w:t>
            </w:r>
            <w:r w:rsidRPr="009E4EB8">
              <w:rPr>
                <w:rFonts w:ascii="Arial Narrow" w:hAnsi="Arial Narrow" w:cstheme="minorHAnsi"/>
                <w:i/>
                <w:sz w:val="20"/>
                <w:szCs w:val="20"/>
                <w:lang w:val="en-AU"/>
              </w:rPr>
              <w:t xml:space="preserve">This drug is a category </w:t>
            </w:r>
            <w:r w:rsidR="00B17EAA" w:rsidRPr="009E4EB8">
              <w:rPr>
                <w:rFonts w:ascii="Arial Narrow" w:hAnsi="Arial Narrow" w:cstheme="minorHAnsi"/>
                <w:i/>
                <w:sz w:val="20"/>
                <w:szCs w:val="20"/>
                <w:lang w:val="en-AU"/>
              </w:rPr>
              <w:t>D</w:t>
            </w:r>
            <w:r w:rsidRPr="009E4EB8">
              <w:rPr>
                <w:rFonts w:ascii="Arial Narrow" w:hAnsi="Arial Narrow" w:cstheme="minorHAnsi"/>
                <w:i/>
                <w:sz w:val="20"/>
                <w:szCs w:val="20"/>
                <w:lang w:val="en-AU"/>
              </w:rPr>
              <w:t xml:space="preserve"> drug and must not be given to pregnant women. If selinexor is taken during pregnancy, a teratogenic effect of selinexor in humans cannot be ruled out.</w:t>
            </w:r>
          </w:p>
        </w:tc>
      </w:tr>
      <w:tr w:rsidR="007670F7" w:rsidRPr="009E4EB8" w14:paraId="044289B4" w14:textId="77777777" w:rsidTr="007670F7">
        <w:tc>
          <w:tcPr>
            <w:tcW w:w="9072" w:type="dxa"/>
            <w:gridSpan w:val="3"/>
            <w:vAlign w:val="center"/>
          </w:tcPr>
          <w:p w14:paraId="26757CD4" w14:textId="77777777" w:rsidR="007670F7" w:rsidRPr="009E4EB8" w:rsidRDefault="007670F7" w:rsidP="007670F7">
            <w:pPr>
              <w:rPr>
                <w:rFonts w:ascii="Arial Narrow" w:hAnsi="Arial Narrow"/>
                <w:bCs/>
                <w:sz w:val="20"/>
                <w:szCs w:val="20"/>
              </w:rPr>
            </w:pPr>
          </w:p>
        </w:tc>
      </w:tr>
      <w:tr w:rsidR="007670F7" w:rsidRPr="009E4EB8" w14:paraId="09FF5935" w14:textId="77777777" w:rsidTr="007670F7">
        <w:tc>
          <w:tcPr>
            <w:tcW w:w="9072" w:type="dxa"/>
            <w:gridSpan w:val="3"/>
            <w:vAlign w:val="center"/>
          </w:tcPr>
          <w:p w14:paraId="07A96E76" w14:textId="77777777" w:rsidR="007670F7" w:rsidRPr="009E4EB8" w:rsidRDefault="007670F7" w:rsidP="007670F7">
            <w:pPr>
              <w:rPr>
                <w:rFonts w:ascii="Arial Narrow" w:hAnsi="Arial Narrow"/>
                <w:b/>
                <w:bCs/>
                <w:sz w:val="20"/>
                <w:szCs w:val="20"/>
              </w:rPr>
            </w:pPr>
            <w:r w:rsidRPr="009E4EB8">
              <w:rPr>
                <w:rFonts w:ascii="Arial Narrow" w:hAnsi="Arial Narrow"/>
                <w:b/>
                <w:bCs/>
                <w:sz w:val="20"/>
                <w:szCs w:val="20"/>
              </w:rPr>
              <w:t>Restriction Summary [new] / Treatment of Concept: [new]</w:t>
            </w:r>
          </w:p>
        </w:tc>
      </w:tr>
      <w:tr w:rsidR="007670F7" w:rsidRPr="009E4EB8" w14:paraId="738D95AB" w14:textId="77777777" w:rsidTr="007670F7">
        <w:tc>
          <w:tcPr>
            <w:tcW w:w="1418" w:type="dxa"/>
            <w:gridSpan w:val="2"/>
            <w:vMerge w:val="restart"/>
            <w:tcBorders>
              <w:top w:val="single" w:sz="4" w:space="0" w:color="auto"/>
              <w:left w:val="single" w:sz="4" w:space="0" w:color="auto"/>
              <w:right w:val="single" w:sz="4" w:space="0" w:color="auto"/>
            </w:tcBorders>
          </w:tcPr>
          <w:p w14:paraId="4990833F" w14:textId="77777777" w:rsidR="007670F7" w:rsidRPr="009E4EB8" w:rsidRDefault="007670F7" w:rsidP="007670F7">
            <w:pPr>
              <w:rPr>
                <w:rFonts w:ascii="Arial Narrow" w:hAnsi="Arial Narrow"/>
                <w:b/>
                <w:sz w:val="20"/>
                <w:szCs w:val="20"/>
              </w:rPr>
            </w:pPr>
          </w:p>
        </w:tc>
        <w:tc>
          <w:tcPr>
            <w:tcW w:w="7654" w:type="dxa"/>
            <w:tcBorders>
              <w:top w:val="single" w:sz="4" w:space="0" w:color="auto"/>
              <w:left w:val="single" w:sz="4" w:space="0" w:color="auto"/>
              <w:bottom w:val="single" w:sz="4" w:space="0" w:color="auto"/>
              <w:right w:val="single" w:sz="4" w:space="0" w:color="auto"/>
            </w:tcBorders>
          </w:tcPr>
          <w:p w14:paraId="4807EFF6" w14:textId="77777777" w:rsidR="007670F7" w:rsidRPr="009E4EB8" w:rsidRDefault="007670F7" w:rsidP="007670F7">
            <w:pPr>
              <w:rPr>
                <w:rFonts w:ascii="Arial Narrow" w:hAnsi="Arial Narrow"/>
                <w:sz w:val="20"/>
                <w:szCs w:val="20"/>
              </w:rPr>
            </w:pPr>
            <w:r w:rsidRPr="009E4EB8">
              <w:rPr>
                <w:rFonts w:ascii="Arial Narrow" w:hAnsi="Arial Narrow"/>
                <w:b/>
                <w:sz w:val="20"/>
                <w:szCs w:val="20"/>
              </w:rPr>
              <w:t xml:space="preserve">Category / Program:   </w:t>
            </w:r>
            <w:r w:rsidRPr="009E4EB8">
              <w:rPr>
                <w:rFonts w:ascii="Arial Narrow" w:hAnsi="Arial Narrow"/>
                <w:sz w:val="20"/>
                <w:szCs w:val="20"/>
              </w:rPr>
              <w:t>Section 100 – Highly Specialised Drugs Program</w:t>
            </w:r>
          </w:p>
        </w:tc>
      </w:tr>
      <w:tr w:rsidR="007670F7" w:rsidRPr="009E4EB8" w14:paraId="0A382588" w14:textId="77777777" w:rsidTr="007670F7">
        <w:trPr>
          <w:trHeight w:val="240"/>
        </w:trPr>
        <w:tc>
          <w:tcPr>
            <w:tcW w:w="1418" w:type="dxa"/>
            <w:gridSpan w:val="2"/>
            <w:vMerge/>
            <w:tcBorders>
              <w:left w:val="single" w:sz="4" w:space="0" w:color="auto"/>
              <w:right w:val="single" w:sz="4" w:space="0" w:color="auto"/>
            </w:tcBorders>
          </w:tcPr>
          <w:p w14:paraId="19B3B124" w14:textId="77777777" w:rsidR="007670F7" w:rsidRPr="009E4EB8" w:rsidRDefault="007670F7" w:rsidP="007670F7">
            <w:pP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tcPr>
          <w:p w14:paraId="1D9F7AD6" w14:textId="77777777" w:rsidR="007670F7" w:rsidRPr="009E4EB8" w:rsidRDefault="007670F7" w:rsidP="007670F7">
            <w:pPr>
              <w:rPr>
                <w:rFonts w:ascii="Arial Narrow" w:hAnsi="Arial Narrow"/>
                <w:b/>
                <w:sz w:val="20"/>
                <w:szCs w:val="20"/>
              </w:rPr>
            </w:pPr>
            <w:r w:rsidRPr="009E4EB8">
              <w:rPr>
                <w:rFonts w:ascii="Arial Narrow" w:hAnsi="Arial Narrow"/>
                <w:b/>
                <w:sz w:val="20"/>
                <w:szCs w:val="20"/>
              </w:rPr>
              <w:t xml:space="preserve">Prescriber type: </w:t>
            </w:r>
            <w:r w:rsidRPr="009E4EB8">
              <w:rPr>
                <w:rFonts w:ascii="Arial Narrow" w:hAnsi="Arial Narrow"/>
                <w:sz w:val="20"/>
                <w:szCs w:val="20"/>
              </w:rPr>
              <w:fldChar w:fldCharType="begin">
                <w:ffData>
                  <w:name w:val=""/>
                  <w:enabled/>
                  <w:calcOnExit w:val="0"/>
                  <w:checkBox>
                    <w:sizeAuto/>
                    <w:default w:val="1"/>
                  </w:checkBox>
                </w:ffData>
              </w:fldChar>
            </w:r>
            <w:r w:rsidRPr="009E4EB8">
              <w:rPr>
                <w:rFonts w:ascii="Arial Narrow" w:hAnsi="Arial Narrow"/>
                <w:sz w:val="20"/>
                <w:szCs w:val="20"/>
              </w:rPr>
              <w:instrText xml:space="preserve"> FORMCHECKBOX </w:instrText>
            </w:r>
            <w:r w:rsidR="00964E38">
              <w:rPr>
                <w:rFonts w:ascii="Arial Narrow" w:hAnsi="Arial Narrow"/>
                <w:sz w:val="20"/>
                <w:szCs w:val="20"/>
              </w:rPr>
            </w:r>
            <w:r w:rsidR="00964E38">
              <w:rPr>
                <w:rFonts w:ascii="Arial Narrow" w:hAnsi="Arial Narrow"/>
                <w:sz w:val="20"/>
                <w:szCs w:val="20"/>
              </w:rPr>
              <w:fldChar w:fldCharType="separate"/>
            </w:r>
            <w:r w:rsidRPr="009E4EB8">
              <w:rPr>
                <w:rFonts w:ascii="Arial Narrow" w:hAnsi="Arial Narrow"/>
                <w:sz w:val="20"/>
                <w:szCs w:val="20"/>
              </w:rPr>
              <w:fldChar w:fldCharType="end"/>
            </w:r>
            <w:r w:rsidRPr="009E4EB8">
              <w:rPr>
                <w:rFonts w:ascii="Arial Narrow" w:hAnsi="Arial Narrow"/>
                <w:sz w:val="20"/>
                <w:szCs w:val="20"/>
              </w:rPr>
              <w:t>Medical Practitioners</w:t>
            </w:r>
          </w:p>
        </w:tc>
      </w:tr>
      <w:tr w:rsidR="007670F7" w:rsidRPr="009E4EB8" w14:paraId="3E777AF8" w14:textId="77777777" w:rsidTr="007670F7">
        <w:trPr>
          <w:trHeight w:val="439"/>
        </w:trPr>
        <w:tc>
          <w:tcPr>
            <w:tcW w:w="1418" w:type="dxa"/>
            <w:gridSpan w:val="2"/>
            <w:vMerge/>
            <w:tcBorders>
              <w:left w:val="single" w:sz="4" w:space="0" w:color="auto"/>
              <w:bottom w:val="single" w:sz="4" w:space="0" w:color="auto"/>
              <w:right w:val="single" w:sz="4" w:space="0" w:color="auto"/>
            </w:tcBorders>
          </w:tcPr>
          <w:p w14:paraId="27049851" w14:textId="77777777" w:rsidR="007670F7" w:rsidRPr="009E4EB8" w:rsidRDefault="007670F7" w:rsidP="007670F7">
            <w:pP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tcPr>
          <w:p w14:paraId="765420F5" w14:textId="77777777" w:rsidR="007670F7" w:rsidRPr="009E4EB8" w:rsidRDefault="007670F7" w:rsidP="007670F7">
            <w:pPr>
              <w:rPr>
                <w:rFonts w:ascii="Arial Narrow" w:hAnsi="Arial Narrow" w:cstheme="minorHAnsi"/>
                <w:b/>
                <w:sz w:val="20"/>
                <w:szCs w:val="20"/>
              </w:rPr>
            </w:pPr>
            <w:r w:rsidRPr="009E4EB8">
              <w:rPr>
                <w:rFonts w:ascii="Arial Narrow" w:hAnsi="Arial Narrow" w:cstheme="minorHAnsi"/>
                <w:b/>
                <w:sz w:val="20"/>
                <w:szCs w:val="20"/>
              </w:rPr>
              <w:t>Restriction type:</w:t>
            </w:r>
          </w:p>
          <w:p w14:paraId="1481466D" w14:textId="77777777" w:rsidR="007670F7" w:rsidRPr="009E4EB8" w:rsidRDefault="007670F7" w:rsidP="007670F7">
            <w:pPr>
              <w:rPr>
                <w:rFonts w:ascii="Arial Narrow" w:eastAsia="Calibri" w:hAnsi="Arial Narrow"/>
                <w:sz w:val="20"/>
                <w:szCs w:val="20"/>
              </w:rPr>
            </w:pPr>
            <w:r w:rsidRPr="009E4EB8">
              <w:rPr>
                <w:rFonts w:ascii="Arial Narrow" w:hAnsi="Arial Narrow"/>
                <w:bCs/>
                <w:sz w:val="20"/>
                <w:szCs w:val="20"/>
              </w:rPr>
              <w:fldChar w:fldCharType="begin">
                <w:ffData>
                  <w:name w:val="Check3"/>
                  <w:enabled/>
                  <w:calcOnExit w:val="0"/>
                  <w:checkBox>
                    <w:sizeAuto/>
                    <w:default w:val="1"/>
                  </w:checkBox>
                </w:ffData>
              </w:fldChar>
            </w:r>
            <w:r w:rsidRPr="009E4EB8">
              <w:rPr>
                <w:rFonts w:ascii="Arial Narrow" w:hAnsi="Arial Narrow"/>
                <w:bCs/>
                <w:sz w:val="20"/>
                <w:szCs w:val="20"/>
              </w:rPr>
              <w:instrText xml:space="preserve"> FORMCHECKBOX </w:instrText>
            </w:r>
            <w:r w:rsidR="00964E38">
              <w:rPr>
                <w:rFonts w:ascii="Arial Narrow" w:hAnsi="Arial Narrow"/>
                <w:bCs/>
                <w:sz w:val="20"/>
                <w:szCs w:val="20"/>
              </w:rPr>
            </w:r>
            <w:r w:rsidR="00964E38">
              <w:rPr>
                <w:rFonts w:ascii="Arial Narrow" w:hAnsi="Arial Narrow"/>
                <w:bCs/>
                <w:sz w:val="20"/>
                <w:szCs w:val="20"/>
              </w:rPr>
              <w:fldChar w:fldCharType="separate"/>
            </w:r>
            <w:r w:rsidRPr="009E4EB8">
              <w:rPr>
                <w:rFonts w:ascii="Arial Narrow" w:hAnsi="Arial Narrow"/>
                <w:bCs/>
                <w:sz w:val="20"/>
                <w:szCs w:val="20"/>
              </w:rPr>
              <w:fldChar w:fldCharType="end"/>
            </w:r>
            <w:r w:rsidRPr="009E4EB8">
              <w:rPr>
                <w:rFonts w:ascii="Arial Narrow" w:hAnsi="Arial Narrow"/>
                <w:bCs/>
                <w:sz w:val="20"/>
                <w:szCs w:val="20"/>
              </w:rPr>
              <w:t xml:space="preserve"> </w:t>
            </w:r>
            <w:r w:rsidRPr="009E4EB8">
              <w:rPr>
                <w:rFonts w:ascii="Arial Narrow" w:hAnsi="Arial Narrow" w:cstheme="minorHAnsi"/>
                <w:sz w:val="20"/>
                <w:szCs w:val="20"/>
              </w:rPr>
              <w:t>Authority Required – immediate/real-time assessment by Services Australia (telephone/electronic)</w:t>
            </w:r>
          </w:p>
        </w:tc>
      </w:tr>
      <w:tr w:rsidR="007670F7" w:rsidRPr="009E4EB8" w14:paraId="17B2B185" w14:textId="77777777" w:rsidTr="007670F7">
        <w:tc>
          <w:tcPr>
            <w:tcW w:w="1418" w:type="dxa"/>
            <w:gridSpan w:val="2"/>
            <w:vAlign w:val="center"/>
          </w:tcPr>
          <w:p w14:paraId="08B55EDA" w14:textId="77777777" w:rsidR="007670F7" w:rsidRPr="009E4EB8" w:rsidRDefault="007670F7" w:rsidP="007670F7">
            <w:pPr>
              <w:jc w:val="center"/>
              <w:rPr>
                <w:rFonts w:ascii="Arial Narrow" w:hAnsi="Arial Narrow"/>
                <w:sz w:val="20"/>
                <w:szCs w:val="20"/>
              </w:rPr>
            </w:pPr>
          </w:p>
        </w:tc>
        <w:tc>
          <w:tcPr>
            <w:tcW w:w="7654" w:type="dxa"/>
          </w:tcPr>
          <w:p w14:paraId="3104941C" w14:textId="77777777" w:rsidR="007670F7" w:rsidRPr="009E4EB8" w:rsidRDefault="007670F7" w:rsidP="007670F7">
            <w:pPr>
              <w:rPr>
                <w:rFonts w:ascii="Arial Narrow" w:hAnsi="Arial Narrow"/>
                <w:b/>
                <w:bCs/>
                <w:sz w:val="20"/>
                <w:szCs w:val="20"/>
              </w:rPr>
            </w:pPr>
            <w:proofErr w:type="spellStart"/>
            <w:r w:rsidRPr="009E4EB8">
              <w:rPr>
                <w:rFonts w:ascii="Arial Narrow" w:hAnsi="Arial Narrow" w:cstheme="minorHAnsi"/>
                <w:b/>
                <w:i/>
                <w:sz w:val="20"/>
                <w:szCs w:val="20"/>
              </w:rPr>
              <w:t>Episodicity</w:t>
            </w:r>
            <w:proofErr w:type="spellEnd"/>
            <w:r w:rsidRPr="009E4EB8">
              <w:rPr>
                <w:rFonts w:ascii="Arial Narrow" w:hAnsi="Arial Narrow" w:cstheme="minorHAnsi"/>
                <w:b/>
                <w:i/>
                <w:sz w:val="20"/>
                <w:szCs w:val="20"/>
              </w:rPr>
              <w:t xml:space="preserve">: </w:t>
            </w:r>
            <w:r w:rsidRPr="009E4EB8">
              <w:rPr>
                <w:rFonts w:ascii="Arial Narrow" w:hAnsi="Arial Narrow" w:cstheme="minorHAnsi"/>
                <w:i/>
                <w:sz w:val="20"/>
                <w:szCs w:val="20"/>
              </w:rPr>
              <w:t>Relapsed and/or refractory</w:t>
            </w:r>
          </w:p>
        </w:tc>
      </w:tr>
      <w:tr w:rsidR="007670F7" w:rsidRPr="009E4EB8" w14:paraId="57532122" w14:textId="77777777" w:rsidTr="007670F7">
        <w:tc>
          <w:tcPr>
            <w:tcW w:w="1418" w:type="dxa"/>
            <w:gridSpan w:val="2"/>
            <w:vAlign w:val="center"/>
          </w:tcPr>
          <w:p w14:paraId="3D50E966" w14:textId="77777777" w:rsidR="007670F7" w:rsidRPr="009E4EB8" w:rsidRDefault="007670F7" w:rsidP="007670F7">
            <w:pPr>
              <w:jc w:val="center"/>
              <w:rPr>
                <w:rFonts w:ascii="Arial Narrow" w:hAnsi="Arial Narrow"/>
                <w:sz w:val="20"/>
                <w:szCs w:val="20"/>
              </w:rPr>
            </w:pPr>
          </w:p>
        </w:tc>
        <w:tc>
          <w:tcPr>
            <w:tcW w:w="7654" w:type="dxa"/>
          </w:tcPr>
          <w:p w14:paraId="6416BCBA" w14:textId="77777777" w:rsidR="007670F7" w:rsidRPr="009E4EB8" w:rsidRDefault="007670F7" w:rsidP="007670F7">
            <w:pPr>
              <w:rPr>
                <w:rFonts w:ascii="Arial Narrow" w:hAnsi="Arial Narrow"/>
                <w:b/>
                <w:bCs/>
                <w:sz w:val="20"/>
                <w:szCs w:val="20"/>
              </w:rPr>
            </w:pPr>
            <w:r w:rsidRPr="009E4EB8">
              <w:rPr>
                <w:rFonts w:ascii="Arial Narrow" w:hAnsi="Arial Narrow" w:cstheme="minorHAnsi"/>
                <w:b/>
                <w:i/>
                <w:sz w:val="20"/>
                <w:szCs w:val="20"/>
              </w:rPr>
              <w:t xml:space="preserve">Severity: </w:t>
            </w:r>
            <w:r w:rsidRPr="009E4EB8">
              <w:rPr>
                <w:rFonts w:ascii="Arial Narrow" w:hAnsi="Arial Narrow" w:cstheme="minorHAnsi"/>
                <w:i/>
                <w:sz w:val="20"/>
                <w:szCs w:val="20"/>
              </w:rPr>
              <w:t>[blank]</w:t>
            </w:r>
          </w:p>
        </w:tc>
      </w:tr>
      <w:tr w:rsidR="007670F7" w:rsidRPr="009E4EB8" w14:paraId="0CDD49AE" w14:textId="77777777" w:rsidTr="007670F7">
        <w:tc>
          <w:tcPr>
            <w:tcW w:w="1418" w:type="dxa"/>
            <w:gridSpan w:val="2"/>
            <w:vAlign w:val="center"/>
          </w:tcPr>
          <w:p w14:paraId="2B2AEEF8" w14:textId="77777777" w:rsidR="007670F7" w:rsidRPr="009E4EB8" w:rsidRDefault="007670F7" w:rsidP="007670F7">
            <w:pPr>
              <w:jc w:val="center"/>
              <w:rPr>
                <w:rFonts w:ascii="Arial Narrow" w:hAnsi="Arial Narrow"/>
                <w:sz w:val="20"/>
                <w:szCs w:val="20"/>
              </w:rPr>
            </w:pPr>
          </w:p>
        </w:tc>
        <w:tc>
          <w:tcPr>
            <w:tcW w:w="7654" w:type="dxa"/>
          </w:tcPr>
          <w:p w14:paraId="291E5CDD" w14:textId="77777777" w:rsidR="007670F7" w:rsidRPr="009E4EB8" w:rsidRDefault="007670F7" w:rsidP="007670F7">
            <w:pPr>
              <w:rPr>
                <w:rFonts w:ascii="Arial Narrow" w:hAnsi="Arial Narrow"/>
                <w:b/>
                <w:bCs/>
                <w:i/>
                <w:sz w:val="20"/>
                <w:szCs w:val="20"/>
              </w:rPr>
            </w:pPr>
            <w:r w:rsidRPr="009E4EB8">
              <w:rPr>
                <w:rFonts w:ascii="Arial Narrow" w:hAnsi="Arial Narrow" w:cstheme="minorHAnsi"/>
                <w:b/>
                <w:i/>
                <w:sz w:val="20"/>
                <w:szCs w:val="20"/>
              </w:rPr>
              <w:t xml:space="preserve">Condition: </w:t>
            </w:r>
            <w:r w:rsidRPr="009E4EB8">
              <w:rPr>
                <w:rFonts w:ascii="Arial Narrow" w:hAnsi="Arial Narrow" w:cstheme="minorHAnsi"/>
                <w:i/>
                <w:sz w:val="20"/>
                <w:szCs w:val="20"/>
              </w:rPr>
              <w:t>Multiple myeloma</w:t>
            </w:r>
          </w:p>
        </w:tc>
      </w:tr>
      <w:tr w:rsidR="007670F7" w:rsidRPr="009E4EB8" w14:paraId="06DE98A7" w14:textId="77777777" w:rsidTr="00730AE6">
        <w:tc>
          <w:tcPr>
            <w:tcW w:w="1418" w:type="dxa"/>
            <w:gridSpan w:val="2"/>
            <w:vAlign w:val="center"/>
          </w:tcPr>
          <w:p w14:paraId="20603EF3" w14:textId="5BC93694" w:rsidR="007670F7" w:rsidRPr="009E4EB8" w:rsidRDefault="007670F7" w:rsidP="007670F7">
            <w:pPr>
              <w:jc w:val="center"/>
              <w:rPr>
                <w:rFonts w:ascii="Arial Narrow" w:hAnsi="Arial Narrow"/>
                <w:sz w:val="20"/>
                <w:szCs w:val="20"/>
              </w:rPr>
            </w:pPr>
          </w:p>
        </w:tc>
        <w:tc>
          <w:tcPr>
            <w:tcW w:w="7654" w:type="dxa"/>
            <w:vAlign w:val="center"/>
            <w:hideMark/>
          </w:tcPr>
          <w:p w14:paraId="275BC699"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Indication:</w:t>
            </w:r>
            <w:r w:rsidRPr="009E4EB8">
              <w:rPr>
                <w:rFonts w:ascii="Arial Narrow" w:hAnsi="Arial Narrow"/>
                <w:sz w:val="20"/>
                <w:szCs w:val="20"/>
              </w:rPr>
              <w:t xml:space="preserve"> Relapsed and/or refractory multiple myeloma</w:t>
            </w:r>
          </w:p>
        </w:tc>
      </w:tr>
      <w:tr w:rsidR="007670F7" w:rsidRPr="009E4EB8" w14:paraId="1BCED8DA" w14:textId="77777777" w:rsidTr="00730AE6">
        <w:tc>
          <w:tcPr>
            <w:tcW w:w="1418" w:type="dxa"/>
            <w:gridSpan w:val="2"/>
            <w:tcBorders>
              <w:bottom w:val="single" w:sz="4" w:space="0" w:color="auto"/>
            </w:tcBorders>
            <w:vAlign w:val="center"/>
          </w:tcPr>
          <w:p w14:paraId="2492F392" w14:textId="77777777" w:rsidR="007670F7" w:rsidRPr="009E4EB8" w:rsidRDefault="007670F7" w:rsidP="007670F7">
            <w:pPr>
              <w:jc w:val="center"/>
              <w:rPr>
                <w:rFonts w:ascii="Arial Narrow" w:hAnsi="Arial Narrow"/>
                <w:sz w:val="20"/>
                <w:szCs w:val="20"/>
              </w:rPr>
            </w:pPr>
          </w:p>
        </w:tc>
        <w:tc>
          <w:tcPr>
            <w:tcW w:w="7654" w:type="dxa"/>
            <w:tcBorders>
              <w:bottom w:val="single" w:sz="4" w:space="0" w:color="auto"/>
            </w:tcBorders>
            <w:vAlign w:val="center"/>
            <w:hideMark/>
          </w:tcPr>
          <w:p w14:paraId="3496E4A8"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Treatment Phase:</w:t>
            </w:r>
            <w:r w:rsidRPr="009E4EB8">
              <w:rPr>
                <w:rFonts w:ascii="Arial Narrow" w:hAnsi="Arial Narrow"/>
                <w:sz w:val="20"/>
                <w:szCs w:val="20"/>
              </w:rPr>
              <w:t xml:space="preserve"> Continuing treatment  </w:t>
            </w:r>
          </w:p>
        </w:tc>
      </w:tr>
      <w:tr w:rsidR="007670F7" w:rsidRPr="009E4EB8" w14:paraId="7CF6447A"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961D22C" w14:textId="513FA8FA"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68C8DDEA" w14:textId="77777777" w:rsidR="007670F7" w:rsidRPr="009E4EB8" w:rsidRDefault="007670F7" w:rsidP="007670F7">
            <w:pPr>
              <w:spacing w:before="100" w:beforeAutospacing="1" w:after="100" w:afterAutospacing="1"/>
              <w:rPr>
                <w:rFonts w:ascii="Arial Narrow" w:hAnsi="Arial Narrow"/>
                <w:sz w:val="20"/>
                <w:szCs w:val="20"/>
              </w:rPr>
            </w:pPr>
            <w:r w:rsidRPr="009E4EB8">
              <w:rPr>
                <w:rFonts w:ascii="Arial Narrow" w:hAnsi="Arial Narrow"/>
                <w:b/>
                <w:bCs/>
                <w:sz w:val="20"/>
                <w:szCs w:val="20"/>
              </w:rPr>
              <w:t>Clinical criteria:</w:t>
            </w:r>
          </w:p>
        </w:tc>
      </w:tr>
      <w:tr w:rsidR="007670F7" w:rsidRPr="009E4EB8" w14:paraId="638653DA"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0EAE00CC" w14:textId="124262A1"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4614AFB" w14:textId="77777777" w:rsidR="007670F7" w:rsidRPr="009E4EB8" w:rsidRDefault="007670F7" w:rsidP="007670F7">
            <w:pPr>
              <w:rPr>
                <w:rFonts w:ascii="Arial Narrow" w:hAnsi="Arial Narrow"/>
                <w:i/>
                <w:sz w:val="20"/>
                <w:szCs w:val="20"/>
              </w:rPr>
            </w:pPr>
            <w:r w:rsidRPr="009E4EB8">
              <w:rPr>
                <w:rFonts w:ascii="Arial Narrow" w:hAnsi="Arial Narrow"/>
                <w:sz w:val="20"/>
                <w:szCs w:val="20"/>
              </w:rPr>
              <w:t xml:space="preserve">Patient must have previously </w:t>
            </w:r>
            <w:r w:rsidRPr="009E4EB8">
              <w:rPr>
                <w:rFonts w:ascii="Arial Narrow" w:hAnsi="Arial Narrow"/>
                <w:i/>
                <w:sz w:val="20"/>
                <w:szCs w:val="20"/>
              </w:rPr>
              <w:t>received PBS-subsidised treatment with</w:t>
            </w:r>
            <w:r w:rsidRPr="009E4EB8">
              <w:rPr>
                <w:rFonts w:ascii="Arial Narrow" w:hAnsi="Arial Narrow"/>
                <w:sz w:val="20"/>
                <w:szCs w:val="20"/>
              </w:rPr>
              <w:t xml:space="preserve"> </w:t>
            </w:r>
            <w:r w:rsidRPr="009E4EB8">
              <w:rPr>
                <w:rFonts w:ascii="Arial Narrow" w:hAnsi="Arial Narrow"/>
                <w:strike/>
                <w:sz w:val="20"/>
                <w:szCs w:val="20"/>
              </w:rPr>
              <w:t>been issued with an authority prescription for</w:t>
            </w:r>
            <w:r w:rsidRPr="009E4EB8">
              <w:rPr>
                <w:rFonts w:ascii="Arial Narrow" w:hAnsi="Arial Narrow"/>
                <w:sz w:val="20"/>
                <w:szCs w:val="20"/>
              </w:rPr>
              <w:t xml:space="preserve"> this drug </w:t>
            </w:r>
            <w:r w:rsidRPr="009E4EB8">
              <w:rPr>
                <w:rFonts w:ascii="Arial Narrow" w:hAnsi="Arial Narrow"/>
                <w:i/>
                <w:sz w:val="20"/>
                <w:szCs w:val="20"/>
              </w:rPr>
              <w:t>for this condition</w:t>
            </w:r>
          </w:p>
        </w:tc>
      </w:tr>
      <w:tr w:rsidR="007670F7" w:rsidRPr="009E4EB8" w14:paraId="01BA0ABB"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334BB5C7" w14:textId="77777777"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7A895620" w14:textId="77777777" w:rsidR="007670F7" w:rsidRPr="009E4EB8" w:rsidRDefault="007670F7" w:rsidP="007670F7">
            <w:pPr>
              <w:rPr>
                <w:rFonts w:ascii="Arial Narrow" w:hAnsi="Arial Narrow"/>
                <w:b/>
                <w:sz w:val="20"/>
                <w:szCs w:val="20"/>
              </w:rPr>
            </w:pPr>
            <w:r w:rsidRPr="009E4EB8">
              <w:rPr>
                <w:rFonts w:ascii="Arial Narrow" w:hAnsi="Arial Narrow"/>
                <w:b/>
                <w:sz w:val="20"/>
                <w:szCs w:val="20"/>
              </w:rPr>
              <w:t>AND</w:t>
            </w:r>
          </w:p>
        </w:tc>
      </w:tr>
      <w:tr w:rsidR="007670F7" w:rsidRPr="009E4EB8" w14:paraId="56135011"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593A5A36" w14:textId="17CE6BDE"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EA39EE4" w14:textId="77777777" w:rsidR="007670F7" w:rsidRPr="009E4EB8" w:rsidRDefault="007670F7" w:rsidP="007670F7">
            <w:pPr>
              <w:spacing w:before="100" w:beforeAutospacing="1" w:after="100" w:afterAutospacing="1"/>
              <w:rPr>
                <w:rFonts w:ascii="Arial Narrow" w:hAnsi="Arial Narrow"/>
                <w:sz w:val="20"/>
                <w:szCs w:val="20"/>
              </w:rPr>
            </w:pPr>
            <w:r w:rsidRPr="009E4EB8">
              <w:rPr>
                <w:rFonts w:ascii="Arial Narrow" w:hAnsi="Arial Narrow"/>
                <w:b/>
                <w:bCs/>
                <w:sz w:val="20"/>
                <w:szCs w:val="20"/>
              </w:rPr>
              <w:t>Clinical criteria:</w:t>
            </w:r>
          </w:p>
        </w:tc>
      </w:tr>
      <w:tr w:rsidR="007670F7" w:rsidRPr="009E4EB8" w14:paraId="0C01B0F6"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3DF381B4" w14:textId="650CF206"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1C3B4F3"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The treatment must be in combination with dexamethasone</w:t>
            </w:r>
          </w:p>
        </w:tc>
      </w:tr>
      <w:tr w:rsidR="007670F7" w:rsidRPr="009E4EB8" w14:paraId="5B73EC1C"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37EE8950" w14:textId="77777777"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55168187"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AND</w:t>
            </w:r>
          </w:p>
        </w:tc>
      </w:tr>
      <w:tr w:rsidR="007670F7" w:rsidRPr="009E4EB8" w14:paraId="2BBB6567"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0935E6BC" w14:textId="3CADA9DF"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73E177BC" w14:textId="77777777" w:rsidR="007670F7" w:rsidRPr="009E4EB8" w:rsidRDefault="007670F7" w:rsidP="007670F7">
            <w:pPr>
              <w:spacing w:before="100" w:beforeAutospacing="1" w:after="100" w:afterAutospacing="1"/>
              <w:rPr>
                <w:rFonts w:ascii="Arial Narrow" w:hAnsi="Arial Narrow"/>
                <w:sz w:val="20"/>
                <w:szCs w:val="20"/>
              </w:rPr>
            </w:pPr>
            <w:r w:rsidRPr="009E4EB8">
              <w:rPr>
                <w:rFonts w:ascii="Arial Narrow" w:hAnsi="Arial Narrow"/>
                <w:b/>
                <w:bCs/>
                <w:sz w:val="20"/>
                <w:szCs w:val="20"/>
              </w:rPr>
              <w:t>Clinical criteria:</w:t>
            </w:r>
          </w:p>
        </w:tc>
      </w:tr>
      <w:tr w:rsidR="007670F7" w:rsidRPr="009E4EB8" w14:paraId="7A1FE54F"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F2DEEDE" w14:textId="6D5A93BF"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0319B4F" w14:textId="77777777" w:rsidR="007670F7" w:rsidRPr="009E4EB8" w:rsidRDefault="007670F7" w:rsidP="007670F7">
            <w:pPr>
              <w:rPr>
                <w:rFonts w:ascii="Arial Narrow" w:hAnsi="Arial Narrow"/>
                <w:i/>
                <w:sz w:val="20"/>
                <w:szCs w:val="20"/>
              </w:rPr>
            </w:pPr>
            <w:r w:rsidRPr="009E4EB8">
              <w:rPr>
                <w:rFonts w:ascii="Arial Narrow" w:hAnsi="Arial Narrow"/>
                <w:sz w:val="20"/>
                <w:szCs w:val="20"/>
              </w:rPr>
              <w:t xml:space="preserve">Patient must not have </w:t>
            </w:r>
            <w:r w:rsidRPr="009E4EB8">
              <w:rPr>
                <w:rFonts w:ascii="Arial Narrow" w:hAnsi="Arial Narrow"/>
                <w:strike/>
                <w:sz w:val="20"/>
                <w:szCs w:val="20"/>
              </w:rPr>
              <w:t>progressive disease</w:t>
            </w:r>
            <w:r w:rsidRPr="009E4EB8">
              <w:rPr>
                <w:rFonts w:ascii="Arial Narrow" w:hAnsi="Arial Narrow"/>
                <w:sz w:val="20"/>
                <w:szCs w:val="20"/>
              </w:rPr>
              <w:t xml:space="preserve"> </w:t>
            </w:r>
            <w:r w:rsidRPr="009E4EB8">
              <w:rPr>
                <w:rFonts w:ascii="Arial Narrow" w:hAnsi="Arial Narrow"/>
                <w:i/>
                <w:sz w:val="20"/>
                <w:szCs w:val="20"/>
              </w:rPr>
              <w:t>developed disease progression while receiving treatment with this drug for this condition</w:t>
            </w:r>
          </w:p>
        </w:tc>
      </w:tr>
      <w:tr w:rsidR="007670F7" w:rsidRPr="009E4EB8" w14:paraId="4CD96254"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34AD1012" w14:textId="77777777"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6E4E4C7E"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AND</w:t>
            </w:r>
          </w:p>
        </w:tc>
      </w:tr>
      <w:tr w:rsidR="007670F7" w:rsidRPr="009E4EB8" w14:paraId="69733A71"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A9E015D" w14:textId="77777777"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AA72640" w14:textId="77777777" w:rsidR="007670F7" w:rsidRPr="009E4EB8" w:rsidRDefault="007670F7" w:rsidP="007670F7">
            <w:pPr>
              <w:spacing w:before="100" w:beforeAutospacing="1" w:after="100" w:afterAutospacing="1"/>
              <w:rPr>
                <w:rFonts w:ascii="Arial Narrow" w:hAnsi="Arial Narrow"/>
                <w:sz w:val="20"/>
                <w:szCs w:val="20"/>
              </w:rPr>
            </w:pPr>
            <w:r w:rsidRPr="009E4EB8">
              <w:rPr>
                <w:rFonts w:ascii="Arial Narrow" w:hAnsi="Arial Narrow"/>
                <w:b/>
                <w:bCs/>
                <w:sz w:val="20"/>
                <w:szCs w:val="20"/>
              </w:rPr>
              <w:t>Clinical criteria:</w:t>
            </w:r>
          </w:p>
        </w:tc>
      </w:tr>
      <w:tr w:rsidR="007670F7" w:rsidRPr="009E4EB8" w14:paraId="3631027B"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0495EF0D" w14:textId="46E2E805"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07006BB7"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Patient must not be receiving concomitant PBS-</w:t>
            </w:r>
            <w:r w:rsidRPr="009E4EB8">
              <w:rPr>
                <w:rFonts w:ascii="Arial Narrow" w:hAnsi="Arial Narrow"/>
                <w:i/>
                <w:sz w:val="20"/>
                <w:szCs w:val="20"/>
              </w:rPr>
              <w:t>subsidised treatment with any of the following: (</w:t>
            </w:r>
            <w:proofErr w:type="spellStart"/>
            <w:r w:rsidRPr="009E4EB8">
              <w:rPr>
                <w:rFonts w:ascii="Arial Narrow" w:hAnsi="Arial Narrow"/>
                <w:i/>
                <w:sz w:val="20"/>
                <w:szCs w:val="20"/>
              </w:rPr>
              <w:t>i</w:t>
            </w:r>
            <w:proofErr w:type="spellEnd"/>
            <w:r w:rsidRPr="009E4EB8">
              <w:rPr>
                <w:rFonts w:ascii="Arial Narrow" w:hAnsi="Arial Narrow"/>
                <w:i/>
                <w:sz w:val="20"/>
                <w:szCs w:val="20"/>
              </w:rPr>
              <w:t xml:space="preserve">) </w:t>
            </w:r>
            <w:r w:rsidRPr="009E4EB8">
              <w:rPr>
                <w:rFonts w:ascii="Arial Narrow" w:hAnsi="Arial Narrow"/>
                <w:bCs/>
                <w:i/>
                <w:sz w:val="20"/>
                <w:szCs w:val="20"/>
              </w:rPr>
              <w:t xml:space="preserve">proteasome </w:t>
            </w:r>
            <w:proofErr w:type="gramStart"/>
            <w:r w:rsidRPr="009E4EB8">
              <w:rPr>
                <w:rFonts w:ascii="Arial Narrow" w:hAnsi="Arial Narrow"/>
                <w:bCs/>
                <w:i/>
                <w:sz w:val="20"/>
                <w:szCs w:val="20"/>
              </w:rPr>
              <w:t xml:space="preserve">inhibitors </w:t>
            </w:r>
            <w:r w:rsidRPr="009E4EB8">
              <w:rPr>
                <w:rFonts w:ascii="Arial Narrow" w:hAnsi="Arial Narrow"/>
                <w:i/>
                <w:sz w:val="20"/>
                <w:szCs w:val="20"/>
              </w:rPr>
              <w:t>,</w:t>
            </w:r>
            <w:proofErr w:type="gramEnd"/>
            <w:r w:rsidRPr="009E4EB8">
              <w:rPr>
                <w:rFonts w:ascii="Arial Narrow" w:hAnsi="Arial Narrow"/>
                <w:i/>
                <w:sz w:val="20"/>
                <w:szCs w:val="20"/>
              </w:rPr>
              <w:t xml:space="preserve"> (ii) Immunomodulators, (iii) </w:t>
            </w:r>
            <w:r w:rsidRPr="009E4EB8">
              <w:rPr>
                <w:rFonts w:ascii="Arial Narrow" w:hAnsi="Arial Narrow"/>
                <w:bCs/>
                <w:i/>
                <w:sz w:val="20"/>
                <w:szCs w:val="20"/>
              </w:rPr>
              <w:t xml:space="preserve">anti-CD38 monoclonal antibody </w:t>
            </w:r>
            <w:r w:rsidRPr="009E4EB8">
              <w:rPr>
                <w:rFonts w:ascii="Arial Narrow" w:hAnsi="Arial Narrow"/>
                <w:strike/>
                <w:sz w:val="20"/>
                <w:szCs w:val="20"/>
              </w:rPr>
              <w:t>bortezomib, carfilzomib, lenalidomide, thalidomide, pomalidomide or its analogues</w:t>
            </w:r>
          </w:p>
        </w:tc>
      </w:tr>
      <w:tr w:rsidR="007670F7" w:rsidRPr="009E4EB8" w14:paraId="589439AC"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1138E89A" w14:textId="09EBD55F"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4F400D19"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Prescribing Instructions:</w:t>
            </w:r>
          </w:p>
          <w:p w14:paraId="674357EA"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Progressive disease is defined as at least 1 of the following:</w:t>
            </w:r>
          </w:p>
          <w:p w14:paraId="1D909210"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(a) at least a 25% increase and an absolute increase of at least 5 g per L in serum M protein (monoclonal protein); or</w:t>
            </w:r>
          </w:p>
          <w:p w14:paraId="4E40326C"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(b) at least a 25% increase in 24-hour urinary light chain M protein excretion, and an absolute increase of at least 200 mg per 24 hours; or</w:t>
            </w:r>
          </w:p>
          <w:p w14:paraId="0FDB456F"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 xml:space="preserve">(c) in oligo-secretory and non-secretory myeloma patients only, at least a 50% increase in the difference between involved free light chain and uninvolved free light </w:t>
            </w:r>
            <w:proofErr w:type="gramStart"/>
            <w:r w:rsidRPr="009E4EB8">
              <w:rPr>
                <w:rFonts w:ascii="Arial Narrow" w:hAnsi="Arial Narrow"/>
                <w:sz w:val="20"/>
                <w:szCs w:val="20"/>
              </w:rPr>
              <w:t>chain;</w:t>
            </w:r>
            <w:proofErr w:type="gramEnd"/>
            <w:r w:rsidRPr="009E4EB8">
              <w:rPr>
                <w:rFonts w:ascii="Arial Narrow" w:hAnsi="Arial Narrow"/>
                <w:sz w:val="20"/>
                <w:szCs w:val="20"/>
              </w:rPr>
              <w:t xml:space="preserve"> or</w:t>
            </w:r>
          </w:p>
          <w:p w14:paraId="6A0371E3"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(d) at least a 25% relative increase and at least a 10% absolute increase in plasma cells in a bone marrow aspirate or on biopsy; or</w:t>
            </w:r>
          </w:p>
          <w:p w14:paraId="21350502"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(e) an increase in the size or number of lytic bone lesions (not including compression fractures); or</w:t>
            </w:r>
          </w:p>
          <w:p w14:paraId="0A0DD4A7"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(f) at least a 25% increase in the size of an existing or the development of a new soft tissue plasmacytoma (determined by clinical examination or diagnostic imaging); or</w:t>
            </w:r>
          </w:p>
          <w:p w14:paraId="4FA3C39D" w14:textId="77777777" w:rsidR="007670F7" w:rsidRPr="009E4EB8" w:rsidRDefault="007670F7" w:rsidP="007670F7">
            <w:pPr>
              <w:rPr>
                <w:rFonts w:ascii="Arial Narrow" w:hAnsi="Arial Narrow"/>
                <w:sz w:val="20"/>
                <w:szCs w:val="20"/>
              </w:rPr>
            </w:pPr>
            <w:r w:rsidRPr="009E4EB8">
              <w:rPr>
                <w:rFonts w:ascii="Arial Narrow" w:hAnsi="Arial Narrow"/>
                <w:sz w:val="20"/>
                <w:szCs w:val="20"/>
              </w:rPr>
              <w:t>(g) development of hypercalcaemia (corrected serum calcium greater than 2.65 mmol per L not attributable to any other cause).</w:t>
            </w:r>
          </w:p>
        </w:tc>
      </w:tr>
      <w:tr w:rsidR="007670F7" w:rsidRPr="009E4EB8" w14:paraId="1EE53D6E"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9755AF1" w14:textId="376550EA"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362EB920"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Prescribing Instructions:</w:t>
            </w:r>
          </w:p>
          <w:p w14:paraId="3980D7D8" w14:textId="77777777" w:rsidR="007670F7" w:rsidRPr="009E4EB8" w:rsidRDefault="007670F7" w:rsidP="007670F7">
            <w:pPr>
              <w:rPr>
                <w:rFonts w:ascii="Arial Narrow" w:hAnsi="Arial Narrow"/>
                <w:b/>
                <w:bCs/>
                <w:sz w:val="20"/>
                <w:szCs w:val="20"/>
              </w:rPr>
            </w:pPr>
            <w:r w:rsidRPr="009E4EB8">
              <w:rPr>
                <w:rFonts w:ascii="Arial Narrow" w:hAnsi="Arial Narrow"/>
                <w:sz w:val="20"/>
                <w:szCs w:val="20"/>
              </w:rPr>
              <w:t>Oligo-secretory and non-secretory patients are defined as having active disease with less than 10 g per L serum M protein.</w:t>
            </w:r>
          </w:p>
        </w:tc>
      </w:tr>
      <w:tr w:rsidR="007670F7" w:rsidRPr="009E4EB8" w14:paraId="7AE5C875"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510480D4" w14:textId="44DDEBB6" w:rsidR="007670F7" w:rsidRPr="009E4EB8" w:rsidRDefault="007670F7" w:rsidP="007670F7">
            <w:pPr>
              <w:pStyle w:val="NormalWeb"/>
              <w:spacing w:before="0" w:after="0"/>
              <w:jc w:val="center"/>
              <w:rPr>
                <w:rFonts w:ascii="Arial Narrow" w:hAnsi="Arial Narrow" w:cstheme="majorHAnsi"/>
                <w:sz w:val="20"/>
                <w:szCs w:val="20"/>
                <w:lang w:val="en-AU"/>
              </w:rPr>
            </w:pPr>
          </w:p>
        </w:tc>
        <w:tc>
          <w:tcPr>
            <w:tcW w:w="7654" w:type="dxa"/>
            <w:tcBorders>
              <w:top w:val="single" w:sz="4" w:space="0" w:color="auto"/>
              <w:left w:val="single" w:sz="4" w:space="0" w:color="auto"/>
              <w:bottom w:val="single" w:sz="4" w:space="0" w:color="auto"/>
              <w:right w:val="single" w:sz="4" w:space="0" w:color="auto"/>
            </w:tcBorders>
            <w:vAlign w:val="center"/>
          </w:tcPr>
          <w:p w14:paraId="34CF18F0" w14:textId="77777777" w:rsidR="007670F7" w:rsidRPr="009E4EB8" w:rsidRDefault="007670F7" w:rsidP="007670F7">
            <w:pPr>
              <w:pStyle w:val="NormalWeb"/>
              <w:spacing w:before="0" w:after="0"/>
              <w:rPr>
                <w:rFonts w:ascii="Arial Narrow" w:hAnsi="Arial Narrow" w:cstheme="majorHAnsi"/>
                <w:sz w:val="20"/>
                <w:szCs w:val="20"/>
                <w:lang w:val="en-AU"/>
              </w:rPr>
            </w:pPr>
            <w:r w:rsidRPr="009E4EB8">
              <w:rPr>
                <w:rStyle w:val="Strong"/>
                <w:rFonts w:ascii="Arial Narrow" w:hAnsi="Arial Narrow" w:cstheme="majorHAnsi"/>
                <w:sz w:val="20"/>
                <w:szCs w:val="20"/>
                <w:lang w:val="en-AU"/>
              </w:rPr>
              <w:t>Administrative Advice:</w:t>
            </w:r>
          </w:p>
          <w:p w14:paraId="07FC7373" w14:textId="77777777" w:rsidR="007670F7" w:rsidRPr="009E4EB8" w:rsidRDefault="007670F7" w:rsidP="007670F7">
            <w:pPr>
              <w:rPr>
                <w:rFonts w:ascii="Arial Narrow" w:hAnsi="Arial Narrow" w:cstheme="majorHAnsi"/>
                <w:b/>
                <w:bCs/>
                <w:sz w:val="20"/>
                <w:szCs w:val="20"/>
              </w:rPr>
            </w:pPr>
            <w:r w:rsidRPr="009E4EB8">
              <w:rPr>
                <w:rFonts w:ascii="Arial Narrow" w:hAnsi="Arial Narrow"/>
                <w:bCs/>
                <w:i/>
                <w:sz w:val="20"/>
                <w:szCs w:val="20"/>
              </w:rPr>
              <w:t>Applications for authorisation under this restriction may be made in real time using the Online PBS Authorities system (see www.servicesaustralia.gov.au/HPOS) or by telephone by contacting Services Australia on 1800 888 333.</w:t>
            </w:r>
          </w:p>
        </w:tc>
      </w:tr>
      <w:tr w:rsidR="007670F7" w:rsidRPr="009E4EB8" w14:paraId="18129404"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hidden/>
        </w:trPr>
        <w:tc>
          <w:tcPr>
            <w:tcW w:w="1418" w:type="dxa"/>
            <w:gridSpan w:val="2"/>
            <w:tcBorders>
              <w:top w:val="single" w:sz="4" w:space="0" w:color="auto"/>
              <w:left w:val="single" w:sz="4" w:space="0" w:color="auto"/>
              <w:bottom w:val="single" w:sz="4" w:space="0" w:color="auto"/>
              <w:right w:val="single" w:sz="4" w:space="0" w:color="auto"/>
            </w:tcBorders>
          </w:tcPr>
          <w:p w14:paraId="5C482DDC" w14:textId="6D2060E1" w:rsidR="007670F7" w:rsidRPr="009E4EB8" w:rsidRDefault="007670F7" w:rsidP="007670F7">
            <w:pPr>
              <w:jc w:val="center"/>
              <w:outlineLvl w:val="4"/>
              <w:rPr>
                <w:rFonts w:ascii="Arial Narrow" w:hAnsi="Arial Narrow" w:cstheme="majorHAnsi"/>
                <w:i/>
                <w:vanish/>
                <w:sz w:val="20"/>
                <w:szCs w:val="20"/>
              </w:rPr>
            </w:pPr>
          </w:p>
        </w:tc>
        <w:tc>
          <w:tcPr>
            <w:tcW w:w="7654" w:type="dxa"/>
            <w:tcBorders>
              <w:top w:val="single" w:sz="4" w:space="0" w:color="auto"/>
              <w:left w:val="single" w:sz="4" w:space="0" w:color="auto"/>
              <w:bottom w:val="single" w:sz="4" w:space="0" w:color="auto"/>
              <w:right w:val="single" w:sz="4" w:space="0" w:color="auto"/>
            </w:tcBorders>
          </w:tcPr>
          <w:p w14:paraId="5814266A" w14:textId="77777777" w:rsidR="007670F7" w:rsidRPr="009E4EB8" w:rsidRDefault="007670F7" w:rsidP="007670F7">
            <w:pPr>
              <w:rPr>
                <w:rFonts w:ascii="Arial Narrow" w:hAnsi="Arial Narrow" w:cstheme="majorHAnsi"/>
                <w:b/>
                <w:bCs/>
                <w:i/>
                <w:sz w:val="20"/>
                <w:szCs w:val="20"/>
              </w:rPr>
            </w:pPr>
            <w:r w:rsidRPr="009E4EB8">
              <w:rPr>
                <w:rFonts w:ascii="Arial Narrow" w:hAnsi="Arial Narrow" w:cstheme="minorHAnsi"/>
                <w:b/>
                <w:i/>
                <w:sz w:val="20"/>
                <w:szCs w:val="20"/>
              </w:rPr>
              <w:t xml:space="preserve">Administrative Advice: </w:t>
            </w:r>
            <w:r w:rsidRPr="009E4EB8">
              <w:rPr>
                <w:rFonts w:ascii="Arial Narrow" w:hAnsi="Arial Narrow" w:cstheme="minorHAnsi"/>
                <w:i/>
                <w:sz w:val="20"/>
                <w:szCs w:val="20"/>
              </w:rPr>
              <w:t>No increase in the maximum number of repeats may be authorised.</w:t>
            </w:r>
          </w:p>
        </w:tc>
      </w:tr>
      <w:tr w:rsidR="007670F7" w:rsidRPr="009E4EB8" w14:paraId="276EE17F"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hidden/>
        </w:trPr>
        <w:tc>
          <w:tcPr>
            <w:tcW w:w="1418" w:type="dxa"/>
            <w:gridSpan w:val="2"/>
            <w:tcBorders>
              <w:top w:val="single" w:sz="4" w:space="0" w:color="auto"/>
              <w:left w:val="single" w:sz="4" w:space="0" w:color="auto"/>
              <w:bottom w:val="single" w:sz="4" w:space="0" w:color="auto"/>
              <w:right w:val="single" w:sz="4" w:space="0" w:color="auto"/>
            </w:tcBorders>
          </w:tcPr>
          <w:p w14:paraId="1BC51953" w14:textId="10A882A2" w:rsidR="007670F7" w:rsidRPr="009E4EB8" w:rsidRDefault="007670F7" w:rsidP="007670F7">
            <w:pPr>
              <w:jc w:val="center"/>
              <w:outlineLvl w:val="4"/>
              <w:rPr>
                <w:rFonts w:ascii="Arial Narrow" w:hAnsi="Arial Narrow" w:cstheme="majorHAnsi"/>
                <w:i/>
                <w:vanish/>
                <w:sz w:val="20"/>
                <w:szCs w:val="20"/>
              </w:rPr>
            </w:pPr>
          </w:p>
        </w:tc>
        <w:tc>
          <w:tcPr>
            <w:tcW w:w="7654" w:type="dxa"/>
            <w:tcBorders>
              <w:top w:val="single" w:sz="4" w:space="0" w:color="auto"/>
              <w:left w:val="single" w:sz="4" w:space="0" w:color="auto"/>
              <w:bottom w:val="single" w:sz="4" w:space="0" w:color="auto"/>
              <w:right w:val="single" w:sz="4" w:space="0" w:color="auto"/>
            </w:tcBorders>
          </w:tcPr>
          <w:p w14:paraId="73693DA5" w14:textId="77777777" w:rsidR="007670F7" w:rsidRPr="009E4EB8" w:rsidRDefault="007670F7" w:rsidP="007670F7">
            <w:pPr>
              <w:rPr>
                <w:rFonts w:ascii="Arial Narrow" w:hAnsi="Arial Narrow" w:cstheme="majorHAnsi"/>
                <w:b/>
                <w:bCs/>
                <w:i/>
                <w:sz w:val="20"/>
                <w:szCs w:val="20"/>
              </w:rPr>
            </w:pPr>
            <w:r w:rsidRPr="009E4EB8">
              <w:rPr>
                <w:rFonts w:ascii="Arial Narrow" w:hAnsi="Arial Narrow" w:cstheme="minorHAnsi"/>
                <w:b/>
                <w:i/>
                <w:sz w:val="20"/>
                <w:szCs w:val="20"/>
              </w:rPr>
              <w:t>Administrative Advice:</w:t>
            </w:r>
            <w:r w:rsidRPr="009E4EB8">
              <w:rPr>
                <w:rFonts w:ascii="Arial Narrow" w:hAnsi="Arial Narrow" w:cstheme="minorHAnsi"/>
                <w:i/>
                <w:sz w:val="20"/>
                <w:szCs w:val="20"/>
              </w:rPr>
              <w:t xml:space="preserve"> Special Pricing Arrangements apply</w:t>
            </w:r>
          </w:p>
        </w:tc>
      </w:tr>
      <w:tr w:rsidR="007670F7" w:rsidRPr="009E4EB8" w14:paraId="560318C0"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hidden/>
        </w:trPr>
        <w:tc>
          <w:tcPr>
            <w:tcW w:w="1418" w:type="dxa"/>
            <w:gridSpan w:val="2"/>
            <w:tcBorders>
              <w:top w:val="single" w:sz="4" w:space="0" w:color="auto"/>
              <w:left w:val="single" w:sz="4" w:space="0" w:color="auto"/>
              <w:bottom w:val="single" w:sz="4" w:space="0" w:color="auto"/>
              <w:right w:val="single" w:sz="4" w:space="0" w:color="auto"/>
            </w:tcBorders>
          </w:tcPr>
          <w:p w14:paraId="63CD9708" w14:textId="2BA82857" w:rsidR="007670F7" w:rsidRPr="009E4EB8" w:rsidRDefault="007670F7" w:rsidP="007670F7">
            <w:pPr>
              <w:jc w:val="center"/>
              <w:outlineLvl w:val="4"/>
              <w:rPr>
                <w:rFonts w:ascii="Arial Narrow" w:hAnsi="Arial Narrow" w:cstheme="majorHAnsi"/>
                <w:i/>
                <w:vanish/>
                <w:sz w:val="20"/>
                <w:szCs w:val="20"/>
              </w:rPr>
            </w:pPr>
          </w:p>
        </w:tc>
        <w:tc>
          <w:tcPr>
            <w:tcW w:w="7654" w:type="dxa"/>
            <w:tcBorders>
              <w:top w:val="single" w:sz="4" w:space="0" w:color="auto"/>
              <w:left w:val="single" w:sz="4" w:space="0" w:color="auto"/>
              <w:bottom w:val="single" w:sz="4" w:space="0" w:color="auto"/>
              <w:right w:val="single" w:sz="4" w:space="0" w:color="auto"/>
            </w:tcBorders>
          </w:tcPr>
          <w:p w14:paraId="6127FC33" w14:textId="6D8A10AC" w:rsidR="007670F7" w:rsidRPr="009E4EB8" w:rsidRDefault="007670F7" w:rsidP="00B17EAA">
            <w:pPr>
              <w:rPr>
                <w:rFonts w:ascii="Arial Narrow" w:hAnsi="Arial Narrow" w:cstheme="majorHAnsi"/>
                <w:b/>
                <w:bCs/>
                <w:i/>
                <w:sz w:val="20"/>
                <w:szCs w:val="20"/>
              </w:rPr>
            </w:pPr>
            <w:r w:rsidRPr="009E4EB8">
              <w:rPr>
                <w:rFonts w:ascii="Arial Narrow" w:hAnsi="Arial Narrow" w:cstheme="minorHAnsi"/>
                <w:b/>
                <w:i/>
                <w:sz w:val="20"/>
                <w:szCs w:val="20"/>
              </w:rPr>
              <w:t xml:space="preserve">Caution: </w:t>
            </w:r>
            <w:r w:rsidRPr="009E4EB8">
              <w:rPr>
                <w:rFonts w:ascii="Arial Narrow" w:hAnsi="Arial Narrow" w:cstheme="minorHAnsi"/>
                <w:i/>
                <w:sz w:val="20"/>
                <w:szCs w:val="20"/>
              </w:rPr>
              <w:t xml:space="preserve">This drug is a category </w:t>
            </w:r>
            <w:r w:rsidR="00B17EAA" w:rsidRPr="009E4EB8">
              <w:rPr>
                <w:rFonts w:ascii="Arial Narrow" w:hAnsi="Arial Narrow" w:cstheme="minorHAnsi"/>
                <w:i/>
                <w:sz w:val="20"/>
                <w:szCs w:val="20"/>
              </w:rPr>
              <w:t>D</w:t>
            </w:r>
            <w:r w:rsidRPr="009E4EB8">
              <w:rPr>
                <w:rFonts w:ascii="Arial Narrow" w:hAnsi="Arial Narrow" w:cstheme="minorHAnsi"/>
                <w:i/>
                <w:sz w:val="20"/>
                <w:szCs w:val="20"/>
              </w:rPr>
              <w:t xml:space="preserve"> drug and must not be given to pregnant women. If selinexor is taken during pregnancy, a teratogenic effect of selinexor in humans cannot be ruled out.</w:t>
            </w:r>
          </w:p>
        </w:tc>
      </w:tr>
      <w:tr w:rsidR="007670F7" w:rsidRPr="009E4EB8" w14:paraId="63D081AF" w14:textId="77777777" w:rsidTr="007670F7">
        <w:tc>
          <w:tcPr>
            <w:tcW w:w="9072" w:type="dxa"/>
            <w:gridSpan w:val="3"/>
            <w:vAlign w:val="center"/>
          </w:tcPr>
          <w:p w14:paraId="4FD970FD" w14:textId="77777777" w:rsidR="007670F7" w:rsidRPr="009E4EB8" w:rsidRDefault="007670F7" w:rsidP="007670F7">
            <w:pPr>
              <w:rPr>
                <w:rFonts w:ascii="Arial Narrow" w:hAnsi="Arial Narrow"/>
                <w:bCs/>
                <w:sz w:val="20"/>
                <w:szCs w:val="20"/>
              </w:rPr>
            </w:pPr>
          </w:p>
        </w:tc>
      </w:tr>
      <w:tr w:rsidR="007670F7" w:rsidRPr="009E4EB8" w14:paraId="555D1E49" w14:textId="77777777" w:rsidTr="007670F7">
        <w:tc>
          <w:tcPr>
            <w:tcW w:w="9072" w:type="dxa"/>
            <w:gridSpan w:val="3"/>
            <w:vAlign w:val="center"/>
          </w:tcPr>
          <w:p w14:paraId="510C065E" w14:textId="77777777" w:rsidR="007670F7" w:rsidRPr="009E4EB8" w:rsidRDefault="007670F7" w:rsidP="007670F7">
            <w:pPr>
              <w:rPr>
                <w:rFonts w:ascii="Arial Narrow" w:hAnsi="Arial Narrow"/>
                <w:b/>
                <w:bCs/>
                <w:sz w:val="20"/>
                <w:szCs w:val="20"/>
              </w:rPr>
            </w:pPr>
            <w:r w:rsidRPr="009E4EB8">
              <w:rPr>
                <w:rFonts w:ascii="Arial Narrow" w:hAnsi="Arial Narrow"/>
                <w:b/>
                <w:bCs/>
                <w:sz w:val="20"/>
                <w:szCs w:val="20"/>
              </w:rPr>
              <w:t>Restriction Summary [new] / Treatment of Concept: [new]</w:t>
            </w:r>
          </w:p>
        </w:tc>
      </w:tr>
      <w:tr w:rsidR="007670F7" w:rsidRPr="009E4EB8" w14:paraId="4A58D6C6" w14:textId="77777777" w:rsidTr="007670F7">
        <w:tc>
          <w:tcPr>
            <w:tcW w:w="1418" w:type="dxa"/>
            <w:gridSpan w:val="2"/>
            <w:vMerge w:val="restart"/>
            <w:tcBorders>
              <w:top w:val="single" w:sz="4" w:space="0" w:color="auto"/>
              <w:left w:val="single" w:sz="4" w:space="0" w:color="auto"/>
              <w:right w:val="single" w:sz="4" w:space="0" w:color="auto"/>
            </w:tcBorders>
          </w:tcPr>
          <w:p w14:paraId="5910D298" w14:textId="77777777" w:rsidR="007670F7" w:rsidRPr="009E4EB8" w:rsidRDefault="007670F7" w:rsidP="007670F7">
            <w:pPr>
              <w:rPr>
                <w:rFonts w:ascii="Arial Narrow" w:hAnsi="Arial Narrow"/>
                <w:b/>
                <w:sz w:val="20"/>
                <w:szCs w:val="20"/>
              </w:rPr>
            </w:pPr>
          </w:p>
        </w:tc>
        <w:tc>
          <w:tcPr>
            <w:tcW w:w="7654" w:type="dxa"/>
            <w:tcBorders>
              <w:top w:val="single" w:sz="4" w:space="0" w:color="auto"/>
              <w:left w:val="single" w:sz="4" w:space="0" w:color="auto"/>
              <w:bottom w:val="single" w:sz="4" w:space="0" w:color="auto"/>
              <w:right w:val="single" w:sz="4" w:space="0" w:color="auto"/>
            </w:tcBorders>
          </w:tcPr>
          <w:p w14:paraId="756BF9BE" w14:textId="77777777" w:rsidR="007670F7" w:rsidRPr="009E4EB8" w:rsidRDefault="007670F7" w:rsidP="007670F7">
            <w:pPr>
              <w:rPr>
                <w:rFonts w:ascii="Arial Narrow" w:hAnsi="Arial Narrow"/>
                <w:sz w:val="20"/>
                <w:szCs w:val="20"/>
              </w:rPr>
            </w:pPr>
            <w:r w:rsidRPr="009E4EB8">
              <w:rPr>
                <w:rFonts w:ascii="Arial Narrow" w:hAnsi="Arial Narrow"/>
                <w:b/>
                <w:sz w:val="20"/>
                <w:szCs w:val="20"/>
              </w:rPr>
              <w:t xml:space="preserve">Category / Program:   </w:t>
            </w:r>
            <w:r w:rsidRPr="009E4EB8">
              <w:rPr>
                <w:rFonts w:ascii="Arial Narrow" w:hAnsi="Arial Narrow"/>
                <w:sz w:val="20"/>
                <w:szCs w:val="20"/>
              </w:rPr>
              <w:t>Section 100 – Highly Specialised Drugs Program</w:t>
            </w:r>
          </w:p>
        </w:tc>
      </w:tr>
      <w:tr w:rsidR="007670F7" w:rsidRPr="009E4EB8" w14:paraId="2A13F70D" w14:textId="77777777" w:rsidTr="007670F7">
        <w:trPr>
          <w:trHeight w:val="240"/>
        </w:trPr>
        <w:tc>
          <w:tcPr>
            <w:tcW w:w="1418" w:type="dxa"/>
            <w:gridSpan w:val="2"/>
            <w:vMerge/>
            <w:tcBorders>
              <w:left w:val="single" w:sz="4" w:space="0" w:color="auto"/>
              <w:right w:val="single" w:sz="4" w:space="0" w:color="auto"/>
            </w:tcBorders>
          </w:tcPr>
          <w:p w14:paraId="4D34415F" w14:textId="77777777" w:rsidR="007670F7" w:rsidRPr="009E4EB8" w:rsidRDefault="007670F7" w:rsidP="007670F7">
            <w:pP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tcPr>
          <w:p w14:paraId="68BCB260" w14:textId="77777777" w:rsidR="007670F7" w:rsidRPr="009E4EB8" w:rsidRDefault="007670F7" w:rsidP="007670F7">
            <w:pPr>
              <w:rPr>
                <w:rFonts w:ascii="Arial Narrow" w:hAnsi="Arial Narrow"/>
                <w:b/>
                <w:sz w:val="20"/>
                <w:szCs w:val="20"/>
              </w:rPr>
            </w:pPr>
            <w:r w:rsidRPr="009E4EB8">
              <w:rPr>
                <w:rFonts w:ascii="Arial Narrow" w:hAnsi="Arial Narrow"/>
                <w:b/>
                <w:sz w:val="20"/>
                <w:szCs w:val="20"/>
              </w:rPr>
              <w:t xml:space="preserve">Prescriber type: </w:t>
            </w:r>
            <w:r w:rsidRPr="009E4EB8">
              <w:rPr>
                <w:rFonts w:ascii="Arial Narrow" w:hAnsi="Arial Narrow"/>
                <w:sz w:val="20"/>
                <w:szCs w:val="20"/>
              </w:rPr>
              <w:fldChar w:fldCharType="begin">
                <w:ffData>
                  <w:name w:val=""/>
                  <w:enabled/>
                  <w:calcOnExit w:val="0"/>
                  <w:checkBox>
                    <w:sizeAuto/>
                    <w:default w:val="1"/>
                  </w:checkBox>
                </w:ffData>
              </w:fldChar>
            </w:r>
            <w:r w:rsidRPr="009E4EB8">
              <w:rPr>
                <w:rFonts w:ascii="Arial Narrow" w:hAnsi="Arial Narrow"/>
                <w:sz w:val="20"/>
                <w:szCs w:val="20"/>
              </w:rPr>
              <w:instrText xml:space="preserve"> FORMCHECKBOX </w:instrText>
            </w:r>
            <w:r w:rsidR="00964E38">
              <w:rPr>
                <w:rFonts w:ascii="Arial Narrow" w:hAnsi="Arial Narrow"/>
                <w:sz w:val="20"/>
                <w:szCs w:val="20"/>
              </w:rPr>
            </w:r>
            <w:r w:rsidR="00964E38">
              <w:rPr>
                <w:rFonts w:ascii="Arial Narrow" w:hAnsi="Arial Narrow"/>
                <w:sz w:val="20"/>
                <w:szCs w:val="20"/>
              </w:rPr>
              <w:fldChar w:fldCharType="separate"/>
            </w:r>
            <w:r w:rsidRPr="009E4EB8">
              <w:rPr>
                <w:rFonts w:ascii="Arial Narrow" w:hAnsi="Arial Narrow"/>
                <w:sz w:val="20"/>
                <w:szCs w:val="20"/>
              </w:rPr>
              <w:fldChar w:fldCharType="end"/>
            </w:r>
            <w:r w:rsidRPr="009E4EB8">
              <w:rPr>
                <w:rFonts w:ascii="Arial Narrow" w:hAnsi="Arial Narrow"/>
                <w:sz w:val="20"/>
                <w:szCs w:val="20"/>
              </w:rPr>
              <w:t>Medical Practitioners</w:t>
            </w:r>
          </w:p>
        </w:tc>
      </w:tr>
      <w:tr w:rsidR="007670F7" w:rsidRPr="009E4EB8" w14:paraId="7BBEB18A" w14:textId="77777777" w:rsidTr="007670F7">
        <w:trPr>
          <w:trHeight w:val="89"/>
        </w:trPr>
        <w:tc>
          <w:tcPr>
            <w:tcW w:w="1418" w:type="dxa"/>
            <w:gridSpan w:val="2"/>
            <w:vMerge/>
            <w:tcBorders>
              <w:left w:val="single" w:sz="4" w:space="0" w:color="auto"/>
              <w:bottom w:val="single" w:sz="4" w:space="0" w:color="auto"/>
              <w:right w:val="single" w:sz="4" w:space="0" w:color="auto"/>
            </w:tcBorders>
          </w:tcPr>
          <w:p w14:paraId="5AF96FF5" w14:textId="77777777" w:rsidR="007670F7" w:rsidRPr="009E4EB8" w:rsidRDefault="007670F7" w:rsidP="007670F7">
            <w:pP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tcPr>
          <w:p w14:paraId="2E48F9B9" w14:textId="77777777" w:rsidR="007670F7" w:rsidRPr="009E4EB8" w:rsidRDefault="007670F7" w:rsidP="007670F7">
            <w:pPr>
              <w:rPr>
                <w:rFonts w:ascii="Arial Narrow" w:hAnsi="Arial Narrow" w:cstheme="minorHAnsi"/>
                <w:b/>
                <w:sz w:val="20"/>
                <w:szCs w:val="20"/>
              </w:rPr>
            </w:pPr>
            <w:r w:rsidRPr="009E4EB8">
              <w:rPr>
                <w:rFonts w:ascii="Arial Narrow" w:hAnsi="Arial Narrow" w:cstheme="minorHAnsi"/>
                <w:b/>
                <w:sz w:val="20"/>
                <w:szCs w:val="20"/>
              </w:rPr>
              <w:t>Restriction type:</w:t>
            </w:r>
          </w:p>
          <w:p w14:paraId="40A10161" w14:textId="77777777" w:rsidR="007670F7" w:rsidRPr="009E4EB8" w:rsidRDefault="007670F7" w:rsidP="007670F7">
            <w:pPr>
              <w:rPr>
                <w:rFonts w:ascii="Arial Narrow" w:eastAsia="Calibri" w:hAnsi="Arial Narrow"/>
                <w:sz w:val="20"/>
                <w:szCs w:val="20"/>
              </w:rPr>
            </w:pPr>
            <w:r w:rsidRPr="009E4EB8">
              <w:rPr>
                <w:rFonts w:ascii="Arial Narrow" w:hAnsi="Arial Narrow"/>
                <w:bCs/>
                <w:sz w:val="20"/>
                <w:szCs w:val="20"/>
              </w:rPr>
              <w:fldChar w:fldCharType="begin">
                <w:ffData>
                  <w:name w:val="Check3"/>
                  <w:enabled/>
                  <w:calcOnExit w:val="0"/>
                  <w:checkBox>
                    <w:sizeAuto/>
                    <w:default w:val="1"/>
                  </w:checkBox>
                </w:ffData>
              </w:fldChar>
            </w:r>
            <w:r w:rsidRPr="009E4EB8">
              <w:rPr>
                <w:rFonts w:ascii="Arial Narrow" w:hAnsi="Arial Narrow"/>
                <w:bCs/>
                <w:sz w:val="20"/>
                <w:szCs w:val="20"/>
              </w:rPr>
              <w:instrText xml:space="preserve"> FORMCHECKBOX </w:instrText>
            </w:r>
            <w:r w:rsidR="00964E38">
              <w:rPr>
                <w:rFonts w:ascii="Arial Narrow" w:hAnsi="Arial Narrow"/>
                <w:bCs/>
                <w:sz w:val="20"/>
                <w:szCs w:val="20"/>
              </w:rPr>
            </w:r>
            <w:r w:rsidR="00964E38">
              <w:rPr>
                <w:rFonts w:ascii="Arial Narrow" w:hAnsi="Arial Narrow"/>
                <w:bCs/>
                <w:sz w:val="20"/>
                <w:szCs w:val="20"/>
              </w:rPr>
              <w:fldChar w:fldCharType="separate"/>
            </w:r>
            <w:r w:rsidRPr="009E4EB8">
              <w:rPr>
                <w:rFonts w:ascii="Arial Narrow" w:hAnsi="Arial Narrow"/>
                <w:bCs/>
                <w:sz w:val="20"/>
                <w:szCs w:val="20"/>
              </w:rPr>
              <w:fldChar w:fldCharType="end"/>
            </w:r>
            <w:r w:rsidRPr="009E4EB8">
              <w:rPr>
                <w:rFonts w:ascii="Arial Narrow" w:hAnsi="Arial Narrow"/>
                <w:bCs/>
                <w:sz w:val="20"/>
                <w:szCs w:val="20"/>
              </w:rPr>
              <w:t xml:space="preserve"> </w:t>
            </w:r>
            <w:r w:rsidRPr="009E4EB8">
              <w:rPr>
                <w:rFonts w:ascii="Arial Narrow" w:hAnsi="Arial Narrow" w:cstheme="minorHAnsi"/>
                <w:sz w:val="20"/>
                <w:szCs w:val="20"/>
              </w:rPr>
              <w:t>Authority Required – immediate/real-time assessment by Services Australia (telephone/electronic)</w:t>
            </w:r>
          </w:p>
        </w:tc>
      </w:tr>
      <w:tr w:rsidR="007670F7" w:rsidRPr="009E4EB8" w14:paraId="079DD4A8" w14:textId="77777777" w:rsidTr="007670F7">
        <w:tc>
          <w:tcPr>
            <w:tcW w:w="1418" w:type="dxa"/>
            <w:gridSpan w:val="2"/>
            <w:vAlign w:val="center"/>
          </w:tcPr>
          <w:p w14:paraId="5DADEA06" w14:textId="77777777" w:rsidR="007670F7" w:rsidRPr="009E4EB8" w:rsidRDefault="007670F7" w:rsidP="007670F7">
            <w:pPr>
              <w:jc w:val="center"/>
              <w:rPr>
                <w:rFonts w:ascii="Arial Narrow" w:hAnsi="Arial Narrow"/>
                <w:sz w:val="20"/>
                <w:szCs w:val="20"/>
              </w:rPr>
            </w:pPr>
          </w:p>
        </w:tc>
        <w:tc>
          <w:tcPr>
            <w:tcW w:w="7654" w:type="dxa"/>
          </w:tcPr>
          <w:p w14:paraId="73F7E1C9" w14:textId="77777777" w:rsidR="007670F7" w:rsidRPr="009E4EB8" w:rsidRDefault="007670F7" w:rsidP="007670F7">
            <w:pPr>
              <w:rPr>
                <w:rFonts w:ascii="Arial Narrow" w:hAnsi="Arial Narrow"/>
                <w:b/>
                <w:bCs/>
                <w:sz w:val="20"/>
                <w:szCs w:val="20"/>
              </w:rPr>
            </w:pPr>
            <w:proofErr w:type="spellStart"/>
            <w:r w:rsidRPr="009E4EB8">
              <w:rPr>
                <w:rFonts w:ascii="Arial Narrow" w:hAnsi="Arial Narrow" w:cstheme="minorHAnsi"/>
                <w:b/>
                <w:i/>
                <w:sz w:val="20"/>
                <w:szCs w:val="20"/>
              </w:rPr>
              <w:t>Episodicity</w:t>
            </w:r>
            <w:proofErr w:type="spellEnd"/>
            <w:r w:rsidRPr="009E4EB8">
              <w:rPr>
                <w:rFonts w:ascii="Arial Narrow" w:hAnsi="Arial Narrow" w:cstheme="minorHAnsi"/>
                <w:b/>
                <w:i/>
                <w:sz w:val="20"/>
                <w:szCs w:val="20"/>
              </w:rPr>
              <w:t xml:space="preserve">: </w:t>
            </w:r>
            <w:r w:rsidRPr="009E4EB8">
              <w:rPr>
                <w:rFonts w:ascii="Arial Narrow" w:hAnsi="Arial Narrow" w:cstheme="minorHAnsi"/>
                <w:i/>
                <w:sz w:val="20"/>
                <w:szCs w:val="20"/>
              </w:rPr>
              <w:t>Relapsed and/or refractory</w:t>
            </w:r>
          </w:p>
        </w:tc>
      </w:tr>
      <w:tr w:rsidR="007670F7" w:rsidRPr="009E4EB8" w14:paraId="0EBB4005" w14:textId="77777777" w:rsidTr="007670F7">
        <w:tc>
          <w:tcPr>
            <w:tcW w:w="1418" w:type="dxa"/>
            <w:gridSpan w:val="2"/>
            <w:vAlign w:val="center"/>
          </w:tcPr>
          <w:p w14:paraId="4CF3F597" w14:textId="77777777" w:rsidR="007670F7" w:rsidRPr="009E4EB8" w:rsidRDefault="007670F7" w:rsidP="007670F7">
            <w:pPr>
              <w:jc w:val="center"/>
              <w:rPr>
                <w:rFonts w:ascii="Arial Narrow" w:hAnsi="Arial Narrow"/>
                <w:sz w:val="20"/>
                <w:szCs w:val="20"/>
              </w:rPr>
            </w:pPr>
          </w:p>
        </w:tc>
        <w:tc>
          <w:tcPr>
            <w:tcW w:w="7654" w:type="dxa"/>
          </w:tcPr>
          <w:p w14:paraId="46218369" w14:textId="77777777" w:rsidR="007670F7" w:rsidRPr="009E4EB8" w:rsidRDefault="007670F7" w:rsidP="007670F7">
            <w:pPr>
              <w:rPr>
                <w:rFonts w:ascii="Arial Narrow" w:hAnsi="Arial Narrow"/>
                <w:b/>
                <w:bCs/>
                <w:sz w:val="20"/>
                <w:szCs w:val="20"/>
              </w:rPr>
            </w:pPr>
            <w:r w:rsidRPr="009E4EB8">
              <w:rPr>
                <w:rFonts w:ascii="Arial Narrow" w:hAnsi="Arial Narrow" w:cstheme="minorHAnsi"/>
                <w:b/>
                <w:i/>
                <w:sz w:val="20"/>
                <w:szCs w:val="20"/>
              </w:rPr>
              <w:t xml:space="preserve">Severity: </w:t>
            </w:r>
            <w:r w:rsidRPr="009E4EB8">
              <w:rPr>
                <w:rFonts w:ascii="Arial Narrow" w:hAnsi="Arial Narrow" w:cstheme="minorHAnsi"/>
                <w:i/>
                <w:sz w:val="20"/>
                <w:szCs w:val="20"/>
              </w:rPr>
              <w:t>[blank]</w:t>
            </w:r>
          </w:p>
        </w:tc>
      </w:tr>
      <w:tr w:rsidR="007670F7" w:rsidRPr="009E4EB8" w14:paraId="04659007" w14:textId="77777777" w:rsidTr="007670F7">
        <w:tc>
          <w:tcPr>
            <w:tcW w:w="1418" w:type="dxa"/>
            <w:gridSpan w:val="2"/>
            <w:vAlign w:val="center"/>
          </w:tcPr>
          <w:p w14:paraId="4093B05F" w14:textId="77777777" w:rsidR="007670F7" w:rsidRPr="009E4EB8" w:rsidRDefault="007670F7" w:rsidP="007670F7">
            <w:pPr>
              <w:jc w:val="center"/>
              <w:rPr>
                <w:rFonts w:ascii="Arial Narrow" w:hAnsi="Arial Narrow"/>
                <w:sz w:val="20"/>
                <w:szCs w:val="20"/>
              </w:rPr>
            </w:pPr>
          </w:p>
        </w:tc>
        <w:tc>
          <w:tcPr>
            <w:tcW w:w="7654" w:type="dxa"/>
          </w:tcPr>
          <w:p w14:paraId="7CE1FAF5" w14:textId="77777777" w:rsidR="007670F7" w:rsidRPr="009E4EB8" w:rsidRDefault="007670F7" w:rsidP="007670F7">
            <w:pPr>
              <w:rPr>
                <w:rFonts w:ascii="Arial Narrow" w:hAnsi="Arial Narrow"/>
                <w:b/>
                <w:bCs/>
                <w:sz w:val="20"/>
                <w:szCs w:val="20"/>
              </w:rPr>
            </w:pPr>
            <w:r w:rsidRPr="009E4EB8">
              <w:rPr>
                <w:rFonts w:ascii="Arial Narrow" w:hAnsi="Arial Narrow" w:cstheme="minorHAnsi"/>
                <w:b/>
                <w:i/>
                <w:sz w:val="20"/>
                <w:szCs w:val="20"/>
              </w:rPr>
              <w:t xml:space="preserve">Condition: </w:t>
            </w:r>
            <w:r w:rsidRPr="009E4EB8">
              <w:rPr>
                <w:rFonts w:ascii="Arial Narrow" w:hAnsi="Arial Narrow" w:cstheme="minorHAnsi"/>
                <w:i/>
                <w:sz w:val="20"/>
                <w:szCs w:val="20"/>
              </w:rPr>
              <w:t>Multiple myeloma</w:t>
            </w:r>
          </w:p>
        </w:tc>
      </w:tr>
      <w:tr w:rsidR="007670F7" w:rsidRPr="009E4EB8" w14:paraId="5AB6A7DE" w14:textId="77777777" w:rsidTr="00730AE6">
        <w:tc>
          <w:tcPr>
            <w:tcW w:w="1418" w:type="dxa"/>
            <w:gridSpan w:val="2"/>
            <w:vAlign w:val="center"/>
          </w:tcPr>
          <w:p w14:paraId="47531C4F" w14:textId="0E317853" w:rsidR="007670F7" w:rsidRPr="009E4EB8" w:rsidRDefault="007670F7" w:rsidP="007670F7">
            <w:pPr>
              <w:jc w:val="center"/>
              <w:rPr>
                <w:rFonts w:ascii="Arial Narrow" w:hAnsi="Arial Narrow"/>
                <w:sz w:val="20"/>
                <w:szCs w:val="20"/>
              </w:rPr>
            </w:pPr>
          </w:p>
        </w:tc>
        <w:tc>
          <w:tcPr>
            <w:tcW w:w="7654" w:type="dxa"/>
            <w:vAlign w:val="center"/>
            <w:hideMark/>
          </w:tcPr>
          <w:p w14:paraId="5A71CC47"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Indication:</w:t>
            </w:r>
            <w:r w:rsidRPr="009E4EB8">
              <w:rPr>
                <w:rFonts w:ascii="Arial Narrow" w:hAnsi="Arial Narrow"/>
                <w:sz w:val="20"/>
                <w:szCs w:val="20"/>
              </w:rPr>
              <w:t xml:space="preserve"> Relapsed and/or refractory multiple myeloma</w:t>
            </w:r>
          </w:p>
        </w:tc>
      </w:tr>
      <w:tr w:rsidR="007670F7" w:rsidRPr="009E4EB8" w14:paraId="6EEE524A" w14:textId="77777777" w:rsidTr="00730AE6">
        <w:tc>
          <w:tcPr>
            <w:tcW w:w="1418" w:type="dxa"/>
            <w:gridSpan w:val="2"/>
            <w:tcBorders>
              <w:bottom w:val="single" w:sz="4" w:space="0" w:color="auto"/>
            </w:tcBorders>
            <w:vAlign w:val="center"/>
          </w:tcPr>
          <w:p w14:paraId="2C52D4F4" w14:textId="77777777" w:rsidR="007670F7" w:rsidRPr="009E4EB8" w:rsidRDefault="007670F7" w:rsidP="007670F7">
            <w:pPr>
              <w:jc w:val="center"/>
              <w:rPr>
                <w:rFonts w:ascii="Arial Narrow" w:hAnsi="Arial Narrow"/>
                <w:sz w:val="20"/>
                <w:szCs w:val="20"/>
              </w:rPr>
            </w:pPr>
          </w:p>
        </w:tc>
        <w:tc>
          <w:tcPr>
            <w:tcW w:w="7654" w:type="dxa"/>
            <w:tcBorders>
              <w:bottom w:val="single" w:sz="4" w:space="0" w:color="auto"/>
            </w:tcBorders>
            <w:vAlign w:val="center"/>
            <w:hideMark/>
          </w:tcPr>
          <w:p w14:paraId="00C05E4D"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Treatment Phase:</w:t>
            </w:r>
            <w:r w:rsidRPr="009E4EB8">
              <w:rPr>
                <w:rFonts w:ascii="Arial Narrow" w:hAnsi="Arial Narrow"/>
                <w:sz w:val="20"/>
                <w:szCs w:val="20"/>
              </w:rPr>
              <w:t xml:space="preserve"> Grandfather treatment - Transitioning from non-PBS to PBS-subsidised supply</w:t>
            </w:r>
          </w:p>
        </w:tc>
      </w:tr>
      <w:tr w:rsidR="007670F7" w:rsidRPr="009E4EB8" w14:paraId="28C9D25E"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7D7C211" w14:textId="77777777"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B3CDBD2" w14:textId="77777777" w:rsidR="007670F7" w:rsidRPr="009E4EB8" w:rsidRDefault="007670F7" w:rsidP="007670F7">
            <w:pPr>
              <w:rPr>
                <w:rFonts w:ascii="Arial Narrow" w:hAnsi="Arial Narrow"/>
                <w:sz w:val="20"/>
                <w:szCs w:val="20"/>
              </w:rPr>
            </w:pPr>
            <w:r w:rsidRPr="009E4EB8">
              <w:rPr>
                <w:rFonts w:ascii="Arial Narrow" w:hAnsi="Arial Narrow"/>
                <w:b/>
                <w:bCs/>
                <w:sz w:val="20"/>
                <w:szCs w:val="20"/>
              </w:rPr>
              <w:t>Clinical criteria:</w:t>
            </w:r>
          </w:p>
        </w:tc>
      </w:tr>
      <w:tr w:rsidR="007670F7" w:rsidRPr="009E4EB8" w14:paraId="6A79B14C"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1983A23" w14:textId="1AE1C0E0"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7FB3053" w14:textId="47928A93" w:rsidR="007670F7" w:rsidRPr="009E4EB8" w:rsidRDefault="007670F7" w:rsidP="007670F7">
            <w:pPr>
              <w:rPr>
                <w:rFonts w:ascii="Arial Narrow" w:hAnsi="Arial Narrow"/>
                <w:sz w:val="20"/>
                <w:szCs w:val="20"/>
              </w:rPr>
            </w:pPr>
            <w:r w:rsidRPr="009E4EB8">
              <w:rPr>
                <w:rFonts w:ascii="Arial Narrow" w:hAnsi="Arial Narrow"/>
                <w:sz w:val="20"/>
                <w:szCs w:val="20"/>
              </w:rPr>
              <w:t>Patient must have received non-PBS-subsidised treatment with this drug for this condition prior to [date of selinexor PBS listing]</w:t>
            </w:r>
          </w:p>
        </w:tc>
      </w:tr>
      <w:tr w:rsidR="007670F7" w:rsidRPr="009E4EB8" w14:paraId="39A1F60A"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5993A5F2" w14:textId="77777777"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10521FFD" w14:textId="77777777" w:rsidR="007670F7" w:rsidRPr="009E4EB8" w:rsidRDefault="007670F7" w:rsidP="007670F7">
            <w:pPr>
              <w:rPr>
                <w:rFonts w:ascii="Arial Narrow" w:hAnsi="Arial Narrow"/>
                <w:i/>
                <w:sz w:val="20"/>
                <w:szCs w:val="20"/>
              </w:rPr>
            </w:pPr>
            <w:r w:rsidRPr="009E4EB8">
              <w:rPr>
                <w:rFonts w:ascii="Arial Narrow" w:hAnsi="Arial Narrow"/>
                <w:b/>
                <w:bCs/>
                <w:i/>
                <w:sz w:val="20"/>
                <w:szCs w:val="20"/>
              </w:rPr>
              <w:t>AND</w:t>
            </w:r>
          </w:p>
        </w:tc>
      </w:tr>
      <w:tr w:rsidR="007670F7" w:rsidRPr="009E4EB8" w14:paraId="3C638022"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1568C244" w14:textId="77777777" w:rsidR="007670F7" w:rsidRPr="009E4EB8" w:rsidRDefault="007670F7" w:rsidP="007670F7">
            <w:pP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6EF15C01" w14:textId="77777777" w:rsidR="007670F7" w:rsidRPr="009E4EB8" w:rsidRDefault="007670F7" w:rsidP="007670F7">
            <w:pPr>
              <w:rPr>
                <w:rFonts w:ascii="Arial Narrow" w:hAnsi="Arial Narrow"/>
                <w:i/>
                <w:sz w:val="20"/>
                <w:szCs w:val="20"/>
              </w:rPr>
            </w:pPr>
            <w:r w:rsidRPr="009E4EB8">
              <w:rPr>
                <w:rFonts w:ascii="Arial Narrow" w:hAnsi="Arial Narrow"/>
                <w:b/>
                <w:bCs/>
                <w:i/>
                <w:sz w:val="20"/>
                <w:szCs w:val="20"/>
              </w:rPr>
              <w:t>Clinical criteria:</w:t>
            </w:r>
          </w:p>
        </w:tc>
      </w:tr>
      <w:tr w:rsidR="007670F7" w:rsidRPr="009E4EB8" w14:paraId="2B14B872"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5037763C" w14:textId="77777777" w:rsidR="007670F7" w:rsidRPr="009E4EB8" w:rsidRDefault="007670F7" w:rsidP="007670F7">
            <w:pP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7ABFCC7C" w14:textId="77777777" w:rsidR="007670F7" w:rsidRPr="009E4EB8" w:rsidRDefault="007670F7" w:rsidP="007670F7">
            <w:pPr>
              <w:rPr>
                <w:rFonts w:ascii="Arial Narrow" w:hAnsi="Arial Narrow"/>
                <w:bCs/>
                <w:i/>
                <w:sz w:val="20"/>
                <w:szCs w:val="20"/>
              </w:rPr>
            </w:pPr>
            <w:r w:rsidRPr="009E4EB8">
              <w:rPr>
                <w:rFonts w:ascii="Arial Narrow" w:hAnsi="Arial Narrow"/>
                <w:bCs/>
                <w:i/>
                <w:sz w:val="20"/>
                <w:szCs w:val="20"/>
              </w:rPr>
              <w:t>The treatment must be in combination with dexamethasone</w:t>
            </w:r>
          </w:p>
        </w:tc>
      </w:tr>
      <w:tr w:rsidR="007670F7" w:rsidRPr="009E4EB8" w14:paraId="1AB32F35"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54F4A995" w14:textId="77777777" w:rsidR="007670F7" w:rsidRPr="009E4EB8" w:rsidRDefault="007670F7" w:rsidP="007670F7">
            <w:pP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491A8D7F" w14:textId="77777777" w:rsidR="007670F7" w:rsidRPr="009E4EB8" w:rsidRDefault="007670F7" w:rsidP="007670F7">
            <w:pPr>
              <w:rPr>
                <w:rFonts w:ascii="Arial Narrow" w:hAnsi="Arial Narrow"/>
                <w:b/>
                <w:bCs/>
                <w:i/>
                <w:sz w:val="20"/>
                <w:szCs w:val="20"/>
              </w:rPr>
            </w:pPr>
            <w:r w:rsidRPr="009E4EB8">
              <w:rPr>
                <w:rFonts w:ascii="Arial Narrow" w:hAnsi="Arial Narrow"/>
                <w:b/>
                <w:bCs/>
                <w:i/>
                <w:sz w:val="20"/>
                <w:szCs w:val="20"/>
              </w:rPr>
              <w:t>AND</w:t>
            </w:r>
          </w:p>
        </w:tc>
      </w:tr>
      <w:tr w:rsidR="007670F7" w:rsidRPr="009E4EB8" w14:paraId="374AA93B"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726D792" w14:textId="77777777" w:rsidR="007670F7" w:rsidRPr="009E4EB8" w:rsidRDefault="007670F7" w:rsidP="007670F7">
            <w:pP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5828FBA4" w14:textId="77777777" w:rsidR="007670F7" w:rsidRPr="009E4EB8" w:rsidRDefault="007670F7" w:rsidP="007670F7">
            <w:pPr>
              <w:rPr>
                <w:rFonts w:ascii="Arial Narrow" w:hAnsi="Arial Narrow"/>
                <w:b/>
                <w:bCs/>
                <w:i/>
                <w:sz w:val="20"/>
                <w:szCs w:val="20"/>
              </w:rPr>
            </w:pPr>
            <w:r w:rsidRPr="009E4EB8">
              <w:rPr>
                <w:rFonts w:ascii="Arial Narrow" w:hAnsi="Arial Narrow"/>
                <w:b/>
                <w:bCs/>
                <w:i/>
                <w:sz w:val="20"/>
                <w:szCs w:val="20"/>
              </w:rPr>
              <w:t>Clinical criteria</w:t>
            </w:r>
          </w:p>
        </w:tc>
      </w:tr>
      <w:tr w:rsidR="007670F7" w:rsidRPr="009E4EB8" w14:paraId="5900745D"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64B106E" w14:textId="77777777"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8C21730" w14:textId="77777777" w:rsidR="007670F7" w:rsidRPr="009E4EB8" w:rsidRDefault="007670F7" w:rsidP="007670F7">
            <w:pPr>
              <w:rPr>
                <w:rFonts w:ascii="Arial Narrow" w:hAnsi="Arial Narrow"/>
                <w:i/>
                <w:sz w:val="20"/>
                <w:szCs w:val="20"/>
              </w:rPr>
            </w:pPr>
            <w:r w:rsidRPr="009E4EB8">
              <w:rPr>
                <w:rFonts w:ascii="Arial Narrow" w:hAnsi="Arial Narrow"/>
                <w:b/>
                <w:bCs/>
                <w:i/>
                <w:sz w:val="20"/>
                <w:szCs w:val="20"/>
              </w:rPr>
              <w:t>AND</w:t>
            </w:r>
          </w:p>
        </w:tc>
      </w:tr>
      <w:tr w:rsidR="007670F7" w:rsidRPr="009E4EB8" w14:paraId="6FA6991B"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017CEB28" w14:textId="77777777"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0560911" w14:textId="77777777" w:rsidR="007670F7" w:rsidRPr="009E4EB8" w:rsidRDefault="007670F7" w:rsidP="007670F7">
            <w:pPr>
              <w:spacing w:before="100" w:beforeAutospacing="1" w:after="100" w:afterAutospacing="1"/>
              <w:rPr>
                <w:rFonts w:ascii="Arial Narrow" w:hAnsi="Arial Narrow"/>
                <w:i/>
                <w:sz w:val="20"/>
                <w:szCs w:val="20"/>
              </w:rPr>
            </w:pPr>
            <w:r w:rsidRPr="009E4EB8">
              <w:rPr>
                <w:rFonts w:ascii="Arial Narrow" w:hAnsi="Arial Narrow"/>
                <w:b/>
                <w:bCs/>
                <w:i/>
                <w:sz w:val="20"/>
                <w:szCs w:val="20"/>
              </w:rPr>
              <w:t>Clinical criteria:</w:t>
            </w:r>
          </w:p>
        </w:tc>
      </w:tr>
      <w:tr w:rsidR="007670F7" w:rsidRPr="009E4EB8" w14:paraId="6953A03D"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54C9489" w14:textId="61B1181B"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5EB2768" w14:textId="77777777" w:rsidR="007670F7" w:rsidRPr="009E4EB8" w:rsidRDefault="007670F7" w:rsidP="007670F7">
            <w:pPr>
              <w:rPr>
                <w:rFonts w:ascii="Arial Narrow" w:hAnsi="Arial Narrow"/>
                <w:i/>
                <w:sz w:val="20"/>
                <w:szCs w:val="20"/>
              </w:rPr>
            </w:pPr>
            <w:r w:rsidRPr="009E4EB8">
              <w:rPr>
                <w:rFonts w:ascii="Arial Narrow" w:hAnsi="Arial Narrow"/>
                <w:i/>
                <w:sz w:val="20"/>
                <w:szCs w:val="20"/>
              </w:rPr>
              <w:t>Patient must have progressive disease after at least four prior lines of therapy, prior to initiating non-PBS subsidised therapy with this drug for this condition.</w:t>
            </w:r>
          </w:p>
        </w:tc>
      </w:tr>
      <w:tr w:rsidR="007670F7" w:rsidRPr="009E4EB8" w14:paraId="1203F7EB"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8372DBC" w14:textId="77777777"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07E25C84" w14:textId="77777777" w:rsidR="007670F7" w:rsidRPr="009E4EB8" w:rsidRDefault="007670F7" w:rsidP="007670F7">
            <w:pPr>
              <w:rPr>
                <w:rFonts w:ascii="Arial Narrow" w:hAnsi="Arial Narrow"/>
                <w:b/>
                <w:bCs/>
                <w:i/>
                <w:sz w:val="20"/>
                <w:szCs w:val="20"/>
              </w:rPr>
            </w:pPr>
            <w:r w:rsidRPr="009E4EB8">
              <w:rPr>
                <w:rFonts w:ascii="Arial Narrow" w:hAnsi="Arial Narrow"/>
                <w:b/>
                <w:bCs/>
                <w:i/>
                <w:sz w:val="20"/>
                <w:szCs w:val="20"/>
              </w:rPr>
              <w:t>AND</w:t>
            </w:r>
          </w:p>
        </w:tc>
      </w:tr>
      <w:tr w:rsidR="007670F7" w:rsidRPr="009E4EB8" w14:paraId="7A4D9D5B"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3D4A9C2E" w14:textId="77777777"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7256782F" w14:textId="77777777" w:rsidR="007670F7" w:rsidRPr="009E4EB8" w:rsidRDefault="007670F7" w:rsidP="007670F7">
            <w:pPr>
              <w:rPr>
                <w:rFonts w:ascii="Arial Narrow" w:hAnsi="Arial Narrow"/>
                <w:b/>
                <w:bCs/>
                <w:i/>
                <w:sz w:val="20"/>
                <w:szCs w:val="20"/>
              </w:rPr>
            </w:pPr>
            <w:r w:rsidRPr="009E4EB8">
              <w:rPr>
                <w:rFonts w:ascii="Arial Narrow" w:hAnsi="Arial Narrow"/>
                <w:b/>
                <w:bCs/>
                <w:i/>
                <w:sz w:val="20"/>
                <w:szCs w:val="20"/>
              </w:rPr>
              <w:t>Clinical criteria:</w:t>
            </w:r>
          </w:p>
        </w:tc>
      </w:tr>
      <w:tr w:rsidR="007670F7" w:rsidRPr="009E4EB8" w14:paraId="443C03D7"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0E9A96AF" w14:textId="61F6AFA1"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5B937D55" w14:textId="77777777" w:rsidR="007670F7" w:rsidRPr="009E4EB8" w:rsidRDefault="007670F7" w:rsidP="007670F7">
            <w:pPr>
              <w:rPr>
                <w:rFonts w:ascii="Arial Narrow" w:hAnsi="Arial Narrow"/>
                <w:bCs/>
                <w:i/>
                <w:sz w:val="20"/>
                <w:szCs w:val="20"/>
              </w:rPr>
            </w:pPr>
            <w:r w:rsidRPr="009E4EB8">
              <w:rPr>
                <w:rFonts w:ascii="Arial Narrow" w:hAnsi="Arial Narrow"/>
                <w:bCs/>
                <w:i/>
                <w:sz w:val="20"/>
                <w:szCs w:val="20"/>
              </w:rPr>
              <w:t xml:space="preserve">Patient </w:t>
            </w:r>
            <w:r w:rsidRPr="009E4EB8">
              <w:rPr>
                <w:rFonts w:ascii="Arial Narrow" w:hAnsi="Arial Narrow"/>
                <w:bCs/>
                <w:i/>
                <w:strike/>
                <w:sz w:val="20"/>
                <w:szCs w:val="20"/>
              </w:rPr>
              <w:t>is</w:t>
            </w:r>
            <w:r w:rsidRPr="009E4EB8">
              <w:rPr>
                <w:rFonts w:ascii="Arial Narrow" w:hAnsi="Arial Narrow"/>
                <w:bCs/>
                <w:i/>
                <w:sz w:val="20"/>
                <w:szCs w:val="20"/>
              </w:rPr>
              <w:t xml:space="preserve"> must have demonstrated refractory disease to prior treatments, prior to initiating non-PBS subsidised therapy with this drug for this condition, which must include: (</w:t>
            </w:r>
            <w:proofErr w:type="spellStart"/>
            <w:r w:rsidRPr="009E4EB8">
              <w:rPr>
                <w:rFonts w:ascii="Arial Narrow" w:hAnsi="Arial Narrow"/>
                <w:bCs/>
                <w:i/>
                <w:sz w:val="20"/>
                <w:szCs w:val="20"/>
              </w:rPr>
              <w:t>i</w:t>
            </w:r>
            <w:proofErr w:type="spellEnd"/>
            <w:r w:rsidRPr="009E4EB8">
              <w:rPr>
                <w:rFonts w:ascii="Arial Narrow" w:hAnsi="Arial Narrow"/>
                <w:bCs/>
                <w:i/>
                <w:sz w:val="20"/>
                <w:szCs w:val="20"/>
              </w:rPr>
              <w:t xml:space="preserve">) a minimum of   two proteasome inhibitors; and (ii) a minimum of two </w:t>
            </w:r>
            <w:proofErr w:type="spellStart"/>
            <w:r w:rsidRPr="009E4EB8">
              <w:rPr>
                <w:rFonts w:ascii="Arial Narrow" w:hAnsi="Arial Narrow"/>
                <w:bCs/>
                <w:i/>
                <w:sz w:val="20"/>
                <w:szCs w:val="20"/>
              </w:rPr>
              <w:t>immunomodulators</w:t>
            </w:r>
            <w:r w:rsidRPr="009E4EB8">
              <w:rPr>
                <w:rFonts w:ascii="Arial Narrow" w:hAnsi="Arial Narrow"/>
                <w:bCs/>
                <w:i/>
                <w:strike/>
                <w:sz w:val="20"/>
                <w:szCs w:val="20"/>
              </w:rPr>
              <w:t>y</w:t>
            </w:r>
            <w:proofErr w:type="spellEnd"/>
            <w:r w:rsidRPr="009E4EB8">
              <w:rPr>
                <w:rFonts w:ascii="Arial Narrow" w:hAnsi="Arial Narrow"/>
                <w:bCs/>
                <w:i/>
                <w:strike/>
                <w:sz w:val="20"/>
                <w:szCs w:val="20"/>
              </w:rPr>
              <w:t xml:space="preserve"> agents</w:t>
            </w:r>
            <w:r w:rsidRPr="009E4EB8">
              <w:rPr>
                <w:rFonts w:ascii="Arial Narrow" w:hAnsi="Arial Narrow"/>
                <w:bCs/>
                <w:i/>
                <w:sz w:val="20"/>
                <w:szCs w:val="20"/>
              </w:rPr>
              <w:t>; and (iii) an anti-CD38 monoclonal antibody</w:t>
            </w:r>
          </w:p>
        </w:tc>
      </w:tr>
      <w:tr w:rsidR="007670F7" w:rsidRPr="009E4EB8" w14:paraId="252E3559"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D6C2067" w14:textId="77777777"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823EC54" w14:textId="77777777" w:rsidR="007670F7" w:rsidRPr="009E4EB8" w:rsidRDefault="007670F7" w:rsidP="007670F7">
            <w:pPr>
              <w:rPr>
                <w:rFonts w:ascii="Arial Narrow" w:hAnsi="Arial Narrow"/>
                <w:i/>
                <w:sz w:val="20"/>
                <w:szCs w:val="20"/>
              </w:rPr>
            </w:pPr>
            <w:r w:rsidRPr="009E4EB8">
              <w:rPr>
                <w:rFonts w:ascii="Arial Narrow" w:hAnsi="Arial Narrow"/>
                <w:b/>
                <w:bCs/>
                <w:i/>
                <w:sz w:val="20"/>
                <w:szCs w:val="20"/>
              </w:rPr>
              <w:t>AND</w:t>
            </w:r>
          </w:p>
        </w:tc>
      </w:tr>
      <w:tr w:rsidR="007670F7" w:rsidRPr="009E4EB8" w14:paraId="0181C9CA"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78C16135" w14:textId="77777777"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DBB3234" w14:textId="77777777" w:rsidR="007670F7" w:rsidRPr="009E4EB8" w:rsidRDefault="007670F7" w:rsidP="007670F7">
            <w:pPr>
              <w:spacing w:before="100" w:beforeAutospacing="1" w:after="100" w:afterAutospacing="1"/>
              <w:rPr>
                <w:rFonts w:ascii="Arial Narrow" w:hAnsi="Arial Narrow"/>
                <w:i/>
                <w:sz w:val="20"/>
                <w:szCs w:val="20"/>
              </w:rPr>
            </w:pPr>
            <w:r w:rsidRPr="009E4EB8">
              <w:rPr>
                <w:rFonts w:ascii="Arial Narrow" w:hAnsi="Arial Narrow"/>
                <w:b/>
                <w:bCs/>
                <w:i/>
                <w:sz w:val="20"/>
                <w:szCs w:val="20"/>
              </w:rPr>
              <w:t>Clinical criteria:</w:t>
            </w:r>
          </w:p>
        </w:tc>
      </w:tr>
      <w:tr w:rsidR="007670F7" w:rsidRPr="009E4EB8" w14:paraId="15ACBB7D"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B26F623" w14:textId="4FBC9BF0"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50BD9FEA" w14:textId="5BDAF77A" w:rsidR="007670F7" w:rsidRPr="009E4EB8" w:rsidRDefault="007670F7" w:rsidP="007670F7">
            <w:pPr>
              <w:rPr>
                <w:rFonts w:ascii="Arial Narrow" w:hAnsi="Arial Narrow"/>
                <w:i/>
                <w:sz w:val="20"/>
                <w:szCs w:val="20"/>
              </w:rPr>
            </w:pPr>
            <w:r w:rsidRPr="009E4EB8">
              <w:rPr>
                <w:rFonts w:ascii="Arial Narrow" w:hAnsi="Arial Narrow"/>
                <w:i/>
                <w:sz w:val="20"/>
                <w:szCs w:val="20"/>
              </w:rPr>
              <w:t>Patient must not be receiving concomitant PBS-subsidised treatment with any of the following: (</w:t>
            </w:r>
            <w:proofErr w:type="spellStart"/>
            <w:r w:rsidRPr="009E4EB8">
              <w:rPr>
                <w:rFonts w:ascii="Arial Narrow" w:hAnsi="Arial Narrow"/>
                <w:i/>
                <w:sz w:val="20"/>
                <w:szCs w:val="20"/>
              </w:rPr>
              <w:t>i</w:t>
            </w:r>
            <w:proofErr w:type="spellEnd"/>
            <w:r w:rsidRPr="009E4EB8">
              <w:rPr>
                <w:rFonts w:ascii="Arial Narrow" w:hAnsi="Arial Narrow"/>
                <w:i/>
                <w:sz w:val="20"/>
                <w:szCs w:val="20"/>
              </w:rPr>
              <w:t xml:space="preserve">) proteasome inhibitors, (ii) immunomodulators, (iii) anti-CD38 monoclonal antibody </w:t>
            </w:r>
          </w:p>
        </w:tc>
      </w:tr>
      <w:tr w:rsidR="007670F7" w:rsidRPr="009E4EB8" w14:paraId="787A2DBD"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1EA157F8" w14:textId="77777777"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2EB8895B" w14:textId="77777777" w:rsidR="007670F7" w:rsidRPr="009E4EB8" w:rsidRDefault="007670F7" w:rsidP="007670F7">
            <w:pPr>
              <w:rPr>
                <w:rFonts w:ascii="Arial Narrow" w:hAnsi="Arial Narrow"/>
                <w:b/>
                <w:strike/>
                <w:sz w:val="20"/>
                <w:szCs w:val="20"/>
              </w:rPr>
            </w:pPr>
            <w:r w:rsidRPr="009E4EB8">
              <w:rPr>
                <w:rFonts w:ascii="Arial Narrow" w:hAnsi="Arial Narrow"/>
                <w:b/>
                <w:strike/>
                <w:sz w:val="20"/>
                <w:szCs w:val="20"/>
              </w:rPr>
              <w:t>AND</w:t>
            </w:r>
          </w:p>
        </w:tc>
      </w:tr>
      <w:tr w:rsidR="007670F7" w:rsidRPr="009E4EB8" w14:paraId="5570CE6C"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0239A905" w14:textId="77777777" w:rsidR="007670F7" w:rsidRPr="009E4EB8" w:rsidRDefault="007670F7" w:rsidP="007670F7">
            <w:pPr>
              <w:spacing w:before="100" w:beforeAutospacing="1" w:after="100" w:afterAutospacing="1"/>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14:paraId="7915D3F1" w14:textId="77777777" w:rsidR="007670F7" w:rsidRPr="009E4EB8" w:rsidRDefault="007670F7" w:rsidP="007670F7">
            <w:pPr>
              <w:rPr>
                <w:rFonts w:ascii="Arial Narrow" w:hAnsi="Arial Narrow"/>
                <w:b/>
                <w:strike/>
                <w:sz w:val="20"/>
                <w:szCs w:val="20"/>
              </w:rPr>
            </w:pPr>
            <w:r w:rsidRPr="009E4EB8">
              <w:rPr>
                <w:rFonts w:ascii="Arial Narrow" w:hAnsi="Arial Narrow"/>
                <w:b/>
                <w:strike/>
                <w:sz w:val="20"/>
                <w:szCs w:val="20"/>
              </w:rPr>
              <w:t>Clinical criteria:</w:t>
            </w:r>
          </w:p>
        </w:tc>
      </w:tr>
      <w:tr w:rsidR="007670F7" w:rsidRPr="009E4EB8" w14:paraId="2856ABDA"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418" w:type="dxa"/>
            <w:gridSpan w:val="2"/>
            <w:tcBorders>
              <w:top w:val="single" w:sz="4" w:space="0" w:color="auto"/>
              <w:left w:val="single" w:sz="4" w:space="0" w:color="auto"/>
              <w:bottom w:val="single" w:sz="4" w:space="0" w:color="auto"/>
              <w:right w:val="single" w:sz="4" w:space="0" w:color="auto"/>
            </w:tcBorders>
            <w:vAlign w:val="center"/>
          </w:tcPr>
          <w:p w14:paraId="63ABD82E" w14:textId="11B727F9" w:rsidR="007670F7" w:rsidRPr="009E4EB8" w:rsidRDefault="007670F7" w:rsidP="007670F7">
            <w:pPr>
              <w:jc w:val="center"/>
              <w:rPr>
                <w:rFonts w:ascii="Arial Narrow" w:hAnsi="Arial Narrow"/>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52913979" w14:textId="77777777" w:rsidR="007670F7" w:rsidRPr="009E4EB8" w:rsidRDefault="007670F7" w:rsidP="007670F7">
            <w:pPr>
              <w:rPr>
                <w:rFonts w:ascii="Arial Narrow" w:hAnsi="Arial Narrow"/>
                <w:strike/>
                <w:sz w:val="20"/>
                <w:szCs w:val="20"/>
              </w:rPr>
            </w:pPr>
            <w:r w:rsidRPr="009E4EB8">
              <w:rPr>
                <w:rFonts w:ascii="Arial Narrow" w:hAnsi="Arial Narrow"/>
                <w:strike/>
                <w:sz w:val="20"/>
                <w:szCs w:val="20"/>
              </w:rPr>
              <w:t>Patient must have met all initial treatment PBS-eligibility criteria applying to a non-grandfathered patient prior to having commenced treatment with this drug</w:t>
            </w:r>
          </w:p>
        </w:tc>
      </w:tr>
      <w:tr w:rsidR="007670F7" w:rsidRPr="009E4EB8" w14:paraId="32ECA7BE"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200B9C52" w14:textId="3A853082" w:rsidR="007670F7" w:rsidRPr="009E4EB8" w:rsidRDefault="007670F7" w:rsidP="007670F7">
            <w:pPr>
              <w:jc w:val="center"/>
              <w:rPr>
                <w:rFonts w:ascii="Arial Narrow" w:hAnsi="Arial Narrow"/>
                <w:i/>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7878AC42" w14:textId="77777777" w:rsidR="007670F7" w:rsidRPr="009E4EB8" w:rsidRDefault="007670F7" w:rsidP="007670F7">
            <w:pPr>
              <w:rPr>
                <w:rFonts w:ascii="Arial Narrow" w:hAnsi="Arial Narrow"/>
                <w:i/>
                <w:sz w:val="20"/>
                <w:szCs w:val="20"/>
              </w:rPr>
            </w:pPr>
            <w:r w:rsidRPr="009E4EB8">
              <w:rPr>
                <w:rFonts w:ascii="Arial Narrow" w:hAnsi="Arial Narrow"/>
                <w:b/>
                <w:bCs/>
                <w:i/>
                <w:sz w:val="20"/>
                <w:szCs w:val="20"/>
              </w:rPr>
              <w:t>Prescribing Instructions:</w:t>
            </w:r>
          </w:p>
          <w:p w14:paraId="48756234" w14:textId="77777777" w:rsidR="007670F7" w:rsidRPr="009E4EB8" w:rsidRDefault="007670F7" w:rsidP="007670F7">
            <w:pPr>
              <w:rPr>
                <w:rFonts w:ascii="Arial Narrow" w:hAnsi="Arial Narrow"/>
                <w:i/>
                <w:sz w:val="20"/>
                <w:szCs w:val="20"/>
              </w:rPr>
            </w:pPr>
            <w:r w:rsidRPr="009E4EB8">
              <w:rPr>
                <w:rFonts w:ascii="Arial Narrow" w:hAnsi="Arial Narrow"/>
                <w:i/>
                <w:sz w:val="20"/>
                <w:szCs w:val="20"/>
              </w:rPr>
              <w:t>Progressive disease is defined as at least 1 of the following:</w:t>
            </w:r>
          </w:p>
          <w:p w14:paraId="5A45330A" w14:textId="77777777" w:rsidR="007670F7" w:rsidRPr="009E4EB8" w:rsidRDefault="007670F7" w:rsidP="007670F7">
            <w:pPr>
              <w:rPr>
                <w:rFonts w:ascii="Arial Narrow" w:hAnsi="Arial Narrow"/>
                <w:i/>
                <w:sz w:val="20"/>
                <w:szCs w:val="20"/>
              </w:rPr>
            </w:pPr>
            <w:r w:rsidRPr="009E4EB8">
              <w:rPr>
                <w:rFonts w:ascii="Arial Narrow" w:hAnsi="Arial Narrow"/>
                <w:i/>
                <w:sz w:val="20"/>
                <w:szCs w:val="20"/>
              </w:rPr>
              <w:lastRenderedPageBreak/>
              <w:t>(a) at least a 25% increase and an absolute increase of at least 5 g per L in serum M protein (monoclonal protein); or</w:t>
            </w:r>
          </w:p>
          <w:p w14:paraId="2BC3F1C8" w14:textId="77777777" w:rsidR="007670F7" w:rsidRPr="009E4EB8" w:rsidRDefault="007670F7" w:rsidP="007670F7">
            <w:pPr>
              <w:rPr>
                <w:rFonts w:ascii="Arial Narrow" w:hAnsi="Arial Narrow"/>
                <w:i/>
                <w:sz w:val="20"/>
                <w:szCs w:val="20"/>
              </w:rPr>
            </w:pPr>
            <w:r w:rsidRPr="009E4EB8">
              <w:rPr>
                <w:rFonts w:ascii="Arial Narrow" w:hAnsi="Arial Narrow"/>
                <w:i/>
                <w:sz w:val="20"/>
                <w:szCs w:val="20"/>
              </w:rPr>
              <w:t>(b) at least a 25% increase in 24-hour urinary light chain M protein excretion, and an absolute increase of at least 200 mg per 24 hours; or</w:t>
            </w:r>
          </w:p>
          <w:p w14:paraId="171F55C2" w14:textId="77777777" w:rsidR="007670F7" w:rsidRPr="009E4EB8" w:rsidRDefault="007670F7" w:rsidP="007670F7">
            <w:pPr>
              <w:rPr>
                <w:rFonts w:ascii="Arial Narrow" w:hAnsi="Arial Narrow"/>
                <w:i/>
                <w:sz w:val="20"/>
                <w:szCs w:val="20"/>
              </w:rPr>
            </w:pPr>
            <w:r w:rsidRPr="009E4EB8">
              <w:rPr>
                <w:rFonts w:ascii="Arial Narrow" w:hAnsi="Arial Narrow"/>
                <w:i/>
                <w:sz w:val="20"/>
                <w:szCs w:val="20"/>
              </w:rPr>
              <w:t xml:space="preserve">(c) in oligo-secretory and non-secretory myeloma patients only, at least a 50% increase in the difference between involved free light chain and uninvolved free light </w:t>
            </w:r>
            <w:proofErr w:type="gramStart"/>
            <w:r w:rsidRPr="009E4EB8">
              <w:rPr>
                <w:rFonts w:ascii="Arial Narrow" w:hAnsi="Arial Narrow"/>
                <w:i/>
                <w:sz w:val="20"/>
                <w:szCs w:val="20"/>
              </w:rPr>
              <w:t>chain;</w:t>
            </w:r>
            <w:proofErr w:type="gramEnd"/>
            <w:r w:rsidRPr="009E4EB8">
              <w:rPr>
                <w:rFonts w:ascii="Arial Narrow" w:hAnsi="Arial Narrow"/>
                <w:i/>
                <w:sz w:val="20"/>
                <w:szCs w:val="20"/>
              </w:rPr>
              <w:t xml:space="preserve"> or</w:t>
            </w:r>
          </w:p>
          <w:p w14:paraId="2829AD9F" w14:textId="77777777" w:rsidR="007670F7" w:rsidRPr="009E4EB8" w:rsidRDefault="007670F7" w:rsidP="007670F7">
            <w:pPr>
              <w:rPr>
                <w:rFonts w:ascii="Arial Narrow" w:hAnsi="Arial Narrow"/>
                <w:i/>
                <w:sz w:val="20"/>
                <w:szCs w:val="20"/>
              </w:rPr>
            </w:pPr>
            <w:r w:rsidRPr="009E4EB8">
              <w:rPr>
                <w:rFonts w:ascii="Arial Narrow" w:hAnsi="Arial Narrow"/>
                <w:i/>
                <w:sz w:val="20"/>
                <w:szCs w:val="20"/>
              </w:rPr>
              <w:t>(d) at least a 25% relative increase and at least a 10% absolute increase in plasma cells in a bone marrow aspirate or on biopsy; or</w:t>
            </w:r>
          </w:p>
          <w:p w14:paraId="61F684CD" w14:textId="77777777" w:rsidR="007670F7" w:rsidRPr="009E4EB8" w:rsidRDefault="007670F7" w:rsidP="007670F7">
            <w:pPr>
              <w:rPr>
                <w:rFonts w:ascii="Arial Narrow" w:hAnsi="Arial Narrow"/>
                <w:i/>
                <w:sz w:val="20"/>
                <w:szCs w:val="20"/>
              </w:rPr>
            </w:pPr>
            <w:r w:rsidRPr="009E4EB8">
              <w:rPr>
                <w:rFonts w:ascii="Arial Narrow" w:hAnsi="Arial Narrow"/>
                <w:i/>
                <w:sz w:val="20"/>
                <w:szCs w:val="20"/>
              </w:rPr>
              <w:t>(e) an increase in the size or number of lytic bone lesions (not including compression fractures); or</w:t>
            </w:r>
          </w:p>
          <w:p w14:paraId="495196B9" w14:textId="77777777" w:rsidR="007670F7" w:rsidRPr="009E4EB8" w:rsidRDefault="007670F7" w:rsidP="007670F7">
            <w:pPr>
              <w:rPr>
                <w:rFonts w:ascii="Arial Narrow" w:hAnsi="Arial Narrow"/>
                <w:i/>
                <w:sz w:val="20"/>
                <w:szCs w:val="20"/>
              </w:rPr>
            </w:pPr>
            <w:r w:rsidRPr="009E4EB8">
              <w:rPr>
                <w:rFonts w:ascii="Arial Narrow" w:hAnsi="Arial Narrow"/>
                <w:i/>
                <w:sz w:val="20"/>
                <w:szCs w:val="20"/>
              </w:rPr>
              <w:t>(f) at least a 25% increase in the size of an existing or the development of a new soft tissue plasmacytoma (determined by clinical examination or diagnostic imaging); or</w:t>
            </w:r>
          </w:p>
          <w:p w14:paraId="5A100069" w14:textId="77777777" w:rsidR="007670F7" w:rsidRPr="009E4EB8" w:rsidRDefault="007670F7" w:rsidP="007670F7">
            <w:pPr>
              <w:rPr>
                <w:rFonts w:ascii="Arial Narrow" w:hAnsi="Arial Narrow"/>
                <w:i/>
                <w:sz w:val="20"/>
                <w:szCs w:val="20"/>
              </w:rPr>
            </w:pPr>
            <w:r w:rsidRPr="009E4EB8">
              <w:rPr>
                <w:rFonts w:ascii="Arial Narrow" w:hAnsi="Arial Narrow"/>
                <w:i/>
                <w:sz w:val="20"/>
                <w:szCs w:val="20"/>
              </w:rPr>
              <w:t>(g) development of hypercalcaemia (corrected serum calcium greater than 2.65 mmol per L not attributable to any other cause).</w:t>
            </w:r>
          </w:p>
        </w:tc>
      </w:tr>
      <w:tr w:rsidR="007670F7" w:rsidRPr="009E4EB8" w14:paraId="643A87E2" w14:textId="77777777" w:rsidTr="0073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3BEBF792" w14:textId="22A2B5C8" w:rsidR="007670F7" w:rsidRPr="009E4EB8" w:rsidRDefault="007670F7" w:rsidP="007670F7">
            <w:pPr>
              <w:jc w:val="center"/>
              <w:rPr>
                <w:rFonts w:ascii="Arial Narrow" w:hAnsi="Arial Narrow"/>
                <w:i/>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668563D1" w14:textId="77777777" w:rsidR="007670F7" w:rsidRPr="009E4EB8" w:rsidRDefault="007670F7" w:rsidP="007670F7">
            <w:pPr>
              <w:rPr>
                <w:rFonts w:ascii="Arial Narrow" w:hAnsi="Arial Narrow"/>
                <w:i/>
                <w:sz w:val="20"/>
                <w:szCs w:val="20"/>
              </w:rPr>
            </w:pPr>
            <w:r w:rsidRPr="009E4EB8">
              <w:rPr>
                <w:rFonts w:ascii="Arial Narrow" w:hAnsi="Arial Narrow"/>
                <w:b/>
                <w:bCs/>
                <w:i/>
                <w:sz w:val="20"/>
                <w:szCs w:val="20"/>
              </w:rPr>
              <w:t>Prescribing Instructions:</w:t>
            </w:r>
          </w:p>
          <w:p w14:paraId="26534994" w14:textId="77777777" w:rsidR="007670F7" w:rsidRPr="009E4EB8" w:rsidRDefault="007670F7" w:rsidP="007670F7">
            <w:pPr>
              <w:rPr>
                <w:rFonts w:ascii="Arial Narrow" w:hAnsi="Arial Narrow"/>
                <w:i/>
                <w:sz w:val="20"/>
                <w:szCs w:val="20"/>
              </w:rPr>
            </w:pPr>
            <w:r w:rsidRPr="009E4EB8">
              <w:rPr>
                <w:rFonts w:ascii="Arial Narrow" w:hAnsi="Arial Narrow"/>
                <w:i/>
                <w:sz w:val="20"/>
                <w:szCs w:val="20"/>
              </w:rPr>
              <w:t>Oligo-secretory and non-secretory patients are defined as having active disease with less than 10 g per L serum M protein.</w:t>
            </w:r>
          </w:p>
        </w:tc>
      </w:tr>
      <w:tr w:rsidR="007670F7" w:rsidRPr="009E4EB8" w14:paraId="42017D65"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0CEC5277" w14:textId="5724893B" w:rsidR="007670F7" w:rsidRPr="009E4EB8" w:rsidRDefault="007670F7" w:rsidP="007670F7">
            <w:pPr>
              <w:pStyle w:val="NormalWeb"/>
              <w:spacing w:before="0" w:after="0"/>
              <w:jc w:val="center"/>
              <w:rPr>
                <w:rFonts w:ascii="Arial Narrow" w:hAnsi="Arial Narrow" w:cstheme="majorHAnsi"/>
                <w:sz w:val="20"/>
                <w:szCs w:val="20"/>
                <w:lang w:val="en-AU"/>
              </w:rPr>
            </w:pPr>
          </w:p>
        </w:tc>
        <w:tc>
          <w:tcPr>
            <w:tcW w:w="7654" w:type="dxa"/>
            <w:tcBorders>
              <w:top w:val="single" w:sz="4" w:space="0" w:color="auto"/>
              <w:left w:val="single" w:sz="4" w:space="0" w:color="auto"/>
              <w:bottom w:val="single" w:sz="4" w:space="0" w:color="auto"/>
              <w:right w:val="single" w:sz="4" w:space="0" w:color="auto"/>
            </w:tcBorders>
            <w:vAlign w:val="center"/>
          </w:tcPr>
          <w:p w14:paraId="612455DA" w14:textId="77777777" w:rsidR="007670F7" w:rsidRPr="009E4EB8" w:rsidRDefault="007670F7" w:rsidP="007670F7">
            <w:pPr>
              <w:pStyle w:val="NormalWeb"/>
              <w:spacing w:before="0" w:after="0"/>
              <w:rPr>
                <w:rFonts w:ascii="Arial Narrow" w:hAnsi="Arial Narrow" w:cstheme="majorHAnsi"/>
                <w:sz w:val="20"/>
                <w:szCs w:val="20"/>
                <w:lang w:val="en-AU"/>
              </w:rPr>
            </w:pPr>
            <w:r w:rsidRPr="009E4EB8">
              <w:rPr>
                <w:rStyle w:val="Strong"/>
                <w:rFonts w:ascii="Arial Narrow" w:hAnsi="Arial Narrow" w:cstheme="majorHAnsi"/>
                <w:sz w:val="20"/>
                <w:szCs w:val="20"/>
                <w:lang w:val="en-AU"/>
              </w:rPr>
              <w:t>Administrative Advice:</w:t>
            </w:r>
          </w:p>
          <w:p w14:paraId="49FE75FE" w14:textId="77777777" w:rsidR="007670F7" w:rsidRPr="009E4EB8" w:rsidRDefault="007670F7" w:rsidP="007670F7">
            <w:pPr>
              <w:rPr>
                <w:rFonts w:ascii="Arial Narrow" w:hAnsi="Arial Narrow" w:cstheme="majorHAnsi"/>
                <w:b/>
                <w:bCs/>
                <w:sz w:val="20"/>
                <w:szCs w:val="20"/>
              </w:rPr>
            </w:pPr>
            <w:r w:rsidRPr="009E4EB8">
              <w:rPr>
                <w:rFonts w:ascii="Arial Narrow" w:hAnsi="Arial Narrow"/>
                <w:bCs/>
                <w:i/>
                <w:sz w:val="20"/>
                <w:szCs w:val="20"/>
              </w:rPr>
              <w:t>Applications for authorisation under this restriction may be made in real time using the Online PBS Authorities system (see www.servicesaustralia.gov.au/HPOS) or by telephone by contacting Services Australia on 1800 888 333.</w:t>
            </w:r>
          </w:p>
        </w:tc>
      </w:tr>
      <w:tr w:rsidR="007670F7" w:rsidRPr="009E4EB8" w14:paraId="05866CA5"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hidden/>
        </w:trPr>
        <w:tc>
          <w:tcPr>
            <w:tcW w:w="1418" w:type="dxa"/>
            <w:gridSpan w:val="2"/>
            <w:tcBorders>
              <w:top w:val="single" w:sz="4" w:space="0" w:color="auto"/>
              <w:left w:val="single" w:sz="4" w:space="0" w:color="auto"/>
              <w:bottom w:val="single" w:sz="4" w:space="0" w:color="auto"/>
              <w:right w:val="single" w:sz="4" w:space="0" w:color="auto"/>
            </w:tcBorders>
          </w:tcPr>
          <w:p w14:paraId="4E3469A7" w14:textId="2FB17287" w:rsidR="007670F7" w:rsidRPr="009E4EB8" w:rsidRDefault="007670F7" w:rsidP="007670F7">
            <w:pPr>
              <w:jc w:val="center"/>
              <w:outlineLvl w:val="4"/>
              <w:rPr>
                <w:rFonts w:ascii="Arial Narrow" w:hAnsi="Arial Narrow" w:cstheme="majorHAnsi"/>
                <w:i/>
                <w:vanish/>
                <w:sz w:val="20"/>
                <w:szCs w:val="20"/>
              </w:rPr>
            </w:pPr>
          </w:p>
        </w:tc>
        <w:tc>
          <w:tcPr>
            <w:tcW w:w="7654" w:type="dxa"/>
            <w:tcBorders>
              <w:top w:val="single" w:sz="4" w:space="0" w:color="auto"/>
              <w:left w:val="single" w:sz="4" w:space="0" w:color="auto"/>
              <w:bottom w:val="single" w:sz="4" w:space="0" w:color="auto"/>
              <w:right w:val="single" w:sz="4" w:space="0" w:color="auto"/>
            </w:tcBorders>
          </w:tcPr>
          <w:p w14:paraId="4BC5FCF7" w14:textId="77777777" w:rsidR="007670F7" w:rsidRPr="009E4EB8" w:rsidRDefault="007670F7" w:rsidP="007670F7">
            <w:pPr>
              <w:rPr>
                <w:rFonts w:ascii="Arial Narrow" w:hAnsi="Arial Narrow" w:cstheme="majorHAnsi"/>
                <w:b/>
                <w:bCs/>
                <w:i/>
                <w:sz w:val="20"/>
                <w:szCs w:val="20"/>
              </w:rPr>
            </w:pPr>
            <w:r w:rsidRPr="009E4EB8">
              <w:rPr>
                <w:rFonts w:ascii="Arial Narrow" w:hAnsi="Arial Narrow" w:cstheme="minorHAnsi"/>
                <w:b/>
                <w:i/>
                <w:sz w:val="20"/>
                <w:szCs w:val="20"/>
              </w:rPr>
              <w:t xml:space="preserve">Administrative Advice: </w:t>
            </w:r>
            <w:r w:rsidRPr="009E4EB8">
              <w:rPr>
                <w:rFonts w:ascii="Arial Narrow" w:hAnsi="Arial Narrow" w:cstheme="minorHAnsi"/>
                <w:i/>
                <w:sz w:val="20"/>
                <w:szCs w:val="20"/>
              </w:rPr>
              <w:t>No increase in the maximum number of repeats may be authorised.</w:t>
            </w:r>
          </w:p>
        </w:tc>
      </w:tr>
      <w:tr w:rsidR="007670F7" w:rsidRPr="009E4EB8" w14:paraId="56D633C4"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hidden/>
        </w:trPr>
        <w:tc>
          <w:tcPr>
            <w:tcW w:w="1418" w:type="dxa"/>
            <w:gridSpan w:val="2"/>
            <w:tcBorders>
              <w:top w:val="single" w:sz="4" w:space="0" w:color="auto"/>
              <w:left w:val="single" w:sz="4" w:space="0" w:color="auto"/>
              <w:bottom w:val="single" w:sz="4" w:space="0" w:color="auto"/>
              <w:right w:val="single" w:sz="4" w:space="0" w:color="auto"/>
            </w:tcBorders>
          </w:tcPr>
          <w:p w14:paraId="1102B269" w14:textId="45837391" w:rsidR="007670F7" w:rsidRPr="009E4EB8" w:rsidRDefault="007670F7" w:rsidP="007670F7">
            <w:pPr>
              <w:jc w:val="center"/>
              <w:outlineLvl w:val="4"/>
              <w:rPr>
                <w:rFonts w:ascii="Arial Narrow" w:hAnsi="Arial Narrow" w:cstheme="majorHAnsi"/>
                <w:i/>
                <w:vanish/>
                <w:sz w:val="20"/>
                <w:szCs w:val="20"/>
              </w:rPr>
            </w:pPr>
          </w:p>
        </w:tc>
        <w:tc>
          <w:tcPr>
            <w:tcW w:w="7654" w:type="dxa"/>
            <w:tcBorders>
              <w:top w:val="single" w:sz="4" w:space="0" w:color="auto"/>
              <w:left w:val="single" w:sz="4" w:space="0" w:color="auto"/>
              <w:bottom w:val="single" w:sz="4" w:space="0" w:color="auto"/>
              <w:right w:val="single" w:sz="4" w:space="0" w:color="auto"/>
            </w:tcBorders>
          </w:tcPr>
          <w:p w14:paraId="2F833006" w14:textId="77777777" w:rsidR="007670F7" w:rsidRPr="009E4EB8" w:rsidRDefault="007670F7" w:rsidP="007670F7">
            <w:pPr>
              <w:rPr>
                <w:rFonts w:ascii="Arial Narrow" w:hAnsi="Arial Narrow" w:cstheme="majorHAnsi"/>
                <w:b/>
                <w:bCs/>
                <w:i/>
                <w:sz w:val="20"/>
                <w:szCs w:val="20"/>
              </w:rPr>
            </w:pPr>
            <w:r w:rsidRPr="009E4EB8">
              <w:rPr>
                <w:rFonts w:ascii="Arial Narrow" w:hAnsi="Arial Narrow" w:cstheme="minorHAnsi"/>
                <w:b/>
                <w:i/>
                <w:sz w:val="20"/>
                <w:szCs w:val="20"/>
              </w:rPr>
              <w:t>Administrative Advice:</w:t>
            </w:r>
            <w:r w:rsidRPr="009E4EB8">
              <w:rPr>
                <w:rFonts w:ascii="Arial Narrow" w:hAnsi="Arial Narrow" w:cstheme="minorHAnsi"/>
                <w:i/>
                <w:sz w:val="20"/>
                <w:szCs w:val="20"/>
              </w:rPr>
              <w:t xml:space="preserve"> Special Pricing Arrangements apply</w:t>
            </w:r>
          </w:p>
        </w:tc>
      </w:tr>
      <w:tr w:rsidR="007670F7" w:rsidRPr="009E4EB8" w14:paraId="52E6BDE9" w14:textId="77777777" w:rsidTr="0076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hidden/>
        </w:trPr>
        <w:tc>
          <w:tcPr>
            <w:tcW w:w="1418" w:type="dxa"/>
            <w:gridSpan w:val="2"/>
            <w:tcBorders>
              <w:top w:val="single" w:sz="4" w:space="0" w:color="auto"/>
              <w:left w:val="single" w:sz="4" w:space="0" w:color="auto"/>
              <w:bottom w:val="single" w:sz="4" w:space="0" w:color="auto"/>
              <w:right w:val="single" w:sz="4" w:space="0" w:color="auto"/>
            </w:tcBorders>
          </w:tcPr>
          <w:p w14:paraId="728CBB05" w14:textId="5EF5694D" w:rsidR="007670F7" w:rsidRPr="009E4EB8" w:rsidRDefault="007670F7" w:rsidP="007670F7">
            <w:pPr>
              <w:jc w:val="center"/>
              <w:outlineLvl w:val="4"/>
              <w:rPr>
                <w:rFonts w:ascii="Arial Narrow" w:hAnsi="Arial Narrow" w:cstheme="majorHAnsi"/>
                <w:i/>
                <w:vanish/>
                <w:sz w:val="20"/>
                <w:szCs w:val="20"/>
              </w:rPr>
            </w:pPr>
          </w:p>
        </w:tc>
        <w:tc>
          <w:tcPr>
            <w:tcW w:w="7654" w:type="dxa"/>
            <w:tcBorders>
              <w:top w:val="single" w:sz="4" w:space="0" w:color="auto"/>
              <w:left w:val="single" w:sz="4" w:space="0" w:color="auto"/>
              <w:bottom w:val="single" w:sz="4" w:space="0" w:color="auto"/>
              <w:right w:val="single" w:sz="4" w:space="0" w:color="auto"/>
            </w:tcBorders>
          </w:tcPr>
          <w:p w14:paraId="1BEFA056" w14:textId="197C33D4" w:rsidR="007670F7" w:rsidRPr="009E4EB8" w:rsidRDefault="007670F7" w:rsidP="00B17EAA">
            <w:pPr>
              <w:rPr>
                <w:rFonts w:ascii="Arial Narrow" w:hAnsi="Arial Narrow" w:cstheme="majorHAnsi"/>
                <w:b/>
                <w:bCs/>
                <w:i/>
                <w:sz w:val="20"/>
                <w:szCs w:val="20"/>
              </w:rPr>
            </w:pPr>
            <w:r w:rsidRPr="009E4EB8">
              <w:rPr>
                <w:rFonts w:ascii="Arial Narrow" w:hAnsi="Arial Narrow" w:cstheme="minorHAnsi"/>
                <w:b/>
                <w:i/>
                <w:sz w:val="20"/>
                <w:szCs w:val="20"/>
              </w:rPr>
              <w:t xml:space="preserve">Caution: </w:t>
            </w:r>
            <w:r w:rsidRPr="009E4EB8">
              <w:rPr>
                <w:rFonts w:ascii="Arial Narrow" w:hAnsi="Arial Narrow" w:cstheme="minorHAnsi"/>
                <w:i/>
                <w:sz w:val="20"/>
                <w:szCs w:val="20"/>
              </w:rPr>
              <w:t xml:space="preserve">This drug is a category </w:t>
            </w:r>
            <w:r w:rsidR="00B17EAA" w:rsidRPr="009E4EB8">
              <w:rPr>
                <w:rFonts w:ascii="Arial Narrow" w:hAnsi="Arial Narrow" w:cstheme="minorHAnsi"/>
                <w:i/>
                <w:sz w:val="20"/>
                <w:szCs w:val="20"/>
              </w:rPr>
              <w:t>D</w:t>
            </w:r>
            <w:r w:rsidRPr="009E4EB8">
              <w:rPr>
                <w:rFonts w:ascii="Arial Narrow" w:hAnsi="Arial Narrow" w:cstheme="minorHAnsi"/>
                <w:i/>
                <w:sz w:val="20"/>
                <w:szCs w:val="20"/>
              </w:rPr>
              <w:t xml:space="preserve"> drug and must not be given to pregnant women. If selinexor is taken during pregnancy, a teratogenic effect of selinexor in humans cannot be ruled out.</w:t>
            </w:r>
          </w:p>
        </w:tc>
      </w:tr>
    </w:tbl>
    <w:p w14:paraId="64BC5962" w14:textId="7FE79C40" w:rsidR="007670F7" w:rsidRPr="009E4EB8" w:rsidRDefault="007670F7" w:rsidP="007670F7"/>
    <w:p w14:paraId="7362483F" w14:textId="77777777" w:rsidR="007670F7" w:rsidRPr="009E4EB8" w:rsidRDefault="007670F7" w:rsidP="007670F7"/>
    <w:p w14:paraId="6EFA9155" w14:textId="5EA00E9B" w:rsidR="005304FD" w:rsidRPr="009E4EB8" w:rsidRDefault="00351152" w:rsidP="005304FD">
      <w:pPr>
        <w:pStyle w:val="3-BodyText"/>
        <w:rPr>
          <w:color w:val="0066FF"/>
        </w:rPr>
      </w:pPr>
      <w:r w:rsidRPr="009E4EB8">
        <w:t>The</w:t>
      </w:r>
      <w:r w:rsidR="00FB18E3" w:rsidRPr="009E4EB8">
        <w:t xml:space="preserve"> requested</w:t>
      </w:r>
      <w:r w:rsidRPr="009E4EB8">
        <w:t xml:space="preserve"> published prices presented in the resubmission were higher than </w:t>
      </w:r>
      <w:r w:rsidR="00875F04" w:rsidRPr="009E4EB8">
        <w:t xml:space="preserve">in </w:t>
      </w:r>
      <w:r w:rsidRPr="009E4EB8">
        <w:t xml:space="preserve">the July 2021 submission </w:t>
      </w:r>
      <w:r w:rsidRPr="009E4EB8">
        <w:rPr>
          <w:iCs/>
        </w:rPr>
        <w:t xml:space="preserve">(7.1% for highly specialised drug </w:t>
      </w:r>
      <w:r w:rsidR="00875F04" w:rsidRPr="009E4EB8">
        <w:rPr>
          <w:iCs/>
        </w:rPr>
        <w:t>[</w:t>
      </w:r>
      <w:r w:rsidRPr="009E4EB8">
        <w:rPr>
          <w:iCs/>
        </w:rPr>
        <w:t>HSD</w:t>
      </w:r>
      <w:r w:rsidR="00875F04" w:rsidRPr="009E4EB8">
        <w:rPr>
          <w:iCs/>
        </w:rPr>
        <w:t>]</w:t>
      </w:r>
      <w:r w:rsidRPr="009E4EB8">
        <w:rPr>
          <w:iCs/>
        </w:rPr>
        <w:t xml:space="preserve"> Public</w:t>
      </w:r>
      <w:r w:rsidR="00875F04" w:rsidRPr="009E4EB8">
        <w:rPr>
          <w:iCs/>
        </w:rPr>
        <w:t>;</w:t>
      </w:r>
      <w:r w:rsidRPr="009E4EB8">
        <w:rPr>
          <w:iCs/>
        </w:rPr>
        <w:t xml:space="preserve"> 5.6% for HSD Private), </w:t>
      </w:r>
      <w:r w:rsidRPr="009E4EB8">
        <w:t xml:space="preserve">whilst the effective price for selinexor in the resubmission was lower than the July 2021 submission </w:t>
      </w:r>
      <w:r w:rsidRPr="00011885">
        <w:t>(</w:t>
      </w:r>
      <w:r w:rsidR="00992522" w:rsidRPr="00964E38">
        <w:rPr>
          <w:color w:val="000000"/>
          <w:w w:val="15"/>
          <w:shd w:val="solid" w:color="000000" w:fill="000000"/>
          <w:fitText w:val="-20" w:id="-1504991476"/>
          <w14:textFill>
            <w14:solidFill>
              <w14:srgbClr w14:val="000000">
                <w14:alpha w14:val="100000"/>
              </w14:srgbClr>
            </w14:solidFill>
          </w14:textFill>
        </w:rPr>
        <w:t>|</w:t>
      </w:r>
      <w:r w:rsidR="00011885" w:rsidRPr="00964E38">
        <w:rPr>
          <w:color w:val="000000"/>
          <w:w w:val="15"/>
          <w:shd w:val="solid" w:color="000000" w:fill="000000"/>
          <w:fitText w:val="-20" w:id="-1504991476"/>
          <w14:textFill>
            <w14:solidFill>
              <w14:srgbClr w14:val="000000">
                <w14:alpha w14:val="100000"/>
              </w14:srgbClr>
            </w14:solidFill>
          </w14:textFill>
        </w:rPr>
        <w:t xml:space="preserve">             </w:t>
      </w:r>
      <w:r w:rsidR="00992522" w:rsidRPr="00964E38">
        <w:rPr>
          <w:color w:val="000000"/>
          <w:w w:val="15"/>
          <w:shd w:val="solid" w:color="000000" w:fill="000000"/>
          <w:fitText w:val="-20" w:id="-1504991476"/>
          <w14:textFill>
            <w14:solidFill>
              <w14:srgbClr w14:val="000000">
                <w14:alpha w14:val="100000"/>
              </w14:srgbClr>
            </w14:solidFill>
          </w14:textFill>
        </w:rPr>
        <w:t xml:space="preserve"> </w:t>
      </w:r>
      <w:r w:rsidR="00011885" w:rsidRPr="00964E38">
        <w:rPr>
          <w:color w:val="000000"/>
          <w:w w:val="15"/>
          <w:shd w:val="solid" w:color="000000" w:fill="000000"/>
          <w:fitText w:val="-20" w:id="-1504991476"/>
          <w14:textFill>
            <w14:solidFill>
              <w14:srgbClr w14:val="000000">
                <w14:alpha w14:val="100000"/>
              </w14:srgbClr>
            </w14:solidFill>
          </w14:textFill>
        </w:rPr>
        <w:t> </w:t>
      </w:r>
      <w:r w:rsidR="00992522" w:rsidRPr="00964E38">
        <w:rPr>
          <w:color w:val="000000"/>
          <w:w w:val="15"/>
          <w:shd w:val="solid" w:color="000000" w:fill="000000"/>
          <w:fitText w:val="-20" w:id="-1504991476"/>
          <w14:textFill>
            <w14:solidFill>
              <w14:srgbClr w14:val="000000">
                <w14:alpha w14:val="100000"/>
              </w14:srgbClr>
            </w14:solidFill>
          </w14:textFill>
        </w:rPr>
        <w:t xml:space="preserve"> </w:t>
      </w:r>
      <w:r w:rsidR="00992522" w:rsidRPr="00964E38">
        <w:rPr>
          <w:color w:val="000000"/>
          <w:spacing w:val="-182"/>
          <w:w w:val="15"/>
          <w:shd w:val="solid" w:color="000000" w:fill="000000"/>
          <w:fitText w:val="-20" w:id="-1504991476"/>
          <w14:textFill>
            <w14:solidFill>
              <w14:srgbClr w14:val="000000">
                <w14:alpha w14:val="100000"/>
              </w14:srgbClr>
            </w14:solidFill>
          </w14:textFill>
        </w:rPr>
        <w:t>|</w:t>
      </w:r>
      <w:r w:rsidR="00011885">
        <w:rPr>
          <w:color w:val="000000"/>
          <w:shd w:val="solid" w:color="000000" w:fill="000000"/>
          <w14:textFill>
            <w14:solidFill>
              <w14:srgbClr w14:val="000000">
                <w14:alpha w14:val="100000"/>
              </w14:srgbClr>
            </w14:solidFill>
          </w14:textFill>
        </w:rPr>
        <w:t> </w:t>
      </w:r>
      <w:r w:rsidRPr="00011885">
        <w:t>% reduction).</w:t>
      </w:r>
      <w:r w:rsidRPr="009E4EB8">
        <w:t xml:space="preserve"> </w:t>
      </w:r>
      <w:r w:rsidRPr="009E4EB8">
        <w:rPr>
          <w:iCs/>
        </w:rPr>
        <w:t xml:space="preserve">Consistent with the July 2021 submission, the resubmission proposed a special pricing arrangement (SPA) at a price approximately </w:t>
      </w:r>
      <w:r w:rsidR="00992522" w:rsidRPr="00964E38">
        <w:rPr>
          <w:iCs/>
          <w:color w:val="000000"/>
          <w:w w:val="15"/>
          <w:shd w:val="solid" w:color="000000" w:fill="000000"/>
          <w:fitText w:val="-20" w:id="-1504991475"/>
          <w14:textFill>
            <w14:solidFill>
              <w14:srgbClr w14:val="000000">
                <w14:alpha w14:val="100000"/>
              </w14:srgbClr>
            </w14:solidFill>
          </w14:textFill>
        </w:rPr>
        <w:t>|</w:t>
      </w:r>
      <w:r w:rsidR="00011885" w:rsidRPr="00964E38">
        <w:rPr>
          <w:iCs/>
          <w:color w:val="000000"/>
          <w:w w:val="15"/>
          <w:shd w:val="solid" w:color="000000" w:fill="000000"/>
          <w:fitText w:val="-20" w:id="-1504991475"/>
          <w14:textFill>
            <w14:solidFill>
              <w14:srgbClr w14:val="000000">
                <w14:alpha w14:val="100000"/>
              </w14:srgbClr>
            </w14:solidFill>
          </w14:textFill>
        </w:rPr>
        <w:t xml:space="preserve">                            </w:t>
      </w:r>
      <w:r w:rsidR="00992522" w:rsidRPr="00964E38">
        <w:rPr>
          <w:iCs/>
          <w:color w:val="000000"/>
          <w:w w:val="15"/>
          <w:shd w:val="solid" w:color="000000" w:fill="000000"/>
          <w:fitText w:val="-20" w:id="-1504991475"/>
          <w14:textFill>
            <w14:solidFill>
              <w14:srgbClr w14:val="000000">
                <w14:alpha w14:val="100000"/>
              </w14:srgbClr>
            </w14:solidFill>
          </w14:textFill>
        </w:rPr>
        <w:t xml:space="preserve">  </w:t>
      </w:r>
      <w:r w:rsidR="00992522" w:rsidRPr="00964E38">
        <w:rPr>
          <w:iCs/>
          <w:color w:val="000000"/>
          <w:spacing w:val="-295"/>
          <w:w w:val="15"/>
          <w:shd w:val="solid" w:color="000000" w:fill="000000"/>
          <w:fitText w:val="-20" w:id="-1504991475"/>
          <w14:textFill>
            <w14:solidFill>
              <w14:srgbClr w14:val="000000">
                <w14:alpha w14:val="100000"/>
              </w14:srgbClr>
            </w14:solidFill>
          </w14:textFill>
        </w:rPr>
        <w:t>|</w:t>
      </w:r>
      <w:r w:rsidRPr="00011885">
        <w:rPr>
          <w:iCs/>
        </w:rPr>
        <w:t>% lower than</w:t>
      </w:r>
      <w:r w:rsidRPr="009E4EB8">
        <w:rPr>
          <w:iCs/>
        </w:rPr>
        <w:t xml:space="preserve"> the published price. </w:t>
      </w:r>
    </w:p>
    <w:p w14:paraId="056E5731" w14:textId="2641EDB9" w:rsidR="003C3D14" w:rsidRPr="009E4EB8" w:rsidRDefault="004E68FF" w:rsidP="00685545">
      <w:pPr>
        <w:pStyle w:val="3-BodyText"/>
      </w:pPr>
      <w:r w:rsidRPr="009E4EB8">
        <w:t>N</w:t>
      </w:r>
      <w:r w:rsidR="0014341E" w:rsidRPr="009E4EB8">
        <w:t xml:space="preserve">o changes had been made to the wording of the requested restriction for Sd in the resubmission, noting that the restriction level had been changed from ‘streamlined’ (as per the July 2021 submission) to ‘authority required (telephone/electronic)’ as per the advice from the PBAC. </w:t>
      </w:r>
      <w:r w:rsidR="00081C6D" w:rsidRPr="009E4EB8">
        <w:t>In July 2021, t</w:t>
      </w:r>
      <w:r w:rsidR="0014341E" w:rsidRPr="009E4EB8">
        <w:t xml:space="preserve">he PBAC “considered that an Authority Required (telephone/electronic) listing would be more appropriate, given selinexor is a new chemical entity and a first-in-class medicine for which there is no prior experience on the PBS and given the potential safety concerns” (Para. 3.3, Selinexor (TCR/PR), PBAC </w:t>
      </w:r>
      <w:r w:rsidR="00640A47">
        <w:t>Public Summary Document [PSD]</w:t>
      </w:r>
      <w:r w:rsidR="00685545" w:rsidRPr="009E4EB8">
        <w:t>, July 2021 PBAC Meeting).</w:t>
      </w:r>
    </w:p>
    <w:p w14:paraId="431B034C" w14:textId="77777777" w:rsidR="002C3290" w:rsidRPr="009E4EB8" w:rsidRDefault="002C3290" w:rsidP="002C3290">
      <w:pPr>
        <w:ind w:firstLine="709"/>
        <w:rPr>
          <w:rFonts w:asciiTheme="minorHAnsi" w:hAnsiTheme="minorHAnsi"/>
          <w:i/>
        </w:rPr>
      </w:pPr>
      <w:r w:rsidRPr="009E4EB8">
        <w:rPr>
          <w:rFonts w:asciiTheme="minorHAnsi" w:hAnsiTheme="minorHAnsi"/>
          <w:i/>
        </w:rPr>
        <w:t>For more detail on PBAC’s view, see section 7 PBAC outcome.</w:t>
      </w:r>
    </w:p>
    <w:p w14:paraId="333AEE02" w14:textId="77777777" w:rsidR="002C3290" w:rsidRPr="009E4EB8" w:rsidRDefault="002C3290" w:rsidP="002C3290"/>
    <w:p w14:paraId="12495553" w14:textId="77777777" w:rsidR="005304FD" w:rsidRPr="009E4EB8" w:rsidRDefault="005304FD" w:rsidP="005304FD">
      <w:pPr>
        <w:pStyle w:val="2-SectionHeading"/>
        <w:numPr>
          <w:ilvl w:val="0"/>
          <w:numId w:val="1"/>
        </w:numPr>
      </w:pPr>
      <w:bookmarkStart w:id="24" w:name="_Toc22898849"/>
      <w:bookmarkStart w:id="25" w:name="_Toc93422860"/>
      <w:r w:rsidRPr="009E4EB8">
        <w:lastRenderedPageBreak/>
        <w:t>Population and disease</w:t>
      </w:r>
      <w:bookmarkEnd w:id="24"/>
      <w:bookmarkEnd w:id="25"/>
    </w:p>
    <w:p w14:paraId="622F08CD" w14:textId="11D0E704" w:rsidR="00314598" w:rsidRPr="009E4EB8" w:rsidRDefault="00314598" w:rsidP="00314598">
      <w:pPr>
        <w:pStyle w:val="3-BodyText"/>
      </w:pPr>
      <w:r w:rsidRPr="009E4EB8">
        <w:t xml:space="preserve">Multiple myeloma (MM) is a progressive, incurable haematologic cancer that undergoes genomic evolution over the course of the disease. It is a relatively uncommon cancer of plasma cells, accounting for approximately 1-2% of all cancers, and approximately 17% of haematological malignancies. MM patients diagnosed between 2008 and 2012 showed a median overall survival (OS) of 6 years. </w:t>
      </w:r>
      <w:r w:rsidR="00A13860" w:rsidRPr="009E4EB8">
        <w:t>F</w:t>
      </w:r>
      <w:r w:rsidR="00A5723B" w:rsidRPr="009E4EB8">
        <w:t xml:space="preserve">or patients who have progressed to TCR/PR MM </w:t>
      </w:r>
      <w:r w:rsidR="00A13860" w:rsidRPr="009E4EB8">
        <w:t>the</w:t>
      </w:r>
      <w:r w:rsidR="00A5723B" w:rsidRPr="009E4EB8">
        <w:t xml:space="preserve"> median OS </w:t>
      </w:r>
      <w:r w:rsidR="00A13860" w:rsidRPr="009E4EB8">
        <w:t xml:space="preserve">is </w:t>
      </w:r>
      <w:r w:rsidR="00A5723B" w:rsidRPr="009E4EB8">
        <w:t>only 5.6 months</w:t>
      </w:r>
      <w:r w:rsidR="00D97849" w:rsidRPr="009E4EB8">
        <w:t xml:space="preserve"> (Gandhi et al 2019)</w:t>
      </w:r>
      <w:r w:rsidR="00A5723B" w:rsidRPr="009E4EB8">
        <w:t xml:space="preserve">. </w:t>
      </w:r>
      <w:r w:rsidRPr="009E4EB8">
        <w:t xml:space="preserve">Most MM patients experience disease relapse and require further treatment options. </w:t>
      </w:r>
    </w:p>
    <w:p w14:paraId="4B4D4A31" w14:textId="77777777" w:rsidR="00014897" w:rsidRPr="009E4EB8" w:rsidRDefault="005C15FC" w:rsidP="005C15FC">
      <w:pPr>
        <w:pStyle w:val="3-BodyText"/>
      </w:pPr>
      <w:r w:rsidRPr="009E4EB8">
        <w:t>The clinical management algorithm for Sd as a treatment for TCR/PR MM was based on treatment guidelines including the US National Comprehensive Cancer Network (NCCN) clinical practice guidelines in oncology: MM, Version 3.2021 (Kumar et al., 2020), the European Hematology Association - the European Society Medical Oncology (EHA-ESMO) clinical practice guidelines (</w:t>
      </w:r>
      <w:proofErr w:type="spellStart"/>
      <w:r w:rsidRPr="009E4EB8">
        <w:t>Dimopoulos</w:t>
      </w:r>
      <w:proofErr w:type="spellEnd"/>
      <w:r w:rsidRPr="009E4EB8">
        <w:t xml:space="preserve"> et al., 2021), and the treatment guidelines from the Australian Medical Scientific Advisory Group (MSAG) (H. Quach et al., 2019). </w:t>
      </w:r>
    </w:p>
    <w:p w14:paraId="78D18730" w14:textId="202C04BE" w:rsidR="005C15FC" w:rsidRPr="009E4EB8" w:rsidRDefault="00DA788C" w:rsidP="005C15FC">
      <w:pPr>
        <w:pStyle w:val="3-BodyText"/>
      </w:pPr>
      <w:r w:rsidRPr="009E4EB8">
        <w:t xml:space="preserve">The </w:t>
      </w:r>
      <w:r w:rsidR="00444A92" w:rsidRPr="009E4EB8">
        <w:t xml:space="preserve">resubmission presented a </w:t>
      </w:r>
      <w:r w:rsidR="00444A92" w:rsidRPr="009E4EB8">
        <w:rPr>
          <w:rFonts w:cstheme="minorHAnsi"/>
        </w:rPr>
        <w:t xml:space="preserve">proposed clinical management </w:t>
      </w:r>
      <w:r w:rsidR="00014897" w:rsidRPr="009E4EB8">
        <w:rPr>
          <w:rFonts w:cstheme="minorHAnsi"/>
        </w:rPr>
        <w:t xml:space="preserve">algorithm </w:t>
      </w:r>
      <w:r w:rsidR="00444A92" w:rsidRPr="009E4EB8">
        <w:rPr>
          <w:rFonts w:cstheme="minorHAnsi"/>
        </w:rPr>
        <w:t xml:space="preserve">(Figure 1) which </w:t>
      </w:r>
      <w:r w:rsidR="00014897" w:rsidRPr="009E4EB8">
        <w:rPr>
          <w:rFonts w:cstheme="minorHAnsi"/>
        </w:rPr>
        <w:t xml:space="preserve">positioned selinexor as an alternative in the fifth or sixth line, </w:t>
      </w:r>
      <w:r w:rsidR="00444A92" w:rsidRPr="009E4EB8">
        <w:rPr>
          <w:rFonts w:cstheme="minorHAnsi"/>
        </w:rPr>
        <w:t xml:space="preserve">consistent </w:t>
      </w:r>
      <w:r w:rsidR="00014897" w:rsidRPr="009E4EB8">
        <w:rPr>
          <w:rFonts w:cstheme="minorHAnsi"/>
        </w:rPr>
        <w:t>with the proposed restriction that to be eligible, a patient must have failed four prior lines of therapy.</w:t>
      </w:r>
      <w:r w:rsidR="009C54C5" w:rsidRPr="009E4EB8">
        <w:rPr>
          <w:iCs/>
        </w:rPr>
        <w:t xml:space="preserve"> </w:t>
      </w:r>
    </w:p>
    <w:p w14:paraId="69E46A8D" w14:textId="42866382" w:rsidR="000D694B" w:rsidRPr="009E4EB8" w:rsidRDefault="000D694B" w:rsidP="00F94A37">
      <w:pPr>
        <w:pStyle w:val="Caption"/>
        <w:keepNext/>
        <w:spacing w:after="0"/>
        <w:jc w:val="left"/>
        <w:rPr>
          <w:rStyle w:val="CommentReference"/>
          <w:b/>
          <w:color w:val="auto"/>
          <w:szCs w:val="20"/>
        </w:rPr>
      </w:pPr>
      <w:bookmarkStart w:id="26" w:name="_Ref91092336"/>
      <w:bookmarkStart w:id="27" w:name="_Ref91092331"/>
      <w:r w:rsidRPr="009E4EB8">
        <w:rPr>
          <w:rFonts w:ascii="Arial Narrow" w:hAnsi="Arial Narrow"/>
          <w:color w:val="auto"/>
          <w:sz w:val="20"/>
          <w:szCs w:val="20"/>
        </w:rPr>
        <w:lastRenderedPageBreak/>
        <w:t xml:space="preserve">Figure </w:t>
      </w:r>
      <w:r w:rsidRPr="009E4EB8">
        <w:rPr>
          <w:rFonts w:ascii="Arial Narrow" w:hAnsi="Arial Narrow"/>
          <w:color w:val="auto"/>
          <w:sz w:val="20"/>
          <w:szCs w:val="20"/>
        </w:rPr>
        <w:fldChar w:fldCharType="begin"/>
      </w:r>
      <w:r w:rsidRPr="009E4EB8">
        <w:rPr>
          <w:rFonts w:ascii="Arial Narrow" w:hAnsi="Arial Narrow"/>
          <w:color w:val="auto"/>
          <w:sz w:val="20"/>
          <w:szCs w:val="20"/>
        </w:rPr>
        <w:instrText xml:space="preserve"> SEQ Figure \* ARABIC </w:instrText>
      </w:r>
      <w:r w:rsidRPr="009E4EB8">
        <w:rPr>
          <w:rFonts w:ascii="Arial Narrow" w:hAnsi="Arial Narrow"/>
          <w:color w:val="auto"/>
          <w:sz w:val="20"/>
          <w:szCs w:val="20"/>
        </w:rPr>
        <w:fldChar w:fldCharType="separate"/>
      </w:r>
      <w:r w:rsidR="00964E38">
        <w:rPr>
          <w:rFonts w:ascii="Arial Narrow" w:hAnsi="Arial Narrow"/>
          <w:noProof/>
          <w:color w:val="auto"/>
          <w:sz w:val="20"/>
          <w:szCs w:val="20"/>
        </w:rPr>
        <w:t>1</w:t>
      </w:r>
      <w:r w:rsidRPr="009E4EB8">
        <w:rPr>
          <w:rFonts w:ascii="Arial Narrow" w:hAnsi="Arial Narrow"/>
          <w:color w:val="auto"/>
          <w:sz w:val="20"/>
          <w:szCs w:val="20"/>
        </w:rPr>
        <w:fldChar w:fldCharType="end"/>
      </w:r>
      <w:bookmarkEnd w:id="26"/>
      <w:r w:rsidRPr="009E4EB8">
        <w:rPr>
          <w:rStyle w:val="CommentReference"/>
          <w:b/>
          <w:color w:val="auto"/>
          <w:szCs w:val="20"/>
        </w:rPr>
        <w:t>: Proposed clinical management algorithm with introduction of Sd</w:t>
      </w:r>
      <w:bookmarkEnd w:id="27"/>
    </w:p>
    <w:p w14:paraId="7BA558DF" w14:textId="77777777" w:rsidR="00F94A37" w:rsidRPr="009E4EB8" w:rsidRDefault="00F94A37" w:rsidP="00F94A37">
      <w:pPr>
        <w:jc w:val="left"/>
      </w:pPr>
      <w:r w:rsidRPr="009E4EB8">
        <w:rPr>
          <w:noProof/>
        </w:rPr>
        <w:drawing>
          <wp:inline distT="0" distB="0" distL="0" distR="0" wp14:anchorId="65CE3C88" wp14:editId="1211CBA0">
            <wp:extent cx="5732145" cy="4670527"/>
            <wp:effectExtent l="0" t="0" r="1905" b="0"/>
            <wp:docPr id="3" name="Picture 3" descr="Figure 1: Proposed clinical management algorithm with introduction of 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Proposed clinical management algorithm with introduction of S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4670527"/>
                    </a:xfrm>
                    <a:prstGeom prst="rect">
                      <a:avLst/>
                    </a:prstGeom>
                    <a:noFill/>
                    <a:ln>
                      <a:noFill/>
                    </a:ln>
                  </pic:spPr>
                </pic:pic>
              </a:graphicData>
            </a:graphic>
          </wp:inline>
        </w:drawing>
      </w:r>
    </w:p>
    <w:p w14:paraId="114F5CEC" w14:textId="77777777" w:rsidR="00F94A37" w:rsidRPr="009E4EB8" w:rsidRDefault="00F94A37" w:rsidP="00F94A37">
      <w:pPr>
        <w:pStyle w:val="TableFigureFooter"/>
        <w:spacing w:after="0"/>
        <w:rPr>
          <w:szCs w:val="18"/>
        </w:rPr>
      </w:pPr>
      <w:r w:rsidRPr="009E4EB8">
        <w:rPr>
          <w:szCs w:val="18"/>
        </w:rPr>
        <w:t>Source: Figure 1-5, p25 of the resubmission.</w:t>
      </w:r>
    </w:p>
    <w:p w14:paraId="2CAC9198" w14:textId="0847555A" w:rsidR="00F94A37" w:rsidRPr="009E4EB8" w:rsidRDefault="00F94A37" w:rsidP="00F94A37">
      <w:pPr>
        <w:rPr>
          <w:rFonts w:ascii="Arial Narrow" w:hAnsi="Arial Narrow"/>
          <w:sz w:val="18"/>
          <w:szCs w:val="18"/>
        </w:rPr>
      </w:pPr>
      <w:r w:rsidRPr="009E4EB8">
        <w:rPr>
          <w:rFonts w:ascii="Arial Narrow" w:hAnsi="Arial Narrow"/>
          <w:snapToGrid w:val="0"/>
          <w:sz w:val="18"/>
          <w:szCs w:val="18"/>
        </w:rPr>
        <w:t xml:space="preserve">Abbreviations: </w:t>
      </w:r>
      <w:r w:rsidRPr="009E4EB8">
        <w:rPr>
          <w:rFonts w:ascii="Arial Narrow" w:hAnsi="Arial Narrow"/>
          <w:sz w:val="18"/>
          <w:szCs w:val="18"/>
        </w:rPr>
        <w:t>BORT = bortezomib, CAR = carfilzomib, DARA = daratumumab, DEX = dexamethasone; IMiD = immunomodulators, LEN = lenalidomide; mA</w:t>
      </w:r>
      <w:r w:rsidR="00BD0038" w:rsidRPr="009E4EB8">
        <w:rPr>
          <w:rFonts w:ascii="Arial Narrow" w:hAnsi="Arial Narrow"/>
          <w:sz w:val="18"/>
          <w:szCs w:val="18"/>
        </w:rPr>
        <w:t>b</w:t>
      </w:r>
      <w:r w:rsidRPr="009E4EB8">
        <w:rPr>
          <w:rFonts w:ascii="Arial Narrow" w:hAnsi="Arial Narrow"/>
          <w:sz w:val="18"/>
          <w:szCs w:val="18"/>
        </w:rPr>
        <w:t xml:space="preserve"> = monoclonal antibodies; PI = proteasome inhibitors; POM = pomalidomide, </w:t>
      </w:r>
      <w:r w:rsidR="00B80C05" w:rsidRPr="009E4EB8">
        <w:rPr>
          <w:rFonts w:ascii="Arial Narrow" w:hAnsi="Arial Narrow"/>
          <w:sz w:val="18"/>
          <w:szCs w:val="18"/>
        </w:rPr>
        <w:t xml:space="preserve">Sd = selinexor + dexamethasone; </w:t>
      </w:r>
      <w:r w:rsidRPr="009E4EB8">
        <w:rPr>
          <w:rFonts w:ascii="Arial Narrow" w:hAnsi="Arial Narrow"/>
          <w:sz w:val="18"/>
          <w:szCs w:val="18"/>
        </w:rPr>
        <w:t>SINE = selective inhibitor of nuclear export; TE = transplant eligible; TI = transplant ineligible.</w:t>
      </w:r>
    </w:p>
    <w:p w14:paraId="735A2F1C" w14:textId="77777777" w:rsidR="00F94A37" w:rsidRPr="009E4EB8" w:rsidRDefault="00F94A37" w:rsidP="00F94A37">
      <w:pPr>
        <w:pStyle w:val="CaptionFootnote"/>
        <w:rPr>
          <w:rFonts w:ascii="Arial Narrow" w:hAnsi="Arial Narrow"/>
          <w:sz w:val="18"/>
          <w:szCs w:val="18"/>
        </w:rPr>
      </w:pPr>
      <w:r w:rsidRPr="009E4EB8">
        <w:rPr>
          <w:rFonts w:ascii="Arial Narrow" w:hAnsi="Arial Narrow"/>
          <w:sz w:val="18"/>
          <w:szCs w:val="18"/>
        </w:rPr>
        <w:t>Note: *carfilzomib and pomalidomide may not be available at first relapse</w:t>
      </w:r>
    </w:p>
    <w:p w14:paraId="12F9B30F" w14:textId="77777777" w:rsidR="000D694B" w:rsidRPr="009E4EB8" w:rsidRDefault="000D694B" w:rsidP="000D694B"/>
    <w:p w14:paraId="07AA0342" w14:textId="6DE15251" w:rsidR="003B7D08" w:rsidRPr="009E4EB8" w:rsidRDefault="007D34D8" w:rsidP="009557F4">
      <w:pPr>
        <w:pStyle w:val="3-BodyText"/>
        <w:rPr>
          <w:iCs/>
        </w:rPr>
      </w:pPr>
      <w:r w:rsidRPr="009E4EB8">
        <w:t xml:space="preserve">Selinexor is an oral, first-in-class, potent, selective inhibitor of nuclear export (SINE) compound that specifically blocks exportin 1 (XPO1). Inhibition of XPO1 leads, amongst other mechanisms, to the nuclear accumulation and activation of tumour suppressor proteins (TSP), which then initiate apoptosis in cancer cells. The resubmission stated that selinexor has demonstrated broad anti-tumour activities in patients with haematologic and solid tumour malignancies, many of which had previously been treated with all available standard anti-cancer agents, suggesting that XPO1 inhibition is a novel mechanism of action relevant to the treatment of diverse human cancers. The resubmission further claimed that this novel mechanism of action may provide significant benefit to patients who have already developed relapse or are refractory to currently available therapies. </w:t>
      </w:r>
      <w:r w:rsidR="00485E39" w:rsidRPr="009E4EB8">
        <w:rPr>
          <w:iCs/>
        </w:rPr>
        <w:t xml:space="preserve"> </w:t>
      </w:r>
    </w:p>
    <w:p w14:paraId="2CD1AE4C" w14:textId="56F537F3" w:rsidR="00FF2ABB" w:rsidRPr="009E4EB8" w:rsidRDefault="00C31CEF" w:rsidP="009F3F6F">
      <w:pPr>
        <w:pStyle w:val="3-BodyText"/>
        <w:rPr>
          <w:color w:val="0066FF"/>
        </w:rPr>
      </w:pPr>
      <w:r w:rsidRPr="009E4EB8">
        <w:lastRenderedPageBreak/>
        <w:t>The ESC noted that as an oral therapy, selinexor may offer benefits</w:t>
      </w:r>
      <w:r w:rsidR="006F798F" w:rsidRPr="009E4EB8">
        <w:t xml:space="preserve"> such as </w:t>
      </w:r>
      <w:r w:rsidRPr="009E4EB8">
        <w:t xml:space="preserve">reduced need for clinic visits </w:t>
      </w:r>
      <w:r w:rsidR="006F798F" w:rsidRPr="009E4EB8">
        <w:t xml:space="preserve">for drug administration, and that an oral therapy may </w:t>
      </w:r>
      <w:r w:rsidR="00DD511B" w:rsidRPr="009E4EB8">
        <w:t>be preferred</w:t>
      </w:r>
      <w:r w:rsidR="006F798F" w:rsidRPr="009E4EB8">
        <w:t>, especially for end stage patients, compared with parenteral treatments</w:t>
      </w:r>
      <w:r w:rsidR="00074E17" w:rsidRPr="009E4EB8">
        <w:rPr>
          <w:iCs/>
        </w:rPr>
        <w:t xml:space="preserve">. </w:t>
      </w:r>
    </w:p>
    <w:p w14:paraId="718E16C4" w14:textId="028BD163" w:rsidR="005304FD" w:rsidRPr="009E4EB8" w:rsidRDefault="006B6651" w:rsidP="009F3F6F">
      <w:pPr>
        <w:pStyle w:val="3-BodyText"/>
        <w:rPr>
          <w:color w:val="0066FF"/>
        </w:rPr>
      </w:pPr>
      <w:r w:rsidRPr="009E4EB8">
        <w:rPr>
          <w:iCs/>
        </w:rPr>
        <w:t xml:space="preserve">The requested PBS listing for Sd was </w:t>
      </w:r>
      <w:r w:rsidR="00781036" w:rsidRPr="009E4EB8">
        <w:rPr>
          <w:iCs/>
        </w:rPr>
        <w:t xml:space="preserve">narrower than </w:t>
      </w:r>
      <w:r w:rsidR="00D31A76" w:rsidRPr="009E4EB8">
        <w:rPr>
          <w:iCs/>
        </w:rPr>
        <w:t>but consistent with</w:t>
      </w:r>
      <w:r w:rsidRPr="009E4EB8">
        <w:rPr>
          <w:iCs/>
        </w:rPr>
        <w:t xml:space="preserve"> the</w:t>
      </w:r>
      <w:r w:rsidR="00B203FD" w:rsidRPr="009E4EB8">
        <w:rPr>
          <w:iCs/>
        </w:rPr>
        <w:t xml:space="preserve"> requested TGA </w:t>
      </w:r>
      <w:r w:rsidR="006215A8" w:rsidRPr="009E4EB8">
        <w:rPr>
          <w:iCs/>
        </w:rPr>
        <w:t>indication and</w:t>
      </w:r>
      <w:r w:rsidRPr="009E4EB8">
        <w:rPr>
          <w:iCs/>
        </w:rPr>
        <w:t xml:space="preserve"> </w:t>
      </w:r>
      <w:r w:rsidR="00084618" w:rsidRPr="009E4EB8">
        <w:rPr>
          <w:iCs/>
        </w:rPr>
        <w:t xml:space="preserve">TGA approved </w:t>
      </w:r>
      <w:r w:rsidRPr="009E4EB8">
        <w:rPr>
          <w:iCs/>
        </w:rPr>
        <w:t>selinexor product information, which states that selinexor should be used “In combination with dexamethasone for the treatment of adult patients with relapsed or refractory multiple myeloma (RRMM) who have received at least three prior therapies and whose disease is refractory to at least one proteasome inhibitor, at least one immunomodulatory medicinal product (IMiD), and an anti-CD38 monoclonal antibody (mAb))” (</w:t>
      </w:r>
      <w:r w:rsidR="0081202B" w:rsidRPr="009E4EB8">
        <w:rPr>
          <w:iCs/>
        </w:rPr>
        <w:t xml:space="preserve">TGA approved </w:t>
      </w:r>
      <w:r w:rsidRPr="009E4EB8">
        <w:rPr>
          <w:iCs/>
        </w:rPr>
        <w:t xml:space="preserve">selinexor product information). </w:t>
      </w:r>
    </w:p>
    <w:p w14:paraId="694DFC7C" w14:textId="77777777" w:rsidR="002C3290" w:rsidRPr="009E4EB8" w:rsidRDefault="002C3290" w:rsidP="002C3290">
      <w:pPr>
        <w:ind w:firstLine="709"/>
        <w:rPr>
          <w:rFonts w:asciiTheme="minorHAnsi" w:hAnsiTheme="minorHAnsi"/>
          <w:i/>
        </w:rPr>
      </w:pPr>
      <w:r w:rsidRPr="009E4EB8">
        <w:rPr>
          <w:rFonts w:asciiTheme="minorHAnsi" w:hAnsiTheme="minorHAnsi"/>
          <w:i/>
        </w:rPr>
        <w:t>For more detail on PBAC’s view, see section 7 PBAC outcome.</w:t>
      </w:r>
    </w:p>
    <w:p w14:paraId="7429A5F9" w14:textId="77777777" w:rsidR="002C3290" w:rsidRPr="009E4EB8" w:rsidRDefault="002C3290" w:rsidP="002C3290"/>
    <w:p w14:paraId="730C426E" w14:textId="77777777" w:rsidR="005304FD" w:rsidRPr="009E4EB8" w:rsidRDefault="005304FD" w:rsidP="005304FD">
      <w:pPr>
        <w:pStyle w:val="2-SectionHeading"/>
        <w:numPr>
          <w:ilvl w:val="0"/>
          <w:numId w:val="1"/>
        </w:numPr>
      </w:pPr>
      <w:bookmarkStart w:id="28" w:name="_Toc22898850"/>
      <w:bookmarkStart w:id="29" w:name="_Toc93422861"/>
      <w:r w:rsidRPr="009E4EB8">
        <w:t>Comparator</w:t>
      </w:r>
      <w:bookmarkEnd w:id="28"/>
      <w:bookmarkEnd w:id="29"/>
    </w:p>
    <w:p w14:paraId="33A6AAA7" w14:textId="77777777" w:rsidR="00FF5C06" w:rsidRPr="009E4EB8" w:rsidRDefault="00A27FEB" w:rsidP="005304FD">
      <w:pPr>
        <w:pStyle w:val="3-BodyText"/>
        <w:rPr>
          <w:snapToGrid/>
        </w:rPr>
      </w:pPr>
      <w:r w:rsidRPr="009E4EB8">
        <w:t xml:space="preserve">The resubmission nominated ‘salvage chemotherapy’ in the form of dexamethasone, cyclophosphamide, etoposide, and cisplatin (DCEP) as the main comparator. </w:t>
      </w:r>
      <w:r w:rsidRPr="009E4EB8">
        <w:rPr>
          <w:iCs/>
        </w:rPr>
        <w:t xml:space="preserve">The nominated comparator was consistent with the July 2021 submission. </w:t>
      </w:r>
    </w:p>
    <w:p w14:paraId="47654602" w14:textId="3254E10E" w:rsidR="005304FD" w:rsidRPr="009E4EB8" w:rsidRDefault="00500BA1" w:rsidP="009B623B">
      <w:pPr>
        <w:pStyle w:val="3-BodyText"/>
        <w:rPr>
          <w:snapToGrid/>
        </w:rPr>
      </w:pPr>
      <w:r w:rsidRPr="009E4EB8">
        <w:rPr>
          <w:iCs/>
        </w:rPr>
        <w:t xml:space="preserve">The PBAC previously considered that there was no standard therapy for patients with TCR/PR MM and considered that DCEP was representative of last-line care (Para. 7.4, Selinexor (TCR/PR), PBAC </w:t>
      </w:r>
      <w:r w:rsidR="00640A47">
        <w:rPr>
          <w:iCs/>
        </w:rPr>
        <w:t>PSD</w:t>
      </w:r>
      <w:r w:rsidRPr="009E4EB8">
        <w:rPr>
          <w:iCs/>
        </w:rPr>
        <w:t xml:space="preserve">, July 2021 PBAC Meeting). The clinical evidence presented in the resubmission compared Sd (TCR/PR population from STORM) to conventional chemotherapy from MAMMOTH. The PBAC, previously considered that there were applicability issues, where MAMMOTH did not represent the clinical outcomes of the proposed comparator (DCEP), but of conventional </w:t>
      </w:r>
      <w:r w:rsidR="006059A2" w:rsidRPr="009E4EB8">
        <w:rPr>
          <w:iCs/>
        </w:rPr>
        <w:t xml:space="preserve">care </w:t>
      </w:r>
      <w:r w:rsidRPr="009E4EB8">
        <w:rPr>
          <w:iCs/>
        </w:rPr>
        <w:t xml:space="preserve">(Para. 7.7, Selinexor (TCR/PR), PBAC </w:t>
      </w:r>
      <w:r w:rsidR="00640A47">
        <w:rPr>
          <w:iCs/>
        </w:rPr>
        <w:t>PSD</w:t>
      </w:r>
      <w:r w:rsidRPr="009E4EB8">
        <w:rPr>
          <w:iCs/>
        </w:rPr>
        <w:t>, July 2021 PBAC Meeting). To address the applicability issue of the regimen</w:t>
      </w:r>
      <w:r w:rsidR="00D5558A" w:rsidRPr="009E4EB8">
        <w:rPr>
          <w:iCs/>
        </w:rPr>
        <w:t>s</w:t>
      </w:r>
      <w:r w:rsidRPr="009E4EB8">
        <w:rPr>
          <w:iCs/>
        </w:rPr>
        <w:t xml:space="preserve"> used in MAMMOTH, the resubmission presented additional analyses comparing STORM with Goldsmith 2020 (previously presented in Section 3 of the July 2021 submission) in which 74% of PR MM participants were treated with DCEP.</w:t>
      </w:r>
      <w:r w:rsidR="00DE0315" w:rsidRPr="009E4EB8">
        <w:rPr>
          <w:iCs/>
        </w:rPr>
        <w:t xml:space="preserve"> However, the dosing regimen of DCEP from Goldsmith 2020 </w:t>
      </w:r>
      <w:r w:rsidR="00790759" w:rsidRPr="009E4EB8">
        <w:rPr>
          <w:iCs/>
        </w:rPr>
        <w:t xml:space="preserve">was </w:t>
      </w:r>
      <w:r w:rsidR="00DE0315" w:rsidRPr="009E4EB8">
        <w:rPr>
          <w:iCs/>
        </w:rPr>
        <w:t xml:space="preserve">different to the regimen presented in the safety analysis </w:t>
      </w:r>
      <w:r w:rsidR="00790759" w:rsidRPr="009E4EB8">
        <w:rPr>
          <w:iCs/>
        </w:rPr>
        <w:t>and different again to</w:t>
      </w:r>
      <w:r w:rsidR="0047666F" w:rsidRPr="009E4EB8">
        <w:rPr>
          <w:iCs/>
        </w:rPr>
        <w:t xml:space="preserve"> that assumed for</w:t>
      </w:r>
      <w:r w:rsidR="00790759" w:rsidRPr="009E4EB8">
        <w:rPr>
          <w:iCs/>
        </w:rPr>
        <w:t xml:space="preserve"> the economic and financial evaluations. </w:t>
      </w:r>
    </w:p>
    <w:p w14:paraId="3A773941" w14:textId="64F7F257" w:rsidR="00074E17" w:rsidRPr="009E4EB8" w:rsidRDefault="00074E17" w:rsidP="0081202B">
      <w:pPr>
        <w:pStyle w:val="3-BodyText"/>
        <w:rPr>
          <w:iCs/>
        </w:rPr>
      </w:pPr>
      <w:r w:rsidRPr="009E4EB8">
        <w:rPr>
          <w:snapToGrid/>
        </w:rPr>
        <w:t>The ESC considered the nomination of DCEP as main comparator was reasonable and that variations in DCEP dosing across the trials were not likely to be clinically significant</w:t>
      </w:r>
      <w:r w:rsidR="00030D57" w:rsidRPr="009E4EB8">
        <w:rPr>
          <w:snapToGrid/>
        </w:rPr>
        <w:t>,</w:t>
      </w:r>
      <w:r w:rsidRPr="009E4EB8">
        <w:rPr>
          <w:snapToGrid/>
        </w:rPr>
        <w:t xml:space="preserve"> especially at this line of therapy. </w:t>
      </w:r>
      <w:r w:rsidR="0081202B" w:rsidRPr="009E4EB8">
        <w:rPr>
          <w:iCs/>
        </w:rPr>
        <w:t>The PBAC agreed with the ESC that the variations in DCEP dosing did not impact interpretation of the results.</w:t>
      </w:r>
    </w:p>
    <w:p w14:paraId="2864CDD1" w14:textId="77777777" w:rsidR="002C3290" w:rsidRPr="009E4EB8" w:rsidRDefault="002C3290" w:rsidP="002C3290">
      <w:pPr>
        <w:ind w:firstLine="709"/>
        <w:rPr>
          <w:rFonts w:asciiTheme="minorHAnsi" w:hAnsiTheme="minorHAnsi"/>
          <w:i/>
        </w:rPr>
      </w:pPr>
      <w:r w:rsidRPr="009E4EB8">
        <w:rPr>
          <w:rFonts w:asciiTheme="minorHAnsi" w:hAnsiTheme="minorHAnsi"/>
          <w:i/>
        </w:rPr>
        <w:t>For more detail on PBAC’s view, see section 7 PBAC outcome.</w:t>
      </w:r>
    </w:p>
    <w:p w14:paraId="7640362B" w14:textId="77777777" w:rsidR="002C3290" w:rsidRPr="009E4EB8" w:rsidRDefault="002C3290" w:rsidP="002C3290"/>
    <w:p w14:paraId="133B9F49" w14:textId="77777777" w:rsidR="005304FD" w:rsidRPr="009E4EB8" w:rsidRDefault="005304FD" w:rsidP="005304FD">
      <w:pPr>
        <w:pStyle w:val="2-SectionHeading"/>
        <w:numPr>
          <w:ilvl w:val="0"/>
          <w:numId w:val="1"/>
        </w:numPr>
      </w:pPr>
      <w:bookmarkStart w:id="30" w:name="_Toc93422862"/>
      <w:bookmarkStart w:id="31" w:name="_Toc22897640"/>
      <w:bookmarkStart w:id="32" w:name="_Toc22898852"/>
      <w:r w:rsidRPr="009E4EB8">
        <w:lastRenderedPageBreak/>
        <w:t>Consideration of the evidence</w:t>
      </w:r>
      <w:bookmarkEnd w:id="30"/>
    </w:p>
    <w:p w14:paraId="39BB915D" w14:textId="77777777" w:rsidR="002C3290" w:rsidRPr="009E4EB8" w:rsidRDefault="002C3290" w:rsidP="002C3290">
      <w:pPr>
        <w:pStyle w:val="4-SubsectionHeading"/>
      </w:pPr>
      <w:bookmarkStart w:id="33" w:name="_Hlk76375935"/>
      <w:bookmarkStart w:id="34" w:name="_Toc93422863"/>
      <w:r w:rsidRPr="009E4EB8">
        <w:t>Sponsor hearing</w:t>
      </w:r>
    </w:p>
    <w:p w14:paraId="16FAE56B" w14:textId="398E96AC" w:rsidR="009D50AD" w:rsidRPr="009E4EB8" w:rsidRDefault="009D50AD" w:rsidP="00B8116E">
      <w:pPr>
        <w:pStyle w:val="3-BodyText"/>
        <w:rPr>
          <w:bCs/>
        </w:rPr>
      </w:pPr>
      <w:bookmarkStart w:id="35" w:name="_Hlk76382586"/>
      <w:r w:rsidRPr="009E4EB8">
        <w:rPr>
          <w:bCs/>
        </w:rPr>
        <w:t>T</w:t>
      </w:r>
      <w:r w:rsidR="002C3290" w:rsidRPr="009E4EB8">
        <w:rPr>
          <w:bCs/>
        </w:rPr>
        <w:t xml:space="preserve">he sponsor </w:t>
      </w:r>
      <w:r w:rsidRPr="009E4EB8">
        <w:rPr>
          <w:bCs/>
        </w:rPr>
        <w:t>provided</w:t>
      </w:r>
      <w:r w:rsidR="002C3290" w:rsidRPr="009E4EB8">
        <w:rPr>
          <w:bCs/>
        </w:rPr>
        <w:t xml:space="preserve"> a hearing for this item. The clinician </w:t>
      </w:r>
      <w:r w:rsidR="00496925" w:rsidRPr="009E4EB8">
        <w:rPr>
          <w:bCs/>
        </w:rPr>
        <w:t>described</w:t>
      </w:r>
      <w:r w:rsidRPr="009E4EB8">
        <w:rPr>
          <w:bCs/>
        </w:rPr>
        <w:t xml:space="preserve"> TCR/PR MM </w:t>
      </w:r>
      <w:r w:rsidR="00496925" w:rsidRPr="009E4EB8">
        <w:rPr>
          <w:bCs/>
        </w:rPr>
        <w:t>as</w:t>
      </w:r>
      <w:r w:rsidRPr="009E4EB8">
        <w:rPr>
          <w:bCs/>
        </w:rPr>
        <w:t xml:space="preserve"> a critical area of unmet need in Australia, noting that the availability of more effective earlier lines of therapy is resulting in more patients surviving to a fourth relapse while maintaining good functional status</w:t>
      </w:r>
      <w:r w:rsidR="0081202B" w:rsidRPr="009E4EB8">
        <w:rPr>
          <w:bCs/>
        </w:rPr>
        <w:t>. These patients require</w:t>
      </w:r>
      <w:r w:rsidRPr="009E4EB8">
        <w:rPr>
          <w:bCs/>
        </w:rPr>
        <w:t xml:space="preserve"> active therapy</w:t>
      </w:r>
      <w:r w:rsidR="0056098C" w:rsidRPr="009E4EB8">
        <w:rPr>
          <w:bCs/>
        </w:rPr>
        <w:t xml:space="preserve"> </w:t>
      </w:r>
      <w:r w:rsidR="0081202B" w:rsidRPr="009E4EB8">
        <w:rPr>
          <w:bCs/>
        </w:rPr>
        <w:t>and</w:t>
      </w:r>
      <w:r w:rsidR="0056098C" w:rsidRPr="009E4EB8">
        <w:rPr>
          <w:bCs/>
        </w:rPr>
        <w:t xml:space="preserve"> </w:t>
      </w:r>
      <w:r w:rsidR="0081202B" w:rsidRPr="009E4EB8">
        <w:rPr>
          <w:bCs/>
        </w:rPr>
        <w:t xml:space="preserve">palliation is not </w:t>
      </w:r>
      <w:r w:rsidR="0056098C" w:rsidRPr="009E4EB8">
        <w:rPr>
          <w:bCs/>
        </w:rPr>
        <w:t>acceptable</w:t>
      </w:r>
      <w:r w:rsidRPr="009E4EB8">
        <w:rPr>
          <w:bCs/>
        </w:rPr>
        <w:t xml:space="preserve">. </w:t>
      </w:r>
      <w:r w:rsidR="00B8116E" w:rsidRPr="009E4EB8">
        <w:rPr>
          <w:bCs/>
        </w:rPr>
        <w:t xml:space="preserve">The clinician described the benefits of Sd in patients with TCR/PR MM due to the novel mechanism of action of selinexor and described the GI side effects as manageable. </w:t>
      </w:r>
      <w:r w:rsidRPr="009E4EB8">
        <w:rPr>
          <w:bCs/>
        </w:rPr>
        <w:t xml:space="preserve">The clinician </w:t>
      </w:r>
      <w:r w:rsidR="00496925" w:rsidRPr="009E4EB8">
        <w:rPr>
          <w:bCs/>
        </w:rPr>
        <w:t>had gained</w:t>
      </w:r>
      <w:r w:rsidRPr="009E4EB8">
        <w:rPr>
          <w:bCs/>
        </w:rPr>
        <w:t xml:space="preserve"> experience with selinexor </w:t>
      </w:r>
      <w:r w:rsidR="00B8116E" w:rsidRPr="009E4EB8">
        <w:rPr>
          <w:bCs/>
        </w:rPr>
        <w:t>through</w:t>
      </w:r>
      <w:r w:rsidRPr="009E4EB8">
        <w:rPr>
          <w:bCs/>
        </w:rPr>
        <w:t xml:space="preserve"> clinical trials and compassionate access</w:t>
      </w:r>
      <w:r w:rsidR="00B8116E" w:rsidRPr="009E4EB8">
        <w:rPr>
          <w:bCs/>
        </w:rPr>
        <w:t xml:space="preserve"> </w:t>
      </w:r>
      <w:proofErr w:type="gramStart"/>
      <w:r w:rsidR="00B8116E" w:rsidRPr="009E4EB8">
        <w:rPr>
          <w:bCs/>
        </w:rPr>
        <w:t>programs</w:t>
      </w:r>
      <w:r w:rsidRPr="009E4EB8">
        <w:rPr>
          <w:bCs/>
        </w:rPr>
        <w:t>, and</w:t>
      </w:r>
      <w:proofErr w:type="gramEnd"/>
      <w:r w:rsidRPr="009E4EB8">
        <w:rPr>
          <w:bCs/>
        </w:rPr>
        <w:t xml:space="preserve"> </w:t>
      </w:r>
      <w:r w:rsidR="00496925" w:rsidRPr="009E4EB8">
        <w:rPr>
          <w:bCs/>
        </w:rPr>
        <w:t xml:space="preserve">spoke of </w:t>
      </w:r>
      <w:r w:rsidRPr="009E4EB8">
        <w:rPr>
          <w:bCs/>
        </w:rPr>
        <w:t>the impact of even a minor response to these patients in terms of survival benefit</w:t>
      </w:r>
      <w:r w:rsidR="00B8116E" w:rsidRPr="009E4EB8">
        <w:rPr>
          <w:bCs/>
        </w:rPr>
        <w:t>. The clinician</w:t>
      </w:r>
      <w:r w:rsidRPr="009E4EB8">
        <w:rPr>
          <w:bCs/>
        </w:rPr>
        <w:t xml:space="preserve"> highlighted the importance of PBS access to improve equity of access, especially for patients unable to access clinical trials</w:t>
      </w:r>
      <w:r w:rsidR="005F6927" w:rsidRPr="009E4EB8">
        <w:rPr>
          <w:bCs/>
        </w:rPr>
        <w:t xml:space="preserve"> or compassionate access programs</w:t>
      </w:r>
      <w:r w:rsidRPr="009E4EB8">
        <w:rPr>
          <w:bCs/>
        </w:rPr>
        <w:t xml:space="preserve">. The PBAC considered that the hearing was informative as it provided a clinical perspective on the </w:t>
      </w:r>
      <w:r w:rsidR="00B8116E" w:rsidRPr="009E4EB8">
        <w:rPr>
          <w:bCs/>
        </w:rPr>
        <w:t xml:space="preserve">potential use of </w:t>
      </w:r>
      <w:r w:rsidRPr="009E4EB8">
        <w:rPr>
          <w:bCs/>
        </w:rPr>
        <w:t>Sd</w:t>
      </w:r>
      <w:r w:rsidR="00B8116E" w:rsidRPr="009E4EB8">
        <w:rPr>
          <w:bCs/>
        </w:rPr>
        <w:t xml:space="preserve"> in Australian clinical practice</w:t>
      </w:r>
      <w:r w:rsidRPr="009E4EB8">
        <w:rPr>
          <w:bCs/>
        </w:rPr>
        <w:t>.</w:t>
      </w:r>
    </w:p>
    <w:bookmarkEnd w:id="35"/>
    <w:p w14:paraId="26650BBB" w14:textId="77777777" w:rsidR="002C3290" w:rsidRPr="009E4EB8" w:rsidRDefault="002C3290" w:rsidP="002C3290">
      <w:pPr>
        <w:pStyle w:val="4-SubsectionHeading"/>
      </w:pPr>
      <w:r w:rsidRPr="009E4EB8">
        <w:t>Consumer comments</w:t>
      </w:r>
    </w:p>
    <w:p w14:paraId="779825C2" w14:textId="14F4B7EC" w:rsidR="00802A50" w:rsidRPr="009E4EB8" w:rsidRDefault="00802A50" w:rsidP="007670F7">
      <w:pPr>
        <w:pStyle w:val="3-BodyText"/>
      </w:pPr>
      <w:bookmarkStart w:id="36" w:name="_Hlk76382618"/>
      <w:r w:rsidRPr="009E4EB8">
        <w:t>The PBAC noted and welcomed the input from individuals (6) and organisations (3) via the Consumer Comments facility on the PBS website. The comments from the individuals described the ongoing need for new treatment options for the management of RRMM</w:t>
      </w:r>
      <w:r w:rsidR="001516A0" w:rsidRPr="009E4EB8">
        <w:t xml:space="preserve"> and expressed concern about the cost of therapy if not PBS listed</w:t>
      </w:r>
      <w:r w:rsidRPr="009E4EB8">
        <w:t xml:space="preserve">. Input from health professionals highlighted that selinexor is an oral therapy that can be administered away from </w:t>
      </w:r>
      <w:proofErr w:type="gramStart"/>
      <w:r w:rsidRPr="009E4EB8">
        <w:t xml:space="preserve">hospital, </w:t>
      </w:r>
      <w:r w:rsidR="008557F3" w:rsidRPr="009E4EB8">
        <w:t>and</w:t>
      </w:r>
      <w:proofErr w:type="gramEnd"/>
      <w:r w:rsidR="008557F3" w:rsidRPr="009E4EB8">
        <w:t xml:space="preserve"> </w:t>
      </w:r>
      <w:r w:rsidR="0081202B" w:rsidRPr="009E4EB8">
        <w:t>minimises</w:t>
      </w:r>
      <w:r w:rsidR="008557F3" w:rsidRPr="009E4EB8">
        <w:t xml:space="preserve"> </w:t>
      </w:r>
      <w:r w:rsidR="0081202B" w:rsidRPr="009E4EB8">
        <w:t xml:space="preserve">COVID-19 infection </w:t>
      </w:r>
      <w:r w:rsidR="008557F3" w:rsidRPr="009E4EB8">
        <w:t xml:space="preserve">risk associated with attendance at health care settings. Health professionals noted </w:t>
      </w:r>
      <w:r w:rsidRPr="009E4EB8">
        <w:t xml:space="preserve">that adverse events </w:t>
      </w:r>
      <w:r w:rsidRPr="009E4EB8">
        <w:rPr>
          <w:bCs/>
        </w:rPr>
        <w:t>such as nausea, anorexia, and thrombocytopenia are common, and may require dose modifications or treatment cessation.</w:t>
      </w:r>
      <w:r w:rsidRPr="009E4EB8">
        <w:t xml:space="preserve"> </w:t>
      </w:r>
      <w:r w:rsidR="0056098C" w:rsidRPr="009E4EB8">
        <w:t xml:space="preserve">Individuals expressed a desire to </w:t>
      </w:r>
      <w:r w:rsidR="00793DF2" w:rsidRPr="009E4EB8">
        <w:t>avoid heavy chemo</w:t>
      </w:r>
      <w:r w:rsidR="0056098C" w:rsidRPr="009E4EB8">
        <w:t>therapy or stem cell transplant (</w:t>
      </w:r>
      <w:r w:rsidR="00793DF2" w:rsidRPr="009E4EB8">
        <w:t>SCT</w:t>
      </w:r>
      <w:r w:rsidR="0056098C" w:rsidRPr="009E4EB8">
        <w:t>)</w:t>
      </w:r>
      <w:r w:rsidR="00793DF2" w:rsidRPr="009E4EB8">
        <w:t xml:space="preserve"> at relapse</w:t>
      </w:r>
      <w:r w:rsidR="0056098C" w:rsidRPr="009E4EB8">
        <w:t xml:space="preserve">. </w:t>
      </w:r>
      <w:r w:rsidR="001516A0" w:rsidRPr="009E4EB8">
        <w:t xml:space="preserve">Input from individuals with personal experience taking selinexor </w:t>
      </w:r>
      <w:r w:rsidRPr="009E4EB8">
        <w:t>described the gastrointestinal side</w:t>
      </w:r>
      <w:r w:rsidRPr="009E4EB8">
        <w:noBreakHyphen/>
        <w:t xml:space="preserve">effects as less severe than </w:t>
      </w:r>
      <w:r w:rsidR="001516A0" w:rsidRPr="009E4EB8">
        <w:t>those with chemotherapy.</w:t>
      </w:r>
    </w:p>
    <w:p w14:paraId="58C80041" w14:textId="0B408399" w:rsidR="00802A50" w:rsidRPr="009E4EB8" w:rsidRDefault="00802A50" w:rsidP="00431ABD">
      <w:pPr>
        <w:pStyle w:val="3-BodyText"/>
        <w:widowControl w:val="0"/>
        <w:rPr>
          <w:bCs/>
        </w:rPr>
      </w:pPr>
      <w:r w:rsidRPr="009E4EB8">
        <w:t>The PBAC noted the advice received from (</w:t>
      </w:r>
      <w:proofErr w:type="spellStart"/>
      <w:r w:rsidRPr="009E4EB8">
        <w:t>i</w:t>
      </w:r>
      <w:proofErr w:type="spellEnd"/>
      <w:r w:rsidRPr="009E4EB8">
        <w:t xml:space="preserve">) Myeloma Australia, (ii) the Leukaemia Foundation, and (iii) </w:t>
      </w:r>
      <w:r w:rsidRPr="009E4EB8">
        <w:rPr>
          <w:bCs/>
        </w:rPr>
        <w:t>Myeloma Australia's Medical and Scientific Advisory Group</w:t>
      </w:r>
      <w:r w:rsidR="00523765" w:rsidRPr="009E4EB8">
        <w:rPr>
          <w:bCs/>
        </w:rPr>
        <w:t xml:space="preserve"> (MSAG)</w:t>
      </w:r>
      <w:r w:rsidRPr="009E4EB8">
        <w:rPr>
          <w:bCs/>
        </w:rPr>
        <w:t>, which described the ongoing clinical need for new therapies</w:t>
      </w:r>
      <w:r w:rsidR="00473D85" w:rsidRPr="009E4EB8">
        <w:rPr>
          <w:bCs/>
        </w:rPr>
        <w:t xml:space="preserve"> for </w:t>
      </w:r>
      <w:proofErr w:type="gramStart"/>
      <w:r w:rsidR="00473D85" w:rsidRPr="009E4EB8">
        <w:rPr>
          <w:bCs/>
        </w:rPr>
        <w:t>RRMM</w:t>
      </w:r>
      <w:r w:rsidRPr="009E4EB8">
        <w:rPr>
          <w:bCs/>
        </w:rPr>
        <w:t xml:space="preserve">, </w:t>
      </w:r>
      <w:r w:rsidR="00431ABD" w:rsidRPr="009E4EB8">
        <w:rPr>
          <w:bCs/>
        </w:rPr>
        <w:t>and</w:t>
      </w:r>
      <w:proofErr w:type="gramEnd"/>
      <w:r w:rsidR="00431ABD" w:rsidRPr="009E4EB8">
        <w:rPr>
          <w:bCs/>
        </w:rPr>
        <w:t xml:space="preserve"> supported the proposed listing for Sd</w:t>
      </w:r>
      <w:r w:rsidRPr="009E4EB8">
        <w:rPr>
          <w:bCs/>
        </w:rPr>
        <w:t xml:space="preserve"> </w:t>
      </w:r>
      <w:r w:rsidR="00473D85" w:rsidRPr="009E4EB8">
        <w:rPr>
          <w:bCs/>
        </w:rPr>
        <w:t>b</w:t>
      </w:r>
      <w:r w:rsidR="00431ABD" w:rsidRPr="009E4EB8">
        <w:rPr>
          <w:bCs/>
        </w:rPr>
        <w:t xml:space="preserve">ased on the efficacy </w:t>
      </w:r>
      <w:r w:rsidR="00473D85" w:rsidRPr="009E4EB8">
        <w:rPr>
          <w:bCs/>
        </w:rPr>
        <w:t xml:space="preserve">and </w:t>
      </w:r>
      <w:r w:rsidR="00431ABD" w:rsidRPr="009E4EB8">
        <w:rPr>
          <w:bCs/>
        </w:rPr>
        <w:t xml:space="preserve">safety profile demonstrated in </w:t>
      </w:r>
      <w:r w:rsidR="00473D85" w:rsidRPr="009E4EB8">
        <w:rPr>
          <w:bCs/>
        </w:rPr>
        <w:t xml:space="preserve">the </w:t>
      </w:r>
      <w:r w:rsidR="00431ABD" w:rsidRPr="009E4EB8">
        <w:rPr>
          <w:bCs/>
        </w:rPr>
        <w:t>STORM</w:t>
      </w:r>
      <w:r w:rsidR="00473D85" w:rsidRPr="009E4EB8">
        <w:rPr>
          <w:bCs/>
        </w:rPr>
        <w:t xml:space="preserve"> study</w:t>
      </w:r>
      <w:r w:rsidRPr="009E4EB8">
        <w:rPr>
          <w:bCs/>
        </w:rPr>
        <w:t>.</w:t>
      </w:r>
      <w:r w:rsidR="00523765" w:rsidRPr="009E4EB8">
        <w:rPr>
          <w:bCs/>
        </w:rPr>
        <w:t xml:space="preserve"> The MSAG described the adver</w:t>
      </w:r>
      <w:r w:rsidR="00F818DE" w:rsidRPr="009E4EB8">
        <w:rPr>
          <w:bCs/>
        </w:rPr>
        <w:t>s</w:t>
      </w:r>
      <w:r w:rsidR="00523765" w:rsidRPr="009E4EB8">
        <w:rPr>
          <w:bCs/>
        </w:rPr>
        <w:t>e events as transient and reversible, and noted that Sd would be a therapeutic option for those who have exhausted all other options.</w:t>
      </w:r>
    </w:p>
    <w:bookmarkEnd w:id="33"/>
    <w:bookmarkEnd w:id="36"/>
    <w:p w14:paraId="267EEC3A" w14:textId="77777777" w:rsidR="002C3290" w:rsidRPr="009E4EB8" w:rsidRDefault="002C3290" w:rsidP="002C3290"/>
    <w:p w14:paraId="715A5DDA" w14:textId="0CFB79DE" w:rsidR="005304FD" w:rsidRPr="009E4EB8" w:rsidRDefault="005304FD" w:rsidP="005304FD">
      <w:pPr>
        <w:pStyle w:val="4-SubsectionHeading"/>
      </w:pPr>
      <w:r w:rsidRPr="009E4EB8">
        <w:lastRenderedPageBreak/>
        <w:t>Clinical studies</w:t>
      </w:r>
      <w:bookmarkEnd w:id="31"/>
      <w:bookmarkEnd w:id="32"/>
      <w:bookmarkEnd w:id="34"/>
    </w:p>
    <w:p w14:paraId="2099D25B" w14:textId="599B3B9A" w:rsidR="002E5079" w:rsidRPr="009E4EB8" w:rsidRDefault="0047666F" w:rsidP="005304FD">
      <w:pPr>
        <w:pStyle w:val="3-BodyText"/>
        <w:rPr>
          <w:color w:val="0066FF"/>
        </w:rPr>
      </w:pPr>
      <w:r w:rsidRPr="009E4EB8">
        <w:rPr>
          <w:snapToGrid/>
        </w:rPr>
        <w:t>As for the</w:t>
      </w:r>
      <w:r w:rsidR="00F0515A" w:rsidRPr="009E4EB8">
        <w:rPr>
          <w:snapToGrid/>
        </w:rPr>
        <w:t xml:space="preserve"> July 2021 submission, </w:t>
      </w:r>
      <w:r w:rsidR="00F737C9" w:rsidRPr="009E4EB8">
        <w:rPr>
          <w:snapToGrid/>
        </w:rPr>
        <w:t>the resubmission was based on one single arm study, STORM Part 2 (N = 122 for the modified intention to treat population)</w:t>
      </w:r>
      <w:r w:rsidR="00AF3209" w:rsidRPr="009E4EB8">
        <w:rPr>
          <w:snapToGrid/>
        </w:rPr>
        <w:t>. STORM</w:t>
      </w:r>
      <w:r w:rsidR="00875B56" w:rsidRPr="009E4EB8">
        <w:rPr>
          <w:snapToGrid/>
        </w:rPr>
        <w:t xml:space="preserve"> Part 2</w:t>
      </w:r>
      <w:r w:rsidR="00AF3209" w:rsidRPr="009E4EB8">
        <w:rPr>
          <w:snapToGrid/>
        </w:rPr>
        <w:t xml:space="preserve"> </w:t>
      </w:r>
      <w:r w:rsidR="00AF3209" w:rsidRPr="009E4EB8">
        <w:t>enrolled patients who had previously received </w:t>
      </w:r>
      <w:r w:rsidR="00AF3209" w:rsidRPr="009E4EB8">
        <w:rPr>
          <w:rFonts w:cs="Calibri"/>
        </w:rPr>
        <w:t>≥</w:t>
      </w:r>
      <w:r w:rsidR="00AF3209" w:rsidRPr="009E4EB8">
        <w:t>3 anti-MM regimens (lenalidomide, pomalidomide, bortezomib, carfilzomib, or daratumumab</w:t>
      </w:r>
      <w:r w:rsidR="002E5079" w:rsidRPr="009E4EB8">
        <w:t>; penta-exposed</w:t>
      </w:r>
      <w:r w:rsidR="00AF3209" w:rsidRPr="009E4EB8">
        <w:t>) and had triple-class-refractory MM (refractory to glucocorticoids, at least 1 IMiD, at least 1 PI or anti-CD38 mAb daratumumab; pp26,78 STORM CSR).</w:t>
      </w:r>
    </w:p>
    <w:p w14:paraId="101E2914" w14:textId="45053429" w:rsidR="00D85C30" w:rsidRPr="009E4EB8" w:rsidRDefault="00C1310E" w:rsidP="00E403BE">
      <w:pPr>
        <w:pStyle w:val="3-BodyText"/>
        <w:rPr>
          <w:color w:val="0066FF"/>
        </w:rPr>
      </w:pPr>
      <w:r w:rsidRPr="009E4EB8">
        <w:t>Clinical results relevant to the requested listing (TCR/PR MM) were based on a subgroup of patients in STORM (N = 83)</w:t>
      </w:r>
      <w:r w:rsidR="007D358F" w:rsidRPr="009E4EB8">
        <w:t xml:space="preserve">. </w:t>
      </w:r>
      <w:r w:rsidR="007D358F" w:rsidRPr="009E4EB8">
        <w:rPr>
          <w:iCs/>
        </w:rPr>
        <w:t xml:space="preserve">These patients represent the patients in the requested listing i.e., TCR/PR MM. This efficacy population </w:t>
      </w:r>
      <w:r w:rsidR="00BC5D90" w:rsidRPr="009E4EB8">
        <w:rPr>
          <w:iCs/>
        </w:rPr>
        <w:t>(</w:t>
      </w:r>
      <w:r w:rsidR="00185F08" w:rsidRPr="009E4EB8">
        <w:rPr>
          <w:iCs/>
        </w:rPr>
        <w:t>known</w:t>
      </w:r>
      <w:r w:rsidR="007D358F" w:rsidRPr="009E4EB8">
        <w:rPr>
          <w:iCs/>
        </w:rPr>
        <w:t xml:space="preserve"> as the BCLPD-ref population in STORM</w:t>
      </w:r>
      <w:r w:rsidR="00185F08" w:rsidRPr="009E4EB8">
        <w:rPr>
          <w:iCs/>
        </w:rPr>
        <w:t>)</w:t>
      </w:r>
      <w:r w:rsidR="007D358F" w:rsidRPr="009E4EB8">
        <w:rPr>
          <w:iCs/>
        </w:rPr>
        <w:t xml:space="preserve"> </w:t>
      </w:r>
      <w:r w:rsidR="00185F08" w:rsidRPr="009E4EB8">
        <w:rPr>
          <w:iCs/>
        </w:rPr>
        <w:t>was</w:t>
      </w:r>
      <w:r w:rsidR="007D358F" w:rsidRPr="009E4EB8">
        <w:rPr>
          <w:iCs/>
        </w:rPr>
        <w:t xml:space="preserve"> defined as “patients in the mITT </w:t>
      </w:r>
      <w:r w:rsidR="00CA3A4D" w:rsidRPr="009E4EB8">
        <w:rPr>
          <w:iCs/>
        </w:rPr>
        <w:t>p</w:t>
      </w:r>
      <w:r w:rsidR="007D358F" w:rsidRPr="009E4EB8">
        <w:rPr>
          <w:iCs/>
        </w:rPr>
        <w:t xml:space="preserve">opulation refractory to bortezomib, carfilzomib, lenalidomide, pomalidomide, and daratumumab” (Table 9, p54, STORM CSR). </w:t>
      </w:r>
      <w:r w:rsidR="00D85C30" w:rsidRPr="009E4EB8">
        <w:rPr>
          <w:iCs/>
        </w:rPr>
        <w:t xml:space="preserve">The PBAC previously considered that there were applicability issues in that the triple-class refractory penta-exposed (TCR/PE) </w:t>
      </w:r>
      <w:r w:rsidR="00460E3F" w:rsidRPr="009E4EB8">
        <w:rPr>
          <w:iCs/>
        </w:rPr>
        <w:t>population</w:t>
      </w:r>
      <w:r w:rsidR="00D85C30" w:rsidRPr="009E4EB8">
        <w:rPr>
          <w:iCs/>
        </w:rPr>
        <w:t xml:space="preserve">, which formed </w:t>
      </w:r>
      <w:r w:rsidR="002D2E73" w:rsidRPr="009E4EB8">
        <w:rPr>
          <w:iCs/>
        </w:rPr>
        <w:t>the basis of the</w:t>
      </w:r>
      <w:r w:rsidR="00D85C30" w:rsidRPr="009E4EB8">
        <w:rPr>
          <w:iCs/>
        </w:rPr>
        <w:t xml:space="preserve"> clinical comparison</w:t>
      </w:r>
      <w:r w:rsidR="00323DD6" w:rsidRPr="009E4EB8">
        <w:rPr>
          <w:iCs/>
        </w:rPr>
        <w:t xml:space="preserve"> in the July 2021 </w:t>
      </w:r>
      <w:r w:rsidR="00255100" w:rsidRPr="009E4EB8">
        <w:rPr>
          <w:iCs/>
        </w:rPr>
        <w:t>submission</w:t>
      </w:r>
      <w:r w:rsidR="00D85C30" w:rsidRPr="009E4EB8">
        <w:rPr>
          <w:iCs/>
        </w:rPr>
        <w:t>, was not consistent with the PBS-proposed population (</w:t>
      </w:r>
      <w:r w:rsidR="00D85C30" w:rsidRPr="009E4EB8">
        <w:rPr>
          <w:iCs/>
          <w:color w:val="000000" w:themeColor="text1"/>
        </w:rPr>
        <w:t>Para.</w:t>
      </w:r>
      <w:r w:rsidR="00D85C30" w:rsidRPr="009E4EB8">
        <w:rPr>
          <w:iCs/>
        </w:rPr>
        <w:t xml:space="preserve"> 7.7, Selinexor (TCR/PR),</w:t>
      </w:r>
      <w:r w:rsidR="00D85C30" w:rsidRPr="009E4EB8">
        <w:t xml:space="preserve"> </w:t>
      </w:r>
      <w:r w:rsidR="00D85C30" w:rsidRPr="009E4EB8">
        <w:rPr>
          <w:iCs/>
        </w:rPr>
        <w:t xml:space="preserve">PBAC </w:t>
      </w:r>
      <w:r w:rsidR="00640A47">
        <w:rPr>
          <w:iCs/>
        </w:rPr>
        <w:t>PSD</w:t>
      </w:r>
      <w:r w:rsidR="00D85C30" w:rsidRPr="009E4EB8">
        <w:rPr>
          <w:iCs/>
        </w:rPr>
        <w:t xml:space="preserve">, July 2021 PBAC Meeting). </w:t>
      </w:r>
      <w:r w:rsidR="00D85C30" w:rsidRPr="009E4EB8">
        <w:t xml:space="preserve">The resubmission provided an updated naïve comparison of Sd versus salvage chemotherapy using the TCR/PR population from STORM (n = 83). </w:t>
      </w:r>
      <w:r w:rsidR="00D85C30" w:rsidRPr="009E4EB8">
        <w:rPr>
          <w:iCs/>
        </w:rPr>
        <w:t xml:space="preserve">Unless otherwise stated all further references to STORM refer to the TCR/PR subgroup. </w:t>
      </w:r>
    </w:p>
    <w:p w14:paraId="2B7E802E" w14:textId="744E18BD" w:rsidR="00BB76F1" w:rsidRPr="009E4EB8" w:rsidRDefault="00BB76F1" w:rsidP="005304FD">
      <w:pPr>
        <w:pStyle w:val="3-BodyText"/>
        <w:rPr>
          <w:color w:val="0066FF"/>
        </w:rPr>
      </w:pPr>
      <w:r w:rsidRPr="009E4EB8">
        <w:t xml:space="preserve">The resubmission provided naïve comparisons </w:t>
      </w:r>
      <w:r w:rsidR="00FA7BDC" w:rsidRPr="009E4EB8">
        <w:t xml:space="preserve">of STORM with </w:t>
      </w:r>
      <w:r w:rsidRPr="009E4EB8">
        <w:t>two retrospective studies</w:t>
      </w:r>
      <w:r w:rsidR="00FA7BDC" w:rsidRPr="009E4EB8">
        <w:t>.</w:t>
      </w:r>
      <w:r w:rsidRPr="009E4EB8">
        <w:t xml:space="preserve"> These studies provided OS and </w:t>
      </w:r>
      <w:r w:rsidR="00F04458" w:rsidRPr="009E4EB8">
        <w:t>progression free survival (</w:t>
      </w:r>
      <w:r w:rsidRPr="009E4EB8">
        <w:t>PFS</w:t>
      </w:r>
      <w:r w:rsidR="00F04458" w:rsidRPr="009E4EB8">
        <w:t>)</w:t>
      </w:r>
      <w:r w:rsidRPr="009E4EB8">
        <w:t xml:space="preserve"> data on the TCR/PR population in patients treated with DCEP and/or conventional care:</w:t>
      </w:r>
    </w:p>
    <w:p w14:paraId="559BB99C" w14:textId="5DCD7079" w:rsidR="00E403BE" w:rsidRPr="009E4EB8" w:rsidRDefault="00352282" w:rsidP="006E12F6">
      <w:pPr>
        <w:pStyle w:val="NormalBullets"/>
        <w:spacing w:after="120" w:line="240" w:lineRule="auto"/>
        <w:ind w:left="1120" w:hanging="357"/>
        <w:contextualSpacing w:val="0"/>
        <w:rPr>
          <w:sz w:val="24"/>
          <w:szCs w:val="24"/>
        </w:rPr>
      </w:pPr>
      <w:r w:rsidRPr="009E4EB8">
        <w:rPr>
          <w:sz w:val="24"/>
          <w:szCs w:val="24"/>
        </w:rPr>
        <w:t xml:space="preserve">Goldsmith 2020 (N = 58) was presented in the July 2021 submission as supportive evidence in Section 3. </w:t>
      </w:r>
      <w:r w:rsidR="00443825" w:rsidRPr="009E4EB8">
        <w:rPr>
          <w:sz w:val="24"/>
          <w:szCs w:val="24"/>
        </w:rPr>
        <w:t>D</w:t>
      </w:r>
      <w:r w:rsidR="00EE7B82" w:rsidRPr="009E4EB8">
        <w:rPr>
          <w:sz w:val="24"/>
          <w:szCs w:val="24"/>
        </w:rPr>
        <w:t xml:space="preserve">ata from Goldsmith 2020 was compared with the TCR/PR subgroup from STORM in the resubmission. </w:t>
      </w:r>
      <w:r w:rsidR="00E403BE" w:rsidRPr="009E4EB8">
        <w:rPr>
          <w:sz w:val="24"/>
          <w:szCs w:val="24"/>
        </w:rPr>
        <w:t>Goldsmith 2020 was a single arm, single-centre study of patients who received DCEP (n = 31), of which 74% of the patients were TCR/PR</w:t>
      </w:r>
      <w:r w:rsidR="00E403BE" w:rsidRPr="009E4EB8">
        <w:rPr>
          <w:iCs/>
          <w:sz w:val="24"/>
          <w:szCs w:val="24"/>
        </w:rPr>
        <w:t xml:space="preserve">. </w:t>
      </w:r>
    </w:p>
    <w:p w14:paraId="32CF6616" w14:textId="1CD69E20" w:rsidR="005304FD" w:rsidRPr="009E4EB8" w:rsidRDefault="00403A89" w:rsidP="006E12F6">
      <w:pPr>
        <w:pStyle w:val="NormalBullets"/>
        <w:spacing w:line="240" w:lineRule="auto"/>
        <w:ind w:left="1120"/>
        <w:rPr>
          <w:sz w:val="24"/>
          <w:szCs w:val="24"/>
        </w:rPr>
      </w:pPr>
      <w:r w:rsidRPr="009E4EB8">
        <w:rPr>
          <w:sz w:val="24"/>
          <w:szCs w:val="24"/>
        </w:rPr>
        <w:t>Results from MAMMOTH (N=275</w:t>
      </w:r>
      <w:r w:rsidR="00B0234D" w:rsidRPr="009E4EB8">
        <w:rPr>
          <w:sz w:val="24"/>
          <w:szCs w:val="24"/>
        </w:rPr>
        <w:t>; TCR/PE) were</w:t>
      </w:r>
      <w:r w:rsidR="00DB2EF5" w:rsidRPr="009E4EB8">
        <w:rPr>
          <w:sz w:val="24"/>
          <w:szCs w:val="24"/>
        </w:rPr>
        <w:t xml:space="preserve"> </w:t>
      </w:r>
      <w:r w:rsidR="00D64358" w:rsidRPr="009E4EB8">
        <w:rPr>
          <w:sz w:val="24"/>
          <w:szCs w:val="24"/>
        </w:rPr>
        <w:t xml:space="preserve">utilised in the indirect comparison </w:t>
      </w:r>
      <w:r w:rsidR="00DB2EF5" w:rsidRPr="009E4EB8">
        <w:rPr>
          <w:sz w:val="24"/>
          <w:szCs w:val="24"/>
        </w:rPr>
        <w:t xml:space="preserve">presented in the July 2021 submission. The resubmission stated that the analysis was criticised for using the TCR/PE cohort, and so to address the applicability of the </w:t>
      </w:r>
      <w:r w:rsidR="002445ED" w:rsidRPr="009E4EB8">
        <w:rPr>
          <w:sz w:val="24"/>
          <w:szCs w:val="24"/>
        </w:rPr>
        <w:t xml:space="preserve">population </w:t>
      </w:r>
      <w:r w:rsidR="00926653" w:rsidRPr="009E4EB8">
        <w:rPr>
          <w:sz w:val="24"/>
          <w:szCs w:val="24"/>
        </w:rPr>
        <w:t xml:space="preserve">to the requested listing, </w:t>
      </w:r>
      <w:r w:rsidR="00DB2EF5" w:rsidRPr="009E4EB8">
        <w:rPr>
          <w:sz w:val="24"/>
          <w:szCs w:val="24"/>
        </w:rPr>
        <w:t xml:space="preserve">data from Gandhi 2019 (previously presented in Section 3 of the July 2021 submission) </w:t>
      </w:r>
      <w:r w:rsidR="00926653" w:rsidRPr="009E4EB8">
        <w:rPr>
          <w:sz w:val="24"/>
          <w:szCs w:val="24"/>
        </w:rPr>
        <w:t>based on the</w:t>
      </w:r>
      <w:r w:rsidR="00DB2EF5" w:rsidRPr="009E4EB8">
        <w:rPr>
          <w:sz w:val="24"/>
          <w:szCs w:val="24"/>
        </w:rPr>
        <w:t xml:space="preserve"> TC</w:t>
      </w:r>
      <w:r w:rsidR="003502AE" w:rsidRPr="009E4EB8">
        <w:rPr>
          <w:sz w:val="24"/>
          <w:szCs w:val="24"/>
        </w:rPr>
        <w:t>R</w:t>
      </w:r>
      <w:r w:rsidR="00DB2EF5" w:rsidRPr="009E4EB8">
        <w:rPr>
          <w:sz w:val="24"/>
          <w:szCs w:val="24"/>
        </w:rPr>
        <w:t xml:space="preserve">/PR cohort (n = 70) of MAMMOTH </w:t>
      </w:r>
      <w:r w:rsidR="00926653" w:rsidRPr="009E4EB8">
        <w:rPr>
          <w:sz w:val="24"/>
          <w:szCs w:val="24"/>
        </w:rPr>
        <w:t>formed the basis of the comparison with STORM</w:t>
      </w:r>
      <w:r w:rsidR="00DB2EF5" w:rsidRPr="009E4EB8">
        <w:rPr>
          <w:sz w:val="24"/>
          <w:szCs w:val="24"/>
        </w:rPr>
        <w:t xml:space="preserve">. </w:t>
      </w:r>
      <w:r w:rsidR="00DB2EF5" w:rsidRPr="009E4EB8">
        <w:rPr>
          <w:iCs/>
          <w:sz w:val="24"/>
          <w:szCs w:val="24"/>
        </w:rPr>
        <w:t>Unless otherwise specified all further references to MAMMOTH refer to the TCR/PR subgroup.</w:t>
      </w:r>
      <w:r w:rsidR="00DB2EF5" w:rsidRPr="009E4EB8">
        <w:rPr>
          <w:iCs/>
        </w:rPr>
        <w:t xml:space="preserve"> </w:t>
      </w:r>
    </w:p>
    <w:p w14:paraId="3AC2B54E" w14:textId="4F5046EA" w:rsidR="00384D4F" w:rsidRPr="009E4EB8" w:rsidRDefault="00384D4F" w:rsidP="00384D4F">
      <w:pPr>
        <w:pStyle w:val="3-BodyText"/>
        <w:rPr>
          <w:snapToGrid/>
        </w:rPr>
      </w:pPr>
      <w:r w:rsidRPr="009E4EB8">
        <w:rPr>
          <w:snapToGrid/>
        </w:rPr>
        <w:t xml:space="preserve">Details of the studies presented in the submission are provided </w:t>
      </w:r>
      <w:r w:rsidRPr="009E4EB8">
        <w:rPr>
          <w:rFonts w:cstheme="minorHAnsi"/>
          <w:snapToGrid/>
        </w:rPr>
        <w:t xml:space="preserve">in </w:t>
      </w:r>
      <w:r w:rsidR="006C2945" w:rsidRPr="009E4EB8">
        <w:rPr>
          <w:rFonts w:cstheme="minorHAnsi"/>
        </w:rPr>
        <w:t>Table 3</w:t>
      </w:r>
      <w:r w:rsidRPr="009E4EB8">
        <w:rPr>
          <w:rFonts w:cstheme="minorHAnsi"/>
          <w:snapToGrid/>
        </w:rPr>
        <w:t>.</w:t>
      </w:r>
      <w:r w:rsidRPr="009E4EB8">
        <w:rPr>
          <w:snapToGrid/>
        </w:rPr>
        <w:t xml:space="preserve"> </w:t>
      </w:r>
    </w:p>
    <w:p w14:paraId="73373DD7" w14:textId="64A22B07" w:rsidR="005304FD" w:rsidRPr="009E4EB8" w:rsidRDefault="00384D4F" w:rsidP="00D71B1E">
      <w:pPr>
        <w:pStyle w:val="Caption"/>
        <w:keepNext/>
        <w:spacing w:after="0"/>
        <w:rPr>
          <w:rStyle w:val="CommentReference"/>
          <w:b/>
          <w:color w:val="auto"/>
          <w:szCs w:val="20"/>
        </w:rPr>
      </w:pPr>
      <w:bookmarkStart w:id="37" w:name="_Ref91055024"/>
      <w:r w:rsidRPr="009E4EB8">
        <w:rPr>
          <w:rFonts w:ascii="Arial Narrow" w:hAnsi="Arial Narrow"/>
          <w:color w:val="auto"/>
          <w:sz w:val="20"/>
          <w:szCs w:val="20"/>
        </w:rPr>
        <w:lastRenderedPageBreak/>
        <w:t xml:space="preserve">Table </w:t>
      </w:r>
      <w:r w:rsidRPr="009E4EB8">
        <w:rPr>
          <w:rFonts w:ascii="Arial Narrow" w:hAnsi="Arial Narrow"/>
          <w:color w:val="auto"/>
          <w:sz w:val="20"/>
          <w:szCs w:val="20"/>
        </w:rPr>
        <w:fldChar w:fldCharType="begin"/>
      </w:r>
      <w:r w:rsidRPr="009E4EB8">
        <w:rPr>
          <w:rFonts w:ascii="Arial Narrow" w:hAnsi="Arial Narrow"/>
          <w:color w:val="auto"/>
          <w:sz w:val="20"/>
          <w:szCs w:val="20"/>
        </w:rPr>
        <w:instrText xml:space="preserve"> SEQ Table \* ARABIC </w:instrText>
      </w:r>
      <w:r w:rsidRPr="009E4EB8">
        <w:rPr>
          <w:rFonts w:ascii="Arial Narrow" w:hAnsi="Arial Narrow"/>
          <w:color w:val="auto"/>
          <w:sz w:val="20"/>
          <w:szCs w:val="20"/>
        </w:rPr>
        <w:fldChar w:fldCharType="separate"/>
      </w:r>
      <w:r w:rsidR="00964E38">
        <w:rPr>
          <w:rFonts w:ascii="Arial Narrow" w:hAnsi="Arial Narrow"/>
          <w:noProof/>
          <w:color w:val="auto"/>
          <w:sz w:val="20"/>
          <w:szCs w:val="20"/>
        </w:rPr>
        <w:t>3</w:t>
      </w:r>
      <w:r w:rsidRPr="009E4EB8">
        <w:rPr>
          <w:rFonts w:ascii="Arial Narrow" w:hAnsi="Arial Narrow"/>
          <w:color w:val="auto"/>
          <w:sz w:val="20"/>
          <w:szCs w:val="20"/>
        </w:rPr>
        <w:fldChar w:fldCharType="end"/>
      </w:r>
      <w:bookmarkEnd w:id="37"/>
      <w:r w:rsidR="005304FD" w:rsidRPr="009E4EB8">
        <w:rPr>
          <w:rStyle w:val="CommentReference"/>
          <w:b/>
          <w:color w:val="auto"/>
          <w:szCs w:val="20"/>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5304FD" w:rsidRPr="009E4EB8" w14:paraId="0B715299" w14:textId="77777777" w:rsidTr="00DB66B7">
        <w:trPr>
          <w:cantSplit/>
          <w:tblHeader/>
        </w:trPr>
        <w:tc>
          <w:tcPr>
            <w:tcW w:w="795" w:type="pct"/>
            <w:shd w:val="clear" w:color="auto" w:fill="C6D9F1" w:themeFill="text2" w:themeFillTint="33"/>
            <w:vAlign w:val="center"/>
          </w:tcPr>
          <w:p w14:paraId="294C5ADE" w14:textId="77777777" w:rsidR="005304FD" w:rsidRPr="009E4EB8" w:rsidRDefault="005304FD" w:rsidP="00D041EE">
            <w:pPr>
              <w:pStyle w:val="In-tableHeading"/>
              <w:jc w:val="center"/>
              <w:rPr>
                <w:lang w:val="en-AU"/>
              </w:rPr>
            </w:pPr>
            <w:r w:rsidRPr="009E4EB8">
              <w:rPr>
                <w:lang w:val="en-AU"/>
              </w:rPr>
              <w:t>Trial ID</w:t>
            </w:r>
          </w:p>
        </w:tc>
        <w:tc>
          <w:tcPr>
            <w:tcW w:w="2803" w:type="pct"/>
            <w:tcBorders>
              <w:bottom w:val="single" w:sz="4" w:space="0" w:color="auto"/>
            </w:tcBorders>
            <w:shd w:val="clear" w:color="auto" w:fill="C6D9F1" w:themeFill="text2" w:themeFillTint="33"/>
            <w:vAlign w:val="center"/>
          </w:tcPr>
          <w:p w14:paraId="7146B091" w14:textId="77777777" w:rsidR="005304FD" w:rsidRPr="009E4EB8" w:rsidRDefault="005304FD" w:rsidP="00D041EE">
            <w:pPr>
              <w:pStyle w:val="In-tableHeading"/>
              <w:rPr>
                <w:lang w:val="en-AU"/>
              </w:rPr>
            </w:pPr>
            <w:r w:rsidRPr="009E4EB8">
              <w:rPr>
                <w:lang w:val="en-AU"/>
              </w:rPr>
              <w:t>Protocol title/ Publication title</w:t>
            </w:r>
          </w:p>
        </w:tc>
        <w:tc>
          <w:tcPr>
            <w:tcW w:w="1402" w:type="pct"/>
            <w:tcBorders>
              <w:bottom w:val="single" w:sz="4" w:space="0" w:color="auto"/>
            </w:tcBorders>
            <w:shd w:val="clear" w:color="auto" w:fill="C6D9F1" w:themeFill="text2" w:themeFillTint="33"/>
            <w:vAlign w:val="center"/>
          </w:tcPr>
          <w:p w14:paraId="3FF0942D" w14:textId="77777777" w:rsidR="005304FD" w:rsidRPr="009E4EB8" w:rsidRDefault="005304FD" w:rsidP="00D041EE">
            <w:pPr>
              <w:pStyle w:val="In-tableHeading"/>
              <w:rPr>
                <w:lang w:val="en-AU"/>
              </w:rPr>
            </w:pPr>
            <w:r w:rsidRPr="009E4EB8">
              <w:rPr>
                <w:lang w:val="en-AU"/>
              </w:rPr>
              <w:t>Publication citation</w:t>
            </w:r>
          </w:p>
        </w:tc>
      </w:tr>
      <w:tr w:rsidR="003A5D9D" w:rsidRPr="009E4EB8" w14:paraId="618C32A7" w14:textId="77777777" w:rsidTr="00DB66B7">
        <w:trPr>
          <w:cantSplit/>
        </w:trPr>
        <w:tc>
          <w:tcPr>
            <w:tcW w:w="795" w:type="pct"/>
            <w:vMerge w:val="restart"/>
            <w:shd w:val="clear" w:color="auto" w:fill="C6D9F1" w:themeFill="text2" w:themeFillTint="33"/>
          </w:tcPr>
          <w:p w14:paraId="5E662A04" w14:textId="77777777" w:rsidR="003A5D9D" w:rsidRPr="009E4EB8" w:rsidRDefault="003A5D9D" w:rsidP="003A5D9D">
            <w:pPr>
              <w:pStyle w:val="TableLeft"/>
              <w:keepNext/>
              <w:rPr>
                <w:rFonts w:ascii="Arial Narrow" w:eastAsiaTheme="majorEastAsia" w:hAnsi="Arial Narrow" w:cstheme="majorBidi"/>
                <w:bCs/>
                <w:szCs w:val="20"/>
                <w:lang w:eastAsia="en-AU"/>
              </w:rPr>
            </w:pPr>
            <w:r w:rsidRPr="009E4EB8">
              <w:rPr>
                <w:rFonts w:ascii="Arial Narrow" w:eastAsiaTheme="majorEastAsia" w:hAnsi="Arial Narrow" w:cstheme="majorBidi"/>
                <w:bCs/>
                <w:szCs w:val="20"/>
                <w:lang w:eastAsia="en-AU"/>
              </w:rPr>
              <w:t>STORM</w:t>
            </w:r>
          </w:p>
          <w:p w14:paraId="1066B778" w14:textId="77777777" w:rsidR="003A5D9D" w:rsidRPr="009E4EB8" w:rsidRDefault="003A5D9D" w:rsidP="003A5D9D">
            <w:pPr>
              <w:pStyle w:val="TableLeft"/>
              <w:keepNext/>
              <w:rPr>
                <w:rFonts w:ascii="Arial Narrow" w:eastAsiaTheme="majorEastAsia" w:hAnsi="Arial Narrow" w:cstheme="majorBidi"/>
                <w:bCs/>
                <w:szCs w:val="20"/>
                <w:lang w:eastAsia="en-AU"/>
              </w:rPr>
            </w:pPr>
          </w:p>
          <w:p w14:paraId="4F992C2B" w14:textId="77777777" w:rsidR="003A5D9D" w:rsidRPr="009E4EB8" w:rsidRDefault="003A5D9D" w:rsidP="003A5D9D">
            <w:pPr>
              <w:pStyle w:val="TableLeft"/>
              <w:keepNext/>
              <w:rPr>
                <w:rFonts w:ascii="Arial Narrow" w:eastAsiaTheme="majorEastAsia" w:hAnsi="Arial Narrow" w:cstheme="majorBidi"/>
                <w:bCs/>
                <w:szCs w:val="20"/>
                <w:lang w:eastAsia="en-AU"/>
              </w:rPr>
            </w:pPr>
            <w:r w:rsidRPr="009E4EB8">
              <w:rPr>
                <w:rFonts w:ascii="Arial Narrow" w:eastAsiaTheme="majorEastAsia" w:hAnsi="Arial Narrow" w:cstheme="majorBidi"/>
                <w:bCs/>
                <w:szCs w:val="20"/>
                <w:lang w:eastAsia="en-AU"/>
              </w:rPr>
              <w:t>NCT02336815</w:t>
            </w:r>
          </w:p>
          <w:p w14:paraId="42404297" w14:textId="77777777" w:rsidR="003A5D9D" w:rsidRPr="009E4EB8" w:rsidRDefault="003A5D9D" w:rsidP="003A5D9D">
            <w:pPr>
              <w:pStyle w:val="TableLeft"/>
              <w:keepNext/>
              <w:rPr>
                <w:rFonts w:ascii="Arial Narrow" w:eastAsiaTheme="majorEastAsia" w:hAnsi="Arial Narrow" w:cstheme="majorBidi"/>
                <w:bCs/>
                <w:szCs w:val="20"/>
                <w:lang w:eastAsia="en-AU"/>
              </w:rPr>
            </w:pPr>
          </w:p>
          <w:p w14:paraId="157A7FAA" w14:textId="364773F2" w:rsidR="003A5D9D" w:rsidRPr="009E4EB8" w:rsidRDefault="003A5D9D" w:rsidP="003A5D9D">
            <w:pPr>
              <w:pStyle w:val="TableText0"/>
              <w:rPr>
                <w:rFonts w:ascii="Times" w:hAnsi="Times"/>
              </w:rPr>
            </w:pPr>
            <w:r w:rsidRPr="009E4EB8">
              <w:rPr>
                <w:szCs w:val="20"/>
              </w:rPr>
              <w:t>EUCTR2016-003094-18-DE</w:t>
            </w:r>
          </w:p>
        </w:tc>
        <w:tc>
          <w:tcPr>
            <w:tcW w:w="2803" w:type="pct"/>
            <w:tcBorders>
              <w:bottom w:val="single" w:sz="4" w:space="0" w:color="auto"/>
            </w:tcBorders>
            <w:shd w:val="clear" w:color="auto" w:fill="C6D9F1" w:themeFill="text2" w:themeFillTint="33"/>
          </w:tcPr>
          <w:p w14:paraId="17806C8F" w14:textId="712473B9" w:rsidR="003A5D9D" w:rsidRPr="009E4EB8" w:rsidRDefault="003A5D9D" w:rsidP="003A5D9D">
            <w:pPr>
              <w:pStyle w:val="TableText0"/>
            </w:pPr>
            <w:r w:rsidRPr="009E4EB8">
              <w:rPr>
                <w:szCs w:val="20"/>
              </w:rPr>
              <w:t>Clinical Study Report: Study KCP-330-012 (STORM study): Phase 2b study of selinexor plus low dose dexamethasone treatment in patients with penta-refractory RRMM [Phase 2b STORM study] – addresses patients with heavily pre-treated relapsed refractory multiple myeloma (RRMM)</w:t>
            </w:r>
          </w:p>
        </w:tc>
        <w:tc>
          <w:tcPr>
            <w:tcW w:w="1402" w:type="pct"/>
            <w:tcBorders>
              <w:bottom w:val="single" w:sz="4" w:space="0" w:color="auto"/>
            </w:tcBorders>
            <w:shd w:val="clear" w:color="auto" w:fill="C6D9F1" w:themeFill="text2" w:themeFillTint="33"/>
          </w:tcPr>
          <w:p w14:paraId="34D16E96" w14:textId="67179686" w:rsidR="003A5D9D" w:rsidRPr="009E4EB8" w:rsidRDefault="003A5D9D" w:rsidP="003A5D9D">
            <w:pPr>
              <w:pStyle w:val="TableText0"/>
              <w:rPr>
                <w:rFonts w:ascii="Times" w:hAnsi="Times"/>
              </w:rPr>
            </w:pPr>
            <w:r w:rsidRPr="009E4EB8">
              <w:rPr>
                <w:iCs/>
                <w:szCs w:val="20"/>
              </w:rPr>
              <w:t>The CSR</w:t>
            </w:r>
            <w:r w:rsidR="007D77B8" w:rsidRPr="009E4EB8">
              <w:rPr>
                <w:iCs/>
                <w:szCs w:val="20"/>
              </w:rPr>
              <w:t xml:space="preserve">. </w:t>
            </w:r>
            <w:r w:rsidR="00D57536" w:rsidRPr="009E4EB8">
              <w:rPr>
                <w:iCs/>
                <w:szCs w:val="20"/>
              </w:rPr>
              <w:t xml:space="preserve">2019 Nov.  </w:t>
            </w:r>
          </w:p>
        </w:tc>
      </w:tr>
      <w:tr w:rsidR="003A5D9D" w:rsidRPr="009E4EB8" w14:paraId="745B587D" w14:textId="77777777" w:rsidTr="00DB66B7">
        <w:trPr>
          <w:cantSplit/>
        </w:trPr>
        <w:tc>
          <w:tcPr>
            <w:tcW w:w="795" w:type="pct"/>
            <w:vMerge/>
            <w:shd w:val="clear" w:color="auto" w:fill="C6D9F1" w:themeFill="text2" w:themeFillTint="33"/>
          </w:tcPr>
          <w:p w14:paraId="5A80196B" w14:textId="77777777" w:rsidR="003A5D9D" w:rsidRPr="009E4EB8" w:rsidRDefault="003A5D9D" w:rsidP="003A5D9D">
            <w:pPr>
              <w:pStyle w:val="TableText0"/>
              <w:jc w:val="center"/>
            </w:pPr>
          </w:p>
        </w:tc>
        <w:tc>
          <w:tcPr>
            <w:tcW w:w="2803" w:type="pct"/>
            <w:tcBorders>
              <w:top w:val="single" w:sz="4" w:space="0" w:color="auto"/>
              <w:bottom w:val="single" w:sz="4" w:space="0" w:color="auto"/>
            </w:tcBorders>
            <w:shd w:val="clear" w:color="auto" w:fill="C6D9F1" w:themeFill="text2" w:themeFillTint="33"/>
          </w:tcPr>
          <w:p w14:paraId="7F5BF529" w14:textId="22DB462E" w:rsidR="003A5D9D" w:rsidRPr="009E4EB8" w:rsidRDefault="003A5D9D" w:rsidP="003A5D9D">
            <w:pPr>
              <w:pStyle w:val="TableText0"/>
            </w:pPr>
            <w:r w:rsidRPr="009E4EB8">
              <w:rPr>
                <w:rFonts w:cs="Calibri"/>
                <w:szCs w:val="20"/>
              </w:rPr>
              <w:t xml:space="preserve">Chari A, </w:t>
            </w:r>
            <w:proofErr w:type="spellStart"/>
            <w:r w:rsidRPr="009E4EB8">
              <w:rPr>
                <w:rFonts w:cs="Calibri"/>
                <w:szCs w:val="20"/>
              </w:rPr>
              <w:t>Vogl</w:t>
            </w:r>
            <w:proofErr w:type="spellEnd"/>
            <w:r w:rsidRPr="009E4EB8">
              <w:rPr>
                <w:rFonts w:cs="Calibri"/>
                <w:szCs w:val="20"/>
              </w:rPr>
              <w:t xml:space="preserve"> DT, </w:t>
            </w:r>
            <w:proofErr w:type="spellStart"/>
            <w:r w:rsidRPr="009E4EB8">
              <w:rPr>
                <w:rFonts w:cs="Calibri"/>
                <w:szCs w:val="20"/>
              </w:rPr>
              <w:t>Gavriatopoulou</w:t>
            </w:r>
            <w:proofErr w:type="spellEnd"/>
            <w:r w:rsidRPr="009E4EB8">
              <w:rPr>
                <w:rFonts w:cs="Calibri"/>
                <w:szCs w:val="20"/>
              </w:rPr>
              <w:t xml:space="preserve"> M, et al. Oral Selinexor-Dexamethasone for Triple-Class Refractory Multiple Myeloma. </w:t>
            </w:r>
          </w:p>
        </w:tc>
        <w:tc>
          <w:tcPr>
            <w:tcW w:w="1402" w:type="pct"/>
            <w:tcBorders>
              <w:top w:val="single" w:sz="4" w:space="0" w:color="auto"/>
              <w:bottom w:val="single" w:sz="4" w:space="0" w:color="auto"/>
            </w:tcBorders>
            <w:shd w:val="clear" w:color="auto" w:fill="C6D9F1" w:themeFill="text2" w:themeFillTint="33"/>
          </w:tcPr>
          <w:p w14:paraId="05D91731" w14:textId="56B978AA" w:rsidR="003A5D9D" w:rsidRPr="009E4EB8" w:rsidRDefault="003A5D9D" w:rsidP="003A5D9D">
            <w:pPr>
              <w:pStyle w:val="TableText0"/>
            </w:pPr>
            <w:r w:rsidRPr="009E4EB8">
              <w:rPr>
                <w:rFonts w:cs="Calibri"/>
                <w:szCs w:val="20"/>
              </w:rPr>
              <w:t xml:space="preserve">N </w:t>
            </w:r>
            <w:proofErr w:type="spellStart"/>
            <w:r w:rsidRPr="009E4EB8">
              <w:rPr>
                <w:rFonts w:cs="Calibri"/>
                <w:szCs w:val="20"/>
              </w:rPr>
              <w:t>Engl</w:t>
            </w:r>
            <w:proofErr w:type="spellEnd"/>
            <w:r w:rsidRPr="009E4EB8">
              <w:rPr>
                <w:rFonts w:cs="Calibri"/>
                <w:szCs w:val="20"/>
              </w:rPr>
              <w:t xml:space="preserve"> J Med. 2019 Aug 22;381(8):727-738. </w:t>
            </w:r>
          </w:p>
        </w:tc>
      </w:tr>
      <w:tr w:rsidR="003A5D9D" w:rsidRPr="009E4EB8" w14:paraId="126E476C" w14:textId="77777777" w:rsidTr="00DB66B7">
        <w:trPr>
          <w:cantSplit/>
        </w:trPr>
        <w:tc>
          <w:tcPr>
            <w:tcW w:w="795" w:type="pct"/>
            <w:vMerge/>
            <w:tcBorders>
              <w:bottom w:val="nil"/>
            </w:tcBorders>
            <w:shd w:val="clear" w:color="auto" w:fill="C6D9F1" w:themeFill="text2" w:themeFillTint="33"/>
          </w:tcPr>
          <w:p w14:paraId="6F5E9B42" w14:textId="77777777" w:rsidR="003A5D9D" w:rsidRPr="009E4EB8" w:rsidRDefault="003A5D9D" w:rsidP="003A5D9D">
            <w:pPr>
              <w:pStyle w:val="TableText0"/>
              <w:jc w:val="center"/>
            </w:pPr>
          </w:p>
        </w:tc>
        <w:tc>
          <w:tcPr>
            <w:tcW w:w="2803" w:type="pct"/>
            <w:tcBorders>
              <w:top w:val="single" w:sz="4" w:space="0" w:color="auto"/>
              <w:bottom w:val="single" w:sz="4" w:space="0" w:color="auto"/>
            </w:tcBorders>
            <w:shd w:val="clear" w:color="auto" w:fill="C6D9F1" w:themeFill="text2" w:themeFillTint="33"/>
          </w:tcPr>
          <w:p w14:paraId="1B7729E4" w14:textId="398A10DC" w:rsidR="003A5D9D" w:rsidRPr="009E4EB8" w:rsidRDefault="003A5D9D" w:rsidP="003A5D9D">
            <w:pPr>
              <w:pStyle w:val="TableText0"/>
            </w:pPr>
            <w:proofErr w:type="spellStart"/>
            <w:r w:rsidRPr="009E4EB8">
              <w:rPr>
                <w:rFonts w:cs="Calibri"/>
                <w:szCs w:val="20"/>
              </w:rPr>
              <w:t>Vogl</w:t>
            </w:r>
            <w:proofErr w:type="spellEnd"/>
            <w:r w:rsidRPr="009E4EB8">
              <w:rPr>
                <w:rFonts w:cs="Calibri"/>
                <w:szCs w:val="20"/>
              </w:rPr>
              <w:t xml:space="preserve"> DT, </w:t>
            </w:r>
            <w:proofErr w:type="spellStart"/>
            <w:r w:rsidRPr="009E4EB8">
              <w:rPr>
                <w:rFonts w:cs="Calibri"/>
                <w:szCs w:val="20"/>
              </w:rPr>
              <w:t>Dingli</w:t>
            </w:r>
            <w:proofErr w:type="spellEnd"/>
            <w:r w:rsidRPr="009E4EB8">
              <w:rPr>
                <w:rFonts w:cs="Calibri"/>
                <w:szCs w:val="20"/>
              </w:rPr>
              <w:t xml:space="preserve"> D, Cornell RF, et al. Selective Inhibition of Nuclear Export </w:t>
            </w:r>
            <w:proofErr w:type="gramStart"/>
            <w:r w:rsidRPr="009E4EB8">
              <w:rPr>
                <w:rFonts w:cs="Calibri"/>
                <w:szCs w:val="20"/>
              </w:rPr>
              <w:t>With</w:t>
            </w:r>
            <w:proofErr w:type="gramEnd"/>
            <w:r w:rsidRPr="009E4EB8">
              <w:rPr>
                <w:rFonts w:cs="Calibri"/>
                <w:szCs w:val="20"/>
              </w:rPr>
              <w:t xml:space="preserve"> Oral Selinexor for Treatment of Relapsed or Refractory Multiple Myeloma. </w:t>
            </w:r>
          </w:p>
        </w:tc>
        <w:tc>
          <w:tcPr>
            <w:tcW w:w="1402" w:type="pct"/>
            <w:tcBorders>
              <w:top w:val="single" w:sz="4" w:space="0" w:color="auto"/>
              <w:bottom w:val="single" w:sz="4" w:space="0" w:color="auto"/>
            </w:tcBorders>
            <w:shd w:val="clear" w:color="auto" w:fill="C6D9F1" w:themeFill="text2" w:themeFillTint="33"/>
          </w:tcPr>
          <w:p w14:paraId="458ECD7E" w14:textId="54AC54C2" w:rsidR="003A5D9D" w:rsidRPr="009E4EB8" w:rsidRDefault="003A5D9D" w:rsidP="003A5D9D">
            <w:pPr>
              <w:pStyle w:val="TableText0"/>
              <w:rPr>
                <w:i/>
              </w:rPr>
            </w:pPr>
            <w:r w:rsidRPr="009E4EB8">
              <w:rPr>
                <w:rFonts w:cs="Calibri"/>
                <w:szCs w:val="20"/>
              </w:rPr>
              <w:t xml:space="preserve">J Clin Oncol. 2018 Mar 20;36(9):859-866. </w:t>
            </w:r>
          </w:p>
        </w:tc>
      </w:tr>
      <w:tr w:rsidR="005304FD" w:rsidRPr="009E4EB8" w14:paraId="1D4B977E" w14:textId="77777777" w:rsidTr="00CA7EAA">
        <w:trPr>
          <w:cantSplit/>
        </w:trPr>
        <w:tc>
          <w:tcPr>
            <w:tcW w:w="795" w:type="pct"/>
            <w:vAlign w:val="center"/>
          </w:tcPr>
          <w:p w14:paraId="2BB6BC3F" w14:textId="5D78F922" w:rsidR="005304FD" w:rsidRPr="009E4EB8" w:rsidRDefault="003A27EF" w:rsidP="00442589">
            <w:pPr>
              <w:pStyle w:val="TableText0"/>
              <w:rPr>
                <w:rFonts w:ascii="Times" w:hAnsi="Times"/>
              </w:rPr>
            </w:pPr>
            <w:r w:rsidRPr="009E4EB8">
              <w:t>Goldsmith 2020</w:t>
            </w:r>
          </w:p>
        </w:tc>
        <w:tc>
          <w:tcPr>
            <w:tcW w:w="2803" w:type="pct"/>
            <w:tcBorders>
              <w:top w:val="single" w:sz="4" w:space="0" w:color="auto"/>
              <w:bottom w:val="single" w:sz="4" w:space="0" w:color="auto"/>
            </w:tcBorders>
            <w:vAlign w:val="center"/>
          </w:tcPr>
          <w:p w14:paraId="1C6097B4" w14:textId="15105A42" w:rsidR="005304FD" w:rsidRPr="009E4EB8" w:rsidRDefault="0088420D" w:rsidP="00D041EE">
            <w:pPr>
              <w:pStyle w:val="TableText0"/>
              <w:rPr>
                <w:rFonts w:ascii="Times" w:hAnsi="Times"/>
              </w:rPr>
            </w:pPr>
            <w:r w:rsidRPr="009E4EB8">
              <w:t xml:space="preserve">Goldsmith, S. R., </w:t>
            </w:r>
            <w:proofErr w:type="spellStart"/>
            <w:r w:rsidRPr="009E4EB8">
              <w:t>Fiala</w:t>
            </w:r>
            <w:proofErr w:type="spellEnd"/>
            <w:r w:rsidRPr="009E4EB8">
              <w:t xml:space="preserve">, M. A., Wang, B., </w:t>
            </w:r>
            <w:r w:rsidR="00B9030D" w:rsidRPr="009E4EB8">
              <w:t>et al</w:t>
            </w:r>
            <w:r w:rsidR="00A00A55" w:rsidRPr="009E4EB8">
              <w:t>.</w:t>
            </w:r>
            <w:r w:rsidRPr="009E4EB8">
              <w:t xml:space="preserve"> DCEP and </w:t>
            </w:r>
            <w:proofErr w:type="spellStart"/>
            <w:r w:rsidRPr="009E4EB8">
              <w:t>bendamustine</w:t>
            </w:r>
            <w:proofErr w:type="spellEnd"/>
            <w:r w:rsidRPr="009E4EB8">
              <w:t xml:space="preserve">/prednisone as salvage therapy for quad- and penta-refractory multiple myeloma. </w:t>
            </w:r>
          </w:p>
        </w:tc>
        <w:tc>
          <w:tcPr>
            <w:tcW w:w="1402" w:type="pct"/>
            <w:tcBorders>
              <w:top w:val="single" w:sz="4" w:space="0" w:color="auto"/>
              <w:bottom w:val="single" w:sz="4" w:space="0" w:color="auto"/>
            </w:tcBorders>
            <w:vAlign w:val="center"/>
          </w:tcPr>
          <w:p w14:paraId="40A88D90" w14:textId="6C66A114" w:rsidR="005304FD" w:rsidRPr="009E4EB8" w:rsidRDefault="00B9030D" w:rsidP="00D041EE">
            <w:pPr>
              <w:pStyle w:val="TableText0"/>
            </w:pPr>
            <w:r w:rsidRPr="009E4EB8">
              <w:t>Annals of Hematology</w:t>
            </w:r>
            <w:r w:rsidR="00A00A55" w:rsidRPr="009E4EB8">
              <w:t xml:space="preserve">. </w:t>
            </w:r>
            <w:r w:rsidR="003A27EF" w:rsidRPr="009E4EB8">
              <w:t xml:space="preserve">2020 Mar </w:t>
            </w:r>
            <w:r w:rsidRPr="009E4EB8">
              <w:t xml:space="preserve">99(5), 1041–1048. </w:t>
            </w:r>
          </w:p>
        </w:tc>
      </w:tr>
      <w:tr w:rsidR="005304FD" w:rsidRPr="009E4EB8" w14:paraId="443AFDAB" w14:textId="77777777" w:rsidTr="00CA7EAA">
        <w:trPr>
          <w:cantSplit/>
        </w:trPr>
        <w:tc>
          <w:tcPr>
            <w:tcW w:w="795" w:type="pct"/>
            <w:vAlign w:val="center"/>
          </w:tcPr>
          <w:p w14:paraId="459A8DC0" w14:textId="5B4D6445" w:rsidR="005304FD" w:rsidRPr="009E4EB8" w:rsidRDefault="00442589" w:rsidP="00442589">
            <w:pPr>
              <w:pStyle w:val="TableText0"/>
            </w:pPr>
            <w:r w:rsidRPr="009E4EB8">
              <w:t>Gandhi 2019 (MAMMOTH)</w:t>
            </w:r>
          </w:p>
        </w:tc>
        <w:tc>
          <w:tcPr>
            <w:tcW w:w="2803" w:type="pct"/>
            <w:tcBorders>
              <w:bottom w:val="single" w:sz="4" w:space="0" w:color="auto"/>
            </w:tcBorders>
            <w:vAlign w:val="center"/>
          </w:tcPr>
          <w:p w14:paraId="553CD029" w14:textId="192699F4" w:rsidR="005304FD" w:rsidRPr="009E4EB8" w:rsidRDefault="00442589" w:rsidP="00D041EE">
            <w:pPr>
              <w:pStyle w:val="TableText0"/>
              <w:rPr>
                <w:rFonts w:ascii="Times" w:hAnsi="Times"/>
              </w:rPr>
            </w:pPr>
            <w:r w:rsidRPr="009E4EB8">
              <w:t xml:space="preserve">Gandhi, U. H., Cornell, R. F., Lakshman, A., et al. Outcomes of patients with multiple myeloma refractory to CD38-targeted monoclonal antibody therapy. </w:t>
            </w:r>
          </w:p>
        </w:tc>
        <w:tc>
          <w:tcPr>
            <w:tcW w:w="1402" w:type="pct"/>
            <w:tcBorders>
              <w:bottom w:val="single" w:sz="4" w:space="0" w:color="auto"/>
            </w:tcBorders>
            <w:vAlign w:val="center"/>
          </w:tcPr>
          <w:p w14:paraId="206BAA3E" w14:textId="77777777" w:rsidR="00CA7EAA" w:rsidRPr="009E4EB8" w:rsidRDefault="00442589" w:rsidP="00D041EE">
            <w:pPr>
              <w:pStyle w:val="TableText0"/>
            </w:pPr>
            <w:r w:rsidRPr="009E4EB8">
              <w:t xml:space="preserve">Leukemia, </w:t>
            </w:r>
            <w:r w:rsidR="00CA7EAA" w:rsidRPr="009E4EB8">
              <w:t xml:space="preserve">2019 Mar </w:t>
            </w:r>
          </w:p>
          <w:p w14:paraId="190A891E" w14:textId="5D6ED102" w:rsidR="005304FD" w:rsidRPr="009E4EB8" w:rsidRDefault="00442589" w:rsidP="00D041EE">
            <w:pPr>
              <w:pStyle w:val="TableText0"/>
              <w:rPr>
                <w:rFonts w:ascii="Times" w:hAnsi="Times"/>
              </w:rPr>
            </w:pPr>
            <w:r w:rsidRPr="009E4EB8">
              <w:t xml:space="preserve">33(9), 2266–2275. </w:t>
            </w:r>
          </w:p>
        </w:tc>
      </w:tr>
    </w:tbl>
    <w:p w14:paraId="1A6B6D06" w14:textId="4B8E0329" w:rsidR="005304FD" w:rsidRPr="009E4EB8" w:rsidRDefault="005304FD" w:rsidP="005304FD">
      <w:pPr>
        <w:pStyle w:val="TableFigureFooter"/>
      </w:pPr>
      <w:r w:rsidRPr="009E4EB8">
        <w:t xml:space="preserve">Source: </w:t>
      </w:r>
      <w:r w:rsidR="004F1BE2" w:rsidRPr="009E4EB8">
        <w:t>Table 2-5, pp39-</w:t>
      </w:r>
      <w:proofErr w:type="gramStart"/>
      <w:r w:rsidR="004F1BE2" w:rsidRPr="009E4EB8">
        <w:t>41</w:t>
      </w:r>
      <w:proofErr w:type="gramEnd"/>
      <w:r w:rsidR="00C11ECD" w:rsidRPr="009E4EB8">
        <w:t xml:space="preserve"> and pp42-43</w:t>
      </w:r>
      <w:r w:rsidR="004F1BE2" w:rsidRPr="009E4EB8">
        <w:t xml:space="preserve"> of the resubmission</w:t>
      </w:r>
      <w:r w:rsidR="00231FEB" w:rsidRPr="009E4EB8">
        <w:t>,</w:t>
      </w:r>
    </w:p>
    <w:p w14:paraId="5DC6558D" w14:textId="761499CF" w:rsidR="004F1BE2" w:rsidRPr="009E4EB8" w:rsidRDefault="004F1BE2" w:rsidP="005304FD">
      <w:pPr>
        <w:pStyle w:val="TableFigureFooter"/>
        <w:rPr>
          <w:sz w:val="20"/>
        </w:rPr>
      </w:pPr>
      <w:r w:rsidRPr="009E4EB8">
        <w:t>Blue shading denotes text remains unchanged from the July 2021 submission.</w:t>
      </w:r>
    </w:p>
    <w:p w14:paraId="02149A3C" w14:textId="52B7AE8B" w:rsidR="000438D4" w:rsidRPr="009E4EB8" w:rsidRDefault="000438D4" w:rsidP="00875248">
      <w:pPr>
        <w:pStyle w:val="3-BodyText"/>
        <w:rPr>
          <w:iCs/>
        </w:rPr>
      </w:pPr>
      <w:r w:rsidRPr="009E4EB8">
        <w:t xml:space="preserve">The key features of the studies are </w:t>
      </w:r>
      <w:r w:rsidRPr="009E4EB8">
        <w:rPr>
          <w:rFonts w:cstheme="minorHAnsi"/>
        </w:rPr>
        <w:t xml:space="preserve">summarised in </w:t>
      </w:r>
      <w:r w:rsidR="006C2945" w:rsidRPr="009E4EB8">
        <w:rPr>
          <w:rFonts w:cstheme="minorHAnsi"/>
        </w:rPr>
        <w:t>Table 4</w:t>
      </w:r>
      <w:r w:rsidRPr="009E4EB8">
        <w:rPr>
          <w:rFonts w:cstheme="minorHAnsi"/>
        </w:rPr>
        <w:t>.</w:t>
      </w:r>
      <w:r w:rsidR="00875248" w:rsidRPr="009E4EB8">
        <w:rPr>
          <w:rFonts w:cstheme="minorHAnsi"/>
        </w:rPr>
        <w:t xml:space="preserve"> </w:t>
      </w:r>
    </w:p>
    <w:p w14:paraId="5641D5D2" w14:textId="2F72D1C8" w:rsidR="005304FD" w:rsidRPr="009E4EB8" w:rsidRDefault="000438D4" w:rsidP="000438D4">
      <w:pPr>
        <w:pStyle w:val="Caption"/>
        <w:keepNext/>
        <w:spacing w:after="0"/>
        <w:jc w:val="left"/>
        <w:rPr>
          <w:rStyle w:val="CommentReference"/>
          <w:b/>
          <w:color w:val="auto"/>
          <w:szCs w:val="20"/>
        </w:rPr>
      </w:pPr>
      <w:bookmarkStart w:id="38" w:name="_Ref91055835"/>
      <w:r w:rsidRPr="009E4EB8">
        <w:rPr>
          <w:rFonts w:ascii="Arial Narrow" w:hAnsi="Arial Narrow"/>
          <w:color w:val="auto"/>
          <w:sz w:val="20"/>
          <w:szCs w:val="20"/>
        </w:rPr>
        <w:t xml:space="preserve">Table </w:t>
      </w:r>
      <w:r w:rsidRPr="009E4EB8">
        <w:rPr>
          <w:rFonts w:ascii="Arial Narrow" w:hAnsi="Arial Narrow"/>
          <w:color w:val="auto"/>
          <w:sz w:val="20"/>
          <w:szCs w:val="20"/>
        </w:rPr>
        <w:fldChar w:fldCharType="begin"/>
      </w:r>
      <w:r w:rsidRPr="009E4EB8">
        <w:rPr>
          <w:rFonts w:ascii="Arial Narrow" w:hAnsi="Arial Narrow"/>
          <w:color w:val="auto"/>
          <w:sz w:val="20"/>
          <w:szCs w:val="20"/>
        </w:rPr>
        <w:instrText xml:space="preserve"> SEQ Table \* ARABIC </w:instrText>
      </w:r>
      <w:r w:rsidRPr="009E4EB8">
        <w:rPr>
          <w:rFonts w:ascii="Arial Narrow" w:hAnsi="Arial Narrow"/>
          <w:color w:val="auto"/>
          <w:sz w:val="20"/>
          <w:szCs w:val="20"/>
        </w:rPr>
        <w:fldChar w:fldCharType="separate"/>
      </w:r>
      <w:r w:rsidR="00964E38">
        <w:rPr>
          <w:rFonts w:ascii="Arial Narrow" w:hAnsi="Arial Narrow"/>
          <w:noProof/>
          <w:color w:val="auto"/>
          <w:sz w:val="20"/>
          <w:szCs w:val="20"/>
        </w:rPr>
        <w:t>4</w:t>
      </w:r>
      <w:r w:rsidRPr="009E4EB8">
        <w:rPr>
          <w:rFonts w:ascii="Arial Narrow" w:hAnsi="Arial Narrow"/>
          <w:color w:val="auto"/>
          <w:sz w:val="20"/>
          <w:szCs w:val="20"/>
        </w:rPr>
        <w:fldChar w:fldCharType="end"/>
      </w:r>
      <w:bookmarkEnd w:id="38"/>
      <w:r w:rsidRPr="009E4EB8">
        <w:rPr>
          <w:rFonts w:ascii="Arial Narrow" w:hAnsi="Arial Narrow"/>
          <w:color w:val="auto"/>
          <w:sz w:val="20"/>
          <w:szCs w:val="20"/>
        </w:rPr>
        <w:t xml:space="preserve">: </w:t>
      </w:r>
      <w:r w:rsidR="005304FD" w:rsidRPr="009E4EB8">
        <w:rPr>
          <w:rStyle w:val="CommentReference"/>
          <w:b/>
          <w:color w:val="auto"/>
          <w:szCs w:val="20"/>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6"/>
        <w:gridCol w:w="1122"/>
        <w:gridCol w:w="1693"/>
      </w:tblGrid>
      <w:tr w:rsidR="005304FD" w:rsidRPr="009E4EB8" w14:paraId="31176E31" w14:textId="77777777" w:rsidTr="00D041EE">
        <w:trPr>
          <w:cantSplit/>
          <w:tblHeader/>
        </w:trPr>
        <w:tc>
          <w:tcPr>
            <w:tcW w:w="713" w:type="pct"/>
            <w:shd w:val="clear" w:color="auto" w:fill="auto"/>
            <w:vAlign w:val="center"/>
          </w:tcPr>
          <w:p w14:paraId="36B4BED1" w14:textId="77777777" w:rsidR="005304FD" w:rsidRPr="009E4EB8" w:rsidRDefault="005304FD" w:rsidP="00D041EE">
            <w:pPr>
              <w:pStyle w:val="In-tableHeading"/>
              <w:rPr>
                <w:lang w:val="en-AU"/>
              </w:rPr>
            </w:pPr>
            <w:r w:rsidRPr="009E4EB8">
              <w:rPr>
                <w:lang w:val="en-AU"/>
              </w:rPr>
              <w:t>Trial</w:t>
            </w:r>
          </w:p>
        </w:tc>
        <w:tc>
          <w:tcPr>
            <w:tcW w:w="466" w:type="pct"/>
            <w:shd w:val="clear" w:color="auto" w:fill="auto"/>
            <w:vAlign w:val="center"/>
          </w:tcPr>
          <w:p w14:paraId="4F09367C" w14:textId="77777777" w:rsidR="005304FD" w:rsidRPr="009E4EB8" w:rsidRDefault="005304FD" w:rsidP="00D041EE">
            <w:pPr>
              <w:pStyle w:val="In-tableHeading"/>
              <w:jc w:val="center"/>
              <w:rPr>
                <w:lang w:val="en-AU"/>
              </w:rPr>
            </w:pPr>
            <w:r w:rsidRPr="009E4EB8">
              <w:rPr>
                <w:lang w:val="en-AU"/>
              </w:rPr>
              <w:t>N</w:t>
            </w:r>
          </w:p>
        </w:tc>
        <w:tc>
          <w:tcPr>
            <w:tcW w:w="782" w:type="pct"/>
            <w:shd w:val="clear" w:color="auto" w:fill="auto"/>
            <w:vAlign w:val="center"/>
          </w:tcPr>
          <w:p w14:paraId="2F7C15BB" w14:textId="77777777" w:rsidR="005304FD" w:rsidRPr="009E4EB8" w:rsidRDefault="005304FD" w:rsidP="00D041EE">
            <w:pPr>
              <w:pStyle w:val="In-tableHeading"/>
              <w:jc w:val="center"/>
              <w:rPr>
                <w:lang w:val="en-AU"/>
              </w:rPr>
            </w:pPr>
            <w:r w:rsidRPr="009E4EB8">
              <w:rPr>
                <w:lang w:val="en-AU"/>
              </w:rPr>
              <w:t>Design/ duration</w:t>
            </w:r>
          </w:p>
        </w:tc>
        <w:tc>
          <w:tcPr>
            <w:tcW w:w="621" w:type="pct"/>
            <w:shd w:val="clear" w:color="auto" w:fill="auto"/>
            <w:vAlign w:val="center"/>
          </w:tcPr>
          <w:p w14:paraId="465A62E0" w14:textId="77777777" w:rsidR="005304FD" w:rsidRPr="009E4EB8" w:rsidRDefault="005304FD" w:rsidP="00D041EE">
            <w:pPr>
              <w:pStyle w:val="In-tableHeading"/>
              <w:jc w:val="center"/>
              <w:rPr>
                <w:lang w:val="en-AU"/>
              </w:rPr>
            </w:pPr>
            <w:r w:rsidRPr="009E4EB8">
              <w:rPr>
                <w:lang w:val="en-AU"/>
              </w:rPr>
              <w:t>Risk of bias</w:t>
            </w:r>
          </w:p>
        </w:tc>
        <w:tc>
          <w:tcPr>
            <w:tcW w:w="857" w:type="pct"/>
            <w:shd w:val="clear" w:color="auto" w:fill="auto"/>
            <w:vAlign w:val="center"/>
          </w:tcPr>
          <w:p w14:paraId="14901135" w14:textId="77777777" w:rsidR="005304FD" w:rsidRPr="009E4EB8" w:rsidRDefault="005304FD" w:rsidP="00D041EE">
            <w:pPr>
              <w:pStyle w:val="In-tableHeading"/>
              <w:jc w:val="center"/>
              <w:rPr>
                <w:lang w:val="en-AU"/>
              </w:rPr>
            </w:pPr>
            <w:r w:rsidRPr="009E4EB8">
              <w:rPr>
                <w:lang w:val="en-AU"/>
              </w:rPr>
              <w:t>Patient population</w:t>
            </w:r>
          </w:p>
        </w:tc>
        <w:tc>
          <w:tcPr>
            <w:tcW w:w="622" w:type="pct"/>
            <w:shd w:val="clear" w:color="auto" w:fill="auto"/>
            <w:vAlign w:val="center"/>
          </w:tcPr>
          <w:p w14:paraId="75F0CBF5" w14:textId="7946B548" w:rsidR="005304FD" w:rsidRPr="009E4EB8" w:rsidRDefault="005304FD" w:rsidP="00D041EE">
            <w:pPr>
              <w:pStyle w:val="In-tableHeading"/>
              <w:jc w:val="center"/>
              <w:rPr>
                <w:lang w:val="en-AU"/>
              </w:rPr>
            </w:pPr>
            <w:r w:rsidRPr="009E4EB8">
              <w:rPr>
                <w:lang w:val="en-AU"/>
              </w:rPr>
              <w:t>Outcomes</w:t>
            </w:r>
          </w:p>
        </w:tc>
        <w:tc>
          <w:tcPr>
            <w:tcW w:w="939" w:type="pct"/>
            <w:shd w:val="clear" w:color="auto" w:fill="auto"/>
            <w:vAlign w:val="center"/>
          </w:tcPr>
          <w:p w14:paraId="31CD6E91" w14:textId="77777777" w:rsidR="005304FD" w:rsidRPr="009E4EB8" w:rsidRDefault="005304FD" w:rsidP="00D041EE">
            <w:pPr>
              <w:pStyle w:val="In-tableHeading"/>
              <w:jc w:val="center"/>
              <w:rPr>
                <w:lang w:val="en-AU"/>
              </w:rPr>
            </w:pPr>
            <w:r w:rsidRPr="009E4EB8">
              <w:rPr>
                <w:lang w:val="en-AU"/>
              </w:rPr>
              <w:t>Use in modelled evaluation</w:t>
            </w:r>
          </w:p>
        </w:tc>
      </w:tr>
      <w:tr w:rsidR="005304FD" w:rsidRPr="009E4EB8" w14:paraId="5B1767D8" w14:textId="77777777" w:rsidTr="00D041EE">
        <w:trPr>
          <w:cantSplit/>
        </w:trPr>
        <w:tc>
          <w:tcPr>
            <w:tcW w:w="5000" w:type="pct"/>
            <w:gridSpan w:val="7"/>
            <w:shd w:val="clear" w:color="auto" w:fill="auto"/>
            <w:vAlign w:val="center"/>
          </w:tcPr>
          <w:p w14:paraId="6AEB2C82" w14:textId="04F50E88" w:rsidR="005304FD" w:rsidRPr="009E4EB8" w:rsidRDefault="008F0377" w:rsidP="00D041EE">
            <w:pPr>
              <w:pStyle w:val="In-tableHeading"/>
              <w:rPr>
                <w:lang w:val="en-AU"/>
              </w:rPr>
            </w:pPr>
            <w:r w:rsidRPr="009E4EB8">
              <w:rPr>
                <w:lang w:val="en-AU"/>
              </w:rPr>
              <w:t>Sd</w:t>
            </w:r>
          </w:p>
        </w:tc>
      </w:tr>
      <w:tr w:rsidR="008F0377" w:rsidRPr="009E4EB8" w14:paraId="3F7DB84D" w14:textId="77777777" w:rsidTr="00911D95">
        <w:trPr>
          <w:cantSplit/>
        </w:trPr>
        <w:tc>
          <w:tcPr>
            <w:tcW w:w="713" w:type="pct"/>
            <w:vMerge w:val="restart"/>
            <w:shd w:val="clear" w:color="auto" w:fill="C6D9F1" w:themeFill="text2" w:themeFillTint="33"/>
            <w:vAlign w:val="center"/>
          </w:tcPr>
          <w:p w14:paraId="2BF7A39C" w14:textId="0B0BBE65" w:rsidR="008F0377" w:rsidRPr="009E4EB8" w:rsidRDefault="008F0377" w:rsidP="00112DF2">
            <w:pPr>
              <w:pStyle w:val="TableText0"/>
              <w:jc w:val="center"/>
            </w:pPr>
            <w:r w:rsidRPr="009E4EB8">
              <w:t>STORM</w:t>
            </w:r>
          </w:p>
        </w:tc>
        <w:tc>
          <w:tcPr>
            <w:tcW w:w="466" w:type="pct"/>
            <w:shd w:val="clear" w:color="auto" w:fill="C6D9F1" w:themeFill="text2" w:themeFillTint="33"/>
            <w:vAlign w:val="center"/>
          </w:tcPr>
          <w:p w14:paraId="564C5EDA" w14:textId="5B249ADA" w:rsidR="008F0377" w:rsidRPr="009E4EB8" w:rsidRDefault="008F0377" w:rsidP="00112DF2">
            <w:pPr>
              <w:pStyle w:val="TableText0"/>
              <w:jc w:val="center"/>
              <w:rPr>
                <w:vertAlign w:val="superscript"/>
              </w:rPr>
            </w:pPr>
            <w:r w:rsidRPr="009E4EB8">
              <w:t xml:space="preserve">122 </w:t>
            </w:r>
            <w:r w:rsidRPr="009E4EB8">
              <w:rPr>
                <w:vertAlign w:val="superscript"/>
              </w:rPr>
              <w:t>a</w:t>
            </w:r>
          </w:p>
        </w:tc>
        <w:tc>
          <w:tcPr>
            <w:tcW w:w="782" w:type="pct"/>
            <w:vMerge w:val="restart"/>
            <w:shd w:val="clear" w:color="auto" w:fill="C6D9F1" w:themeFill="text2" w:themeFillTint="33"/>
            <w:vAlign w:val="center"/>
          </w:tcPr>
          <w:p w14:paraId="04E764F5" w14:textId="402611E1" w:rsidR="008F0377" w:rsidRPr="009E4EB8" w:rsidRDefault="008F0377" w:rsidP="00112DF2">
            <w:pPr>
              <w:pStyle w:val="TableText0"/>
              <w:jc w:val="center"/>
            </w:pPr>
            <w:r w:rsidRPr="009E4EB8">
              <w:t>Single arm</w:t>
            </w:r>
          </w:p>
        </w:tc>
        <w:tc>
          <w:tcPr>
            <w:tcW w:w="621" w:type="pct"/>
            <w:vMerge w:val="restart"/>
            <w:shd w:val="clear" w:color="auto" w:fill="C6D9F1" w:themeFill="text2" w:themeFillTint="33"/>
            <w:vAlign w:val="center"/>
          </w:tcPr>
          <w:p w14:paraId="4BCA5C29" w14:textId="77777777" w:rsidR="008F0377" w:rsidRPr="009E4EB8" w:rsidRDefault="008F0377" w:rsidP="00112DF2">
            <w:pPr>
              <w:pStyle w:val="TableText0"/>
              <w:jc w:val="center"/>
            </w:pPr>
            <w:r w:rsidRPr="009E4EB8">
              <w:t>High</w:t>
            </w:r>
          </w:p>
          <w:p w14:paraId="3C18C8AC" w14:textId="2EC41F65" w:rsidR="008F0377" w:rsidRPr="009E4EB8" w:rsidRDefault="008F0377" w:rsidP="00112DF2">
            <w:pPr>
              <w:pStyle w:val="TableText0"/>
              <w:jc w:val="center"/>
              <w:rPr>
                <w:i/>
              </w:rPr>
            </w:pPr>
          </w:p>
        </w:tc>
        <w:tc>
          <w:tcPr>
            <w:tcW w:w="857" w:type="pct"/>
            <w:shd w:val="clear" w:color="auto" w:fill="C6D9F1" w:themeFill="text2" w:themeFillTint="33"/>
            <w:vAlign w:val="center"/>
          </w:tcPr>
          <w:p w14:paraId="1DD734C5" w14:textId="42C69952" w:rsidR="008F0377" w:rsidRPr="009E4EB8" w:rsidRDefault="008F0377" w:rsidP="00112DF2">
            <w:pPr>
              <w:pStyle w:val="TableText0"/>
              <w:jc w:val="center"/>
            </w:pPr>
            <w:r w:rsidRPr="009E4EB8">
              <w:t>TCR/PE MM</w:t>
            </w:r>
          </w:p>
        </w:tc>
        <w:tc>
          <w:tcPr>
            <w:tcW w:w="622" w:type="pct"/>
            <w:vMerge w:val="restart"/>
            <w:shd w:val="clear" w:color="auto" w:fill="C6D9F1" w:themeFill="text2" w:themeFillTint="33"/>
            <w:vAlign w:val="center"/>
          </w:tcPr>
          <w:p w14:paraId="64102B94" w14:textId="27DF0AA5" w:rsidR="008F0377" w:rsidRPr="009E4EB8" w:rsidRDefault="008F0377" w:rsidP="00112DF2">
            <w:pPr>
              <w:pStyle w:val="TableText0"/>
              <w:jc w:val="center"/>
            </w:pPr>
            <w:r w:rsidRPr="009E4EB8">
              <w:t>OS, PFS, ORR</w:t>
            </w:r>
          </w:p>
        </w:tc>
        <w:tc>
          <w:tcPr>
            <w:tcW w:w="939" w:type="pct"/>
            <w:shd w:val="clear" w:color="auto" w:fill="C6D9F1" w:themeFill="text2" w:themeFillTint="33"/>
            <w:vAlign w:val="center"/>
          </w:tcPr>
          <w:p w14:paraId="5B64A794" w14:textId="06C2F7DB" w:rsidR="008F0377" w:rsidRPr="009E4EB8" w:rsidRDefault="008F0377" w:rsidP="00112DF2">
            <w:pPr>
              <w:pStyle w:val="TableText0"/>
              <w:jc w:val="center"/>
            </w:pPr>
            <w:r w:rsidRPr="009E4EB8">
              <w:t>Not used</w:t>
            </w:r>
          </w:p>
        </w:tc>
      </w:tr>
      <w:tr w:rsidR="008F0377" w:rsidRPr="009E4EB8" w14:paraId="0C968CC7" w14:textId="77777777" w:rsidTr="00911D95">
        <w:trPr>
          <w:cantSplit/>
        </w:trPr>
        <w:tc>
          <w:tcPr>
            <w:tcW w:w="713" w:type="pct"/>
            <w:vMerge/>
            <w:shd w:val="clear" w:color="auto" w:fill="C6D9F1" w:themeFill="text2" w:themeFillTint="33"/>
            <w:vAlign w:val="center"/>
          </w:tcPr>
          <w:p w14:paraId="55142C27" w14:textId="795980B8" w:rsidR="008F0377" w:rsidRPr="009E4EB8" w:rsidRDefault="008F0377" w:rsidP="00112DF2">
            <w:pPr>
              <w:pStyle w:val="TableText0"/>
              <w:jc w:val="center"/>
            </w:pPr>
          </w:p>
        </w:tc>
        <w:tc>
          <w:tcPr>
            <w:tcW w:w="466" w:type="pct"/>
            <w:shd w:val="clear" w:color="auto" w:fill="C6D9F1" w:themeFill="text2" w:themeFillTint="33"/>
            <w:vAlign w:val="center"/>
          </w:tcPr>
          <w:p w14:paraId="01EEA744" w14:textId="3B95B9F9" w:rsidR="008F0377" w:rsidRPr="009E4EB8" w:rsidRDefault="008F0377" w:rsidP="00112DF2">
            <w:pPr>
              <w:pStyle w:val="TableText0"/>
              <w:jc w:val="center"/>
              <w:rPr>
                <w:vertAlign w:val="superscript"/>
              </w:rPr>
            </w:pPr>
            <w:r w:rsidRPr="009E4EB8">
              <w:t xml:space="preserve">83 </w:t>
            </w:r>
            <w:r w:rsidRPr="009E4EB8">
              <w:rPr>
                <w:vertAlign w:val="superscript"/>
              </w:rPr>
              <w:t>b</w:t>
            </w:r>
          </w:p>
        </w:tc>
        <w:tc>
          <w:tcPr>
            <w:tcW w:w="782" w:type="pct"/>
            <w:vMerge/>
            <w:shd w:val="clear" w:color="auto" w:fill="C6D9F1" w:themeFill="text2" w:themeFillTint="33"/>
            <w:vAlign w:val="center"/>
          </w:tcPr>
          <w:p w14:paraId="296F6C4A" w14:textId="3666D3CA" w:rsidR="008F0377" w:rsidRPr="009E4EB8" w:rsidRDefault="008F0377" w:rsidP="00112DF2">
            <w:pPr>
              <w:pStyle w:val="TableText0"/>
              <w:jc w:val="center"/>
            </w:pPr>
          </w:p>
        </w:tc>
        <w:tc>
          <w:tcPr>
            <w:tcW w:w="621" w:type="pct"/>
            <w:vMerge/>
            <w:shd w:val="clear" w:color="auto" w:fill="C6D9F1" w:themeFill="text2" w:themeFillTint="33"/>
            <w:vAlign w:val="center"/>
          </w:tcPr>
          <w:p w14:paraId="329A1665" w14:textId="619949BF" w:rsidR="008F0377" w:rsidRPr="009E4EB8" w:rsidRDefault="008F0377" w:rsidP="00112DF2">
            <w:pPr>
              <w:pStyle w:val="TableText0"/>
              <w:jc w:val="center"/>
            </w:pPr>
          </w:p>
        </w:tc>
        <w:tc>
          <w:tcPr>
            <w:tcW w:w="857" w:type="pct"/>
            <w:shd w:val="clear" w:color="auto" w:fill="C6D9F1" w:themeFill="text2" w:themeFillTint="33"/>
            <w:vAlign w:val="center"/>
          </w:tcPr>
          <w:p w14:paraId="5C59ED6B" w14:textId="376815B1" w:rsidR="008F0377" w:rsidRPr="009E4EB8" w:rsidRDefault="008F0377" w:rsidP="00112DF2">
            <w:pPr>
              <w:pStyle w:val="TableText0"/>
              <w:jc w:val="center"/>
            </w:pPr>
            <w:r w:rsidRPr="009E4EB8">
              <w:t>TCR/PR MM</w:t>
            </w:r>
          </w:p>
        </w:tc>
        <w:tc>
          <w:tcPr>
            <w:tcW w:w="622" w:type="pct"/>
            <w:vMerge/>
            <w:shd w:val="clear" w:color="auto" w:fill="C6D9F1" w:themeFill="text2" w:themeFillTint="33"/>
            <w:vAlign w:val="center"/>
          </w:tcPr>
          <w:p w14:paraId="00F5FBB7" w14:textId="21D7AC13" w:rsidR="008F0377" w:rsidRPr="009E4EB8" w:rsidRDefault="008F0377" w:rsidP="00112DF2">
            <w:pPr>
              <w:pStyle w:val="TableText0"/>
              <w:jc w:val="center"/>
            </w:pPr>
          </w:p>
        </w:tc>
        <w:tc>
          <w:tcPr>
            <w:tcW w:w="939" w:type="pct"/>
            <w:shd w:val="clear" w:color="auto" w:fill="C6D9F1" w:themeFill="text2" w:themeFillTint="33"/>
            <w:vAlign w:val="center"/>
          </w:tcPr>
          <w:p w14:paraId="77C646C9" w14:textId="44987674" w:rsidR="008F0377" w:rsidRPr="009E4EB8" w:rsidRDefault="008F0377" w:rsidP="00112DF2">
            <w:pPr>
              <w:pStyle w:val="TableText0"/>
              <w:jc w:val="center"/>
            </w:pPr>
            <w:r w:rsidRPr="009E4EB8">
              <w:t>OS</w:t>
            </w:r>
          </w:p>
        </w:tc>
      </w:tr>
      <w:tr w:rsidR="00D250A0" w:rsidRPr="009E4EB8" w14:paraId="77E3A6E8" w14:textId="77777777" w:rsidTr="00D250A0">
        <w:trPr>
          <w:cantSplit/>
        </w:trPr>
        <w:tc>
          <w:tcPr>
            <w:tcW w:w="5000" w:type="pct"/>
            <w:gridSpan w:val="7"/>
            <w:shd w:val="clear" w:color="auto" w:fill="auto"/>
            <w:vAlign w:val="center"/>
          </w:tcPr>
          <w:p w14:paraId="3C99EB46" w14:textId="7BF1603B" w:rsidR="00D250A0" w:rsidRPr="009E4EB8" w:rsidRDefault="00D250A0" w:rsidP="00D250A0">
            <w:pPr>
              <w:pStyle w:val="TableText0"/>
              <w:rPr>
                <w:b/>
                <w:bCs w:val="0"/>
              </w:rPr>
            </w:pPr>
            <w:r w:rsidRPr="009E4EB8">
              <w:rPr>
                <w:b/>
                <w:bCs w:val="0"/>
              </w:rPr>
              <w:t>Conventional care</w:t>
            </w:r>
          </w:p>
        </w:tc>
      </w:tr>
      <w:tr w:rsidR="009952D9" w:rsidRPr="009E4EB8" w14:paraId="643E9B30" w14:textId="77777777" w:rsidTr="00D041EE">
        <w:trPr>
          <w:cantSplit/>
        </w:trPr>
        <w:tc>
          <w:tcPr>
            <w:tcW w:w="713" w:type="pct"/>
            <w:shd w:val="clear" w:color="auto" w:fill="auto"/>
            <w:vAlign w:val="center"/>
          </w:tcPr>
          <w:p w14:paraId="3D35A7CF" w14:textId="479B812F" w:rsidR="009952D9" w:rsidRPr="009E4EB8" w:rsidRDefault="00236AF0" w:rsidP="009952D9">
            <w:pPr>
              <w:pStyle w:val="TableText0"/>
            </w:pPr>
            <w:r w:rsidRPr="009E4EB8">
              <w:t>Gandhi 2019 (MAMMOTH)</w:t>
            </w:r>
          </w:p>
        </w:tc>
        <w:tc>
          <w:tcPr>
            <w:tcW w:w="466" w:type="pct"/>
            <w:shd w:val="clear" w:color="auto" w:fill="auto"/>
            <w:vAlign w:val="center"/>
          </w:tcPr>
          <w:p w14:paraId="4E738624" w14:textId="4B13DB4B" w:rsidR="009952D9" w:rsidRPr="009E4EB8" w:rsidRDefault="00312670" w:rsidP="009952D9">
            <w:pPr>
              <w:pStyle w:val="TableText0"/>
              <w:jc w:val="center"/>
            </w:pPr>
            <w:r w:rsidRPr="009E4EB8">
              <w:t>70</w:t>
            </w:r>
          </w:p>
        </w:tc>
        <w:tc>
          <w:tcPr>
            <w:tcW w:w="782" w:type="pct"/>
            <w:shd w:val="clear" w:color="auto" w:fill="auto"/>
            <w:vAlign w:val="center"/>
          </w:tcPr>
          <w:p w14:paraId="40EDFA08" w14:textId="7600C24A" w:rsidR="009952D9" w:rsidRPr="009E4EB8" w:rsidRDefault="009952D9" w:rsidP="009952D9">
            <w:pPr>
              <w:pStyle w:val="TableText0"/>
              <w:jc w:val="center"/>
            </w:pPr>
            <w:r w:rsidRPr="009E4EB8">
              <w:t>Retrospective</w:t>
            </w:r>
          </w:p>
        </w:tc>
        <w:tc>
          <w:tcPr>
            <w:tcW w:w="621" w:type="pct"/>
            <w:shd w:val="clear" w:color="auto" w:fill="auto"/>
            <w:vAlign w:val="center"/>
          </w:tcPr>
          <w:p w14:paraId="049DCE6A" w14:textId="162A78BC" w:rsidR="009952D9" w:rsidRPr="009E4EB8" w:rsidRDefault="009952D9" w:rsidP="009952D9">
            <w:pPr>
              <w:pStyle w:val="TableText0"/>
              <w:jc w:val="center"/>
            </w:pPr>
            <w:r w:rsidRPr="009E4EB8">
              <w:t>High</w:t>
            </w:r>
          </w:p>
        </w:tc>
        <w:tc>
          <w:tcPr>
            <w:tcW w:w="857" w:type="pct"/>
            <w:shd w:val="clear" w:color="auto" w:fill="auto"/>
            <w:vAlign w:val="center"/>
          </w:tcPr>
          <w:p w14:paraId="35047341" w14:textId="1065A941" w:rsidR="009952D9" w:rsidRPr="009E4EB8" w:rsidRDefault="00236AF0" w:rsidP="009952D9">
            <w:pPr>
              <w:pStyle w:val="TableText0"/>
              <w:jc w:val="center"/>
            </w:pPr>
            <w:r w:rsidRPr="009E4EB8">
              <w:t>TCR/PR MM</w:t>
            </w:r>
          </w:p>
        </w:tc>
        <w:tc>
          <w:tcPr>
            <w:tcW w:w="622" w:type="pct"/>
            <w:shd w:val="clear" w:color="auto" w:fill="auto"/>
            <w:vAlign w:val="center"/>
          </w:tcPr>
          <w:p w14:paraId="06C647AE" w14:textId="25A60A3A" w:rsidR="009952D9" w:rsidRPr="009E4EB8" w:rsidRDefault="00A56427" w:rsidP="009952D9">
            <w:pPr>
              <w:pStyle w:val="TableText0"/>
              <w:jc w:val="center"/>
            </w:pPr>
            <w:r w:rsidRPr="009E4EB8">
              <w:t>OS, ORR</w:t>
            </w:r>
          </w:p>
        </w:tc>
        <w:tc>
          <w:tcPr>
            <w:tcW w:w="939" w:type="pct"/>
            <w:shd w:val="clear" w:color="auto" w:fill="auto"/>
            <w:vAlign w:val="center"/>
          </w:tcPr>
          <w:p w14:paraId="7FB88120" w14:textId="26B14358" w:rsidR="009952D9" w:rsidRPr="009E4EB8" w:rsidRDefault="001D34BB" w:rsidP="009952D9">
            <w:pPr>
              <w:pStyle w:val="TableText0"/>
              <w:jc w:val="center"/>
            </w:pPr>
            <w:r w:rsidRPr="009E4EB8">
              <w:t>OS</w:t>
            </w:r>
          </w:p>
        </w:tc>
      </w:tr>
      <w:tr w:rsidR="005304FD" w:rsidRPr="009E4EB8" w14:paraId="266E9DED" w14:textId="77777777" w:rsidTr="00D041EE">
        <w:trPr>
          <w:cantSplit/>
        </w:trPr>
        <w:tc>
          <w:tcPr>
            <w:tcW w:w="713" w:type="pct"/>
            <w:shd w:val="clear" w:color="auto" w:fill="auto"/>
            <w:vAlign w:val="center"/>
          </w:tcPr>
          <w:p w14:paraId="50D4764D" w14:textId="28C723DE" w:rsidR="005304FD" w:rsidRPr="009E4EB8" w:rsidRDefault="00A56427" w:rsidP="00D041EE">
            <w:pPr>
              <w:pStyle w:val="TableText0"/>
              <w:rPr>
                <w:vertAlign w:val="superscript"/>
              </w:rPr>
            </w:pPr>
            <w:r w:rsidRPr="009E4EB8">
              <w:rPr>
                <w:szCs w:val="20"/>
              </w:rPr>
              <w:t>Goldsmith 2020</w:t>
            </w:r>
            <w:r w:rsidR="00A6324B" w:rsidRPr="009E4EB8">
              <w:rPr>
                <w:szCs w:val="20"/>
              </w:rPr>
              <w:t xml:space="preserve"> </w:t>
            </w:r>
          </w:p>
        </w:tc>
        <w:tc>
          <w:tcPr>
            <w:tcW w:w="466" w:type="pct"/>
            <w:shd w:val="clear" w:color="auto" w:fill="auto"/>
            <w:vAlign w:val="center"/>
          </w:tcPr>
          <w:p w14:paraId="01CB371A" w14:textId="6435D6D6" w:rsidR="005304FD" w:rsidRPr="009E4EB8" w:rsidRDefault="00E912C1" w:rsidP="00D041EE">
            <w:pPr>
              <w:pStyle w:val="TableText0"/>
              <w:jc w:val="center"/>
              <w:rPr>
                <w:vertAlign w:val="superscript"/>
              </w:rPr>
            </w:pPr>
            <w:r w:rsidRPr="009E4EB8">
              <w:t xml:space="preserve">31 </w:t>
            </w:r>
            <w:r w:rsidRPr="009E4EB8">
              <w:rPr>
                <w:vertAlign w:val="superscript"/>
              </w:rPr>
              <w:t>c</w:t>
            </w:r>
          </w:p>
        </w:tc>
        <w:tc>
          <w:tcPr>
            <w:tcW w:w="782" w:type="pct"/>
            <w:shd w:val="clear" w:color="auto" w:fill="auto"/>
            <w:vAlign w:val="center"/>
          </w:tcPr>
          <w:p w14:paraId="6C0D8CBA" w14:textId="05705FD6" w:rsidR="005304FD" w:rsidRPr="009E4EB8" w:rsidRDefault="00EE056C" w:rsidP="00D041EE">
            <w:pPr>
              <w:pStyle w:val="TableText0"/>
              <w:jc w:val="center"/>
            </w:pPr>
            <w:r w:rsidRPr="009E4EB8">
              <w:t>Retrospective</w:t>
            </w:r>
            <w:r w:rsidR="006113AB" w:rsidRPr="009E4EB8">
              <w:t xml:space="preserve"> (</w:t>
            </w:r>
            <w:proofErr w:type="gramStart"/>
            <w:r w:rsidR="006113AB" w:rsidRPr="009E4EB8">
              <w:t>single-cent</w:t>
            </w:r>
            <w:r w:rsidR="00CE5918" w:rsidRPr="009E4EB8">
              <w:t>re</w:t>
            </w:r>
            <w:proofErr w:type="gramEnd"/>
            <w:r w:rsidR="006113AB" w:rsidRPr="009E4EB8">
              <w:t>)</w:t>
            </w:r>
          </w:p>
        </w:tc>
        <w:tc>
          <w:tcPr>
            <w:tcW w:w="621" w:type="pct"/>
            <w:shd w:val="clear" w:color="auto" w:fill="auto"/>
            <w:vAlign w:val="center"/>
          </w:tcPr>
          <w:p w14:paraId="5EDCA2D3" w14:textId="0E0DA4AC" w:rsidR="005304FD" w:rsidRPr="009E4EB8" w:rsidRDefault="00A56427" w:rsidP="00D041EE">
            <w:pPr>
              <w:pStyle w:val="TableText0"/>
              <w:jc w:val="center"/>
            </w:pPr>
            <w:r w:rsidRPr="009E4EB8">
              <w:t>High</w:t>
            </w:r>
          </w:p>
        </w:tc>
        <w:tc>
          <w:tcPr>
            <w:tcW w:w="857" w:type="pct"/>
            <w:shd w:val="clear" w:color="auto" w:fill="auto"/>
            <w:vAlign w:val="center"/>
          </w:tcPr>
          <w:p w14:paraId="515F4EBF" w14:textId="38B50C99" w:rsidR="005304FD" w:rsidRPr="009E4EB8" w:rsidRDefault="00AF1F95" w:rsidP="00D041EE">
            <w:pPr>
              <w:pStyle w:val="TableText0"/>
              <w:jc w:val="center"/>
              <w:rPr>
                <w:vertAlign w:val="superscript"/>
              </w:rPr>
            </w:pPr>
            <w:r w:rsidRPr="009E4EB8">
              <w:t>QR and PR MM</w:t>
            </w:r>
            <w:r w:rsidR="002A492C" w:rsidRPr="009E4EB8">
              <w:t xml:space="preserve"> </w:t>
            </w:r>
            <w:r w:rsidR="00085117" w:rsidRPr="009E4EB8">
              <w:t xml:space="preserve">treated with DCEP </w:t>
            </w:r>
            <w:r w:rsidR="00E912C1" w:rsidRPr="009E4EB8">
              <w:rPr>
                <w:vertAlign w:val="superscript"/>
              </w:rPr>
              <w:t>d</w:t>
            </w:r>
          </w:p>
        </w:tc>
        <w:tc>
          <w:tcPr>
            <w:tcW w:w="622" w:type="pct"/>
            <w:shd w:val="clear" w:color="auto" w:fill="auto"/>
            <w:vAlign w:val="center"/>
          </w:tcPr>
          <w:p w14:paraId="505CC3E9" w14:textId="29AB90B2" w:rsidR="005304FD" w:rsidRPr="009E4EB8" w:rsidRDefault="00F85614" w:rsidP="00D041EE">
            <w:pPr>
              <w:pStyle w:val="TableText0"/>
              <w:jc w:val="center"/>
            </w:pPr>
            <w:r w:rsidRPr="009E4EB8">
              <w:t>ORR</w:t>
            </w:r>
          </w:p>
        </w:tc>
        <w:tc>
          <w:tcPr>
            <w:tcW w:w="939" w:type="pct"/>
            <w:shd w:val="clear" w:color="auto" w:fill="auto"/>
            <w:vAlign w:val="center"/>
          </w:tcPr>
          <w:p w14:paraId="11D4A946" w14:textId="0D1B67DD" w:rsidR="005304FD" w:rsidRPr="009E4EB8" w:rsidRDefault="002B3B3C" w:rsidP="00D041EE">
            <w:pPr>
              <w:pStyle w:val="TableText0"/>
              <w:jc w:val="center"/>
            </w:pPr>
            <w:r w:rsidRPr="009E4EB8">
              <w:t>Not used</w:t>
            </w:r>
          </w:p>
        </w:tc>
      </w:tr>
    </w:tbl>
    <w:p w14:paraId="7CAD491D" w14:textId="0E548F5E" w:rsidR="005304FD" w:rsidRPr="009E4EB8" w:rsidRDefault="005304FD" w:rsidP="005304FD">
      <w:pPr>
        <w:pStyle w:val="TableFigureFooter"/>
      </w:pPr>
      <w:r w:rsidRPr="009E4EB8">
        <w:t xml:space="preserve">Source: </w:t>
      </w:r>
      <w:r w:rsidR="00082A8A" w:rsidRPr="009E4EB8">
        <w:t>Developed during the evaluation (risk of bias in all studies was assessed using ROBINS I)</w:t>
      </w:r>
    </w:p>
    <w:p w14:paraId="1EDACA55" w14:textId="252F01B8" w:rsidR="005304FD" w:rsidRPr="009E4EB8" w:rsidRDefault="00103E53" w:rsidP="005304FD">
      <w:pPr>
        <w:pStyle w:val="TableFigureFooter"/>
      </w:pPr>
      <w:r w:rsidRPr="009E4EB8">
        <w:t xml:space="preserve">Abbreviations: </w:t>
      </w:r>
      <w:r w:rsidR="0043087B" w:rsidRPr="009E4EB8">
        <w:t>BCLPD-ref = refractory to bortezomib, carfilzomib, lenalidomide, pomalidomide, and daratumumab</w:t>
      </w:r>
      <w:r w:rsidR="005304FD" w:rsidRPr="009E4EB8">
        <w:t xml:space="preserve">; </w:t>
      </w:r>
      <w:r w:rsidR="00085117" w:rsidRPr="009E4EB8">
        <w:t xml:space="preserve">DCEP = </w:t>
      </w:r>
      <w:r w:rsidR="006130C8" w:rsidRPr="009E4EB8">
        <w:t xml:space="preserve">dexamethasone + cyclophosphamide + etoposide + cisplatin; </w:t>
      </w:r>
      <w:r w:rsidR="002A492C" w:rsidRPr="009E4EB8">
        <w:t xml:space="preserve">MM = multiple myeloma; </w:t>
      </w:r>
      <w:r w:rsidR="00E7186B" w:rsidRPr="009E4EB8">
        <w:t xml:space="preserve">ORR = overall response rate; </w:t>
      </w:r>
      <w:r w:rsidR="005304FD" w:rsidRPr="009E4EB8">
        <w:t>OS = overall survival; PFS = progression-free survival</w:t>
      </w:r>
      <w:r w:rsidR="008F0377" w:rsidRPr="009E4EB8">
        <w:t>;</w:t>
      </w:r>
      <w:r w:rsidR="008F0377" w:rsidRPr="009E4EB8">
        <w:rPr>
          <w:szCs w:val="18"/>
        </w:rPr>
        <w:t xml:space="preserve"> </w:t>
      </w:r>
      <w:r w:rsidR="002A492C" w:rsidRPr="009E4EB8">
        <w:rPr>
          <w:szCs w:val="18"/>
        </w:rPr>
        <w:t xml:space="preserve">PR = penta-refractory; </w:t>
      </w:r>
      <w:r w:rsidR="00AF1F95" w:rsidRPr="009E4EB8">
        <w:rPr>
          <w:szCs w:val="18"/>
        </w:rPr>
        <w:t>QR = qu</w:t>
      </w:r>
      <w:r w:rsidR="002A492C" w:rsidRPr="009E4EB8">
        <w:rPr>
          <w:szCs w:val="18"/>
        </w:rPr>
        <w:t xml:space="preserve">ad refractory; </w:t>
      </w:r>
      <w:r w:rsidR="00C04165" w:rsidRPr="009E4EB8">
        <w:rPr>
          <w:szCs w:val="18"/>
        </w:rPr>
        <w:t xml:space="preserve">Sd = selinexor + dexamethasone; </w:t>
      </w:r>
      <w:r w:rsidR="008F0377" w:rsidRPr="009E4EB8">
        <w:rPr>
          <w:szCs w:val="18"/>
        </w:rPr>
        <w:t>TCR/PE MM = triple class refractory and penta-exposed multiple myeloma</w:t>
      </w:r>
      <w:r w:rsidR="008F0377" w:rsidRPr="009E4EB8">
        <w:rPr>
          <w:szCs w:val="28"/>
        </w:rPr>
        <w:t xml:space="preserve">; </w:t>
      </w:r>
      <w:r w:rsidR="008F0377" w:rsidRPr="009E4EB8">
        <w:rPr>
          <w:szCs w:val="18"/>
        </w:rPr>
        <w:t>TCR/PR MM = triple class refractory and penta-refractory multiple myeloma</w:t>
      </w:r>
    </w:p>
    <w:p w14:paraId="0750F5EC" w14:textId="71330639" w:rsidR="00103E53" w:rsidRPr="009E4EB8" w:rsidRDefault="00103E53" w:rsidP="005304FD">
      <w:pPr>
        <w:pStyle w:val="TableFigureFooter"/>
      </w:pPr>
      <w:r w:rsidRPr="009E4EB8">
        <w:t xml:space="preserve">Notes: </w:t>
      </w:r>
      <w:r w:rsidRPr="009E4EB8">
        <w:rPr>
          <w:vertAlign w:val="superscript"/>
        </w:rPr>
        <w:t xml:space="preserve">a </w:t>
      </w:r>
      <w:r w:rsidRPr="009E4EB8">
        <w:t>modified intent to treat population</w:t>
      </w:r>
    </w:p>
    <w:p w14:paraId="4D829E3C" w14:textId="5CC561FA" w:rsidR="00103E53" w:rsidRPr="009E4EB8" w:rsidRDefault="00103E53" w:rsidP="005304FD">
      <w:pPr>
        <w:pStyle w:val="TableFigureFooter"/>
        <w:rPr>
          <w:szCs w:val="18"/>
        </w:rPr>
      </w:pPr>
      <w:r w:rsidRPr="009E4EB8">
        <w:rPr>
          <w:szCs w:val="18"/>
          <w:vertAlign w:val="superscript"/>
        </w:rPr>
        <w:t xml:space="preserve">b </w:t>
      </w:r>
      <w:r w:rsidRPr="009E4EB8">
        <w:rPr>
          <w:szCs w:val="18"/>
        </w:rPr>
        <w:t xml:space="preserve">TCR/PR population </w:t>
      </w:r>
      <w:r w:rsidR="0043087B" w:rsidRPr="009E4EB8">
        <w:rPr>
          <w:szCs w:val="18"/>
        </w:rPr>
        <w:t>(known as the BCLPD-ref population in STORM)</w:t>
      </w:r>
    </w:p>
    <w:p w14:paraId="419E70FE" w14:textId="06844AD5" w:rsidR="00E912C1" w:rsidRPr="009E4EB8" w:rsidRDefault="00EE056C" w:rsidP="00173170">
      <w:pPr>
        <w:pStyle w:val="TableFigureFooter"/>
        <w:rPr>
          <w:szCs w:val="18"/>
        </w:rPr>
      </w:pPr>
      <w:r w:rsidRPr="009E4EB8">
        <w:rPr>
          <w:szCs w:val="18"/>
          <w:vertAlign w:val="superscript"/>
        </w:rPr>
        <w:t xml:space="preserve">c </w:t>
      </w:r>
      <w:r w:rsidR="00E912C1" w:rsidRPr="009E4EB8">
        <w:rPr>
          <w:szCs w:val="18"/>
        </w:rPr>
        <w:t>total trial population = 58</w:t>
      </w:r>
      <w:r w:rsidR="00C9420B" w:rsidRPr="009E4EB8">
        <w:rPr>
          <w:szCs w:val="18"/>
        </w:rPr>
        <w:t xml:space="preserve">, but results of patients who had received DCEP </w:t>
      </w:r>
      <w:r w:rsidR="00085117" w:rsidRPr="009E4EB8">
        <w:rPr>
          <w:szCs w:val="18"/>
        </w:rPr>
        <w:t xml:space="preserve">(n = 31) </w:t>
      </w:r>
      <w:r w:rsidR="00C9420B" w:rsidRPr="009E4EB8">
        <w:rPr>
          <w:szCs w:val="18"/>
        </w:rPr>
        <w:t>formed the basis of the naïve comparison</w:t>
      </w:r>
    </w:p>
    <w:p w14:paraId="1B4C9CDF" w14:textId="791875F0" w:rsidR="00EE056C" w:rsidRPr="009E4EB8" w:rsidRDefault="00C9420B" w:rsidP="00173170">
      <w:pPr>
        <w:pStyle w:val="TableFigureFooter"/>
        <w:rPr>
          <w:szCs w:val="18"/>
        </w:rPr>
      </w:pPr>
      <w:r w:rsidRPr="009E4EB8">
        <w:rPr>
          <w:szCs w:val="18"/>
          <w:vertAlign w:val="superscript"/>
        </w:rPr>
        <w:t xml:space="preserve">d </w:t>
      </w:r>
      <w:r w:rsidR="00EE056C" w:rsidRPr="009E4EB8">
        <w:rPr>
          <w:szCs w:val="18"/>
        </w:rPr>
        <w:t xml:space="preserve">QR MM </w:t>
      </w:r>
      <w:r w:rsidR="00373EF1" w:rsidRPr="009E4EB8">
        <w:rPr>
          <w:szCs w:val="18"/>
        </w:rPr>
        <w:t>were patients</w:t>
      </w:r>
      <w:r w:rsidR="00EE056C" w:rsidRPr="009E4EB8">
        <w:rPr>
          <w:szCs w:val="18"/>
        </w:rPr>
        <w:t xml:space="preserve"> </w:t>
      </w:r>
      <w:r w:rsidR="00173170" w:rsidRPr="009E4EB8">
        <w:rPr>
          <w:szCs w:val="18"/>
        </w:rPr>
        <w:t>refractory to bortezomib, carfilzomib, lenalidomide, and pomalidomide</w:t>
      </w:r>
      <w:r w:rsidR="00373EF1" w:rsidRPr="009E4EB8">
        <w:rPr>
          <w:szCs w:val="18"/>
        </w:rPr>
        <w:t xml:space="preserve">, and </w:t>
      </w:r>
      <w:r w:rsidR="00173170" w:rsidRPr="009E4EB8">
        <w:rPr>
          <w:szCs w:val="18"/>
        </w:rPr>
        <w:t xml:space="preserve">PR MM </w:t>
      </w:r>
      <w:r w:rsidR="00373EF1" w:rsidRPr="009E4EB8">
        <w:rPr>
          <w:szCs w:val="18"/>
        </w:rPr>
        <w:t>patients had</w:t>
      </w:r>
      <w:r w:rsidR="00173170" w:rsidRPr="009E4EB8">
        <w:rPr>
          <w:szCs w:val="18"/>
        </w:rPr>
        <w:t xml:space="preserve"> additional refractoriness to daratumumab</w:t>
      </w:r>
    </w:p>
    <w:p w14:paraId="35E96183" w14:textId="572248F4" w:rsidR="00911D95" w:rsidRPr="009E4EB8" w:rsidRDefault="00911D95" w:rsidP="00173170">
      <w:pPr>
        <w:pStyle w:val="TableFigureFooter"/>
        <w:rPr>
          <w:sz w:val="20"/>
        </w:rPr>
      </w:pPr>
      <w:r w:rsidRPr="009E4EB8">
        <w:t>Blue shading denotes text remains unchanged from the July 2021 submission.</w:t>
      </w:r>
    </w:p>
    <w:p w14:paraId="7CF944D9" w14:textId="73AEEFD8" w:rsidR="00875248" w:rsidRPr="00640A47" w:rsidRDefault="00D85B2A" w:rsidP="00640A47">
      <w:pPr>
        <w:pStyle w:val="3-BodyText"/>
        <w:rPr>
          <w:color w:val="0066FF"/>
        </w:rPr>
      </w:pPr>
      <w:r w:rsidRPr="009E4EB8">
        <w:t xml:space="preserve">The overall risk of bias in STORM was high, given that it was an open-label, single arm non-randomised study. This includes a high probability of selection bias (exclusion of patients might favour clinical outcomes), performance bias (unblinded study), and </w:t>
      </w:r>
      <w:r w:rsidR="00725924" w:rsidRPr="009E4EB8">
        <w:t xml:space="preserve">potential </w:t>
      </w:r>
      <w:r w:rsidRPr="009E4EB8">
        <w:t xml:space="preserve">measurement of outcome bias (unblinded study). </w:t>
      </w:r>
      <w:r w:rsidR="00725924" w:rsidRPr="009E4EB8">
        <w:rPr>
          <w:rFonts w:eastAsia="Calibri"/>
        </w:rPr>
        <w:t>T</w:t>
      </w:r>
      <w:r w:rsidR="00895785" w:rsidRPr="009E4EB8">
        <w:rPr>
          <w:rFonts w:eastAsia="Calibri"/>
        </w:rPr>
        <w:t xml:space="preserve">he primary outcome of disease response was adjudicated by an independent review committee of four physicians and the outcome measures of response and disease progression were objective measures that were defined by pre-specified criteria (Para. 6.11, Selinexor (TCR/PR), PBAC </w:t>
      </w:r>
      <w:r w:rsidR="00640A47">
        <w:rPr>
          <w:rFonts w:eastAsia="Calibri"/>
        </w:rPr>
        <w:t>PSD</w:t>
      </w:r>
      <w:r w:rsidR="00895785" w:rsidRPr="00640A47">
        <w:rPr>
          <w:rFonts w:eastAsia="Calibri"/>
        </w:rPr>
        <w:t xml:space="preserve">, July 2021 PBAC Meeting). </w:t>
      </w:r>
      <w:r w:rsidR="00B91FF5" w:rsidRPr="00640A47">
        <w:rPr>
          <w:rFonts w:eastAsia="Calibri"/>
        </w:rPr>
        <w:t>T</w:t>
      </w:r>
      <w:r w:rsidR="00B91FF5" w:rsidRPr="00640A47">
        <w:rPr>
          <w:rFonts w:eastAsia="Calibri"/>
          <w:iCs/>
        </w:rPr>
        <w:t xml:space="preserve">he risk of bias in MAMMOTH and </w:t>
      </w:r>
      <w:r w:rsidR="00B91FF5" w:rsidRPr="00640A47">
        <w:rPr>
          <w:rFonts w:eastAsia="Calibri"/>
          <w:iCs/>
        </w:rPr>
        <w:lastRenderedPageBreak/>
        <w:t xml:space="preserve">Goldsmith 2020 was also high given they </w:t>
      </w:r>
      <w:r w:rsidR="0039773B" w:rsidRPr="00640A47">
        <w:rPr>
          <w:rFonts w:eastAsia="Calibri"/>
          <w:iCs/>
        </w:rPr>
        <w:t>were</w:t>
      </w:r>
      <w:r w:rsidR="00B91FF5" w:rsidRPr="00640A47">
        <w:rPr>
          <w:rFonts w:eastAsia="Calibri"/>
          <w:iCs/>
        </w:rPr>
        <w:t xml:space="preserve"> both retrospective single-arm studies. Limited information regarding methods and characteristics of patients</w:t>
      </w:r>
      <w:r w:rsidR="0039773B" w:rsidRPr="00640A47">
        <w:rPr>
          <w:rFonts w:eastAsia="Calibri"/>
          <w:iCs/>
        </w:rPr>
        <w:t xml:space="preserve"> were available for these studies. </w:t>
      </w:r>
    </w:p>
    <w:p w14:paraId="7B1BE847" w14:textId="24B786EB" w:rsidR="00155C91" w:rsidRPr="009E4EB8" w:rsidRDefault="002C7B8B" w:rsidP="005304FD">
      <w:pPr>
        <w:pStyle w:val="3-BodyText"/>
        <w:rPr>
          <w:color w:val="0066FF"/>
        </w:rPr>
      </w:pPr>
      <w:r w:rsidRPr="009E4EB8">
        <w:rPr>
          <w:iCs/>
        </w:rPr>
        <w:t xml:space="preserve">Overall, </w:t>
      </w:r>
      <w:r w:rsidR="008D7B17" w:rsidRPr="009E4EB8">
        <w:rPr>
          <w:iCs/>
        </w:rPr>
        <w:t xml:space="preserve">a comparison </w:t>
      </w:r>
      <w:r w:rsidRPr="009E4EB8">
        <w:rPr>
          <w:iCs/>
        </w:rPr>
        <w:t xml:space="preserve">of baseline characteristics of patients between </w:t>
      </w:r>
      <w:r w:rsidR="00E9610B" w:rsidRPr="009E4EB8">
        <w:rPr>
          <w:iCs/>
        </w:rPr>
        <w:t xml:space="preserve">the three studies </w:t>
      </w:r>
      <w:r w:rsidRPr="009E4EB8">
        <w:rPr>
          <w:iCs/>
        </w:rPr>
        <w:t xml:space="preserve">was limited due to inadequate information from MAMMOTH and Goldsmith 2020. However, the following differences are of note: </w:t>
      </w:r>
    </w:p>
    <w:p w14:paraId="1DA0796E" w14:textId="3D1FE536" w:rsidR="00F92982" w:rsidRPr="009E4EB8" w:rsidRDefault="00F92982" w:rsidP="002C3290">
      <w:pPr>
        <w:pStyle w:val="ListParagraph"/>
        <w:numPr>
          <w:ilvl w:val="0"/>
          <w:numId w:val="9"/>
        </w:numPr>
        <w:ind w:left="1092"/>
        <w:rPr>
          <w:iCs/>
        </w:rPr>
      </w:pPr>
      <w:r w:rsidRPr="009E4EB8">
        <w:t>The median age of patients in STORM was higher (65.3 years) compared to MAMMOTH and Goldsmith (60 and 58.5 years respectively).</w:t>
      </w:r>
    </w:p>
    <w:p w14:paraId="076D7628" w14:textId="1AC5401A" w:rsidR="00155C91" w:rsidRPr="009E4EB8" w:rsidRDefault="00155C91" w:rsidP="002C3290">
      <w:pPr>
        <w:pStyle w:val="ListParagraph"/>
        <w:numPr>
          <w:ilvl w:val="0"/>
          <w:numId w:val="9"/>
        </w:numPr>
        <w:ind w:left="1092"/>
        <w:rPr>
          <w:iCs/>
        </w:rPr>
      </w:pPr>
      <w:r w:rsidRPr="009E4EB8">
        <w:rPr>
          <w:iCs/>
        </w:rPr>
        <w:t xml:space="preserve">Patients in STORM had </w:t>
      </w:r>
      <w:r w:rsidR="00A46AA4" w:rsidRPr="009E4EB8">
        <w:rPr>
          <w:iCs/>
        </w:rPr>
        <w:t xml:space="preserve">a </w:t>
      </w:r>
      <w:r w:rsidRPr="009E4EB8">
        <w:rPr>
          <w:iCs/>
        </w:rPr>
        <w:t>longer time since the initial diagnosis of the disease compared with MAMMOTH and Goldsmith 2020 (</w:t>
      </w:r>
      <w:r w:rsidR="00EC1E94" w:rsidRPr="009E4EB8">
        <w:rPr>
          <w:iCs/>
        </w:rPr>
        <w:t xml:space="preserve">median = 7.0 years versus </w:t>
      </w:r>
      <w:r w:rsidRPr="009E4EB8">
        <w:rPr>
          <w:iCs/>
        </w:rPr>
        <w:t xml:space="preserve">5.7 years, 4.5 years respectively). </w:t>
      </w:r>
    </w:p>
    <w:p w14:paraId="0D5A8F56" w14:textId="625C4741" w:rsidR="00155C91" w:rsidRPr="009E4EB8" w:rsidRDefault="00155C91" w:rsidP="002C3290">
      <w:pPr>
        <w:pStyle w:val="ListParagraph"/>
        <w:numPr>
          <w:ilvl w:val="0"/>
          <w:numId w:val="6"/>
        </w:numPr>
        <w:ind w:left="1092" w:hanging="357"/>
        <w:rPr>
          <w:iCs/>
        </w:rPr>
      </w:pPr>
      <w:r w:rsidRPr="009E4EB8">
        <w:rPr>
          <w:iCs/>
        </w:rPr>
        <w:t xml:space="preserve">A lower proportion of patients in STORM (12.0%) had an International Staging System (ISS) disease stage of I compared to MAMMOTH and Goldsmith 2020 (29% and 24.3% respectively; with a higher stage indicating more advanced disease), where STORM had a higher proportion of patients with stage II disease (67.5%) compared to </w:t>
      </w:r>
      <w:r w:rsidR="000E612A" w:rsidRPr="009E4EB8">
        <w:rPr>
          <w:iCs/>
        </w:rPr>
        <w:t xml:space="preserve">MAMMOTH </w:t>
      </w:r>
      <w:r w:rsidRPr="009E4EB8">
        <w:rPr>
          <w:iCs/>
        </w:rPr>
        <w:t xml:space="preserve">and Goldsmith 2020 (39% and 34.3%) whilst stage III disease </w:t>
      </w:r>
      <w:r w:rsidR="003409EA" w:rsidRPr="009E4EB8">
        <w:rPr>
          <w:iCs/>
        </w:rPr>
        <w:t xml:space="preserve">was </w:t>
      </w:r>
      <w:r w:rsidRPr="009E4EB8">
        <w:rPr>
          <w:iCs/>
        </w:rPr>
        <w:t xml:space="preserve">similar across the three studies. The resubmission considered that the ISS stage at baseline were comparable across the </w:t>
      </w:r>
      <w:r w:rsidR="00C05EEA" w:rsidRPr="009E4EB8">
        <w:rPr>
          <w:iCs/>
        </w:rPr>
        <w:t>three</w:t>
      </w:r>
      <w:r w:rsidRPr="009E4EB8">
        <w:rPr>
          <w:iCs/>
        </w:rPr>
        <w:t xml:space="preserve"> studies however this was based on patients with known status where the number of unknowns were removed (16 patients; 22.8% from MAMMOTH and 5 patients; 16.1% from Goldsmith 2020</w:t>
      </w:r>
      <w:r w:rsidR="00537C17" w:rsidRPr="009E4EB8">
        <w:rPr>
          <w:iCs/>
        </w:rPr>
        <w:t xml:space="preserve"> had unknown ISS stag</w:t>
      </w:r>
      <w:r w:rsidR="00632770" w:rsidRPr="009E4EB8">
        <w:rPr>
          <w:iCs/>
        </w:rPr>
        <w:t>ing</w:t>
      </w:r>
      <w:r w:rsidRPr="009E4EB8">
        <w:rPr>
          <w:iCs/>
        </w:rPr>
        <w:t xml:space="preserve">). </w:t>
      </w:r>
    </w:p>
    <w:p w14:paraId="66398F8F" w14:textId="535A75DD" w:rsidR="00155C91" w:rsidRPr="009E4EB8" w:rsidRDefault="00155C91" w:rsidP="002C3290">
      <w:pPr>
        <w:pStyle w:val="ListParagraph"/>
        <w:numPr>
          <w:ilvl w:val="0"/>
          <w:numId w:val="6"/>
        </w:numPr>
        <w:ind w:left="1092" w:hanging="357"/>
        <w:rPr>
          <w:iCs/>
        </w:rPr>
      </w:pPr>
      <w:r w:rsidRPr="009E4EB8">
        <w:rPr>
          <w:iCs/>
        </w:rPr>
        <w:t xml:space="preserve">Patients in STORM and Goldsmith 2020 had </w:t>
      </w:r>
      <w:r w:rsidR="00DB2B50" w:rsidRPr="009E4EB8">
        <w:rPr>
          <w:iCs/>
        </w:rPr>
        <w:t xml:space="preserve">a median of </w:t>
      </w:r>
      <w:r w:rsidRPr="009E4EB8">
        <w:rPr>
          <w:iCs/>
        </w:rPr>
        <w:t xml:space="preserve">8 prior therapies whilst patients in MAMMOTH had </w:t>
      </w:r>
      <w:r w:rsidR="00DB2B50" w:rsidRPr="009E4EB8">
        <w:rPr>
          <w:iCs/>
        </w:rPr>
        <w:t xml:space="preserve">a median of </w:t>
      </w:r>
      <w:r w:rsidRPr="009E4EB8">
        <w:rPr>
          <w:iCs/>
        </w:rPr>
        <w:t xml:space="preserve">5 prior therapies. </w:t>
      </w:r>
    </w:p>
    <w:p w14:paraId="49455F6E" w14:textId="73DEE56E" w:rsidR="00155C91" w:rsidRPr="009E4EB8" w:rsidRDefault="00155C91" w:rsidP="002C3290">
      <w:pPr>
        <w:pStyle w:val="ListParagraph"/>
        <w:numPr>
          <w:ilvl w:val="0"/>
          <w:numId w:val="6"/>
        </w:numPr>
        <w:ind w:left="1092" w:hanging="357"/>
        <w:rPr>
          <w:iCs/>
        </w:rPr>
      </w:pPr>
      <w:r w:rsidRPr="009E4EB8">
        <w:rPr>
          <w:iCs/>
        </w:rPr>
        <w:t xml:space="preserve">Patients in MAMMOTH and Goldsmith 2020 were required to have progressive disease (but not in STORM; STORM required patients to be refractory to previous therapy, defined as </w:t>
      </w:r>
      <w:r w:rsidRPr="009E4EB8">
        <w:rPr>
          <w:rFonts w:cstheme="minorHAnsi"/>
          <w:iCs/>
        </w:rPr>
        <w:t>≤25% response to therapy or progression within 60 days after completion of therapy</w:t>
      </w:r>
      <w:r w:rsidRPr="009E4EB8">
        <w:rPr>
          <w:iCs/>
        </w:rPr>
        <w:t xml:space="preserve">). </w:t>
      </w:r>
    </w:p>
    <w:p w14:paraId="056AC9D1" w14:textId="77777777" w:rsidR="00155C91" w:rsidRPr="009E4EB8" w:rsidRDefault="00155C91" w:rsidP="006E12F6">
      <w:pPr>
        <w:pStyle w:val="ListBullet"/>
        <w:tabs>
          <w:tab w:val="clear" w:pos="360"/>
          <w:tab w:val="num" w:pos="720"/>
        </w:tabs>
        <w:spacing w:after="120"/>
        <w:ind w:left="1092" w:hanging="357"/>
        <w:contextualSpacing w:val="0"/>
        <w:rPr>
          <w:iCs/>
        </w:rPr>
      </w:pPr>
      <w:r w:rsidRPr="009E4EB8">
        <w:rPr>
          <w:iCs/>
        </w:rPr>
        <w:t xml:space="preserve">Despite having late-stage MM, patients in STORM appeared to have a good Eastern Cooperative Oncology Group Performance status (ECOG-PS) score of 0 or 1 (32.5% and 56.6% respectively). There was no information about ECOG-PS score in MAMMOTH and Goldsmith 2020. </w:t>
      </w:r>
    </w:p>
    <w:p w14:paraId="6CCD1C02" w14:textId="77777777" w:rsidR="00155C91" w:rsidRPr="009E4EB8" w:rsidRDefault="00155C91" w:rsidP="002C3290">
      <w:pPr>
        <w:pStyle w:val="ListParagraph"/>
        <w:numPr>
          <w:ilvl w:val="0"/>
          <w:numId w:val="7"/>
        </w:numPr>
        <w:ind w:left="1092" w:hanging="357"/>
        <w:rPr>
          <w:iCs/>
        </w:rPr>
      </w:pPr>
      <w:r w:rsidRPr="009E4EB8">
        <w:rPr>
          <w:iCs/>
        </w:rPr>
        <w:t xml:space="preserve">For all three studies there were no details specifying which drug was used at each line of treatment and it is unclear whether the sequence of prior therapies may impact on response to subsequent therapies, especially in advanced MM where patients have been heavily pre-treated. </w:t>
      </w:r>
    </w:p>
    <w:p w14:paraId="63A986C7" w14:textId="19342157" w:rsidR="008B028C" w:rsidRPr="009E4EB8" w:rsidRDefault="00636E87" w:rsidP="0028509F">
      <w:pPr>
        <w:pStyle w:val="3-BodyText"/>
        <w:rPr>
          <w:iCs/>
        </w:rPr>
      </w:pPr>
      <w:r w:rsidRPr="009E4EB8">
        <w:rPr>
          <w:iCs/>
        </w:rPr>
        <w:t xml:space="preserve">The ESC considered that STORM was conducted in a group of patients that had been relatively poorly studied to date, and noted that in clinical practice, younger patients were more likely to seek fifth line treatment compared with older </w:t>
      </w:r>
      <w:r w:rsidR="0023112B" w:rsidRPr="009E4EB8">
        <w:rPr>
          <w:iCs/>
        </w:rPr>
        <w:t>patients. The</w:t>
      </w:r>
      <w:r w:rsidR="001B36EA" w:rsidRPr="009E4EB8">
        <w:rPr>
          <w:iCs/>
        </w:rPr>
        <w:t xml:space="preserve"> ESC </w:t>
      </w:r>
      <w:r w:rsidRPr="009E4EB8">
        <w:rPr>
          <w:iCs/>
        </w:rPr>
        <w:lastRenderedPageBreak/>
        <w:t xml:space="preserve">had </w:t>
      </w:r>
      <w:r w:rsidR="00F54250" w:rsidRPr="009E4EB8">
        <w:rPr>
          <w:iCs/>
        </w:rPr>
        <w:t xml:space="preserve">previously </w:t>
      </w:r>
      <w:r w:rsidR="001B36EA" w:rsidRPr="009E4EB8">
        <w:rPr>
          <w:iCs/>
        </w:rPr>
        <w:t>considered that the long</w:t>
      </w:r>
      <w:r w:rsidR="00F54250" w:rsidRPr="009E4EB8">
        <w:rPr>
          <w:iCs/>
        </w:rPr>
        <w:t>er</w:t>
      </w:r>
      <w:r w:rsidR="001B36EA" w:rsidRPr="009E4EB8">
        <w:rPr>
          <w:iCs/>
        </w:rPr>
        <w:t xml:space="preserve"> time between initial diagnosis and enrolment into a study reflected a better disease prognosis </w:t>
      </w:r>
      <w:r w:rsidR="00F54250" w:rsidRPr="009E4EB8">
        <w:rPr>
          <w:iCs/>
        </w:rPr>
        <w:t xml:space="preserve">in the STORM population compared with that in MAMMOTH </w:t>
      </w:r>
      <w:r w:rsidR="001B36EA" w:rsidRPr="009E4EB8">
        <w:rPr>
          <w:iCs/>
        </w:rPr>
        <w:t xml:space="preserve">(Para. 6.12 and 6.13 </w:t>
      </w:r>
      <w:r w:rsidR="00640A47">
        <w:rPr>
          <w:iCs/>
        </w:rPr>
        <w:t>PSD</w:t>
      </w:r>
      <w:r w:rsidR="001B36EA" w:rsidRPr="009E4EB8">
        <w:rPr>
          <w:iCs/>
        </w:rPr>
        <w:t>, Selinexor, July 2021 PBAC Meeting)</w:t>
      </w:r>
      <w:r w:rsidR="009E35C3" w:rsidRPr="009E4EB8">
        <w:rPr>
          <w:iCs/>
        </w:rPr>
        <w:t>.</w:t>
      </w:r>
      <w:r w:rsidR="004C6DF9" w:rsidRPr="009E4EB8">
        <w:rPr>
          <w:iCs/>
        </w:rPr>
        <w:t xml:space="preserve"> </w:t>
      </w:r>
      <w:r w:rsidR="004C6DF9" w:rsidRPr="009E4EB8">
        <w:rPr>
          <w:rStyle w:val="CommentReference"/>
          <w:rFonts w:cs="Times New Roman"/>
          <w:snapToGrid/>
        </w:rPr>
        <w:t>T</w:t>
      </w:r>
      <w:r w:rsidRPr="009E4EB8">
        <w:rPr>
          <w:iCs/>
        </w:rPr>
        <w:t xml:space="preserve">he ESC </w:t>
      </w:r>
      <w:r w:rsidR="0001332D" w:rsidRPr="009E4EB8">
        <w:rPr>
          <w:iCs/>
        </w:rPr>
        <w:t xml:space="preserve">considered </w:t>
      </w:r>
      <w:r w:rsidR="004C6DF9" w:rsidRPr="009E4EB8">
        <w:rPr>
          <w:iCs/>
        </w:rPr>
        <w:t xml:space="preserve">that </w:t>
      </w:r>
      <w:r w:rsidRPr="009E4EB8">
        <w:rPr>
          <w:iCs/>
        </w:rPr>
        <w:t xml:space="preserve">additional characteristics including age, comorbidities and previous therapies were also relevant </w:t>
      </w:r>
      <w:r w:rsidR="004C6DF9" w:rsidRPr="009E4EB8">
        <w:rPr>
          <w:iCs/>
        </w:rPr>
        <w:t xml:space="preserve">to the comparison of the </w:t>
      </w:r>
      <w:r w:rsidR="0023112B" w:rsidRPr="009E4EB8">
        <w:rPr>
          <w:iCs/>
        </w:rPr>
        <w:t xml:space="preserve">populations. </w:t>
      </w:r>
    </w:p>
    <w:p w14:paraId="71CA9B9D" w14:textId="7FEFC16C" w:rsidR="0028509F" w:rsidRPr="009E4EB8" w:rsidRDefault="008B028C" w:rsidP="0028509F">
      <w:pPr>
        <w:pStyle w:val="3-BodyText"/>
        <w:rPr>
          <w:iCs/>
        </w:rPr>
      </w:pPr>
      <w:r w:rsidRPr="009E4EB8">
        <w:rPr>
          <w:iCs/>
        </w:rPr>
        <w:t>In STORM, 50% (61/122) of mITT patients received subsequent treatments (Chari et al., 2019</w:t>
      </w:r>
      <w:r w:rsidR="0051660B" w:rsidRPr="009E4EB8">
        <w:rPr>
          <w:iCs/>
        </w:rPr>
        <w:t>)</w:t>
      </w:r>
      <w:r w:rsidRPr="009E4EB8">
        <w:rPr>
          <w:iCs/>
        </w:rPr>
        <w:t xml:space="preserve">. </w:t>
      </w:r>
      <w:proofErr w:type="gramStart"/>
      <w:r w:rsidRPr="009E4EB8">
        <w:rPr>
          <w:iCs/>
        </w:rPr>
        <w:t>The majority of</w:t>
      </w:r>
      <w:proofErr w:type="gramEnd"/>
      <w:r w:rsidRPr="009E4EB8">
        <w:rPr>
          <w:iCs/>
        </w:rPr>
        <w:t xml:space="preserve"> patients</w:t>
      </w:r>
      <w:r w:rsidR="00C028D3" w:rsidRPr="009E4EB8">
        <w:rPr>
          <w:iCs/>
        </w:rPr>
        <w:t xml:space="preserve"> (70.5%)</w:t>
      </w:r>
      <w:r w:rsidRPr="009E4EB8">
        <w:rPr>
          <w:iCs/>
        </w:rPr>
        <w:t xml:space="preserve"> received PIs, </w:t>
      </w:r>
      <w:proofErr w:type="spellStart"/>
      <w:r w:rsidRPr="009E4EB8">
        <w:rPr>
          <w:iCs/>
        </w:rPr>
        <w:t>IMiDs</w:t>
      </w:r>
      <w:proofErr w:type="spellEnd"/>
      <w:r w:rsidRPr="009E4EB8">
        <w:rPr>
          <w:iCs/>
        </w:rPr>
        <w:t>, daratumumab or chemotherapy</w:t>
      </w:r>
      <w:r w:rsidR="00A451A0" w:rsidRPr="009E4EB8">
        <w:rPr>
          <w:iCs/>
        </w:rPr>
        <w:t xml:space="preserve">. </w:t>
      </w:r>
      <w:r w:rsidRPr="009E4EB8">
        <w:rPr>
          <w:iCs/>
        </w:rPr>
        <w:t>Subsequent treatments received by patients in MAMMOTH and Goldsmith 2020 were not available</w:t>
      </w:r>
      <w:r w:rsidR="00415033" w:rsidRPr="009E4EB8">
        <w:rPr>
          <w:iCs/>
        </w:rPr>
        <w:t xml:space="preserve"> to the PBAC in July 2021</w:t>
      </w:r>
      <w:r w:rsidRPr="009E4EB8">
        <w:rPr>
          <w:iCs/>
        </w:rPr>
        <w:t xml:space="preserve">. </w:t>
      </w:r>
      <w:r w:rsidR="00415033" w:rsidRPr="009E4EB8">
        <w:t>The resubmission presented data on the proportion of patients receiving subsequent treatment following the index treatment in MAMMOTH showing that 63% (158/249) of patients</w:t>
      </w:r>
      <w:r w:rsidR="00556699" w:rsidRPr="009E4EB8">
        <w:t xml:space="preserve"> receive</w:t>
      </w:r>
      <w:r w:rsidR="0066235E" w:rsidRPr="009E4EB8">
        <w:t>d</w:t>
      </w:r>
      <w:r w:rsidR="00556699" w:rsidRPr="009E4EB8">
        <w:t xml:space="preserve"> subsequent treatment</w:t>
      </w:r>
      <w:r w:rsidR="00450BAB" w:rsidRPr="009E4EB8">
        <w:t>. This</w:t>
      </w:r>
      <w:r w:rsidR="00556699" w:rsidRPr="009E4EB8">
        <w:t xml:space="preserve"> </w:t>
      </w:r>
      <w:r w:rsidR="0066235E" w:rsidRPr="009E4EB8">
        <w:t xml:space="preserve">was derived from </w:t>
      </w:r>
      <w:r w:rsidR="00556699" w:rsidRPr="009E4EB8">
        <w:t>the overall study population and not the TCR/PR subgroup</w:t>
      </w:r>
      <w:r w:rsidR="0066235E" w:rsidRPr="009E4EB8">
        <w:t xml:space="preserve"> (N=70)</w:t>
      </w:r>
      <w:r w:rsidR="00450BAB" w:rsidRPr="009E4EB8">
        <w:t xml:space="preserve"> and</w:t>
      </w:r>
      <w:r w:rsidR="00030D57" w:rsidRPr="009E4EB8">
        <w:t xml:space="preserve"> </w:t>
      </w:r>
      <w:r w:rsidR="0066235E" w:rsidRPr="009E4EB8">
        <w:t xml:space="preserve">no further detail was available on the subsequent therapies </w:t>
      </w:r>
      <w:r w:rsidR="00030D57" w:rsidRPr="009E4EB8">
        <w:t xml:space="preserve">in MAMMOTH </w:t>
      </w:r>
      <w:r w:rsidR="0066235E" w:rsidRPr="009E4EB8">
        <w:t xml:space="preserve">for comparison. </w:t>
      </w:r>
      <w:r w:rsidR="00627D07" w:rsidRPr="009E4EB8">
        <w:rPr>
          <w:iCs/>
        </w:rPr>
        <w:t xml:space="preserve">The ESC considered that the </w:t>
      </w:r>
      <w:r w:rsidR="0066235E" w:rsidRPr="009E4EB8">
        <w:rPr>
          <w:iCs/>
        </w:rPr>
        <w:t xml:space="preserve">role </w:t>
      </w:r>
      <w:r w:rsidR="00627D07" w:rsidRPr="009E4EB8">
        <w:rPr>
          <w:iCs/>
        </w:rPr>
        <w:t>of subsequent treatments</w:t>
      </w:r>
      <w:r w:rsidR="0066235E" w:rsidRPr="009E4EB8">
        <w:rPr>
          <w:iCs/>
        </w:rPr>
        <w:t xml:space="preserve"> in STORM was uncertain</w:t>
      </w:r>
      <w:r w:rsidR="00627D07" w:rsidRPr="009E4EB8">
        <w:rPr>
          <w:iCs/>
        </w:rPr>
        <w:t xml:space="preserve"> and noted that comparison</w:t>
      </w:r>
      <w:r w:rsidR="0066235E" w:rsidRPr="009E4EB8">
        <w:rPr>
          <w:iCs/>
        </w:rPr>
        <w:t>s</w:t>
      </w:r>
      <w:r w:rsidR="00627D07" w:rsidRPr="009E4EB8">
        <w:rPr>
          <w:iCs/>
        </w:rPr>
        <w:t xml:space="preserve"> </w:t>
      </w:r>
      <w:r w:rsidR="0066235E" w:rsidRPr="009E4EB8">
        <w:rPr>
          <w:iCs/>
        </w:rPr>
        <w:t>across studies were</w:t>
      </w:r>
      <w:r w:rsidR="00627D07" w:rsidRPr="009E4EB8">
        <w:rPr>
          <w:iCs/>
        </w:rPr>
        <w:t xml:space="preserve"> </w:t>
      </w:r>
      <w:r w:rsidR="0066235E" w:rsidRPr="009E4EB8">
        <w:rPr>
          <w:iCs/>
        </w:rPr>
        <w:t>limited</w:t>
      </w:r>
      <w:r w:rsidR="00627D07" w:rsidRPr="009E4EB8">
        <w:rPr>
          <w:iCs/>
        </w:rPr>
        <w:t xml:space="preserve"> </w:t>
      </w:r>
      <w:r w:rsidR="0066235E" w:rsidRPr="009E4EB8">
        <w:rPr>
          <w:iCs/>
        </w:rPr>
        <w:t xml:space="preserve">by </w:t>
      </w:r>
      <w:r w:rsidR="00627D07" w:rsidRPr="009E4EB8">
        <w:rPr>
          <w:iCs/>
        </w:rPr>
        <w:t>missing data for the comparator studies.</w:t>
      </w:r>
    </w:p>
    <w:p w14:paraId="73BB97DF" w14:textId="58932A54" w:rsidR="00F54F82" w:rsidRPr="009E4EB8" w:rsidRDefault="008B028C" w:rsidP="0028509F">
      <w:pPr>
        <w:pStyle w:val="3-BodyText"/>
        <w:rPr>
          <w:iCs/>
        </w:rPr>
      </w:pPr>
      <w:r w:rsidRPr="009E4EB8">
        <w:rPr>
          <w:iCs/>
        </w:rPr>
        <w:t xml:space="preserve">The resubmission </w:t>
      </w:r>
      <w:r w:rsidR="00A13EBE" w:rsidRPr="009E4EB8">
        <w:rPr>
          <w:iCs/>
        </w:rPr>
        <w:t>did</w:t>
      </w:r>
      <w:r w:rsidRPr="009E4EB8">
        <w:rPr>
          <w:iCs/>
        </w:rPr>
        <w:t xml:space="preserve"> not define the dosing regimen for DCEP</w:t>
      </w:r>
      <w:r w:rsidR="00491BB3" w:rsidRPr="009E4EB8">
        <w:rPr>
          <w:iCs/>
        </w:rPr>
        <w:t>,</w:t>
      </w:r>
      <w:r w:rsidRPr="009E4EB8">
        <w:rPr>
          <w:iCs/>
        </w:rPr>
        <w:t xml:space="preserve"> </w:t>
      </w:r>
      <w:r w:rsidR="00C73F36" w:rsidRPr="009E4EB8">
        <w:rPr>
          <w:iCs/>
        </w:rPr>
        <w:t>and</w:t>
      </w:r>
      <w:r w:rsidRPr="009E4EB8">
        <w:rPr>
          <w:iCs/>
        </w:rPr>
        <w:t xml:space="preserve"> variations </w:t>
      </w:r>
      <w:r w:rsidR="00C73F36" w:rsidRPr="009E4EB8">
        <w:rPr>
          <w:iCs/>
        </w:rPr>
        <w:t xml:space="preserve">were seen </w:t>
      </w:r>
      <w:r w:rsidR="00CF2BB1" w:rsidRPr="009E4EB8">
        <w:rPr>
          <w:iCs/>
        </w:rPr>
        <w:t>across</w:t>
      </w:r>
      <w:r w:rsidR="00C73F36" w:rsidRPr="009E4EB8">
        <w:rPr>
          <w:iCs/>
        </w:rPr>
        <w:t xml:space="preserve"> the trials</w:t>
      </w:r>
      <w:r w:rsidRPr="009E4EB8">
        <w:rPr>
          <w:iCs/>
        </w:rPr>
        <w:t xml:space="preserve"> presented in the resubmission (see </w:t>
      </w:r>
      <w:r w:rsidR="006C2945" w:rsidRPr="009E4EB8">
        <w:rPr>
          <w:iCs/>
        </w:rPr>
        <w:t>Table 5</w:t>
      </w:r>
      <w:r w:rsidRPr="009E4EB8">
        <w:rPr>
          <w:iCs/>
        </w:rPr>
        <w:t xml:space="preserve">). </w:t>
      </w:r>
    </w:p>
    <w:p w14:paraId="182FDAB9" w14:textId="4440F8BC" w:rsidR="00107DA6" w:rsidRPr="009E4EB8" w:rsidRDefault="00107DA6" w:rsidP="00107DA6">
      <w:pPr>
        <w:pStyle w:val="TableFigureHeading"/>
        <w:keepLines/>
      </w:pPr>
      <w:bookmarkStart w:id="39" w:name="_Ref91060177"/>
      <w:r w:rsidRPr="009E4EB8">
        <w:t xml:space="preserve">Table </w:t>
      </w:r>
      <w:fldSimple w:instr=" SEQ Table \* ARABIC ">
        <w:r w:rsidR="00964E38">
          <w:rPr>
            <w:noProof/>
          </w:rPr>
          <w:t>5</w:t>
        </w:r>
      </w:fldSimple>
      <w:bookmarkEnd w:id="39"/>
      <w:r w:rsidRPr="009E4EB8">
        <w:t xml:space="preserve">: Dosing regimen for DCEP presented within the resubmission </w:t>
      </w:r>
    </w:p>
    <w:tbl>
      <w:tblPr>
        <w:tblStyle w:val="TableGrid"/>
        <w:tblW w:w="5000" w:type="pct"/>
        <w:tblLook w:val="04A0" w:firstRow="1" w:lastRow="0" w:firstColumn="1" w:lastColumn="0" w:noHBand="0" w:noVBand="1"/>
      </w:tblPr>
      <w:tblGrid>
        <w:gridCol w:w="1696"/>
        <w:gridCol w:w="2849"/>
        <w:gridCol w:w="4472"/>
      </w:tblGrid>
      <w:tr w:rsidR="00107DA6" w:rsidRPr="009E4EB8" w14:paraId="6CC060EB" w14:textId="77777777" w:rsidTr="00D041EE">
        <w:tc>
          <w:tcPr>
            <w:tcW w:w="4545" w:type="dxa"/>
            <w:gridSpan w:val="2"/>
          </w:tcPr>
          <w:p w14:paraId="2CAA3525" w14:textId="77777777" w:rsidR="00107DA6" w:rsidRPr="009E4EB8" w:rsidRDefault="00107DA6" w:rsidP="00D041EE">
            <w:pPr>
              <w:pStyle w:val="In-tableHeading"/>
              <w:rPr>
                <w:iCs/>
                <w:lang w:val="en-AU"/>
              </w:rPr>
            </w:pPr>
            <w:r w:rsidRPr="009E4EB8">
              <w:rPr>
                <w:iCs/>
                <w:lang w:val="en-AU"/>
              </w:rPr>
              <w:t>Source</w:t>
            </w:r>
          </w:p>
        </w:tc>
        <w:tc>
          <w:tcPr>
            <w:tcW w:w="4472" w:type="dxa"/>
          </w:tcPr>
          <w:p w14:paraId="18C5865D" w14:textId="77777777" w:rsidR="00107DA6" w:rsidRPr="009E4EB8" w:rsidRDefault="00107DA6" w:rsidP="00D041EE">
            <w:pPr>
              <w:pStyle w:val="In-tableHeading"/>
              <w:rPr>
                <w:iCs/>
                <w:lang w:val="en-AU"/>
              </w:rPr>
            </w:pPr>
            <w:r w:rsidRPr="009E4EB8">
              <w:rPr>
                <w:iCs/>
                <w:lang w:val="en-AU"/>
              </w:rPr>
              <w:t xml:space="preserve">DCEP Dosing Regimen </w:t>
            </w:r>
          </w:p>
        </w:tc>
      </w:tr>
      <w:tr w:rsidR="00107DA6" w:rsidRPr="009E4EB8" w14:paraId="3DF1C9DF" w14:textId="77777777" w:rsidTr="00EB036D">
        <w:tc>
          <w:tcPr>
            <w:tcW w:w="1696" w:type="dxa"/>
            <w:vAlign w:val="center"/>
          </w:tcPr>
          <w:p w14:paraId="53C5C376" w14:textId="77777777" w:rsidR="00107DA6" w:rsidRPr="009E4EB8" w:rsidRDefault="00107DA6" w:rsidP="00EB036D">
            <w:pPr>
              <w:pStyle w:val="In-tableHeading"/>
              <w:rPr>
                <w:b w:val="0"/>
                <w:bCs/>
                <w:iCs/>
                <w:lang w:val="en-AU"/>
              </w:rPr>
            </w:pPr>
            <w:r w:rsidRPr="009E4EB8">
              <w:rPr>
                <w:b w:val="0"/>
                <w:bCs/>
                <w:iCs/>
                <w:lang w:val="en-AU"/>
              </w:rPr>
              <w:t>Efficacy claim</w:t>
            </w:r>
          </w:p>
        </w:tc>
        <w:tc>
          <w:tcPr>
            <w:tcW w:w="2849" w:type="dxa"/>
            <w:vAlign w:val="center"/>
          </w:tcPr>
          <w:p w14:paraId="64E866AC" w14:textId="77777777" w:rsidR="00107DA6" w:rsidRPr="009E4EB8" w:rsidRDefault="00107DA6" w:rsidP="00EB036D">
            <w:pPr>
              <w:pStyle w:val="In-tableHeading"/>
              <w:rPr>
                <w:b w:val="0"/>
                <w:bCs/>
                <w:iCs/>
                <w:lang w:val="en-AU"/>
              </w:rPr>
            </w:pPr>
            <w:r w:rsidRPr="009E4EB8">
              <w:rPr>
                <w:b w:val="0"/>
                <w:bCs/>
                <w:iCs/>
                <w:lang w:val="en-AU"/>
              </w:rPr>
              <w:t xml:space="preserve">Goldsmith 2020 </w:t>
            </w:r>
          </w:p>
        </w:tc>
        <w:tc>
          <w:tcPr>
            <w:tcW w:w="4472" w:type="dxa"/>
            <w:vAlign w:val="center"/>
          </w:tcPr>
          <w:p w14:paraId="42B7C866" w14:textId="77777777" w:rsidR="00107DA6" w:rsidRPr="009E4EB8" w:rsidRDefault="00107DA6" w:rsidP="00EB036D">
            <w:pPr>
              <w:pStyle w:val="In-tableHeading"/>
              <w:rPr>
                <w:b w:val="0"/>
                <w:bCs/>
                <w:iCs/>
                <w:lang w:val="en-AU"/>
              </w:rPr>
            </w:pPr>
            <w:r w:rsidRPr="009E4EB8">
              <w:rPr>
                <w:b w:val="0"/>
                <w:bCs/>
                <w:iCs/>
                <w:lang w:val="en-AU"/>
              </w:rPr>
              <w:t xml:space="preserve">dexamethasone 40 mg D1-4, </w:t>
            </w:r>
          </w:p>
          <w:p w14:paraId="1F8FCAD2" w14:textId="77777777" w:rsidR="00107DA6" w:rsidRPr="009E4EB8" w:rsidRDefault="00107DA6" w:rsidP="00EB036D">
            <w:pPr>
              <w:pStyle w:val="In-tableHeading"/>
              <w:rPr>
                <w:b w:val="0"/>
                <w:bCs/>
                <w:iCs/>
                <w:lang w:val="en-AU"/>
              </w:rPr>
            </w:pPr>
            <w:r w:rsidRPr="009E4EB8">
              <w:rPr>
                <w:b w:val="0"/>
                <w:bCs/>
                <w:iCs/>
                <w:lang w:val="en-AU"/>
              </w:rPr>
              <w:t>cyclophosphamide 400 mg/m</w:t>
            </w:r>
            <w:r w:rsidRPr="009E4EB8">
              <w:rPr>
                <w:b w:val="0"/>
                <w:bCs/>
                <w:iCs/>
                <w:vertAlign w:val="superscript"/>
                <w:lang w:val="en-AU"/>
              </w:rPr>
              <w:t xml:space="preserve">2 </w:t>
            </w:r>
            <w:r w:rsidRPr="009E4EB8">
              <w:rPr>
                <w:b w:val="0"/>
                <w:bCs/>
                <w:iCs/>
                <w:lang w:val="en-AU"/>
              </w:rPr>
              <w:t xml:space="preserve">D1-4, </w:t>
            </w:r>
          </w:p>
          <w:p w14:paraId="6A64A4FE" w14:textId="77777777" w:rsidR="00107DA6" w:rsidRPr="009E4EB8" w:rsidRDefault="00107DA6" w:rsidP="00EB036D">
            <w:pPr>
              <w:pStyle w:val="In-tableHeading"/>
              <w:rPr>
                <w:b w:val="0"/>
                <w:bCs/>
                <w:iCs/>
                <w:lang w:val="en-AU"/>
              </w:rPr>
            </w:pPr>
            <w:r w:rsidRPr="009E4EB8">
              <w:rPr>
                <w:b w:val="0"/>
                <w:bCs/>
                <w:iCs/>
                <w:lang w:val="en-AU"/>
              </w:rPr>
              <w:t>cisplatin 10 mg/m</w:t>
            </w:r>
            <w:r w:rsidRPr="009E4EB8">
              <w:rPr>
                <w:b w:val="0"/>
                <w:bCs/>
                <w:iCs/>
                <w:vertAlign w:val="superscript"/>
                <w:lang w:val="en-AU"/>
              </w:rPr>
              <w:t xml:space="preserve">2 </w:t>
            </w:r>
            <w:r w:rsidRPr="009E4EB8">
              <w:rPr>
                <w:b w:val="0"/>
                <w:bCs/>
                <w:iCs/>
                <w:lang w:val="en-AU"/>
              </w:rPr>
              <w:t xml:space="preserve">D1-4 </w:t>
            </w:r>
          </w:p>
          <w:p w14:paraId="321A81C9" w14:textId="77777777" w:rsidR="00107DA6" w:rsidRPr="009E4EB8" w:rsidRDefault="00107DA6" w:rsidP="00EB036D">
            <w:pPr>
              <w:pStyle w:val="In-tableHeading"/>
              <w:rPr>
                <w:b w:val="0"/>
                <w:bCs/>
                <w:iCs/>
                <w:lang w:val="en-AU"/>
              </w:rPr>
            </w:pPr>
            <w:r w:rsidRPr="009E4EB8">
              <w:rPr>
                <w:b w:val="0"/>
                <w:bCs/>
                <w:iCs/>
                <w:lang w:val="en-AU"/>
              </w:rPr>
              <w:t>etoposide 40 mg/m</w:t>
            </w:r>
            <w:r w:rsidRPr="009E4EB8">
              <w:rPr>
                <w:b w:val="0"/>
                <w:bCs/>
                <w:iCs/>
                <w:vertAlign w:val="superscript"/>
                <w:lang w:val="en-AU"/>
              </w:rPr>
              <w:t>2</w:t>
            </w:r>
            <w:r w:rsidRPr="009E4EB8">
              <w:rPr>
                <w:b w:val="0"/>
                <w:bCs/>
                <w:iCs/>
                <w:lang w:val="en-AU"/>
              </w:rPr>
              <w:t xml:space="preserve"> D1-4 per 28-day cycle </w:t>
            </w:r>
          </w:p>
        </w:tc>
      </w:tr>
      <w:tr w:rsidR="00107DA6" w:rsidRPr="009E4EB8" w14:paraId="482D1A38" w14:textId="77777777" w:rsidTr="00EB036D">
        <w:tc>
          <w:tcPr>
            <w:tcW w:w="1696" w:type="dxa"/>
            <w:vMerge w:val="restart"/>
            <w:vAlign w:val="center"/>
          </w:tcPr>
          <w:p w14:paraId="7FDA3F48" w14:textId="77777777" w:rsidR="00107DA6" w:rsidRPr="009E4EB8" w:rsidRDefault="00107DA6" w:rsidP="00EB036D">
            <w:pPr>
              <w:pStyle w:val="In-tableHeading"/>
              <w:rPr>
                <w:b w:val="0"/>
                <w:bCs/>
                <w:iCs/>
                <w:lang w:val="en-AU"/>
              </w:rPr>
            </w:pPr>
            <w:r w:rsidRPr="009E4EB8">
              <w:rPr>
                <w:b w:val="0"/>
                <w:bCs/>
                <w:iCs/>
                <w:lang w:val="en-AU"/>
              </w:rPr>
              <w:t>Safety claim</w:t>
            </w:r>
          </w:p>
        </w:tc>
        <w:tc>
          <w:tcPr>
            <w:tcW w:w="2849" w:type="dxa"/>
            <w:vAlign w:val="center"/>
          </w:tcPr>
          <w:p w14:paraId="72BAB419" w14:textId="18F441DA" w:rsidR="00107DA6" w:rsidRPr="009E4EB8" w:rsidRDefault="00107DA6" w:rsidP="00EB036D">
            <w:pPr>
              <w:pStyle w:val="In-tableHeading"/>
              <w:rPr>
                <w:b w:val="0"/>
                <w:bCs/>
                <w:iCs/>
                <w:vertAlign w:val="superscript"/>
                <w:lang w:val="en-AU"/>
              </w:rPr>
            </w:pPr>
            <w:r w:rsidRPr="009E4EB8">
              <w:rPr>
                <w:b w:val="0"/>
                <w:bCs/>
                <w:iCs/>
                <w:lang w:val="en-AU"/>
              </w:rPr>
              <w:t>Yuen 2018</w:t>
            </w:r>
            <w:r w:rsidR="00C9598A" w:rsidRPr="009E4EB8">
              <w:rPr>
                <w:b w:val="0"/>
                <w:bCs/>
                <w:iCs/>
                <w:lang w:val="en-AU"/>
              </w:rPr>
              <w:t xml:space="preserve"> </w:t>
            </w:r>
            <w:r w:rsidR="00C9598A" w:rsidRPr="009E4EB8">
              <w:rPr>
                <w:b w:val="0"/>
                <w:bCs/>
                <w:iCs/>
                <w:vertAlign w:val="superscript"/>
                <w:lang w:val="en-AU"/>
              </w:rPr>
              <w:t>a</w:t>
            </w:r>
          </w:p>
        </w:tc>
        <w:tc>
          <w:tcPr>
            <w:tcW w:w="4472" w:type="dxa"/>
            <w:vAlign w:val="center"/>
          </w:tcPr>
          <w:p w14:paraId="7F9C2887" w14:textId="77777777" w:rsidR="00107DA6" w:rsidRPr="009E4EB8" w:rsidRDefault="00107DA6" w:rsidP="00EB036D">
            <w:pPr>
              <w:pStyle w:val="In-tableHeading"/>
              <w:rPr>
                <w:b w:val="0"/>
                <w:bCs/>
                <w:iCs/>
                <w:lang w:val="en-AU"/>
              </w:rPr>
            </w:pPr>
            <w:r w:rsidRPr="009E4EB8">
              <w:rPr>
                <w:b w:val="0"/>
                <w:bCs/>
                <w:iCs/>
                <w:lang w:val="en-AU"/>
              </w:rPr>
              <w:t>dexamethasone 40 mg D1-4</w:t>
            </w:r>
          </w:p>
          <w:p w14:paraId="24CBB037" w14:textId="77777777" w:rsidR="00107DA6" w:rsidRPr="009E4EB8" w:rsidRDefault="00107DA6" w:rsidP="00EB036D">
            <w:pPr>
              <w:pStyle w:val="In-tableHeading"/>
              <w:rPr>
                <w:b w:val="0"/>
                <w:bCs/>
                <w:iCs/>
                <w:lang w:val="en-AU"/>
              </w:rPr>
            </w:pPr>
            <w:r w:rsidRPr="009E4EB8">
              <w:rPr>
                <w:b w:val="0"/>
                <w:bCs/>
                <w:iCs/>
                <w:lang w:val="en-AU"/>
              </w:rPr>
              <w:t>cyclophosphamide 300 mg/m</w:t>
            </w:r>
            <w:r w:rsidRPr="009E4EB8">
              <w:rPr>
                <w:b w:val="0"/>
                <w:bCs/>
                <w:iCs/>
                <w:vertAlign w:val="superscript"/>
                <w:lang w:val="en-AU"/>
              </w:rPr>
              <w:t xml:space="preserve">2 </w:t>
            </w:r>
            <w:r w:rsidRPr="009E4EB8">
              <w:rPr>
                <w:b w:val="0"/>
                <w:bCs/>
                <w:iCs/>
                <w:lang w:val="en-AU"/>
              </w:rPr>
              <w:t xml:space="preserve">D1-4 </w:t>
            </w:r>
          </w:p>
          <w:p w14:paraId="3533FA7C" w14:textId="77777777" w:rsidR="00107DA6" w:rsidRPr="009E4EB8" w:rsidRDefault="00107DA6" w:rsidP="00EB036D">
            <w:pPr>
              <w:pStyle w:val="In-tableHeading"/>
              <w:rPr>
                <w:b w:val="0"/>
                <w:bCs/>
                <w:iCs/>
                <w:lang w:val="en-AU"/>
              </w:rPr>
            </w:pPr>
            <w:r w:rsidRPr="009E4EB8">
              <w:rPr>
                <w:b w:val="0"/>
                <w:bCs/>
                <w:iCs/>
                <w:lang w:val="en-AU"/>
              </w:rPr>
              <w:t>cisplatin 15 mg/m</w:t>
            </w:r>
            <w:r w:rsidRPr="009E4EB8">
              <w:rPr>
                <w:b w:val="0"/>
                <w:bCs/>
                <w:iCs/>
                <w:vertAlign w:val="superscript"/>
                <w:lang w:val="en-AU"/>
              </w:rPr>
              <w:t>2</w:t>
            </w:r>
            <w:r w:rsidRPr="009E4EB8">
              <w:rPr>
                <w:b w:val="0"/>
                <w:bCs/>
                <w:iCs/>
                <w:lang w:val="en-AU"/>
              </w:rPr>
              <w:t xml:space="preserve"> D1-4</w:t>
            </w:r>
          </w:p>
          <w:p w14:paraId="261D2BFC" w14:textId="77777777" w:rsidR="00107DA6" w:rsidRPr="009E4EB8" w:rsidRDefault="00107DA6" w:rsidP="00EB036D">
            <w:pPr>
              <w:pStyle w:val="In-tableHeading"/>
              <w:rPr>
                <w:iCs/>
                <w:lang w:val="en-AU"/>
              </w:rPr>
            </w:pPr>
            <w:r w:rsidRPr="009E4EB8">
              <w:rPr>
                <w:b w:val="0"/>
                <w:bCs/>
                <w:iCs/>
                <w:lang w:val="en-AU"/>
              </w:rPr>
              <w:t>etoposide 30 mg/m</w:t>
            </w:r>
            <w:r w:rsidRPr="009E4EB8">
              <w:rPr>
                <w:b w:val="0"/>
                <w:bCs/>
                <w:iCs/>
                <w:vertAlign w:val="superscript"/>
                <w:lang w:val="en-AU"/>
              </w:rPr>
              <w:t xml:space="preserve">2 </w:t>
            </w:r>
            <w:r w:rsidRPr="009E4EB8">
              <w:rPr>
                <w:b w:val="0"/>
                <w:bCs/>
                <w:iCs/>
                <w:lang w:val="en-AU"/>
              </w:rPr>
              <w:t>D1-4 per 28-day cycle</w:t>
            </w:r>
          </w:p>
        </w:tc>
      </w:tr>
      <w:tr w:rsidR="00107DA6" w:rsidRPr="009E4EB8" w14:paraId="13E26956" w14:textId="77777777" w:rsidTr="00EB036D">
        <w:tc>
          <w:tcPr>
            <w:tcW w:w="1696" w:type="dxa"/>
            <w:vMerge/>
            <w:vAlign w:val="center"/>
          </w:tcPr>
          <w:p w14:paraId="0553AE9D" w14:textId="77777777" w:rsidR="00107DA6" w:rsidRPr="009E4EB8" w:rsidRDefault="00107DA6" w:rsidP="00EB036D">
            <w:pPr>
              <w:pStyle w:val="In-tableHeading"/>
              <w:rPr>
                <w:b w:val="0"/>
                <w:bCs/>
                <w:iCs/>
                <w:lang w:val="en-AU"/>
              </w:rPr>
            </w:pPr>
          </w:p>
        </w:tc>
        <w:tc>
          <w:tcPr>
            <w:tcW w:w="2849" w:type="dxa"/>
            <w:vAlign w:val="center"/>
          </w:tcPr>
          <w:p w14:paraId="765E6F75" w14:textId="77777777" w:rsidR="00107DA6" w:rsidRPr="009E4EB8" w:rsidRDefault="00107DA6" w:rsidP="00EB036D">
            <w:pPr>
              <w:pStyle w:val="In-tableHeading"/>
              <w:rPr>
                <w:b w:val="0"/>
                <w:bCs/>
                <w:iCs/>
                <w:lang w:val="en-AU"/>
              </w:rPr>
            </w:pPr>
            <w:r w:rsidRPr="009E4EB8">
              <w:rPr>
                <w:b w:val="0"/>
                <w:bCs/>
                <w:iCs/>
                <w:lang w:val="en-AU"/>
              </w:rPr>
              <w:t>Griffin 2015</w:t>
            </w:r>
          </w:p>
        </w:tc>
        <w:tc>
          <w:tcPr>
            <w:tcW w:w="4472" w:type="dxa"/>
            <w:vAlign w:val="center"/>
          </w:tcPr>
          <w:p w14:paraId="1FE6E513" w14:textId="77777777" w:rsidR="00107DA6" w:rsidRPr="009E4EB8" w:rsidRDefault="00107DA6" w:rsidP="00EB036D">
            <w:pPr>
              <w:pStyle w:val="In-tableHeading"/>
              <w:rPr>
                <w:b w:val="0"/>
                <w:bCs/>
                <w:iCs/>
                <w:lang w:val="en-AU"/>
              </w:rPr>
            </w:pPr>
            <w:r w:rsidRPr="009E4EB8">
              <w:rPr>
                <w:b w:val="0"/>
                <w:bCs/>
                <w:iCs/>
                <w:lang w:val="en-AU"/>
              </w:rPr>
              <w:t>dexamethasone 40 mg D1-4</w:t>
            </w:r>
          </w:p>
          <w:p w14:paraId="77EED042" w14:textId="77777777" w:rsidR="00107DA6" w:rsidRPr="009E4EB8" w:rsidRDefault="00107DA6" w:rsidP="00EB036D">
            <w:pPr>
              <w:pStyle w:val="In-tableHeading"/>
              <w:rPr>
                <w:b w:val="0"/>
                <w:bCs/>
                <w:iCs/>
                <w:lang w:val="en-AU"/>
              </w:rPr>
            </w:pPr>
            <w:r w:rsidRPr="009E4EB8">
              <w:rPr>
                <w:b w:val="0"/>
                <w:bCs/>
                <w:iCs/>
                <w:lang w:val="en-AU"/>
              </w:rPr>
              <w:t>cyclophosphamide 400 mg/m</w:t>
            </w:r>
            <w:r w:rsidRPr="009E4EB8">
              <w:rPr>
                <w:b w:val="0"/>
                <w:bCs/>
                <w:iCs/>
                <w:vertAlign w:val="superscript"/>
                <w:lang w:val="en-AU"/>
              </w:rPr>
              <w:t xml:space="preserve">2 </w:t>
            </w:r>
            <w:r w:rsidRPr="009E4EB8">
              <w:rPr>
                <w:b w:val="0"/>
                <w:bCs/>
                <w:iCs/>
                <w:lang w:val="en-AU"/>
              </w:rPr>
              <w:t xml:space="preserve">D1-4 </w:t>
            </w:r>
          </w:p>
          <w:p w14:paraId="1FB86353" w14:textId="77777777" w:rsidR="00107DA6" w:rsidRPr="009E4EB8" w:rsidRDefault="00107DA6" w:rsidP="00EB036D">
            <w:pPr>
              <w:pStyle w:val="In-tableHeading"/>
              <w:rPr>
                <w:b w:val="0"/>
                <w:bCs/>
                <w:iCs/>
                <w:lang w:val="en-AU"/>
              </w:rPr>
            </w:pPr>
            <w:r w:rsidRPr="009E4EB8">
              <w:rPr>
                <w:b w:val="0"/>
                <w:bCs/>
                <w:iCs/>
                <w:lang w:val="en-AU"/>
              </w:rPr>
              <w:t>cisplatin 15 mg/m</w:t>
            </w:r>
            <w:r w:rsidRPr="009E4EB8">
              <w:rPr>
                <w:b w:val="0"/>
                <w:bCs/>
                <w:iCs/>
                <w:vertAlign w:val="superscript"/>
                <w:lang w:val="en-AU"/>
              </w:rPr>
              <w:t>2</w:t>
            </w:r>
            <w:r w:rsidRPr="009E4EB8">
              <w:rPr>
                <w:b w:val="0"/>
                <w:bCs/>
                <w:iCs/>
                <w:lang w:val="en-AU"/>
              </w:rPr>
              <w:t xml:space="preserve"> D1-4</w:t>
            </w:r>
          </w:p>
          <w:p w14:paraId="7FC717A1" w14:textId="77777777" w:rsidR="00107DA6" w:rsidRPr="009E4EB8" w:rsidRDefault="00107DA6" w:rsidP="00EB036D">
            <w:pPr>
              <w:pStyle w:val="In-tableHeading"/>
              <w:rPr>
                <w:b w:val="0"/>
                <w:bCs/>
                <w:iCs/>
                <w:lang w:val="en-AU"/>
              </w:rPr>
            </w:pPr>
            <w:r w:rsidRPr="009E4EB8">
              <w:rPr>
                <w:b w:val="0"/>
                <w:bCs/>
                <w:iCs/>
                <w:lang w:val="en-AU"/>
              </w:rPr>
              <w:t>etoposide 30 mg/m</w:t>
            </w:r>
            <w:r w:rsidRPr="009E4EB8">
              <w:rPr>
                <w:b w:val="0"/>
                <w:bCs/>
                <w:iCs/>
                <w:vertAlign w:val="superscript"/>
                <w:lang w:val="en-AU"/>
              </w:rPr>
              <w:t xml:space="preserve">2 </w:t>
            </w:r>
            <w:r w:rsidRPr="009E4EB8">
              <w:rPr>
                <w:b w:val="0"/>
                <w:bCs/>
                <w:iCs/>
                <w:lang w:val="en-AU"/>
              </w:rPr>
              <w:t>D1-4 per 28-day cycle</w:t>
            </w:r>
          </w:p>
        </w:tc>
      </w:tr>
      <w:tr w:rsidR="00FB13C2" w:rsidRPr="009E4EB8" w14:paraId="0BF2B79F" w14:textId="77777777" w:rsidTr="00D72D64">
        <w:tc>
          <w:tcPr>
            <w:tcW w:w="1696" w:type="dxa"/>
            <w:vAlign w:val="center"/>
          </w:tcPr>
          <w:p w14:paraId="3DF23D19" w14:textId="77777777" w:rsidR="00FB13C2" w:rsidRPr="009E4EB8" w:rsidRDefault="00FB13C2" w:rsidP="00D72D64">
            <w:pPr>
              <w:pStyle w:val="In-tableHeading"/>
              <w:rPr>
                <w:b w:val="0"/>
                <w:bCs/>
                <w:iCs/>
                <w:lang w:val="en-AU"/>
              </w:rPr>
            </w:pPr>
            <w:r w:rsidRPr="009E4EB8">
              <w:rPr>
                <w:b w:val="0"/>
                <w:bCs/>
                <w:iCs/>
                <w:lang w:val="en-AU"/>
              </w:rPr>
              <w:t>Resubmission</w:t>
            </w:r>
          </w:p>
        </w:tc>
        <w:tc>
          <w:tcPr>
            <w:tcW w:w="2849" w:type="dxa"/>
          </w:tcPr>
          <w:p w14:paraId="111ED03C" w14:textId="77777777" w:rsidR="00FB13C2" w:rsidRPr="009E4EB8" w:rsidRDefault="00FB13C2" w:rsidP="00D041EE">
            <w:pPr>
              <w:pStyle w:val="In-tableHeading"/>
              <w:rPr>
                <w:b w:val="0"/>
                <w:bCs/>
                <w:iCs/>
                <w:vertAlign w:val="superscript"/>
                <w:lang w:val="en-AU"/>
              </w:rPr>
            </w:pPr>
            <w:r w:rsidRPr="009E4EB8">
              <w:rPr>
                <w:b w:val="0"/>
                <w:bCs/>
                <w:iCs/>
                <w:lang w:val="en-AU"/>
              </w:rPr>
              <w:t>Section 3 – economic evaluation and Section 4 – financial estimates </w:t>
            </w:r>
          </w:p>
        </w:tc>
        <w:tc>
          <w:tcPr>
            <w:tcW w:w="4472" w:type="dxa"/>
          </w:tcPr>
          <w:p w14:paraId="662753B4" w14:textId="77777777" w:rsidR="00FB13C2" w:rsidRPr="009E4EB8" w:rsidRDefault="00FB13C2" w:rsidP="00D041EE">
            <w:pPr>
              <w:pStyle w:val="In-tableHeading"/>
              <w:rPr>
                <w:b w:val="0"/>
                <w:bCs/>
                <w:iCs/>
                <w:lang w:val="en-AU"/>
              </w:rPr>
            </w:pPr>
            <w:r w:rsidRPr="009E4EB8">
              <w:rPr>
                <w:b w:val="0"/>
                <w:bCs/>
                <w:iCs/>
                <w:lang w:val="en-AU"/>
              </w:rPr>
              <w:t xml:space="preserve">dexamethasone 40 mg D1-4 </w:t>
            </w:r>
          </w:p>
          <w:p w14:paraId="0DC30C4A" w14:textId="77777777" w:rsidR="00FB13C2" w:rsidRPr="009E4EB8" w:rsidRDefault="00FB13C2" w:rsidP="00D041EE">
            <w:pPr>
              <w:pStyle w:val="In-tableHeading"/>
              <w:rPr>
                <w:b w:val="0"/>
                <w:bCs/>
                <w:iCs/>
                <w:lang w:val="en-AU"/>
              </w:rPr>
            </w:pPr>
            <w:r w:rsidRPr="009E4EB8">
              <w:rPr>
                <w:b w:val="0"/>
                <w:bCs/>
                <w:iCs/>
                <w:lang w:val="en-AU"/>
              </w:rPr>
              <w:t>cyclophosphamide 300 mg/m</w:t>
            </w:r>
            <w:r w:rsidRPr="009E4EB8">
              <w:rPr>
                <w:b w:val="0"/>
                <w:bCs/>
                <w:iCs/>
                <w:vertAlign w:val="superscript"/>
                <w:lang w:val="en-AU"/>
              </w:rPr>
              <w:t xml:space="preserve">2 </w:t>
            </w:r>
            <w:r w:rsidRPr="009E4EB8">
              <w:rPr>
                <w:b w:val="0"/>
                <w:bCs/>
                <w:iCs/>
                <w:lang w:val="en-AU"/>
              </w:rPr>
              <w:t>D1-4</w:t>
            </w:r>
          </w:p>
          <w:p w14:paraId="0EBB3BF1" w14:textId="77777777" w:rsidR="00FB13C2" w:rsidRPr="009E4EB8" w:rsidRDefault="00FB13C2" w:rsidP="00D041EE">
            <w:pPr>
              <w:pStyle w:val="In-tableHeading"/>
              <w:rPr>
                <w:b w:val="0"/>
                <w:bCs/>
                <w:iCs/>
                <w:lang w:val="en-AU"/>
              </w:rPr>
            </w:pPr>
            <w:r w:rsidRPr="009E4EB8">
              <w:rPr>
                <w:b w:val="0"/>
                <w:bCs/>
                <w:iCs/>
                <w:lang w:val="en-AU"/>
              </w:rPr>
              <w:t>cisplatin 15 mg/m</w:t>
            </w:r>
            <w:r w:rsidRPr="009E4EB8">
              <w:rPr>
                <w:b w:val="0"/>
                <w:bCs/>
                <w:iCs/>
                <w:vertAlign w:val="superscript"/>
                <w:lang w:val="en-AU"/>
              </w:rPr>
              <w:t>2</w:t>
            </w:r>
            <w:r w:rsidRPr="009E4EB8">
              <w:rPr>
                <w:b w:val="0"/>
                <w:bCs/>
                <w:iCs/>
                <w:lang w:val="en-AU"/>
              </w:rPr>
              <w:t xml:space="preserve"> D1-4</w:t>
            </w:r>
          </w:p>
          <w:p w14:paraId="3FF743D9" w14:textId="77777777" w:rsidR="00FB13C2" w:rsidRPr="009E4EB8" w:rsidRDefault="00FB13C2" w:rsidP="00D041EE">
            <w:pPr>
              <w:pStyle w:val="In-tableHeading"/>
              <w:rPr>
                <w:b w:val="0"/>
                <w:bCs/>
                <w:iCs/>
                <w:lang w:val="en-AU"/>
              </w:rPr>
            </w:pPr>
            <w:r w:rsidRPr="009E4EB8">
              <w:rPr>
                <w:b w:val="0"/>
                <w:bCs/>
                <w:iCs/>
                <w:lang w:val="en-AU"/>
              </w:rPr>
              <w:t>etoposide 30 mg/m</w:t>
            </w:r>
            <w:r w:rsidRPr="009E4EB8">
              <w:rPr>
                <w:b w:val="0"/>
                <w:bCs/>
                <w:iCs/>
                <w:vertAlign w:val="superscript"/>
                <w:lang w:val="en-AU"/>
              </w:rPr>
              <w:t>2</w:t>
            </w:r>
            <w:r w:rsidRPr="009E4EB8">
              <w:rPr>
                <w:b w:val="0"/>
                <w:bCs/>
                <w:iCs/>
                <w:lang w:val="en-AU"/>
              </w:rPr>
              <w:t xml:space="preserve"> D1-4 per 28-day cycle </w:t>
            </w:r>
          </w:p>
        </w:tc>
      </w:tr>
    </w:tbl>
    <w:p w14:paraId="4A13B8DA" w14:textId="77777777" w:rsidR="00107DA6" w:rsidRPr="009E4EB8" w:rsidRDefault="00107DA6" w:rsidP="00107DA6">
      <w:pPr>
        <w:widowControl w:val="0"/>
        <w:rPr>
          <w:rFonts w:ascii="Arial Narrow" w:hAnsi="Arial Narrow"/>
          <w:sz w:val="18"/>
          <w:szCs w:val="18"/>
        </w:rPr>
      </w:pPr>
      <w:r w:rsidRPr="009E4EB8">
        <w:rPr>
          <w:rFonts w:ascii="Arial Narrow" w:hAnsi="Arial Narrow"/>
          <w:sz w:val="18"/>
          <w:szCs w:val="18"/>
        </w:rPr>
        <w:t>Source: developed during the evaluation; TCRPR Section 3 November 2021 worksheet; p1042, Goldsmith et al 2020; p2843 Yuen et al 2018; p2623 Griffin et al 2015</w:t>
      </w:r>
    </w:p>
    <w:p w14:paraId="71A75730" w14:textId="77777777" w:rsidR="00107DA6" w:rsidRPr="009E4EB8" w:rsidRDefault="00107DA6" w:rsidP="00107DA6">
      <w:pPr>
        <w:widowControl w:val="0"/>
        <w:rPr>
          <w:rFonts w:ascii="Arial Narrow" w:hAnsi="Arial Narrow"/>
          <w:sz w:val="18"/>
          <w:szCs w:val="18"/>
        </w:rPr>
      </w:pPr>
      <w:r w:rsidRPr="009E4EB8">
        <w:rPr>
          <w:rFonts w:ascii="Arial Narrow" w:hAnsi="Arial Narrow"/>
          <w:sz w:val="18"/>
          <w:szCs w:val="18"/>
        </w:rPr>
        <w:t>Abbreviations: D = days; DCEP = dexamethasone + cyclophosphamide + etoposide + cisplatin; mg = milligrams; m = meters</w:t>
      </w:r>
    </w:p>
    <w:p w14:paraId="3BC8BE08" w14:textId="4C3801AC" w:rsidR="00107DA6" w:rsidRPr="009E4EB8" w:rsidRDefault="00107DA6" w:rsidP="00107DA6">
      <w:pPr>
        <w:widowControl w:val="0"/>
        <w:rPr>
          <w:rFonts w:ascii="Arial Narrow" w:hAnsi="Arial Narrow"/>
          <w:sz w:val="18"/>
          <w:szCs w:val="18"/>
        </w:rPr>
      </w:pPr>
      <w:r w:rsidRPr="009E4EB8">
        <w:rPr>
          <w:rFonts w:ascii="Arial Narrow" w:hAnsi="Arial Narrow"/>
          <w:sz w:val="18"/>
          <w:szCs w:val="18"/>
        </w:rPr>
        <w:t xml:space="preserve">Notes: </w:t>
      </w:r>
      <w:r w:rsidRPr="009E4EB8">
        <w:rPr>
          <w:rFonts w:ascii="Arial Narrow" w:hAnsi="Arial Narrow"/>
          <w:sz w:val="18"/>
          <w:szCs w:val="18"/>
          <w:vertAlign w:val="superscript"/>
        </w:rPr>
        <w:t xml:space="preserve">a </w:t>
      </w:r>
      <w:r w:rsidR="00534778" w:rsidRPr="009E4EB8">
        <w:rPr>
          <w:rFonts w:ascii="Arial Narrow" w:hAnsi="Arial Narrow"/>
          <w:iCs/>
          <w:sz w:val="18"/>
          <w:szCs w:val="18"/>
        </w:rPr>
        <w:t xml:space="preserve">Yuen 2018 formed the basis of the clinical input into the economic evaluation and financial estimates </w:t>
      </w:r>
      <w:r w:rsidRPr="009E4EB8">
        <w:rPr>
          <w:rFonts w:ascii="Arial Narrow" w:hAnsi="Arial Narrow"/>
          <w:sz w:val="18"/>
          <w:szCs w:val="18"/>
        </w:rPr>
        <w:t xml:space="preserve"> </w:t>
      </w:r>
    </w:p>
    <w:p w14:paraId="32095FBA" w14:textId="77777777" w:rsidR="00107DA6" w:rsidRPr="009E4EB8" w:rsidRDefault="00107DA6" w:rsidP="00107DA6">
      <w:pPr>
        <w:pStyle w:val="In-tableHeading"/>
        <w:rPr>
          <w:lang w:val="en-AU"/>
        </w:rPr>
      </w:pPr>
    </w:p>
    <w:p w14:paraId="040AC5F6" w14:textId="42B80B6D" w:rsidR="00B86254" w:rsidRPr="009E4EB8" w:rsidRDefault="0002469F" w:rsidP="00B86254">
      <w:pPr>
        <w:pStyle w:val="3-BodyText"/>
      </w:pPr>
      <w:r w:rsidRPr="009E4EB8">
        <w:t>T</w:t>
      </w:r>
      <w:r w:rsidR="00B86254" w:rsidRPr="009E4EB8">
        <w:t>he resubmission</w:t>
      </w:r>
      <w:r w:rsidRPr="009E4EB8">
        <w:t xml:space="preserve"> presented</w:t>
      </w:r>
      <w:r w:rsidR="00AD350C" w:rsidRPr="009E4EB8">
        <w:t xml:space="preserve"> results from</w:t>
      </w:r>
      <w:r w:rsidR="00B86254" w:rsidRPr="009E4EB8">
        <w:t xml:space="preserve"> two </w:t>
      </w:r>
      <w:r w:rsidR="00A211EF" w:rsidRPr="009E4EB8">
        <w:t xml:space="preserve">additional </w:t>
      </w:r>
      <w:r w:rsidR="00B86254" w:rsidRPr="009E4EB8">
        <w:t xml:space="preserve">studies </w:t>
      </w:r>
      <w:r w:rsidRPr="009E4EB8">
        <w:t>(</w:t>
      </w:r>
      <w:r w:rsidR="00DB465D" w:rsidRPr="009E4EB8">
        <w:t xml:space="preserve">presented </w:t>
      </w:r>
      <w:r w:rsidR="00B86254" w:rsidRPr="009E4EB8">
        <w:t xml:space="preserve">in Section 3 of the July 2021 </w:t>
      </w:r>
      <w:r w:rsidR="00AD350C" w:rsidRPr="009E4EB8">
        <w:t>submission) to</w:t>
      </w:r>
      <w:r w:rsidR="00B86254" w:rsidRPr="009E4EB8">
        <w:t xml:space="preserve"> inform a naïve comparison</w:t>
      </w:r>
      <w:r w:rsidR="00A04CC1" w:rsidRPr="009E4EB8">
        <w:t xml:space="preserve"> of safety</w:t>
      </w:r>
      <w:r w:rsidR="00B86254" w:rsidRPr="009E4EB8">
        <w:t xml:space="preserve">. </w:t>
      </w:r>
    </w:p>
    <w:p w14:paraId="2C592C09" w14:textId="6331F243" w:rsidR="00B86254" w:rsidRPr="009E4EB8" w:rsidRDefault="00B86254" w:rsidP="002C3290">
      <w:pPr>
        <w:pStyle w:val="3-BodyText"/>
        <w:numPr>
          <w:ilvl w:val="2"/>
          <w:numId w:val="11"/>
        </w:numPr>
        <w:ind w:left="1050" w:hanging="370"/>
      </w:pPr>
      <w:r w:rsidRPr="009E4EB8">
        <w:t xml:space="preserve">Yuen 2018 (N = 62): consisted of a retrospective review of patients with RRMM who received DCEP chemotherapy between 2005 and 2017 at two tertiary </w:t>
      </w:r>
      <w:r w:rsidRPr="009E4EB8">
        <w:lastRenderedPageBreak/>
        <w:t>hospitals in Melbourne, Australia. TRAEs were reported per cycle where the total number of cycles reported were 111 (pp2842-3,</w:t>
      </w:r>
      <w:r w:rsidR="000D4FB9">
        <w:t xml:space="preserve"> </w:t>
      </w:r>
      <w:r w:rsidRPr="009E4EB8">
        <w:t xml:space="preserve">5, Yuen et al 2018). </w:t>
      </w:r>
    </w:p>
    <w:p w14:paraId="5E77846B" w14:textId="59157259" w:rsidR="0002469F" w:rsidRPr="009E4EB8" w:rsidRDefault="00B86254" w:rsidP="002C3290">
      <w:pPr>
        <w:pStyle w:val="3-BodyText"/>
        <w:numPr>
          <w:ilvl w:val="2"/>
          <w:numId w:val="11"/>
        </w:numPr>
        <w:ind w:left="1050" w:hanging="370"/>
      </w:pPr>
      <w:r w:rsidRPr="009E4EB8">
        <w:t>Griffin 2015 (N = 107): was based on a single-</w:t>
      </w:r>
      <w:r w:rsidR="008F74F0" w:rsidRPr="009E4EB8">
        <w:t xml:space="preserve">centre </w:t>
      </w:r>
      <w:r w:rsidRPr="009E4EB8">
        <w:t>retrospective analysis of 107 patients with RRMM who were treated with 3 salvage chemotherapy regimens including DCEP (n = 52), bortezomib + thalidomide + dexamethasone + cisplatin + doxorubicin + cyclophosphamide + etoposide (VTD-PACE; n = 22) and cyclophosphamide + vincristine + doxorubicin + dexamethasone (CVAD; n = 33; p3622, Griffin et al 2015). Griffin 2015 reported clinically relevant adverse events with no adverse event grading</w:t>
      </w:r>
      <w:r w:rsidR="00541432" w:rsidRPr="009E4EB8">
        <w:t xml:space="preserve">. </w:t>
      </w:r>
    </w:p>
    <w:p w14:paraId="634246C5" w14:textId="77777777" w:rsidR="005304FD" w:rsidRPr="009E4EB8" w:rsidRDefault="005304FD" w:rsidP="005304FD">
      <w:pPr>
        <w:pStyle w:val="4-SubsectionHeading"/>
      </w:pPr>
      <w:bookmarkStart w:id="40" w:name="_Toc22897641"/>
      <w:bookmarkStart w:id="41" w:name="_Toc22898853"/>
      <w:bookmarkStart w:id="42" w:name="_Toc93422864"/>
      <w:r w:rsidRPr="009E4EB8">
        <w:t>Comparative effectiveness</w:t>
      </w:r>
      <w:bookmarkEnd w:id="40"/>
      <w:bookmarkEnd w:id="41"/>
      <w:bookmarkEnd w:id="42"/>
    </w:p>
    <w:p w14:paraId="2FEE81B8" w14:textId="2BDC3CA1" w:rsidR="005C3F83" w:rsidRPr="009E4EB8" w:rsidRDefault="005C3F83" w:rsidP="005C3F83">
      <w:pPr>
        <w:pStyle w:val="3-BodyText"/>
      </w:pPr>
      <w:r w:rsidRPr="009E4EB8">
        <w:t xml:space="preserve">A summary of effectiveness results of Sd from STORM for the mITT population (TCR/PE MM) is presented </w:t>
      </w:r>
      <w:r w:rsidRPr="009E4EB8">
        <w:rPr>
          <w:rFonts w:cstheme="minorHAnsi"/>
        </w:rPr>
        <w:t xml:space="preserve">in </w:t>
      </w:r>
      <w:r w:rsidR="006C2945" w:rsidRPr="009E4EB8">
        <w:rPr>
          <w:rFonts w:cstheme="minorHAnsi"/>
        </w:rPr>
        <w:t>Table 6</w:t>
      </w:r>
      <w:r w:rsidRPr="009E4EB8">
        <w:rPr>
          <w:rFonts w:cstheme="minorHAnsi"/>
        </w:rPr>
        <w:t>.</w:t>
      </w:r>
      <w:r w:rsidRPr="009E4EB8">
        <w:t xml:space="preserve"> </w:t>
      </w:r>
      <w:r w:rsidR="000F2FF9" w:rsidRPr="009E4EB8">
        <w:rPr>
          <w:color w:val="000000" w:themeColor="text1"/>
        </w:rPr>
        <w:t xml:space="preserve">Results from the TCR/PR subgroup of STORM are </w:t>
      </w:r>
      <w:r w:rsidR="000F2FF9" w:rsidRPr="009E4EB8">
        <w:rPr>
          <w:rFonts w:cstheme="minorHAnsi"/>
          <w:color w:val="000000" w:themeColor="text1"/>
        </w:rPr>
        <w:t xml:space="preserve">presented in </w:t>
      </w:r>
      <w:r w:rsidR="000F2FF9" w:rsidRPr="009E4EB8">
        <w:rPr>
          <w:rFonts w:cstheme="minorHAnsi"/>
        </w:rPr>
        <w:t>Table 7</w:t>
      </w:r>
      <w:r w:rsidR="000F2FF9" w:rsidRPr="009E4EB8">
        <w:rPr>
          <w:rFonts w:cstheme="minorHAnsi"/>
          <w:color w:val="000000" w:themeColor="text1"/>
        </w:rPr>
        <w:t>.</w:t>
      </w:r>
    </w:p>
    <w:p w14:paraId="26F4851B" w14:textId="0BA51D0C" w:rsidR="005C3F83" w:rsidRPr="009E4EB8" w:rsidRDefault="005C3F83" w:rsidP="005C3F83">
      <w:pPr>
        <w:keepNext/>
        <w:rPr>
          <w:rStyle w:val="CommentReference"/>
          <w:b w:val="0"/>
          <w:bCs/>
          <w:szCs w:val="20"/>
        </w:rPr>
      </w:pPr>
      <w:bookmarkStart w:id="43" w:name="_Ref91063328"/>
      <w:r w:rsidRPr="009E4EB8">
        <w:rPr>
          <w:rFonts w:ascii="Arial Narrow" w:hAnsi="Arial Narrow"/>
          <w:b/>
          <w:bCs/>
          <w:sz w:val="20"/>
          <w:szCs w:val="20"/>
        </w:rPr>
        <w:t xml:space="preserve">Table </w:t>
      </w:r>
      <w:r w:rsidRPr="009E4EB8">
        <w:rPr>
          <w:rFonts w:ascii="Arial Narrow" w:hAnsi="Arial Narrow"/>
          <w:b/>
          <w:bCs/>
          <w:sz w:val="20"/>
          <w:szCs w:val="20"/>
        </w:rPr>
        <w:fldChar w:fldCharType="begin"/>
      </w:r>
      <w:r w:rsidRPr="009E4EB8">
        <w:rPr>
          <w:rFonts w:ascii="Arial Narrow" w:hAnsi="Arial Narrow"/>
          <w:b/>
          <w:bCs/>
          <w:sz w:val="20"/>
          <w:szCs w:val="20"/>
        </w:rPr>
        <w:instrText xml:space="preserve"> SEQ Table \* ARABIC </w:instrText>
      </w:r>
      <w:r w:rsidRPr="009E4EB8">
        <w:rPr>
          <w:rFonts w:ascii="Arial Narrow" w:hAnsi="Arial Narrow"/>
          <w:b/>
          <w:bCs/>
          <w:sz w:val="20"/>
          <w:szCs w:val="20"/>
        </w:rPr>
        <w:fldChar w:fldCharType="separate"/>
      </w:r>
      <w:r w:rsidR="00964E38">
        <w:rPr>
          <w:rFonts w:ascii="Arial Narrow" w:hAnsi="Arial Narrow"/>
          <w:b/>
          <w:bCs/>
          <w:noProof/>
          <w:sz w:val="20"/>
          <w:szCs w:val="20"/>
        </w:rPr>
        <w:t>6</w:t>
      </w:r>
      <w:r w:rsidRPr="009E4EB8">
        <w:rPr>
          <w:rFonts w:ascii="Arial Narrow" w:hAnsi="Arial Narrow"/>
          <w:b/>
          <w:bCs/>
          <w:sz w:val="20"/>
          <w:szCs w:val="20"/>
        </w:rPr>
        <w:fldChar w:fldCharType="end"/>
      </w:r>
      <w:bookmarkEnd w:id="43"/>
      <w:r w:rsidRPr="009E4EB8">
        <w:rPr>
          <w:rFonts w:ascii="Arial Narrow" w:hAnsi="Arial Narrow"/>
          <w:b/>
          <w:bCs/>
          <w:sz w:val="20"/>
          <w:szCs w:val="20"/>
        </w:rPr>
        <w:t xml:space="preserve">: </w:t>
      </w:r>
      <w:r w:rsidRPr="009E4EB8">
        <w:rPr>
          <w:rStyle w:val="CommentReference"/>
          <w:szCs w:val="20"/>
        </w:rPr>
        <w:t>Summary of OS, PFS and ORR in STORM</w:t>
      </w:r>
      <w:r w:rsidR="00290A6C" w:rsidRPr="009E4EB8">
        <w:rPr>
          <w:rStyle w:val="CommentReference"/>
          <w:szCs w:val="20"/>
        </w:rPr>
        <w:t xml:space="preserve"> (TCR/PE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5984"/>
      </w:tblGrid>
      <w:tr w:rsidR="005C3F83" w:rsidRPr="009E4EB8" w14:paraId="7758ACAB" w14:textId="77777777" w:rsidTr="00D041EE">
        <w:tc>
          <w:tcPr>
            <w:tcW w:w="1682" w:type="pct"/>
            <w:shd w:val="clear" w:color="auto" w:fill="C6D9F1" w:themeFill="text2" w:themeFillTint="33"/>
            <w:vAlign w:val="center"/>
          </w:tcPr>
          <w:p w14:paraId="06259D98" w14:textId="77777777" w:rsidR="005C3F83" w:rsidRPr="009E4EB8" w:rsidRDefault="005C3F83" w:rsidP="00D041EE">
            <w:pPr>
              <w:pStyle w:val="In-tableHeading"/>
              <w:rPr>
                <w:lang w:val="en-AU"/>
              </w:rPr>
            </w:pPr>
          </w:p>
        </w:tc>
        <w:tc>
          <w:tcPr>
            <w:tcW w:w="3318" w:type="pct"/>
            <w:shd w:val="clear" w:color="auto" w:fill="C6D9F1" w:themeFill="text2" w:themeFillTint="33"/>
            <w:vAlign w:val="center"/>
          </w:tcPr>
          <w:p w14:paraId="6C1B88B6" w14:textId="77777777" w:rsidR="005C3F83" w:rsidRPr="009E4EB8" w:rsidRDefault="005C3F83" w:rsidP="00D041EE">
            <w:pPr>
              <w:pStyle w:val="In-tableHeading"/>
              <w:jc w:val="center"/>
              <w:rPr>
                <w:lang w:val="en-AU"/>
              </w:rPr>
            </w:pPr>
            <w:r w:rsidRPr="009E4EB8">
              <w:rPr>
                <w:lang w:val="en-AU"/>
              </w:rPr>
              <w:t>mITT (N = 122)</w:t>
            </w:r>
          </w:p>
        </w:tc>
      </w:tr>
      <w:tr w:rsidR="005C3F83" w:rsidRPr="009E4EB8" w14:paraId="324BBB9C" w14:textId="77777777" w:rsidTr="00D041EE">
        <w:tc>
          <w:tcPr>
            <w:tcW w:w="5000" w:type="pct"/>
            <w:gridSpan w:val="2"/>
            <w:shd w:val="clear" w:color="auto" w:fill="C6D9F1" w:themeFill="text2" w:themeFillTint="33"/>
            <w:vAlign w:val="center"/>
          </w:tcPr>
          <w:p w14:paraId="1FE51462" w14:textId="77777777" w:rsidR="005C3F83" w:rsidRPr="009E4EB8" w:rsidRDefault="005C3F83" w:rsidP="00D041EE">
            <w:pPr>
              <w:pStyle w:val="In-tableHeading"/>
              <w:rPr>
                <w:lang w:val="en-AU"/>
              </w:rPr>
            </w:pPr>
            <w:r w:rsidRPr="009E4EB8">
              <w:rPr>
                <w:lang w:val="en-AU"/>
              </w:rPr>
              <w:t>OS</w:t>
            </w:r>
          </w:p>
        </w:tc>
      </w:tr>
      <w:tr w:rsidR="005C3F83" w:rsidRPr="009E4EB8" w14:paraId="1958F68D" w14:textId="77777777" w:rsidTr="00D041EE">
        <w:tc>
          <w:tcPr>
            <w:tcW w:w="1682" w:type="pct"/>
            <w:shd w:val="clear" w:color="auto" w:fill="C6D9F1" w:themeFill="text2" w:themeFillTint="33"/>
            <w:vAlign w:val="center"/>
          </w:tcPr>
          <w:p w14:paraId="1E691881" w14:textId="77777777" w:rsidR="005C3F83" w:rsidRPr="009E4EB8" w:rsidRDefault="005C3F83" w:rsidP="00D041EE">
            <w:pPr>
              <w:pStyle w:val="TableText0"/>
            </w:pPr>
            <w:r w:rsidRPr="009E4EB8">
              <w:t>Patients with event</w:t>
            </w:r>
          </w:p>
        </w:tc>
        <w:tc>
          <w:tcPr>
            <w:tcW w:w="3318" w:type="pct"/>
            <w:shd w:val="clear" w:color="auto" w:fill="C6D9F1" w:themeFill="text2" w:themeFillTint="33"/>
            <w:vAlign w:val="center"/>
          </w:tcPr>
          <w:p w14:paraId="40DDD59E" w14:textId="77777777" w:rsidR="005C3F83" w:rsidRPr="009E4EB8" w:rsidRDefault="005C3F83" w:rsidP="00D041EE">
            <w:pPr>
              <w:pStyle w:val="TableText0"/>
              <w:jc w:val="center"/>
            </w:pPr>
            <w:r w:rsidRPr="009E4EB8">
              <w:t>76/122 (62.3%)</w:t>
            </w:r>
          </w:p>
        </w:tc>
      </w:tr>
      <w:tr w:rsidR="005C3F83" w:rsidRPr="009E4EB8" w14:paraId="06904386" w14:textId="77777777" w:rsidTr="00D041EE">
        <w:tc>
          <w:tcPr>
            <w:tcW w:w="1682" w:type="pct"/>
            <w:shd w:val="clear" w:color="auto" w:fill="C6D9F1" w:themeFill="text2" w:themeFillTint="33"/>
            <w:vAlign w:val="center"/>
          </w:tcPr>
          <w:p w14:paraId="04F74522" w14:textId="77777777" w:rsidR="005C3F83" w:rsidRPr="009E4EB8" w:rsidRDefault="005C3F83" w:rsidP="00D041EE">
            <w:pPr>
              <w:pStyle w:val="TableText0"/>
            </w:pPr>
            <w:r w:rsidRPr="009E4EB8">
              <w:t>Median OS months (95% CI)</w:t>
            </w:r>
          </w:p>
        </w:tc>
        <w:tc>
          <w:tcPr>
            <w:tcW w:w="3318" w:type="pct"/>
            <w:shd w:val="clear" w:color="auto" w:fill="C6D9F1" w:themeFill="text2" w:themeFillTint="33"/>
            <w:vAlign w:val="center"/>
          </w:tcPr>
          <w:p w14:paraId="1D23EEE3" w14:textId="77777777" w:rsidR="005C3F83" w:rsidRPr="009E4EB8" w:rsidRDefault="005C3F83" w:rsidP="00D041EE">
            <w:pPr>
              <w:pStyle w:val="TableText0"/>
              <w:jc w:val="center"/>
            </w:pPr>
            <w:r w:rsidRPr="009E4EB8">
              <w:t>8.4 (6.2, 11.2)</w:t>
            </w:r>
          </w:p>
        </w:tc>
      </w:tr>
      <w:tr w:rsidR="005C3F83" w:rsidRPr="009E4EB8" w14:paraId="79F9AC9B" w14:textId="77777777" w:rsidTr="00D041EE">
        <w:tc>
          <w:tcPr>
            <w:tcW w:w="5000" w:type="pct"/>
            <w:gridSpan w:val="2"/>
            <w:shd w:val="clear" w:color="auto" w:fill="C6D9F1" w:themeFill="text2" w:themeFillTint="33"/>
            <w:vAlign w:val="center"/>
          </w:tcPr>
          <w:p w14:paraId="677B22FA" w14:textId="77777777" w:rsidR="005C3F83" w:rsidRPr="009E4EB8" w:rsidRDefault="005C3F83" w:rsidP="00D041EE">
            <w:pPr>
              <w:pStyle w:val="In-tableHeading"/>
              <w:rPr>
                <w:lang w:val="en-AU"/>
              </w:rPr>
            </w:pPr>
            <w:r w:rsidRPr="009E4EB8">
              <w:rPr>
                <w:lang w:val="en-AU"/>
              </w:rPr>
              <w:t>PFS</w:t>
            </w:r>
          </w:p>
        </w:tc>
      </w:tr>
      <w:tr w:rsidR="005C3F83" w:rsidRPr="009E4EB8" w14:paraId="306CBE40" w14:textId="77777777" w:rsidTr="00D041EE">
        <w:tc>
          <w:tcPr>
            <w:tcW w:w="1682" w:type="pct"/>
            <w:shd w:val="clear" w:color="auto" w:fill="C6D9F1" w:themeFill="text2" w:themeFillTint="33"/>
            <w:vAlign w:val="center"/>
          </w:tcPr>
          <w:p w14:paraId="7A5FA3B3" w14:textId="77777777" w:rsidR="005C3F83" w:rsidRPr="009E4EB8" w:rsidRDefault="005C3F83" w:rsidP="00D041EE">
            <w:pPr>
              <w:pStyle w:val="TableText0"/>
            </w:pPr>
            <w:r w:rsidRPr="009E4EB8">
              <w:t>Patients with event</w:t>
            </w:r>
          </w:p>
        </w:tc>
        <w:tc>
          <w:tcPr>
            <w:tcW w:w="3318" w:type="pct"/>
            <w:shd w:val="clear" w:color="auto" w:fill="C6D9F1" w:themeFill="text2" w:themeFillTint="33"/>
            <w:vAlign w:val="center"/>
          </w:tcPr>
          <w:p w14:paraId="421811B9" w14:textId="77777777" w:rsidR="005C3F83" w:rsidRPr="009E4EB8" w:rsidRDefault="005C3F83" w:rsidP="00D041EE">
            <w:pPr>
              <w:pStyle w:val="TableText0"/>
              <w:jc w:val="center"/>
            </w:pPr>
            <w:r w:rsidRPr="009E4EB8">
              <w:t>51/122 (41.8%)</w:t>
            </w:r>
          </w:p>
        </w:tc>
      </w:tr>
      <w:tr w:rsidR="005C3F83" w:rsidRPr="009E4EB8" w14:paraId="4912D6F8" w14:textId="77777777" w:rsidTr="00D041EE">
        <w:tc>
          <w:tcPr>
            <w:tcW w:w="1682" w:type="pct"/>
            <w:shd w:val="clear" w:color="auto" w:fill="C6D9F1" w:themeFill="text2" w:themeFillTint="33"/>
            <w:vAlign w:val="center"/>
          </w:tcPr>
          <w:p w14:paraId="56CB6122" w14:textId="77777777" w:rsidR="005C3F83" w:rsidRPr="009E4EB8" w:rsidRDefault="005C3F83" w:rsidP="00D041EE">
            <w:pPr>
              <w:pStyle w:val="TableText0"/>
            </w:pPr>
            <w:r w:rsidRPr="009E4EB8">
              <w:t>Median PFS months (95% CI)</w:t>
            </w:r>
          </w:p>
        </w:tc>
        <w:tc>
          <w:tcPr>
            <w:tcW w:w="3318" w:type="pct"/>
            <w:shd w:val="clear" w:color="auto" w:fill="C6D9F1" w:themeFill="text2" w:themeFillTint="33"/>
          </w:tcPr>
          <w:p w14:paraId="535A44EB" w14:textId="77777777" w:rsidR="005C3F83" w:rsidRPr="009E4EB8" w:rsidRDefault="005C3F83" w:rsidP="00D041EE">
            <w:pPr>
              <w:pStyle w:val="TableText0"/>
              <w:jc w:val="center"/>
            </w:pPr>
            <w:r w:rsidRPr="009E4EB8">
              <w:t>3.7 (2.8, 4.7)</w:t>
            </w:r>
          </w:p>
        </w:tc>
      </w:tr>
      <w:tr w:rsidR="005C3F83" w:rsidRPr="009E4EB8" w14:paraId="59A44A5C" w14:textId="77777777" w:rsidTr="00D041EE">
        <w:tc>
          <w:tcPr>
            <w:tcW w:w="5000" w:type="pct"/>
            <w:gridSpan w:val="2"/>
            <w:shd w:val="clear" w:color="auto" w:fill="C6D9F1" w:themeFill="text2" w:themeFillTint="33"/>
            <w:vAlign w:val="center"/>
          </w:tcPr>
          <w:p w14:paraId="72CDBBA3" w14:textId="77777777" w:rsidR="005C3F83" w:rsidRPr="009E4EB8" w:rsidRDefault="005C3F83" w:rsidP="00D041EE">
            <w:pPr>
              <w:pStyle w:val="TableText0"/>
            </w:pPr>
            <w:r w:rsidRPr="009E4EB8">
              <w:rPr>
                <w:b/>
                <w:bCs w:val="0"/>
              </w:rPr>
              <w:t>ORR</w:t>
            </w:r>
          </w:p>
        </w:tc>
      </w:tr>
      <w:tr w:rsidR="005C3F83" w:rsidRPr="009E4EB8" w14:paraId="707CF49A" w14:textId="77777777" w:rsidTr="00D041EE">
        <w:tc>
          <w:tcPr>
            <w:tcW w:w="1682" w:type="pct"/>
            <w:shd w:val="clear" w:color="auto" w:fill="C6D9F1" w:themeFill="text2" w:themeFillTint="33"/>
            <w:vAlign w:val="center"/>
          </w:tcPr>
          <w:p w14:paraId="0EC585DD" w14:textId="77777777" w:rsidR="005C3F83" w:rsidRPr="009E4EB8" w:rsidRDefault="005C3F83" w:rsidP="00D041EE">
            <w:pPr>
              <w:pStyle w:val="TableText0"/>
            </w:pPr>
            <w:r w:rsidRPr="009E4EB8">
              <w:t>Patients with event</w:t>
            </w:r>
          </w:p>
        </w:tc>
        <w:tc>
          <w:tcPr>
            <w:tcW w:w="3318" w:type="pct"/>
            <w:shd w:val="clear" w:color="auto" w:fill="C6D9F1" w:themeFill="text2" w:themeFillTint="33"/>
            <w:vAlign w:val="center"/>
          </w:tcPr>
          <w:p w14:paraId="4AAD2BFA" w14:textId="77777777" w:rsidR="005C3F83" w:rsidRPr="009E4EB8" w:rsidRDefault="005C3F83" w:rsidP="00D041EE">
            <w:pPr>
              <w:pStyle w:val="TableText0"/>
              <w:jc w:val="center"/>
            </w:pPr>
            <w:r w:rsidRPr="009E4EB8">
              <w:t xml:space="preserve">32/122 </w:t>
            </w:r>
          </w:p>
        </w:tc>
      </w:tr>
      <w:tr w:rsidR="005C3F83" w:rsidRPr="009E4EB8" w14:paraId="71D19F48" w14:textId="77777777" w:rsidTr="00D041EE">
        <w:tc>
          <w:tcPr>
            <w:tcW w:w="1682" w:type="pct"/>
            <w:shd w:val="clear" w:color="auto" w:fill="C6D9F1" w:themeFill="text2" w:themeFillTint="33"/>
            <w:vAlign w:val="center"/>
          </w:tcPr>
          <w:p w14:paraId="04C0AF89" w14:textId="77777777" w:rsidR="005C3F83" w:rsidRPr="009E4EB8" w:rsidRDefault="005C3F83" w:rsidP="00D041EE">
            <w:pPr>
              <w:pStyle w:val="TableText0"/>
            </w:pPr>
            <w:r w:rsidRPr="009E4EB8">
              <w:t>% (95% CI)</w:t>
            </w:r>
          </w:p>
        </w:tc>
        <w:tc>
          <w:tcPr>
            <w:tcW w:w="3318" w:type="pct"/>
            <w:shd w:val="clear" w:color="auto" w:fill="C6D9F1" w:themeFill="text2" w:themeFillTint="33"/>
            <w:vAlign w:val="center"/>
          </w:tcPr>
          <w:p w14:paraId="6F1ACA59" w14:textId="77777777" w:rsidR="005C3F83" w:rsidRPr="009E4EB8" w:rsidRDefault="005C3F83" w:rsidP="00D041EE">
            <w:pPr>
              <w:pStyle w:val="TableText0"/>
              <w:jc w:val="center"/>
            </w:pPr>
            <w:r w:rsidRPr="009E4EB8">
              <w:t>26.2 (18.7, 35.0)</w:t>
            </w:r>
          </w:p>
        </w:tc>
      </w:tr>
    </w:tbl>
    <w:p w14:paraId="568E9C7D" w14:textId="77777777" w:rsidR="005C3F83" w:rsidRPr="009E4EB8" w:rsidRDefault="005C3F83" w:rsidP="005C3F83">
      <w:pPr>
        <w:pStyle w:val="TableFigureFooter"/>
        <w:keepNext/>
      </w:pPr>
      <w:r w:rsidRPr="009E4EB8">
        <w:t>Source: Table 2-19, 2-25, 2-26 pp62,68,70 of the resubmission</w:t>
      </w:r>
    </w:p>
    <w:p w14:paraId="38165362" w14:textId="499F0AEC" w:rsidR="005C3F83" w:rsidRPr="009E4EB8" w:rsidRDefault="005C3F83" w:rsidP="005C3F83">
      <w:pPr>
        <w:pStyle w:val="TableFigureFooter"/>
        <w:keepNext/>
      </w:pPr>
      <w:r w:rsidRPr="009E4EB8">
        <w:t>Abbreviations: CI = confidence interval; mITT = modified intention to treat population; PFS = progression free survival; ORR = overall response rate; OS = overall survival</w:t>
      </w:r>
      <w:r w:rsidR="002769A0" w:rsidRPr="009E4EB8">
        <w:t xml:space="preserve">; TCR/PE = </w:t>
      </w:r>
      <w:r w:rsidR="00643A63" w:rsidRPr="009E4EB8">
        <w:t>triple-class refractory/penta-exposed</w:t>
      </w:r>
    </w:p>
    <w:p w14:paraId="0CE1E1A5" w14:textId="6ACBEB64" w:rsidR="005C3F83" w:rsidRPr="009E4EB8" w:rsidRDefault="005C3F83" w:rsidP="005C3F83">
      <w:pPr>
        <w:pStyle w:val="TableFigureFooter"/>
        <w:rPr>
          <w:szCs w:val="18"/>
        </w:rPr>
      </w:pPr>
      <w:r w:rsidRPr="009E4EB8">
        <w:t>Blue shading denotes text remains unchanged from the July 2021 submission.</w:t>
      </w:r>
    </w:p>
    <w:p w14:paraId="71D3A4CA" w14:textId="77777777" w:rsidR="00BB2A60" w:rsidRPr="009E4EB8" w:rsidRDefault="00BB2A60" w:rsidP="00BB2A60"/>
    <w:p w14:paraId="7A45F5FA" w14:textId="4EE74629" w:rsidR="00BB4BD3" w:rsidRPr="009E4EB8" w:rsidRDefault="007C2CD4" w:rsidP="000F2FF9">
      <w:pPr>
        <w:pStyle w:val="3-BodyText"/>
        <w:rPr>
          <w:color w:val="0066FF"/>
        </w:rPr>
      </w:pPr>
      <w:r w:rsidRPr="009E4EB8">
        <w:t>In the mITT population of STORM</w:t>
      </w:r>
      <w:r w:rsidR="000F2FF9" w:rsidRPr="009E4EB8">
        <w:t xml:space="preserve"> </w:t>
      </w:r>
      <w:r w:rsidR="000F2FF9" w:rsidRPr="009E4EB8">
        <w:rPr>
          <w:iCs/>
        </w:rPr>
        <w:t>(TCR/PE population)</w:t>
      </w:r>
      <w:r w:rsidRPr="009E4EB8">
        <w:t xml:space="preserve">, the ORR was 26.2%, median PFS was 3.7 months (95%CI; 2.8, 4.7) and median OS was 8.4 months (95%CI; 6.2, 11.2). While there appears to </w:t>
      </w:r>
      <w:r w:rsidRPr="009E4EB8">
        <w:rPr>
          <w:rFonts w:cstheme="minorHAnsi"/>
        </w:rPr>
        <w:t xml:space="preserve">be a levelling out of the OS </w:t>
      </w:r>
      <w:r w:rsidR="00B12DCB" w:rsidRPr="009E4EB8">
        <w:rPr>
          <w:rFonts w:cstheme="minorHAnsi"/>
        </w:rPr>
        <w:t>Kaplan-Meier</w:t>
      </w:r>
      <w:r w:rsidRPr="009E4EB8">
        <w:rPr>
          <w:rFonts w:cstheme="minorHAnsi"/>
        </w:rPr>
        <w:t xml:space="preserve"> curve after approximately 12 months (</w:t>
      </w:r>
      <w:r w:rsidR="006C2945" w:rsidRPr="009E4EB8">
        <w:rPr>
          <w:rFonts w:cstheme="minorHAnsi"/>
        </w:rPr>
        <w:t>Figure 2</w:t>
      </w:r>
      <w:r w:rsidRPr="009E4EB8">
        <w:rPr>
          <w:rFonts w:cstheme="minorHAnsi"/>
        </w:rPr>
        <w:t>),</w:t>
      </w:r>
      <w:r w:rsidRPr="009E4EB8">
        <w:t xml:space="preserve"> suggesting a low death rate beyond 12 months, the magnitude of the benefit should be interpreted with caution due to the small patient numbers and high rates of censoring. </w:t>
      </w:r>
    </w:p>
    <w:p w14:paraId="4EDDC0EB" w14:textId="333457EB" w:rsidR="00F508C6" w:rsidRPr="009E4EB8" w:rsidRDefault="000E03BC" w:rsidP="005304FD">
      <w:pPr>
        <w:pStyle w:val="3-BodyText"/>
        <w:rPr>
          <w:color w:val="0066FF"/>
        </w:rPr>
      </w:pPr>
      <w:r w:rsidRPr="009E4EB8">
        <w:rPr>
          <w:color w:val="000000" w:themeColor="text1"/>
        </w:rPr>
        <w:t xml:space="preserve">A summary of the results from the TCR/PR subgroup of STORM and the naïve comparative results from the post-hoc analyses with MAMMOTH and Goldsmith 2020 are </w:t>
      </w:r>
      <w:r w:rsidRPr="009E4EB8">
        <w:rPr>
          <w:rFonts w:cstheme="minorHAnsi"/>
          <w:color w:val="000000" w:themeColor="text1"/>
        </w:rPr>
        <w:t xml:space="preserve">presented in </w:t>
      </w:r>
      <w:r w:rsidR="006C2945" w:rsidRPr="009E4EB8">
        <w:rPr>
          <w:rFonts w:cstheme="minorHAnsi"/>
        </w:rPr>
        <w:t>Table 7</w:t>
      </w:r>
      <w:r w:rsidR="00F508C6" w:rsidRPr="009E4EB8">
        <w:rPr>
          <w:rFonts w:cstheme="minorHAnsi"/>
          <w:color w:val="000000" w:themeColor="text1"/>
        </w:rPr>
        <w:t>.</w:t>
      </w:r>
      <w:r w:rsidR="00F508C6" w:rsidRPr="009E4EB8">
        <w:rPr>
          <w:color w:val="000000" w:themeColor="text1"/>
        </w:rPr>
        <w:t xml:space="preserve"> </w:t>
      </w:r>
      <w:r w:rsidR="00F508C6" w:rsidRPr="009E4EB8">
        <w:rPr>
          <w:iCs/>
        </w:rPr>
        <w:t>The submission did not provide any estimate of effects between the three studies and</w:t>
      </w:r>
      <w:r w:rsidR="000D6542" w:rsidRPr="009E4EB8">
        <w:rPr>
          <w:iCs/>
        </w:rPr>
        <w:t xml:space="preserve"> these</w:t>
      </w:r>
      <w:r w:rsidR="00F508C6" w:rsidRPr="009E4EB8">
        <w:rPr>
          <w:iCs/>
        </w:rPr>
        <w:t xml:space="preserve"> </w:t>
      </w:r>
      <w:r w:rsidR="000D6542" w:rsidRPr="009E4EB8">
        <w:rPr>
          <w:iCs/>
        </w:rPr>
        <w:t xml:space="preserve">were </w:t>
      </w:r>
      <w:r w:rsidR="00F508C6" w:rsidRPr="009E4EB8">
        <w:rPr>
          <w:iCs/>
        </w:rPr>
        <w:t xml:space="preserve">not able to be calculated by the evaluation given the available data. </w:t>
      </w:r>
    </w:p>
    <w:p w14:paraId="0CC5EDE5" w14:textId="161C40F6" w:rsidR="00F508C6" w:rsidRPr="009E4EB8" w:rsidRDefault="00F508C6" w:rsidP="000E0CA7">
      <w:pPr>
        <w:pStyle w:val="Caption"/>
        <w:keepNext/>
        <w:spacing w:after="0"/>
        <w:rPr>
          <w:rStyle w:val="CommentReference"/>
          <w:b/>
          <w:bCs w:val="0"/>
          <w:color w:val="auto"/>
          <w:szCs w:val="20"/>
        </w:rPr>
      </w:pPr>
      <w:bookmarkStart w:id="44" w:name="_Ref91064490"/>
      <w:r w:rsidRPr="009E4EB8">
        <w:rPr>
          <w:rFonts w:ascii="Arial Narrow" w:hAnsi="Arial Narrow"/>
          <w:color w:val="auto"/>
          <w:sz w:val="20"/>
          <w:szCs w:val="20"/>
        </w:rPr>
        <w:lastRenderedPageBreak/>
        <w:t xml:space="preserve">Table </w:t>
      </w:r>
      <w:r w:rsidRPr="009E4EB8">
        <w:rPr>
          <w:rFonts w:ascii="Arial Narrow" w:hAnsi="Arial Narrow"/>
          <w:color w:val="auto"/>
          <w:sz w:val="20"/>
          <w:szCs w:val="20"/>
        </w:rPr>
        <w:fldChar w:fldCharType="begin"/>
      </w:r>
      <w:r w:rsidRPr="009E4EB8">
        <w:rPr>
          <w:rFonts w:ascii="Arial Narrow" w:hAnsi="Arial Narrow"/>
          <w:color w:val="auto"/>
          <w:sz w:val="20"/>
          <w:szCs w:val="20"/>
        </w:rPr>
        <w:instrText xml:space="preserve"> SEQ Table \* ARABIC </w:instrText>
      </w:r>
      <w:r w:rsidRPr="009E4EB8">
        <w:rPr>
          <w:rFonts w:ascii="Arial Narrow" w:hAnsi="Arial Narrow"/>
          <w:color w:val="auto"/>
          <w:sz w:val="20"/>
          <w:szCs w:val="20"/>
        </w:rPr>
        <w:fldChar w:fldCharType="separate"/>
      </w:r>
      <w:r w:rsidR="00964E38">
        <w:rPr>
          <w:rFonts w:ascii="Arial Narrow" w:hAnsi="Arial Narrow"/>
          <w:noProof/>
          <w:color w:val="auto"/>
          <w:sz w:val="20"/>
          <w:szCs w:val="20"/>
        </w:rPr>
        <w:t>7</w:t>
      </w:r>
      <w:r w:rsidRPr="009E4EB8">
        <w:rPr>
          <w:rFonts w:ascii="Arial Narrow" w:hAnsi="Arial Narrow"/>
          <w:color w:val="auto"/>
          <w:sz w:val="20"/>
          <w:szCs w:val="20"/>
        </w:rPr>
        <w:fldChar w:fldCharType="end"/>
      </w:r>
      <w:bookmarkEnd w:id="44"/>
      <w:r w:rsidRPr="009E4EB8">
        <w:rPr>
          <w:rFonts w:ascii="Arial Narrow" w:hAnsi="Arial Narrow"/>
          <w:color w:val="auto"/>
          <w:sz w:val="20"/>
          <w:szCs w:val="20"/>
        </w:rPr>
        <w:t>:</w:t>
      </w:r>
      <w:r w:rsidRPr="009E4EB8">
        <w:rPr>
          <w:rFonts w:ascii="Arial Narrow" w:hAnsi="Arial Narrow"/>
          <w:b w:val="0"/>
          <w:bCs w:val="0"/>
          <w:color w:val="auto"/>
          <w:sz w:val="20"/>
          <w:szCs w:val="20"/>
        </w:rPr>
        <w:t xml:space="preserve"> </w:t>
      </w:r>
      <w:r w:rsidRPr="009E4EB8">
        <w:rPr>
          <w:rStyle w:val="CommentReference"/>
          <w:b/>
          <w:bCs w:val="0"/>
          <w:color w:val="auto"/>
          <w:szCs w:val="20"/>
        </w:rPr>
        <w:t>Summary of OS, PFS and ORR for Sd versus salvage chemotherapy for the TCR/PR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83"/>
        <w:gridCol w:w="2126"/>
        <w:gridCol w:w="2278"/>
        <w:gridCol w:w="2230"/>
      </w:tblGrid>
      <w:tr w:rsidR="00F508C6" w:rsidRPr="009E4EB8" w14:paraId="73D54DBE" w14:textId="77777777" w:rsidTr="00D041EE">
        <w:tc>
          <w:tcPr>
            <w:tcW w:w="2383" w:type="dxa"/>
            <w:vMerge w:val="restart"/>
            <w:vAlign w:val="center"/>
          </w:tcPr>
          <w:p w14:paraId="48318356" w14:textId="77777777" w:rsidR="00F508C6" w:rsidRPr="009E4EB8" w:rsidRDefault="00F508C6" w:rsidP="000E0CA7">
            <w:pPr>
              <w:pStyle w:val="In-tableHeading"/>
              <w:rPr>
                <w:lang w:val="en-AU"/>
              </w:rPr>
            </w:pPr>
          </w:p>
        </w:tc>
        <w:tc>
          <w:tcPr>
            <w:tcW w:w="2126" w:type="dxa"/>
            <w:vMerge w:val="restart"/>
            <w:vAlign w:val="center"/>
          </w:tcPr>
          <w:p w14:paraId="2E8867F0" w14:textId="77777777" w:rsidR="00F508C6" w:rsidRPr="009E4EB8" w:rsidRDefault="00F508C6" w:rsidP="000E0CA7">
            <w:pPr>
              <w:pStyle w:val="In-tableHeading"/>
              <w:jc w:val="center"/>
              <w:rPr>
                <w:lang w:val="en-AU"/>
              </w:rPr>
            </w:pPr>
            <w:r w:rsidRPr="009E4EB8">
              <w:rPr>
                <w:lang w:val="en-AU"/>
              </w:rPr>
              <w:t xml:space="preserve">Sd </w:t>
            </w:r>
          </w:p>
          <w:p w14:paraId="42083908" w14:textId="77777777" w:rsidR="00F508C6" w:rsidRPr="009E4EB8" w:rsidRDefault="00F508C6" w:rsidP="000E0CA7">
            <w:pPr>
              <w:pStyle w:val="In-tableHeading"/>
              <w:jc w:val="center"/>
              <w:rPr>
                <w:lang w:val="en-AU"/>
              </w:rPr>
            </w:pPr>
            <w:r w:rsidRPr="009E4EB8">
              <w:rPr>
                <w:lang w:val="en-AU"/>
              </w:rPr>
              <w:t>STORM (N = 83)</w:t>
            </w:r>
          </w:p>
        </w:tc>
        <w:tc>
          <w:tcPr>
            <w:tcW w:w="4508" w:type="dxa"/>
            <w:gridSpan w:val="2"/>
            <w:vAlign w:val="center"/>
          </w:tcPr>
          <w:p w14:paraId="5080AF63" w14:textId="77777777" w:rsidR="00F508C6" w:rsidRPr="009E4EB8" w:rsidRDefault="00F508C6" w:rsidP="000E0CA7">
            <w:pPr>
              <w:pStyle w:val="In-tableHeading"/>
              <w:jc w:val="center"/>
              <w:rPr>
                <w:lang w:val="en-AU"/>
              </w:rPr>
            </w:pPr>
            <w:r w:rsidRPr="009E4EB8">
              <w:rPr>
                <w:lang w:val="en-AU"/>
              </w:rPr>
              <w:t>Salvage Chemotherapy</w:t>
            </w:r>
          </w:p>
        </w:tc>
      </w:tr>
      <w:tr w:rsidR="00F508C6" w:rsidRPr="009E4EB8" w14:paraId="6495797B" w14:textId="77777777" w:rsidTr="00D041EE">
        <w:tc>
          <w:tcPr>
            <w:tcW w:w="2383" w:type="dxa"/>
            <w:vMerge/>
            <w:vAlign w:val="center"/>
          </w:tcPr>
          <w:p w14:paraId="591457A0" w14:textId="77777777" w:rsidR="00F508C6" w:rsidRPr="009E4EB8" w:rsidRDefault="00F508C6" w:rsidP="000E0CA7">
            <w:pPr>
              <w:pStyle w:val="In-tableHeading"/>
              <w:rPr>
                <w:lang w:val="en-AU"/>
              </w:rPr>
            </w:pPr>
          </w:p>
        </w:tc>
        <w:tc>
          <w:tcPr>
            <w:tcW w:w="2126" w:type="dxa"/>
            <w:vMerge/>
            <w:vAlign w:val="center"/>
          </w:tcPr>
          <w:p w14:paraId="7C727AA6" w14:textId="77777777" w:rsidR="00F508C6" w:rsidRPr="009E4EB8" w:rsidRDefault="00F508C6" w:rsidP="000E0CA7">
            <w:pPr>
              <w:pStyle w:val="In-tableHeading"/>
              <w:jc w:val="center"/>
              <w:rPr>
                <w:lang w:val="en-AU"/>
              </w:rPr>
            </w:pPr>
          </w:p>
        </w:tc>
        <w:tc>
          <w:tcPr>
            <w:tcW w:w="2278" w:type="dxa"/>
            <w:vAlign w:val="center"/>
          </w:tcPr>
          <w:p w14:paraId="4ED8373A" w14:textId="77777777" w:rsidR="00F508C6" w:rsidRPr="009E4EB8" w:rsidRDefault="00F508C6" w:rsidP="000E0CA7">
            <w:pPr>
              <w:pStyle w:val="In-tableHeading"/>
              <w:jc w:val="center"/>
              <w:rPr>
                <w:color w:val="000000" w:themeColor="text1"/>
                <w:lang w:val="en-AU"/>
              </w:rPr>
            </w:pPr>
            <w:r w:rsidRPr="009E4EB8">
              <w:rPr>
                <w:color w:val="000000" w:themeColor="text1"/>
                <w:lang w:val="en-AU"/>
              </w:rPr>
              <w:t>DCEP</w:t>
            </w:r>
          </w:p>
          <w:p w14:paraId="57CB8EE6" w14:textId="77777777" w:rsidR="00F508C6" w:rsidRPr="009E4EB8" w:rsidRDefault="00F508C6" w:rsidP="000E0CA7">
            <w:pPr>
              <w:pStyle w:val="In-tableHeading"/>
              <w:jc w:val="center"/>
              <w:rPr>
                <w:lang w:val="en-AU"/>
              </w:rPr>
            </w:pPr>
            <w:r w:rsidRPr="009E4EB8">
              <w:rPr>
                <w:color w:val="000000" w:themeColor="text1"/>
                <w:lang w:val="en-AU"/>
              </w:rPr>
              <w:t xml:space="preserve">Goldsmith 2020 (N = 31) </w:t>
            </w:r>
            <w:r w:rsidRPr="009E4EB8">
              <w:rPr>
                <w:color w:val="000000" w:themeColor="text1"/>
                <w:vertAlign w:val="superscript"/>
                <w:lang w:val="en-AU"/>
              </w:rPr>
              <w:t>a</w:t>
            </w:r>
          </w:p>
        </w:tc>
        <w:tc>
          <w:tcPr>
            <w:tcW w:w="2230" w:type="dxa"/>
            <w:vAlign w:val="center"/>
          </w:tcPr>
          <w:p w14:paraId="3735FDCC" w14:textId="77777777" w:rsidR="00F508C6" w:rsidRPr="009E4EB8" w:rsidRDefault="00F508C6" w:rsidP="000E0CA7">
            <w:pPr>
              <w:pStyle w:val="In-tableHeading"/>
              <w:jc w:val="center"/>
              <w:rPr>
                <w:color w:val="000000" w:themeColor="text1"/>
                <w:lang w:val="en-AU"/>
              </w:rPr>
            </w:pPr>
            <w:r w:rsidRPr="009E4EB8">
              <w:rPr>
                <w:color w:val="000000" w:themeColor="text1"/>
                <w:lang w:val="en-AU"/>
              </w:rPr>
              <w:t>Conventional care</w:t>
            </w:r>
          </w:p>
          <w:p w14:paraId="2D5658B2" w14:textId="77777777" w:rsidR="00F508C6" w:rsidRPr="009E4EB8" w:rsidRDefault="00F508C6" w:rsidP="000E0CA7">
            <w:pPr>
              <w:pStyle w:val="In-tableHeading"/>
              <w:jc w:val="center"/>
              <w:rPr>
                <w:lang w:val="en-AU"/>
              </w:rPr>
            </w:pPr>
            <w:r w:rsidRPr="009E4EB8">
              <w:rPr>
                <w:color w:val="000000" w:themeColor="text1"/>
                <w:lang w:val="en-AU"/>
              </w:rPr>
              <w:t>MAMMOTH (N = 70)</w:t>
            </w:r>
          </w:p>
        </w:tc>
      </w:tr>
      <w:tr w:rsidR="00F508C6" w:rsidRPr="009E4EB8" w14:paraId="386B667C" w14:textId="77777777" w:rsidTr="00D041EE">
        <w:tc>
          <w:tcPr>
            <w:tcW w:w="9017" w:type="dxa"/>
            <w:gridSpan w:val="4"/>
            <w:vAlign w:val="center"/>
          </w:tcPr>
          <w:p w14:paraId="55625533" w14:textId="77777777" w:rsidR="00F508C6" w:rsidRPr="009E4EB8" w:rsidRDefault="00F508C6" w:rsidP="000E0CA7">
            <w:pPr>
              <w:pStyle w:val="In-tableHeading"/>
              <w:rPr>
                <w:lang w:val="en-AU"/>
              </w:rPr>
            </w:pPr>
            <w:r w:rsidRPr="009E4EB8">
              <w:rPr>
                <w:lang w:val="en-AU"/>
              </w:rPr>
              <w:t>OS</w:t>
            </w:r>
          </w:p>
        </w:tc>
      </w:tr>
      <w:tr w:rsidR="00F508C6" w:rsidRPr="009E4EB8" w14:paraId="00A31B25" w14:textId="77777777" w:rsidTr="00D041EE">
        <w:tc>
          <w:tcPr>
            <w:tcW w:w="2383" w:type="dxa"/>
            <w:vAlign w:val="center"/>
          </w:tcPr>
          <w:p w14:paraId="0B477E8A" w14:textId="77777777" w:rsidR="00F508C6" w:rsidRPr="009E4EB8" w:rsidRDefault="00F508C6" w:rsidP="000E0CA7">
            <w:pPr>
              <w:pStyle w:val="In-tableHeading"/>
              <w:rPr>
                <w:b w:val="0"/>
                <w:bCs/>
                <w:color w:val="000000" w:themeColor="text1"/>
                <w:szCs w:val="20"/>
                <w:lang w:val="en-AU"/>
              </w:rPr>
            </w:pPr>
            <w:r w:rsidRPr="009E4EB8">
              <w:rPr>
                <w:rFonts w:cstheme="minorHAnsi"/>
                <w:b w:val="0"/>
                <w:bCs/>
                <w:color w:val="000000" w:themeColor="text1"/>
                <w:szCs w:val="20"/>
                <w:lang w:val="en-AU"/>
              </w:rPr>
              <w:t>Median OS (months)</w:t>
            </w:r>
          </w:p>
        </w:tc>
        <w:tc>
          <w:tcPr>
            <w:tcW w:w="2126" w:type="dxa"/>
            <w:shd w:val="clear" w:color="auto" w:fill="C6D9F1" w:themeFill="text2" w:themeFillTint="33"/>
            <w:vAlign w:val="center"/>
          </w:tcPr>
          <w:p w14:paraId="50CE1F4A" w14:textId="77777777" w:rsidR="00F508C6" w:rsidRPr="009E4EB8" w:rsidRDefault="00F508C6" w:rsidP="000E0CA7">
            <w:pPr>
              <w:pStyle w:val="In-tableHeading"/>
              <w:jc w:val="center"/>
              <w:rPr>
                <w:b w:val="0"/>
                <w:bCs/>
                <w:color w:val="000000" w:themeColor="text1"/>
                <w:szCs w:val="20"/>
                <w:lang w:val="en-AU"/>
              </w:rPr>
            </w:pPr>
            <w:r w:rsidRPr="009E4EB8">
              <w:rPr>
                <w:rFonts w:cstheme="minorHAnsi"/>
                <w:b w:val="0"/>
                <w:bCs/>
                <w:color w:val="000000" w:themeColor="text1"/>
                <w:szCs w:val="20"/>
                <w:lang w:val="en-AU"/>
              </w:rPr>
              <w:t>8.4</w:t>
            </w:r>
          </w:p>
        </w:tc>
        <w:tc>
          <w:tcPr>
            <w:tcW w:w="2278" w:type="dxa"/>
            <w:vAlign w:val="center"/>
          </w:tcPr>
          <w:p w14:paraId="0E934BB4" w14:textId="77777777" w:rsidR="00F508C6" w:rsidRPr="009E4EB8" w:rsidRDefault="00F508C6" w:rsidP="000E0CA7">
            <w:pPr>
              <w:pStyle w:val="In-tableHeading"/>
              <w:jc w:val="center"/>
              <w:rPr>
                <w:lang w:val="en-AU"/>
              </w:rPr>
            </w:pPr>
            <w:r w:rsidRPr="009E4EB8">
              <w:rPr>
                <w:rFonts w:cstheme="minorHAnsi"/>
                <w:b w:val="0"/>
                <w:bCs/>
                <w:color w:val="000000" w:themeColor="text1"/>
                <w:szCs w:val="20"/>
                <w:lang w:val="en-AU"/>
              </w:rPr>
              <w:t>6.2</w:t>
            </w:r>
          </w:p>
        </w:tc>
        <w:tc>
          <w:tcPr>
            <w:tcW w:w="2230" w:type="dxa"/>
            <w:vAlign w:val="center"/>
          </w:tcPr>
          <w:p w14:paraId="43CBE87F" w14:textId="77777777" w:rsidR="00F508C6" w:rsidRPr="009E4EB8" w:rsidRDefault="00F508C6" w:rsidP="000E0CA7">
            <w:pPr>
              <w:pStyle w:val="In-tableHeading"/>
              <w:jc w:val="center"/>
              <w:rPr>
                <w:lang w:val="en-AU"/>
              </w:rPr>
            </w:pPr>
            <w:r w:rsidRPr="009E4EB8">
              <w:rPr>
                <w:rFonts w:cstheme="minorHAnsi"/>
                <w:b w:val="0"/>
                <w:bCs/>
                <w:color w:val="000000" w:themeColor="text1"/>
                <w:szCs w:val="20"/>
                <w:lang w:val="en-AU"/>
              </w:rPr>
              <w:t>5.6</w:t>
            </w:r>
          </w:p>
        </w:tc>
      </w:tr>
      <w:tr w:rsidR="00F508C6" w:rsidRPr="009E4EB8" w14:paraId="694A2830" w14:textId="77777777" w:rsidTr="00D041EE">
        <w:tc>
          <w:tcPr>
            <w:tcW w:w="2383" w:type="dxa"/>
            <w:vAlign w:val="center"/>
          </w:tcPr>
          <w:p w14:paraId="0C55071A" w14:textId="77777777" w:rsidR="00F508C6" w:rsidRPr="009E4EB8" w:rsidRDefault="00F508C6" w:rsidP="000E0CA7">
            <w:pPr>
              <w:pStyle w:val="In-tableHeading"/>
              <w:rPr>
                <w:b w:val="0"/>
                <w:bCs/>
                <w:color w:val="000000" w:themeColor="text1"/>
                <w:szCs w:val="20"/>
                <w:lang w:val="en-AU"/>
              </w:rPr>
            </w:pPr>
            <w:r w:rsidRPr="009E4EB8">
              <w:rPr>
                <w:rFonts w:cstheme="minorHAnsi"/>
                <w:b w:val="0"/>
                <w:bCs/>
                <w:color w:val="000000" w:themeColor="text1"/>
                <w:szCs w:val="20"/>
                <w:lang w:val="en-AU"/>
              </w:rPr>
              <w:t>95% CI</w:t>
            </w:r>
          </w:p>
        </w:tc>
        <w:tc>
          <w:tcPr>
            <w:tcW w:w="2126" w:type="dxa"/>
            <w:shd w:val="clear" w:color="auto" w:fill="C6D9F1" w:themeFill="text2" w:themeFillTint="33"/>
            <w:vAlign w:val="center"/>
          </w:tcPr>
          <w:p w14:paraId="34FE2DD0" w14:textId="77777777" w:rsidR="00F508C6" w:rsidRPr="009E4EB8" w:rsidRDefault="00F508C6" w:rsidP="000E0CA7">
            <w:pPr>
              <w:pStyle w:val="In-tableHeading"/>
              <w:jc w:val="center"/>
              <w:rPr>
                <w:b w:val="0"/>
                <w:bCs/>
                <w:color w:val="000000" w:themeColor="text1"/>
                <w:szCs w:val="20"/>
                <w:lang w:val="en-AU"/>
              </w:rPr>
            </w:pPr>
            <w:r w:rsidRPr="009E4EB8">
              <w:rPr>
                <w:rFonts w:cstheme="minorHAnsi"/>
                <w:b w:val="0"/>
                <w:bCs/>
                <w:color w:val="000000" w:themeColor="text1"/>
                <w:szCs w:val="20"/>
                <w:lang w:val="en-AU"/>
              </w:rPr>
              <w:t>5.9, 11.2</w:t>
            </w:r>
          </w:p>
        </w:tc>
        <w:tc>
          <w:tcPr>
            <w:tcW w:w="2278" w:type="dxa"/>
            <w:vAlign w:val="center"/>
          </w:tcPr>
          <w:p w14:paraId="163060D7" w14:textId="77777777" w:rsidR="00F508C6" w:rsidRPr="009E4EB8" w:rsidRDefault="00F508C6" w:rsidP="000E0CA7">
            <w:pPr>
              <w:pStyle w:val="In-tableHeading"/>
              <w:jc w:val="center"/>
              <w:rPr>
                <w:lang w:val="en-AU"/>
              </w:rPr>
            </w:pPr>
            <w:r w:rsidRPr="009E4EB8">
              <w:rPr>
                <w:rFonts w:cstheme="minorHAnsi"/>
                <w:b w:val="0"/>
                <w:bCs/>
                <w:color w:val="000000" w:themeColor="text1"/>
                <w:szCs w:val="20"/>
                <w:lang w:val="en-AU"/>
              </w:rPr>
              <w:t>4.4, 7.8</w:t>
            </w:r>
          </w:p>
        </w:tc>
        <w:tc>
          <w:tcPr>
            <w:tcW w:w="2230" w:type="dxa"/>
            <w:vAlign w:val="center"/>
          </w:tcPr>
          <w:p w14:paraId="58FFD2E3" w14:textId="77777777" w:rsidR="00F508C6" w:rsidRPr="009E4EB8" w:rsidRDefault="00F508C6" w:rsidP="000E0CA7">
            <w:pPr>
              <w:pStyle w:val="In-tableHeading"/>
              <w:jc w:val="center"/>
              <w:rPr>
                <w:lang w:val="en-AU"/>
              </w:rPr>
            </w:pPr>
            <w:r w:rsidRPr="009E4EB8">
              <w:rPr>
                <w:rFonts w:cstheme="minorHAnsi"/>
                <w:b w:val="0"/>
                <w:bCs/>
                <w:color w:val="000000" w:themeColor="text1"/>
                <w:szCs w:val="20"/>
                <w:lang w:val="en-AU"/>
              </w:rPr>
              <w:t>3.5, 7.8</w:t>
            </w:r>
          </w:p>
        </w:tc>
      </w:tr>
      <w:tr w:rsidR="00F508C6" w:rsidRPr="009E4EB8" w14:paraId="3396B959" w14:textId="77777777" w:rsidTr="00D041EE">
        <w:tc>
          <w:tcPr>
            <w:tcW w:w="9017" w:type="dxa"/>
            <w:gridSpan w:val="4"/>
            <w:shd w:val="clear" w:color="auto" w:fill="auto"/>
            <w:vAlign w:val="center"/>
          </w:tcPr>
          <w:p w14:paraId="5CF4BA2A" w14:textId="77777777" w:rsidR="00F508C6" w:rsidRPr="009E4EB8" w:rsidRDefault="00F508C6" w:rsidP="000E0CA7">
            <w:pPr>
              <w:pStyle w:val="In-tableHeading"/>
              <w:rPr>
                <w:color w:val="000000" w:themeColor="text1"/>
                <w:lang w:val="en-AU"/>
              </w:rPr>
            </w:pPr>
            <w:r w:rsidRPr="009E4EB8">
              <w:rPr>
                <w:color w:val="000000" w:themeColor="text1"/>
                <w:lang w:val="en-AU"/>
              </w:rPr>
              <w:t>PFS</w:t>
            </w:r>
          </w:p>
        </w:tc>
      </w:tr>
      <w:tr w:rsidR="00F508C6" w:rsidRPr="009E4EB8" w14:paraId="1653AA58" w14:textId="77777777" w:rsidTr="00D041EE">
        <w:tc>
          <w:tcPr>
            <w:tcW w:w="2383" w:type="dxa"/>
            <w:vAlign w:val="center"/>
          </w:tcPr>
          <w:p w14:paraId="385147E0" w14:textId="77777777" w:rsidR="00F508C6" w:rsidRPr="009E4EB8" w:rsidRDefault="00F508C6" w:rsidP="000E0CA7">
            <w:pPr>
              <w:pStyle w:val="In-tableHeading"/>
              <w:rPr>
                <w:b w:val="0"/>
                <w:bCs/>
                <w:szCs w:val="20"/>
                <w:lang w:val="en-AU"/>
              </w:rPr>
            </w:pPr>
            <w:r w:rsidRPr="009E4EB8">
              <w:rPr>
                <w:rFonts w:cstheme="minorHAnsi"/>
                <w:b w:val="0"/>
                <w:bCs/>
                <w:color w:val="000000" w:themeColor="text1"/>
                <w:szCs w:val="20"/>
                <w:lang w:val="en-AU"/>
              </w:rPr>
              <w:t>Median PFS (months)</w:t>
            </w:r>
          </w:p>
        </w:tc>
        <w:tc>
          <w:tcPr>
            <w:tcW w:w="2126" w:type="dxa"/>
            <w:shd w:val="clear" w:color="auto" w:fill="C6D9F1" w:themeFill="text2" w:themeFillTint="33"/>
            <w:vAlign w:val="center"/>
          </w:tcPr>
          <w:p w14:paraId="213F2D3A" w14:textId="77777777" w:rsidR="00F508C6" w:rsidRPr="009E4EB8" w:rsidRDefault="00F508C6" w:rsidP="000E0CA7">
            <w:pPr>
              <w:pStyle w:val="In-tableHeading"/>
              <w:jc w:val="center"/>
              <w:rPr>
                <w:b w:val="0"/>
                <w:bCs/>
                <w:color w:val="000000" w:themeColor="text1"/>
                <w:szCs w:val="20"/>
                <w:lang w:val="en-AU"/>
              </w:rPr>
            </w:pPr>
            <w:r w:rsidRPr="009E4EB8">
              <w:rPr>
                <w:rFonts w:cstheme="minorHAnsi"/>
                <w:b w:val="0"/>
                <w:bCs/>
                <w:color w:val="000000" w:themeColor="text1"/>
                <w:szCs w:val="20"/>
                <w:lang w:val="en-AU"/>
              </w:rPr>
              <w:t>2.8</w:t>
            </w:r>
          </w:p>
        </w:tc>
        <w:tc>
          <w:tcPr>
            <w:tcW w:w="2278" w:type="dxa"/>
            <w:vAlign w:val="center"/>
          </w:tcPr>
          <w:p w14:paraId="0FB6BD2D" w14:textId="77777777" w:rsidR="00F508C6" w:rsidRPr="009E4EB8" w:rsidRDefault="00F508C6" w:rsidP="000E0CA7">
            <w:pPr>
              <w:pStyle w:val="In-tableHeading"/>
              <w:jc w:val="center"/>
              <w:rPr>
                <w:b w:val="0"/>
                <w:bCs/>
                <w:lang w:val="en-AU"/>
              </w:rPr>
            </w:pPr>
            <w:r w:rsidRPr="009E4EB8">
              <w:rPr>
                <w:rFonts w:cstheme="minorHAnsi"/>
                <w:b w:val="0"/>
                <w:bCs/>
                <w:color w:val="000000" w:themeColor="text1"/>
                <w:szCs w:val="20"/>
                <w:lang w:val="en-AU"/>
              </w:rPr>
              <w:t>2.7</w:t>
            </w:r>
          </w:p>
        </w:tc>
        <w:tc>
          <w:tcPr>
            <w:tcW w:w="2230" w:type="dxa"/>
            <w:vAlign w:val="center"/>
          </w:tcPr>
          <w:p w14:paraId="7084162D" w14:textId="77777777" w:rsidR="00F508C6" w:rsidRPr="009E4EB8" w:rsidRDefault="00F508C6" w:rsidP="000E0CA7">
            <w:pPr>
              <w:pStyle w:val="In-tableHeading"/>
              <w:jc w:val="center"/>
              <w:rPr>
                <w:b w:val="0"/>
                <w:bCs/>
                <w:lang w:val="en-AU"/>
              </w:rPr>
            </w:pPr>
            <w:r w:rsidRPr="009E4EB8">
              <w:rPr>
                <w:rFonts w:cstheme="minorHAnsi"/>
                <w:b w:val="0"/>
                <w:bCs/>
                <w:color w:val="000000" w:themeColor="text1"/>
                <w:szCs w:val="20"/>
                <w:lang w:val="en-AU"/>
              </w:rPr>
              <w:t>NR</w:t>
            </w:r>
          </w:p>
        </w:tc>
      </w:tr>
      <w:tr w:rsidR="00F508C6" w:rsidRPr="009E4EB8" w14:paraId="43206D25" w14:textId="77777777" w:rsidTr="00D041EE">
        <w:tc>
          <w:tcPr>
            <w:tcW w:w="2383" w:type="dxa"/>
            <w:vAlign w:val="center"/>
          </w:tcPr>
          <w:p w14:paraId="22BABE53" w14:textId="77777777" w:rsidR="00F508C6" w:rsidRPr="009E4EB8" w:rsidRDefault="00F508C6" w:rsidP="000E0CA7">
            <w:pPr>
              <w:pStyle w:val="In-tableHeading"/>
              <w:rPr>
                <w:b w:val="0"/>
                <w:bCs/>
                <w:szCs w:val="20"/>
                <w:lang w:val="en-AU"/>
              </w:rPr>
            </w:pPr>
            <w:r w:rsidRPr="009E4EB8">
              <w:rPr>
                <w:rFonts w:cstheme="minorHAnsi"/>
                <w:b w:val="0"/>
                <w:bCs/>
                <w:color w:val="000000" w:themeColor="text1"/>
                <w:szCs w:val="20"/>
                <w:lang w:val="en-AU"/>
              </w:rPr>
              <w:t>95% CI</w:t>
            </w:r>
          </w:p>
        </w:tc>
        <w:tc>
          <w:tcPr>
            <w:tcW w:w="2126" w:type="dxa"/>
            <w:shd w:val="clear" w:color="auto" w:fill="C6D9F1" w:themeFill="text2" w:themeFillTint="33"/>
            <w:vAlign w:val="center"/>
          </w:tcPr>
          <w:p w14:paraId="71242D26" w14:textId="77777777" w:rsidR="00F508C6" w:rsidRPr="009E4EB8" w:rsidRDefault="00F508C6" w:rsidP="000E0CA7">
            <w:pPr>
              <w:pStyle w:val="In-tableHeading"/>
              <w:jc w:val="center"/>
              <w:rPr>
                <w:b w:val="0"/>
                <w:bCs/>
                <w:color w:val="000000" w:themeColor="text1"/>
                <w:szCs w:val="20"/>
                <w:lang w:val="en-AU"/>
              </w:rPr>
            </w:pPr>
            <w:r w:rsidRPr="009E4EB8">
              <w:rPr>
                <w:rFonts w:cstheme="minorHAnsi"/>
                <w:b w:val="0"/>
                <w:bCs/>
                <w:color w:val="000000" w:themeColor="text1"/>
                <w:szCs w:val="20"/>
                <w:lang w:val="en-AU"/>
              </w:rPr>
              <w:t>1.9, 4.3</w:t>
            </w:r>
          </w:p>
        </w:tc>
        <w:tc>
          <w:tcPr>
            <w:tcW w:w="2278" w:type="dxa"/>
            <w:vAlign w:val="center"/>
          </w:tcPr>
          <w:p w14:paraId="13E4F116" w14:textId="77777777" w:rsidR="00F508C6" w:rsidRPr="009E4EB8" w:rsidRDefault="00F508C6" w:rsidP="000E0CA7">
            <w:pPr>
              <w:pStyle w:val="In-tableHeading"/>
              <w:jc w:val="center"/>
              <w:rPr>
                <w:b w:val="0"/>
                <w:bCs/>
                <w:lang w:val="en-AU"/>
              </w:rPr>
            </w:pPr>
            <w:r w:rsidRPr="009E4EB8">
              <w:rPr>
                <w:rFonts w:cstheme="minorHAnsi"/>
                <w:b w:val="0"/>
                <w:bCs/>
                <w:color w:val="000000" w:themeColor="text1"/>
                <w:szCs w:val="20"/>
                <w:lang w:val="en-AU"/>
              </w:rPr>
              <w:t>1.5, 3.8</w:t>
            </w:r>
          </w:p>
        </w:tc>
        <w:tc>
          <w:tcPr>
            <w:tcW w:w="2230" w:type="dxa"/>
            <w:vAlign w:val="center"/>
          </w:tcPr>
          <w:p w14:paraId="51018A38" w14:textId="77777777" w:rsidR="00F508C6" w:rsidRPr="009E4EB8" w:rsidRDefault="00F508C6" w:rsidP="000E0CA7">
            <w:pPr>
              <w:pStyle w:val="In-tableHeading"/>
              <w:jc w:val="center"/>
              <w:rPr>
                <w:b w:val="0"/>
                <w:bCs/>
                <w:lang w:val="en-AU"/>
              </w:rPr>
            </w:pPr>
            <w:r w:rsidRPr="009E4EB8">
              <w:rPr>
                <w:rFonts w:cstheme="minorHAnsi"/>
                <w:b w:val="0"/>
                <w:bCs/>
                <w:color w:val="000000" w:themeColor="text1"/>
                <w:szCs w:val="20"/>
                <w:lang w:val="en-AU"/>
              </w:rPr>
              <w:t>NR</w:t>
            </w:r>
          </w:p>
        </w:tc>
      </w:tr>
      <w:tr w:rsidR="00F508C6" w:rsidRPr="009E4EB8" w14:paraId="24E953DD" w14:textId="77777777" w:rsidTr="00D041EE">
        <w:tc>
          <w:tcPr>
            <w:tcW w:w="9017" w:type="dxa"/>
            <w:gridSpan w:val="4"/>
            <w:shd w:val="clear" w:color="auto" w:fill="auto"/>
            <w:vAlign w:val="center"/>
          </w:tcPr>
          <w:p w14:paraId="4E08065F" w14:textId="77777777" w:rsidR="00F508C6" w:rsidRPr="009E4EB8" w:rsidRDefault="00F508C6" w:rsidP="000E0CA7">
            <w:pPr>
              <w:pStyle w:val="In-tableHeading"/>
              <w:rPr>
                <w:color w:val="000000" w:themeColor="text1"/>
                <w:lang w:val="en-AU"/>
              </w:rPr>
            </w:pPr>
            <w:r w:rsidRPr="009E4EB8">
              <w:rPr>
                <w:color w:val="000000" w:themeColor="text1"/>
                <w:szCs w:val="20"/>
                <w:lang w:val="en-AU"/>
              </w:rPr>
              <w:t xml:space="preserve">ORR </w:t>
            </w:r>
          </w:p>
        </w:tc>
      </w:tr>
      <w:tr w:rsidR="00F508C6" w:rsidRPr="009E4EB8" w14:paraId="31614DD4" w14:textId="77777777" w:rsidTr="00D041EE">
        <w:tc>
          <w:tcPr>
            <w:tcW w:w="2383" w:type="dxa"/>
            <w:vAlign w:val="center"/>
          </w:tcPr>
          <w:p w14:paraId="26430799" w14:textId="77777777" w:rsidR="00F508C6" w:rsidRPr="009E4EB8" w:rsidRDefault="00F508C6" w:rsidP="000E0CA7">
            <w:pPr>
              <w:pStyle w:val="In-tableHeading"/>
              <w:rPr>
                <w:b w:val="0"/>
                <w:bCs/>
                <w:color w:val="000000" w:themeColor="text1"/>
                <w:szCs w:val="20"/>
                <w:lang w:val="en-AU"/>
              </w:rPr>
            </w:pPr>
            <w:r w:rsidRPr="009E4EB8">
              <w:rPr>
                <w:rFonts w:cstheme="minorHAnsi"/>
                <w:b w:val="0"/>
                <w:bCs/>
                <w:color w:val="000000" w:themeColor="text1"/>
                <w:szCs w:val="20"/>
                <w:lang w:val="en-AU"/>
              </w:rPr>
              <w:t>ORR</w:t>
            </w:r>
          </w:p>
        </w:tc>
        <w:tc>
          <w:tcPr>
            <w:tcW w:w="2126" w:type="dxa"/>
            <w:shd w:val="clear" w:color="auto" w:fill="C6D9F1" w:themeFill="text2" w:themeFillTint="33"/>
            <w:vAlign w:val="center"/>
          </w:tcPr>
          <w:p w14:paraId="748748E7" w14:textId="77777777" w:rsidR="00F508C6" w:rsidRPr="009E4EB8" w:rsidRDefault="00F508C6" w:rsidP="000E0CA7">
            <w:pPr>
              <w:pStyle w:val="In-tableHeading"/>
              <w:jc w:val="center"/>
              <w:rPr>
                <w:b w:val="0"/>
                <w:bCs/>
                <w:color w:val="000000" w:themeColor="text1"/>
                <w:szCs w:val="20"/>
                <w:lang w:val="en-AU"/>
              </w:rPr>
            </w:pPr>
            <w:r w:rsidRPr="009E4EB8">
              <w:rPr>
                <w:rFonts w:cstheme="minorHAnsi"/>
                <w:b w:val="0"/>
                <w:bCs/>
                <w:color w:val="000000" w:themeColor="text1"/>
                <w:szCs w:val="20"/>
                <w:lang w:val="en-AU"/>
              </w:rPr>
              <w:t>25.3%</w:t>
            </w:r>
          </w:p>
        </w:tc>
        <w:tc>
          <w:tcPr>
            <w:tcW w:w="2278" w:type="dxa"/>
            <w:vAlign w:val="center"/>
          </w:tcPr>
          <w:p w14:paraId="0504BB56" w14:textId="77777777" w:rsidR="00F508C6" w:rsidRPr="009E4EB8" w:rsidRDefault="00F508C6" w:rsidP="000E0CA7">
            <w:pPr>
              <w:pStyle w:val="In-tableHeading"/>
              <w:jc w:val="center"/>
              <w:rPr>
                <w:lang w:val="en-AU"/>
              </w:rPr>
            </w:pPr>
            <w:r w:rsidRPr="009E4EB8">
              <w:rPr>
                <w:rFonts w:cstheme="minorHAnsi"/>
                <w:b w:val="0"/>
                <w:bCs/>
                <w:color w:val="000000" w:themeColor="text1"/>
                <w:szCs w:val="20"/>
                <w:lang w:val="en-AU"/>
              </w:rPr>
              <w:t>35%</w:t>
            </w:r>
          </w:p>
        </w:tc>
        <w:tc>
          <w:tcPr>
            <w:tcW w:w="2230" w:type="dxa"/>
            <w:vAlign w:val="center"/>
          </w:tcPr>
          <w:p w14:paraId="219377A2" w14:textId="77777777" w:rsidR="00F508C6" w:rsidRPr="009E4EB8" w:rsidRDefault="00F508C6" w:rsidP="000E0CA7">
            <w:pPr>
              <w:pStyle w:val="In-tableHeading"/>
              <w:jc w:val="center"/>
              <w:rPr>
                <w:b w:val="0"/>
                <w:bCs/>
                <w:lang w:val="en-AU"/>
              </w:rPr>
            </w:pPr>
            <w:r w:rsidRPr="009E4EB8">
              <w:rPr>
                <w:rFonts w:cstheme="minorHAnsi"/>
                <w:b w:val="0"/>
                <w:bCs/>
                <w:color w:val="000000" w:themeColor="text1"/>
                <w:szCs w:val="20"/>
                <w:lang w:val="en-AU"/>
              </w:rPr>
              <w:t>30%</w:t>
            </w:r>
          </w:p>
        </w:tc>
      </w:tr>
    </w:tbl>
    <w:p w14:paraId="7CF39EE5" w14:textId="77777777" w:rsidR="00F508C6" w:rsidRPr="009E4EB8" w:rsidRDefault="00F508C6" w:rsidP="000E0CA7">
      <w:pPr>
        <w:pStyle w:val="CaptionFootnote"/>
        <w:keepNext/>
        <w:rPr>
          <w:rFonts w:ascii="Arial Narrow" w:hAnsi="Arial Narrow"/>
          <w:sz w:val="18"/>
          <w:szCs w:val="18"/>
        </w:rPr>
      </w:pPr>
      <w:r w:rsidRPr="009E4EB8">
        <w:rPr>
          <w:rFonts w:ascii="Arial Narrow" w:hAnsi="Arial Narrow"/>
          <w:sz w:val="18"/>
          <w:szCs w:val="18"/>
        </w:rPr>
        <w:t>Source: Table 2-39,2-40,2-41 p98-100 of the resubmission</w:t>
      </w:r>
    </w:p>
    <w:p w14:paraId="2923B213" w14:textId="074036BF" w:rsidR="00F508C6" w:rsidRPr="009E4EB8" w:rsidRDefault="00F508C6" w:rsidP="000E0CA7">
      <w:pPr>
        <w:keepNext/>
        <w:rPr>
          <w:rFonts w:ascii="Arial Narrow" w:hAnsi="Arial Narrow"/>
          <w:sz w:val="18"/>
          <w:szCs w:val="18"/>
        </w:rPr>
      </w:pPr>
      <w:r w:rsidRPr="009E4EB8">
        <w:rPr>
          <w:rFonts w:ascii="Arial Narrow" w:hAnsi="Arial Narrow"/>
          <w:sz w:val="18"/>
          <w:szCs w:val="18"/>
        </w:rPr>
        <w:t>Abbreviations: CI = confidence interval; HR = hazard ratio; DCEP = dexamethasone + cyclophosphamide + etoposide + cisplatin; NR = not reported; ORR = overall response rate; OS = overall survival; PFS = progression free survival; Sd = selinexor + dexamethasone;</w:t>
      </w:r>
      <w:r w:rsidRPr="009E4EB8">
        <w:rPr>
          <w:rFonts w:ascii="Arial Narrow" w:hAnsi="Arial Narrow"/>
          <w:sz w:val="18"/>
          <w:szCs w:val="28"/>
        </w:rPr>
        <w:t xml:space="preserve"> TCR/PR = triple class refractory and penta-refractory </w:t>
      </w:r>
    </w:p>
    <w:p w14:paraId="5973588B" w14:textId="77777777" w:rsidR="00F508C6" w:rsidRPr="009E4EB8" w:rsidRDefault="00F508C6" w:rsidP="000E0CA7">
      <w:pPr>
        <w:keepNext/>
        <w:rPr>
          <w:rFonts w:ascii="Arial Narrow" w:hAnsi="Arial Narrow"/>
          <w:sz w:val="18"/>
          <w:szCs w:val="18"/>
        </w:rPr>
      </w:pPr>
      <w:r w:rsidRPr="009E4EB8">
        <w:rPr>
          <w:rFonts w:ascii="Arial Narrow" w:hAnsi="Arial Narrow"/>
          <w:sz w:val="18"/>
          <w:szCs w:val="18"/>
        </w:rPr>
        <w:t xml:space="preserve">Note: </w:t>
      </w:r>
      <w:r w:rsidRPr="009E4EB8">
        <w:rPr>
          <w:rFonts w:ascii="Arial Narrow" w:hAnsi="Arial Narrow"/>
          <w:sz w:val="18"/>
          <w:szCs w:val="18"/>
          <w:vertAlign w:val="superscript"/>
        </w:rPr>
        <w:t xml:space="preserve">a </w:t>
      </w:r>
      <w:r w:rsidRPr="009E4EB8">
        <w:rPr>
          <w:rFonts w:ascii="Arial Narrow" w:hAnsi="Arial Narrow"/>
          <w:sz w:val="18"/>
          <w:szCs w:val="18"/>
        </w:rPr>
        <w:t>23/31 (74%) of patients receiving DCEP were penta-refractory</w:t>
      </w:r>
    </w:p>
    <w:p w14:paraId="5F4DD6AD" w14:textId="3394A5BA" w:rsidR="00F508C6" w:rsidRPr="009E4EB8" w:rsidRDefault="00F508C6" w:rsidP="000E0CA7">
      <w:pPr>
        <w:pStyle w:val="TableFigureFooter"/>
        <w:keepNext/>
      </w:pPr>
      <w:r w:rsidRPr="009E4EB8">
        <w:t>Blue shading denotes text remains unchanged from the July 2021 submission.</w:t>
      </w:r>
    </w:p>
    <w:p w14:paraId="68A6ACA8" w14:textId="01A8DCDC" w:rsidR="00F90B0D" w:rsidRPr="009E4EB8" w:rsidRDefault="00F90B0D" w:rsidP="00F90B0D"/>
    <w:p w14:paraId="4CAF3EDD" w14:textId="674F69E0" w:rsidR="006615BD" w:rsidRPr="009E4EB8" w:rsidRDefault="006615BD" w:rsidP="006615BD">
      <w:pPr>
        <w:pStyle w:val="3-BodyText"/>
        <w:rPr>
          <w:color w:val="0066FF"/>
        </w:rPr>
      </w:pPr>
      <w:r w:rsidRPr="009E4EB8">
        <w:t xml:space="preserve">The Kaplan-Meier (KM) plot for OS for Sd by level of response and PFS for the TCR/PR population in STORM is shown in </w:t>
      </w:r>
      <w:r w:rsidRPr="009E4EB8">
        <w:rPr>
          <w:rFonts w:cstheme="minorHAnsi"/>
        </w:rPr>
        <w:t>Figure 2.</w:t>
      </w:r>
    </w:p>
    <w:tbl>
      <w:tblPr>
        <w:tblStyle w:val="TableGrid"/>
        <w:tblW w:w="5000" w:type="pct"/>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6615BD" w:rsidRPr="009E4EB8" w14:paraId="26D29936" w14:textId="77777777" w:rsidTr="006615BD">
        <w:tc>
          <w:tcPr>
            <w:tcW w:w="10635" w:type="dxa"/>
            <w:shd w:val="clear" w:color="auto" w:fill="auto"/>
          </w:tcPr>
          <w:p w14:paraId="7F4FE336" w14:textId="70415E8E" w:rsidR="006615BD" w:rsidRPr="009E4EB8" w:rsidRDefault="006615BD" w:rsidP="006615BD">
            <w:pPr>
              <w:pStyle w:val="Caption"/>
              <w:keepNext/>
              <w:spacing w:after="0"/>
              <w:rPr>
                <w:rStyle w:val="CommentReference"/>
                <w:b/>
                <w:color w:val="auto"/>
                <w:szCs w:val="20"/>
              </w:rPr>
            </w:pPr>
            <w:r w:rsidRPr="009E4EB8">
              <w:rPr>
                <w:rFonts w:ascii="Arial Narrow" w:hAnsi="Arial Narrow"/>
                <w:bCs w:val="0"/>
                <w:color w:val="auto"/>
                <w:sz w:val="20"/>
                <w:szCs w:val="20"/>
              </w:rPr>
              <w:lastRenderedPageBreak/>
              <w:t xml:space="preserve">Figure </w:t>
            </w:r>
            <w:r w:rsidRPr="009E4EB8">
              <w:rPr>
                <w:rFonts w:ascii="Arial Narrow" w:hAnsi="Arial Narrow"/>
                <w:bCs w:val="0"/>
                <w:color w:val="auto"/>
                <w:sz w:val="20"/>
                <w:szCs w:val="20"/>
              </w:rPr>
              <w:fldChar w:fldCharType="begin"/>
            </w:r>
            <w:r w:rsidRPr="009E4EB8">
              <w:rPr>
                <w:rFonts w:ascii="Arial Narrow" w:hAnsi="Arial Narrow"/>
                <w:bCs w:val="0"/>
                <w:color w:val="auto"/>
                <w:sz w:val="20"/>
                <w:szCs w:val="20"/>
              </w:rPr>
              <w:instrText xml:space="preserve"> SEQ Figure \* ARABIC </w:instrText>
            </w:r>
            <w:r w:rsidRPr="009E4EB8">
              <w:rPr>
                <w:rFonts w:ascii="Arial Narrow" w:hAnsi="Arial Narrow"/>
                <w:bCs w:val="0"/>
                <w:color w:val="auto"/>
                <w:sz w:val="20"/>
                <w:szCs w:val="20"/>
              </w:rPr>
              <w:fldChar w:fldCharType="separate"/>
            </w:r>
            <w:r w:rsidR="00964E38">
              <w:rPr>
                <w:rFonts w:ascii="Arial Narrow" w:hAnsi="Arial Narrow"/>
                <w:bCs w:val="0"/>
                <w:noProof/>
                <w:color w:val="auto"/>
                <w:sz w:val="20"/>
                <w:szCs w:val="20"/>
              </w:rPr>
              <w:t>2</w:t>
            </w:r>
            <w:r w:rsidRPr="009E4EB8">
              <w:rPr>
                <w:rFonts w:ascii="Arial Narrow" w:hAnsi="Arial Narrow"/>
                <w:bCs w:val="0"/>
                <w:color w:val="auto"/>
                <w:sz w:val="20"/>
                <w:szCs w:val="20"/>
              </w:rPr>
              <w:fldChar w:fldCharType="end"/>
            </w:r>
            <w:r w:rsidRPr="009E4EB8">
              <w:rPr>
                <w:rFonts w:ascii="Arial Narrow" w:hAnsi="Arial Narrow"/>
                <w:bCs w:val="0"/>
                <w:color w:val="auto"/>
                <w:sz w:val="20"/>
                <w:szCs w:val="20"/>
              </w:rPr>
              <w:t xml:space="preserve">: </w:t>
            </w:r>
            <w:r w:rsidRPr="009E4EB8">
              <w:rPr>
                <w:rStyle w:val="CommentReference"/>
                <w:b/>
                <w:color w:val="auto"/>
                <w:szCs w:val="20"/>
              </w:rPr>
              <w:t xml:space="preserve">KM estimates of OS by response (A) and PFS (B) of the TCR/PR population in STORM </w:t>
            </w:r>
          </w:p>
          <w:p w14:paraId="7A0B83F7" w14:textId="1FE5FADA" w:rsidR="006615BD" w:rsidRPr="009E4EB8" w:rsidRDefault="006615BD" w:rsidP="006615BD">
            <w:pPr>
              <w:pStyle w:val="Caption"/>
              <w:keepNext/>
              <w:spacing w:after="0"/>
              <w:rPr>
                <w:rFonts w:ascii="Arial Narrow" w:hAnsi="Arial Narrow"/>
                <w:snapToGrid w:val="0"/>
                <w:color w:val="auto"/>
                <w:sz w:val="20"/>
                <w:szCs w:val="20"/>
              </w:rPr>
            </w:pPr>
            <w:r w:rsidRPr="009E4EB8">
              <w:rPr>
                <w:rStyle w:val="CommentReference"/>
                <w:b/>
                <w:color w:val="auto"/>
                <w:szCs w:val="20"/>
              </w:rPr>
              <w:t xml:space="preserve">(A) </w:t>
            </w:r>
            <w:r w:rsidRPr="009E4EB8">
              <w:rPr>
                <w:rFonts w:ascii="Arial Narrow" w:hAnsi="Arial Narrow"/>
                <w:snapToGrid w:val="0"/>
                <w:color w:val="auto"/>
                <w:sz w:val="20"/>
                <w:szCs w:val="20"/>
              </w:rPr>
              <w:t>OS by response</w:t>
            </w:r>
          </w:p>
        </w:tc>
      </w:tr>
      <w:tr w:rsidR="006615BD" w:rsidRPr="009E4EB8" w14:paraId="2890220B" w14:textId="77777777" w:rsidTr="006615BD">
        <w:tc>
          <w:tcPr>
            <w:tcW w:w="10635" w:type="dxa"/>
            <w:shd w:val="clear" w:color="auto" w:fill="auto"/>
          </w:tcPr>
          <w:p w14:paraId="784C7778" w14:textId="214D783E" w:rsidR="006615BD" w:rsidRPr="009E4EB8" w:rsidRDefault="006615BD" w:rsidP="00D87FCE">
            <w:pPr>
              <w:pStyle w:val="Caption"/>
              <w:keepNext/>
              <w:spacing w:after="0"/>
              <w:ind w:left="182"/>
              <w:jc w:val="center"/>
              <w:rPr>
                <w:rFonts w:ascii="Arial Narrow" w:hAnsi="Arial Narrow"/>
                <w:snapToGrid w:val="0"/>
                <w:color w:val="auto"/>
                <w:sz w:val="20"/>
                <w:szCs w:val="20"/>
              </w:rPr>
            </w:pPr>
            <w:r w:rsidRPr="009E4EB8">
              <w:rPr>
                <w:noProof/>
              </w:rPr>
              <w:drawing>
                <wp:inline distT="0" distB="0" distL="0" distR="0" wp14:anchorId="340A94F4" wp14:editId="6B02BEE7">
                  <wp:extent cx="4586400" cy="2757600"/>
                  <wp:effectExtent l="0" t="0" r="5080" b="5080"/>
                  <wp:docPr id="253" name="Picture 253" descr="Figure 2: KM estimates of OS by response (A) and PFS (B) of the TCR/PR population in STORM &#10;(A) OS by respon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3" descr="Figure 2: KM estimates of OS by response (A) and PFS (B) of the TCR/PR population in STORM &#10;(A) OS by response&#10;"/>
                          <pic:cNvPicPr/>
                        </pic:nvPicPr>
                        <pic:blipFill rotWithShape="1">
                          <a:blip r:embed="rId9"/>
                          <a:srcRect b="8726"/>
                          <a:stretch/>
                        </pic:blipFill>
                        <pic:spPr bwMode="auto">
                          <a:xfrm>
                            <a:off x="0" y="0"/>
                            <a:ext cx="4586400" cy="2757600"/>
                          </a:xfrm>
                          <a:prstGeom prst="rect">
                            <a:avLst/>
                          </a:prstGeom>
                          <a:ln>
                            <a:noFill/>
                          </a:ln>
                          <a:extLst>
                            <a:ext uri="{53640926-AAD7-44D8-BBD7-CCE9431645EC}">
                              <a14:shadowObscured xmlns:a14="http://schemas.microsoft.com/office/drawing/2010/main"/>
                            </a:ext>
                          </a:extLst>
                        </pic:spPr>
                      </pic:pic>
                    </a:graphicData>
                  </a:graphic>
                </wp:inline>
              </w:drawing>
            </w:r>
          </w:p>
        </w:tc>
      </w:tr>
      <w:tr w:rsidR="006615BD" w:rsidRPr="009E4EB8" w14:paraId="338D5B13" w14:textId="77777777" w:rsidTr="006615BD">
        <w:tc>
          <w:tcPr>
            <w:tcW w:w="10635" w:type="dxa"/>
            <w:shd w:val="clear" w:color="auto" w:fill="auto"/>
          </w:tcPr>
          <w:p w14:paraId="3C76C5C1" w14:textId="768D2BC8" w:rsidR="006615BD" w:rsidRPr="009E4EB8" w:rsidRDefault="006615BD" w:rsidP="006615BD">
            <w:pPr>
              <w:pStyle w:val="Caption"/>
              <w:keepNext/>
              <w:spacing w:after="0"/>
              <w:rPr>
                <w:rFonts w:ascii="Arial Narrow" w:hAnsi="Arial Narrow"/>
                <w:snapToGrid w:val="0"/>
                <w:color w:val="auto"/>
                <w:sz w:val="20"/>
                <w:szCs w:val="20"/>
              </w:rPr>
            </w:pPr>
            <w:r w:rsidRPr="009E4EB8">
              <w:rPr>
                <w:rFonts w:ascii="Arial Narrow" w:hAnsi="Arial Narrow"/>
                <w:snapToGrid w:val="0"/>
                <w:color w:val="auto"/>
                <w:sz w:val="20"/>
                <w:szCs w:val="20"/>
              </w:rPr>
              <w:t>(B) PFS</w:t>
            </w:r>
          </w:p>
        </w:tc>
      </w:tr>
      <w:tr w:rsidR="006615BD" w:rsidRPr="009E4EB8" w14:paraId="145FC985" w14:textId="77777777" w:rsidTr="006615BD">
        <w:tc>
          <w:tcPr>
            <w:tcW w:w="10635" w:type="dxa"/>
            <w:shd w:val="clear" w:color="auto" w:fill="auto"/>
          </w:tcPr>
          <w:p w14:paraId="7E2CB66F" w14:textId="36402CB5" w:rsidR="006615BD" w:rsidRPr="009E4EB8" w:rsidRDefault="006615BD" w:rsidP="00587FEC">
            <w:pPr>
              <w:pStyle w:val="Caption"/>
              <w:keepNext/>
              <w:spacing w:after="0"/>
              <w:jc w:val="center"/>
              <w:rPr>
                <w:snapToGrid w:val="0"/>
                <w:color w:val="0066FF"/>
              </w:rPr>
            </w:pPr>
            <w:r w:rsidRPr="009E4EB8">
              <w:rPr>
                <w:noProof/>
              </w:rPr>
              <w:drawing>
                <wp:inline distT="0" distB="0" distL="0" distR="0" wp14:anchorId="56FFE0FD" wp14:editId="6239D6BB">
                  <wp:extent cx="4887799" cy="3057099"/>
                  <wp:effectExtent l="0" t="0" r="8255" b="0"/>
                  <wp:docPr id="249" name="Picture 249" descr="Figure 2: KM estimates of OS by response (A) and PFS (B) of the TCR/PR population in STORM &#10;(A) OS by respon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Figure 2: KM estimates of OS by response (A) and PFS (B) of the TCR/PR population in STORM &#10;(A) OS by respons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4167" cy="3086100"/>
                          </a:xfrm>
                          <a:prstGeom prst="rect">
                            <a:avLst/>
                          </a:prstGeom>
                          <a:noFill/>
                        </pic:spPr>
                      </pic:pic>
                    </a:graphicData>
                  </a:graphic>
                </wp:inline>
              </w:drawing>
            </w:r>
          </w:p>
        </w:tc>
      </w:tr>
    </w:tbl>
    <w:p w14:paraId="08D42F8E" w14:textId="77777777" w:rsidR="006615BD" w:rsidRPr="009E4EB8" w:rsidRDefault="006615BD" w:rsidP="006615BD">
      <w:pPr>
        <w:pStyle w:val="TableFigureFooter"/>
        <w:keepNext/>
      </w:pPr>
      <w:r w:rsidRPr="009E4EB8">
        <w:t>Source: Figure 2-10, p71 of the resubmission; Figure 2-8. p69 of the resubmission.</w:t>
      </w:r>
    </w:p>
    <w:p w14:paraId="016CFAD3" w14:textId="049C87E0" w:rsidR="00F90B0D" w:rsidRPr="009E4EB8" w:rsidRDefault="006615BD" w:rsidP="00587FEC">
      <w:pPr>
        <w:pStyle w:val="TableFigureFooter"/>
        <w:keepNext/>
      </w:pPr>
      <w:r w:rsidRPr="009E4EB8">
        <w:t>Abbreviations: BCLPD refractory = TCR/PR refractory; MR = minimal response; NE = not estimable/evaluable; OS = overall survival; PD = progressive disease; PFS = progression free survival; PR = partial response; SD = stable disease.; TCR/PR = triple class refractory and penta-refractory.</w:t>
      </w:r>
    </w:p>
    <w:p w14:paraId="7BE170DF" w14:textId="77777777" w:rsidR="00F90B0D" w:rsidRPr="009E4EB8" w:rsidRDefault="00F90B0D" w:rsidP="00F90B0D"/>
    <w:p w14:paraId="238338D4" w14:textId="553C5F19" w:rsidR="007954E8" w:rsidRPr="009E4EB8" w:rsidRDefault="00CC7048" w:rsidP="009557F4">
      <w:pPr>
        <w:pStyle w:val="3-BodyText"/>
        <w:rPr>
          <w:color w:val="0066FF"/>
        </w:rPr>
      </w:pPr>
      <w:r w:rsidRPr="009E4EB8">
        <w:rPr>
          <w:color w:val="000000" w:themeColor="text1"/>
        </w:rPr>
        <w:t xml:space="preserve">The median OS for TCR/PR patients treated with Sd from STORM was 8.4 months (95% CI: 5.9, 11.2) compared to 6.2 months (95% CI: 4.4, 7.8) for patients treated with DCEP (Goldsmith 2020) and 5.6 months (95% CI: 3.5, 7.8) for conventional care (MAMMOTH). </w:t>
      </w:r>
      <w:r w:rsidRPr="009E4EB8">
        <w:rPr>
          <w:iCs/>
          <w:color w:val="000000" w:themeColor="text1"/>
        </w:rPr>
        <w:t xml:space="preserve">The confidence interval was broader in STORM compared to Goldsmith </w:t>
      </w:r>
      <w:r w:rsidRPr="009E4EB8">
        <w:rPr>
          <w:iCs/>
          <w:color w:val="000000" w:themeColor="text1"/>
        </w:rPr>
        <w:lastRenderedPageBreak/>
        <w:t>2020 and MAMMOTH and overlapped with these studies.</w:t>
      </w:r>
      <w:r w:rsidRPr="009E4EB8">
        <w:rPr>
          <w:color w:val="000000" w:themeColor="text1"/>
        </w:rPr>
        <w:t xml:space="preserve"> </w:t>
      </w:r>
      <w:r w:rsidR="007954E8" w:rsidRPr="009E4EB8">
        <w:rPr>
          <w:iCs/>
          <w:color w:val="000000" w:themeColor="text1"/>
        </w:rPr>
        <w:t xml:space="preserve">The ESC noted that the data suggested longer OS with </w:t>
      </w:r>
      <w:r w:rsidR="006F798F" w:rsidRPr="009E4EB8">
        <w:rPr>
          <w:iCs/>
          <w:color w:val="000000" w:themeColor="text1"/>
        </w:rPr>
        <w:t>Sd</w:t>
      </w:r>
      <w:r w:rsidR="007954E8" w:rsidRPr="009E4EB8">
        <w:rPr>
          <w:iCs/>
          <w:color w:val="000000" w:themeColor="text1"/>
        </w:rPr>
        <w:t xml:space="preserve"> compared with DCEP in the TCR/PR population</w:t>
      </w:r>
      <w:r w:rsidR="00CC633E" w:rsidRPr="009E4EB8">
        <w:rPr>
          <w:iCs/>
          <w:color w:val="000000" w:themeColor="text1"/>
        </w:rPr>
        <w:t xml:space="preserve">, however the </w:t>
      </w:r>
      <w:r w:rsidR="0066235E" w:rsidRPr="009E4EB8">
        <w:rPr>
          <w:iCs/>
          <w:color w:val="000000" w:themeColor="text1"/>
        </w:rPr>
        <w:t>role</w:t>
      </w:r>
      <w:r w:rsidR="00CC633E" w:rsidRPr="009E4EB8">
        <w:rPr>
          <w:iCs/>
          <w:color w:val="000000" w:themeColor="text1"/>
        </w:rPr>
        <w:t xml:space="preserve"> of subsequent lines of therapy </w:t>
      </w:r>
      <w:r w:rsidR="0066235E" w:rsidRPr="009E4EB8">
        <w:rPr>
          <w:iCs/>
          <w:color w:val="000000" w:themeColor="text1"/>
        </w:rPr>
        <w:t xml:space="preserve">in STORM </w:t>
      </w:r>
      <w:r w:rsidR="00CC633E" w:rsidRPr="009E4EB8">
        <w:rPr>
          <w:iCs/>
          <w:color w:val="000000" w:themeColor="text1"/>
        </w:rPr>
        <w:t>was unclear (see paragraph 6.</w:t>
      </w:r>
      <w:r w:rsidR="00030D57" w:rsidRPr="009E4EB8">
        <w:rPr>
          <w:iCs/>
          <w:color w:val="000000" w:themeColor="text1"/>
        </w:rPr>
        <w:t>9</w:t>
      </w:r>
      <w:r w:rsidR="00CC633E" w:rsidRPr="009E4EB8">
        <w:rPr>
          <w:iCs/>
          <w:color w:val="000000" w:themeColor="text1"/>
        </w:rPr>
        <w:t>)</w:t>
      </w:r>
      <w:r w:rsidR="007954E8" w:rsidRPr="009E4EB8">
        <w:rPr>
          <w:iCs/>
          <w:color w:val="000000" w:themeColor="text1"/>
        </w:rPr>
        <w:t>.</w:t>
      </w:r>
      <w:r w:rsidR="006F798F" w:rsidRPr="009E4EB8">
        <w:rPr>
          <w:iCs/>
          <w:color w:val="000000" w:themeColor="text1"/>
        </w:rPr>
        <w:t xml:space="preserve">  </w:t>
      </w:r>
    </w:p>
    <w:p w14:paraId="11199133" w14:textId="3B0EB1A6" w:rsidR="00EB5B9C" w:rsidRPr="009E4EB8" w:rsidRDefault="00CC7048" w:rsidP="00EB5B9C">
      <w:pPr>
        <w:pStyle w:val="3-BodyText"/>
        <w:rPr>
          <w:color w:val="0066FF"/>
        </w:rPr>
      </w:pPr>
      <w:r w:rsidRPr="009E4EB8">
        <w:rPr>
          <w:color w:val="000000" w:themeColor="text1"/>
        </w:rPr>
        <w:t xml:space="preserve">The median PFS for TCR/PR patients treated with Sd </w:t>
      </w:r>
      <w:r w:rsidR="00043178" w:rsidRPr="009E4EB8">
        <w:rPr>
          <w:color w:val="000000" w:themeColor="text1"/>
        </w:rPr>
        <w:t>(</w:t>
      </w:r>
      <w:r w:rsidRPr="009E4EB8">
        <w:rPr>
          <w:color w:val="000000" w:themeColor="text1"/>
        </w:rPr>
        <w:t>STORM</w:t>
      </w:r>
      <w:r w:rsidR="00043178" w:rsidRPr="009E4EB8">
        <w:rPr>
          <w:color w:val="000000" w:themeColor="text1"/>
        </w:rPr>
        <w:t>)</w:t>
      </w:r>
      <w:r w:rsidRPr="009E4EB8">
        <w:rPr>
          <w:color w:val="000000" w:themeColor="text1"/>
        </w:rPr>
        <w:t xml:space="preserve"> was 2.8 months (95% CI: 1.9, 4.3) compared to 2.7 months (95% CI: 1.5, 3.8) for DCEP (Goldsmith 2020). </w:t>
      </w:r>
      <w:r w:rsidRPr="009E4EB8">
        <w:rPr>
          <w:iCs/>
          <w:color w:val="000000" w:themeColor="text1"/>
        </w:rPr>
        <w:t xml:space="preserve">The comparison between STORM and Goldsmith 2020 does not suggest </w:t>
      </w:r>
      <w:r w:rsidR="00813A6E" w:rsidRPr="009E4EB8">
        <w:rPr>
          <w:iCs/>
          <w:color w:val="000000" w:themeColor="text1"/>
        </w:rPr>
        <w:t xml:space="preserve">any benefit in </w:t>
      </w:r>
      <w:r w:rsidRPr="009E4EB8">
        <w:rPr>
          <w:iCs/>
          <w:color w:val="000000" w:themeColor="text1"/>
        </w:rPr>
        <w:t xml:space="preserve">PFS </w:t>
      </w:r>
      <w:r w:rsidR="007D54E4" w:rsidRPr="009E4EB8">
        <w:rPr>
          <w:iCs/>
          <w:color w:val="000000" w:themeColor="text1"/>
        </w:rPr>
        <w:t>of Sd compared to DCEP</w:t>
      </w:r>
      <w:r w:rsidRPr="009E4EB8">
        <w:rPr>
          <w:iCs/>
          <w:color w:val="000000" w:themeColor="text1"/>
        </w:rPr>
        <w:t>. The median PFS for the TCR/PR population from MAMMOTH was not available.</w:t>
      </w:r>
      <w:r w:rsidR="00627D07" w:rsidRPr="009E4EB8">
        <w:rPr>
          <w:iCs/>
          <w:color w:val="000000" w:themeColor="text1"/>
        </w:rPr>
        <w:t xml:space="preserve"> The ESC noted </w:t>
      </w:r>
      <w:r w:rsidR="007954E8" w:rsidRPr="009E4EB8">
        <w:rPr>
          <w:iCs/>
          <w:color w:val="000000" w:themeColor="text1"/>
        </w:rPr>
        <w:t xml:space="preserve">that </w:t>
      </w:r>
      <w:r w:rsidR="00627D07" w:rsidRPr="009E4EB8">
        <w:rPr>
          <w:iCs/>
          <w:color w:val="000000" w:themeColor="text1"/>
        </w:rPr>
        <w:t xml:space="preserve">the median PFS </w:t>
      </w:r>
      <w:r w:rsidR="007954E8" w:rsidRPr="009E4EB8">
        <w:rPr>
          <w:iCs/>
          <w:color w:val="000000" w:themeColor="text1"/>
        </w:rPr>
        <w:t>appeared</w:t>
      </w:r>
      <w:r w:rsidR="00627D07" w:rsidRPr="009E4EB8">
        <w:rPr>
          <w:iCs/>
          <w:color w:val="000000" w:themeColor="text1"/>
        </w:rPr>
        <w:t xml:space="preserve"> similar for selinexor and DCEP in the TCR/PR population based on the evidence presented.</w:t>
      </w:r>
    </w:p>
    <w:p w14:paraId="7CA0EA4D" w14:textId="5AD2074E" w:rsidR="00CC7048" w:rsidRPr="009E4EB8" w:rsidRDefault="00CC7048" w:rsidP="00EB5B9C">
      <w:pPr>
        <w:pStyle w:val="3-BodyText"/>
        <w:rPr>
          <w:color w:val="0066FF"/>
        </w:rPr>
      </w:pPr>
      <w:r w:rsidRPr="009E4EB8">
        <w:rPr>
          <w:color w:val="000000" w:themeColor="text1"/>
        </w:rPr>
        <w:t>The resubmission stated that as approximately 74% of patients in Goldsmith 2020 were TCR/PR (</w:t>
      </w:r>
      <w:r w:rsidRPr="009E4EB8">
        <w:rPr>
          <w:iCs/>
          <w:color w:val="000000" w:themeColor="text1"/>
        </w:rPr>
        <w:t xml:space="preserve">i.e., 26% of patients were </w:t>
      </w:r>
      <w:r w:rsidR="00343E44" w:rsidRPr="009E4EB8">
        <w:rPr>
          <w:iCs/>
          <w:color w:val="000000" w:themeColor="text1"/>
        </w:rPr>
        <w:t>quad</w:t>
      </w:r>
      <w:r w:rsidR="0046643D" w:rsidRPr="009E4EB8">
        <w:rPr>
          <w:iCs/>
          <w:color w:val="000000" w:themeColor="text1"/>
        </w:rPr>
        <w:t>-refractory</w:t>
      </w:r>
      <w:r w:rsidR="00C2552C" w:rsidRPr="009E4EB8">
        <w:rPr>
          <w:iCs/>
          <w:color w:val="000000" w:themeColor="text1"/>
        </w:rPr>
        <w:t xml:space="preserve"> </w:t>
      </w:r>
      <w:r w:rsidR="00AE1AD9" w:rsidRPr="009E4EB8">
        <w:rPr>
          <w:iCs/>
          <w:color w:val="000000" w:themeColor="text1"/>
        </w:rPr>
        <w:t>i.e.,</w:t>
      </w:r>
      <w:r w:rsidR="00C2552C" w:rsidRPr="009E4EB8">
        <w:rPr>
          <w:iCs/>
          <w:color w:val="000000" w:themeColor="text1"/>
        </w:rPr>
        <w:t xml:space="preserve"> not refractory to daratumumab</w:t>
      </w:r>
      <w:r w:rsidRPr="009E4EB8">
        <w:rPr>
          <w:color w:val="000000" w:themeColor="text1"/>
        </w:rPr>
        <w:t xml:space="preserve">) the median OS and PFS may be overestimated. Furthermore, the resubmission stated that as the </w:t>
      </w:r>
      <w:r w:rsidRPr="009E4EB8">
        <w:t xml:space="preserve">median follow-up in the MAMMOTH TCR/PR subset and in Goldsmith 2020 was not reported, thus compromising the comparison of ORR. </w:t>
      </w:r>
    </w:p>
    <w:p w14:paraId="7706D738" w14:textId="395EE207" w:rsidR="00254674" w:rsidRPr="009E4EB8" w:rsidRDefault="009E7C78" w:rsidP="005304FD">
      <w:pPr>
        <w:pStyle w:val="3-BodyText"/>
      </w:pPr>
      <w:r w:rsidRPr="009E4EB8">
        <w:t>The KM plot for OS for the TCR/PR population in STORM, Goldsmith 2020 and MAMMOTH is presented in</w:t>
      </w:r>
      <w:r w:rsidRPr="009E4EB8">
        <w:rPr>
          <w:rFonts w:cstheme="minorHAnsi"/>
        </w:rPr>
        <w:t xml:space="preserve"> </w:t>
      </w:r>
      <w:r w:rsidR="006C2945" w:rsidRPr="009E4EB8">
        <w:rPr>
          <w:rFonts w:cstheme="minorHAnsi"/>
        </w:rPr>
        <w:t>Figure 3</w:t>
      </w:r>
      <w:r w:rsidR="00FE25A8" w:rsidRPr="009E4EB8">
        <w:t xml:space="preserve"> </w:t>
      </w:r>
      <w:r w:rsidRPr="009E4EB8">
        <w:t>and the KM plot for PFS for the TCR/PR population in STORM and Goldsmith 2020 in</w:t>
      </w:r>
      <w:r w:rsidR="00FE25A8" w:rsidRPr="009E4EB8">
        <w:t xml:space="preserve"> </w:t>
      </w:r>
      <w:r w:rsidR="006C2945" w:rsidRPr="009E4EB8">
        <w:rPr>
          <w:rFonts w:cstheme="minorHAnsi"/>
        </w:rPr>
        <w:t>Figure 4</w:t>
      </w:r>
      <w:r w:rsidR="009365DF" w:rsidRPr="009E4EB8">
        <w:rPr>
          <w:snapToGrid/>
        </w:rPr>
        <w:t>.</w:t>
      </w:r>
    </w:p>
    <w:p w14:paraId="0F35F277" w14:textId="194B025F" w:rsidR="00FE25A8" w:rsidRPr="009E4EB8" w:rsidRDefault="00FE25A8" w:rsidP="00464153">
      <w:pPr>
        <w:keepNext/>
        <w:rPr>
          <w:rStyle w:val="CommentReference"/>
        </w:rPr>
      </w:pPr>
      <w:bookmarkStart w:id="45" w:name="_Ref91065800"/>
      <w:r w:rsidRPr="009E4EB8">
        <w:rPr>
          <w:rFonts w:ascii="Arial Narrow" w:hAnsi="Arial Narrow"/>
          <w:b/>
          <w:bCs/>
          <w:sz w:val="20"/>
          <w:szCs w:val="20"/>
        </w:rPr>
        <w:t xml:space="preserve">Figure </w:t>
      </w:r>
      <w:r w:rsidRPr="009E4EB8">
        <w:rPr>
          <w:rFonts w:ascii="Arial Narrow" w:hAnsi="Arial Narrow"/>
          <w:b/>
          <w:bCs/>
          <w:sz w:val="20"/>
          <w:szCs w:val="20"/>
        </w:rPr>
        <w:fldChar w:fldCharType="begin"/>
      </w:r>
      <w:r w:rsidRPr="009E4EB8">
        <w:rPr>
          <w:rFonts w:ascii="Arial Narrow" w:hAnsi="Arial Narrow"/>
          <w:b/>
          <w:bCs/>
          <w:sz w:val="20"/>
          <w:szCs w:val="20"/>
        </w:rPr>
        <w:instrText xml:space="preserve"> SEQ Figure \* ARABIC </w:instrText>
      </w:r>
      <w:r w:rsidRPr="009E4EB8">
        <w:rPr>
          <w:rFonts w:ascii="Arial Narrow" w:hAnsi="Arial Narrow"/>
          <w:b/>
          <w:bCs/>
          <w:sz w:val="20"/>
          <w:szCs w:val="20"/>
        </w:rPr>
        <w:fldChar w:fldCharType="separate"/>
      </w:r>
      <w:r w:rsidR="00964E38">
        <w:rPr>
          <w:rFonts w:ascii="Arial Narrow" w:hAnsi="Arial Narrow"/>
          <w:b/>
          <w:bCs/>
          <w:noProof/>
          <w:sz w:val="20"/>
          <w:szCs w:val="20"/>
        </w:rPr>
        <w:t>3</w:t>
      </w:r>
      <w:r w:rsidRPr="009E4EB8">
        <w:rPr>
          <w:rFonts w:ascii="Arial Narrow" w:hAnsi="Arial Narrow"/>
          <w:b/>
          <w:bCs/>
          <w:sz w:val="20"/>
          <w:szCs w:val="20"/>
        </w:rPr>
        <w:fldChar w:fldCharType="end"/>
      </w:r>
      <w:bookmarkEnd w:id="45"/>
      <w:r w:rsidRPr="009E4EB8">
        <w:rPr>
          <w:rFonts w:ascii="Arial Narrow" w:hAnsi="Arial Narrow"/>
          <w:b/>
          <w:bCs/>
          <w:sz w:val="20"/>
          <w:szCs w:val="20"/>
        </w:rPr>
        <w:t>:</w:t>
      </w:r>
      <w:r w:rsidRPr="009E4EB8">
        <w:rPr>
          <w:rFonts w:ascii="Arial Narrow" w:hAnsi="Arial Narrow"/>
          <w:sz w:val="20"/>
          <w:szCs w:val="20"/>
        </w:rPr>
        <w:t xml:space="preserve"> </w:t>
      </w:r>
      <w:r w:rsidRPr="009E4EB8">
        <w:rPr>
          <w:rStyle w:val="CommentReference"/>
          <w:szCs w:val="20"/>
        </w:rPr>
        <w:t>Kaplan-Meier estimates</w:t>
      </w:r>
      <w:r w:rsidRPr="009E4EB8">
        <w:rPr>
          <w:rStyle w:val="CommentReference"/>
        </w:rPr>
        <w:t xml:space="preserve"> of OS for TCR/PR MM in STORM, Goldsmith </w:t>
      </w:r>
      <w:proofErr w:type="gramStart"/>
      <w:r w:rsidRPr="009E4EB8">
        <w:rPr>
          <w:rStyle w:val="CommentReference"/>
        </w:rPr>
        <w:t>2020</w:t>
      </w:r>
      <w:proofErr w:type="gramEnd"/>
      <w:r w:rsidRPr="009E4EB8">
        <w:rPr>
          <w:rStyle w:val="CommentReference"/>
        </w:rPr>
        <w:t xml:space="preserve"> and MAMMOTH</w:t>
      </w:r>
    </w:p>
    <w:p w14:paraId="71AFC907" w14:textId="7FBFF412" w:rsidR="00FE25A8" w:rsidRPr="009E4EB8" w:rsidRDefault="00FE25A8" w:rsidP="00464153">
      <w:pPr>
        <w:keepNext/>
        <w:jc w:val="center"/>
        <w:rPr>
          <w:rStyle w:val="CommentReference"/>
        </w:rPr>
      </w:pPr>
      <w:r w:rsidRPr="009E4EB8">
        <w:rPr>
          <w:noProof/>
        </w:rPr>
        <w:drawing>
          <wp:inline distT="0" distB="0" distL="0" distR="0" wp14:anchorId="0203515A" wp14:editId="5652D636">
            <wp:extent cx="4856400" cy="3171600"/>
            <wp:effectExtent l="0" t="0" r="1905" b="0"/>
            <wp:docPr id="9" name="Picture 9" descr="Figure 3: Kaplan-Meier estimates of OS for TCR/PR MM in STORM, Goldsmith 2020 and MAMM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3: Kaplan-Meier estimates of OS for TCR/PR MM in STORM, Goldsmith 2020 and MAMMOTH"/>
                    <pic:cNvPicPr/>
                  </pic:nvPicPr>
                  <pic:blipFill>
                    <a:blip r:embed="rId11"/>
                    <a:stretch>
                      <a:fillRect/>
                    </a:stretch>
                  </pic:blipFill>
                  <pic:spPr>
                    <a:xfrm>
                      <a:off x="0" y="0"/>
                      <a:ext cx="4856400" cy="3171600"/>
                    </a:xfrm>
                    <a:prstGeom prst="rect">
                      <a:avLst/>
                    </a:prstGeom>
                  </pic:spPr>
                </pic:pic>
              </a:graphicData>
            </a:graphic>
          </wp:inline>
        </w:drawing>
      </w:r>
    </w:p>
    <w:p w14:paraId="70F3E9AC" w14:textId="77777777" w:rsidR="00FE25A8" w:rsidRPr="009E4EB8" w:rsidRDefault="00FE25A8" w:rsidP="00464153">
      <w:pPr>
        <w:pStyle w:val="TableFigureFooter"/>
        <w:keepNext/>
      </w:pPr>
      <w:r w:rsidRPr="009E4EB8">
        <w:t>Source: Figure 21, p98 of the resubmission.</w:t>
      </w:r>
    </w:p>
    <w:p w14:paraId="5858526F" w14:textId="77777777" w:rsidR="00FE25A8" w:rsidRPr="009E4EB8" w:rsidRDefault="00FE25A8" w:rsidP="00464153">
      <w:pPr>
        <w:pStyle w:val="TableFigureFooter"/>
        <w:keepNext/>
      </w:pPr>
      <w:r w:rsidRPr="009E4EB8">
        <w:t xml:space="preserve">Abbreviations: </w:t>
      </w:r>
      <w:r w:rsidRPr="009E4EB8">
        <w:rPr>
          <w:szCs w:val="18"/>
        </w:rPr>
        <w:t xml:space="preserve">DCEP = dexamethasone + cyclophosphamide + etoposide + cisplatin; OS = overall survival; Sd = selinexor + dexamethasone; </w:t>
      </w:r>
      <w:r w:rsidRPr="009E4EB8">
        <w:rPr>
          <w:szCs w:val="28"/>
        </w:rPr>
        <w:t>TCR/PR MM = triple class refractory and penta-refractory multiple myeloma</w:t>
      </w:r>
      <w:r w:rsidRPr="009E4EB8">
        <w:t xml:space="preserve"> </w:t>
      </w:r>
    </w:p>
    <w:p w14:paraId="4F5F5C57" w14:textId="5DF4F411" w:rsidR="00FE25A8" w:rsidRPr="009E4EB8" w:rsidRDefault="00FE25A8" w:rsidP="00464153">
      <w:pPr>
        <w:pStyle w:val="TableFigureFooter"/>
      </w:pPr>
      <w:r w:rsidRPr="009E4EB8">
        <w:t>Note: 23/31 (74%) of patients receiving DCEP were penta-refractory</w:t>
      </w:r>
    </w:p>
    <w:p w14:paraId="01594C73" w14:textId="242B694E" w:rsidR="00C24734" w:rsidRPr="009E4EB8" w:rsidRDefault="00C24734" w:rsidP="00464153">
      <w:pPr>
        <w:pStyle w:val="TableFigureFooter"/>
      </w:pPr>
    </w:p>
    <w:p w14:paraId="6A597D13" w14:textId="1987D834" w:rsidR="00321E39" w:rsidRPr="009E4EB8" w:rsidRDefault="00321E39" w:rsidP="00464153">
      <w:pPr>
        <w:keepNext/>
        <w:rPr>
          <w:rStyle w:val="CommentReference"/>
        </w:rPr>
      </w:pPr>
      <w:bookmarkStart w:id="46" w:name="_Ref91065862"/>
      <w:r w:rsidRPr="009E4EB8">
        <w:rPr>
          <w:rFonts w:ascii="Arial Narrow" w:hAnsi="Arial Narrow"/>
          <w:b/>
          <w:bCs/>
          <w:sz w:val="20"/>
          <w:szCs w:val="20"/>
        </w:rPr>
        <w:t xml:space="preserve">Figure </w:t>
      </w:r>
      <w:r w:rsidRPr="009E4EB8">
        <w:rPr>
          <w:rFonts w:ascii="Arial Narrow" w:hAnsi="Arial Narrow"/>
          <w:b/>
          <w:bCs/>
          <w:sz w:val="20"/>
          <w:szCs w:val="20"/>
        </w:rPr>
        <w:fldChar w:fldCharType="begin"/>
      </w:r>
      <w:r w:rsidRPr="009E4EB8">
        <w:rPr>
          <w:rFonts w:ascii="Arial Narrow" w:hAnsi="Arial Narrow"/>
          <w:b/>
          <w:bCs/>
          <w:sz w:val="20"/>
          <w:szCs w:val="20"/>
        </w:rPr>
        <w:instrText xml:space="preserve"> SEQ Figure \* ARABIC </w:instrText>
      </w:r>
      <w:r w:rsidRPr="009E4EB8">
        <w:rPr>
          <w:rFonts w:ascii="Arial Narrow" w:hAnsi="Arial Narrow"/>
          <w:b/>
          <w:bCs/>
          <w:sz w:val="20"/>
          <w:szCs w:val="20"/>
        </w:rPr>
        <w:fldChar w:fldCharType="separate"/>
      </w:r>
      <w:r w:rsidR="00964E38">
        <w:rPr>
          <w:rFonts w:ascii="Arial Narrow" w:hAnsi="Arial Narrow"/>
          <w:b/>
          <w:bCs/>
          <w:noProof/>
          <w:sz w:val="20"/>
          <w:szCs w:val="20"/>
        </w:rPr>
        <w:t>4</w:t>
      </w:r>
      <w:r w:rsidRPr="009E4EB8">
        <w:rPr>
          <w:rFonts w:ascii="Arial Narrow" w:hAnsi="Arial Narrow"/>
          <w:b/>
          <w:bCs/>
          <w:sz w:val="20"/>
          <w:szCs w:val="20"/>
        </w:rPr>
        <w:fldChar w:fldCharType="end"/>
      </w:r>
      <w:bookmarkEnd w:id="46"/>
      <w:r w:rsidRPr="009E4EB8">
        <w:rPr>
          <w:rFonts w:ascii="Arial Narrow" w:hAnsi="Arial Narrow"/>
          <w:b/>
          <w:bCs/>
          <w:sz w:val="20"/>
          <w:szCs w:val="20"/>
        </w:rPr>
        <w:t>:</w:t>
      </w:r>
      <w:r w:rsidRPr="009E4EB8">
        <w:t xml:space="preserve"> </w:t>
      </w:r>
      <w:r w:rsidRPr="009E4EB8">
        <w:rPr>
          <w:rStyle w:val="CommentReference"/>
        </w:rPr>
        <w:t xml:space="preserve">Kaplan-Meier estimates of PFS for TCR/PR MM in STORM and Goldsmith 2020 </w:t>
      </w:r>
    </w:p>
    <w:p w14:paraId="4F35C2B1" w14:textId="7397EC36" w:rsidR="00321E39" w:rsidRPr="009E4EB8" w:rsidRDefault="00321E39" w:rsidP="00464153">
      <w:pPr>
        <w:pStyle w:val="Caption"/>
        <w:keepNext/>
        <w:spacing w:after="0"/>
        <w:jc w:val="center"/>
      </w:pPr>
      <w:r w:rsidRPr="009E4EB8">
        <w:rPr>
          <w:noProof/>
        </w:rPr>
        <w:drawing>
          <wp:inline distT="0" distB="0" distL="0" distR="0" wp14:anchorId="6585C9C2" wp14:editId="76F76AB2">
            <wp:extent cx="4888800" cy="2541600"/>
            <wp:effectExtent l="0" t="0" r="7620" b="0"/>
            <wp:docPr id="11" name="Picture 11" descr="Figure 4: Kaplan-Meier estimates of PFS for TCR/PR MM in STORM and Goldsmith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4: Kaplan-Meier estimates of PFS for TCR/PR MM in STORM and Goldsmith 2020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8800" cy="2541600"/>
                    </a:xfrm>
                    <a:prstGeom prst="rect">
                      <a:avLst/>
                    </a:prstGeom>
                    <a:noFill/>
                  </pic:spPr>
                </pic:pic>
              </a:graphicData>
            </a:graphic>
          </wp:inline>
        </w:drawing>
      </w:r>
    </w:p>
    <w:p w14:paraId="0E51A441" w14:textId="77777777" w:rsidR="00321E39" w:rsidRPr="009E4EB8" w:rsidRDefault="00321E39" w:rsidP="00464153">
      <w:pPr>
        <w:pStyle w:val="TableFigureFooter"/>
        <w:keepNext/>
        <w:spacing w:after="0"/>
      </w:pPr>
      <w:r w:rsidRPr="009E4EB8">
        <w:t>Source: Figure 22, p99 of the resubmission.</w:t>
      </w:r>
    </w:p>
    <w:p w14:paraId="6D16F9EC" w14:textId="77777777" w:rsidR="00321E39" w:rsidRPr="009E4EB8" w:rsidRDefault="00321E39" w:rsidP="00464153">
      <w:pPr>
        <w:pStyle w:val="TableFigureFooter"/>
        <w:keepNext/>
        <w:spacing w:after="0"/>
      </w:pPr>
      <w:r w:rsidRPr="009E4EB8">
        <w:t xml:space="preserve">Abbreviations: </w:t>
      </w:r>
      <w:r w:rsidRPr="009E4EB8">
        <w:rPr>
          <w:szCs w:val="18"/>
        </w:rPr>
        <w:t xml:space="preserve">DCEP = dexamethasone + cyclophosphamide + etoposide + cisplatin; PFS = progression free survival; </w:t>
      </w:r>
      <w:r w:rsidRPr="009E4EB8">
        <w:rPr>
          <w:szCs w:val="28"/>
        </w:rPr>
        <w:t>TCR/PR MM = triple class refractory and penta-refractory multiple myeloma</w:t>
      </w:r>
      <w:r w:rsidRPr="009E4EB8">
        <w:t xml:space="preserve"> </w:t>
      </w:r>
    </w:p>
    <w:p w14:paraId="264DB626" w14:textId="220BCCDB" w:rsidR="00321E39" w:rsidRPr="009E4EB8" w:rsidRDefault="00321E39" w:rsidP="00464153">
      <w:pPr>
        <w:pStyle w:val="TableFigureFooter"/>
        <w:keepNext/>
      </w:pPr>
      <w:r w:rsidRPr="009E4EB8">
        <w:t>Note: 23/31 (74%) of patients receiving DCEP were penta-refractory</w:t>
      </w:r>
    </w:p>
    <w:p w14:paraId="32E6DEBD" w14:textId="46D37022" w:rsidR="009365DF" w:rsidRPr="009E4EB8" w:rsidRDefault="009365DF" w:rsidP="00254674">
      <w:pPr>
        <w:pStyle w:val="Caption"/>
        <w:spacing w:after="0"/>
        <w:rPr>
          <w:rFonts w:ascii="Arial Narrow" w:hAnsi="Arial Narrow"/>
          <w:snapToGrid w:val="0"/>
          <w:color w:val="auto"/>
          <w:sz w:val="20"/>
          <w:szCs w:val="20"/>
        </w:rPr>
      </w:pPr>
    </w:p>
    <w:p w14:paraId="2D5E25E2" w14:textId="554B2BE2" w:rsidR="007C7B04" w:rsidRPr="009E4EB8" w:rsidRDefault="007C7B04" w:rsidP="00C223CD">
      <w:pPr>
        <w:pStyle w:val="3-BodyText"/>
        <w:contextualSpacing/>
        <w:rPr>
          <w:iCs/>
          <w:snapToGrid/>
        </w:rPr>
      </w:pPr>
      <w:bookmarkStart w:id="47" w:name="_Ref99106437"/>
      <w:r w:rsidRPr="009E4EB8">
        <w:rPr>
          <w:iCs/>
          <w:snapToGrid/>
        </w:rPr>
        <w:t>A naïve comparison of OS estimates and visual comparison of the OS KM curves in STORM compared to both Goldsmith 2020 and MAMMOTH suggest that patients that received Sd had longer OS than patients that received DCEP. However, the ability to draw any conclusions from the comparison of STORM with Goldsmith 2020 and MAMMOTH was limited for the following reasons:</w:t>
      </w:r>
      <w:bookmarkEnd w:id="47"/>
      <w:r w:rsidRPr="009E4EB8">
        <w:rPr>
          <w:iCs/>
          <w:snapToGrid/>
        </w:rPr>
        <w:t xml:space="preserve"> </w:t>
      </w:r>
    </w:p>
    <w:p w14:paraId="21559BD8" w14:textId="26EA98FB" w:rsidR="00C223CD" w:rsidRPr="009E4EB8" w:rsidRDefault="007C7B04" w:rsidP="00C223CD">
      <w:pPr>
        <w:pStyle w:val="Bulletpoints"/>
        <w:ind w:left="1077" w:hanging="357"/>
        <w:contextualSpacing w:val="0"/>
        <w:rPr>
          <w:iCs/>
          <w:snapToGrid/>
        </w:rPr>
      </w:pPr>
      <w:r w:rsidRPr="009E4EB8">
        <w:rPr>
          <w:iCs/>
          <w:snapToGrid/>
        </w:rPr>
        <w:t>The number of patients with events were not available for estimate of effects to be calculated during the evaluation. This along with the retrospective and observational study design of Goldsmith 2020 and MAMMOTH make the results difficult to interpret.</w:t>
      </w:r>
    </w:p>
    <w:p w14:paraId="1FB81531" w14:textId="25B242CD" w:rsidR="00C223CD" w:rsidRPr="009E4EB8" w:rsidRDefault="007C7B04" w:rsidP="00C223CD">
      <w:pPr>
        <w:pStyle w:val="Bulletpoints"/>
        <w:ind w:left="1077" w:hanging="357"/>
        <w:contextualSpacing w:val="0"/>
        <w:rPr>
          <w:snapToGrid/>
        </w:rPr>
      </w:pPr>
      <w:r w:rsidRPr="009E4EB8">
        <w:rPr>
          <w:iCs/>
          <w:snapToGrid/>
        </w:rPr>
        <w:t>The patient population in Goldsmith 2020 were slightly different from the STORM patient population, i.e., 74% of patients were penta-refractory (consistent with the PBS population) whilst the remainder of patients were quad-refractory</w:t>
      </w:r>
      <w:r w:rsidR="007D26CB" w:rsidRPr="009E4EB8">
        <w:rPr>
          <w:iCs/>
          <w:snapToGrid/>
        </w:rPr>
        <w:t xml:space="preserve"> (i.e., not refractory to daratumumab and therefore inconsistent with the requested PBS population)</w:t>
      </w:r>
      <w:r w:rsidRPr="009E4EB8">
        <w:rPr>
          <w:iCs/>
          <w:snapToGrid/>
        </w:rPr>
        <w:t xml:space="preserve">. </w:t>
      </w:r>
      <w:r w:rsidR="00E42F1F" w:rsidRPr="009E4EB8">
        <w:rPr>
          <w:iCs/>
          <w:snapToGrid/>
        </w:rPr>
        <w:t xml:space="preserve">Whilst patients in STORM </w:t>
      </w:r>
      <w:r w:rsidR="00E42F1F" w:rsidRPr="009E4EB8">
        <w:rPr>
          <w:iCs/>
        </w:rPr>
        <w:t>appeared to be healthier and/or had less advanced disease than MAMMOTH</w:t>
      </w:r>
      <w:r w:rsidR="000418E1" w:rsidRPr="009E4EB8">
        <w:rPr>
          <w:iCs/>
        </w:rPr>
        <w:t>.</w:t>
      </w:r>
    </w:p>
    <w:p w14:paraId="1E52369F" w14:textId="77777777" w:rsidR="00C223CD" w:rsidRPr="009E4EB8" w:rsidRDefault="007C7B04" w:rsidP="00C223CD">
      <w:pPr>
        <w:pStyle w:val="Bulletpoints"/>
        <w:ind w:left="1077" w:hanging="357"/>
        <w:contextualSpacing w:val="0"/>
        <w:rPr>
          <w:snapToGrid/>
        </w:rPr>
      </w:pPr>
      <w:r w:rsidRPr="009E4EB8">
        <w:rPr>
          <w:iCs/>
          <w:snapToGrid/>
        </w:rPr>
        <w:t xml:space="preserve">Conventional care in MAMMOTH appeared to consist </w:t>
      </w:r>
      <w:r w:rsidR="00550911" w:rsidRPr="009E4EB8">
        <w:rPr>
          <w:iCs/>
          <w:snapToGrid/>
        </w:rPr>
        <w:t xml:space="preserve">of </w:t>
      </w:r>
      <w:r w:rsidR="00B4696F" w:rsidRPr="009E4EB8">
        <w:rPr>
          <w:iCs/>
          <w:snapToGrid/>
        </w:rPr>
        <w:t>therapies</w:t>
      </w:r>
      <w:r w:rsidR="00550911" w:rsidRPr="009E4EB8">
        <w:rPr>
          <w:iCs/>
          <w:snapToGrid/>
        </w:rPr>
        <w:t xml:space="preserve"> not available in Australia for this MM population</w:t>
      </w:r>
      <w:r w:rsidR="00714BB8" w:rsidRPr="009E4EB8">
        <w:rPr>
          <w:iCs/>
          <w:snapToGrid/>
        </w:rPr>
        <w:t>,</w:t>
      </w:r>
      <w:r w:rsidR="00550911" w:rsidRPr="009E4EB8">
        <w:rPr>
          <w:iCs/>
          <w:snapToGrid/>
        </w:rPr>
        <w:t xml:space="preserve"> </w:t>
      </w:r>
      <w:r w:rsidRPr="009E4EB8">
        <w:rPr>
          <w:iCs/>
          <w:snapToGrid/>
        </w:rPr>
        <w:t xml:space="preserve">such as daratumumab </w:t>
      </w:r>
      <w:r w:rsidR="00550911" w:rsidRPr="009E4EB8">
        <w:rPr>
          <w:iCs/>
          <w:snapToGrid/>
        </w:rPr>
        <w:t>(19.5%)</w:t>
      </w:r>
      <w:r w:rsidRPr="009E4EB8">
        <w:rPr>
          <w:iCs/>
          <w:snapToGrid/>
        </w:rPr>
        <w:t>.</w:t>
      </w:r>
    </w:p>
    <w:p w14:paraId="769B37F5" w14:textId="3DC1F9E2" w:rsidR="007C7B04" w:rsidRPr="009E4EB8" w:rsidRDefault="007C7B04" w:rsidP="00C223CD">
      <w:pPr>
        <w:pStyle w:val="Bulletpoints"/>
        <w:ind w:left="1077" w:hanging="357"/>
        <w:contextualSpacing w:val="0"/>
        <w:rPr>
          <w:snapToGrid/>
        </w:rPr>
      </w:pPr>
      <w:r w:rsidRPr="009E4EB8">
        <w:rPr>
          <w:iCs/>
          <w:snapToGrid/>
        </w:rPr>
        <w:t xml:space="preserve">Goldsmith 2020 was based on a single-centre retrospective analysis with small patient </w:t>
      </w:r>
      <w:r w:rsidR="00C223CD" w:rsidRPr="009E4EB8">
        <w:rPr>
          <w:iCs/>
          <w:snapToGrid/>
        </w:rPr>
        <w:t>number</w:t>
      </w:r>
      <w:r w:rsidR="00687B3B" w:rsidRPr="009E4EB8">
        <w:rPr>
          <w:iCs/>
          <w:snapToGrid/>
        </w:rPr>
        <w:t>s</w:t>
      </w:r>
      <w:r w:rsidRPr="009E4EB8">
        <w:rPr>
          <w:iCs/>
          <w:snapToGrid/>
        </w:rPr>
        <w:t xml:space="preserve">. Furthermore, the dosing regimen of DCEP used in this study </w:t>
      </w:r>
      <w:r w:rsidR="00BF016A" w:rsidRPr="009E4EB8">
        <w:rPr>
          <w:iCs/>
          <w:snapToGrid/>
        </w:rPr>
        <w:t>was</w:t>
      </w:r>
      <w:r w:rsidRPr="009E4EB8">
        <w:rPr>
          <w:iCs/>
          <w:snapToGrid/>
        </w:rPr>
        <w:t xml:space="preserve"> different to that considered in the economic evaluation </w:t>
      </w:r>
      <w:r w:rsidR="005C6D7A" w:rsidRPr="009E4EB8">
        <w:rPr>
          <w:iCs/>
          <w:snapToGrid/>
        </w:rPr>
        <w:t xml:space="preserve">and financial estimates </w:t>
      </w:r>
      <w:r w:rsidRPr="009E4EB8">
        <w:rPr>
          <w:iCs/>
          <w:snapToGrid/>
        </w:rPr>
        <w:t xml:space="preserve">of the resubmission (see </w:t>
      </w:r>
      <w:r w:rsidR="006C2945" w:rsidRPr="009E4EB8">
        <w:rPr>
          <w:iCs/>
        </w:rPr>
        <w:t>Table 5</w:t>
      </w:r>
      <w:r w:rsidRPr="009E4EB8">
        <w:rPr>
          <w:iCs/>
          <w:snapToGrid/>
        </w:rPr>
        <w:t>) and thus it is unclear what the impact of variation in DCEP dosing would have on the clinical outcomes.</w:t>
      </w:r>
      <w:r w:rsidR="0066235E" w:rsidRPr="009E4EB8">
        <w:rPr>
          <w:iCs/>
          <w:snapToGrid/>
        </w:rPr>
        <w:t xml:space="preserve"> The ESC considered that differences in DCEP dosing were not clinically meaningful.</w:t>
      </w:r>
    </w:p>
    <w:p w14:paraId="1251D5C6" w14:textId="76871E97" w:rsidR="00C24734" w:rsidRPr="009E4EB8" w:rsidRDefault="00C24734" w:rsidP="00FE5E3B">
      <w:pPr>
        <w:pStyle w:val="3-BodyText"/>
        <w:contextualSpacing/>
        <w:rPr>
          <w:iCs/>
          <w:snapToGrid/>
        </w:rPr>
      </w:pPr>
      <w:bookmarkStart w:id="48" w:name="_Ref99106440"/>
      <w:r w:rsidRPr="009E4EB8">
        <w:rPr>
          <w:iCs/>
          <w:snapToGrid/>
        </w:rPr>
        <w:t xml:space="preserve">The </w:t>
      </w:r>
      <w:r w:rsidR="0003428B">
        <w:t>Pre-Sub-Committee Response</w:t>
      </w:r>
      <w:r w:rsidR="0003428B" w:rsidRPr="009E4EB8">
        <w:rPr>
          <w:iCs/>
          <w:snapToGrid/>
        </w:rPr>
        <w:t xml:space="preserve"> </w:t>
      </w:r>
      <w:r w:rsidR="0003428B">
        <w:rPr>
          <w:iCs/>
          <w:snapToGrid/>
        </w:rPr>
        <w:t>(</w:t>
      </w:r>
      <w:r w:rsidRPr="009E4EB8">
        <w:rPr>
          <w:iCs/>
          <w:snapToGrid/>
        </w:rPr>
        <w:t>PSCR</w:t>
      </w:r>
      <w:r w:rsidR="0003428B">
        <w:rPr>
          <w:iCs/>
          <w:snapToGrid/>
        </w:rPr>
        <w:t>)</w:t>
      </w:r>
      <w:r w:rsidRPr="009E4EB8">
        <w:rPr>
          <w:iCs/>
          <w:snapToGrid/>
        </w:rPr>
        <w:t xml:space="preserve"> stated that the naïve ITC provided in the resubmission represented an improvement on the ITC presented in the original submission with data specific to the proposed PBS population compared. The PSCR maintained that the visual comparison of survival curves </w:t>
      </w:r>
      <w:r w:rsidR="00D85A73" w:rsidRPr="009E4EB8">
        <w:rPr>
          <w:iCs/>
          <w:snapToGrid/>
        </w:rPr>
        <w:t xml:space="preserve">(Figure 3) </w:t>
      </w:r>
      <w:r w:rsidRPr="009E4EB8">
        <w:rPr>
          <w:iCs/>
          <w:snapToGrid/>
        </w:rPr>
        <w:t xml:space="preserve">adequately supports a conclusion of superiority of Sd vs salvage </w:t>
      </w:r>
      <w:r w:rsidR="0023112B" w:rsidRPr="009E4EB8">
        <w:rPr>
          <w:iCs/>
          <w:snapToGrid/>
        </w:rPr>
        <w:t>chemotherapy</w:t>
      </w:r>
      <w:r w:rsidRPr="009E4EB8">
        <w:rPr>
          <w:iCs/>
          <w:snapToGrid/>
        </w:rPr>
        <w:t xml:space="preserve"> in the context of a naïve comparison.</w:t>
      </w:r>
      <w:r w:rsidR="00026C3D" w:rsidRPr="009E4EB8">
        <w:rPr>
          <w:iCs/>
          <w:snapToGrid/>
        </w:rPr>
        <w:t xml:space="preserve"> </w:t>
      </w:r>
      <w:r w:rsidRPr="009E4EB8">
        <w:rPr>
          <w:iCs/>
          <w:snapToGrid/>
        </w:rPr>
        <w:t>The ESC considered that the comparison was hampered by small patient numbers</w:t>
      </w:r>
      <w:r w:rsidR="00C561A3" w:rsidRPr="009E4EB8">
        <w:rPr>
          <w:iCs/>
          <w:snapToGrid/>
        </w:rPr>
        <w:t xml:space="preserve"> in the trials</w:t>
      </w:r>
      <w:r w:rsidRPr="009E4EB8">
        <w:rPr>
          <w:iCs/>
          <w:snapToGrid/>
        </w:rPr>
        <w:t xml:space="preserve">, noting that this group of patients </w:t>
      </w:r>
      <w:r w:rsidR="00C561A3" w:rsidRPr="009E4EB8">
        <w:rPr>
          <w:iCs/>
          <w:snapToGrid/>
        </w:rPr>
        <w:t>has been relatively poorly studied to date compared with other lines of MM. The ESC also considered that patients corresponding to the proposed PBS listing</w:t>
      </w:r>
      <w:r w:rsidR="00450BAB" w:rsidRPr="009E4EB8">
        <w:rPr>
          <w:iCs/>
          <w:snapToGrid/>
        </w:rPr>
        <w:t>, those seeking fifth line treatment,</w:t>
      </w:r>
      <w:r w:rsidR="00C561A3" w:rsidRPr="009E4EB8">
        <w:rPr>
          <w:iCs/>
          <w:snapToGrid/>
        </w:rPr>
        <w:t xml:space="preserve"> are uncommon in clinical practice.</w:t>
      </w:r>
      <w:bookmarkEnd w:id="48"/>
    </w:p>
    <w:p w14:paraId="21987399" w14:textId="77777777" w:rsidR="005304FD" w:rsidRPr="009E4EB8" w:rsidRDefault="005304FD" w:rsidP="005304FD">
      <w:pPr>
        <w:pStyle w:val="4-SubsectionHeading"/>
      </w:pPr>
      <w:bookmarkStart w:id="49" w:name="_Toc22897642"/>
      <w:bookmarkStart w:id="50" w:name="_Toc22898854"/>
      <w:bookmarkStart w:id="51" w:name="_Toc93422865"/>
      <w:r w:rsidRPr="009E4EB8">
        <w:t>Comparative harms</w:t>
      </w:r>
      <w:bookmarkEnd w:id="49"/>
      <w:bookmarkEnd w:id="50"/>
      <w:bookmarkEnd w:id="51"/>
    </w:p>
    <w:p w14:paraId="1CA6481F" w14:textId="67CB4E1C" w:rsidR="00055EA1" w:rsidRPr="009E4EB8" w:rsidRDefault="00055EA1" w:rsidP="00055EA1">
      <w:pPr>
        <w:pStyle w:val="3-BodyText"/>
      </w:pPr>
      <w:r w:rsidRPr="009E4EB8">
        <w:t xml:space="preserve">A summary of treatment-emergent adverse event (TEAEs) in </w:t>
      </w:r>
      <w:r w:rsidR="00D12430" w:rsidRPr="009E4EB8">
        <w:t xml:space="preserve">the safety analysis population (TCR/PE MM) of </w:t>
      </w:r>
      <w:r w:rsidRPr="009E4EB8">
        <w:t xml:space="preserve">STORM is presented in </w:t>
      </w:r>
      <w:r w:rsidR="006C2945" w:rsidRPr="009E4EB8">
        <w:rPr>
          <w:rFonts w:cstheme="minorHAnsi"/>
        </w:rPr>
        <w:t>Table 8</w:t>
      </w:r>
      <w:r w:rsidRPr="009E4EB8">
        <w:rPr>
          <w:rFonts w:cstheme="minorHAnsi"/>
        </w:rPr>
        <w:t>.</w:t>
      </w:r>
      <w:r w:rsidRPr="009E4EB8">
        <w:t xml:space="preserve"> </w:t>
      </w:r>
      <w:r w:rsidR="00CD1E92" w:rsidRPr="009E4EB8">
        <w:t xml:space="preserve">Three deaths occurred that were </w:t>
      </w:r>
      <w:proofErr w:type="gramStart"/>
      <w:r w:rsidR="00CD1E92" w:rsidRPr="009E4EB8">
        <w:t>as a result of</w:t>
      </w:r>
      <w:proofErr w:type="gramEnd"/>
      <w:r w:rsidR="00CD1E92" w:rsidRPr="009E4EB8">
        <w:t xml:space="preserve"> adverse events that were treatment related.  </w:t>
      </w:r>
    </w:p>
    <w:p w14:paraId="34738F6C" w14:textId="25E6E379" w:rsidR="00055EA1" w:rsidRPr="009E4EB8" w:rsidRDefault="00055EA1" w:rsidP="00055EA1">
      <w:pPr>
        <w:pStyle w:val="Caption"/>
        <w:keepNext/>
        <w:spacing w:after="0"/>
        <w:rPr>
          <w:rStyle w:val="CommentReference"/>
          <w:b/>
          <w:bCs w:val="0"/>
          <w:color w:val="auto"/>
          <w:szCs w:val="20"/>
        </w:rPr>
      </w:pPr>
      <w:bookmarkStart w:id="52" w:name="_Ref91067543"/>
      <w:r w:rsidRPr="009E4EB8">
        <w:rPr>
          <w:rFonts w:ascii="Arial Narrow" w:hAnsi="Arial Narrow"/>
          <w:color w:val="auto"/>
          <w:sz w:val="20"/>
          <w:szCs w:val="20"/>
        </w:rPr>
        <w:t xml:space="preserve">Table </w:t>
      </w:r>
      <w:r w:rsidRPr="009E4EB8">
        <w:rPr>
          <w:rFonts w:ascii="Arial Narrow" w:hAnsi="Arial Narrow"/>
          <w:color w:val="auto"/>
          <w:sz w:val="20"/>
          <w:szCs w:val="20"/>
        </w:rPr>
        <w:fldChar w:fldCharType="begin"/>
      </w:r>
      <w:r w:rsidRPr="009E4EB8">
        <w:rPr>
          <w:rFonts w:ascii="Arial Narrow" w:hAnsi="Arial Narrow"/>
          <w:color w:val="auto"/>
          <w:sz w:val="20"/>
          <w:szCs w:val="20"/>
        </w:rPr>
        <w:instrText xml:space="preserve"> SEQ Table \* ARABIC </w:instrText>
      </w:r>
      <w:r w:rsidRPr="009E4EB8">
        <w:rPr>
          <w:rFonts w:ascii="Arial Narrow" w:hAnsi="Arial Narrow"/>
          <w:color w:val="auto"/>
          <w:sz w:val="20"/>
          <w:szCs w:val="20"/>
        </w:rPr>
        <w:fldChar w:fldCharType="separate"/>
      </w:r>
      <w:r w:rsidR="00964E38">
        <w:rPr>
          <w:rFonts w:ascii="Arial Narrow" w:hAnsi="Arial Narrow"/>
          <w:noProof/>
          <w:color w:val="auto"/>
          <w:sz w:val="20"/>
          <w:szCs w:val="20"/>
        </w:rPr>
        <w:t>8</w:t>
      </w:r>
      <w:r w:rsidRPr="009E4EB8">
        <w:rPr>
          <w:rFonts w:ascii="Arial Narrow" w:hAnsi="Arial Narrow"/>
          <w:color w:val="auto"/>
          <w:sz w:val="20"/>
          <w:szCs w:val="20"/>
        </w:rPr>
        <w:fldChar w:fldCharType="end"/>
      </w:r>
      <w:bookmarkEnd w:id="52"/>
      <w:r w:rsidRPr="009E4EB8">
        <w:rPr>
          <w:rFonts w:ascii="Arial Narrow" w:hAnsi="Arial Narrow"/>
          <w:color w:val="auto"/>
          <w:sz w:val="20"/>
          <w:szCs w:val="20"/>
        </w:rPr>
        <w:t>:</w:t>
      </w:r>
      <w:r w:rsidRPr="009E4EB8">
        <w:rPr>
          <w:rFonts w:ascii="Arial Narrow" w:hAnsi="Arial Narrow"/>
          <w:b w:val="0"/>
          <w:bCs w:val="0"/>
          <w:color w:val="auto"/>
          <w:sz w:val="20"/>
          <w:szCs w:val="20"/>
        </w:rPr>
        <w:t xml:space="preserve"> </w:t>
      </w:r>
      <w:r w:rsidRPr="009E4EB8">
        <w:rPr>
          <w:rStyle w:val="CommentReference"/>
          <w:b/>
          <w:bCs w:val="0"/>
          <w:color w:val="auto"/>
          <w:szCs w:val="20"/>
        </w:rPr>
        <w:t>Overall summary of treatment-emergent adverse events in STORM</w:t>
      </w:r>
    </w:p>
    <w:tbl>
      <w:tblPr>
        <w:tblStyle w:val="HTATableshaded"/>
        <w:tblW w:w="5000" w:type="pct"/>
        <w:tblLook w:val="04A0" w:firstRow="1" w:lastRow="0" w:firstColumn="1" w:lastColumn="0" w:noHBand="0" w:noVBand="1"/>
      </w:tblPr>
      <w:tblGrid>
        <w:gridCol w:w="5601"/>
        <w:gridCol w:w="3416"/>
      </w:tblGrid>
      <w:tr w:rsidR="00055EA1" w:rsidRPr="009E4EB8" w14:paraId="7C894D05" w14:textId="77777777" w:rsidTr="00055EA1">
        <w:trPr>
          <w:cnfStyle w:val="100000000000" w:firstRow="1" w:lastRow="0" w:firstColumn="0" w:lastColumn="0" w:oddVBand="0" w:evenVBand="0" w:oddHBand="0" w:evenHBand="0" w:firstRowFirstColumn="0" w:firstRowLastColumn="0" w:lastRowFirstColumn="0" w:lastRowLastColumn="0"/>
          <w:trHeight w:val="20"/>
        </w:trPr>
        <w:tc>
          <w:tcPr>
            <w:tcW w:w="5601" w:type="dxa"/>
            <w:shd w:val="clear" w:color="auto" w:fill="C6D9F1" w:themeFill="text2" w:themeFillTint="33"/>
          </w:tcPr>
          <w:p w14:paraId="2B34F4E3" w14:textId="77777777" w:rsidR="00055EA1" w:rsidRPr="009E4EB8" w:rsidRDefault="00055EA1" w:rsidP="00D041EE">
            <w:pPr>
              <w:keepNext/>
              <w:spacing w:before="0" w:after="0"/>
              <w:rPr>
                <w:rFonts w:ascii="Arial Narrow" w:hAnsi="Arial Narrow"/>
                <w:b/>
                <w:bCs/>
                <w:sz w:val="20"/>
                <w:szCs w:val="20"/>
              </w:rPr>
            </w:pPr>
            <w:r w:rsidRPr="009E4EB8">
              <w:rPr>
                <w:rFonts w:ascii="Arial Narrow" w:hAnsi="Arial Narrow"/>
                <w:b/>
                <w:bCs/>
                <w:sz w:val="20"/>
                <w:szCs w:val="20"/>
              </w:rPr>
              <w:t>Patients with at least 1 event by category</w:t>
            </w:r>
          </w:p>
        </w:tc>
        <w:tc>
          <w:tcPr>
            <w:tcW w:w="3416" w:type="dxa"/>
            <w:shd w:val="clear" w:color="auto" w:fill="C6D9F1" w:themeFill="text2" w:themeFillTint="33"/>
          </w:tcPr>
          <w:p w14:paraId="29A365E8" w14:textId="77777777" w:rsidR="00055EA1" w:rsidRPr="009E4EB8" w:rsidRDefault="00055EA1" w:rsidP="00D041EE">
            <w:pPr>
              <w:keepNext/>
              <w:spacing w:before="0" w:after="0"/>
              <w:jc w:val="center"/>
              <w:rPr>
                <w:rFonts w:ascii="Arial Narrow" w:hAnsi="Arial Narrow"/>
                <w:b/>
                <w:bCs/>
                <w:sz w:val="20"/>
                <w:szCs w:val="20"/>
              </w:rPr>
            </w:pPr>
            <w:r w:rsidRPr="009E4EB8">
              <w:rPr>
                <w:rFonts w:ascii="Arial Narrow" w:hAnsi="Arial Narrow"/>
                <w:b/>
                <w:bCs/>
                <w:sz w:val="20"/>
                <w:szCs w:val="20"/>
              </w:rPr>
              <w:t>SAP (N = 123) n (%)</w:t>
            </w:r>
          </w:p>
        </w:tc>
      </w:tr>
      <w:tr w:rsidR="00055EA1" w:rsidRPr="009E4EB8" w14:paraId="107AFA6E" w14:textId="77777777" w:rsidTr="00055EA1">
        <w:trPr>
          <w:trHeight w:val="20"/>
        </w:trPr>
        <w:tc>
          <w:tcPr>
            <w:tcW w:w="9017" w:type="dxa"/>
            <w:gridSpan w:val="2"/>
            <w:shd w:val="clear" w:color="auto" w:fill="C6D9F1" w:themeFill="text2" w:themeFillTint="33"/>
          </w:tcPr>
          <w:p w14:paraId="3A5CAD8E" w14:textId="77777777" w:rsidR="00055EA1" w:rsidRPr="009E4EB8" w:rsidRDefault="00055EA1" w:rsidP="00D041EE">
            <w:pPr>
              <w:keepNext/>
              <w:spacing w:before="0" w:after="0"/>
              <w:rPr>
                <w:rFonts w:ascii="Arial Narrow" w:hAnsi="Arial Narrow"/>
                <w:b/>
                <w:bCs/>
                <w:sz w:val="20"/>
                <w:szCs w:val="20"/>
              </w:rPr>
            </w:pPr>
            <w:r w:rsidRPr="009E4EB8">
              <w:rPr>
                <w:rFonts w:ascii="Arial Narrow" w:hAnsi="Arial Narrow"/>
                <w:b/>
                <w:bCs/>
                <w:sz w:val="20"/>
                <w:szCs w:val="20"/>
              </w:rPr>
              <w:t>All causality</w:t>
            </w:r>
            <w:r w:rsidRPr="009E4EB8">
              <w:rPr>
                <w:rFonts w:ascii="Arial Narrow" w:hAnsi="Arial Narrow"/>
                <w:b/>
                <w:bCs/>
                <w:sz w:val="20"/>
                <w:szCs w:val="20"/>
                <w:vertAlign w:val="superscript"/>
              </w:rPr>
              <w:t xml:space="preserve"> a</w:t>
            </w:r>
          </w:p>
        </w:tc>
      </w:tr>
      <w:tr w:rsidR="00055EA1" w:rsidRPr="009E4EB8" w14:paraId="401047BB" w14:textId="77777777" w:rsidTr="00D041EE">
        <w:trPr>
          <w:trHeight w:val="20"/>
        </w:trPr>
        <w:tc>
          <w:tcPr>
            <w:tcW w:w="0" w:type="auto"/>
            <w:shd w:val="clear" w:color="auto" w:fill="C6D9F1" w:themeFill="text2" w:themeFillTint="33"/>
          </w:tcPr>
          <w:p w14:paraId="58E5F945"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cs="Times New Roman"/>
                <w:color w:val="000000"/>
                <w:sz w:val="20"/>
                <w:szCs w:val="20"/>
              </w:rPr>
              <w:t xml:space="preserve">TEAE </w:t>
            </w:r>
          </w:p>
        </w:tc>
        <w:tc>
          <w:tcPr>
            <w:tcW w:w="0" w:type="auto"/>
            <w:shd w:val="clear" w:color="auto" w:fill="C6D9F1" w:themeFill="text2" w:themeFillTint="33"/>
          </w:tcPr>
          <w:p w14:paraId="0998A576" w14:textId="77777777" w:rsidR="00055EA1" w:rsidRPr="009E4EB8" w:rsidRDefault="00055EA1" w:rsidP="00D041EE">
            <w:pPr>
              <w:keepNext/>
              <w:autoSpaceDE w:val="0"/>
              <w:autoSpaceDN w:val="0"/>
              <w:adjustRightInd w:val="0"/>
              <w:spacing w:before="0" w:after="0"/>
              <w:jc w:val="center"/>
              <w:rPr>
                <w:rFonts w:ascii="Arial Narrow" w:hAnsi="Arial Narrow" w:cs="Times New Roman"/>
                <w:color w:val="000000"/>
                <w:sz w:val="20"/>
                <w:szCs w:val="20"/>
              </w:rPr>
            </w:pPr>
            <w:r w:rsidRPr="009E4EB8">
              <w:rPr>
                <w:rFonts w:ascii="Arial Narrow" w:hAnsi="Arial Narrow" w:cs="Times New Roman"/>
                <w:color w:val="000000"/>
                <w:sz w:val="20"/>
                <w:szCs w:val="20"/>
              </w:rPr>
              <w:t>123 (100)</w:t>
            </w:r>
          </w:p>
        </w:tc>
      </w:tr>
      <w:tr w:rsidR="00055EA1" w:rsidRPr="009E4EB8" w14:paraId="29EF0CE4" w14:textId="77777777" w:rsidTr="00D041EE">
        <w:trPr>
          <w:trHeight w:val="20"/>
        </w:trPr>
        <w:tc>
          <w:tcPr>
            <w:tcW w:w="0" w:type="auto"/>
            <w:shd w:val="clear" w:color="auto" w:fill="C6D9F1" w:themeFill="text2" w:themeFillTint="33"/>
          </w:tcPr>
          <w:p w14:paraId="4B9C9CB0"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cs="Times New Roman"/>
                <w:color w:val="000000"/>
                <w:sz w:val="20"/>
                <w:szCs w:val="20"/>
              </w:rPr>
              <w:t xml:space="preserve">Grade 3 or 4 TEAE </w:t>
            </w:r>
          </w:p>
        </w:tc>
        <w:tc>
          <w:tcPr>
            <w:tcW w:w="0" w:type="auto"/>
            <w:shd w:val="clear" w:color="auto" w:fill="C6D9F1" w:themeFill="text2" w:themeFillTint="33"/>
          </w:tcPr>
          <w:p w14:paraId="5233D7EA" w14:textId="77777777" w:rsidR="00055EA1" w:rsidRPr="009E4EB8" w:rsidRDefault="00055EA1" w:rsidP="00D041EE">
            <w:pPr>
              <w:keepNext/>
              <w:autoSpaceDE w:val="0"/>
              <w:autoSpaceDN w:val="0"/>
              <w:adjustRightInd w:val="0"/>
              <w:spacing w:before="0" w:after="0"/>
              <w:jc w:val="center"/>
              <w:rPr>
                <w:rFonts w:ascii="Arial Narrow" w:hAnsi="Arial Narrow" w:cs="Times New Roman"/>
                <w:color w:val="000000"/>
                <w:sz w:val="20"/>
                <w:szCs w:val="20"/>
              </w:rPr>
            </w:pPr>
            <w:r w:rsidRPr="009E4EB8">
              <w:rPr>
                <w:rFonts w:ascii="Arial Narrow" w:hAnsi="Arial Narrow" w:cs="Times New Roman"/>
                <w:color w:val="000000"/>
                <w:sz w:val="20"/>
                <w:szCs w:val="20"/>
              </w:rPr>
              <w:t>115 (93.5)</w:t>
            </w:r>
          </w:p>
        </w:tc>
      </w:tr>
      <w:tr w:rsidR="00055EA1" w:rsidRPr="009E4EB8" w14:paraId="184A53E7" w14:textId="77777777" w:rsidTr="00D041EE">
        <w:trPr>
          <w:trHeight w:val="20"/>
        </w:trPr>
        <w:tc>
          <w:tcPr>
            <w:tcW w:w="0" w:type="auto"/>
            <w:shd w:val="clear" w:color="auto" w:fill="C6D9F1" w:themeFill="text2" w:themeFillTint="33"/>
          </w:tcPr>
          <w:p w14:paraId="52CE5B59"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cs="Times New Roman"/>
                <w:color w:val="000000"/>
                <w:sz w:val="20"/>
                <w:szCs w:val="20"/>
              </w:rPr>
              <w:t xml:space="preserve">TESAE </w:t>
            </w:r>
          </w:p>
        </w:tc>
        <w:tc>
          <w:tcPr>
            <w:tcW w:w="0" w:type="auto"/>
            <w:shd w:val="clear" w:color="auto" w:fill="C6D9F1" w:themeFill="text2" w:themeFillTint="33"/>
          </w:tcPr>
          <w:p w14:paraId="51933AF9" w14:textId="77777777" w:rsidR="00055EA1" w:rsidRPr="009E4EB8" w:rsidRDefault="00055EA1" w:rsidP="00D041EE">
            <w:pPr>
              <w:keepNext/>
              <w:autoSpaceDE w:val="0"/>
              <w:autoSpaceDN w:val="0"/>
              <w:adjustRightInd w:val="0"/>
              <w:spacing w:before="0" w:after="0"/>
              <w:jc w:val="center"/>
              <w:rPr>
                <w:rFonts w:ascii="Arial Narrow" w:hAnsi="Arial Narrow" w:cs="Times New Roman"/>
                <w:color w:val="000000"/>
                <w:sz w:val="20"/>
                <w:szCs w:val="20"/>
              </w:rPr>
            </w:pPr>
            <w:r w:rsidRPr="009E4EB8">
              <w:rPr>
                <w:rFonts w:ascii="Arial Narrow" w:hAnsi="Arial Narrow" w:cs="Times New Roman"/>
                <w:color w:val="000000"/>
                <w:sz w:val="20"/>
                <w:szCs w:val="20"/>
              </w:rPr>
              <w:t>78 (63.4)</w:t>
            </w:r>
          </w:p>
        </w:tc>
      </w:tr>
      <w:tr w:rsidR="00055EA1" w:rsidRPr="009E4EB8" w14:paraId="204678F5" w14:textId="77777777" w:rsidTr="00D041EE">
        <w:trPr>
          <w:trHeight w:val="20"/>
        </w:trPr>
        <w:tc>
          <w:tcPr>
            <w:tcW w:w="0" w:type="auto"/>
            <w:shd w:val="clear" w:color="auto" w:fill="C6D9F1" w:themeFill="text2" w:themeFillTint="33"/>
          </w:tcPr>
          <w:p w14:paraId="7681788A"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cs="Times New Roman"/>
                <w:color w:val="000000"/>
                <w:sz w:val="20"/>
                <w:szCs w:val="20"/>
              </w:rPr>
              <w:t xml:space="preserve">TEAE leading to dose modification </w:t>
            </w:r>
          </w:p>
        </w:tc>
        <w:tc>
          <w:tcPr>
            <w:tcW w:w="0" w:type="auto"/>
            <w:shd w:val="clear" w:color="auto" w:fill="C6D9F1" w:themeFill="text2" w:themeFillTint="33"/>
          </w:tcPr>
          <w:p w14:paraId="5FFA4C1A" w14:textId="77777777" w:rsidR="00055EA1" w:rsidRPr="009E4EB8" w:rsidRDefault="00055EA1" w:rsidP="00D041EE">
            <w:pPr>
              <w:keepNext/>
              <w:autoSpaceDE w:val="0"/>
              <w:autoSpaceDN w:val="0"/>
              <w:adjustRightInd w:val="0"/>
              <w:spacing w:before="0" w:after="0"/>
              <w:jc w:val="center"/>
              <w:rPr>
                <w:rFonts w:ascii="Arial Narrow" w:hAnsi="Arial Narrow" w:cs="Times New Roman"/>
                <w:color w:val="000000"/>
                <w:sz w:val="20"/>
                <w:szCs w:val="20"/>
              </w:rPr>
            </w:pPr>
            <w:r w:rsidRPr="009E4EB8">
              <w:rPr>
                <w:rFonts w:ascii="Arial Narrow" w:hAnsi="Arial Narrow" w:cs="Times New Roman"/>
                <w:color w:val="000000"/>
                <w:sz w:val="20"/>
                <w:szCs w:val="20"/>
              </w:rPr>
              <w:t>97 (78.9)</w:t>
            </w:r>
          </w:p>
        </w:tc>
      </w:tr>
      <w:tr w:rsidR="00055EA1" w:rsidRPr="009E4EB8" w14:paraId="32151C53" w14:textId="77777777" w:rsidTr="00D041EE">
        <w:trPr>
          <w:trHeight w:val="20"/>
        </w:trPr>
        <w:tc>
          <w:tcPr>
            <w:tcW w:w="0" w:type="auto"/>
            <w:shd w:val="clear" w:color="auto" w:fill="C6D9F1" w:themeFill="text2" w:themeFillTint="33"/>
          </w:tcPr>
          <w:p w14:paraId="4A9B1DFA"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cs="Times New Roman"/>
                <w:color w:val="000000"/>
                <w:sz w:val="20"/>
                <w:szCs w:val="20"/>
              </w:rPr>
              <w:t xml:space="preserve">TEAE leading to dose hold </w:t>
            </w:r>
          </w:p>
        </w:tc>
        <w:tc>
          <w:tcPr>
            <w:tcW w:w="0" w:type="auto"/>
            <w:shd w:val="clear" w:color="auto" w:fill="C6D9F1" w:themeFill="text2" w:themeFillTint="33"/>
          </w:tcPr>
          <w:p w14:paraId="3BD9EAE5" w14:textId="77777777" w:rsidR="00055EA1" w:rsidRPr="009E4EB8" w:rsidRDefault="00055EA1" w:rsidP="00D041EE">
            <w:pPr>
              <w:keepNext/>
              <w:autoSpaceDE w:val="0"/>
              <w:autoSpaceDN w:val="0"/>
              <w:adjustRightInd w:val="0"/>
              <w:spacing w:before="0" w:after="0"/>
              <w:jc w:val="center"/>
              <w:rPr>
                <w:rFonts w:ascii="Arial Narrow" w:hAnsi="Arial Narrow" w:cs="Times New Roman"/>
                <w:color w:val="000000"/>
                <w:sz w:val="20"/>
                <w:szCs w:val="20"/>
              </w:rPr>
            </w:pPr>
            <w:r w:rsidRPr="009E4EB8">
              <w:rPr>
                <w:rFonts w:ascii="Arial Narrow" w:hAnsi="Arial Narrow" w:cs="Times New Roman"/>
                <w:color w:val="000000"/>
                <w:sz w:val="20"/>
                <w:szCs w:val="20"/>
              </w:rPr>
              <w:t>80 (65.0)</w:t>
            </w:r>
          </w:p>
        </w:tc>
      </w:tr>
      <w:tr w:rsidR="00055EA1" w:rsidRPr="009E4EB8" w14:paraId="79E37FB0" w14:textId="77777777" w:rsidTr="00D041EE">
        <w:trPr>
          <w:trHeight w:val="20"/>
        </w:trPr>
        <w:tc>
          <w:tcPr>
            <w:tcW w:w="0" w:type="auto"/>
            <w:shd w:val="clear" w:color="auto" w:fill="C6D9F1" w:themeFill="text2" w:themeFillTint="33"/>
          </w:tcPr>
          <w:p w14:paraId="6EEC5A6A"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cs="Times New Roman"/>
                <w:color w:val="000000"/>
                <w:sz w:val="20"/>
                <w:szCs w:val="20"/>
              </w:rPr>
              <w:t xml:space="preserve">TEAE leading to dose reduction </w:t>
            </w:r>
          </w:p>
        </w:tc>
        <w:tc>
          <w:tcPr>
            <w:tcW w:w="0" w:type="auto"/>
            <w:shd w:val="clear" w:color="auto" w:fill="C6D9F1" w:themeFill="text2" w:themeFillTint="33"/>
          </w:tcPr>
          <w:p w14:paraId="7C559289" w14:textId="77777777" w:rsidR="00055EA1" w:rsidRPr="009E4EB8" w:rsidRDefault="00055EA1" w:rsidP="00D041EE">
            <w:pPr>
              <w:keepNext/>
              <w:autoSpaceDE w:val="0"/>
              <w:autoSpaceDN w:val="0"/>
              <w:adjustRightInd w:val="0"/>
              <w:spacing w:before="0" w:after="0"/>
              <w:jc w:val="center"/>
              <w:rPr>
                <w:rFonts w:ascii="Arial Narrow" w:hAnsi="Arial Narrow" w:cs="Times New Roman"/>
                <w:color w:val="000000"/>
                <w:sz w:val="20"/>
                <w:szCs w:val="20"/>
              </w:rPr>
            </w:pPr>
            <w:r w:rsidRPr="009E4EB8">
              <w:rPr>
                <w:rFonts w:ascii="Arial Narrow" w:hAnsi="Arial Narrow" w:cs="Times New Roman"/>
                <w:color w:val="000000"/>
                <w:sz w:val="20"/>
                <w:szCs w:val="20"/>
              </w:rPr>
              <w:t>72 (58.5)</w:t>
            </w:r>
          </w:p>
        </w:tc>
      </w:tr>
      <w:tr w:rsidR="00055EA1" w:rsidRPr="009E4EB8" w14:paraId="477175C0" w14:textId="77777777" w:rsidTr="00D041EE">
        <w:trPr>
          <w:trHeight w:val="20"/>
        </w:trPr>
        <w:tc>
          <w:tcPr>
            <w:tcW w:w="0" w:type="auto"/>
            <w:shd w:val="clear" w:color="auto" w:fill="C6D9F1" w:themeFill="text2" w:themeFillTint="33"/>
          </w:tcPr>
          <w:p w14:paraId="27A66EC3"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cs="Times New Roman"/>
                <w:color w:val="000000"/>
                <w:sz w:val="20"/>
                <w:szCs w:val="20"/>
              </w:rPr>
              <w:t xml:space="preserve">TEAE leading to treatment discontinuation </w:t>
            </w:r>
          </w:p>
        </w:tc>
        <w:tc>
          <w:tcPr>
            <w:tcW w:w="0" w:type="auto"/>
            <w:shd w:val="clear" w:color="auto" w:fill="C6D9F1" w:themeFill="text2" w:themeFillTint="33"/>
          </w:tcPr>
          <w:p w14:paraId="36F3F101" w14:textId="77777777" w:rsidR="00055EA1" w:rsidRPr="009E4EB8" w:rsidRDefault="00055EA1" w:rsidP="00D041EE">
            <w:pPr>
              <w:keepNext/>
              <w:autoSpaceDE w:val="0"/>
              <w:autoSpaceDN w:val="0"/>
              <w:adjustRightInd w:val="0"/>
              <w:spacing w:before="0" w:after="0"/>
              <w:jc w:val="center"/>
              <w:rPr>
                <w:rFonts w:ascii="Arial Narrow" w:hAnsi="Arial Narrow" w:cs="Times New Roman"/>
                <w:color w:val="000000"/>
                <w:sz w:val="20"/>
                <w:szCs w:val="20"/>
              </w:rPr>
            </w:pPr>
            <w:r w:rsidRPr="009E4EB8">
              <w:rPr>
                <w:rFonts w:ascii="Arial Narrow" w:hAnsi="Arial Narrow" w:cs="Times New Roman"/>
                <w:color w:val="000000"/>
                <w:sz w:val="20"/>
                <w:szCs w:val="20"/>
              </w:rPr>
              <w:t>39 (31.7)</w:t>
            </w:r>
          </w:p>
        </w:tc>
      </w:tr>
      <w:tr w:rsidR="00055EA1" w:rsidRPr="009E4EB8" w14:paraId="3B438E27" w14:textId="77777777" w:rsidTr="00D041EE">
        <w:trPr>
          <w:trHeight w:val="20"/>
        </w:trPr>
        <w:tc>
          <w:tcPr>
            <w:tcW w:w="0" w:type="auto"/>
            <w:shd w:val="clear" w:color="auto" w:fill="C6D9F1" w:themeFill="text2" w:themeFillTint="33"/>
          </w:tcPr>
          <w:p w14:paraId="66BF1E0A"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cs="Times New Roman"/>
                <w:color w:val="000000"/>
                <w:sz w:val="20"/>
                <w:szCs w:val="20"/>
              </w:rPr>
              <w:t xml:space="preserve">TEAE with an outcome of death </w:t>
            </w:r>
          </w:p>
        </w:tc>
        <w:tc>
          <w:tcPr>
            <w:tcW w:w="0" w:type="auto"/>
            <w:shd w:val="clear" w:color="auto" w:fill="C6D9F1" w:themeFill="text2" w:themeFillTint="33"/>
          </w:tcPr>
          <w:p w14:paraId="4CF056ED" w14:textId="77777777" w:rsidR="00055EA1" w:rsidRPr="009E4EB8" w:rsidRDefault="00055EA1" w:rsidP="00D041EE">
            <w:pPr>
              <w:keepNext/>
              <w:autoSpaceDE w:val="0"/>
              <w:autoSpaceDN w:val="0"/>
              <w:adjustRightInd w:val="0"/>
              <w:spacing w:before="0" w:after="0"/>
              <w:jc w:val="center"/>
              <w:rPr>
                <w:rFonts w:ascii="Arial Narrow" w:hAnsi="Arial Narrow" w:cs="Times New Roman"/>
                <w:color w:val="000000"/>
                <w:sz w:val="20"/>
                <w:szCs w:val="20"/>
              </w:rPr>
            </w:pPr>
            <w:r w:rsidRPr="009E4EB8">
              <w:rPr>
                <w:rFonts w:ascii="Arial Narrow" w:hAnsi="Arial Narrow" w:cs="Times New Roman"/>
                <w:color w:val="000000"/>
                <w:sz w:val="20"/>
                <w:szCs w:val="20"/>
              </w:rPr>
              <w:t>12 (9.8)</w:t>
            </w:r>
          </w:p>
        </w:tc>
      </w:tr>
      <w:tr w:rsidR="00055EA1" w:rsidRPr="009E4EB8" w14:paraId="0D7E106F" w14:textId="77777777" w:rsidTr="00055EA1">
        <w:trPr>
          <w:trHeight w:val="20"/>
        </w:trPr>
        <w:tc>
          <w:tcPr>
            <w:tcW w:w="9017" w:type="dxa"/>
            <w:gridSpan w:val="2"/>
            <w:shd w:val="clear" w:color="auto" w:fill="C6D9F1" w:themeFill="text2" w:themeFillTint="33"/>
          </w:tcPr>
          <w:p w14:paraId="29B12FA8"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b/>
                <w:bCs/>
                <w:sz w:val="20"/>
                <w:szCs w:val="20"/>
              </w:rPr>
              <w:t xml:space="preserve">Treatment related </w:t>
            </w:r>
            <w:r w:rsidRPr="009E4EB8">
              <w:rPr>
                <w:rFonts w:ascii="Arial Narrow" w:hAnsi="Arial Narrow"/>
                <w:b/>
                <w:bCs/>
                <w:sz w:val="20"/>
                <w:szCs w:val="20"/>
                <w:vertAlign w:val="superscript"/>
              </w:rPr>
              <w:t xml:space="preserve">b </w:t>
            </w:r>
          </w:p>
        </w:tc>
      </w:tr>
      <w:tr w:rsidR="00055EA1" w:rsidRPr="009E4EB8" w14:paraId="45177B68" w14:textId="77777777" w:rsidTr="00D041EE">
        <w:trPr>
          <w:trHeight w:val="20"/>
        </w:trPr>
        <w:tc>
          <w:tcPr>
            <w:tcW w:w="0" w:type="auto"/>
            <w:shd w:val="clear" w:color="auto" w:fill="C6D9F1" w:themeFill="text2" w:themeFillTint="33"/>
          </w:tcPr>
          <w:p w14:paraId="384921FB"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cs="Times New Roman"/>
                <w:color w:val="000000"/>
                <w:sz w:val="20"/>
                <w:szCs w:val="20"/>
              </w:rPr>
              <w:t xml:space="preserve">TEAE </w:t>
            </w:r>
          </w:p>
        </w:tc>
        <w:tc>
          <w:tcPr>
            <w:tcW w:w="0" w:type="auto"/>
            <w:shd w:val="clear" w:color="auto" w:fill="C6D9F1" w:themeFill="text2" w:themeFillTint="33"/>
          </w:tcPr>
          <w:p w14:paraId="68A961BD" w14:textId="77777777" w:rsidR="00055EA1" w:rsidRPr="009E4EB8" w:rsidRDefault="00055EA1" w:rsidP="00D041EE">
            <w:pPr>
              <w:keepNext/>
              <w:autoSpaceDE w:val="0"/>
              <w:autoSpaceDN w:val="0"/>
              <w:adjustRightInd w:val="0"/>
              <w:spacing w:before="0" w:after="0"/>
              <w:jc w:val="center"/>
              <w:rPr>
                <w:rFonts w:ascii="Arial Narrow" w:hAnsi="Arial Narrow" w:cs="Times New Roman"/>
                <w:color w:val="000000"/>
                <w:sz w:val="20"/>
                <w:szCs w:val="20"/>
              </w:rPr>
            </w:pPr>
            <w:r w:rsidRPr="009E4EB8">
              <w:rPr>
                <w:rFonts w:ascii="Arial Narrow" w:hAnsi="Arial Narrow" w:cs="Times New Roman"/>
                <w:color w:val="000000"/>
                <w:sz w:val="20"/>
                <w:szCs w:val="20"/>
              </w:rPr>
              <w:t>121 (98.4)</w:t>
            </w:r>
          </w:p>
        </w:tc>
      </w:tr>
      <w:tr w:rsidR="00055EA1" w:rsidRPr="009E4EB8" w14:paraId="02CD2B91" w14:textId="77777777" w:rsidTr="00D041EE">
        <w:trPr>
          <w:trHeight w:val="20"/>
        </w:trPr>
        <w:tc>
          <w:tcPr>
            <w:tcW w:w="0" w:type="auto"/>
            <w:shd w:val="clear" w:color="auto" w:fill="C6D9F1" w:themeFill="text2" w:themeFillTint="33"/>
          </w:tcPr>
          <w:p w14:paraId="30E62644"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cs="Times New Roman"/>
                <w:color w:val="000000"/>
                <w:sz w:val="20"/>
                <w:szCs w:val="20"/>
              </w:rPr>
              <w:t xml:space="preserve">Grade 3 or 4 TEAE </w:t>
            </w:r>
          </w:p>
        </w:tc>
        <w:tc>
          <w:tcPr>
            <w:tcW w:w="0" w:type="auto"/>
            <w:shd w:val="clear" w:color="auto" w:fill="C6D9F1" w:themeFill="text2" w:themeFillTint="33"/>
          </w:tcPr>
          <w:p w14:paraId="0856BE3F" w14:textId="77777777" w:rsidR="00055EA1" w:rsidRPr="009E4EB8" w:rsidRDefault="00055EA1" w:rsidP="00D041EE">
            <w:pPr>
              <w:keepNext/>
              <w:autoSpaceDE w:val="0"/>
              <w:autoSpaceDN w:val="0"/>
              <w:adjustRightInd w:val="0"/>
              <w:spacing w:before="0" w:after="0"/>
              <w:jc w:val="center"/>
              <w:rPr>
                <w:rFonts w:ascii="Arial Narrow" w:hAnsi="Arial Narrow" w:cs="Times New Roman"/>
                <w:color w:val="000000"/>
                <w:sz w:val="20"/>
                <w:szCs w:val="20"/>
              </w:rPr>
            </w:pPr>
            <w:r w:rsidRPr="009E4EB8">
              <w:rPr>
                <w:rFonts w:ascii="Arial Narrow" w:hAnsi="Arial Narrow" w:cs="Times New Roman"/>
                <w:color w:val="000000"/>
                <w:sz w:val="20"/>
                <w:szCs w:val="20"/>
              </w:rPr>
              <w:t>110 (89.4)</w:t>
            </w:r>
          </w:p>
        </w:tc>
      </w:tr>
      <w:tr w:rsidR="00055EA1" w:rsidRPr="009E4EB8" w14:paraId="28B3D1AA" w14:textId="77777777" w:rsidTr="00D041EE">
        <w:trPr>
          <w:trHeight w:val="20"/>
        </w:trPr>
        <w:tc>
          <w:tcPr>
            <w:tcW w:w="0" w:type="auto"/>
            <w:shd w:val="clear" w:color="auto" w:fill="C6D9F1" w:themeFill="text2" w:themeFillTint="33"/>
          </w:tcPr>
          <w:p w14:paraId="140D0164"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cs="Times New Roman"/>
                <w:color w:val="000000"/>
                <w:sz w:val="20"/>
                <w:szCs w:val="20"/>
              </w:rPr>
              <w:t xml:space="preserve">TESAE </w:t>
            </w:r>
          </w:p>
        </w:tc>
        <w:tc>
          <w:tcPr>
            <w:tcW w:w="0" w:type="auto"/>
            <w:shd w:val="clear" w:color="auto" w:fill="C6D9F1" w:themeFill="text2" w:themeFillTint="33"/>
          </w:tcPr>
          <w:p w14:paraId="51FB1725" w14:textId="77777777" w:rsidR="00055EA1" w:rsidRPr="009E4EB8" w:rsidRDefault="00055EA1" w:rsidP="00D041EE">
            <w:pPr>
              <w:keepNext/>
              <w:autoSpaceDE w:val="0"/>
              <w:autoSpaceDN w:val="0"/>
              <w:adjustRightInd w:val="0"/>
              <w:spacing w:before="0" w:after="0"/>
              <w:jc w:val="center"/>
              <w:rPr>
                <w:rFonts w:ascii="Arial Narrow" w:hAnsi="Arial Narrow" w:cs="Times New Roman"/>
                <w:color w:val="000000"/>
                <w:sz w:val="20"/>
                <w:szCs w:val="20"/>
              </w:rPr>
            </w:pPr>
            <w:r w:rsidRPr="009E4EB8">
              <w:rPr>
                <w:rFonts w:ascii="Arial Narrow" w:hAnsi="Arial Narrow" w:cs="Times New Roman"/>
                <w:color w:val="000000"/>
                <w:sz w:val="20"/>
                <w:szCs w:val="20"/>
              </w:rPr>
              <w:t>38 (30.9)</w:t>
            </w:r>
          </w:p>
        </w:tc>
      </w:tr>
      <w:tr w:rsidR="00055EA1" w:rsidRPr="009E4EB8" w14:paraId="6868EC0C" w14:textId="77777777" w:rsidTr="00D041EE">
        <w:trPr>
          <w:trHeight w:val="20"/>
        </w:trPr>
        <w:tc>
          <w:tcPr>
            <w:tcW w:w="0" w:type="auto"/>
            <w:shd w:val="clear" w:color="auto" w:fill="C6D9F1" w:themeFill="text2" w:themeFillTint="33"/>
          </w:tcPr>
          <w:p w14:paraId="157F3DD4"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cs="Times New Roman"/>
                <w:color w:val="000000"/>
                <w:sz w:val="20"/>
                <w:szCs w:val="20"/>
              </w:rPr>
              <w:t xml:space="preserve">TEAE leading to dose modification </w:t>
            </w:r>
          </w:p>
        </w:tc>
        <w:tc>
          <w:tcPr>
            <w:tcW w:w="0" w:type="auto"/>
            <w:shd w:val="clear" w:color="auto" w:fill="C6D9F1" w:themeFill="text2" w:themeFillTint="33"/>
          </w:tcPr>
          <w:p w14:paraId="4D73A40A" w14:textId="77777777" w:rsidR="00055EA1" w:rsidRPr="009E4EB8" w:rsidRDefault="00055EA1" w:rsidP="00D041EE">
            <w:pPr>
              <w:keepNext/>
              <w:autoSpaceDE w:val="0"/>
              <w:autoSpaceDN w:val="0"/>
              <w:adjustRightInd w:val="0"/>
              <w:spacing w:before="0" w:after="0"/>
              <w:jc w:val="center"/>
              <w:rPr>
                <w:rFonts w:ascii="Arial Narrow" w:hAnsi="Arial Narrow" w:cs="Times New Roman"/>
                <w:color w:val="000000"/>
                <w:sz w:val="20"/>
                <w:szCs w:val="20"/>
              </w:rPr>
            </w:pPr>
            <w:r w:rsidRPr="009E4EB8">
              <w:rPr>
                <w:rFonts w:ascii="Arial Narrow" w:hAnsi="Arial Narrow" w:cs="Times New Roman"/>
                <w:color w:val="000000"/>
                <w:sz w:val="20"/>
                <w:szCs w:val="20"/>
              </w:rPr>
              <w:t>88 (71.5)</w:t>
            </w:r>
          </w:p>
        </w:tc>
      </w:tr>
      <w:tr w:rsidR="00055EA1" w:rsidRPr="009E4EB8" w14:paraId="01D1731D" w14:textId="77777777" w:rsidTr="00D041EE">
        <w:trPr>
          <w:trHeight w:val="20"/>
        </w:trPr>
        <w:tc>
          <w:tcPr>
            <w:tcW w:w="0" w:type="auto"/>
            <w:shd w:val="clear" w:color="auto" w:fill="C6D9F1" w:themeFill="text2" w:themeFillTint="33"/>
          </w:tcPr>
          <w:p w14:paraId="1C346F17"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cs="Times New Roman"/>
                <w:color w:val="000000"/>
                <w:sz w:val="20"/>
                <w:szCs w:val="20"/>
              </w:rPr>
              <w:t xml:space="preserve">TEAE leading to dose hold </w:t>
            </w:r>
          </w:p>
        </w:tc>
        <w:tc>
          <w:tcPr>
            <w:tcW w:w="0" w:type="auto"/>
            <w:shd w:val="clear" w:color="auto" w:fill="C6D9F1" w:themeFill="text2" w:themeFillTint="33"/>
          </w:tcPr>
          <w:p w14:paraId="229679F5" w14:textId="77777777" w:rsidR="00055EA1" w:rsidRPr="009E4EB8" w:rsidRDefault="00055EA1" w:rsidP="00D041EE">
            <w:pPr>
              <w:keepNext/>
              <w:autoSpaceDE w:val="0"/>
              <w:autoSpaceDN w:val="0"/>
              <w:adjustRightInd w:val="0"/>
              <w:spacing w:before="0" w:after="0"/>
              <w:jc w:val="center"/>
              <w:rPr>
                <w:rFonts w:ascii="Arial Narrow" w:hAnsi="Arial Narrow" w:cs="Times New Roman"/>
                <w:color w:val="000000"/>
                <w:sz w:val="20"/>
                <w:szCs w:val="20"/>
              </w:rPr>
            </w:pPr>
            <w:r w:rsidRPr="009E4EB8">
              <w:rPr>
                <w:rFonts w:ascii="Arial Narrow" w:hAnsi="Arial Narrow" w:cs="Times New Roman"/>
                <w:color w:val="000000"/>
                <w:sz w:val="20"/>
                <w:szCs w:val="20"/>
              </w:rPr>
              <w:t>64 (52.0)</w:t>
            </w:r>
          </w:p>
        </w:tc>
      </w:tr>
      <w:tr w:rsidR="00055EA1" w:rsidRPr="009E4EB8" w14:paraId="48575D21" w14:textId="77777777" w:rsidTr="00D041EE">
        <w:trPr>
          <w:trHeight w:val="20"/>
        </w:trPr>
        <w:tc>
          <w:tcPr>
            <w:tcW w:w="0" w:type="auto"/>
            <w:shd w:val="clear" w:color="auto" w:fill="C6D9F1" w:themeFill="text2" w:themeFillTint="33"/>
          </w:tcPr>
          <w:p w14:paraId="5B39E179"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cs="Times New Roman"/>
                <w:color w:val="000000"/>
                <w:sz w:val="20"/>
                <w:szCs w:val="20"/>
              </w:rPr>
              <w:t xml:space="preserve">TEAE leading to dose reduction </w:t>
            </w:r>
          </w:p>
        </w:tc>
        <w:tc>
          <w:tcPr>
            <w:tcW w:w="0" w:type="auto"/>
            <w:shd w:val="clear" w:color="auto" w:fill="C6D9F1" w:themeFill="text2" w:themeFillTint="33"/>
          </w:tcPr>
          <w:p w14:paraId="568BB2CE" w14:textId="77777777" w:rsidR="00055EA1" w:rsidRPr="009E4EB8" w:rsidRDefault="00055EA1" w:rsidP="00D041EE">
            <w:pPr>
              <w:keepNext/>
              <w:autoSpaceDE w:val="0"/>
              <w:autoSpaceDN w:val="0"/>
              <w:adjustRightInd w:val="0"/>
              <w:spacing w:before="0" w:after="0"/>
              <w:jc w:val="center"/>
              <w:rPr>
                <w:rFonts w:ascii="Arial Narrow" w:hAnsi="Arial Narrow" w:cs="Times New Roman"/>
                <w:color w:val="000000"/>
                <w:sz w:val="20"/>
                <w:szCs w:val="20"/>
              </w:rPr>
            </w:pPr>
            <w:r w:rsidRPr="009E4EB8">
              <w:rPr>
                <w:rFonts w:ascii="Arial Narrow" w:hAnsi="Arial Narrow" w:cs="Times New Roman"/>
                <w:color w:val="000000"/>
                <w:sz w:val="20"/>
                <w:szCs w:val="20"/>
              </w:rPr>
              <w:t>70 (56.9)</w:t>
            </w:r>
          </w:p>
        </w:tc>
      </w:tr>
      <w:tr w:rsidR="00055EA1" w:rsidRPr="009E4EB8" w14:paraId="018121FA" w14:textId="77777777" w:rsidTr="00D041EE">
        <w:trPr>
          <w:trHeight w:val="20"/>
        </w:trPr>
        <w:tc>
          <w:tcPr>
            <w:tcW w:w="0" w:type="auto"/>
            <w:shd w:val="clear" w:color="auto" w:fill="C6D9F1" w:themeFill="text2" w:themeFillTint="33"/>
          </w:tcPr>
          <w:p w14:paraId="5A9CA217"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cs="Times New Roman"/>
                <w:color w:val="000000"/>
                <w:sz w:val="20"/>
                <w:szCs w:val="20"/>
              </w:rPr>
              <w:t xml:space="preserve">TEAE leading to treatment discontinuation </w:t>
            </w:r>
          </w:p>
        </w:tc>
        <w:tc>
          <w:tcPr>
            <w:tcW w:w="0" w:type="auto"/>
            <w:shd w:val="clear" w:color="auto" w:fill="C6D9F1" w:themeFill="text2" w:themeFillTint="33"/>
          </w:tcPr>
          <w:p w14:paraId="460323CC" w14:textId="77777777" w:rsidR="00055EA1" w:rsidRPr="009E4EB8" w:rsidRDefault="00055EA1" w:rsidP="00D041EE">
            <w:pPr>
              <w:keepNext/>
              <w:autoSpaceDE w:val="0"/>
              <w:autoSpaceDN w:val="0"/>
              <w:adjustRightInd w:val="0"/>
              <w:spacing w:before="0" w:after="0"/>
              <w:jc w:val="center"/>
              <w:rPr>
                <w:rFonts w:ascii="Arial Narrow" w:hAnsi="Arial Narrow" w:cs="Times New Roman"/>
                <w:color w:val="000000"/>
                <w:sz w:val="20"/>
                <w:szCs w:val="20"/>
              </w:rPr>
            </w:pPr>
            <w:r w:rsidRPr="009E4EB8">
              <w:rPr>
                <w:rFonts w:ascii="Arial Narrow" w:hAnsi="Arial Narrow" w:cs="Times New Roman"/>
                <w:color w:val="000000"/>
                <w:sz w:val="20"/>
                <w:szCs w:val="20"/>
              </w:rPr>
              <w:t>24 (19.5)</w:t>
            </w:r>
          </w:p>
        </w:tc>
      </w:tr>
      <w:tr w:rsidR="00055EA1" w:rsidRPr="009E4EB8" w14:paraId="4869BB2D" w14:textId="77777777" w:rsidTr="00D041EE">
        <w:trPr>
          <w:trHeight w:val="20"/>
        </w:trPr>
        <w:tc>
          <w:tcPr>
            <w:tcW w:w="0" w:type="auto"/>
            <w:shd w:val="clear" w:color="auto" w:fill="C6D9F1" w:themeFill="text2" w:themeFillTint="33"/>
          </w:tcPr>
          <w:p w14:paraId="520137A1" w14:textId="77777777" w:rsidR="00055EA1" w:rsidRPr="009E4EB8" w:rsidRDefault="00055EA1" w:rsidP="00D041EE">
            <w:pPr>
              <w:keepNext/>
              <w:autoSpaceDE w:val="0"/>
              <w:autoSpaceDN w:val="0"/>
              <w:adjustRightInd w:val="0"/>
              <w:spacing w:before="0" w:after="0"/>
              <w:jc w:val="left"/>
              <w:rPr>
                <w:rFonts w:ascii="Arial Narrow" w:hAnsi="Arial Narrow" w:cs="Times New Roman"/>
                <w:color w:val="000000"/>
                <w:sz w:val="20"/>
                <w:szCs w:val="20"/>
              </w:rPr>
            </w:pPr>
            <w:r w:rsidRPr="009E4EB8">
              <w:rPr>
                <w:rFonts w:ascii="Arial Narrow" w:hAnsi="Arial Narrow" w:cs="Times New Roman"/>
                <w:color w:val="000000"/>
                <w:sz w:val="20"/>
                <w:szCs w:val="20"/>
              </w:rPr>
              <w:t xml:space="preserve">TEAE with an outcome of death </w:t>
            </w:r>
          </w:p>
        </w:tc>
        <w:tc>
          <w:tcPr>
            <w:tcW w:w="0" w:type="auto"/>
            <w:shd w:val="clear" w:color="auto" w:fill="C6D9F1" w:themeFill="text2" w:themeFillTint="33"/>
          </w:tcPr>
          <w:p w14:paraId="13C00418" w14:textId="77777777" w:rsidR="00055EA1" w:rsidRPr="009E4EB8" w:rsidRDefault="00055EA1" w:rsidP="00D041EE">
            <w:pPr>
              <w:keepNext/>
              <w:autoSpaceDE w:val="0"/>
              <w:autoSpaceDN w:val="0"/>
              <w:adjustRightInd w:val="0"/>
              <w:spacing w:before="0" w:after="0"/>
              <w:jc w:val="center"/>
              <w:rPr>
                <w:rFonts w:ascii="Arial Narrow" w:hAnsi="Arial Narrow" w:cs="Times New Roman"/>
                <w:color w:val="000000"/>
                <w:sz w:val="20"/>
                <w:szCs w:val="20"/>
              </w:rPr>
            </w:pPr>
            <w:r w:rsidRPr="009E4EB8">
              <w:rPr>
                <w:rFonts w:ascii="Arial Narrow" w:hAnsi="Arial Narrow" w:cs="Times New Roman"/>
                <w:color w:val="000000"/>
                <w:sz w:val="20"/>
                <w:szCs w:val="20"/>
              </w:rPr>
              <w:t>3 (2.4)</w:t>
            </w:r>
          </w:p>
        </w:tc>
      </w:tr>
    </w:tbl>
    <w:p w14:paraId="020CD710" w14:textId="77777777" w:rsidR="00055EA1" w:rsidRPr="009E4EB8" w:rsidRDefault="00055EA1" w:rsidP="00055EA1">
      <w:pPr>
        <w:pStyle w:val="TableFigureFooter"/>
        <w:keepNext/>
      </w:pPr>
      <w:r w:rsidRPr="009E4EB8">
        <w:t>Source: Table 2-29, p75 of the resubmission.</w:t>
      </w:r>
    </w:p>
    <w:p w14:paraId="41A330EB" w14:textId="77777777" w:rsidR="00055EA1" w:rsidRPr="009E4EB8" w:rsidRDefault="00055EA1" w:rsidP="00055EA1">
      <w:pPr>
        <w:pStyle w:val="TableFigureFooter"/>
        <w:keepNext/>
      </w:pPr>
      <w:r w:rsidRPr="009E4EB8">
        <w:t>Abbreviations: SAP = safety analysis population; TEAE = treatment-emergent adverse event; TESAE = serious TEAE</w:t>
      </w:r>
    </w:p>
    <w:p w14:paraId="2C987261" w14:textId="77777777" w:rsidR="00055EA1" w:rsidRPr="009E4EB8" w:rsidRDefault="00055EA1" w:rsidP="00055EA1">
      <w:pPr>
        <w:pStyle w:val="TableFigureFooter"/>
        <w:keepNext/>
      </w:pPr>
      <w:r w:rsidRPr="009E4EB8">
        <w:t xml:space="preserve">Note: </w:t>
      </w:r>
      <w:proofErr w:type="gramStart"/>
      <w:r w:rsidRPr="009E4EB8">
        <w:rPr>
          <w:vertAlign w:val="superscript"/>
        </w:rPr>
        <w:t>a</w:t>
      </w:r>
      <w:proofErr w:type="gramEnd"/>
      <w:r w:rsidRPr="009E4EB8">
        <w:t xml:space="preserve"> The number of patients with dose modification(s) is not necessarily equal to the sum of the number of patients who had a modified dose or a drug interruption since the same patient could fall into more than one of these categories.</w:t>
      </w:r>
    </w:p>
    <w:p w14:paraId="6F68B6E5" w14:textId="77777777" w:rsidR="00055EA1" w:rsidRPr="009E4EB8" w:rsidRDefault="00055EA1" w:rsidP="00055EA1">
      <w:pPr>
        <w:pStyle w:val="TableFigureFooter"/>
        <w:keepNext/>
      </w:pPr>
      <w:r w:rsidRPr="009E4EB8">
        <w:rPr>
          <w:vertAlign w:val="superscript"/>
        </w:rPr>
        <w:t>b</w:t>
      </w:r>
      <w:r w:rsidRPr="009E4EB8">
        <w:t xml:space="preserve"> TEAEs with a relationship of Possible, Probable, or Definite to either selinexor or dexamethasone per Investigator are considered related to study treatment. </w:t>
      </w:r>
    </w:p>
    <w:p w14:paraId="1F3D7038" w14:textId="77777777" w:rsidR="00055EA1" w:rsidRPr="009E4EB8" w:rsidRDefault="00055EA1" w:rsidP="00055EA1">
      <w:pPr>
        <w:pStyle w:val="TableFigureFooter"/>
        <w:keepNext/>
      </w:pPr>
      <w:r w:rsidRPr="009E4EB8">
        <w:t>Note: Percentages are based on the number of all-treated patients in each treatment group. A TEAE is defined as an AE that emerged or worsened from first dose to 30 days after last dose.</w:t>
      </w:r>
    </w:p>
    <w:p w14:paraId="7D7D92B4" w14:textId="0EEE745A" w:rsidR="00055EA1" w:rsidRPr="009E4EB8" w:rsidRDefault="00055EA1" w:rsidP="00CD1E92">
      <w:pPr>
        <w:pStyle w:val="TableFigureFooter"/>
        <w:rPr>
          <w:szCs w:val="18"/>
        </w:rPr>
      </w:pPr>
      <w:r w:rsidRPr="009E4EB8">
        <w:t>Blue shading denotes text remains unchanged from the July 2021 submission.</w:t>
      </w:r>
    </w:p>
    <w:p w14:paraId="499E2F4D" w14:textId="4A46D5EE" w:rsidR="00B56D71" w:rsidRPr="009E4EB8" w:rsidRDefault="00577E44" w:rsidP="005304FD">
      <w:pPr>
        <w:pStyle w:val="3-BodyText"/>
        <w:rPr>
          <w:color w:val="0066FF"/>
        </w:rPr>
      </w:pPr>
      <w:r w:rsidRPr="009E4EB8">
        <w:rPr>
          <w:color w:val="000000" w:themeColor="text1"/>
        </w:rPr>
        <w:t>A summary of the safety results from the TCR/PR subgroup of STORM and results from Yuen 2018 and Griffin 2015 are presente</w:t>
      </w:r>
      <w:r w:rsidRPr="009E4EB8">
        <w:rPr>
          <w:rFonts w:cstheme="minorHAnsi"/>
          <w:color w:val="000000" w:themeColor="text1"/>
        </w:rPr>
        <w:t xml:space="preserve">d in </w:t>
      </w:r>
      <w:r w:rsidR="006C2945" w:rsidRPr="009E4EB8">
        <w:rPr>
          <w:rFonts w:cstheme="minorHAnsi"/>
        </w:rPr>
        <w:t>Table 9</w:t>
      </w:r>
      <w:r w:rsidR="00210E84" w:rsidRPr="009E4EB8">
        <w:rPr>
          <w:rFonts w:cstheme="minorHAnsi"/>
          <w:color w:val="000000" w:themeColor="text1"/>
        </w:rPr>
        <w:t>.</w:t>
      </w:r>
      <w:r w:rsidR="00210E84" w:rsidRPr="009E4EB8">
        <w:rPr>
          <w:color w:val="000000" w:themeColor="text1"/>
        </w:rPr>
        <w:t xml:space="preserve"> </w:t>
      </w:r>
      <w:r w:rsidR="00074E17" w:rsidRPr="009E4EB8">
        <w:rPr>
          <w:color w:val="000000" w:themeColor="text1"/>
        </w:rPr>
        <w:t xml:space="preserve">The ESC agreed with the resubmission, </w:t>
      </w:r>
      <w:r w:rsidR="00E13408" w:rsidRPr="009E4EB8">
        <w:rPr>
          <w:color w:val="000000" w:themeColor="text1"/>
        </w:rPr>
        <w:t xml:space="preserve">that data from Yuen 2018 and Griffin 2015 populations were not necessarily directly applicable to the TCR/PR population, yet nevertheless provided safety data for the comparator regimen DCEP, in heavily pre-treated MM patients. </w:t>
      </w:r>
      <w:r w:rsidR="00E13408" w:rsidRPr="009E4EB8">
        <w:rPr>
          <w:iCs/>
          <w:color w:val="000000" w:themeColor="text1"/>
        </w:rPr>
        <w:t xml:space="preserve">Yuen 2018 </w:t>
      </w:r>
      <w:r w:rsidR="009D4431" w:rsidRPr="009E4EB8">
        <w:rPr>
          <w:iCs/>
          <w:color w:val="000000" w:themeColor="text1"/>
        </w:rPr>
        <w:t xml:space="preserve">(two-centres) </w:t>
      </w:r>
      <w:r w:rsidR="00E13408" w:rsidRPr="009E4EB8">
        <w:rPr>
          <w:iCs/>
          <w:color w:val="000000" w:themeColor="text1"/>
        </w:rPr>
        <w:t xml:space="preserve">and Griffin 2015 </w:t>
      </w:r>
      <w:r w:rsidR="009D4431" w:rsidRPr="009E4EB8">
        <w:rPr>
          <w:iCs/>
          <w:color w:val="000000" w:themeColor="text1"/>
        </w:rPr>
        <w:t xml:space="preserve">(single-centre) </w:t>
      </w:r>
      <w:r w:rsidR="00E13408" w:rsidRPr="009E4EB8">
        <w:rPr>
          <w:iCs/>
          <w:color w:val="000000" w:themeColor="text1"/>
        </w:rPr>
        <w:t xml:space="preserve">were both </w:t>
      </w:r>
      <w:r w:rsidR="009D4431" w:rsidRPr="009E4EB8">
        <w:rPr>
          <w:iCs/>
          <w:color w:val="000000" w:themeColor="text1"/>
        </w:rPr>
        <w:t>retrospective studies</w:t>
      </w:r>
      <w:r w:rsidR="00E13408" w:rsidRPr="009E4EB8">
        <w:rPr>
          <w:iCs/>
          <w:color w:val="000000" w:themeColor="text1"/>
        </w:rPr>
        <w:t xml:space="preserve"> of patients with RRMM who had received DCEP.</w:t>
      </w:r>
      <w:r w:rsidR="00074E17" w:rsidRPr="009E4EB8">
        <w:rPr>
          <w:iCs/>
          <w:color w:val="000000" w:themeColor="text1"/>
        </w:rPr>
        <w:t xml:space="preserve"> </w:t>
      </w:r>
    </w:p>
    <w:p w14:paraId="26FBF42E" w14:textId="5A3BF390" w:rsidR="00577E44" w:rsidRPr="009E4EB8" w:rsidRDefault="00577E44" w:rsidP="00577E44">
      <w:pPr>
        <w:keepNext/>
        <w:widowControl w:val="0"/>
        <w:rPr>
          <w:rStyle w:val="CommentReference"/>
        </w:rPr>
      </w:pPr>
      <w:bookmarkStart w:id="53" w:name="_Ref91067947"/>
      <w:r w:rsidRPr="009E4EB8">
        <w:rPr>
          <w:rFonts w:ascii="Arial Narrow" w:hAnsi="Arial Narrow"/>
          <w:b/>
          <w:bCs/>
          <w:sz w:val="20"/>
          <w:szCs w:val="20"/>
        </w:rPr>
        <w:t xml:space="preserve">Table </w:t>
      </w:r>
      <w:r w:rsidRPr="009E4EB8">
        <w:rPr>
          <w:rFonts w:ascii="Arial Narrow" w:hAnsi="Arial Narrow"/>
          <w:b/>
          <w:bCs/>
          <w:sz w:val="20"/>
          <w:szCs w:val="20"/>
        </w:rPr>
        <w:fldChar w:fldCharType="begin"/>
      </w:r>
      <w:r w:rsidRPr="009E4EB8">
        <w:rPr>
          <w:rFonts w:ascii="Arial Narrow" w:hAnsi="Arial Narrow"/>
          <w:b/>
          <w:bCs/>
          <w:sz w:val="20"/>
          <w:szCs w:val="20"/>
        </w:rPr>
        <w:instrText xml:space="preserve"> SEQ Table \* ARABIC </w:instrText>
      </w:r>
      <w:r w:rsidRPr="009E4EB8">
        <w:rPr>
          <w:rFonts w:ascii="Arial Narrow" w:hAnsi="Arial Narrow"/>
          <w:b/>
          <w:bCs/>
          <w:sz w:val="20"/>
          <w:szCs w:val="20"/>
        </w:rPr>
        <w:fldChar w:fldCharType="separate"/>
      </w:r>
      <w:r w:rsidR="00964E38">
        <w:rPr>
          <w:rFonts w:ascii="Arial Narrow" w:hAnsi="Arial Narrow"/>
          <w:b/>
          <w:bCs/>
          <w:noProof/>
          <w:sz w:val="20"/>
          <w:szCs w:val="20"/>
        </w:rPr>
        <w:t>9</w:t>
      </w:r>
      <w:r w:rsidRPr="009E4EB8">
        <w:rPr>
          <w:rFonts w:ascii="Arial Narrow" w:hAnsi="Arial Narrow"/>
          <w:b/>
          <w:bCs/>
          <w:sz w:val="20"/>
          <w:szCs w:val="20"/>
        </w:rPr>
        <w:fldChar w:fldCharType="end"/>
      </w:r>
      <w:bookmarkEnd w:id="53"/>
      <w:r w:rsidRPr="009E4EB8">
        <w:rPr>
          <w:rFonts w:ascii="Arial Narrow" w:hAnsi="Arial Narrow"/>
          <w:b/>
          <w:bCs/>
          <w:sz w:val="20"/>
          <w:szCs w:val="20"/>
        </w:rPr>
        <w:t>:</w:t>
      </w:r>
      <w:r w:rsidRPr="009E4EB8">
        <w:t xml:space="preserve"> </w:t>
      </w:r>
      <w:r w:rsidRPr="009E4EB8">
        <w:rPr>
          <w:rStyle w:val="CommentReference"/>
        </w:rPr>
        <w:t xml:space="preserve">Summary of naïve safety comparison of </w:t>
      </w:r>
      <w:r w:rsidR="000835AF" w:rsidRPr="009E4EB8">
        <w:rPr>
          <w:rStyle w:val="CommentReference"/>
        </w:rPr>
        <w:t>Grade</w:t>
      </w:r>
      <w:r w:rsidR="000835AF" w:rsidRPr="009E4EB8">
        <w:t xml:space="preserve"> </w:t>
      </w:r>
      <w:r w:rsidRPr="009E4EB8">
        <w:rPr>
          <w:rStyle w:val="CommentReference"/>
        </w:rPr>
        <w:t>≥3 TEAE for Sd versus DCEP</w:t>
      </w:r>
    </w:p>
    <w:tbl>
      <w:tblPr>
        <w:tblStyle w:val="TableGrid"/>
        <w:tblW w:w="5000" w:type="pct"/>
        <w:tblLook w:val="04A0" w:firstRow="1" w:lastRow="0" w:firstColumn="1" w:lastColumn="0" w:noHBand="0" w:noVBand="1"/>
      </w:tblPr>
      <w:tblGrid>
        <w:gridCol w:w="2425"/>
        <w:gridCol w:w="2210"/>
        <w:gridCol w:w="2228"/>
        <w:gridCol w:w="2154"/>
      </w:tblGrid>
      <w:tr w:rsidR="00577E44" w:rsidRPr="009E4EB8" w14:paraId="5861F477" w14:textId="77777777" w:rsidTr="00577E44">
        <w:tc>
          <w:tcPr>
            <w:tcW w:w="2425" w:type="dxa"/>
            <w:shd w:val="clear" w:color="auto" w:fill="auto"/>
            <w:vAlign w:val="center"/>
            <w:hideMark/>
          </w:tcPr>
          <w:p w14:paraId="41CC485C" w14:textId="77777777" w:rsidR="00577E44" w:rsidRPr="009E4EB8" w:rsidRDefault="00577E44" w:rsidP="00D041EE">
            <w:pPr>
              <w:keepNext/>
              <w:widowControl w:val="0"/>
              <w:jc w:val="center"/>
              <w:textAlignment w:val="baseline"/>
              <w:rPr>
                <w:rFonts w:ascii="Arial Narrow" w:eastAsia="MS Gothic" w:hAnsi="Arial Narrow" w:cs="Calibri"/>
                <w:b/>
                <w:bCs/>
                <w:color w:val="000000" w:themeColor="text1"/>
                <w:sz w:val="20"/>
                <w:szCs w:val="20"/>
              </w:rPr>
            </w:pPr>
            <w:r w:rsidRPr="009E4EB8">
              <w:rPr>
                <w:rFonts w:ascii="Arial Narrow" w:eastAsia="MS Gothic" w:hAnsi="Arial Narrow" w:cs="Calibri"/>
                <w:b/>
                <w:bCs/>
                <w:color w:val="000000" w:themeColor="text1"/>
                <w:sz w:val="20"/>
                <w:szCs w:val="20"/>
              </w:rPr>
              <w:t>Adverse event</w:t>
            </w:r>
          </w:p>
        </w:tc>
        <w:tc>
          <w:tcPr>
            <w:tcW w:w="2210" w:type="dxa"/>
            <w:shd w:val="clear" w:color="auto" w:fill="auto"/>
            <w:vAlign w:val="center"/>
            <w:hideMark/>
          </w:tcPr>
          <w:p w14:paraId="5500BB3A" w14:textId="77777777" w:rsidR="00577E44" w:rsidRPr="009E4EB8" w:rsidRDefault="00577E44" w:rsidP="00D041EE">
            <w:pPr>
              <w:keepNext/>
              <w:widowControl w:val="0"/>
              <w:jc w:val="center"/>
              <w:textAlignment w:val="baseline"/>
              <w:rPr>
                <w:rFonts w:ascii="Arial Narrow" w:hAnsi="Arial Narrow" w:cs="Calibri"/>
                <w:b/>
                <w:bCs/>
                <w:color w:val="000000" w:themeColor="text1"/>
                <w:sz w:val="20"/>
                <w:szCs w:val="20"/>
              </w:rPr>
            </w:pPr>
            <w:r w:rsidRPr="009E4EB8">
              <w:rPr>
                <w:rFonts w:ascii="Arial Narrow" w:eastAsia="MS Gothic" w:hAnsi="Arial Narrow" w:cs="Calibri"/>
                <w:b/>
                <w:bCs/>
                <w:color w:val="000000" w:themeColor="text1"/>
                <w:sz w:val="20"/>
                <w:szCs w:val="20"/>
              </w:rPr>
              <w:t>Sd</w:t>
            </w:r>
          </w:p>
          <w:p w14:paraId="181B76B1" w14:textId="20C41796" w:rsidR="00577E44" w:rsidRPr="009E4EB8" w:rsidRDefault="00577E44" w:rsidP="00D041EE">
            <w:pPr>
              <w:keepNext/>
              <w:widowControl w:val="0"/>
              <w:jc w:val="center"/>
              <w:textAlignment w:val="baseline"/>
              <w:rPr>
                <w:rFonts w:ascii="Arial Narrow" w:hAnsi="Arial Narrow" w:cs="Calibri"/>
                <w:b/>
                <w:bCs/>
                <w:color w:val="000000" w:themeColor="text1"/>
                <w:sz w:val="20"/>
                <w:szCs w:val="20"/>
              </w:rPr>
            </w:pPr>
            <w:r w:rsidRPr="009E4EB8">
              <w:rPr>
                <w:rFonts w:ascii="Arial Narrow" w:hAnsi="Arial Narrow" w:cs="Calibri"/>
                <w:b/>
                <w:bCs/>
                <w:color w:val="000000" w:themeColor="text1"/>
                <w:sz w:val="20"/>
                <w:szCs w:val="20"/>
              </w:rPr>
              <w:t>STORM TCR/PR</w:t>
            </w:r>
          </w:p>
          <w:p w14:paraId="70A516E0" w14:textId="77777777" w:rsidR="00577E44" w:rsidRPr="009E4EB8" w:rsidRDefault="00577E44" w:rsidP="00D041EE">
            <w:pPr>
              <w:keepNext/>
              <w:widowControl w:val="0"/>
              <w:jc w:val="center"/>
              <w:textAlignment w:val="baseline"/>
              <w:rPr>
                <w:rFonts w:ascii="Arial Narrow" w:eastAsia="MS Gothic" w:hAnsi="Arial Narrow" w:cs="Calibri"/>
                <w:b/>
                <w:bCs/>
                <w:color w:val="000000" w:themeColor="text1"/>
                <w:sz w:val="20"/>
                <w:szCs w:val="20"/>
              </w:rPr>
            </w:pPr>
            <w:r w:rsidRPr="009E4EB8">
              <w:rPr>
                <w:rFonts w:ascii="Arial Narrow" w:hAnsi="Arial Narrow" w:cs="Calibri"/>
                <w:b/>
                <w:bCs/>
                <w:color w:val="000000" w:themeColor="text1"/>
                <w:sz w:val="20"/>
                <w:szCs w:val="20"/>
              </w:rPr>
              <w:t>n/N (%)</w:t>
            </w:r>
          </w:p>
        </w:tc>
        <w:tc>
          <w:tcPr>
            <w:tcW w:w="2228" w:type="dxa"/>
            <w:shd w:val="clear" w:color="auto" w:fill="auto"/>
            <w:vAlign w:val="center"/>
          </w:tcPr>
          <w:p w14:paraId="086B8085" w14:textId="77777777" w:rsidR="00577E44" w:rsidRPr="009E4EB8" w:rsidRDefault="00577E44" w:rsidP="00D041EE">
            <w:pPr>
              <w:keepNext/>
              <w:widowControl w:val="0"/>
              <w:jc w:val="center"/>
              <w:textAlignment w:val="baseline"/>
              <w:rPr>
                <w:rFonts w:ascii="Arial Narrow" w:hAnsi="Arial Narrow" w:cs="Calibri"/>
                <w:b/>
                <w:bCs/>
                <w:color w:val="000000" w:themeColor="text1"/>
                <w:sz w:val="20"/>
                <w:szCs w:val="20"/>
              </w:rPr>
            </w:pPr>
            <w:r w:rsidRPr="009E4EB8">
              <w:rPr>
                <w:rFonts w:ascii="Arial Narrow" w:hAnsi="Arial Narrow" w:cs="Calibri"/>
                <w:b/>
                <w:bCs/>
                <w:color w:val="000000" w:themeColor="text1"/>
                <w:sz w:val="20"/>
                <w:szCs w:val="20"/>
              </w:rPr>
              <w:t>DCEP</w:t>
            </w:r>
          </w:p>
          <w:p w14:paraId="1F2E2C96" w14:textId="77777777" w:rsidR="00577E44" w:rsidRPr="009E4EB8" w:rsidRDefault="00577E44" w:rsidP="00D041EE">
            <w:pPr>
              <w:keepNext/>
              <w:widowControl w:val="0"/>
              <w:jc w:val="center"/>
              <w:textAlignment w:val="baseline"/>
              <w:rPr>
                <w:rFonts w:ascii="Arial Narrow" w:hAnsi="Arial Narrow" w:cs="Calibri"/>
                <w:b/>
                <w:bCs/>
                <w:color w:val="000000" w:themeColor="text1"/>
                <w:sz w:val="20"/>
                <w:szCs w:val="20"/>
              </w:rPr>
            </w:pPr>
            <w:r w:rsidRPr="009E4EB8">
              <w:rPr>
                <w:rFonts w:ascii="Arial Narrow" w:hAnsi="Arial Narrow" w:cs="Calibri"/>
                <w:b/>
                <w:bCs/>
                <w:color w:val="000000" w:themeColor="text1"/>
                <w:sz w:val="20"/>
                <w:szCs w:val="20"/>
              </w:rPr>
              <w:t>Yuen 2018</w:t>
            </w:r>
          </w:p>
          <w:p w14:paraId="497127CB" w14:textId="77777777" w:rsidR="00577E44" w:rsidRPr="009E4EB8" w:rsidRDefault="00577E44" w:rsidP="00D041EE">
            <w:pPr>
              <w:keepNext/>
              <w:widowControl w:val="0"/>
              <w:jc w:val="center"/>
              <w:textAlignment w:val="baseline"/>
              <w:rPr>
                <w:rFonts w:ascii="Arial Narrow" w:eastAsia="MS Gothic" w:hAnsi="Arial Narrow" w:cs="Calibri"/>
                <w:b/>
                <w:bCs/>
                <w:color w:val="000000" w:themeColor="text1"/>
                <w:sz w:val="20"/>
                <w:szCs w:val="20"/>
              </w:rPr>
            </w:pPr>
            <w:r w:rsidRPr="009E4EB8">
              <w:rPr>
                <w:rFonts w:ascii="Arial Narrow" w:hAnsi="Arial Narrow" w:cs="Calibri"/>
                <w:b/>
                <w:bCs/>
                <w:color w:val="000000" w:themeColor="text1"/>
                <w:sz w:val="20"/>
                <w:szCs w:val="20"/>
              </w:rPr>
              <w:t>Events/cycles (%)</w:t>
            </w:r>
          </w:p>
        </w:tc>
        <w:tc>
          <w:tcPr>
            <w:tcW w:w="2154" w:type="dxa"/>
            <w:shd w:val="clear" w:color="auto" w:fill="auto"/>
            <w:vAlign w:val="center"/>
            <w:hideMark/>
          </w:tcPr>
          <w:p w14:paraId="15108485" w14:textId="77777777" w:rsidR="00577E44" w:rsidRPr="009E4EB8" w:rsidRDefault="00577E44" w:rsidP="00D041EE">
            <w:pPr>
              <w:keepNext/>
              <w:widowControl w:val="0"/>
              <w:jc w:val="center"/>
              <w:textAlignment w:val="baseline"/>
              <w:rPr>
                <w:rFonts w:ascii="Arial Narrow" w:hAnsi="Arial Narrow" w:cs="Calibri"/>
                <w:b/>
                <w:bCs/>
                <w:color w:val="000000" w:themeColor="text1"/>
                <w:sz w:val="20"/>
                <w:szCs w:val="20"/>
              </w:rPr>
            </w:pPr>
            <w:r w:rsidRPr="009E4EB8">
              <w:rPr>
                <w:rFonts w:ascii="Arial Narrow" w:hAnsi="Arial Narrow" w:cs="Calibri"/>
                <w:b/>
                <w:bCs/>
                <w:color w:val="000000" w:themeColor="text1"/>
                <w:sz w:val="20"/>
                <w:szCs w:val="20"/>
              </w:rPr>
              <w:t>DCEP</w:t>
            </w:r>
          </w:p>
          <w:p w14:paraId="35B899C4" w14:textId="77777777" w:rsidR="00577E44" w:rsidRPr="009E4EB8" w:rsidRDefault="00577E44" w:rsidP="00D041EE">
            <w:pPr>
              <w:keepNext/>
              <w:widowControl w:val="0"/>
              <w:jc w:val="center"/>
              <w:textAlignment w:val="baseline"/>
              <w:rPr>
                <w:rFonts w:ascii="Arial Narrow" w:hAnsi="Arial Narrow" w:cs="Calibri"/>
                <w:b/>
                <w:bCs/>
                <w:color w:val="000000" w:themeColor="text1"/>
                <w:sz w:val="20"/>
                <w:szCs w:val="20"/>
              </w:rPr>
            </w:pPr>
            <w:r w:rsidRPr="009E4EB8">
              <w:rPr>
                <w:rFonts w:ascii="Arial Narrow" w:hAnsi="Arial Narrow" w:cs="Calibri"/>
                <w:b/>
                <w:bCs/>
                <w:color w:val="000000" w:themeColor="text1"/>
                <w:sz w:val="20"/>
                <w:szCs w:val="20"/>
              </w:rPr>
              <w:t>Griffin 2015</w:t>
            </w:r>
          </w:p>
          <w:p w14:paraId="05EFB791" w14:textId="77777777" w:rsidR="00577E44" w:rsidRPr="009E4EB8" w:rsidRDefault="00577E44" w:rsidP="00D041EE">
            <w:pPr>
              <w:keepNext/>
              <w:widowControl w:val="0"/>
              <w:jc w:val="center"/>
              <w:textAlignment w:val="baseline"/>
              <w:rPr>
                <w:rFonts w:ascii="Arial Narrow" w:eastAsia="MS Gothic" w:hAnsi="Arial Narrow" w:cs="Calibri"/>
                <w:b/>
                <w:bCs/>
                <w:color w:val="000000" w:themeColor="text1"/>
                <w:sz w:val="20"/>
                <w:szCs w:val="20"/>
              </w:rPr>
            </w:pPr>
            <w:r w:rsidRPr="009E4EB8">
              <w:rPr>
                <w:rFonts w:ascii="Arial Narrow" w:hAnsi="Arial Narrow" w:cs="Calibri"/>
                <w:b/>
                <w:bCs/>
                <w:color w:val="000000" w:themeColor="text1"/>
                <w:sz w:val="20"/>
                <w:szCs w:val="20"/>
              </w:rPr>
              <w:t>n/N (%)</w:t>
            </w:r>
          </w:p>
        </w:tc>
      </w:tr>
      <w:tr w:rsidR="00577E44" w:rsidRPr="009E4EB8" w14:paraId="2B0CE922" w14:textId="77777777" w:rsidTr="00577E44">
        <w:tc>
          <w:tcPr>
            <w:tcW w:w="2425" w:type="dxa"/>
            <w:shd w:val="clear" w:color="auto" w:fill="auto"/>
          </w:tcPr>
          <w:p w14:paraId="40EC5B50" w14:textId="77777777" w:rsidR="00577E44" w:rsidRPr="009E4EB8" w:rsidRDefault="00577E44" w:rsidP="00D041EE">
            <w:pPr>
              <w:keepNext/>
              <w:widowControl w:val="0"/>
              <w:textAlignment w:val="baseline"/>
              <w:rPr>
                <w:rFonts w:ascii="Arial Narrow" w:eastAsia="MS Gothic" w:hAnsi="Arial Narrow" w:cs="Calibri"/>
                <w:color w:val="000000" w:themeColor="text1"/>
                <w:sz w:val="20"/>
                <w:szCs w:val="20"/>
              </w:rPr>
            </w:pPr>
            <w:r w:rsidRPr="009E4EB8">
              <w:rPr>
                <w:rFonts w:ascii="Arial Narrow" w:hAnsi="Arial Narrow" w:cs="Calibri"/>
                <w:color w:val="000000" w:themeColor="text1"/>
                <w:sz w:val="20"/>
                <w:szCs w:val="20"/>
              </w:rPr>
              <w:t>N</w:t>
            </w:r>
          </w:p>
        </w:tc>
        <w:tc>
          <w:tcPr>
            <w:tcW w:w="2210" w:type="dxa"/>
            <w:shd w:val="clear" w:color="auto" w:fill="auto"/>
          </w:tcPr>
          <w:p w14:paraId="4677DCFC" w14:textId="77777777" w:rsidR="00577E44" w:rsidRPr="009E4EB8" w:rsidRDefault="00577E44" w:rsidP="00D041EE">
            <w:pPr>
              <w:keepNext/>
              <w:widowControl w:val="0"/>
              <w:jc w:val="center"/>
              <w:textAlignment w:val="baseline"/>
              <w:rPr>
                <w:rFonts w:ascii="Arial Narrow" w:hAnsi="Arial Narrow" w:cs="Calibri"/>
                <w:color w:val="000000" w:themeColor="text1"/>
                <w:sz w:val="20"/>
                <w:szCs w:val="20"/>
              </w:rPr>
            </w:pPr>
            <w:r w:rsidRPr="009E4EB8">
              <w:rPr>
                <w:rFonts w:ascii="Arial Narrow" w:hAnsi="Arial Narrow" w:cs="Calibri"/>
                <w:color w:val="000000" w:themeColor="text1"/>
                <w:sz w:val="20"/>
                <w:szCs w:val="20"/>
              </w:rPr>
              <w:t>83</w:t>
            </w:r>
          </w:p>
        </w:tc>
        <w:tc>
          <w:tcPr>
            <w:tcW w:w="2228" w:type="dxa"/>
            <w:shd w:val="clear" w:color="auto" w:fill="auto"/>
          </w:tcPr>
          <w:p w14:paraId="7F658FFA" w14:textId="7CBF15FB" w:rsidR="00577E44" w:rsidRPr="009E4EB8" w:rsidRDefault="00201A85" w:rsidP="00D041EE">
            <w:pPr>
              <w:keepNext/>
              <w:widowControl w:val="0"/>
              <w:jc w:val="center"/>
              <w:textAlignment w:val="baseline"/>
              <w:rPr>
                <w:rFonts w:ascii="Arial Narrow" w:hAnsi="Arial Narrow" w:cs="Calibri"/>
                <w:color w:val="000000" w:themeColor="text1"/>
                <w:sz w:val="20"/>
                <w:szCs w:val="20"/>
              </w:rPr>
            </w:pPr>
            <w:r w:rsidRPr="009E4EB8">
              <w:rPr>
                <w:rFonts w:ascii="Arial Narrow" w:hAnsi="Arial Narrow" w:cs="Calibri"/>
                <w:iCs/>
                <w:color w:val="000000" w:themeColor="text1"/>
                <w:sz w:val="20"/>
                <w:szCs w:val="20"/>
              </w:rPr>
              <w:t>62</w:t>
            </w:r>
            <w:r w:rsidRPr="009E4EB8">
              <w:rPr>
                <w:rFonts w:ascii="Arial Narrow" w:hAnsi="Arial Narrow" w:cs="Calibri"/>
                <w:color w:val="000000" w:themeColor="text1"/>
                <w:sz w:val="20"/>
                <w:szCs w:val="20"/>
              </w:rPr>
              <w:t xml:space="preserve"> </w:t>
            </w:r>
            <w:r w:rsidRPr="009E4EB8">
              <w:rPr>
                <w:rFonts w:ascii="Arial Narrow" w:hAnsi="Arial Narrow" w:cs="Calibri"/>
                <w:color w:val="000000" w:themeColor="text1"/>
                <w:sz w:val="20"/>
                <w:szCs w:val="20"/>
                <w:vertAlign w:val="superscript"/>
              </w:rPr>
              <w:t>c</w:t>
            </w:r>
            <w:r w:rsidR="00577E44" w:rsidRPr="009E4EB8">
              <w:rPr>
                <w:rFonts w:ascii="Arial Narrow" w:hAnsi="Arial Narrow" w:cs="Calibri"/>
                <w:color w:val="000000" w:themeColor="text1"/>
                <w:sz w:val="20"/>
                <w:szCs w:val="20"/>
              </w:rPr>
              <w:t xml:space="preserve"> (Cycles = 111)</w:t>
            </w:r>
          </w:p>
        </w:tc>
        <w:tc>
          <w:tcPr>
            <w:tcW w:w="2154" w:type="dxa"/>
            <w:shd w:val="clear" w:color="auto" w:fill="auto"/>
          </w:tcPr>
          <w:p w14:paraId="76516141"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s="Calibri"/>
                <w:color w:val="000000" w:themeColor="text1"/>
                <w:sz w:val="20"/>
                <w:szCs w:val="20"/>
              </w:rPr>
              <w:t>52</w:t>
            </w:r>
          </w:p>
        </w:tc>
      </w:tr>
      <w:tr w:rsidR="00577E44" w:rsidRPr="009E4EB8" w14:paraId="13FACDF2" w14:textId="77777777" w:rsidTr="00577E44">
        <w:tc>
          <w:tcPr>
            <w:tcW w:w="2425" w:type="dxa"/>
            <w:shd w:val="clear" w:color="auto" w:fill="auto"/>
            <w:hideMark/>
          </w:tcPr>
          <w:p w14:paraId="29589432" w14:textId="77777777" w:rsidR="00577E44" w:rsidRPr="009E4EB8" w:rsidRDefault="00577E44" w:rsidP="00D041EE">
            <w:pPr>
              <w:keepNext/>
              <w:widowControl w:val="0"/>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Asthenia </w:t>
            </w:r>
          </w:p>
        </w:tc>
        <w:tc>
          <w:tcPr>
            <w:tcW w:w="2210" w:type="dxa"/>
            <w:shd w:val="clear" w:color="auto" w:fill="auto"/>
            <w:hideMark/>
          </w:tcPr>
          <w:p w14:paraId="463A09A5"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6/83 (7.2) </w:t>
            </w:r>
          </w:p>
        </w:tc>
        <w:tc>
          <w:tcPr>
            <w:tcW w:w="2228" w:type="dxa"/>
            <w:shd w:val="clear" w:color="auto" w:fill="auto"/>
          </w:tcPr>
          <w:p w14:paraId="3B90E3B8"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NR</w:t>
            </w:r>
          </w:p>
        </w:tc>
        <w:tc>
          <w:tcPr>
            <w:tcW w:w="2154" w:type="dxa"/>
            <w:shd w:val="clear" w:color="auto" w:fill="auto"/>
            <w:hideMark/>
          </w:tcPr>
          <w:p w14:paraId="407CEF72"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olor w:val="000000" w:themeColor="text1"/>
                <w:sz w:val="20"/>
                <w:szCs w:val="20"/>
              </w:rPr>
              <w:t>NR</w:t>
            </w:r>
          </w:p>
        </w:tc>
      </w:tr>
      <w:tr w:rsidR="00577E44" w:rsidRPr="009E4EB8" w14:paraId="2AA84C96" w14:textId="77777777" w:rsidTr="00577E44">
        <w:tc>
          <w:tcPr>
            <w:tcW w:w="2425" w:type="dxa"/>
            <w:shd w:val="clear" w:color="auto" w:fill="auto"/>
            <w:hideMark/>
          </w:tcPr>
          <w:p w14:paraId="17BB751D" w14:textId="77777777" w:rsidR="00577E44" w:rsidRPr="009E4EB8" w:rsidRDefault="00577E44" w:rsidP="00D041EE">
            <w:pPr>
              <w:keepNext/>
              <w:widowControl w:val="0"/>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Diarrhoea </w:t>
            </w:r>
          </w:p>
        </w:tc>
        <w:tc>
          <w:tcPr>
            <w:tcW w:w="2210" w:type="dxa"/>
            <w:shd w:val="clear" w:color="auto" w:fill="auto"/>
            <w:hideMark/>
          </w:tcPr>
          <w:p w14:paraId="0D8895DB"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6/83 (7.2) </w:t>
            </w:r>
          </w:p>
        </w:tc>
        <w:tc>
          <w:tcPr>
            <w:tcW w:w="2228" w:type="dxa"/>
            <w:shd w:val="clear" w:color="auto" w:fill="auto"/>
          </w:tcPr>
          <w:p w14:paraId="4BE9AE80"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NR</w:t>
            </w:r>
          </w:p>
        </w:tc>
        <w:tc>
          <w:tcPr>
            <w:tcW w:w="2154" w:type="dxa"/>
            <w:shd w:val="clear" w:color="auto" w:fill="auto"/>
            <w:hideMark/>
          </w:tcPr>
          <w:p w14:paraId="5ED84A53"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olor w:val="000000" w:themeColor="text1"/>
                <w:sz w:val="20"/>
                <w:szCs w:val="20"/>
              </w:rPr>
              <w:t>NR</w:t>
            </w:r>
          </w:p>
        </w:tc>
      </w:tr>
      <w:tr w:rsidR="00577E44" w:rsidRPr="009E4EB8" w14:paraId="45C2E774" w14:textId="77777777" w:rsidTr="00577E44">
        <w:tc>
          <w:tcPr>
            <w:tcW w:w="2425" w:type="dxa"/>
            <w:shd w:val="clear" w:color="auto" w:fill="auto"/>
            <w:hideMark/>
          </w:tcPr>
          <w:p w14:paraId="158EE8B1" w14:textId="77777777" w:rsidR="00577E44" w:rsidRPr="009E4EB8" w:rsidRDefault="00577E44" w:rsidP="00D041EE">
            <w:pPr>
              <w:keepNext/>
              <w:widowControl w:val="0"/>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Fatigue </w:t>
            </w:r>
          </w:p>
        </w:tc>
        <w:tc>
          <w:tcPr>
            <w:tcW w:w="2210" w:type="dxa"/>
            <w:shd w:val="clear" w:color="auto" w:fill="auto"/>
            <w:hideMark/>
          </w:tcPr>
          <w:p w14:paraId="26818BBE"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17/83 (20.5) </w:t>
            </w:r>
          </w:p>
        </w:tc>
        <w:tc>
          <w:tcPr>
            <w:tcW w:w="2228" w:type="dxa"/>
            <w:shd w:val="clear" w:color="auto" w:fill="auto"/>
          </w:tcPr>
          <w:p w14:paraId="52DACFC3"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NR</w:t>
            </w:r>
          </w:p>
        </w:tc>
        <w:tc>
          <w:tcPr>
            <w:tcW w:w="2154" w:type="dxa"/>
            <w:shd w:val="clear" w:color="auto" w:fill="auto"/>
            <w:hideMark/>
          </w:tcPr>
          <w:p w14:paraId="2F616094"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olor w:val="000000" w:themeColor="text1"/>
                <w:sz w:val="20"/>
                <w:szCs w:val="20"/>
              </w:rPr>
              <w:t>NR</w:t>
            </w:r>
          </w:p>
        </w:tc>
      </w:tr>
      <w:tr w:rsidR="00577E44" w:rsidRPr="009E4EB8" w14:paraId="4A756D6E" w14:textId="77777777" w:rsidTr="00577E44">
        <w:tc>
          <w:tcPr>
            <w:tcW w:w="2425" w:type="dxa"/>
            <w:shd w:val="clear" w:color="auto" w:fill="auto"/>
            <w:hideMark/>
          </w:tcPr>
          <w:p w14:paraId="6136373D" w14:textId="77777777" w:rsidR="00577E44" w:rsidRPr="009E4EB8" w:rsidRDefault="00577E44" w:rsidP="00D041EE">
            <w:pPr>
              <w:keepNext/>
              <w:widowControl w:val="0"/>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Febrile neutropenia </w:t>
            </w:r>
          </w:p>
        </w:tc>
        <w:tc>
          <w:tcPr>
            <w:tcW w:w="2210" w:type="dxa"/>
            <w:shd w:val="clear" w:color="auto" w:fill="auto"/>
            <w:hideMark/>
          </w:tcPr>
          <w:p w14:paraId="77F200CA"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1/83 (1.2) </w:t>
            </w:r>
          </w:p>
        </w:tc>
        <w:tc>
          <w:tcPr>
            <w:tcW w:w="2228" w:type="dxa"/>
            <w:shd w:val="clear" w:color="auto" w:fill="auto"/>
          </w:tcPr>
          <w:p w14:paraId="1A153939"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s="Calibri"/>
                <w:color w:val="000000" w:themeColor="text1"/>
                <w:sz w:val="20"/>
                <w:szCs w:val="20"/>
              </w:rPr>
              <w:t>32/111 (</w:t>
            </w:r>
            <w:r w:rsidRPr="009E4EB8">
              <w:rPr>
                <w:rFonts w:ascii="Arial Narrow" w:eastAsia="MS Gothic" w:hAnsi="Arial Narrow" w:cs="Calibri"/>
                <w:color w:val="000000" w:themeColor="text1"/>
                <w:sz w:val="20"/>
                <w:szCs w:val="20"/>
              </w:rPr>
              <w:t>28.8</w:t>
            </w:r>
            <w:r w:rsidRPr="009E4EB8">
              <w:rPr>
                <w:rFonts w:ascii="Arial Narrow" w:hAnsi="Arial Narrow" w:cs="Calibri"/>
                <w:color w:val="000000" w:themeColor="text1"/>
                <w:sz w:val="20"/>
                <w:szCs w:val="20"/>
              </w:rPr>
              <w:t>)</w:t>
            </w:r>
            <w:r w:rsidRPr="009E4EB8">
              <w:rPr>
                <w:rFonts w:ascii="Arial Narrow" w:eastAsia="MS Gothic" w:hAnsi="Arial Narrow" w:cs="Calibri"/>
                <w:color w:val="000000" w:themeColor="text1"/>
                <w:sz w:val="20"/>
                <w:szCs w:val="20"/>
              </w:rPr>
              <w:t xml:space="preserve"> </w:t>
            </w:r>
          </w:p>
        </w:tc>
        <w:tc>
          <w:tcPr>
            <w:tcW w:w="2154" w:type="dxa"/>
            <w:shd w:val="clear" w:color="auto" w:fill="auto"/>
          </w:tcPr>
          <w:p w14:paraId="3B4112A7" w14:textId="77BAD739"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s="Calibri"/>
                <w:color w:val="000000" w:themeColor="text1"/>
                <w:sz w:val="20"/>
                <w:szCs w:val="20"/>
              </w:rPr>
              <w:t xml:space="preserve">15/52 (28.8) </w:t>
            </w:r>
            <w:r w:rsidR="00201A85" w:rsidRPr="009E4EB8">
              <w:rPr>
                <w:rFonts w:ascii="Arial Narrow" w:hAnsi="Arial Narrow" w:cs="Calibri"/>
                <w:color w:val="000000" w:themeColor="text1"/>
                <w:sz w:val="20"/>
                <w:szCs w:val="20"/>
                <w:vertAlign w:val="superscript"/>
              </w:rPr>
              <w:t>e</w:t>
            </w:r>
          </w:p>
        </w:tc>
      </w:tr>
      <w:tr w:rsidR="00577E44" w:rsidRPr="009E4EB8" w14:paraId="743738B4" w14:textId="77777777" w:rsidTr="00577E44">
        <w:tc>
          <w:tcPr>
            <w:tcW w:w="2425" w:type="dxa"/>
            <w:shd w:val="clear" w:color="auto" w:fill="auto"/>
          </w:tcPr>
          <w:p w14:paraId="15F3E9DC" w14:textId="1DC9A465" w:rsidR="00577E44" w:rsidRPr="009E4EB8" w:rsidRDefault="00577E44" w:rsidP="00D041EE">
            <w:pPr>
              <w:keepNext/>
              <w:widowControl w:val="0"/>
              <w:textAlignment w:val="baseline"/>
              <w:rPr>
                <w:rFonts w:ascii="Arial Narrow" w:eastAsia="MS Gothic" w:hAnsi="Arial Narrow" w:cs="Calibri"/>
                <w:color w:val="000000" w:themeColor="text1"/>
                <w:sz w:val="20"/>
                <w:szCs w:val="20"/>
              </w:rPr>
            </w:pPr>
            <w:r w:rsidRPr="009E4EB8">
              <w:rPr>
                <w:rFonts w:ascii="Arial Narrow" w:hAnsi="Arial Narrow" w:cs="Calibri"/>
                <w:color w:val="000000" w:themeColor="text1"/>
                <w:sz w:val="20"/>
                <w:szCs w:val="20"/>
              </w:rPr>
              <w:t>Neutropenia</w:t>
            </w:r>
          </w:p>
        </w:tc>
        <w:tc>
          <w:tcPr>
            <w:tcW w:w="2210" w:type="dxa"/>
            <w:shd w:val="clear" w:color="auto" w:fill="auto"/>
          </w:tcPr>
          <w:p w14:paraId="495F48AE"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20/83 (24.1)</w:t>
            </w:r>
          </w:p>
        </w:tc>
        <w:tc>
          <w:tcPr>
            <w:tcW w:w="2228" w:type="dxa"/>
            <w:shd w:val="clear" w:color="auto" w:fill="auto"/>
          </w:tcPr>
          <w:p w14:paraId="6774180C"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s="Calibri"/>
                <w:color w:val="000000" w:themeColor="text1"/>
                <w:sz w:val="20"/>
                <w:szCs w:val="20"/>
              </w:rPr>
              <w:t>78/111 (70.3)</w:t>
            </w:r>
          </w:p>
        </w:tc>
        <w:tc>
          <w:tcPr>
            <w:tcW w:w="2154" w:type="dxa"/>
            <w:shd w:val="clear" w:color="auto" w:fill="auto"/>
          </w:tcPr>
          <w:p w14:paraId="6BCB6038"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olor w:val="000000" w:themeColor="text1"/>
                <w:sz w:val="20"/>
                <w:szCs w:val="20"/>
              </w:rPr>
              <w:t>NR</w:t>
            </w:r>
          </w:p>
        </w:tc>
      </w:tr>
      <w:tr w:rsidR="00577E44" w:rsidRPr="009E4EB8" w14:paraId="08D516F9" w14:textId="77777777" w:rsidTr="00577E44">
        <w:tc>
          <w:tcPr>
            <w:tcW w:w="2425" w:type="dxa"/>
            <w:shd w:val="clear" w:color="auto" w:fill="auto"/>
            <w:hideMark/>
          </w:tcPr>
          <w:p w14:paraId="0587550B" w14:textId="77777777" w:rsidR="00577E44" w:rsidRPr="009E4EB8" w:rsidRDefault="00577E44" w:rsidP="00D041EE">
            <w:pPr>
              <w:keepNext/>
              <w:widowControl w:val="0"/>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Hyponatraemia </w:t>
            </w:r>
          </w:p>
        </w:tc>
        <w:tc>
          <w:tcPr>
            <w:tcW w:w="2210" w:type="dxa"/>
            <w:shd w:val="clear" w:color="auto" w:fill="auto"/>
            <w:hideMark/>
          </w:tcPr>
          <w:p w14:paraId="33D64005"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19/83 (22.9)</w:t>
            </w:r>
          </w:p>
        </w:tc>
        <w:tc>
          <w:tcPr>
            <w:tcW w:w="2228" w:type="dxa"/>
            <w:shd w:val="clear" w:color="auto" w:fill="auto"/>
          </w:tcPr>
          <w:p w14:paraId="3D62BC0F"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NR</w:t>
            </w:r>
          </w:p>
        </w:tc>
        <w:tc>
          <w:tcPr>
            <w:tcW w:w="2154" w:type="dxa"/>
            <w:shd w:val="clear" w:color="auto" w:fill="auto"/>
          </w:tcPr>
          <w:p w14:paraId="0FD566CA"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olor w:val="000000" w:themeColor="text1"/>
                <w:sz w:val="20"/>
                <w:szCs w:val="20"/>
              </w:rPr>
              <w:t>NR</w:t>
            </w:r>
          </w:p>
        </w:tc>
      </w:tr>
      <w:tr w:rsidR="00577E44" w:rsidRPr="009E4EB8" w14:paraId="4F070F90" w14:textId="77777777" w:rsidTr="00577E44">
        <w:tc>
          <w:tcPr>
            <w:tcW w:w="2425" w:type="dxa"/>
            <w:shd w:val="clear" w:color="auto" w:fill="auto"/>
            <w:hideMark/>
          </w:tcPr>
          <w:p w14:paraId="71DEFBC9" w14:textId="77777777" w:rsidR="00577E44" w:rsidRPr="009E4EB8" w:rsidRDefault="00577E44" w:rsidP="00D041EE">
            <w:pPr>
              <w:keepNext/>
              <w:widowControl w:val="0"/>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Leukopenia </w:t>
            </w:r>
          </w:p>
        </w:tc>
        <w:tc>
          <w:tcPr>
            <w:tcW w:w="2210" w:type="dxa"/>
            <w:shd w:val="clear" w:color="auto" w:fill="auto"/>
            <w:hideMark/>
          </w:tcPr>
          <w:p w14:paraId="126E4A1B"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15/83 (18.1) </w:t>
            </w:r>
          </w:p>
        </w:tc>
        <w:tc>
          <w:tcPr>
            <w:tcW w:w="2228" w:type="dxa"/>
            <w:shd w:val="clear" w:color="auto" w:fill="auto"/>
          </w:tcPr>
          <w:p w14:paraId="2C1D997E"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NR</w:t>
            </w:r>
          </w:p>
        </w:tc>
        <w:tc>
          <w:tcPr>
            <w:tcW w:w="2154" w:type="dxa"/>
            <w:shd w:val="clear" w:color="auto" w:fill="auto"/>
          </w:tcPr>
          <w:p w14:paraId="06964CA5"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olor w:val="000000" w:themeColor="text1"/>
                <w:sz w:val="20"/>
                <w:szCs w:val="20"/>
              </w:rPr>
              <w:t>NR</w:t>
            </w:r>
          </w:p>
        </w:tc>
      </w:tr>
      <w:tr w:rsidR="00577E44" w:rsidRPr="009E4EB8" w14:paraId="7445AF63" w14:textId="77777777" w:rsidTr="00577E44">
        <w:tc>
          <w:tcPr>
            <w:tcW w:w="2425" w:type="dxa"/>
            <w:shd w:val="clear" w:color="auto" w:fill="auto"/>
            <w:hideMark/>
          </w:tcPr>
          <w:p w14:paraId="5CECD4F0" w14:textId="77777777" w:rsidR="00577E44" w:rsidRPr="009E4EB8" w:rsidRDefault="00577E44" w:rsidP="00D041EE">
            <w:pPr>
              <w:keepNext/>
              <w:widowControl w:val="0"/>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Nausea </w:t>
            </w:r>
          </w:p>
        </w:tc>
        <w:tc>
          <w:tcPr>
            <w:tcW w:w="2210" w:type="dxa"/>
            <w:shd w:val="clear" w:color="auto" w:fill="auto"/>
            <w:hideMark/>
          </w:tcPr>
          <w:p w14:paraId="04B1DBED"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9/83 (10.8) </w:t>
            </w:r>
          </w:p>
        </w:tc>
        <w:tc>
          <w:tcPr>
            <w:tcW w:w="2228" w:type="dxa"/>
            <w:shd w:val="clear" w:color="auto" w:fill="auto"/>
          </w:tcPr>
          <w:p w14:paraId="364EB351"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NR</w:t>
            </w:r>
          </w:p>
        </w:tc>
        <w:tc>
          <w:tcPr>
            <w:tcW w:w="2154" w:type="dxa"/>
            <w:shd w:val="clear" w:color="auto" w:fill="auto"/>
          </w:tcPr>
          <w:p w14:paraId="04420851"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olor w:val="000000" w:themeColor="text1"/>
                <w:sz w:val="20"/>
                <w:szCs w:val="20"/>
              </w:rPr>
              <w:t>NR</w:t>
            </w:r>
          </w:p>
        </w:tc>
      </w:tr>
      <w:tr w:rsidR="00577E44" w:rsidRPr="009E4EB8" w14:paraId="1ABD8B6F" w14:textId="77777777" w:rsidTr="00577E44">
        <w:tc>
          <w:tcPr>
            <w:tcW w:w="2425" w:type="dxa"/>
            <w:shd w:val="clear" w:color="auto" w:fill="auto"/>
            <w:hideMark/>
          </w:tcPr>
          <w:p w14:paraId="3066705D" w14:textId="77777777" w:rsidR="00577E44" w:rsidRPr="009E4EB8" w:rsidRDefault="00577E44" w:rsidP="00D041EE">
            <w:pPr>
              <w:keepNext/>
              <w:widowControl w:val="0"/>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Pneumonia </w:t>
            </w:r>
          </w:p>
        </w:tc>
        <w:tc>
          <w:tcPr>
            <w:tcW w:w="2210" w:type="dxa"/>
            <w:shd w:val="clear" w:color="auto" w:fill="auto"/>
            <w:hideMark/>
          </w:tcPr>
          <w:p w14:paraId="64F15BF3"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5/83 (6.0) </w:t>
            </w:r>
          </w:p>
        </w:tc>
        <w:tc>
          <w:tcPr>
            <w:tcW w:w="2228" w:type="dxa"/>
            <w:shd w:val="clear" w:color="auto" w:fill="auto"/>
          </w:tcPr>
          <w:p w14:paraId="1A617403"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NR</w:t>
            </w:r>
          </w:p>
        </w:tc>
        <w:tc>
          <w:tcPr>
            <w:tcW w:w="2154" w:type="dxa"/>
            <w:shd w:val="clear" w:color="auto" w:fill="auto"/>
          </w:tcPr>
          <w:p w14:paraId="27AC5ECC"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olor w:val="000000" w:themeColor="text1"/>
                <w:sz w:val="20"/>
                <w:szCs w:val="20"/>
              </w:rPr>
              <w:t>NR</w:t>
            </w:r>
          </w:p>
        </w:tc>
      </w:tr>
      <w:tr w:rsidR="00577E44" w:rsidRPr="009E4EB8" w14:paraId="7E037DC2" w14:textId="77777777" w:rsidTr="00577E44">
        <w:tc>
          <w:tcPr>
            <w:tcW w:w="2425" w:type="dxa"/>
            <w:shd w:val="clear" w:color="auto" w:fill="auto"/>
            <w:hideMark/>
          </w:tcPr>
          <w:p w14:paraId="749AD433" w14:textId="77777777" w:rsidR="00577E44" w:rsidRPr="009E4EB8" w:rsidRDefault="00577E44" w:rsidP="00D041EE">
            <w:pPr>
              <w:keepNext/>
              <w:widowControl w:val="0"/>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Sepsis </w:t>
            </w:r>
          </w:p>
        </w:tc>
        <w:tc>
          <w:tcPr>
            <w:tcW w:w="2210" w:type="dxa"/>
            <w:shd w:val="clear" w:color="auto" w:fill="auto"/>
            <w:hideMark/>
          </w:tcPr>
          <w:p w14:paraId="72CB8F2D"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7/83 (8.4) </w:t>
            </w:r>
          </w:p>
        </w:tc>
        <w:tc>
          <w:tcPr>
            <w:tcW w:w="2228" w:type="dxa"/>
            <w:shd w:val="clear" w:color="auto" w:fill="auto"/>
          </w:tcPr>
          <w:p w14:paraId="0640ABDC"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NR</w:t>
            </w:r>
          </w:p>
        </w:tc>
        <w:tc>
          <w:tcPr>
            <w:tcW w:w="2154" w:type="dxa"/>
            <w:shd w:val="clear" w:color="auto" w:fill="auto"/>
          </w:tcPr>
          <w:p w14:paraId="7A0DC9CC"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olor w:val="000000" w:themeColor="text1"/>
                <w:sz w:val="20"/>
                <w:szCs w:val="20"/>
              </w:rPr>
              <w:t>NR</w:t>
            </w:r>
          </w:p>
        </w:tc>
      </w:tr>
      <w:tr w:rsidR="00577E44" w:rsidRPr="009E4EB8" w14:paraId="728A69A6" w14:textId="77777777" w:rsidTr="00577E44">
        <w:tc>
          <w:tcPr>
            <w:tcW w:w="2425" w:type="dxa"/>
            <w:shd w:val="clear" w:color="auto" w:fill="auto"/>
            <w:hideMark/>
          </w:tcPr>
          <w:p w14:paraId="66FC75FB" w14:textId="77777777" w:rsidR="00577E44" w:rsidRPr="009E4EB8" w:rsidRDefault="00577E44" w:rsidP="00D041EE">
            <w:pPr>
              <w:keepNext/>
              <w:widowControl w:val="0"/>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 xml:space="preserve">Thrombocytopenia </w:t>
            </w:r>
          </w:p>
        </w:tc>
        <w:tc>
          <w:tcPr>
            <w:tcW w:w="2210" w:type="dxa"/>
            <w:shd w:val="clear" w:color="auto" w:fill="auto"/>
            <w:hideMark/>
          </w:tcPr>
          <w:p w14:paraId="7E471DC8"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52/83 (62.7)</w:t>
            </w:r>
          </w:p>
        </w:tc>
        <w:tc>
          <w:tcPr>
            <w:tcW w:w="2228" w:type="dxa"/>
            <w:shd w:val="clear" w:color="auto" w:fill="auto"/>
          </w:tcPr>
          <w:p w14:paraId="094E8EAD"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s="Calibri"/>
                <w:color w:val="000000" w:themeColor="text1"/>
                <w:sz w:val="20"/>
                <w:szCs w:val="20"/>
              </w:rPr>
              <w:t>48/111 (</w:t>
            </w:r>
            <w:r w:rsidRPr="009E4EB8">
              <w:rPr>
                <w:rFonts w:ascii="Arial Narrow" w:eastAsia="MS Gothic" w:hAnsi="Arial Narrow" w:cs="Calibri"/>
                <w:color w:val="000000" w:themeColor="text1"/>
                <w:sz w:val="20"/>
                <w:szCs w:val="20"/>
              </w:rPr>
              <w:t>43.2</w:t>
            </w:r>
            <w:r w:rsidRPr="009E4EB8">
              <w:rPr>
                <w:rFonts w:ascii="Arial Narrow" w:hAnsi="Arial Narrow" w:cs="Calibri"/>
                <w:color w:val="000000" w:themeColor="text1"/>
                <w:sz w:val="20"/>
                <w:szCs w:val="20"/>
              </w:rPr>
              <w:t>)</w:t>
            </w:r>
            <w:r w:rsidRPr="009E4EB8">
              <w:rPr>
                <w:rFonts w:ascii="Arial Narrow" w:eastAsia="MS Gothic" w:hAnsi="Arial Narrow" w:cs="Calibri"/>
                <w:color w:val="000000" w:themeColor="text1"/>
                <w:sz w:val="20"/>
                <w:szCs w:val="20"/>
              </w:rPr>
              <w:t xml:space="preserve"> </w:t>
            </w:r>
          </w:p>
        </w:tc>
        <w:tc>
          <w:tcPr>
            <w:tcW w:w="2154" w:type="dxa"/>
            <w:shd w:val="clear" w:color="auto" w:fill="auto"/>
          </w:tcPr>
          <w:p w14:paraId="25C430A1"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olor w:val="000000" w:themeColor="text1"/>
                <w:sz w:val="20"/>
                <w:szCs w:val="20"/>
              </w:rPr>
              <w:t>NR</w:t>
            </w:r>
          </w:p>
        </w:tc>
      </w:tr>
      <w:tr w:rsidR="00577E44" w:rsidRPr="009E4EB8" w14:paraId="1E620AD1" w14:textId="77777777" w:rsidTr="00577E44">
        <w:tc>
          <w:tcPr>
            <w:tcW w:w="2425" w:type="dxa"/>
            <w:shd w:val="clear" w:color="auto" w:fill="auto"/>
          </w:tcPr>
          <w:p w14:paraId="43040B5A" w14:textId="77777777" w:rsidR="00577E44" w:rsidRPr="009E4EB8" w:rsidRDefault="00577E44" w:rsidP="00D041EE">
            <w:pPr>
              <w:keepNext/>
              <w:widowControl w:val="0"/>
              <w:textAlignment w:val="baseline"/>
              <w:rPr>
                <w:rFonts w:ascii="Arial Narrow" w:eastAsia="MS Gothic" w:hAnsi="Arial Narrow" w:cs="Calibri"/>
                <w:color w:val="000000" w:themeColor="text1"/>
                <w:sz w:val="20"/>
                <w:szCs w:val="20"/>
              </w:rPr>
            </w:pPr>
            <w:r w:rsidRPr="009E4EB8">
              <w:rPr>
                <w:rFonts w:ascii="Arial Narrow" w:hAnsi="Arial Narrow" w:cs="Calibri"/>
                <w:color w:val="000000" w:themeColor="text1"/>
                <w:sz w:val="20"/>
                <w:szCs w:val="20"/>
              </w:rPr>
              <w:t>Venous thromboembolism</w:t>
            </w:r>
          </w:p>
        </w:tc>
        <w:tc>
          <w:tcPr>
            <w:tcW w:w="2210" w:type="dxa"/>
            <w:shd w:val="clear" w:color="auto" w:fill="auto"/>
          </w:tcPr>
          <w:p w14:paraId="0D3453E4"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eastAsia="MS Gothic" w:hAnsi="Arial Narrow" w:cs="Calibri"/>
                <w:color w:val="000000" w:themeColor="text1"/>
                <w:sz w:val="20"/>
                <w:szCs w:val="20"/>
              </w:rPr>
              <w:t>NR</w:t>
            </w:r>
          </w:p>
        </w:tc>
        <w:tc>
          <w:tcPr>
            <w:tcW w:w="2228" w:type="dxa"/>
            <w:shd w:val="clear" w:color="auto" w:fill="auto"/>
          </w:tcPr>
          <w:p w14:paraId="2B82FD4A" w14:textId="77777777" w:rsidR="00577E44" w:rsidRPr="009E4EB8" w:rsidRDefault="00577E44" w:rsidP="00D041EE">
            <w:pPr>
              <w:keepNext/>
              <w:widowControl w:val="0"/>
              <w:jc w:val="center"/>
              <w:textAlignment w:val="baseline"/>
              <w:rPr>
                <w:rFonts w:ascii="Arial Narrow" w:hAnsi="Arial Narrow" w:cs="Calibri"/>
                <w:color w:val="000000" w:themeColor="text1"/>
                <w:sz w:val="20"/>
                <w:szCs w:val="20"/>
              </w:rPr>
            </w:pPr>
            <w:r w:rsidRPr="009E4EB8">
              <w:rPr>
                <w:rFonts w:ascii="Arial Narrow" w:hAnsi="Arial Narrow" w:cs="Calibri"/>
                <w:color w:val="000000" w:themeColor="text1"/>
                <w:sz w:val="20"/>
                <w:szCs w:val="20"/>
              </w:rPr>
              <w:t>NR</w:t>
            </w:r>
          </w:p>
        </w:tc>
        <w:tc>
          <w:tcPr>
            <w:tcW w:w="2154" w:type="dxa"/>
            <w:shd w:val="clear" w:color="auto" w:fill="auto"/>
          </w:tcPr>
          <w:p w14:paraId="5B3BC0D8" w14:textId="51F43951"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s="Calibri"/>
                <w:color w:val="000000" w:themeColor="text1"/>
                <w:sz w:val="20"/>
                <w:szCs w:val="20"/>
              </w:rPr>
              <w:t>3/52 (5.8)</w:t>
            </w:r>
            <w:r w:rsidRPr="009E4EB8">
              <w:rPr>
                <w:rFonts w:ascii="Arial Narrow" w:hAnsi="Arial Narrow" w:cs="Calibri"/>
                <w:color w:val="000000" w:themeColor="text1"/>
                <w:sz w:val="20"/>
                <w:szCs w:val="20"/>
                <w:vertAlign w:val="superscript"/>
              </w:rPr>
              <w:t xml:space="preserve"> </w:t>
            </w:r>
            <w:r w:rsidR="00201A85" w:rsidRPr="009E4EB8">
              <w:rPr>
                <w:rFonts w:ascii="Arial Narrow" w:hAnsi="Arial Narrow" w:cs="Calibri"/>
                <w:color w:val="000000" w:themeColor="text1"/>
                <w:sz w:val="20"/>
                <w:szCs w:val="20"/>
                <w:vertAlign w:val="superscript"/>
              </w:rPr>
              <w:t>e</w:t>
            </w:r>
          </w:p>
        </w:tc>
      </w:tr>
      <w:tr w:rsidR="00577E44" w:rsidRPr="009E4EB8" w14:paraId="1FC56809" w14:textId="77777777" w:rsidTr="00577E44">
        <w:tc>
          <w:tcPr>
            <w:tcW w:w="2425" w:type="dxa"/>
            <w:shd w:val="clear" w:color="auto" w:fill="auto"/>
          </w:tcPr>
          <w:p w14:paraId="3245C06E" w14:textId="77777777" w:rsidR="00577E44" w:rsidRPr="009E4EB8" w:rsidRDefault="00577E44" w:rsidP="00D041EE">
            <w:pPr>
              <w:keepNext/>
              <w:widowControl w:val="0"/>
              <w:textAlignment w:val="baseline"/>
              <w:rPr>
                <w:rFonts w:ascii="Arial Narrow" w:hAnsi="Arial Narrow" w:cs="Calibri"/>
                <w:color w:val="000000" w:themeColor="text1"/>
                <w:sz w:val="20"/>
                <w:szCs w:val="20"/>
              </w:rPr>
            </w:pPr>
            <w:r w:rsidRPr="009E4EB8">
              <w:rPr>
                <w:rFonts w:ascii="Arial Narrow" w:hAnsi="Arial Narrow" w:cs="Calibri"/>
                <w:color w:val="000000" w:themeColor="text1"/>
                <w:sz w:val="20"/>
                <w:szCs w:val="20"/>
              </w:rPr>
              <w:t>Anaemia</w:t>
            </w:r>
          </w:p>
        </w:tc>
        <w:tc>
          <w:tcPr>
            <w:tcW w:w="2210" w:type="dxa"/>
            <w:shd w:val="clear" w:color="auto" w:fill="auto"/>
          </w:tcPr>
          <w:p w14:paraId="38F400E5" w14:textId="77777777" w:rsidR="00577E44" w:rsidRPr="009E4EB8" w:rsidRDefault="00577E44" w:rsidP="00D041EE">
            <w:pPr>
              <w:keepNext/>
              <w:widowControl w:val="0"/>
              <w:jc w:val="center"/>
              <w:textAlignment w:val="baseline"/>
              <w:rPr>
                <w:rFonts w:ascii="Arial Narrow" w:eastAsia="MS Gothic" w:hAnsi="Arial Narrow" w:cs="Calibri"/>
                <w:iCs/>
                <w:color w:val="000000" w:themeColor="text1"/>
                <w:sz w:val="20"/>
                <w:szCs w:val="20"/>
                <w:vertAlign w:val="superscript"/>
              </w:rPr>
            </w:pPr>
            <w:r w:rsidRPr="009E4EB8">
              <w:rPr>
                <w:rFonts w:ascii="Arial Narrow" w:eastAsia="MS Gothic" w:hAnsi="Arial Narrow" w:cs="Calibri"/>
                <w:iCs/>
                <w:color w:val="000000" w:themeColor="text1"/>
                <w:sz w:val="20"/>
                <w:szCs w:val="20"/>
              </w:rPr>
              <w:t xml:space="preserve">40/83 (48.2) </w:t>
            </w:r>
            <w:r w:rsidRPr="009E4EB8">
              <w:rPr>
                <w:rFonts w:ascii="Arial Narrow" w:eastAsia="MS Gothic" w:hAnsi="Arial Narrow" w:cs="Calibri"/>
                <w:iCs/>
                <w:color w:val="000000" w:themeColor="text1"/>
                <w:sz w:val="20"/>
                <w:szCs w:val="20"/>
                <w:vertAlign w:val="superscript"/>
              </w:rPr>
              <w:t>a</w:t>
            </w:r>
          </w:p>
        </w:tc>
        <w:tc>
          <w:tcPr>
            <w:tcW w:w="2228" w:type="dxa"/>
            <w:shd w:val="clear" w:color="auto" w:fill="auto"/>
          </w:tcPr>
          <w:p w14:paraId="03D32F3B" w14:textId="77777777" w:rsidR="00577E44" w:rsidRPr="009E4EB8" w:rsidRDefault="00577E44" w:rsidP="00D041EE">
            <w:pPr>
              <w:keepNext/>
              <w:widowControl w:val="0"/>
              <w:jc w:val="center"/>
              <w:textAlignment w:val="baseline"/>
              <w:rPr>
                <w:rFonts w:ascii="Arial Narrow" w:hAnsi="Arial Narrow" w:cs="Calibri"/>
                <w:color w:val="000000" w:themeColor="text1"/>
                <w:sz w:val="20"/>
                <w:szCs w:val="20"/>
              </w:rPr>
            </w:pPr>
            <w:r w:rsidRPr="009E4EB8">
              <w:rPr>
                <w:rFonts w:ascii="Arial Narrow" w:hAnsi="Arial Narrow" w:cs="Calibri"/>
                <w:color w:val="000000" w:themeColor="text1"/>
                <w:sz w:val="20"/>
                <w:szCs w:val="20"/>
              </w:rPr>
              <w:t>50/111 (45.0)</w:t>
            </w:r>
          </w:p>
        </w:tc>
        <w:tc>
          <w:tcPr>
            <w:tcW w:w="2154" w:type="dxa"/>
            <w:shd w:val="clear" w:color="auto" w:fill="auto"/>
          </w:tcPr>
          <w:p w14:paraId="57C79C56" w14:textId="77777777" w:rsidR="00577E44" w:rsidRPr="009E4EB8" w:rsidRDefault="00577E44" w:rsidP="00D041EE">
            <w:pPr>
              <w:keepNext/>
              <w:widowControl w:val="0"/>
              <w:jc w:val="center"/>
              <w:textAlignment w:val="baseline"/>
              <w:rPr>
                <w:rFonts w:ascii="Arial Narrow" w:hAnsi="Arial Narrow" w:cs="Calibri"/>
                <w:color w:val="000000" w:themeColor="text1"/>
                <w:sz w:val="20"/>
                <w:szCs w:val="20"/>
              </w:rPr>
            </w:pPr>
            <w:r w:rsidRPr="009E4EB8">
              <w:rPr>
                <w:rFonts w:ascii="Arial Narrow" w:hAnsi="Arial Narrow" w:cs="Calibri"/>
                <w:color w:val="000000" w:themeColor="text1"/>
                <w:sz w:val="20"/>
                <w:szCs w:val="20"/>
              </w:rPr>
              <w:t>NR</w:t>
            </w:r>
          </w:p>
        </w:tc>
      </w:tr>
      <w:tr w:rsidR="00577E44" w:rsidRPr="009E4EB8" w14:paraId="7A3E6AA5" w14:textId="77777777" w:rsidTr="00577E44">
        <w:tc>
          <w:tcPr>
            <w:tcW w:w="2425" w:type="dxa"/>
            <w:shd w:val="clear" w:color="auto" w:fill="auto"/>
          </w:tcPr>
          <w:p w14:paraId="7334DE1C" w14:textId="77777777" w:rsidR="00577E44" w:rsidRPr="009E4EB8" w:rsidRDefault="00577E44" w:rsidP="00D041EE">
            <w:pPr>
              <w:keepNext/>
              <w:widowControl w:val="0"/>
              <w:textAlignment w:val="baseline"/>
              <w:rPr>
                <w:rFonts w:ascii="Arial Narrow" w:eastAsia="MS Gothic" w:hAnsi="Arial Narrow" w:cs="Calibri"/>
                <w:color w:val="000000" w:themeColor="text1"/>
                <w:sz w:val="20"/>
                <w:szCs w:val="20"/>
              </w:rPr>
            </w:pPr>
            <w:r w:rsidRPr="009E4EB8">
              <w:rPr>
                <w:rFonts w:ascii="Arial Narrow" w:hAnsi="Arial Narrow" w:cs="Calibri"/>
                <w:color w:val="000000" w:themeColor="text1"/>
                <w:sz w:val="20"/>
                <w:szCs w:val="20"/>
              </w:rPr>
              <w:t>Mortality due to treatment</w:t>
            </w:r>
          </w:p>
        </w:tc>
        <w:tc>
          <w:tcPr>
            <w:tcW w:w="2210" w:type="dxa"/>
            <w:shd w:val="clear" w:color="auto" w:fill="C6D9F1" w:themeFill="text2" w:themeFillTint="33"/>
          </w:tcPr>
          <w:p w14:paraId="4E39C4E4"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vertAlign w:val="superscript"/>
              </w:rPr>
            </w:pPr>
            <w:r w:rsidRPr="009E4EB8">
              <w:rPr>
                <w:rFonts w:ascii="Arial Narrow" w:eastAsia="MS Gothic" w:hAnsi="Arial Narrow" w:cs="Calibri"/>
                <w:iCs/>
                <w:color w:val="000000" w:themeColor="text1"/>
                <w:sz w:val="20"/>
                <w:szCs w:val="20"/>
              </w:rPr>
              <w:t>3/123 (2.4)</w:t>
            </w:r>
            <w:r w:rsidRPr="009E4EB8">
              <w:rPr>
                <w:rFonts w:ascii="Arial Narrow" w:eastAsia="MS Gothic" w:hAnsi="Arial Narrow" w:cs="Calibri"/>
                <w:color w:val="000000" w:themeColor="text1"/>
                <w:sz w:val="20"/>
                <w:szCs w:val="20"/>
              </w:rPr>
              <w:t xml:space="preserve"> </w:t>
            </w:r>
            <w:r w:rsidRPr="009E4EB8">
              <w:rPr>
                <w:rFonts w:ascii="Arial Narrow" w:eastAsia="MS Gothic" w:hAnsi="Arial Narrow" w:cs="Calibri"/>
                <w:iCs/>
                <w:color w:val="000000" w:themeColor="text1"/>
                <w:sz w:val="20"/>
                <w:szCs w:val="20"/>
                <w:vertAlign w:val="superscript"/>
              </w:rPr>
              <w:t>b</w:t>
            </w:r>
          </w:p>
        </w:tc>
        <w:tc>
          <w:tcPr>
            <w:tcW w:w="2228" w:type="dxa"/>
            <w:shd w:val="clear" w:color="auto" w:fill="auto"/>
          </w:tcPr>
          <w:p w14:paraId="19434E40" w14:textId="0C3ECE92" w:rsidR="00577E44" w:rsidRPr="009E4EB8" w:rsidRDefault="00BA34B6" w:rsidP="00D041EE">
            <w:pPr>
              <w:keepNext/>
              <w:widowControl w:val="0"/>
              <w:jc w:val="center"/>
              <w:textAlignment w:val="baseline"/>
              <w:rPr>
                <w:rFonts w:ascii="Arial Narrow" w:hAnsi="Arial Narrow" w:cs="Calibri"/>
                <w:color w:val="000000" w:themeColor="text1"/>
                <w:sz w:val="20"/>
                <w:szCs w:val="20"/>
                <w:vertAlign w:val="superscript"/>
              </w:rPr>
            </w:pPr>
            <w:r w:rsidRPr="009E4EB8">
              <w:rPr>
                <w:rFonts w:ascii="Arial Narrow" w:hAnsi="Arial Narrow" w:cs="Calibri"/>
                <w:iCs/>
                <w:color w:val="000000" w:themeColor="text1"/>
                <w:sz w:val="20"/>
                <w:szCs w:val="20"/>
              </w:rPr>
              <w:t>6/62 (9.7)</w:t>
            </w:r>
            <w:r w:rsidR="00D10614" w:rsidRPr="009E4EB8">
              <w:rPr>
                <w:rFonts w:ascii="Arial Narrow" w:hAnsi="Arial Narrow" w:cs="Calibri"/>
                <w:color w:val="000000" w:themeColor="text1"/>
                <w:sz w:val="20"/>
                <w:szCs w:val="20"/>
                <w:vertAlign w:val="superscript"/>
              </w:rPr>
              <w:t xml:space="preserve"> </w:t>
            </w:r>
            <w:r w:rsidR="00201A85" w:rsidRPr="009E4EB8">
              <w:rPr>
                <w:rFonts w:ascii="Arial Narrow" w:hAnsi="Arial Narrow" w:cs="Calibri"/>
                <w:color w:val="000000" w:themeColor="text1"/>
                <w:sz w:val="20"/>
                <w:szCs w:val="20"/>
                <w:vertAlign w:val="superscript"/>
              </w:rPr>
              <w:t>d</w:t>
            </w:r>
          </w:p>
        </w:tc>
        <w:tc>
          <w:tcPr>
            <w:tcW w:w="2154" w:type="dxa"/>
            <w:shd w:val="clear" w:color="auto" w:fill="auto"/>
          </w:tcPr>
          <w:p w14:paraId="461DA48C" w14:textId="77777777" w:rsidR="00577E44" w:rsidRPr="009E4EB8" w:rsidRDefault="00577E44" w:rsidP="00D041EE">
            <w:pPr>
              <w:keepNext/>
              <w:widowControl w:val="0"/>
              <w:jc w:val="center"/>
              <w:textAlignment w:val="baseline"/>
              <w:rPr>
                <w:rFonts w:ascii="Arial Narrow" w:eastAsia="MS Gothic" w:hAnsi="Arial Narrow" w:cs="Calibri"/>
                <w:color w:val="000000" w:themeColor="text1"/>
                <w:sz w:val="20"/>
                <w:szCs w:val="20"/>
              </w:rPr>
            </w:pPr>
            <w:r w:rsidRPr="009E4EB8">
              <w:rPr>
                <w:rFonts w:ascii="Arial Narrow" w:hAnsi="Arial Narrow" w:cs="Calibri"/>
                <w:color w:val="000000" w:themeColor="text1"/>
                <w:sz w:val="20"/>
                <w:szCs w:val="20"/>
              </w:rPr>
              <w:t>3/52 (5.8)</w:t>
            </w:r>
          </w:p>
        </w:tc>
      </w:tr>
    </w:tbl>
    <w:p w14:paraId="34F40642" w14:textId="77777777" w:rsidR="00577E44" w:rsidRPr="009E4EB8" w:rsidRDefault="00577E44" w:rsidP="00577E44">
      <w:pPr>
        <w:pStyle w:val="TableFigureFooter"/>
        <w:keepNext/>
        <w:widowControl w:val="0"/>
      </w:pPr>
      <w:r w:rsidRPr="009E4EB8">
        <w:t>Source: Table 2-29,2-42, pp75,101 of the resubmission; Yuen et al 2018</w:t>
      </w:r>
    </w:p>
    <w:p w14:paraId="10A0EB4B" w14:textId="3ACFA295" w:rsidR="00577E44" w:rsidRPr="009E4EB8" w:rsidRDefault="00577E44" w:rsidP="00577E44">
      <w:pPr>
        <w:pStyle w:val="TableFigureFooter"/>
        <w:keepNext/>
        <w:widowControl w:val="0"/>
      </w:pPr>
      <w:r w:rsidRPr="009E4EB8">
        <w:t xml:space="preserve">Abbreviations: AE = adverse event; </w:t>
      </w:r>
      <w:r w:rsidRPr="009E4EB8">
        <w:rPr>
          <w:szCs w:val="18"/>
        </w:rPr>
        <w:t>DCEP = dexamethasone + cyclophosphamide + etoposide + cisplatin; FN = febrile neutropenia; N = number of participants; n = number of participants with event; NR = not reported</w:t>
      </w:r>
      <w:r w:rsidR="00B35572" w:rsidRPr="009E4EB8">
        <w:rPr>
          <w:szCs w:val="18"/>
        </w:rPr>
        <w:t>;</w:t>
      </w:r>
      <w:r w:rsidR="00BD0038" w:rsidRPr="009E4EB8">
        <w:rPr>
          <w:szCs w:val="18"/>
        </w:rPr>
        <w:t xml:space="preserve"> </w:t>
      </w:r>
      <w:r w:rsidRPr="009E4EB8">
        <w:rPr>
          <w:szCs w:val="18"/>
        </w:rPr>
        <w:t xml:space="preserve">SAP = safety analysis population; </w:t>
      </w:r>
      <w:r w:rsidR="00D12430" w:rsidRPr="009E4EB8">
        <w:rPr>
          <w:szCs w:val="18"/>
        </w:rPr>
        <w:t xml:space="preserve">Sd = selinexor + dexamethasone; </w:t>
      </w:r>
      <w:r w:rsidRPr="009E4EB8">
        <w:rPr>
          <w:szCs w:val="28"/>
        </w:rPr>
        <w:t>TCR/PR MM = triple class refractory and penta-refractory multiple myeloma</w:t>
      </w:r>
      <w:r w:rsidRPr="009E4EB8">
        <w:t xml:space="preserve">; TEAE = treatment emergent adverse event </w:t>
      </w:r>
    </w:p>
    <w:p w14:paraId="086F6382" w14:textId="77777777" w:rsidR="00577E44" w:rsidRPr="009E4EB8" w:rsidRDefault="00577E44" w:rsidP="00577E44">
      <w:pPr>
        <w:pStyle w:val="TableFigureFooter"/>
        <w:keepNext/>
        <w:widowControl w:val="0"/>
        <w:rPr>
          <w:iCs/>
        </w:rPr>
      </w:pPr>
      <w:r w:rsidRPr="009E4EB8">
        <w:t xml:space="preserve">Note: </w:t>
      </w:r>
      <w:proofErr w:type="gramStart"/>
      <w:r w:rsidRPr="009E4EB8">
        <w:rPr>
          <w:vertAlign w:val="superscript"/>
        </w:rPr>
        <w:t xml:space="preserve">a </w:t>
      </w:r>
      <w:r w:rsidRPr="009E4EB8">
        <w:rPr>
          <w:iCs/>
        </w:rPr>
        <w:t>the</w:t>
      </w:r>
      <w:proofErr w:type="gramEnd"/>
      <w:r w:rsidRPr="009E4EB8">
        <w:rPr>
          <w:iCs/>
        </w:rPr>
        <w:t xml:space="preserve"> resubmission reported anaemia as 55 (44.7%) however this was corrected in the table as per Table 6.2.1a from the reference provided by the resubmission</w:t>
      </w:r>
    </w:p>
    <w:p w14:paraId="34491BBD" w14:textId="77777777" w:rsidR="00577E44" w:rsidRPr="009E4EB8" w:rsidRDefault="00577E44" w:rsidP="00577E44">
      <w:pPr>
        <w:pStyle w:val="TableFigureFooter"/>
        <w:keepNext/>
        <w:widowControl w:val="0"/>
      </w:pPr>
      <w:r w:rsidRPr="009E4EB8">
        <w:rPr>
          <w:vertAlign w:val="superscript"/>
        </w:rPr>
        <w:t xml:space="preserve">b </w:t>
      </w:r>
      <w:r w:rsidRPr="009E4EB8">
        <w:t xml:space="preserve">the resubmission reported the number of mortalities due to treatment for STORM as 2/123 (1.6%) indicative of the SAP population, however this was inconsistent with the results presented in Table 2-29 p75 of the resubmission </w:t>
      </w:r>
    </w:p>
    <w:p w14:paraId="3DEBB772" w14:textId="38BF631A" w:rsidR="00201A85" w:rsidRPr="009E4EB8" w:rsidRDefault="00577E44" w:rsidP="00577E44">
      <w:pPr>
        <w:pStyle w:val="TableFigureFooter"/>
        <w:keepNext/>
        <w:widowControl w:val="0"/>
      </w:pPr>
      <w:r w:rsidRPr="009E4EB8">
        <w:rPr>
          <w:vertAlign w:val="superscript"/>
        </w:rPr>
        <w:t xml:space="preserve">c </w:t>
      </w:r>
      <w:r w:rsidR="00201A85" w:rsidRPr="009E4EB8">
        <w:t xml:space="preserve">the resubmission reported </w:t>
      </w:r>
      <w:r w:rsidR="001A1DDB" w:rsidRPr="009E4EB8">
        <w:t xml:space="preserve">the total number of patients as 58, Yuen 2018 stated that 62 patients were included in the study of which </w:t>
      </w:r>
      <w:r w:rsidR="00015670" w:rsidRPr="009E4EB8">
        <w:t xml:space="preserve">58 patients (93.5%) had refractory disease to prior treatment. </w:t>
      </w:r>
    </w:p>
    <w:p w14:paraId="73B9ED43" w14:textId="511B8C64" w:rsidR="00577E44" w:rsidRPr="009E4EB8" w:rsidRDefault="00201A85" w:rsidP="00577E44">
      <w:pPr>
        <w:pStyle w:val="TableFigureFooter"/>
        <w:keepNext/>
        <w:widowControl w:val="0"/>
      </w:pPr>
      <w:r w:rsidRPr="009E4EB8">
        <w:rPr>
          <w:vertAlign w:val="superscript"/>
        </w:rPr>
        <w:t xml:space="preserve">d </w:t>
      </w:r>
      <w:r w:rsidR="00577E44" w:rsidRPr="009E4EB8">
        <w:t>the resubmission stated that the number of mortalities due to treatment for Yuen 2018 as 5/58 (8.6%) however, according to Yuen 2018, 5 deaths were associated with FN</w:t>
      </w:r>
      <w:r w:rsidR="0085613F" w:rsidRPr="009E4EB8">
        <w:t xml:space="preserve"> and</w:t>
      </w:r>
      <w:r w:rsidR="00577E44" w:rsidRPr="009E4EB8">
        <w:t xml:space="preserve"> </w:t>
      </w:r>
      <w:r w:rsidR="008C222B" w:rsidRPr="009E4EB8">
        <w:t>one patient died from pneumonia without sepsis</w:t>
      </w:r>
      <w:r w:rsidR="00E84CD0" w:rsidRPr="009E4EB8">
        <w:t xml:space="preserve">, </w:t>
      </w:r>
      <w:r w:rsidR="00577E44" w:rsidRPr="009E4EB8">
        <w:t>and th</w:t>
      </w:r>
      <w:r w:rsidR="00E84CD0" w:rsidRPr="009E4EB8">
        <w:t>at</w:t>
      </w:r>
      <w:r w:rsidR="00577E44" w:rsidRPr="009E4EB8">
        <w:t xml:space="preserve"> rate of treatment related mortality was 9.7% </w:t>
      </w:r>
      <w:r w:rsidR="00E84CD0" w:rsidRPr="009E4EB8">
        <w:t>(i.e. 6/62 deaths</w:t>
      </w:r>
      <w:proofErr w:type="gramStart"/>
      <w:r w:rsidR="00E84CD0" w:rsidRPr="009E4EB8">
        <w:t>)</w:t>
      </w:r>
      <w:r w:rsidR="00722761" w:rsidRPr="009E4EB8">
        <w:t>.</w:t>
      </w:r>
      <w:r w:rsidR="00577E44" w:rsidRPr="009E4EB8">
        <w:t>.</w:t>
      </w:r>
      <w:proofErr w:type="gramEnd"/>
      <w:r w:rsidR="00577E44" w:rsidRPr="009E4EB8">
        <w:t xml:space="preserve"> </w:t>
      </w:r>
    </w:p>
    <w:p w14:paraId="3ED007BF" w14:textId="5BBDABA2" w:rsidR="00577E44" w:rsidRPr="009E4EB8" w:rsidRDefault="00201A85" w:rsidP="00577E44">
      <w:pPr>
        <w:pStyle w:val="TableFigureFooter"/>
        <w:keepNext/>
        <w:widowControl w:val="0"/>
      </w:pPr>
      <w:r w:rsidRPr="009E4EB8">
        <w:rPr>
          <w:vertAlign w:val="superscript"/>
        </w:rPr>
        <w:t xml:space="preserve">e </w:t>
      </w:r>
      <w:r w:rsidR="00577E44" w:rsidRPr="009E4EB8">
        <w:t>Griffin 2015 did not report Grade ≥3 TEAE, rather refers to clinically relevant AEs.</w:t>
      </w:r>
    </w:p>
    <w:p w14:paraId="176A6774" w14:textId="38A30DF8" w:rsidR="00B56D71" w:rsidRPr="009E4EB8" w:rsidRDefault="00577E44" w:rsidP="00573156">
      <w:pPr>
        <w:pStyle w:val="TableFigureFooter"/>
        <w:keepNext/>
        <w:rPr>
          <w:szCs w:val="18"/>
        </w:rPr>
      </w:pPr>
      <w:r w:rsidRPr="009E4EB8">
        <w:t>Blue shading denotes text remains unchanged from the July 2021 submission.</w:t>
      </w:r>
    </w:p>
    <w:p w14:paraId="0DEB56EE" w14:textId="274B3C4A" w:rsidR="000E3EBE" w:rsidRPr="009E4EB8" w:rsidRDefault="00E84A17" w:rsidP="005304FD">
      <w:pPr>
        <w:pStyle w:val="3-BodyText"/>
        <w:rPr>
          <w:color w:val="0066FF"/>
        </w:rPr>
      </w:pPr>
      <w:r w:rsidRPr="009E4EB8">
        <w:t xml:space="preserve">The safety comparison </w:t>
      </w:r>
      <w:r w:rsidR="00026C3D" w:rsidRPr="009E4EB8">
        <w:t>was</w:t>
      </w:r>
      <w:r w:rsidRPr="009E4EB8">
        <w:t xml:space="preserve"> limited to febrile neutropenia, neutropenia, thrombocytopaenia</w:t>
      </w:r>
      <w:r w:rsidR="003C3C11" w:rsidRPr="009E4EB8">
        <w:t xml:space="preserve">, </w:t>
      </w:r>
      <w:r w:rsidR="00D5475F" w:rsidRPr="009E4EB8">
        <w:t>anaemia</w:t>
      </w:r>
      <w:r w:rsidRPr="009E4EB8">
        <w:t xml:space="preserve"> and death due to treatment given the lack of data reported in the studies by Yuen 2018 and Griffin 2015. Yuen 2018 reports event rates per cycles, whereas STORM and Griffin 2015 report</w:t>
      </w:r>
      <w:r w:rsidR="005B0C3A" w:rsidRPr="009E4EB8">
        <w:t xml:space="preserve"> the proportion of</w:t>
      </w:r>
      <w:r w:rsidRPr="009E4EB8">
        <w:t xml:space="preserve"> </w:t>
      </w:r>
      <w:r w:rsidRPr="009E4EB8">
        <w:rPr>
          <w:color w:val="000000" w:themeColor="text1"/>
        </w:rPr>
        <w:t>patients experiencing an AE.</w:t>
      </w:r>
      <w:r w:rsidR="008A4A0D" w:rsidRPr="009E4EB8">
        <w:rPr>
          <w:color w:val="000000" w:themeColor="text1"/>
        </w:rPr>
        <w:t xml:space="preserve"> </w:t>
      </w:r>
      <w:r w:rsidR="00E23C87" w:rsidRPr="009E4EB8">
        <w:rPr>
          <w:color w:val="000000" w:themeColor="text1"/>
        </w:rPr>
        <w:t xml:space="preserve">A </w:t>
      </w:r>
      <w:r w:rsidR="008A4A0D" w:rsidRPr="009E4EB8">
        <w:t xml:space="preserve">lower proportion of patients on Sd experienced febrile neutropenia (1.2% vs 28.8% in both studies), </w:t>
      </w:r>
      <w:r w:rsidR="00E23C87" w:rsidRPr="009E4EB8">
        <w:t xml:space="preserve">and </w:t>
      </w:r>
      <w:r w:rsidR="008A4A0D" w:rsidRPr="009E4EB8">
        <w:t>neutropenia (24.1% vs 70.3%</w:t>
      </w:r>
      <w:r w:rsidR="00BF2966" w:rsidRPr="009E4EB8">
        <w:t xml:space="preserve"> in Yuen 2018</w:t>
      </w:r>
      <w:r w:rsidR="008A4A0D" w:rsidRPr="009E4EB8">
        <w:t>). Conversely, the rate of thrombocytopaenia per cycle with DCEP was lower than the proportion of patients with Sd that experienced thrombocytopaenia (43.2%</w:t>
      </w:r>
      <w:r w:rsidR="00BF2966" w:rsidRPr="009E4EB8">
        <w:t xml:space="preserve"> in Yuen 2018</w:t>
      </w:r>
      <w:r w:rsidR="008A4A0D" w:rsidRPr="009E4EB8">
        <w:t xml:space="preserve"> vs 62.7%</w:t>
      </w:r>
      <w:r w:rsidR="00BF2966" w:rsidRPr="009E4EB8">
        <w:t xml:space="preserve"> in STORM</w:t>
      </w:r>
      <w:r w:rsidR="008A4A0D" w:rsidRPr="009E4EB8">
        <w:t xml:space="preserve">). </w:t>
      </w:r>
    </w:p>
    <w:p w14:paraId="1E41481E" w14:textId="6229F1D2" w:rsidR="000E3EBE" w:rsidRPr="009E4EB8" w:rsidRDefault="000E3EBE" w:rsidP="000E3EBE">
      <w:pPr>
        <w:pStyle w:val="3-BodyText"/>
        <w:rPr>
          <w:iCs/>
        </w:rPr>
      </w:pPr>
      <w:r w:rsidRPr="009E4EB8">
        <w:rPr>
          <w:iCs/>
        </w:rPr>
        <w:t xml:space="preserve">Overall, the </w:t>
      </w:r>
      <w:r w:rsidR="00026C3D" w:rsidRPr="009E4EB8">
        <w:rPr>
          <w:iCs/>
        </w:rPr>
        <w:t xml:space="preserve">Commentary stated that the </w:t>
      </w:r>
      <w:r w:rsidRPr="009E4EB8">
        <w:rPr>
          <w:iCs/>
        </w:rPr>
        <w:t xml:space="preserve">safety claim made by the resubmission was inconclusive based on the following issues: </w:t>
      </w:r>
    </w:p>
    <w:p w14:paraId="2759FA17" w14:textId="279AD7E7" w:rsidR="000E3EBE" w:rsidRPr="009E4EB8" w:rsidRDefault="000E3EBE" w:rsidP="000E3EBE">
      <w:pPr>
        <w:pStyle w:val="Bulletpoints"/>
        <w:ind w:left="1060" w:hanging="357"/>
        <w:contextualSpacing w:val="0"/>
        <w:rPr>
          <w:iCs/>
        </w:rPr>
      </w:pPr>
      <w:bookmarkStart w:id="54" w:name="_Hlk91072484"/>
      <w:r w:rsidRPr="009E4EB8">
        <w:rPr>
          <w:iCs/>
        </w:rPr>
        <w:t xml:space="preserve">AEs in STORM and Griffin 2015 were reported as number of patients experiencing an AE event, whilst results from Yuen 2018 were reported as AE events arising per cycle of DCEP. It is unclear from Yuen 2018 as to the number of cycles each patient received and whether reported AEs were experienced several times by the one patient or by multiple patients. Whilst the former would have only been counted once by STORM and Griffin 2015, these would have been counted per incidence in Yuen 2018 thus potentially biasing results against Yuen 2018. </w:t>
      </w:r>
    </w:p>
    <w:p w14:paraId="4CACE050" w14:textId="6D6CE4D1" w:rsidR="000E3EBE" w:rsidRPr="009E4EB8" w:rsidRDefault="000E3EBE" w:rsidP="000E3EBE">
      <w:pPr>
        <w:pStyle w:val="Bulletpoints"/>
        <w:ind w:left="1060" w:hanging="357"/>
        <w:contextualSpacing w:val="0"/>
        <w:rPr>
          <w:iCs/>
        </w:rPr>
      </w:pPr>
      <w:r w:rsidRPr="009E4EB8">
        <w:rPr>
          <w:iCs/>
        </w:rPr>
        <w:t xml:space="preserve">STORM and Yuen 2018 presented </w:t>
      </w:r>
      <w:r w:rsidR="002020BE" w:rsidRPr="009E4EB8">
        <w:rPr>
          <w:iCs/>
        </w:rPr>
        <w:t xml:space="preserve">the </w:t>
      </w:r>
      <w:r w:rsidRPr="009E4EB8">
        <w:rPr>
          <w:iCs/>
        </w:rPr>
        <w:t>number of Grade ≥ 3 treatment emergent AEs, whilst Griffin 2015 referred to clinically relevant A</w:t>
      </w:r>
      <w:r w:rsidR="001209B2" w:rsidRPr="009E4EB8">
        <w:rPr>
          <w:iCs/>
        </w:rPr>
        <w:t>E</w:t>
      </w:r>
      <w:r w:rsidRPr="009E4EB8">
        <w:rPr>
          <w:iCs/>
        </w:rPr>
        <w:t>s, potentially biasing results against Griffin 2015 where all clinically relevant A</w:t>
      </w:r>
      <w:r w:rsidR="001209B2" w:rsidRPr="009E4EB8">
        <w:rPr>
          <w:iCs/>
        </w:rPr>
        <w:t>E</w:t>
      </w:r>
      <w:r w:rsidRPr="009E4EB8">
        <w:rPr>
          <w:iCs/>
        </w:rPr>
        <w:t>s (irrespective of severity) may have been reported.</w:t>
      </w:r>
    </w:p>
    <w:p w14:paraId="7C53AB54" w14:textId="6802D354" w:rsidR="00CC633E" w:rsidRPr="009E4EB8" w:rsidRDefault="00CC633E" w:rsidP="00CC633E">
      <w:pPr>
        <w:pStyle w:val="Bulletpoints"/>
        <w:ind w:left="1060" w:hanging="357"/>
        <w:contextualSpacing w:val="0"/>
        <w:rPr>
          <w:snapToGrid/>
        </w:rPr>
      </w:pPr>
      <w:proofErr w:type="gramStart"/>
      <w:r w:rsidRPr="009E4EB8">
        <w:rPr>
          <w:iCs/>
        </w:rPr>
        <w:t>The majority of</w:t>
      </w:r>
      <w:proofErr w:type="gramEnd"/>
      <w:r w:rsidRPr="009E4EB8">
        <w:rPr>
          <w:iCs/>
        </w:rPr>
        <w:t xml:space="preserve"> patients from Yuen 2018 received DCEP with the addition of thalidomide (56%) or lenalidomide (18%; p2843, Yuen et al 2018) and two patients received bortezomib and thalidomide with DCEP; whilst four of the 52 patients from Griffin 2015 receiving DCEP were treated with additional thalidomide (p3625, Griffin 2015). </w:t>
      </w:r>
    </w:p>
    <w:p w14:paraId="794F0A09" w14:textId="7AEB0E23" w:rsidR="000E3EBE" w:rsidRPr="009E4EB8" w:rsidRDefault="000E3EBE" w:rsidP="000E3EBE">
      <w:pPr>
        <w:pStyle w:val="Bulletpoints"/>
        <w:ind w:left="1060" w:hanging="357"/>
        <w:contextualSpacing w:val="0"/>
        <w:rPr>
          <w:iCs/>
        </w:rPr>
      </w:pPr>
      <w:r w:rsidRPr="009E4EB8">
        <w:t xml:space="preserve">The resubmission stated that data from the DCEP studies were not necessarily directly applicable to the TCR/PR </w:t>
      </w:r>
      <w:r w:rsidR="0021599D" w:rsidRPr="009E4EB8">
        <w:t>population but</w:t>
      </w:r>
      <w:r w:rsidRPr="009E4EB8">
        <w:t xml:space="preserve"> provided safety data from the comparator regimen in a heavily pre-treated MM population.</w:t>
      </w:r>
      <w:r w:rsidRPr="009E4EB8">
        <w:rPr>
          <w:iCs/>
        </w:rPr>
        <w:t xml:space="preserve"> Differences in baseline disease characteristics may have potentially impacted the incidence and severity of AEs. For example, patients who were more heavily pre-treated and more advanced in disease are more likely to experience AEs in general compared to healthier patients. </w:t>
      </w:r>
    </w:p>
    <w:p w14:paraId="0114D3E3" w14:textId="40D0A52C" w:rsidR="00EA7A01" w:rsidRPr="009E4EB8" w:rsidRDefault="005A51FB" w:rsidP="00EA7A01">
      <w:pPr>
        <w:pStyle w:val="3-BodyText"/>
        <w:rPr>
          <w:rFonts w:eastAsia="Calibri"/>
        </w:rPr>
      </w:pPr>
      <w:r w:rsidRPr="009E4EB8">
        <w:rPr>
          <w:snapToGrid/>
        </w:rPr>
        <w:t xml:space="preserve">The </w:t>
      </w:r>
      <w:r w:rsidRPr="009E4EB8">
        <w:rPr>
          <w:rFonts w:eastAsia="Calibri"/>
        </w:rPr>
        <w:t>ESC noted that the majority of Grade ≥3 adverse events with Sd were thrombocytopaenia (which the ESC considered are usually manageable for patients in the care of a haematologist), and there were relatively few febrile neutropenia complications (</w:t>
      </w:r>
      <w:r w:rsidRPr="009E4EB8">
        <w:rPr>
          <w:rFonts w:eastAsia="Calibri"/>
        </w:rPr>
        <w:fldChar w:fldCharType="begin"/>
      </w:r>
      <w:r w:rsidRPr="009E4EB8">
        <w:rPr>
          <w:rFonts w:eastAsia="Calibri"/>
        </w:rPr>
        <w:instrText xml:space="preserve"> REF _Ref91067947 \h  \* MERGEFORMAT </w:instrText>
      </w:r>
      <w:r w:rsidRPr="009E4EB8">
        <w:rPr>
          <w:rFonts w:eastAsia="Calibri"/>
        </w:rPr>
      </w:r>
      <w:r w:rsidRPr="009E4EB8">
        <w:rPr>
          <w:rFonts w:eastAsia="Calibri"/>
        </w:rPr>
        <w:fldChar w:fldCharType="separate"/>
      </w:r>
      <w:r w:rsidR="00964E38" w:rsidRPr="00964E38">
        <w:t>Table 9</w:t>
      </w:r>
      <w:r w:rsidRPr="009E4EB8">
        <w:rPr>
          <w:rFonts w:eastAsia="Calibri"/>
        </w:rPr>
        <w:fldChar w:fldCharType="end"/>
      </w:r>
      <w:r w:rsidRPr="009E4EB8">
        <w:rPr>
          <w:rFonts w:eastAsia="Calibri"/>
        </w:rPr>
        <w:t>). The ESC considered that thrombocytopenia is less resource intensive and more easily managed compared with febrile neutropenia.</w:t>
      </w:r>
    </w:p>
    <w:p w14:paraId="18BF3C89" w14:textId="0E99A2ED" w:rsidR="00D87FCE" w:rsidRPr="009E4EB8" w:rsidRDefault="00D87FCE" w:rsidP="00EA7A01">
      <w:pPr>
        <w:pStyle w:val="3-BodyText"/>
        <w:rPr>
          <w:rFonts w:eastAsia="Calibri"/>
        </w:rPr>
      </w:pPr>
      <w:r w:rsidRPr="009E4EB8">
        <w:t>The PBAC noted that STORM measured QoL using the FACT-MM instrument. Data from the supplementary appendix indicated a numerical decline in QoL scores during STORM. The PBAC considered it was common for QoL to not improve in RRMM studies as patients are often treated at biochemical rather than symptomatic relapse, although a decline in QoL may be associated with treatment-related adverse events. Further discussion on this topic has been published</w:t>
      </w:r>
      <w:r w:rsidR="00EA7A01" w:rsidRPr="009E4EB8">
        <w:t xml:space="preserve"> by Chakraborty &amp; </w:t>
      </w:r>
      <w:proofErr w:type="spellStart"/>
      <w:r w:rsidR="00EA7A01" w:rsidRPr="009E4EB8">
        <w:t>Efficace</w:t>
      </w:r>
      <w:proofErr w:type="spellEnd"/>
      <w:r w:rsidR="00EA7A01" w:rsidRPr="009E4EB8">
        <w:t xml:space="preserve"> (2020)</w:t>
      </w:r>
      <w:r w:rsidR="00EA7A01" w:rsidRPr="009E4EB8">
        <w:rPr>
          <w:rStyle w:val="FootnoteReference"/>
        </w:rPr>
        <w:footnoteReference w:id="1"/>
      </w:r>
      <w:r w:rsidR="00EA7A01" w:rsidRPr="009E4EB8">
        <w:t>, and Tremblay et al. (2021)</w:t>
      </w:r>
      <w:r w:rsidR="00EA7A01" w:rsidRPr="009E4EB8">
        <w:rPr>
          <w:vertAlign w:val="superscript"/>
        </w:rPr>
        <w:footnoteReference w:id="2"/>
      </w:r>
      <w:r w:rsidR="00EA7A01" w:rsidRPr="009E4EB8">
        <w:t>.</w:t>
      </w:r>
    </w:p>
    <w:p w14:paraId="72F65E2A" w14:textId="77777777" w:rsidR="005304FD" w:rsidRPr="009E4EB8" w:rsidRDefault="005304FD" w:rsidP="005304FD">
      <w:pPr>
        <w:pStyle w:val="4-SubsectionHeading"/>
      </w:pPr>
      <w:bookmarkStart w:id="55" w:name="_Toc22897643"/>
      <w:bookmarkStart w:id="56" w:name="_Toc22898855"/>
      <w:bookmarkStart w:id="57" w:name="_Toc93422866"/>
      <w:bookmarkEnd w:id="54"/>
      <w:r w:rsidRPr="009E4EB8">
        <w:t>Benefits/harms</w:t>
      </w:r>
      <w:bookmarkEnd w:id="55"/>
      <w:bookmarkEnd w:id="56"/>
      <w:bookmarkEnd w:id="57"/>
    </w:p>
    <w:p w14:paraId="6EE7373A" w14:textId="77777777" w:rsidR="00E345B7" w:rsidRPr="009E4EB8" w:rsidRDefault="00E345B7" w:rsidP="00E345B7">
      <w:pPr>
        <w:pStyle w:val="3-BodyText"/>
        <w:rPr>
          <w:snapToGrid/>
        </w:rPr>
      </w:pPr>
      <w:r w:rsidRPr="009E4EB8">
        <w:rPr>
          <w:snapToGrid/>
        </w:rPr>
        <w:t>The naïve comparisons presented in the submission did not allow for a quantitative comparison of the benefits and harms of Sd and DCEP. Accordingly, a benefits/harms table has not been presented.</w:t>
      </w:r>
    </w:p>
    <w:p w14:paraId="5DC09E16" w14:textId="77777777" w:rsidR="005304FD" w:rsidRPr="009E4EB8" w:rsidRDefault="005304FD" w:rsidP="005304FD">
      <w:pPr>
        <w:pStyle w:val="4-SubsectionHeading"/>
      </w:pPr>
      <w:bookmarkStart w:id="58" w:name="_Toc22897644"/>
      <w:bookmarkStart w:id="59" w:name="_Toc22898856"/>
      <w:bookmarkStart w:id="60" w:name="_Toc93422867"/>
      <w:r w:rsidRPr="009E4EB8">
        <w:t>Clinical claim</w:t>
      </w:r>
      <w:bookmarkEnd w:id="58"/>
      <w:bookmarkEnd w:id="59"/>
      <w:bookmarkEnd w:id="60"/>
    </w:p>
    <w:p w14:paraId="42FA0509" w14:textId="32CD70C6" w:rsidR="00F23A67" w:rsidRPr="009E4EB8" w:rsidRDefault="002406BB" w:rsidP="009557F4">
      <w:pPr>
        <w:pStyle w:val="3-BodyText"/>
        <w:rPr>
          <w:rFonts w:eastAsia="Calibri"/>
        </w:rPr>
      </w:pPr>
      <w:r w:rsidRPr="009E4EB8">
        <w:rPr>
          <w:rFonts w:eastAsia="Calibri"/>
        </w:rPr>
        <w:t xml:space="preserve">The </w:t>
      </w:r>
      <w:r w:rsidR="00222286" w:rsidRPr="009E4EB8">
        <w:rPr>
          <w:rFonts w:eastAsia="Calibri"/>
        </w:rPr>
        <w:t>resubmission described Sd as superior in terms of effectiveness compared to salvage chemotherapy in (</w:t>
      </w:r>
      <w:r w:rsidR="00AB5019" w:rsidRPr="009E4EB8">
        <w:rPr>
          <w:rFonts w:eastAsia="Calibri"/>
        </w:rPr>
        <w:t xml:space="preserve">represented </w:t>
      </w:r>
      <w:r w:rsidR="00222286" w:rsidRPr="009E4EB8">
        <w:rPr>
          <w:rFonts w:eastAsia="Calibri"/>
        </w:rPr>
        <w:t xml:space="preserve">by DCEP) in terms of OS. This was based on the naïve comparison of Sd versus salvage chemotherapy from the TCR/PR population of STORM, Goldsmith </w:t>
      </w:r>
      <w:proofErr w:type="gramStart"/>
      <w:r w:rsidR="00222286" w:rsidRPr="009E4EB8">
        <w:rPr>
          <w:rFonts w:eastAsia="Calibri"/>
        </w:rPr>
        <w:t>2020</w:t>
      </w:r>
      <w:proofErr w:type="gramEnd"/>
      <w:r w:rsidR="00222286" w:rsidRPr="009E4EB8">
        <w:rPr>
          <w:rFonts w:eastAsia="Calibri"/>
        </w:rPr>
        <w:t xml:space="preserve"> and MAMMOTH. </w:t>
      </w:r>
      <w:r w:rsidR="00CC633E" w:rsidRPr="009E4EB8">
        <w:rPr>
          <w:rFonts w:eastAsia="Calibri"/>
        </w:rPr>
        <w:t xml:space="preserve">The ESC considered that the </w:t>
      </w:r>
      <w:r w:rsidR="00BB72A4" w:rsidRPr="009E4EB8">
        <w:rPr>
          <w:rFonts w:eastAsia="Calibri"/>
        </w:rPr>
        <w:t xml:space="preserve">resubmission’s </w:t>
      </w:r>
      <w:r w:rsidR="00CC633E" w:rsidRPr="009E4EB8">
        <w:rPr>
          <w:rFonts w:eastAsia="Calibri"/>
        </w:rPr>
        <w:t>claim that Sd was superior to DCEP in terms of OS was</w:t>
      </w:r>
      <w:r w:rsidR="00BB2A60" w:rsidRPr="009E4EB8">
        <w:rPr>
          <w:rFonts w:eastAsia="Calibri"/>
        </w:rPr>
        <w:t xml:space="preserve"> likely reasonable</w:t>
      </w:r>
      <w:r w:rsidR="00CC633E" w:rsidRPr="009E4EB8">
        <w:rPr>
          <w:rFonts w:eastAsia="Calibri"/>
        </w:rPr>
        <w:t xml:space="preserve">, </w:t>
      </w:r>
      <w:r w:rsidR="00C67BB3" w:rsidRPr="009E4EB8">
        <w:rPr>
          <w:rFonts w:eastAsia="Calibri"/>
        </w:rPr>
        <w:t>based on the point estimates in the naïve comparison (</w:t>
      </w:r>
      <w:r w:rsidR="00BB2A60" w:rsidRPr="009E4EB8">
        <w:rPr>
          <w:rFonts w:eastAsia="Calibri"/>
        </w:rPr>
        <w:t>Table 7</w:t>
      </w:r>
      <w:r w:rsidR="00C67BB3" w:rsidRPr="009E4EB8">
        <w:rPr>
          <w:rFonts w:eastAsia="Calibri"/>
        </w:rPr>
        <w:t xml:space="preserve">), </w:t>
      </w:r>
      <w:r w:rsidR="00CC633E" w:rsidRPr="009E4EB8">
        <w:rPr>
          <w:rFonts w:eastAsia="Calibri"/>
        </w:rPr>
        <w:t xml:space="preserve">however uncertainties remained </w:t>
      </w:r>
      <w:r w:rsidR="00026C3D" w:rsidRPr="009E4EB8">
        <w:rPr>
          <w:rFonts w:eastAsia="Calibri"/>
        </w:rPr>
        <w:t>due to</w:t>
      </w:r>
      <w:r w:rsidR="00C67BB3" w:rsidRPr="009E4EB8">
        <w:rPr>
          <w:rFonts w:eastAsia="Calibri"/>
        </w:rPr>
        <w:t xml:space="preserve"> </w:t>
      </w:r>
      <w:r w:rsidR="0066235E" w:rsidRPr="009E4EB8">
        <w:rPr>
          <w:rFonts w:eastAsia="Calibri"/>
        </w:rPr>
        <w:t>limitations of the naïve comparison</w:t>
      </w:r>
      <w:r w:rsidR="00DE727C" w:rsidRPr="009E4EB8">
        <w:rPr>
          <w:rFonts w:eastAsia="Calibri"/>
        </w:rPr>
        <w:t xml:space="preserve"> (see paragraphs </w:t>
      </w:r>
      <w:r w:rsidR="00DE727C" w:rsidRPr="009E4EB8">
        <w:rPr>
          <w:rFonts w:eastAsia="Calibri"/>
        </w:rPr>
        <w:fldChar w:fldCharType="begin"/>
      </w:r>
      <w:r w:rsidR="00DE727C" w:rsidRPr="009E4EB8">
        <w:rPr>
          <w:rFonts w:eastAsia="Calibri"/>
        </w:rPr>
        <w:instrText xml:space="preserve"> REF _Ref99106437 \r \h </w:instrText>
      </w:r>
      <w:r w:rsidR="002811A9" w:rsidRPr="009E4EB8">
        <w:rPr>
          <w:rFonts w:eastAsia="Calibri"/>
        </w:rPr>
        <w:instrText xml:space="preserve"> \* MERGEFORMAT </w:instrText>
      </w:r>
      <w:r w:rsidR="00DE727C" w:rsidRPr="009E4EB8">
        <w:rPr>
          <w:rFonts w:eastAsia="Calibri"/>
        </w:rPr>
      </w:r>
      <w:r w:rsidR="00DE727C" w:rsidRPr="009E4EB8">
        <w:rPr>
          <w:rFonts w:eastAsia="Calibri"/>
        </w:rPr>
        <w:fldChar w:fldCharType="separate"/>
      </w:r>
      <w:r w:rsidR="00964E38">
        <w:rPr>
          <w:rFonts w:eastAsia="Calibri"/>
        </w:rPr>
        <w:t>6.23</w:t>
      </w:r>
      <w:r w:rsidR="00DE727C" w:rsidRPr="009E4EB8">
        <w:rPr>
          <w:rFonts w:eastAsia="Calibri"/>
        </w:rPr>
        <w:fldChar w:fldCharType="end"/>
      </w:r>
      <w:r w:rsidR="00DE727C" w:rsidRPr="009E4EB8">
        <w:rPr>
          <w:rFonts w:eastAsia="Calibri"/>
        </w:rPr>
        <w:t xml:space="preserve"> and </w:t>
      </w:r>
      <w:r w:rsidR="00DE727C" w:rsidRPr="009E4EB8">
        <w:rPr>
          <w:rFonts w:eastAsia="Calibri"/>
        </w:rPr>
        <w:fldChar w:fldCharType="begin"/>
      </w:r>
      <w:r w:rsidR="00DE727C" w:rsidRPr="009E4EB8">
        <w:rPr>
          <w:rFonts w:eastAsia="Calibri"/>
        </w:rPr>
        <w:instrText xml:space="preserve"> REF _Ref99106440 \r \h </w:instrText>
      </w:r>
      <w:r w:rsidR="002811A9" w:rsidRPr="009E4EB8">
        <w:rPr>
          <w:rFonts w:eastAsia="Calibri"/>
        </w:rPr>
        <w:instrText xml:space="preserve"> \* MERGEFORMAT </w:instrText>
      </w:r>
      <w:r w:rsidR="00DE727C" w:rsidRPr="009E4EB8">
        <w:rPr>
          <w:rFonts w:eastAsia="Calibri"/>
        </w:rPr>
      </w:r>
      <w:r w:rsidR="00DE727C" w:rsidRPr="009E4EB8">
        <w:rPr>
          <w:rFonts w:eastAsia="Calibri"/>
        </w:rPr>
        <w:fldChar w:fldCharType="separate"/>
      </w:r>
      <w:r w:rsidR="00964E38">
        <w:rPr>
          <w:rFonts w:eastAsia="Calibri"/>
        </w:rPr>
        <w:t>6.24</w:t>
      </w:r>
      <w:r w:rsidR="00DE727C" w:rsidRPr="009E4EB8">
        <w:rPr>
          <w:rFonts w:eastAsia="Calibri"/>
        </w:rPr>
        <w:fldChar w:fldCharType="end"/>
      </w:r>
      <w:r w:rsidR="00DE727C" w:rsidRPr="009E4EB8">
        <w:rPr>
          <w:rFonts w:eastAsia="Calibri"/>
        </w:rPr>
        <w:t>)</w:t>
      </w:r>
      <w:r w:rsidR="009E48BC" w:rsidRPr="009E4EB8">
        <w:rPr>
          <w:rFonts w:eastAsia="Calibri"/>
        </w:rPr>
        <w:t>.</w:t>
      </w:r>
    </w:p>
    <w:p w14:paraId="1533A5D2" w14:textId="370C2847" w:rsidR="002811A9" w:rsidRPr="009E4EB8" w:rsidRDefault="005304FD" w:rsidP="002811A9">
      <w:pPr>
        <w:pStyle w:val="3-BodyText"/>
        <w:rPr>
          <w:rFonts w:eastAsia="Calibri"/>
        </w:rPr>
      </w:pPr>
      <w:r w:rsidRPr="009E4EB8">
        <w:rPr>
          <w:rFonts w:eastAsia="Calibri"/>
        </w:rPr>
        <w:t xml:space="preserve">The submission described </w:t>
      </w:r>
      <w:r w:rsidR="00820A15" w:rsidRPr="009E4EB8">
        <w:rPr>
          <w:rFonts w:eastAsia="Calibri"/>
        </w:rPr>
        <w:t>Sd</w:t>
      </w:r>
      <w:r w:rsidRPr="009E4EB8">
        <w:rPr>
          <w:rFonts w:eastAsia="Calibri"/>
        </w:rPr>
        <w:t xml:space="preserve"> as </w:t>
      </w:r>
      <w:r w:rsidR="00820A15" w:rsidRPr="009E4EB8">
        <w:rPr>
          <w:rFonts w:eastAsia="Calibri"/>
        </w:rPr>
        <w:t>at least non-inferior</w:t>
      </w:r>
      <w:r w:rsidRPr="009E4EB8">
        <w:rPr>
          <w:rFonts w:eastAsia="Calibri"/>
        </w:rPr>
        <w:t xml:space="preserve"> in terms of safety compared to </w:t>
      </w:r>
      <w:r w:rsidR="00820A15" w:rsidRPr="009E4EB8">
        <w:rPr>
          <w:rFonts w:eastAsia="Calibri"/>
        </w:rPr>
        <w:t>DCEP.</w:t>
      </w:r>
      <w:r w:rsidRPr="009E4EB8">
        <w:rPr>
          <w:rFonts w:eastAsia="Calibri"/>
        </w:rPr>
        <w:t xml:space="preserve"> </w:t>
      </w:r>
      <w:r w:rsidR="005A51FB" w:rsidRPr="009E4EB8">
        <w:rPr>
          <w:rFonts w:eastAsia="Calibri"/>
        </w:rPr>
        <w:t>T</w:t>
      </w:r>
      <w:r w:rsidR="00BB72A4" w:rsidRPr="009E4EB8">
        <w:rPr>
          <w:rFonts w:eastAsia="Calibri"/>
        </w:rPr>
        <w:t xml:space="preserve">he ESC </w:t>
      </w:r>
      <w:r w:rsidR="007954E8" w:rsidRPr="009E4EB8">
        <w:rPr>
          <w:rFonts w:eastAsia="Calibri"/>
        </w:rPr>
        <w:t xml:space="preserve">considered </w:t>
      </w:r>
      <w:r w:rsidR="00272041" w:rsidRPr="009E4EB8">
        <w:rPr>
          <w:rFonts w:eastAsia="Calibri"/>
        </w:rPr>
        <w:t xml:space="preserve">that </w:t>
      </w:r>
      <w:r w:rsidR="005A51FB" w:rsidRPr="009E4EB8">
        <w:rPr>
          <w:rFonts w:eastAsia="Calibri"/>
        </w:rPr>
        <w:t xml:space="preserve">Sd </w:t>
      </w:r>
      <w:r w:rsidR="00BB72A4" w:rsidRPr="009E4EB8">
        <w:rPr>
          <w:rFonts w:eastAsia="Calibri"/>
        </w:rPr>
        <w:t xml:space="preserve">may be </w:t>
      </w:r>
      <w:r w:rsidR="005A51FB" w:rsidRPr="009E4EB8">
        <w:rPr>
          <w:rFonts w:eastAsia="Calibri"/>
        </w:rPr>
        <w:t>safer</w:t>
      </w:r>
      <w:r w:rsidR="00BB72A4" w:rsidRPr="009E4EB8">
        <w:rPr>
          <w:rFonts w:eastAsia="Calibri"/>
        </w:rPr>
        <w:t xml:space="preserve"> </w:t>
      </w:r>
      <w:r w:rsidR="005A51FB" w:rsidRPr="009E4EB8">
        <w:rPr>
          <w:rFonts w:eastAsia="Calibri"/>
        </w:rPr>
        <w:t>than</w:t>
      </w:r>
      <w:r w:rsidR="007954E8" w:rsidRPr="009E4EB8">
        <w:rPr>
          <w:rFonts w:eastAsia="Calibri"/>
        </w:rPr>
        <w:t xml:space="preserve"> cytotoxic chemotherapy regimens</w:t>
      </w:r>
      <w:r w:rsidR="00272041" w:rsidRPr="009E4EB8">
        <w:rPr>
          <w:rFonts w:eastAsia="Calibri"/>
        </w:rPr>
        <w:t xml:space="preserve"> including DCEP,</w:t>
      </w:r>
      <w:r w:rsidR="007954E8" w:rsidRPr="009E4EB8">
        <w:rPr>
          <w:rFonts w:eastAsia="Calibri"/>
        </w:rPr>
        <w:t xml:space="preserve"> </w:t>
      </w:r>
      <w:r w:rsidR="005A51FB" w:rsidRPr="009E4EB8">
        <w:rPr>
          <w:rFonts w:eastAsia="Calibri"/>
        </w:rPr>
        <w:t xml:space="preserve">noting there were few febrile neutropenia events reported with Sd, </w:t>
      </w:r>
      <w:r w:rsidR="00272041" w:rsidRPr="009E4EB8">
        <w:rPr>
          <w:rFonts w:eastAsia="Calibri"/>
        </w:rPr>
        <w:t>however a</w:t>
      </w:r>
      <w:r w:rsidR="007954E8" w:rsidRPr="009E4EB8">
        <w:rPr>
          <w:rFonts w:eastAsia="Calibri"/>
        </w:rPr>
        <w:t xml:space="preserve"> claim </w:t>
      </w:r>
      <w:r w:rsidR="00CC633E" w:rsidRPr="009E4EB8">
        <w:rPr>
          <w:rFonts w:eastAsia="Calibri"/>
        </w:rPr>
        <w:t xml:space="preserve">of superior safety </w:t>
      </w:r>
      <w:r w:rsidR="007954E8" w:rsidRPr="009E4EB8">
        <w:rPr>
          <w:rFonts w:eastAsia="Calibri"/>
        </w:rPr>
        <w:t>was</w:t>
      </w:r>
      <w:r w:rsidR="00272041" w:rsidRPr="009E4EB8">
        <w:rPr>
          <w:rFonts w:eastAsia="Calibri"/>
        </w:rPr>
        <w:t xml:space="preserve"> not supported by the data </w:t>
      </w:r>
      <w:r w:rsidR="007954E8" w:rsidRPr="009E4EB8">
        <w:rPr>
          <w:rFonts w:eastAsia="Calibri"/>
        </w:rPr>
        <w:t>presented in the resubmission</w:t>
      </w:r>
      <w:r w:rsidR="00272041" w:rsidRPr="009E4EB8">
        <w:rPr>
          <w:rFonts w:eastAsia="Calibri"/>
        </w:rPr>
        <w:t>, noting there was no direct evidence to support this</w:t>
      </w:r>
      <w:r w:rsidR="007954E8" w:rsidRPr="009E4EB8">
        <w:rPr>
          <w:rFonts w:eastAsia="Calibri"/>
        </w:rPr>
        <w:t xml:space="preserve">. </w:t>
      </w:r>
      <w:r w:rsidR="00272041" w:rsidRPr="009E4EB8">
        <w:rPr>
          <w:rFonts w:eastAsia="Calibri"/>
        </w:rPr>
        <w:t>The ESC considered that the claim that Sd is at least non</w:t>
      </w:r>
      <w:r w:rsidR="00272041" w:rsidRPr="009E4EB8">
        <w:rPr>
          <w:rFonts w:eastAsia="Calibri"/>
        </w:rPr>
        <w:noBreakHyphen/>
        <w:t>inferior to DCEP in terms of safety was reasonable.</w:t>
      </w:r>
    </w:p>
    <w:p w14:paraId="75B68BC8" w14:textId="6871FEE3" w:rsidR="00EE7279" w:rsidRPr="009E4EB8" w:rsidRDefault="00530DBA" w:rsidP="002811A9">
      <w:pPr>
        <w:pStyle w:val="3-BodyText"/>
        <w:rPr>
          <w:rFonts w:eastAsia="Calibri"/>
        </w:rPr>
      </w:pPr>
      <w:r w:rsidRPr="009E4EB8">
        <w:rPr>
          <w:rFonts w:eastAsia="Calibri"/>
        </w:rPr>
        <w:t xml:space="preserve">The PBAC considered that </w:t>
      </w:r>
      <w:r w:rsidR="00E40532" w:rsidRPr="009E4EB8">
        <w:rPr>
          <w:rFonts w:eastAsia="Calibri"/>
        </w:rPr>
        <w:t xml:space="preserve">the magnitude of the effect </w:t>
      </w:r>
      <w:r w:rsidR="00EE7279" w:rsidRPr="009E4EB8">
        <w:rPr>
          <w:rFonts w:eastAsia="Calibri"/>
        </w:rPr>
        <w:t xml:space="preserve">on overall survival </w:t>
      </w:r>
      <w:r w:rsidR="00E40532" w:rsidRPr="009E4EB8">
        <w:rPr>
          <w:rFonts w:eastAsia="Calibri"/>
        </w:rPr>
        <w:t>was uncertain and difficult to determine due to the limitations of the available clinical evidence</w:t>
      </w:r>
      <w:r w:rsidR="00EE7279" w:rsidRPr="009E4EB8">
        <w:rPr>
          <w:rFonts w:eastAsia="Calibri"/>
        </w:rPr>
        <w:t xml:space="preserve">, however the claim of superior comparative effectiveness of Sd compared with DCEP was reasonable in the context of significant unmet need in a small patient population. </w:t>
      </w:r>
      <w:r w:rsidR="00E40532" w:rsidRPr="009E4EB8">
        <w:rPr>
          <w:rFonts w:eastAsia="Calibri"/>
        </w:rPr>
        <w:t>The PBAC noted that the proposed PBS listing of Sd for TCR/PR MM includes some patients who have exhausted al</w:t>
      </w:r>
      <w:r w:rsidR="004A0FEC" w:rsidRPr="009E4EB8">
        <w:rPr>
          <w:rFonts w:eastAsia="Calibri"/>
        </w:rPr>
        <w:t>l available treatment options.</w:t>
      </w:r>
      <w:r w:rsidR="00EE7279" w:rsidRPr="009E4EB8">
        <w:rPr>
          <w:rFonts w:eastAsia="Calibri"/>
        </w:rPr>
        <w:t xml:space="preserve"> </w:t>
      </w:r>
    </w:p>
    <w:p w14:paraId="65734A7E" w14:textId="1EA058E9" w:rsidR="00E40532" w:rsidRPr="009E4EB8" w:rsidRDefault="00EE7279" w:rsidP="00F65173">
      <w:pPr>
        <w:pStyle w:val="3-BodyText"/>
        <w:rPr>
          <w:rFonts w:eastAsia="Calibri"/>
        </w:rPr>
      </w:pPr>
      <w:r w:rsidRPr="009E4EB8">
        <w:rPr>
          <w:rFonts w:eastAsia="Calibri"/>
        </w:rPr>
        <w:t>The PBAC noted that additional evidence regarding the use of selinexor was provided in Item 7.10 (March 2022 PBAC meeting). Item 7.10</w:t>
      </w:r>
      <w:r w:rsidR="00E40532" w:rsidRPr="009E4EB8">
        <w:rPr>
          <w:rFonts w:eastAsia="Calibri"/>
        </w:rPr>
        <w:t xml:space="preserve"> </w:t>
      </w:r>
      <w:r w:rsidRPr="009E4EB8">
        <w:rPr>
          <w:rFonts w:eastAsia="Calibri"/>
        </w:rPr>
        <w:t xml:space="preserve">referred to a request for </w:t>
      </w:r>
      <w:r w:rsidR="00E40532" w:rsidRPr="009E4EB8">
        <w:rPr>
          <w:rFonts w:eastAsia="Calibri"/>
        </w:rPr>
        <w:t xml:space="preserve">PBS listing of selinexor </w:t>
      </w:r>
      <w:r w:rsidR="00051878" w:rsidRPr="009E4EB8">
        <w:rPr>
          <w:rFonts w:eastAsia="Calibri"/>
        </w:rPr>
        <w:t xml:space="preserve">in </w:t>
      </w:r>
      <w:r w:rsidR="00E40532" w:rsidRPr="009E4EB8">
        <w:rPr>
          <w:rFonts w:eastAsia="Calibri"/>
        </w:rPr>
        <w:t xml:space="preserve">combination with bortezomib and dexamethasone (SBd) for the treatment of adult patients with relapsed and/or refractory multiple myeloma (RRMM) who have received at least one prior therapy. </w:t>
      </w:r>
      <w:r w:rsidR="00051878" w:rsidRPr="009E4EB8">
        <w:rPr>
          <w:rFonts w:eastAsia="Calibri"/>
        </w:rPr>
        <w:t xml:space="preserve">The PBAC noted that </w:t>
      </w:r>
      <w:r w:rsidR="004A0FEC" w:rsidRPr="009E4EB8">
        <w:rPr>
          <w:rFonts w:eastAsia="Calibri"/>
        </w:rPr>
        <w:t xml:space="preserve">the </w:t>
      </w:r>
      <w:r w:rsidR="00051878" w:rsidRPr="009E4EB8">
        <w:rPr>
          <w:rFonts w:eastAsia="Calibri"/>
        </w:rPr>
        <w:t>SBd submission reported the results of the BOSTON trial</w:t>
      </w:r>
      <w:r w:rsidR="002811A9" w:rsidRPr="009E4EB8">
        <w:rPr>
          <w:rFonts w:eastAsia="Calibri"/>
          <w:vertAlign w:val="superscript"/>
        </w:rPr>
        <w:footnoteReference w:id="3"/>
      </w:r>
      <w:r w:rsidR="00051878" w:rsidRPr="009E4EB8">
        <w:rPr>
          <w:rFonts w:eastAsia="Calibri"/>
        </w:rPr>
        <w:t xml:space="preserve">, a randomised phase 3 trial comparing SBd with </w:t>
      </w:r>
      <w:r w:rsidR="004A0FEC" w:rsidRPr="009E4EB8">
        <w:rPr>
          <w:rFonts w:eastAsia="Calibri"/>
        </w:rPr>
        <w:t>bortezomib and dexamethasone (</w:t>
      </w:r>
      <w:r w:rsidR="00051878" w:rsidRPr="009E4EB8">
        <w:rPr>
          <w:rFonts w:eastAsia="Calibri"/>
        </w:rPr>
        <w:t>Bd</w:t>
      </w:r>
      <w:r w:rsidR="004A0FEC" w:rsidRPr="009E4EB8">
        <w:rPr>
          <w:rFonts w:eastAsia="Calibri"/>
        </w:rPr>
        <w:t>)</w:t>
      </w:r>
      <w:r w:rsidR="00051878" w:rsidRPr="009E4EB8">
        <w:rPr>
          <w:rFonts w:eastAsia="Calibri"/>
        </w:rPr>
        <w:t xml:space="preserve"> for the treatment </w:t>
      </w:r>
      <w:r w:rsidR="004A0FEC" w:rsidRPr="009E4EB8">
        <w:rPr>
          <w:rFonts w:eastAsia="Calibri"/>
        </w:rPr>
        <w:t>of</w:t>
      </w:r>
      <w:r w:rsidR="00051878" w:rsidRPr="009E4EB8">
        <w:rPr>
          <w:rFonts w:eastAsia="Calibri"/>
        </w:rPr>
        <w:t xml:space="preserve"> patients with RRMM who had </w:t>
      </w:r>
      <w:r w:rsidR="004A0FEC" w:rsidRPr="009E4EB8">
        <w:rPr>
          <w:rFonts w:eastAsia="Calibri"/>
        </w:rPr>
        <w:t>previously been treated with one to three lines of therapy (n=402)</w:t>
      </w:r>
      <w:r w:rsidRPr="009E4EB8">
        <w:rPr>
          <w:rFonts w:eastAsia="Calibri"/>
        </w:rPr>
        <w:t>.</w:t>
      </w:r>
    </w:p>
    <w:p w14:paraId="7C15D4C7" w14:textId="41EDDA6D" w:rsidR="00530DBA" w:rsidRPr="009E4EB8" w:rsidRDefault="00B14778" w:rsidP="00DE727C">
      <w:pPr>
        <w:widowControl w:val="0"/>
        <w:numPr>
          <w:ilvl w:val="1"/>
          <w:numId w:val="1"/>
        </w:numPr>
        <w:spacing w:after="120"/>
        <w:rPr>
          <w:rFonts w:eastAsia="Calibri"/>
        </w:rPr>
      </w:pPr>
      <w:r w:rsidRPr="009E4EB8">
        <w:rPr>
          <w:rFonts w:asciiTheme="minorHAnsi" w:hAnsiTheme="minorHAnsi"/>
          <w:snapToGrid w:val="0"/>
          <w:szCs w:val="20"/>
        </w:rPr>
        <w:t>The PBAC considered that the claim of non-inferior safety was reasonable</w:t>
      </w:r>
      <w:r w:rsidR="00663623" w:rsidRPr="009E4EB8">
        <w:rPr>
          <w:rFonts w:asciiTheme="minorHAnsi" w:hAnsiTheme="minorHAnsi"/>
          <w:snapToGrid w:val="0"/>
          <w:szCs w:val="20"/>
        </w:rPr>
        <w:t>, but noted the uncertainty associated with single-arm data and the unanchored naïve indirect comparison.</w:t>
      </w:r>
      <w:r w:rsidR="00663623" w:rsidRPr="009E4EB8" w:rsidDel="00663623">
        <w:rPr>
          <w:rFonts w:asciiTheme="minorHAnsi" w:hAnsiTheme="minorHAnsi"/>
          <w:snapToGrid w:val="0"/>
          <w:szCs w:val="20"/>
        </w:rPr>
        <w:t xml:space="preserve"> </w:t>
      </w:r>
    </w:p>
    <w:p w14:paraId="3F0AE2DF" w14:textId="77777777" w:rsidR="005304FD" w:rsidRPr="009E4EB8" w:rsidRDefault="005304FD" w:rsidP="005304FD">
      <w:pPr>
        <w:pStyle w:val="4-SubsectionHeading"/>
      </w:pPr>
      <w:bookmarkStart w:id="61" w:name="_Toc22897645"/>
      <w:bookmarkStart w:id="62" w:name="_Toc22898857"/>
      <w:bookmarkStart w:id="63" w:name="_Toc93422868"/>
      <w:r w:rsidRPr="009E4EB8">
        <w:t>Economic analysis</w:t>
      </w:r>
      <w:bookmarkEnd w:id="61"/>
      <w:bookmarkEnd w:id="62"/>
      <w:bookmarkEnd w:id="63"/>
      <w:r w:rsidRPr="009E4EB8">
        <w:t xml:space="preserve"> </w:t>
      </w:r>
    </w:p>
    <w:p w14:paraId="4D447834" w14:textId="26663E9E" w:rsidR="00A518F0" w:rsidRPr="009E4EB8" w:rsidRDefault="00BF66BB" w:rsidP="00640A47">
      <w:pPr>
        <w:pStyle w:val="3-BodyText"/>
      </w:pPr>
      <w:r w:rsidRPr="009E4EB8">
        <w:t xml:space="preserve">The </w:t>
      </w:r>
      <w:r w:rsidR="000E0CA7" w:rsidRPr="009E4EB8">
        <w:t>re</w:t>
      </w:r>
      <w:r w:rsidRPr="009E4EB8">
        <w:t>submission presented a modelled economic evaluation based on a naïve comparison of two non-randomised studies (STORM vs MAMMOTH). The type of economic evaluation p</w:t>
      </w:r>
      <w:r w:rsidR="000D4FB9">
        <w:t>resented was a CUA</w:t>
      </w:r>
      <w:r w:rsidRPr="009E4EB8">
        <w:t xml:space="preserve">. </w:t>
      </w:r>
      <w:r w:rsidR="00A518F0" w:rsidRPr="009E4EB8">
        <w:t xml:space="preserve">The PSCR acknowledged the uncontrolled nature of the clinical evidence upon which the model is based and stated that the resubmission had sought to address </w:t>
      </w:r>
      <w:proofErr w:type="gramStart"/>
      <w:r w:rsidR="00A518F0" w:rsidRPr="009E4EB8">
        <w:t>all of</w:t>
      </w:r>
      <w:proofErr w:type="gramEnd"/>
      <w:r w:rsidR="00A518F0" w:rsidRPr="009E4EB8">
        <w:t xml:space="preserve"> PBAC’s concerns as outlined in the July 2021 PBAC </w:t>
      </w:r>
      <w:r w:rsidR="00640A47">
        <w:t>PSD</w:t>
      </w:r>
      <w:r w:rsidR="00A518F0" w:rsidRPr="009E4EB8">
        <w:t>, including provision of a revised economic model which was conservative in its assumptions</w:t>
      </w:r>
      <w:r w:rsidR="002D5DD6" w:rsidRPr="009E4EB8">
        <w:t>, together with a reduced ICER</w:t>
      </w:r>
      <w:r w:rsidR="00A518F0" w:rsidRPr="009E4EB8">
        <w:t xml:space="preserve">. </w:t>
      </w:r>
    </w:p>
    <w:p w14:paraId="2CC1CE46" w14:textId="757C0EBF" w:rsidR="00BF66BB" w:rsidRPr="009E4EB8" w:rsidRDefault="00BF66BB" w:rsidP="005304FD">
      <w:pPr>
        <w:pStyle w:val="3-BodyText"/>
        <w:rPr>
          <w:b/>
          <w:bCs/>
          <w:color w:val="0066FF"/>
        </w:rPr>
      </w:pPr>
      <w:r w:rsidRPr="009E4EB8">
        <w:rPr>
          <w:rFonts w:cstheme="minorHAnsi"/>
        </w:rPr>
        <w:t xml:space="preserve">A summary of key components of the economic evaluation is presented in </w:t>
      </w:r>
      <w:r w:rsidR="006C2945" w:rsidRPr="009E4EB8">
        <w:rPr>
          <w:rFonts w:cstheme="minorHAnsi"/>
        </w:rPr>
        <w:t>Table 10</w:t>
      </w:r>
      <w:r w:rsidR="00462234" w:rsidRPr="009E4EB8">
        <w:rPr>
          <w:rFonts w:cstheme="minorHAnsi"/>
        </w:rPr>
        <w:t>.</w:t>
      </w:r>
      <w:r w:rsidR="00462234" w:rsidRPr="009E4EB8">
        <w:t xml:space="preserve"> </w:t>
      </w:r>
    </w:p>
    <w:p w14:paraId="4DBC090D" w14:textId="65433BC3" w:rsidR="00BF66BB" w:rsidRPr="009E4EB8" w:rsidRDefault="00BF66BB" w:rsidP="00462234">
      <w:pPr>
        <w:pStyle w:val="Caption"/>
        <w:keepNext/>
        <w:spacing w:after="0"/>
        <w:rPr>
          <w:rStyle w:val="CommentReference"/>
          <w:b/>
          <w:color w:val="auto"/>
          <w:szCs w:val="20"/>
        </w:rPr>
      </w:pPr>
      <w:bookmarkStart w:id="64" w:name="_Ref91072864"/>
      <w:r w:rsidRPr="009E4EB8">
        <w:rPr>
          <w:rFonts w:ascii="Arial Narrow" w:hAnsi="Arial Narrow"/>
          <w:color w:val="auto"/>
          <w:sz w:val="20"/>
          <w:szCs w:val="20"/>
        </w:rPr>
        <w:t xml:space="preserve">Table </w:t>
      </w:r>
      <w:r w:rsidRPr="009E4EB8">
        <w:rPr>
          <w:rFonts w:ascii="Arial Narrow" w:hAnsi="Arial Narrow"/>
          <w:color w:val="auto"/>
          <w:sz w:val="20"/>
          <w:szCs w:val="20"/>
        </w:rPr>
        <w:fldChar w:fldCharType="begin"/>
      </w:r>
      <w:r w:rsidRPr="009E4EB8">
        <w:rPr>
          <w:rFonts w:ascii="Arial Narrow" w:hAnsi="Arial Narrow"/>
          <w:color w:val="auto"/>
          <w:sz w:val="20"/>
          <w:szCs w:val="20"/>
        </w:rPr>
        <w:instrText xml:space="preserve"> SEQ Table \* ARABIC </w:instrText>
      </w:r>
      <w:r w:rsidRPr="009E4EB8">
        <w:rPr>
          <w:rFonts w:ascii="Arial Narrow" w:hAnsi="Arial Narrow"/>
          <w:color w:val="auto"/>
          <w:sz w:val="20"/>
          <w:szCs w:val="20"/>
        </w:rPr>
        <w:fldChar w:fldCharType="separate"/>
      </w:r>
      <w:r w:rsidR="00964E38">
        <w:rPr>
          <w:rFonts w:ascii="Arial Narrow" w:hAnsi="Arial Narrow"/>
          <w:noProof/>
          <w:color w:val="auto"/>
          <w:sz w:val="20"/>
          <w:szCs w:val="20"/>
        </w:rPr>
        <w:t>10</w:t>
      </w:r>
      <w:r w:rsidRPr="009E4EB8">
        <w:rPr>
          <w:rFonts w:ascii="Arial Narrow" w:hAnsi="Arial Narrow"/>
          <w:color w:val="auto"/>
          <w:sz w:val="20"/>
          <w:szCs w:val="20"/>
        </w:rPr>
        <w:fldChar w:fldCharType="end"/>
      </w:r>
      <w:bookmarkEnd w:id="64"/>
      <w:r w:rsidRPr="009E4EB8">
        <w:rPr>
          <w:rFonts w:ascii="Arial Narrow" w:hAnsi="Arial Narrow"/>
          <w:color w:val="auto"/>
          <w:sz w:val="20"/>
          <w:szCs w:val="20"/>
        </w:rPr>
        <w:t xml:space="preserve">: </w:t>
      </w:r>
      <w:r w:rsidR="00462234" w:rsidRPr="009E4EB8">
        <w:rPr>
          <w:rStyle w:val="CommentReference"/>
          <w:b/>
          <w:color w:val="auto"/>
          <w:szCs w:val="20"/>
        </w:rPr>
        <w:t>Key components of the economic evaluation</w:t>
      </w:r>
    </w:p>
    <w:tbl>
      <w:tblPr>
        <w:tblStyle w:val="HTATableshaded"/>
        <w:tblW w:w="0" w:type="auto"/>
        <w:tblLook w:val="04A0" w:firstRow="1" w:lastRow="0" w:firstColumn="1" w:lastColumn="0" w:noHBand="0" w:noVBand="1"/>
      </w:tblPr>
      <w:tblGrid>
        <w:gridCol w:w="1440"/>
        <w:gridCol w:w="2994"/>
        <w:gridCol w:w="4583"/>
      </w:tblGrid>
      <w:tr w:rsidR="00462234" w:rsidRPr="009E4EB8" w14:paraId="558D9519" w14:textId="77777777" w:rsidTr="003D1DA6">
        <w:trPr>
          <w:cnfStyle w:val="100000000000" w:firstRow="1" w:lastRow="0" w:firstColumn="0" w:lastColumn="0" w:oddVBand="0" w:evenVBand="0" w:oddHBand="0" w:evenHBand="0" w:firstRowFirstColumn="0" w:firstRowLastColumn="0" w:lastRowFirstColumn="0" w:lastRowLastColumn="0"/>
          <w:tblHeader/>
        </w:trPr>
        <w:tc>
          <w:tcPr>
            <w:tcW w:w="0" w:type="auto"/>
          </w:tcPr>
          <w:p w14:paraId="18C1F6D6" w14:textId="77777777" w:rsidR="00462234" w:rsidRPr="009E4EB8" w:rsidRDefault="00462234" w:rsidP="00D041EE">
            <w:pPr>
              <w:keepNext/>
              <w:spacing w:before="0" w:after="0"/>
              <w:rPr>
                <w:rFonts w:ascii="Arial Narrow" w:hAnsi="Arial Narrow"/>
                <w:b/>
                <w:bCs/>
                <w:sz w:val="20"/>
                <w:szCs w:val="20"/>
              </w:rPr>
            </w:pPr>
            <w:r w:rsidRPr="009E4EB8">
              <w:rPr>
                <w:rFonts w:ascii="Arial Narrow" w:hAnsi="Arial Narrow"/>
                <w:b/>
                <w:bCs/>
                <w:sz w:val="20"/>
                <w:szCs w:val="20"/>
              </w:rPr>
              <w:t>Component</w:t>
            </w:r>
          </w:p>
        </w:tc>
        <w:tc>
          <w:tcPr>
            <w:tcW w:w="0" w:type="auto"/>
          </w:tcPr>
          <w:p w14:paraId="642732CD" w14:textId="77777777" w:rsidR="00462234" w:rsidRPr="009E4EB8" w:rsidRDefault="00462234" w:rsidP="00D041EE">
            <w:pPr>
              <w:keepNext/>
              <w:spacing w:before="0" w:after="0"/>
              <w:rPr>
                <w:rFonts w:ascii="Arial Narrow" w:hAnsi="Arial Narrow"/>
                <w:b/>
                <w:bCs/>
                <w:sz w:val="20"/>
                <w:szCs w:val="20"/>
              </w:rPr>
            </w:pPr>
            <w:r w:rsidRPr="009E4EB8">
              <w:rPr>
                <w:rFonts w:ascii="Arial Narrow" w:hAnsi="Arial Narrow"/>
                <w:b/>
                <w:bCs/>
                <w:sz w:val="20"/>
                <w:szCs w:val="20"/>
              </w:rPr>
              <w:t>Description</w:t>
            </w:r>
          </w:p>
        </w:tc>
        <w:tc>
          <w:tcPr>
            <w:tcW w:w="0" w:type="auto"/>
          </w:tcPr>
          <w:p w14:paraId="4ED4D21D" w14:textId="77777777" w:rsidR="00462234" w:rsidRPr="009E4EB8" w:rsidRDefault="00462234" w:rsidP="00D041EE">
            <w:pPr>
              <w:keepNext/>
              <w:spacing w:before="0" w:after="0"/>
              <w:rPr>
                <w:rFonts w:ascii="Arial Narrow" w:hAnsi="Arial Narrow"/>
                <w:b/>
                <w:bCs/>
                <w:sz w:val="20"/>
                <w:szCs w:val="20"/>
              </w:rPr>
            </w:pPr>
            <w:r w:rsidRPr="009E4EB8">
              <w:rPr>
                <w:rFonts w:ascii="Arial Narrow" w:hAnsi="Arial Narrow"/>
                <w:b/>
                <w:bCs/>
                <w:sz w:val="20"/>
                <w:szCs w:val="20"/>
              </w:rPr>
              <w:t>Justification/comments</w:t>
            </w:r>
          </w:p>
        </w:tc>
      </w:tr>
      <w:tr w:rsidR="00462234" w:rsidRPr="009E4EB8" w14:paraId="2D3718D8" w14:textId="77777777" w:rsidTr="003D1DA6">
        <w:tc>
          <w:tcPr>
            <w:tcW w:w="0" w:type="auto"/>
            <w:shd w:val="clear" w:color="auto" w:fill="C6D9F1" w:themeFill="text2" w:themeFillTint="33"/>
          </w:tcPr>
          <w:p w14:paraId="339DD5DF" w14:textId="77777777" w:rsidR="00462234" w:rsidRPr="009E4EB8" w:rsidRDefault="00462234" w:rsidP="00D041EE">
            <w:pPr>
              <w:keepNext/>
              <w:spacing w:before="0" w:after="0"/>
              <w:jc w:val="left"/>
              <w:rPr>
                <w:rFonts w:ascii="Arial Narrow" w:hAnsi="Arial Narrow"/>
                <w:sz w:val="20"/>
                <w:szCs w:val="20"/>
              </w:rPr>
            </w:pPr>
            <w:r w:rsidRPr="009E4EB8">
              <w:rPr>
                <w:rFonts w:ascii="Arial Narrow" w:hAnsi="Arial Narrow"/>
                <w:sz w:val="20"/>
                <w:szCs w:val="20"/>
              </w:rPr>
              <w:t>Type of model</w:t>
            </w:r>
          </w:p>
        </w:tc>
        <w:tc>
          <w:tcPr>
            <w:tcW w:w="0" w:type="auto"/>
            <w:shd w:val="clear" w:color="auto" w:fill="C6D9F1" w:themeFill="text2" w:themeFillTint="33"/>
          </w:tcPr>
          <w:p w14:paraId="4922942B" w14:textId="77777777" w:rsidR="00462234" w:rsidRPr="009E4EB8" w:rsidRDefault="00462234" w:rsidP="00D041EE">
            <w:pPr>
              <w:keepNext/>
              <w:spacing w:before="0" w:after="0"/>
              <w:rPr>
                <w:rFonts w:ascii="Arial Narrow" w:hAnsi="Arial Narrow"/>
                <w:sz w:val="20"/>
                <w:szCs w:val="20"/>
              </w:rPr>
            </w:pPr>
            <w:r w:rsidRPr="009E4EB8">
              <w:rPr>
                <w:rFonts w:ascii="Arial Narrow" w:hAnsi="Arial Narrow"/>
                <w:sz w:val="20"/>
                <w:szCs w:val="20"/>
              </w:rPr>
              <w:t>Cost-utility analysis</w:t>
            </w:r>
          </w:p>
        </w:tc>
        <w:tc>
          <w:tcPr>
            <w:tcW w:w="0" w:type="auto"/>
          </w:tcPr>
          <w:p w14:paraId="4E9B0C63" w14:textId="64F2A0C4" w:rsidR="00DE2E1A" w:rsidRPr="009E4EB8" w:rsidRDefault="00DE2E1A" w:rsidP="00DE2E1A">
            <w:pPr>
              <w:keepNext/>
              <w:spacing w:before="0" w:after="0"/>
              <w:rPr>
                <w:rFonts w:ascii="Arial Narrow" w:hAnsi="Arial Narrow"/>
                <w:iCs/>
                <w:sz w:val="20"/>
                <w:szCs w:val="20"/>
                <w:highlight w:val="lightGray"/>
              </w:rPr>
            </w:pPr>
            <w:r w:rsidRPr="009E4EB8">
              <w:rPr>
                <w:rFonts w:ascii="Arial Narrow" w:hAnsi="Arial Narrow"/>
                <w:iCs/>
                <w:sz w:val="20"/>
                <w:szCs w:val="20"/>
              </w:rPr>
              <w:t xml:space="preserve">The ESC considered that the cost-utility analysis was difficult to interpret due to the unadjusted clinical data used to populate the model.  </w:t>
            </w:r>
          </w:p>
        </w:tc>
      </w:tr>
      <w:tr w:rsidR="00462234" w:rsidRPr="009E4EB8" w14:paraId="62173615" w14:textId="77777777" w:rsidTr="003D1DA6">
        <w:tc>
          <w:tcPr>
            <w:tcW w:w="0" w:type="auto"/>
            <w:shd w:val="clear" w:color="auto" w:fill="C6D9F1" w:themeFill="text2" w:themeFillTint="33"/>
          </w:tcPr>
          <w:p w14:paraId="35C0D902" w14:textId="77777777" w:rsidR="00462234" w:rsidRPr="009E4EB8" w:rsidRDefault="00462234" w:rsidP="00D041EE">
            <w:pPr>
              <w:keepNext/>
              <w:spacing w:before="0" w:after="0"/>
              <w:jc w:val="left"/>
              <w:rPr>
                <w:rFonts w:ascii="Arial Narrow" w:hAnsi="Arial Narrow"/>
                <w:sz w:val="20"/>
                <w:szCs w:val="20"/>
              </w:rPr>
            </w:pPr>
            <w:r w:rsidRPr="009E4EB8">
              <w:rPr>
                <w:rFonts w:ascii="Arial Narrow" w:hAnsi="Arial Narrow"/>
                <w:sz w:val="20"/>
                <w:szCs w:val="20"/>
              </w:rPr>
              <w:t>Outcomes</w:t>
            </w:r>
          </w:p>
        </w:tc>
        <w:tc>
          <w:tcPr>
            <w:tcW w:w="0" w:type="auto"/>
            <w:shd w:val="clear" w:color="auto" w:fill="C6D9F1" w:themeFill="text2" w:themeFillTint="33"/>
          </w:tcPr>
          <w:p w14:paraId="4251E097" w14:textId="77777777" w:rsidR="00462234" w:rsidRPr="009E4EB8" w:rsidRDefault="00462234" w:rsidP="00D041EE">
            <w:pPr>
              <w:keepNext/>
              <w:spacing w:before="0" w:after="0"/>
              <w:rPr>
                <w:rFonts w:ascii="Arial Narrow" w:hAnsi="Arial Narrow"/>
                <w:sz w:val="20"/>
                <w:szCs w:val="20"/>
              </w:rPr>
            </w:pPr>
            <w:r w:rsidRPr="009E4EB8">
              <w:rPr>
                <w:rFonts w:ascii="Arial Narrow" w:hAnsi="Arial Narrow"/>
                <w:sz w:val="20"/>
                <w:szCs w:val="20"/>
              </w:rPr>
              <w:t>QALY gained</w:t>
            </w:r>
          </w:p>
        </w:tc>
        <w:tc>
          <w:tcPr>
            <w:tcW w:w="0" w:type="auto"/>
            <w:shd w:val="clear" w:color="auto" w:fill="C6D9F1" w:themeFill="text2" w:themeFillTint="33"/>
          </w:tcPr>
          <w:p w14:paraId="5A21E9E7" w14:textId="77777777" w:rsidR="00462234" w:rsidRPr="009E4EB8" w:rsidRDefault="00462234" w:rsidP="00D041EE">
            <w:pPr>
              <w:keepNext/>
              <w:spacing w:before="0" w:after="0"/>
              <w:rPr>
                <w:rFonts w:ascii="Arial Narrow" w:hAnsi="Arial Narrow"/>
                <w:iCs/>
                <w:sz w:val="20"/>
                <w:szCs w:val="20"/>
              </w:rPr>
            </w:pPr>
            <w:r w:rsidRPr="009E4EB8">
              <w:rPr>
                <w:rFonts w:ascii="Arial Narrow" w:hAnsi="Arial Narrow"/>
                <w:iCs/>
                <w:sz w:val="20"/>
                <w:szCs w:val="20"/>
              </w:rPr>
              <w:t>Appropriate</w:t>
            </w:r>
          </w:p>
        </w:tc>
      </w:tr>
      <w:tr w:rsidR="00462234" w:rsidRPr="009E4EB8" w14:paraId="6B6131CD" w14:textId="77777777" w:rsidTr="003D1DA6">
        <w:tc>
          <w:tcPr>
            <w:tcW w:w="0" w:type="auto"/>
          </w:tcPr>
          <w:p w14:paraId="2F82A470" w14:textId="77777777" w:rsidR="00462234" w:rsidRPr="009E4EB8" w:rsidRDefault="00462234" w:rsidP="00D041EE">
            <w:pPr>
              <w:keepNext/>
              <w:spacing w:before="0" w:after="0"/>
              <w:jc w:val="left"/>
              <w:rPr>
                <w:rFonts w:ascii="Arial Narrow" w:hAnsi="Arial Narrow"/>
                <w:sz w:val="20"/>
                <w:szCs w:val="20"/>
              </w:rPr>
            </w:pPr>
            <w:r w:rsidRPr="009E4EB8">
              <w:rPr>
                <w:rFonts w:ascii="Arial Narrow" w:hAnsi="Arial Narrow"/>
                <w:sz w:val="20"/>
                <w:szCs w:val="20"/>
              </w:rPr>
              <w:t>Time horizon</w:t>
            </w:r>
          </w:p>
        </w:tc>
        <w:tc>
          <w:tcPr>
            <w:tcW w:w="0" w:type="auto"/>
          </w:tcPr>
          <w:p w14:paraId="41EB2A3D" w14:textId="77777777" w:rsidR="00462234" w:rsidRPr="009E4EB8" w:rsidRDefault="00462234" w:rsidP="00D041EE">
            <w:pPr>
              <w:keepNext/>
              <w:spacing w:before="0" w:after="0"/>
              <w:rPr>
                <w:rFonts w:ascii="Arial Narrow" w:hAnsi="Arial Narrow"/>
                <w:sz w:val="20"/>
                <w:szCs w:val="20"/>
              </w:rPr>
            </w:pPr>
            <w:r w:rsidRPr="009E4EB8">
              <w:rPr>
                <w:rFonts w:ascii="Arial Narrow" w:hAnsi="Arial Narrow"/>
                <w:sz w:val="20"/>
                <w:szCs w:val="20"/>
              </w:rPr>
              <w:t>5 years</w:t>
            </w:r>
          </w:p>
        </w:tc>
        <w:tc>
          <w:tcPr>
            <w:tcW w:w="0" w:type="auto"/>
          </w:tcPr>
          <w:p w14:paraId="75C03FEC" w14:textId="46B3F75E" w:rsidR="00462234" w:rsidRPr="009E4EB8" w:rsidRDefault="00462234" w:rsidP="003D1DA6">
            <w:pPr>
              <w:keepNext/>
              <w:spacing w:before="0" w:after="0"/>
              <w:rPr>
                <w:rFonts w:ascii="Arial Narrow" w:hAnsi="Arial Narrow"/>
                <w:iCs/>
                <w:sz w:val="20"/>
                <w:szCs w:val="20"/>
              </w:rPr>
            </w:pPr>
            <w:r w:rsidRPr="009E4EB8">
              <w:rPr>
                <w:rFonts w:ascii="Arial Narrow" w:hAnsi="Arial Narrow"/>
                <w:iCs/>
                <w:sz w:val="20"/>
                <w:szCs w:val="20"/>
              </w:rPr>
              <w:t xml:space="preserve">Appropriate. The PBAC previously considered </w:t>
            </w:r>
            <w:r w:rsidRPr="009E4EB8">
              <w:rPr>
                <w:rFonts w:ascii="Arial Narrow" w:hAnsi="Arial Narrow"/>
                <w:bCs/>
                <w:iCs/>
                <w:sz w:val="20"/>
                <w:szCs w:val="20"/>
              </w:rPr>
              <w:t>a 5-year time horizon would be more appropriate than 7 years</w:t>
            </w:r>
            <w:r w:rsidRPr="009E4EB8">
              <w:rPr>
                <w:rFonts w:ascii="Arial Narrow" w:hAnsi="Arial Narrow"/>
                <w:iCs/>
                <w:sz w:val="20"/>
                <w:szCs w:val="20"/>
              </w:rPr>
              <w:t xml:space="preserve"> (Para. 6.38, Selinexor (TCR/PR), PBAC </w:t>
            </w:r>
            <w:r w:rsidR="00640A47">
              <w:rPr>
                <w:rFonts w:ascii="Arial Narrow" w:hAnsi="Arial Narrow"/>
                <w:iCs/>
                <w:sz w:val="20"/>
                <w:szCs w:val="20"/>
              </w:rPr>
              <w:t>PSD</w:t>
            </w:r>
            <w:r w:rsidRPr="009E4EB8">
              <w:rPr>
                <w:rFonts w:ascii="Arial Narrow" w:hAnsi="Arial Narrow"/>
                <w:iCs/>
                <w:sz w:val="20"/>
                <w:szCs w:val="20"/>
              </w:rPr>
              <w:t>, July 2021 meeting.</w:t>
            </w:r>
          </w:p>
        </w:tc>
      </w:tr>
      <w:tr w:rsidR="00462234" w:rsidRPr="009E4EB8" w14:paraId="3883AC31" w14:textId="77777777" w:rsidTr="003D1DA6">
        <w:tc>
          <w:tcPr>
            <w:tcW w:w="0" w:type="auto"/>
            <w:shd w:val="clear" w:color="auto" w:fill="C6D9F1" w:themeFill="text2" w:themeFillTint="33"/>
          </w:tcPr>
          <w:p w14:paraId="0AC06310" w14:textId="77777777" w:rsidR="00462234" w:rsidRPr="009E4EB8" w:rsidRDefault="00462234" w:rsidP="00D041EE">
            <w:pPr>
              <w:keepNext/>
              <w:spacing w:before="0" w:after="0"/>
              <w:jc w:val="left"/>
              <w:rPr>
                <w:rFonts w:ascii="Arial Narrow" w:hAnsi="Arial Narrow"/>
                <w:sz w:val="20"/>
                <w:szCs w:val="20"/>
              </w:rPr>
            </w:pPr>
            <w:r w:rsidRPr="009E4EB8">
              <w:rPr>
                <w:rFonts w:ascii="Arial Narrow" w:hAnsi="Arial Narrow"/>
                <w:sz w:val="20"/>
                <w:szCs w:val="20"/>
              </w:rPr>
              <w:t>Method used to generate results</w:t>
            </w:r>
          </w:p>
        </w:tc>
        <w:tc>
          <w:tcPr>
            <w:tcW w:w="0" w:type="auto"/>
            <w:shd w:val="clear" w:color="auto" w:fill="C6D9F1" w:themeFill="text2" w:themeFillTint="33"/>
          </w:tcPr>
          <w:p w14:paraId="11A50B59" w14:textId="77777777" w:rsidR="00462234" w:rsidRPr="009E4EB8" w:rsidRDefault="00462234" w:rsidP="00D041EE">
            <w:pPr>
              <w:keepNext/>
              <w:spacing w:before="0" w:after="0"/>
              <w:rPr>
                <w:rFonts w:ascii="Arial Narrow" w:hAnsi="Arial Narrow"/>
                <w:sz w:val="20"/>
                <w:szCs w:val="20"/>
              </w:rPr>
            </w:pPr>
            <w:r w:rsidRPr="009E4EB8">
              <w:rPr>
                <w:rFonts w:ascii="Arial Narrow" w:hAnsi="Arial Narrow"/>
                <w:sz w:val="20"/>
                <w:szCs w:val="20"/>
              </w:rPr>
              <w:t>Partitioned survival model incorporating a cohort expected value analysis</w:t>
            </w:r>
          </w:p>
        </w:tc>
        <w:tc>
          <w:tcPr>
            <w:tcW w:w="0" w:type="auto"/>
          </w:tcPr>
          <w:p w14:paraId="03B10118" w14:textId="1D907869" w:rsidR="00462234" w:rsidRPr="009E4EB8" w:rsidRDefault="00462234" w:rsidP="00D041EE">
            <w:pPr>
              <w:keepNext/>
              <w:spacing w:before="0" w:after="0"/>
              <w:rPr>
                <w:rFonts w:ascii="Arial Narrow" w:hAnsi="Arial Narrow"/>
                <w:iCs/>
                <w:sz w:val="20"/>
                <w:szCs w:val="20"/>
              </w:rPr>
            </w:pPr>
            <w:r w:rsidRPr="009E4EB8">
              <w:rPr>
                <w:rFonts w:ascii="Arial Narrow" w:hAnsi="Arial Narrow"/>
                <w:iCs/>
                <w:sz w:val="20"/>
                <w:szCs w:val="20"/>
              </w:rPr>
              <w:t xml:space="preserve">The PBAC previously considered that the use of PSA model structure was inherently uncertain (Table 9, Selinexor (TCR/PR), PBAC </w:t>
            </w:r>
            <w:r w:rsidR="00640A47">
              <w:rPr>
                <w:rFonts w:ascii="Arial Narrow" w:hAnsi="Arial Narrow"/>
                <w:iCs/>
                <w:sz w:val="20"/>
                <w:szCs w:val="20"/>
              </w:rPr>
              <w:t>PSD</w:t>
            </w:r>
            <w:r w:rsidRPr="009E4EB8">
              <w:rPr>
                <w:rFonts w:ascii="Arial Narrow" w:hAnsi="Arial Narrow"/>
                <w:iCs/>
                <w:sz w:val="20"/>
                <w:szCs w:val="20"/>
              </w:rPr>
              <w:t xml:space="preserve">, July 2021 PBAC meeting).   </w:t>
            </w:r>
          </w:p>
        </w:tc>
      </w:tr>
      <w:tr w:rsidR="00462234" w:rsidRPr="009E4EB8" w14:paraId="35463547" w14:textId="77777777" w:rsidTr="003D1DA6">
        <w:tc>
          <w:tcPr>
            <w:tcW w:w="0" w:type="auto"/>
            <w:shd w:val="clear" w:color="auto" w:fill="C6D9F1" w:themeFill="text2" w:themeFillTint="33"/>
          </w:tcPr>
          <w:p w14:paraId="2E71AFAA" w14:textId="77777777" w:rsidR="00462234" w:rsidRPr="009E4EB8" w:rsidRDefault="00462234" w:rsidP="00D041EE">
            <w:pPr>
              <w:keepNext/>
              <w:spacing w:before="0" w:after="0"/>
              <w:jc w:val="left"/>
              <w:rPr>
                <w:rFonts w:ascii="Arial Narrow" w:hAnsi="Arial Narrow"/>
                <w:sz w:val="20"/>
                <w:szCs w:val="20"/>
              </w:rPr>
            </w:pPr>
            <w:r w:rsidRPr="009E4EB8">
              <w:rPr>
                <w:rFonts w:ascii="Arial Narrow" w:hAnsi="Arial Narrow"/>
                <w:sz w:val="20"/>
                <w:szCs w:val="20"/>
              </w:rPr>
              <w:t>Health states</w:t>
            </w:r>
          </w:p>
        </w:tc>
        <w:tc>
          <w:tcPr>
            <w:tcW w:w="0" w:type="auto"/>
            <w:shd w:val="clear" w:color="auto" w:fill="C6D9F1" w:themeFill="text2" w:themeFillTint="33"/>
          </w:tcPr>
          <w:p w14:paraId="5A6CDAC2" w14:textId="77777777" w:rsidR="00462234" w:rsidRPr="009E4EB8" w:rsidRDefault="00462234" w:rsidP="00D041EE">
            <w:pPr>
              <w:keepNext/>
              <w:spacing w:before="0" w:after="0"/>
              <w:rPr>
                <w:rFonts w:ascii="Arial Narrow" w:hAnsi="Arial Narrow"/>
                <w:sz w:val="20"/>
                <w:szCs w:val="20"/>
              </w:rPr>
            </w:pPr>
            <w:r w:rsidRPr="009E4EB8">
              <w:rPr>
                <w:rFonts w:ascii="Arial Narrow" w:hAnsi="Arial Narrow"/>
                <w:sz w:val="20"/>
                <w:szCs w:val="20"/>
              </w:rPr>
              <w:t>Progression free, progressive disease, and death</w:t>
            </w:r>
          </w:p>
        </w:tc>
        <w:tc>
          <w:tcPr>
            <w:tcW w:w="0" w:type="auto"/>
            <w:shd w:val="clear" w:color="auto" w:fill="C6D9F1" w:themeFill="text2" w:themeFillTint="33"/>
          </w:tcPr>
          <w:p w14:paraId="1D1121B1" w14:textId="77777777" w:rsidR="00462234" w:rsidRPr="009E4EB8" w:rsidRDefault="00462234" w:rsidP="00D041EE">
            <w:pPr>
              <w:keepNext/>
              <w:spacing w:before="0" w:after="0"/>
              <w:rPr>
                <w:rFonts w:ascii="Arial Narrow" w:hAnsi="Arial Narrow"/>
                <w:iCs/>
                <w:sz w:val="20"/>
                <w:szCs w:val="20"/>
              </w:rPr>
            </w:pPr>
            <w:r w:rsidRPr="009E4EB8">
              <w:rPr>
                <w:rFonts w:ascii="Arial Narrow" w:hAnsi="Arial Narrow"/>
                <w:iCs/>
                <w:sz w:val="20"/>
                <w:szCs w:val="20"/>
              </w:rPr>
              <w:t>Appropriate</w:t>
            </w:r>
          </w:p>
        </w:tc>
      </w:tr>
      <w:tr w:rsidR="00462234" w:rsidRPr="009E4EB8" w14:paraId="3E8044C8" w14:textId="77777777" w:rsidTr="003D1DA6">
        <w:tc>
          <w:tcPr>
            <w:tcW w:w="0" w:type="auto"/>
            <w:shd w:val="clear" w:color="auto" w:fill="C6D9F1" w:themeFill="text2" w:themeFillTint="33"/>
          </w:tcPr>
          <w:p w14:paraId="6176C48D" w14:textId="77777777" w:rsidR="00462234" w:rsidRPr="009E4EB8" w:rsidRDefault="00462234" w:rsidP="00D041EE">
            <w:pPr>
              <w:keepNext/>
              <w:spacing w:before="0" w:after="0"/>
              <w:jc w:val="left"/>
              <w:rPr>
                <w:rFonts w:ascii="Arial Narrow" w:hAnsi="Arial Narrow"/>
                <w:sz w:val="20"/>
                <w:szCs w:val="20"/>
              </w:rPr>
            </w:pPr>
            <w:r w:rsidRPr="009E4EB8">
              <w:rPr>
                <w:rFonts w:ascii="Arial Narrow" w:hAnsi="Arial Narrow"/>
                <w:sz w:val="20"/>
                <w:szCs w:val="20"/>
              </w:rPr>
              <w:t>Cycle length</w:t>
            </w:r>
          </w:p>
        </w:tc>
        <w:tc>
          <w:tcPr>
            <w:tcW w:w="0" w:type="auto"/>
            <w:shd w:val="clear" w:color="auto" w:fill="C6D9F1" w:themeFill="text2" w:themeFillTint="33"/>
          </w:tcPr>
          <w:p w14:paraId="245F344F" w14:textId="77777777" w:rsidR="00462234" w:rsidRPr="009E4EB8" w:rsidRDefault="00462234" w:rsidP="00D041EE">
            <w:pPr>
              <w:keepNext/>
              <w:spacing w:before="0" w:after="0"/>
              <w:rPr>
                <w:rFonts w:ascii="Arial Narrow" w:hAnsi="Arial Narrow"/>
                <w:sz w:val="20"/>
                <w:szCs w:val="20"/>
              </w:rPr>
            </w:pPr>
            <w:r w:rsidRPr="009E4EB8">
              <w:rPr>
                <w:rFonts w:ascii="Arial Narrow" w:hAnsi="Arial Narrow"/>
                <w:sz w:val="20"/>
                <w:szCs w:val="20"/>
              </w:rPr>
              <w:t>1 week</w:t>
            </w:r>
          </w:p>
        </w:tc>
        <w:tc>
          <w:tcPr>
            <w:tcW w:w="0" w:type="auto"/>
            <w:shd w:val="clear" w:color="auto" w:fill="C6D9F1" w:themeFill="text2" w:themeFillTint="33"/>
          </w:tcPr>
          <w:p w14:paraId="7366816E" w14:textId="77777777" w:rsidR="00462234" w:rsidRPr="009E4EB8" w:rsidRDefault="00462234" w:rsidP="00D041EE">
            <w:pPr>
              <w:keepNext/>
              <w:spacing w:before="0" w:after="0"/>
              <w:rPr>
                <w:rFonts w:ascii="Arial Narrow" w:hAnsi="Arial Narrow"/>
                <w:iCs/>
                <w:sz w:val="20"/>
                <w:szCs w:val="20"/>
              </w:rPr>
            </w:pPr>
            <w:r w:rsidRPr="009E4EB8">
              <w:rPr>
                <w:rFonts w:ascii="Arial Narrow" w:hAnsi="Arial Narrow"/>
                <w:iCs/>
                <w:sz w:val="20"/>
                <w:szCs w:val="20"/>
              </w:rPr>
              <w:t>Appropriate</w:t>
            </w:r>
          </w:p>
        </w:tc>
      </w:tr>
      <w:tr w:rsidR="00462234" w:rsidRPr="009E4EB8" w14:paraId="1F6B58CB" w14:textId="77777777" w:rsidTr="003D1DA6">
        <w:tc>
          <w:tcPr>
            <w:tcW w:w="0" w:type="auto"/>
            <w:shd w:val="clear" w:color="auto" w:fill="C6D9F1" w:themeFill="text2" w:themeFillTint="33"/>
          </w:tcPr>
          <w:p w14:paraId="59DB952E" w14:textId="77777777" w:rsidR="00462234" w:rsidRPr="009E4EB8" w:rsidRDefault="00462234" w:rsidP="00D041EE">
            <w:pPr>
              <w:keepNext/>
              <w:spacing w:before="0" w:after="0"/>
              <w:jc w:val="left"/>
              <w:rPr>
                <w:rFonts w:ascii="Arial Narrow" w:hAnsi="Arial Narrow"/>
                <w:sz w:val="20"/>
                <w:szCs w:val="20"/>
              </w:rPr>
            </w:pPr>
            <w:r w:rsidRPr="009E4EB8">
              <w:rPr>
                <w:rFonts w:ascii="Arial Narrow" w:hAnsi="Arial Narrow"/>
                <w:sz w:val="20"/>
                <w:szCs w:val="20"/>
              </w:rPr>
              <w:t>Transitional probabilities (area under the curve)</w:t>
            </w:r>
          </w:p>
        </w:tc>
        <w:tc>
          <w:tcPr>
            <w:tcW w:w="0" w:type="auto"/>
          </w:tcPr>
          <w:p w14:paraId="57F6EE76" w14:textId="77777777" w:rsidR="00462234" w:rsidRPr="009E4EB8" w:rsidRDefault="00462234" w:rsidP="00D041EE">
            <w:pPr>
              <w:keepNext/>
              <w:shd w:val="clear" w:color="auto" w:fill="C6D9F1" w:themeFill="text2" w:themeFillTint="33"/>
              <w:spacing w:before="0" w:after="0"/>
              <w:rPr>
                <w:rFonts w:ascii="Arial Narrow" w:hAnsi="Arial Narrow"/>
                <w:iCs/>
                <w:sz w:val="20"/>
                <w:szCs w:val="20"/>
              </w:rPr>
            </w:pPr>
            <w:r w:rsidRPr="009E4EB8">
              <w:rPr>
                <w:rFonts w:ascii="Arial Narrow" w:hAnsi="Arial Narrow"/>
                <w:iCs/>
                <w:sz w:val="20"/>
                <w:szCs w:val="20"/>
              </w:rPr>
              <w:t>Based on KM curves from STORM and MAMMOTH and extrapolation.</w:t>
            </w:r>
          </w:p>
          <w:p w14:paraId="3726FC29" w14:textId="77777777" w:rsidR="00462234" w:rsidRPr="009E4EB8" w:rsidRDefault="00462234" w:rsidP="00D041EE">
            <w:pPr>
              <w:keepNext/>
              <w:shd w:val="clear" w:color="auto" w:fill="C6D9F1" w:themeFill="text2" w:themeFillTint="33"/>
              <w:spacing w:before="0" w:after="0"/>
              <w:rPr>
                <w:rFonts w:ascii="Arial Narrow" w:hAnsi="Arial Narrow"/>
                <w:iCs/>
                <w:sz w:val="20"/>
                <w:szCs w:val="20"/>
              </w:rPr>
            </w:pPr>
            <w:r w:rsidRPr="009E4EB8">
              <w:rPr>
                <w:rFonts w:ascii="Arial Narrow" w:hAnsi="Arial Narrow"/>
                <w:iCs/>
                <w:sz w:val="20"/>
                <w:szCs w:val="20"/>
              </w:rPr>
              <w:t xml:space="preserve">Data from KM curves were used up to the time point at which 20% of patients remained at risk. After that the results from extrapolation were applied. </w:t>
            </w:r>
          </w:p>
          <w:p w14:paraId="6DA47BD2" w14:textId="77777777" w:rsidR="00462234" w:rsidRPr="009E4EB8" w:rsidRDefault="00462234" w:rsidP="00D041EE">
            <w:pPr>
              <w:keepNext/>
              <w:shd w:val="clear" w:color="auto" w:fill="C6D9F1" w:themeFill="text2" w:themeFillTint="33"/>
              <w:spacing w:before="0" w:after="0"/>
              <w:rPr>
                <w:rFonts w:ascii="Arial Narrow" w:hAnsi="Arial Narrow"/>
                <w:iCs/>
                <w:sz w:val="20"/>
                <w:szCs w:val="20"/>
              </w:rPr>
            </w:pPr>
            <w:r w:rsidRPr="009E4EB8">
              <w:rPr>
                <w:rFonts w:ascii="Arial Narrow" w:hAnsi="Arial Narrow"/>
                <w:iCs/>
                <w:sz w:val="20"/>
                <w:szCs w:val="20"/>
              </w:rPr>
              <w:t xml:space="preserve">Log-normal distribution was chosen for OS of Sd and DCEP, PFS of Sd and TTD of Sd. DCEP was fixed for 2 cycles of treatment. </w:t>
            </w:r>
          </w:p>
          <w:p w14:paraId="5A2F19B4" w14:textId="77777777" w:rsidR="00462234" w:rsidRPr="009E4EB8" w:rsidRDefault="00462234" w:rsidP="00D041EE">
            <w:pPr>
              <w:keepNext/>
              <w:spacing w:before="0" w:after="0"/>
              <w:rPr>
                <w:rFonts w:ascii="Arial Narrow" w:hAnsi="Arial Narrow"/>
                <w:iCs/>
                <w:sz w:val="20"/>
                <w:szCs w:val="20"/>
              </w:rPr>
            </w:pPr>
            <w:r w:rsidRPr="009E4EB8">
              <w:rPr>
                <w:rFonts w:ascii="Arial Narrow" w:hAnsi="Arial Narrow"/>
                <w:iCs/>
                <w:sz w:val="20"/>
                <w:szCs w:val="20"/>
              </w:rPr>
              <w:t xml:space="preserve">The model assumed convergence of the OS curves after 48-months. </w:t>
            </w:r>
          </w:p>
        </w:tc>
        <w:tc>
          <w:tcPr>
            <w:tcW w:w="0" w:type="auto"/>
            <w:shd w:val="clear" w:color="auto" w:fill="C6D9F1" w:themeFill="text2" w:themeFillTint="33"/>
          </w:tcPr>
          <w:p w14:paraId="5BF9F651" w14:textId="2B4B2DB2" w:rsidR="00462234" w:rsidRPr="009E4EB8" w:rsidRDefault="00462234" w:rsidP="00D041EE">
            <w:pPr>
              <w:keepNext/>
              <w:spacing w:before="0" w:after="0"/>
              <w:rPr>
                <w:rFonts w:ascii="Arial Narrow" w:hAnsi="Arial Narrow"/>
                <w:iCs/>
                <w:sz w:val="20"/>
                <w:szCs w:val="20"/>
              </w:rPr>
            </w:pPr>
            <w:r w:rsidRPr="009E4EB8">
              <w:rPr>
                <w:rFonts w:ascii="Arial Narrow" w:hAnsi="Arial Narrow"/>
                <w:iCs/>
                <w:sz w:val="20"/>
                <w:szCs w:val="20"/>
              </w:rPr>
              <w:t>The use of KM curves appears appropriate. Approaches for the extrapolation were inadequately justified</w:t>
            </w:r>
            <w:r w:rsidR="00525C97" w:rsidRPr="009E4EB8">
              <w:rPr>
                <w:rFonts w:ascii="Arial Narrow" w:hAnsi="Arial Narrow"/>
                <w:iCs/>
                <w:sz w:val="20"/>
                <w:szCs w:val="20"/>
              </w:rPr>
              <w:t>.</w:t>
            </w:r>
          </w:p>
        </w:tc>
      </w:tr>
      <w:tr w:rsidR="00462234" w:rsidRPr="009E4EB8" w14:paraId="08766A1D" w14:textId="77777777" w:rsidTr="003D1DA6">
        <w:tc>
          <w:tcPr>
            <w:tcW w:w="0" w:type="auto"/>
            <w:shd w:val="clear" w:color="auto" w:fill="C6D9F1" w:themeFill="text2" w:themeFillTint="33"/>
          </w:tcPr>
          <w:p w14:paraId="743A35A4" w14:textId="77777777" w:rsidR="00462234" w:rsidRPr="009E4EB8" w:rsidRDefault="00462234" w:rsidP="00D041EE">
            <w:pPr>
              <w:keepNext/>
              <w:spacing w:before="0" w:after="0"/>
              <w:jc w:val="left"/>
              <w:rPr>
                <w:rFonts w:ascii="Arial Narrow" w:hAnsi="Arial Narrow"/>
                <w:sz w:val="20"/>
                <w:szCs w:val="20"/>
              </w:rPr>
            </w:pPr>
            <w:r w:rsidRPr="009E4EB8">
              <w:rPr>
                <w:rFonts w:ascii="Arial Narrow" w:hAnsi="Arial Narrow"/>
                <w:sz w:val="20"/>
                <w:szCs w:val="20"/>
              </w:rPr>
              <w:t>Health utility values</w:t>
            </w:r>
          </w:p>
        </w:tc>
        <w:tc>
          <w:tcPr>
            <w:tcW w:w="0" w:type="auto"/>
            <w:shd w:val="clear" w:color="auto" w:fill="C6D9F1" w:themeFill="text2" w:themeFillTint="33"/>
          </w:tcPr>
          <w:p w14:paraId="7828C2DF" w14:textId="3F4C46B9" w:rsidR="00462234" w:rsidRPr="009E4EB8" w:rsidRDefault="00462234" w:rsidP="003D1DA6">
            <w:pPr>
              <w:keepNext/>
              <w:spacing w:before="0" w:after="0"/>
              <w:rPr>
                <w:rFonts w:ascii="Arial Narrow" w:hAnsi="Arial Narrow"/>
                <w:iCs/>
                <w:sz w:val="20"/>
                <w:szCs w:val="20"/>
              </w:rPr>
            </w:pPr>
            <w:r w:rsidRPr="009E4EB8">
              <w:rPr>
                <w:rFonts w:ascii="Arial Narrow" w:hAnsi="Arial Narrow"/>
                <w:iCs/>
                <w:sz w:val="20"/>
                <w:szCs w:val="20"/>
              </w:rPr>
              <w:t>Derived using existing regression equation estimating utility values of RRMM patients based on NIMBUS trial. Data from STORM</w:t>
            </w:r>
            <w:r w:rsidR="003D1DA6" w:rsidRPr="009E4EB8">
              <w:rPr>
                <w:rFonts w:ascii="Arial Narrow" w:hAnsi="Arial Narrow"/>
                <w:iCs/>
                <w:sz w:val="20"/>
                <w:szCs w:val="20"/>
              </w:rPr>
              <w:t>,</w:t>
            </w:r>
            <w:r w:rsidRPr="009E4EB8">
              <w:rPr>
                <w:rFonts w:ascii="Arial Narrow" w:hAnsi="Arial Narrow"/>
                <w:iCs/>
                <w:sz w:val="20"/>
                <w:szCs w:val="20"/>
              </w:rPr>
              <w:t xml:space="preserve"> MAMMOTH and Yuen 2018 were applied to obtain treatment-specific utility values. </w:t>
            </w:r>
          </w:p>
        </w:tc>
        <w:tc>
          <w:tcPr>
            <w:tcW w:w="0" w:type="auto"/>
            <w:shd w:val="clear" w:color="auto" w:fill="C6D9F1" w:themeFill="text2" w:themeFillTint="33"/>
          </w:tcPr>
          <w:p w14:paraId="4EC8CD3D" w14:textId="320942B3" w:rsidR="00462234" w:rsidRPr="009E4EB8" w:rsidRDefault="00462234" w:rsidP="003D1DA6">
            <w:pPr>
              <w:keepNext/>
              <w:spacing w:before="0" w:after="0"/>
              <w:rPr>
                <w:rFonts w:ascii="Arial Narrow" w:hAnsi="Arial Narrow"/>
                <w:iCs/>
                <w:sz w:val="20"/>
                <w:szCs w:val="20"/>
              </w:rPr>
            </w:pPr>
            <w:r w:rsidRPr="009E4EB8">
              <w:rPr>
                <w:rFonts w:ascii="Arial Narrow" w:hAnsi="Arial Narrow"/>
                <w:iCs/>
                <w:sz w:val="20"/>
                <w:szCs w:val="20"/>
              </w:rPr>
              <w:t xml:space="preserve">The equation was developed based on patients that had less advanced disease (have had at least two prior treatment regimens in NIMBUS) compared to the proposed population. This equation has been considered by the PBAC before (July 2019 plitidepsin submission and July 2021 selinexor submission). </w:t>
            </w:r>
          </w:p>
        </w:tc>
      </w:tr>
      <w:tr w:rsidR="00462234" w:rsidRPr="009E4EB8" w14:paraId="1EDBC23C" w14:textId="77777777" w:rsidTr="003D1DA6">
        <w:tc>
          <w:tcPr>
            <w:tcW w:w="0" w:type="auto"/>
            <w:shd w:val="clear" w:color="auto" w:fill="C6D9F1" w:themeFill="text2" w:themeFillTint="33"/>
          </w:tcPr>
          <w:p w14:paraId="41D1A2EB" w14:textId="77777777" w:rsidR="00462234" w:rsidRPr="009E4EB8" w:rsidRDefault="00462234" w:rsidP="00D041EE">
            <w:pPr>
              <w:keepNext/>
              <w:spacing w:before="0" w:after="0"/>
              <w:jc w:val="left"/>
              <w:rPr>
                <w:rFonts w:ascii="Arial Narrow" w:hAnsi="Arial Narrow"/>
                <w:sz w:val="20"/>
                <w:szCs w:val="20"/>
              </w:rPr>
            </w:pPr>
            <w:r w:rsidRPr="009E4EB8">
              <w:rPr>
                <w:rFonts w:ascii="Arial Narrow" w:hAnsi="Arial Narrow"/>
                <w:sz w:val="20"/>
                <w:szCs w:val="20"/>
              </w:rPr>
              <w:t>Software</w:t>
            </w:r>
          </w:p>
        </w:tc>
        <w:tc>
          <w:tcPr>
            <w:tcW w:w="0" w:type="auto"/>
            <w:shd w:val="clear" w:color="auto" w:fill="C6D9F1" w:themeFill="text2" w:themeFillTint="33"/>
          </w:tcPr>
          <w:p w14:paraId="2263D6AF" w14:textId="77777777" w:rsidR="00462234" w:rsidRPr="009E4EB8" w:rsidRDefault="00462234" w:rsidP="00D041EE">
            <w:pPr>
              <w:keepNext/>
              <w:spacing w:before="0" w:after="0"/>
              <w:rPr>
                <w:rFonts w:ascii="Arial Narrow" w:hAnsi="Arial Narrow"/>
                <w:sz w:val="20"/>
                <w:szCs w:val="20"/>
              </w:rPr>
            </w:pPr>
            <w:r w:rsidRPr="009E4EB8">
              <w:rPr>
                <w:rFonts w:ascii="Arial Narrow" w:hAnsi="Arial Narrow"/>
                <w:sz w:val="20"/>
                <w:szCs w:val="20"/>
              </w:rPr>
              <w:t>Excel 2010</w:t>
            </w:r>
          </w:p>
        </w:tc>
        <w:tc>
          <w:tcPr>
            <w:tcW w:w="0" w:type="auto"/>
            <w:shd w:val="clear" w:color="auto" w:fill="C6D9F1" w:themeFill="text2" w:themeFillTint="33"/>
          </w:tcPr>
          <w:p w14:paraId="6B2FABB9" w14:textId="77777777" w:rsidR="00462234" w:rsidRPr="009E4EB8" w:rsidRDefault="00462234" w:rsidP="00D041EE">
            <w:pPr>
              <w:keepNext/>
              <w:spacing w:before="0" w:after="0"/>
              <w:rPr>
                <w:rFonts w:ascii="Arial Narrow" w:hAnsi="Arial Narrow"/>
                <w:iCs/>
                <w:sz w:val="20"/>
                <w:szCs w:val="20"/>
              </w:rPr>
            </w:pPr>
            <w:r w:rsidRPr="009E4EB8">
              <w:rPr>
                <w:rFonts w:ascii="Arial Narrow" w:hAnsi="Arial Narrow"/>
                <w:iCs/>
                <w:sz w:val="20"/>
                <w:szCs w:val="20"/>
              </w:rPr>
              <w:t>Appropriate</w:t>
            </w:r>
          </w:p>
        </w:tc>
      </w:tr>
    </w:tbl>
    <w:p w14:paraId="5D16A668" w14:textId="77777777" w:rsidR="006E34BD" w:rsidRPr="009E4EB8" w:rsidRDefault="006E34BD" w:rsidP="006E34BD">
      <w:pPr>
        <w:keepNext/>
        <w:rPr>
          <w:rStyle w:val="FontBold"/>
          <w:rFonts w:ascii="Arial Narrow" w:eastAsiaTheme="minorHAnsi" w:hAnsi="Arial Narrow"/>
          <w:b w:val="0"/>
          <w:bCs/>
          <w:sz w:val="18"/>
          <w:szCs w:val="18"/>
        </w:rPr>
      </w:pPr>
      <w:r w:rsidRPr="009E4EB8">
        <w:rPr>
          <w:rStyle w:val="FontBold"/>
          <w:rFonts w:ascii="Arial Narrow" w:eastAsiaTheme="minorHAnsi" w:hAnsi="Arial Narrow"/>
          <w:b w:val="0"/>
          <w:bCs/>
          <w:sz w:val="18"/>
          <w:szCs w:val="18"/>
        </w:rPr>
        <w:t xml:space="preserve">Source: Table 3-1, pp112-113 of the resubmission. </w:t>
      </w:r>
    </w:p>
    <w:p w14:paraId="48FAC4F7" w14:textId="7349AED1" w:rsidR="006E34BD" w:rsidRPr="009E4EB8" w:rsidRDefault="006E34BD" w:rsidP="006E34BD">
      <w:pPr>
        <w:keepNext/>
        <w:rPr>
          <w:rStyle w:val="FontBold"/>
          <w:rFonts w:ascii="Arial Narrow" w:eastAsiaTheme="minorHAnsi" w:hAnsi="Arial Narrow"/>
          <w:b w:val="0"/>
          <w:bCs/>
          <w:sz w:val="18"/>
          <w:szCs w:val="18"/>
        </w:rPr>
      </w:pPr>
      <w:r w:rsidRPr="009E4EB8">
        <w:rPr>
          <w:rStyle w:val="FontBold"/>
          <w:rFonts w:ascii="Arial Narrow" w:eastAsiaTheme="minorHAnsi" w:hAnsi="Arial Narrow"/>
          <w:b w:val="0"/>
          <w:bCs/>
          <w:sz w:val="18"/>
          <w:szCs w:val="18"/>
        </w:rPr>
        <w:t xml:space="preserve">Abbreviations: DCEP = dexamethasone, cyclophosphamide, etoposide, and cisplatin; HR = hazard ratio; KM = Kaplan-Meier; OS = overall survival; PBAC = Pharmaceutical Benefits Advisory Committee; PFS = progression free survival; PSA = partitioned survival analysis; PSD = public document summary; QALY = quality-adjusted life years; RRMM = relapsed/refractory multiple myeloma; </w:t>
      </w:r>
      <w:r w:rsidR="002C35FA" w:rsidRPr="009E4EB8">
        <w:rPr>
          <w:rStyle w:val="FontBold"/>
          <w:rFonts w:ascii="Arial Narrow" w:eastAsiaTheme="minorHAnsi" w:hAnsi="Arial Narrow"/>
          <w:b w:val="0"/>
          <w:bCs/>
          <w:sz w:val="18"/>
          <w:szCs w:val="18"/>
        </w:rPr>
        <w:t xml:space="preserve">TCR/PR = triple-class refractory and penta-refractory; </w:t>
      </w:r>
      <w:r w:rsidRPr="009E4EB8">
        <w:rPr>
          <w:rStyle w:val="FontBold"/>
          <w:rFonts w:ascii="Arial Narrow" w:eastAsiaTheme="minorHAnsi" w:hAnsi="Arial Narrow"/>
          <w:b w:val="0"/>
          <w:bCs/>
          <w:sz w:val="18"/>
          <w:szCs w:val="18"/>
        </w:rPr>
        <w:t>TTD = time to treatment discontinuation; Sd = selinexor + dexamethasone</w:t>
      </w:r>
    </w:p>
    <w:p w14:paraId="32BCC2CC" w14:textId="2F5C99E7" w:rsidR="00462234" w:rsidRPr="009E4EB8" w:rsidRDefault="006E34BD" w:rsidP="006E34BD">
      <w:pPr>
        <w:pStyle w:val="TableFigureFooter"/>
        <w:rPr>
          <w:szCs w:val="18"/>
        </w:rPr>
      </w:pPr>
      <w:r w:rsidRPr="009E4EB8">
        <w:t>Blue shading denotes text remains unchanged from the July 2021 submission and/or Commentary.</w:t>
      </w:r>
    </w:p>
    <w:p w14:paraId="2CCC63EE" w14:textId="4A682225" w:rsidR="000C2554" w:rsidRPr="009E4EB8" w:rsidRDefault="007774F2" w:rsidP="005304FD">
      <w:pPr>
        <w:pStyle w:val="3-BodyText"/>
        <w:rPr>
          <w:b/>
          <w:bCs/>
        </w:rPr>
      </w:pPr>
      <w:r w:rsidRPr="009E4EB8">
        <w:t xml:space="preserve">The resubmission stated that the economic model of Sd relative to salvage chemotherapy presented in the resubmission was the same as presented in the July 2021 submission with </w:t>
      </w:r>
      <w:r w:rsidR="00BE11FD" w:rsidRPr="009E4EB8">
        <w:t>some minor technical update</w:t>
      </w:r>
      <w:r w:rsidR="003E2255" w:rsidRPr="009E4EB8">
        <w:t>s</w:t>
      </w:r>
      <w:r w:rsidR="00BE11FD" w:rsidRPr="009E4EB8">
        <w:t xml:space="preserve"> and </w:t>
      </w:r>
      <w:r w:rsidRPr="009E4EB8">
        <w:t xml:space="preserve">revised data inputs as advised by the PBAC. </w:t>
      </w:r>
      <w:r w:rsidR="009A2585" w:rsidRPr="009E4EB8">
        <w:rPr>
          <w:iCs/>
        </w:rPr>
        <w:t xml:space="preserve">The PBAC previously considered that the revised model should result in a base case incremental cost effectiveness ratio (ICER) which appropriately accounted for the uncertainties in the clinical data (Para. 7.15, Selinexor (TCR/PR), PBAC </w:t>
      </w:r>
      <w:r w:rsidR="00640A47">
        <w:rPr>
          <w:iCs/>
        </w:rPr>
        <w:t>PSD</w:t>
      </w:r>
      <w:r w:rsidR="009A2585" w:rsidRPr="009E4EB8">
        <w:rPr>
          <w:iCs/>
        </w:rPr>
        <w:t>, July 2021 PBAC Meeting).</w:t>
      </w:r>
      <w:r w:rsidR="009A2585" w:rsidRPr="009E4EB8">
        <w:t xml:space="preserve"> </w:t>
      </w:r>
      <w:r w:rsidR="00BE11FD" w:rsidRPr="009E4EB8">
        <w:t>Input changes</w:t>
      </w:r>
      <w:r w:rsidR="000C2554" w:rsidRPr="009E4EB8">
        <w:t xml:space="preserve"> to the </w:t>
      </w:r>
      <w:r w:rsidR="00A938CF" w:rsidRPr="009E4EB8">
        <w:t xml:space="preserve">revised </w:t>
      </w:r>
      <w:r w:rsidR="000C2554" w:rsidRPr="009E4EB8">
        <w:t>economic model included:</w:t>
      </w:r>
      <w:r w:rsidR="000C2554" w:rsidRPr="009E4EB8">
        <w:rPr>
          <w:iCs/>
        </w:rPr>
        <w:t xml:space="preserve"> </w:t>
      </w:r>
    </w:p>
    <w:p w14:paraId="1D48B180" w14:textId="17F2CE28" w:rsidR="000C2554" w:rsidRPr="009E4EB8" w:rsidRDefault="00A938CF" w:rsidP="00F421DE">
      <w:pPr>
        <w:pStyle w:val="Bulletpoints"/>
        <w:ind w:left="1060" w:hanging="357"/>
        <w:contextualSpacing w:val="0"/>
      </w:pPr>
      <w:r w:rsidRPr="009E4EB8">
        <w:t>time horizon of 5 years (previously 7 years)</w:t>
      </w:r>
      <w:r w:rsidR="00B32563" w:rsidRPr="009E4EB8">
        <w:t xml:space="preserve">. </w:t>
      </w:r>
      <w:r w:rsidR="00B32563" w:rsidRPr="009E4EB8">
        <w:rPr>
          <w:iCs/>
        </w:rPr>
        <w:t xml:space="preserve">The PBAC consideration that a 5-year time horizon would be more appropriate given STORM had limited follow-up and there were no long-term data for OS outcomes (Para. 7.11 Selinexor (TCR/PR), PBAC </w:t>
      </w:r>
      <w:r w:rsidR="00640A47">
        <w:rPr>
          <w:iCs/>
        </w:rPr>
        <w:t>PSD</w:t>
      </w:r>
      <w:r w:rsidR="00B32563" w:rsidRPr="009E4EB8">
        <w:rPr>
          <w:iCs/>
        </w:rPr>
        <w:t>, July 2021 PBAC Meeting).</w:t>
      </w:r>
    </w:p>
    <w:p w14:paraId="57084A69" w14:textId="240035AB" w:rsidR="00A938CF" w:rsidRPr="009E4EB8" w:rsidRDefault="00CB7E2A" w:rsidP="00F421DE">
      <w:pPr>
        <w:pStyle w:val="Bulletpoints"/>
        <w:ind w:left="1060" w:hanging="357"/>
        <w:contextualSpacing w:val="0"/>
      </w:pPr>
      <w:r w:rsidRPr="009E4EB8">
        <w:t>OS benefit is assumed to converge over the last year of the model (</w:t>
      </w:r>
      <w:proofErr w:type="gramStart"/>
      <w:r w:rsidRPr="009E4EB8">
        <w:t>i.e.</w:t>
      </w:r>
      <w:proofErr w:type="gramEnd"/>
      <w:r w:rsidRPr="009E4EB8">
        <w:t xml:space="preserve"> from 48 months to 60 months</w:t>
      </w:r>
      <w:r w:rsidR="0019041D" w:rsidRPr="009E4EB8">
        <w:t>; previously no convergence was assumed</w:t>
      </w:r>
      <w:r w:rsidRPr="009E4EB8">
        <w:t>)</w:t>
      </w:r>
      <w:r w:rsidR="003E2255" w:rsidRPr="009E4EB8">
        <w:t>.</w:t>
      </w:r>
    </w:p>
    <w:p w14:paraId="4566983D" w14:textId="4C60EE01" w:rsidR="00AD6AD5" w:rsidRPr="009E4EB8" w:rsidRDefault="000D4FB9" w:rsidP="00F421DE">
      <w:pPr>
        <w:pStyle w:val="Bulletpoints"/>
        <w:ind w:left="1060" w:hanging="357"/>
        <w:contextualSpacing w:val="0"/>
      </w:pPr>
      <w:r>
        <w:t>a</w:t>
      </w:r>
      <w:r w:rsidR="00564F15" w:rsidRPr="009E4EB8">
        <w:t>ssumption of no treatment benefit of Sd compared to DCEP in terms of PFS</w:t>
      </w:r>
      <w:r w:rsidR="00A851AB" w:rsidRPr="009E4EB8">
        <w:t xml:space="preserve"> </w:t>
      </w:r>
      <w:r w:rsidR="006C701A" w:rsidRPr="009E4EB8">
        <w:t>(hazard ratio;</w:t>
      </w:r>
      <w:r w:rsidR="009B43F5" w:rsidRPr="009E4EB8">
        <w:t xml:space="preserve"> </w:t>
      </w:r>
      <w:r w:rsidR="006C701A" w:rsidRPr="009E4EB8">
        <w:t>HR</w:t>
      </w:r>
      <w:r w:rsidR="009B43F5" w:rsidRPr="009E4EB8">
        <w:t>;</w:t>
      </w:r>
      <w:r w:rsidR="006C701A" w:rsidRPr="009E4EB8">
        <w:t xml:space="preserve"> of 1 for MAMMOTH compared to Sd)</w:t>
      </w:r>
      <w:r w:rsidR="003E2255" w:rsidRPr="009E4EB8">
        <w:t>.</w:t>
      </w:r>
    </w:p>
    <w:p w14:paraId="63C7E3E5" w14:textId="15156AC0" w:rsidR="00A3253F" w:rsidRPr="009E4EB8" w:rsidRDefault="00F421DE" w:rsidP="00F421DE">
      <w:pPr>
        <w:pStyle w:val="Bulletpoints"/>
        <w:ind w:left="1060" w:hanging="357"/>
        <w:contextualSpacing w:val="0"/>
      </w:pPr>
      <w:r w:rsidRPr="009E4EB8">
        <w:t>a</w:t>
      </w:r>
      <w:r w:rsidR="00A3253F" w:rsidRPr="009E4EB8">
        <w:t>ssum</w:t>
      </w:r>
      <w:r w:rsidR="007B046A" w:rsidRPr="009E4EB8">
        <w:t>ption of</w:t>
      </w:r>
      <w:r w:rsidR="00A3253F" w:rsidRPr="009E4EB8">
        <w:t xml:space="preserve"> two </w:t>
      </w:r>
      <w:r w:rsidR="007B046A" w:rsidRPr="009E4EB8">
        <w:t>AEs</w:t>
      </w:r>
      <w:r w:rsidR="00A3253F" w:rsidRPr="009E4EB8">
        <w:t xml:space="preserve"> per patient and two treatment cycles per event</w:t>
      </w:r>
      <w:r w:rsidR="00C15261" w:rsidRPr="009E4EB8">
        <w:t xml:space="preserve"> (previously assumed AE only once and resolution within once treatment cycle)</w:t>
      </w:r>
      <w:r w:rsidR="003E2255" w:rsidRPr="009E4EB8">
        <w:t>.</w:t>
      </w:r>
    </w:p>
    <w:p w14:paraId="204A96E5" w14:textId="127637BF" w:rsidR="00F421DE" w:rsidRPr="00AA74F5" w:rsidRDefault="00F421DE" w:rsidP="00F421DE">
      <w:pPr>
        <w:pStyle w:val="Bulletpoints"/>
        <w:ind w:left="1060" w:hanging="357"/>
        <w:contextualSpacing w:val="0"/>
      </w:pPr>
      <w:r w:rsidRPr="00AA74F5">
        <w:t xml:space="preserve">reduction in the proposed effective price of </w:t>
      </w:r>
      <w:proofErr w:type="spellStart"/>
      <w:r w:rsidRPr="00AA74F5">
        <w:t>selinexor</w:t>
      </w:r>
      <w:proofErr w:type="spellEnd"/>
      <w:r w:rsidRPr="00AA74F5">
        <w:t xml:space="preserve"> by </w:t>
      </w:r>
      <w:r w:rsidR="00992522" w:rsidRPr="00964E38">
        <w:rPr>
          <w:color w:val="000000"/>
          <w:w w:val="15"/>
          <w:shd w:val="solid" w:color="000000" w:fill="000000"/>
          <w:fitText w:val="-20" w:id="-1504991474"/>
          <w14:textFill>
            <w14:solidFill>
              <w14:srgbClr w14:val="000000">
                <w14:alpha w14:val="100000"/>
              </w14:srgbClr>
            </w14:solidFill>
          </w14:textFill>
        </w:rPr>
        <w:t xml:space="preserve">| </w:t>
      </w:r>
      <w:r w:rsidR="00AA74F5" w:rsidRPr="00964E38">
        <w:rPr>
          <w:color w:val="000000"/>
          <w:w w:val="15"/>
          <w:shd w:val="solid" w:color="000000" w:fill="000000"/>
          <w:fitText w:val="-20" w:id="-1504991474"/>
          <w14:textFill>
            <w14:solidFill>
              <w14:srgbClr w14:val="000000">
                <w14:alpha w14:val="100000"/>
              </w14:srgbClr>
            </w14:solidFill>
          </w14:textFill>
        </w:rPr>
        <w:t xml:space="preserve">                               </w:t>
      </w:r>
      <w:r w:rsidR="00992522" w:rsidRPr="00964E38">
        <w:rPr>
          <w:color w:val="000000"/>
          <w:w w:val="15"/>
          <w:shd w:val="solid" w:color="000000" w:fill="000000"/>
          <w:fitText w:val="-20" w:id="-1504991474"/>
          <w14:textFill>
            <w14:solidFill>
              <w14:srgbClr w14:val="000000">
                <w14:alpha w14:val="100000"/>
              </w14:srgbClr>
            </w14:solidFill>
          </w14:textFill>
        </w:rPr>
        <w:t xml:space="preserve"> </w:t>
      </w:r>
      <w:r w:rsidR="00992522" w:rsidRPr="00964E38">
        <w:rPr>
          <w:color w:val="000000"/>
          <w:spacing w:val="-319"/>
          <w:w w:val="15"/>
          <w:shd w:val="solid" w:color="000000" w:fill="000000"/>
          <w:fitText w:val="-20" w:id="-1504991474"/>
          <w14:textFill>
            <w14:solidFill>
              <w14:srgbClr w14:val="000000">
                <w14:alpha w14:val="100000"/>
              </w14:srgbClr>
            </w14:solidFill>
          </w14:textFill>
        </w:rPr>
        <w:t>|</w:t>
      </w:r>
      <w:r w:rsidRPr="00AA74F5">
        <w:t>%</w:t>
      </w:r>
      <w:r w:rsidR="003E2255" w:rsidRPr="00AA74F5">
        <w:t>.</w:t>
      </w:r>
    </w:p>
    <w:p w14:paraId="07FFE7D2" w14:textId="58DB951E" w:rsidR="00BF0B39" w:rsidRPr="009E4EB8" w:rsidRDefault="004D7753" w:rsidP="0095612C">
      <w:pPr>
        <w:pStyle w:val="3-BodyText"/>
        <w:rPr>
          <w:bCs/>
        </w:rPr>
      </w:pPr>
      <w:r w:rsidRPr="009E4EB8">
        <w:rPr>
          <w:bCs/>
        </w:rPr>
        <w:t xml:space="preserve">The ESC considered that the changes to the model </w:t>
      </w:r>
      <w:r w:rsidR="00BF0B39" w:rsidRPr="009E4EB8">
        <w:rPr>
          <w:bCs/>
        </w:rPr>
        <w:t>(paragraph 6.</w:t>
      </w:r>
      <w:r w:rsidR="008C5B55" w:rsidRPr="009E4EB8">
        <w:rPr>
          <w:bCs/>
        </w:rPr>
        <w:t>38</w:t>
      </w:r>
      <w:r w:rsidR="005114AF" w:rsidRPr="009E4EB8">
        <w:rPr>
          <w:bCs/>
        </w:rPr>
        <w:t xml:space="preserve">) </w:t>
      </w:r>
      <w:r w:rsidRPr="009E4EB8">
        <w:rPr>
          <w:bCs/>
        </w:rPr>
        <w:t xml:space="preserve">were </w:t>
      </w:r>
      <w:r w:rsidR="005114AF" w:rsidRPr="009E4EB8">
        <w:rPr>
          <w:bCs/>
        </w:rPr>
        <w:t xml:space="preserve">consistent with the July 2021 PBAC advice, </w:t>
      </w:r>
      <w:proofErr w:type="gramStart"/>
      <w:r w:rsidR="005114AF" w:rsidRPr="009E4EB8">
        <w:rPr>
          <w:bCs/>
        </w:rPr>
        <w:t>with the exception of</w:t>
      </w:r>
      <w:proofErr w:type="gramEnd"/>
      <w:r w:rsidR="005114AF" w:rsidRPr="009E4EB8">
        <w:rPr>
          <w:bCs/>
        </w:rPr>
        <w:t xml:space="preserve"> PBAC’s advice concerning inclusion of post-progression costs which was not adopted in the resubmission’s base case.</w:t>
      </w:r>
      <w:r w:rsidR="007102B6" w:rsidRPr="009E4EB8">
        <w:rPr>
          <w:bCs/>
        </w:rPr>
        <w:t xml:space="preserve"> </w:t>
      </w:r>
      <w:r w:rsidR="00BF0B39" w:rsidRPr="009E4EB8">
        <w:rPr>
          <w:bCs/>
        </w:rPr>
        <w:t>The ESC noted that post-progression costs were considered in a sensitivity analysis (see paragraph 6.4</w:t>
      </w:r>
      <w:r w:rsidR="008A6166" w:rsidRPr="009E4EB8">
        <w:rPr>
          <w:bCs/>
        </w:rPr>
        <w:t>7</w:t>
      </w:r>
      <w:r w:rsidR="00BF0B39" w:rsidRPr="009E4EB8">
        <w:rPr>
          <w:bCs/>
        </w:rPr>
        <w:t xml:space="preserve">).  </w:t>
      </w:r>
    </w:p>
    <w:p w14:paraId="52F9F0ED" w14:textId="7AF48FC3" w:rsidR="00106011" w:rsidRPr="009E4EB8" w:rsidRDefault="00106011" w:rsidP="00106011">
      <w:pPr>
        <w:pStyle w:val="3-BodyText"/>
        <w:rPr>
          <w:b/>
          <w:bCs/>
          <w:color w:val="0066FF"/>
        </w:rPr>
      </w:pPr>
      <w:r w:rsidRPr="009E4EB8">
        <w:t xml:space="preserve">The economic model included three mutually exclusive health states (progression-free, progressive disease and death) that </w:t>
      </w:r>
      <w:r w:rsidR="00851D0C" w:rsidRPr="009E4EB8">
        <w:t>were</w:t>
      </w:r>
      <w:r w:rsidRPr="009E4EB8">
        <w:t xml:space="preserve"> modelled using the PFS and OS outcomes from STORM and MAMMOTH. </w:t>
      </w:r>
      <w:r w:rsidRPr="009E4EB8">
        <w:rPr>
          <w:iCs/>
        </w:rPr>
        <w:t xml:space="preserve">The July 2021 PBAC Meeting </w:t>
      </w:r>
      <w:r w:rsidR="00640A47">
        <w:rPr>
          <w:iCs/>
        </w:rPr>
        <w:t>PSD</w:t>
      </w:r>
      <w:r w:rsidR="00640A47" w:rsidRPr="009E4EB8">
        <w:rPr>
          <w:iCs/>
        </w:rPr>
        <w:t xml:space="preserve"> </w:t>
      </w:r>
      <w:r w:rsidRPr="009E4EB8">
        <w:rPr>
          <w:iCs/>
        </w:rPr>
        <w:t>stated that</w:t>
      </w:r>
      <w:r w:rsidRPr="009E4EB8">
        <w:t xml:space="preserve"> </w:t>
      </w:r>
      <w:r w:rsidRPr="009E4EB8">
        <w:rPr>
          <w:iCs/>
        </w:rPr>
        <w:t>“PSAs rely on the within-trial relationship between non-mutually exclusive survival curves to determine health state membership. The use of different sources to derive the OS and PFS curves for the Sd and DCEP arms means that the relationship between the OS and PFS curves may be due to differences between the different studies. Thus, the use of this model structure was inherently uncertain.</w:t>
      </w:r>
      <w:r w:rsidR="005F12E5" w:rsidRPr="009E4EB8">
        <w:rPr>
          <w:iCs/>
        </w:rPr>
        <w:t>”</w:t>
      </w:r>
    </w:p>
    <w:p w14:paraId="023A74E4" w14:textId="54DE436C" w:rsidR="00C91BA1" w:rsidRPr="009E4EB8" w:rsidRDefault="00C27655" w:rsidP="00C91BA1">
      <w:pPr>
        <w:pStyle w:val="3-BodyText"/>
      </w:pPr>
      <w:r w:rsidRPr="009E4EB8">
        <w:t xml:space="preserve">The results of the KM outcomes </w:t>
      </w:r>
      <w:r w:rsidR="00B93691" w:rsidRPr="009E4EB8">
        <w:t xml:space="preserve">and </w:t>
      </w:r>
      <w:r w:rsidRPr="009E4EB8">
        <w:t>the parametric function</w:t>
      </w:r>
      <w:r w:rsidR="00FC29A9" w:rsidRPr="009E4EB8">
        <w:t>s</w:t>
      </w:r>
      <w:r w:rsidRPr="009E4EB8">
        <w:t xml:space="preserve"> used in the economic model for </w:t>
      </w:r>
      <w:r w:rsidR="00B93691" w:rsidRPr="009E4EB8">
        <w:t xml:space="preserve">OS (Sd and DCEP), PFS (Sd) and </w:t>
      </w:r>
      <w:r w:rsidR="00CA42E5" w:rsidRPr="009E4EB8">
        <w:t>time to treatment discontinuation (TTD; Sd)</w:t>
      </w:r>
      <w:r w:rsidRPr="009E4EB8">
        <w:t xml:space="preserve"> are presented in</w:t>
      </w:r>
      <w:r w:rsidR="00141ACE" w:rsidRPr="009E4EB8">
        <w:t xml:space="preserve"> Figure 5</w:t>
      </w:r>
      <w:r w:rsidRPr="009E4EB8">
        <w:t xml:space="preserve">. </w:t>
      </w:r>
      <w:r w:rsidR="00EF413B" w:rsidRPr="009E4EB8">
        <w:t>The</w:t>
      </w:r>
      <w:r w:rsidR="000C592C" w:rsidRPr="009E4EB8">
        <w:t>se</w:t>
      </w:r>
      <w:r w:rsidR="00EF413B" w:rsidRPr="009E4EB8">
        <w:t xml:space="preserve"> results of the KM outcomes and the parametric functions </w:t>
      </w:r>
      <w:r w:rsidR="0004640A" w:rsidRPr="009E4EB8">
        <w:t>remained unchanged from the July 2021 submission</w:t>
      </w:r>
      <w:r w:rsidR="000C592C" w:rsidRPr="009E4EB8">
        <w:t xml:space="preserve"> as they were</w:t>
      </w:r>
      <w:r w:rsidR="00BB23CB" w:rsidRPr="009E4EB8">
        <w:t xml:space="preserve"> </w:t>
      </w:r>
      <w:r w:rsidR="00EF413B" w:rsidRPr="009E4EB8">
        <w:t>based on the same clinical data (</w:t>
      </w:r>
      <w:proofErr w:type="gramStart"/>
      <w:r w:rsidR="00EF413B" w:rsidRPr="009E4EB8">
        <w:t>i.e.</w:t>
      </w:r>
      <w:proofErr w:type="gramEnd"/>
      <w:r w:rsidR="00EF413B" w:rsidRPr="009E4EB8">
        <w:t xml:space="preserve"> TCR/PR population of STORM and MAMMOTH). </w:t>
      </w:r>
      <w:r w:rsidR="007102B6" w:rsidRPr="009E4EB8">
        <w:t>In contrast to</w:t>
      </w:r>
      <w:r w:rsidR="00C91BA1" w:rsidRPr="009E4EB8">
        <w:t xml:space="preserve"> the July 2021 submission</w:t>
      </w:r>
      <w:r w:rsidR="007102B6" w:rsidRPr="009E4EB8">
        <w:t>,</w:t>
      </w:r>
      <w:r w:rsidR="00C91BA1" w:rsidRPr="009E4EB8">
        <w:t xml:space="preserve"> the resubmission assumed no treatment benefit of Sd compared to DCEP in terms of PFS (hazard ratio; HR; of 1 for MAMMOTH compared to Sd).</w:t>
      </w:r>
    </w:p>
    <w:p w14:paraId="1597F252" w14:textId="07894721" w:rsidR="002341C9" w:rsidRPr="009E4EB8" w:rsidRDefault="00E54DA9" w:rsidP="005304FD">
      <w:pPr>
        <w:pStyle w:val="3-BodyText"/>
        <w:rPr>
          <w:color w:val="0066FF"/>
        </w:rPr>
      </w:pPr>
      <w:r w:rsidRPr="009E4EB8">
        <w:t>There were no changes to the way in which parametric survival curve</w:t>
      </w:r>
      <w:r w:rsidR="008C74FA" w:rsidRPr="009E4EB8">
        <w:t>s</w:t>
      </w:r>
      <w:r w:rsidRPr="009E4EB8">
        <w:t xml:space="preserve"> were selected for the extrapolation of the various survival cur</w:t>
      </w:r>
      <w:r w:rsidR="008C74FA" w:rsidRPr="009E4EB8">
        <w:t>v</w:t>
      </w:r>
      <w:r w:rsidRPr="009E4EB8">
        <w:t xml:space="preserve">es, </w:t>
      </w:r>
      <w:r w:rsidR="00851D0C" w:rsidRPr="009E4EB8">
        <w:t xml:space="preserve">compared with </w:t>
      </w:r>
      <w:r w:rsidRPr="009E4EB8">
        <w:t>the July 2021 submission</w:t>
      </w:r>
      <w:r w:rsidR="00FC29A9" w:rsidRPr="009E4EB8">
        <w:t>.</w:t>
      </w:r>
      <w:r w:rsidR="00B0447A" w:rsidRPr="009E4EB8">
        <w:t xml:space="preserve"> </w:t>
      </w:r>
      <w:r w:rsidRPr="009E4EB8">
        <w:t xml:space="preserve">However, OS convergence was assumed from 48 to 60 months which was applied over these extrapolation methods. </w:t>
      </w:r>
      <w:r w:rsidRPr="009E4EB8">
        <w:rPr>
          <w:iCs/>
        </w:rPr>
        <w:t xml:space="preserve">The convergence of the OS curves was introduced in the resubmission to address the PBAC’s previous consideration that the modelled survival benefits was optimistic and not reasonable (Para. 7.11, Selinexor (TCR/PR), PBAC </w:t>
      </w:r>
      <w:r w:rsidR="00640A47">
        <w:rPr>
          <w:iCs/>
        </w:rPr>
        <w:t>PSD</w:t>
      </w:r>
      <w:r w:rsidRPr="009E4EB8">
        <w:rPr>
          <w:iCs/>
        </w:rPr>
        <w:t xml:space="preserve">, July 2021 PBAC Meeting). </w:t>
      </w:r>
    </w:p>
    <w:p w14:paraId="37C394E4" w14:textId="7D120C90" w:rsidR="003303FF" w:rsidRPr="009E4EB8" w:rsidRDefault="003303FF" w:rsidP="00F221DA">
      <w:pPr>
        <w:pStyle w:val="Caption"/>
        <w:keepNext/>
        <w:shd w:val="clear" w:color="auto" w:fill="C6D9F1" w:themeFill="text2" w:themeFillTint="33"/>
        <w:spacing w:after="0"/>
        <w:rPr>
          <w:rFonts w:ascii="Arial Narrow" w:hAnsi="Arial Narrow"/>
          <w:color w:val="auto"/>
          <w:sz w:val="20"/>
          <w:szCs w:val="20"/>
        </w:rPr>
      </w:pPr>
      <w:bookmarkStart w:id="65" w:name="_Ref91074886"/>
      <w:r w:rsidRPr="009E4EB8">
        <w:rPr>
          <w:rFonts w:ascii="Arial Narrow" w:hAnsi="Arial Narrow"/>
          <w:color w:val="auto"/>
          <w:sz w:val="20"/>
          <w:szCs w:val="20"/>
        </w:rPr>
        <w:t xml:space="preserve">Figure </w:t>
      </w:r>
      <w:r w:rsidRPr="009E4EB8">
        <w:rPr>
          <w:rFonts w:ascii="Arial Narrow" w:hAnsi="Arial Narrow"/>
          <w:color w:val="auto"/>
          <w:sz w:val="20"/>
          <w:szCs w:val="20"/>
        </w:rPr>
        <w:fldChar w:fldCharType="begin"/>
      </w:r>
      <w:r w:rsidRPr="009E4EB8">
        <w:rPr>
          <w:rFonts w:ascii="Arial Narrow" w:hAnsi="Arial Narrow"/>
          <w:color w:val="auto"/>
          <w:sz w:val="20"/>
          <w:szCs w:val="20"/>
        </w:rPr>
        <w:instrText xml:space="preserve"> SEQ Figure \* ARABIC </w:instrText>
      </w:r>
      <w:r w:rsidRPr="009E4EB8">
        <w:rPr>
          <w:rFonts w:ascii="Arial Narrow" w:hAnsi="Arial Narrow"/>
          <w:color w:val="auto"/>
          <w:sz w:val="20"/>
          <w:szCs w:val="20"/>
        </w:rPr>
        <w:fldChar w:fldCharType="separate"/>
      </w:r>
      <w:r w:rsidR="00964E38">
        <w:rPr>
          <w:rFonts w:ascii="Arial Narrow" w:hAnsi="Arial Narrow"/>
          <w:noProof/>
          <w:color w:val="auto"/>
          <w:sz w:val="20"/>
          <w:szCs w:val="20"/>
        </w:rPr>
        <w:t>5</w:t>
      </w:r>
      <w:r w:rsidRPr="009E4EB8">
        <w:rPr>
          <w:rFonts w:ascii="Arial Narrow" w:hAnsi="Arial Narrow"/>
          <w:color w:val="auto"/>
          <w:sz w:val="20"/>
          <w:szCs w:val="20"/>
        </w:rPr>
        <w:fldChar w:fldCharType="end"/>
      </w:r>
      <w:bookmarkEnd w:id="65"/>
      <w:r w:rsidRPr="009E4EB8">
        <w:rPr>
          <w:rFonts w:ascii="Arial Narrow" w:hAnsi="Arial Narrow"/>
          <w:color w:val="auto"/>
          <w:sz w:val="20"/>
          <w:szCs w:val="20"/>
        </w:rPr>
        <w:t xml:space="preserve">: </w:t>
      </w:r>
      <w:r w:rsidR="00463E98" w:rsidRPr="009E4EB8">
        <w:rPr>
          <w:rFonts w:ascii="Arial Narrow" w:hAnsi="Arial Narrow"/>
          <w:color w:val="auto"/>
          <w:sz w:val="20"/>
          <w:szCs w:val="20"/>
        </w:rPr>
        <w:t>KM and parametric function</w:t>
      </w:r>
      <w:r w:rsidR="001042F9" w:rsidRPr="009E4EB8">
        <w:rPr>
          <w:rFonts w:ascii="Arial Narrow" w:hAnsi="Arial Narrow"/>
          <w:color w:val="auto"/>
          <w:sz w:val="20"/>
          <w:szCs w:val="20"/>
        </w:rPr>
        <w:t>s</w:t>
      </w:r>
      <w:r w:rsidR="00463E98" w:rsidRPr="009E4EB8">
        <w:rPr>
          <w:rFonts w:ascii="Arial Narrow" w:hAnsi="Arial Narrow"/>
          <w:color w:val="auto"/>
          <w:sz w:val="20"/>
          <w:szCs w:val="20"/>
        </w:rPr>
        <w:t xml:space="preserve"> used in the economic model for OS, PFS and TTD </w:t>
      </w:r>
    </w:p>
    <w:p w14:paraId="72A34FCD" w14:textId="427AA455" w:rsidR="001042F9" w:rsidRPr="009E4EB8" w:rsidRDefault="00CF11F7" w:rsidP="00163534">
      <w:pPr>
        <w:jc w:val="center"/>
      </w:pPr>
      <w:r w:rsidRPr="009E4EB8">
        <w:rPr>
          <w:noProof/>
        </w:rPr>
        <w:drawing>
          <wp:inline distT="0" distB="0" distL="0" distR="0" wp14:anchorId="4454AD5F" wp14:editId="6D5A5550">
            <wp:extent cx="3960000" cy="2784170"/>
            <wp:effectExtent l="0" t="0" r="2540" b="0"/>
            <wp:docPr id="12" name="Picture 12" descr="Figure 5: KM and parametric functions used in the economic model for OS, PFS and TT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5: KM and parametric functions used in the economic model for OS, PFS and TT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0000" cy="2784170"/>
                    </a:xfrm>
                    <a:prstGeom prst="rect">
                      <a:avLst/>
                    </a:prstGeom>
                    <a:noFill/>
                  </pic:spPr>
                </pic:pic>
              </a:graphicData>
            </a:graphic>
          </wp:inline>
        </w:drawing>
      </w:r>
    </w:p>
    <w:p w14:paraId="5A589808" w14:textId="77777777" w:rsidR="000C2E6A" w:rsidRPr="009E4EB8" w:rsidRDefault="000C2E6A" w:rsidP="000C2E6A">
      <w:pPr>
        <w:keepNext/>
        <w:rPr>
          <w:rFonts w:ascii="Arial Narrow" w:hAnsi="Arial Narrow"/>
          <w:color w:val="000000" w:themeColor="text1"/>
          <w:sz w:val="18"/>
          <w:szCs w:val="18"/>
        </w:rPr>
      </w:pPr>
      <w:r w:rsidRPr="009E4EB8">
        <w:rPr>
          <w:rFonts w:ascii="Arial Narrow" w:hAnsi="Arial Narrow"/>
          <w:color w:val="000000" w:themeColor="text1"/>
          <w:sz w:val="18"/>
          <w:szCs w:val="18"/>
        </w:rPr>
        <w:t>Source: Developed during the evaluation based on the economic Excel model.</w:t>
      </w:r>
    </w:p>
    <w:p w14:paraId="13CD4340" w14:textId="5B74EA1D" w:rsidR="000C2E6A" w:rsidRPr="009E4EB8" w:rsidRDefault="004007E6" w:rsidP="000C2E6A">
      <w:pPr>
        <w:keepNext/>
        <w:rPr>
          <w:rFonts w:ascii="Arial Narrow" w:hAnsi="Arial Narrow"/>
          <w:color w:val="000000" w:themeColor="text1"/>
          <w:sz w:val="18"/>
          <w:szCs w:val="18"/>
        </w:rPr>
      </w:pPr>
      <w:r w:rsidRPr="009E4EB8">
        <w:rPr>
          <w:rStyle w:val="FontBold"/>
          <w:rFonts w:ascii="Arial Narrow" w:eastAsiaTheme="minorHAnsi" w:hAnsi="Arial Narrow"/>
          <w:b w:val="0"/>
          <w:sz w:val="18"/>
          <w:szCs w:val="18"/>
        </w:rPr>
        <w:t xml:space="preserve">Abbreviations: </w:t>
      </w:r>
      <w:r w:rsidR="000C2E6A" w:rsidRPr="009E4EB8">
        <w:rPr>
          <w:rStyle w:val="FontBold"/>
          <w:rFonts w:ascii="Arial Narrow" w:eastAsiaTheme="minorHAnsi" w:hAnsi="Arial Narrow"/>
          <w:b w:val="0"/>
          <w:sz w:val="18"/>
          <w:szCs w:val="18"/>
        </w:rPr>
        <w:t xml:space="preserve">DCEP = dexamethasone + cyclophosphamide + etoposide + cisplatin; KM = Kaplan-Meier; OS = overall survival; PFS = progression free survival; TTD = time to treatment discontinuation; Sd = selinexor + dexamethasone </w:t>
      </w:r>
    </w:p>
    <w:p w14:paraId="2F47CE00" w14:textId="77777777" w:rsidR="00D376BC" w:rsidRPr="009E4EB8" w:rsidRDefault="000C2E6A" w:rsidP="00D376BC">
      <w:r w:rsidRPr="009E4EB8">
        <w:rPr>
          <w:rFonts w:ascii="Arial Narrow" w:hAnsi="Arial Narrow"/>
          <w:color w:val="000000" w:themeColor="text1"/>
          <w:sz w:val="18"/>
          <w:szCs w:val="18"/>
        </w:rPr>
        <w:t>Note: KM curve of PFS and TTD were excluded in this chart due to visibility reason.</w:t>
      </w:r>
      <w:r w:rsidR="00D376BC" w:rsidRPr="009E4EB8">
        <w:t xml:space="preserve"> </w:t>
      </w:r>
    </w:p>
    <w:p w14:paraId="42AFE072" w14:textId="387A5FE8" w:rsidR="00D376BC" w:rsidRPr="009E4EB8" w:rsidRDefault="00D376BC" w:rsidP="000C2E6A">
      <w:pPr>
        <w:spacing w:after="240"/>
        <w:rPr>
          <w:rFonts w:ascii="Arial Narrow" w:hAnsi="Arial Narrow"/>
          <w:color w:val="000000" w:themeColor="text1"/>
          <w:sz w:val="18"/>
          <w:szCs w:val="18"/>
        </w:rPr>
      </w:pPr>
      <w:r w:rsidRPr="009E4EB8">
        <w:rPr>
          <w:rFonts w:ascii="Arial Narrow" w:hAnsi="Arial Narrow"/>
          <w:color w:val="000000" w:themeColor="text1"/>
          <w:sz w:val="18"/>
          <w:szCs w:val="18"/>
        </w:rPr>
        <w:t xml:space="preserve">Blue shading denotes figure inputs remain unchanged from the </w:t>
      </w:r>
      <w:r w:rsidR="004E0D00" w:rsidRPr="009E4EB8">
        <w:rPr>
          <w:rFonts w:ascii="Arial Narrow" w:hAnsi="Arial Narrow"/>
          <w:color w:val="000000" w:themeColor="text1"/>
          <w:sz w:val="18"/>
          <w:szCs w:val="18"/>
        </w:rPr>
        <w:t xml:space="preserve">PBAC </w:t>
      </w:r>
      <w:r w:rsidR="006503C6">
        <w:rPr>
          <w:rFonts w:ascii="Arial Narrow" w:hAnsi="Arial Narrow"/>
          <w:color w:val="000000" w:themeColor="text1"/>
          <w:sz w:val="18"/>
          <w:szCs w:val="18"/>
        </w:rPr>
        <w:t>Minutes</w:t>
      </w:r>
      <w:r w:rsidR="004E0D00" w:rsidRPr="009E4EB8">
        <w:rPr>
          <w:rFonts w:ascii="Arial Narrow" w:hAnsi="Arial Narrow"/>
          <w:color w:val="000000" w:themeColor="text1"/>
          <w:sz w:val="18"/>
          <w:szCs w:val="18"/>
        </w:rPr>
        <w:t xml:space="preserve">, </w:t>
      </w:r>
      <w:r w:rsidRPr="009E4EB8">
        <w:rPr>
          <w:rFonts w:ascii="Arial Narrow" w:hAnsi="Arial Narrow"/>
          <w:color w:val="000000" w:themeColor="text1"/>
          <w:sz w:val="18"/>
          <w:szCs w:val="18"/>
        </w:rPr>
        <w:t xml:space="preserve">July 2021 </w:t>
      </w:r>
      <w:r w:rsidR="003329B5" w:rsidRPr="009E4EB8">
        <w:rPr>
          <w:rFonts w:ascii="Arial Narrow" w:hAnsi="Arial Narrow"/>
          <w:color w:val="000000" w:themeColor="text1"/>
          <w:sz w:val="18"/>
          <w:szCs w:val="18"/>
        </w:rPr>
        <w:t xml:space="preserve">PBAC </w:t>
      </w:r>
      <w:r w:rsidR="004E0D00" w:rsidRPr="009E4EB8">
        <w:rPr>
          <w:rFonts w:ascii="Arial Narrow" w:hAnsi="Arial Narrow"/>
          <w:color w:val="000000" w:themeColor="text1"/>
          <w:sz w:val="18"/>
          <w:szCs w:val="18"/>
        </w:rPr>
        <w:t xml:space="preserve">Meeting </w:t>
      </w:r>
    </w:p>
    <w:p w14:paraId="1C914C88" w14:textId="2A5163AB" w:rsidR="00860F20" w:rsidRPr="009E4EB8" w:rsidRDefault="00860F20" w:rsidP="00587FEC">
      <w:pPr>
        <w:rPr>
          <w:color w:val="0066FF"/>
        </w:rPr>
      </w:pPr>
    </w:p>
    <w:p w14:paraId="03445A99" w14:textId="488FFB95" w:rsidR="005304FD" w:rsidRPr="009E4EB8" w:rsidRDefault="00DF201F" w:rsidP="005304FD">
      <w:pPr>
        <w:pStyle w:val="3-BodyText"/>
      </w:pPr>
      <w:r w:rsidRPr="009E4EB8">
        <w:t>A summary of the key drivers of the model is presen</w:t>
      </w:r>
      <w:r w:rsidRPr="009E4EB8">
        <w:rPr>
          <w:rFonts w:cstheme="minorHAnsi"/>
        </w:rPr>
        <w:t>ted in</w:t>
      </w:r>
      <w:r w:rsidR="00702A4A" w:rsidRPr="009E4EB8">
        <w:rPr>
          <w:rFonts w:cstheme="minorHAnsi"/>
        </w:rPr>
        <w:t xml:space="preserve"> </w:t>
      </w:r>
      <w:r w:rsidR="006C2945" w:rsidRPr="009E4EB8">
        <w:rPr>
          <w:rFonts w:cstheme="minorHAnsi"/>
        </w:rPr>
        <w:t>Table 11</w:t>
      </w:r>
      <w:r w:rsidR="00702A4A" w:rsidRPr="009E4EB8">
        <w:rPr>
          <w:rFonts w:cstheme="minorHAnsi"/>
        </w:rPr>
        <w:t>.</w:t>
      </w:r>
    </w:p>
    <w:p w14:paraId="70544019" w14:textId="2C608B59" w:rsidR="005304FD" w:rsidRPr="009E4EB8" w:rsidRDefault="00702A4A" w:rsidP="00A72F33">
      <w:pPr>
        <w:pStyle w:val="Caption"/>
        <w:keepNext/>
        <w:keepLines/>
        <w:spacing w:after="0"/>
        <w:jc w:val="left"/>
        <w:rPr>
          <w:rStyle w:val="CommentReference"/>
          <w:b/>
          <w:bCs w:val="0"/>
          <w:color w:val="auto"/>
          <w:szCs w:val="20"/>
        </w:rPr>
      </w:pPr>
      <w:bookmarkStart w:id="66" w:name="_Ref91076247"/>
      <w:r w:rsidRPr="009E4EB8">
        <w:rPr>
          <w:rFonts w:ascii="Arial Narrow" w:hAnsi="Arial Narrow"/>
          <w:color w:val="auto"/>
          <w:sz w:val="20"/>
          <w:szCs w:val="20"/>
        </w:rPr>
        <w:t xml:space="preserve">Table </w:t>
      </w:r>
      <w:r w:rsidRPr="009E4EB8">
        <w:rPr>
          <w:rFonts w:ascii="Arial Narrow" w:hAnsi="Arial Narrow"/>
          <w:color w:val="auto"/>
          <w:sz w:val="20"/>
          <w:szCs w:val="20"/>
        </w:rPr>
        <w:fldChar w:fldCharType="begin"/>
      </w:r>
      <w:r w:rsidRPr="009E4EB8">
        <w:rPr>
          <w:rFonts w:ascii="Arial Narrow" w:hAnsi="Arial Narrow"/>
          <w:color w:val="auto"/>
          <w:sz w:val="20"/>
          <w:szCs w:val="20"/>
        </w:rPr>
        <w:instrText xml:space="preserve"> SEQ Table \* ARABIC </w:instrText>
      </w:r>
      <w:r w:rsidRPr="009E4EB8">
        <w:rPr>
          <w:rFonts w:ascii="Arial Narrow" w:hAnsi="Arial Narrow"/>
          <w:color w:val="auto"/>
          <w:sz w:val="20"/>
          <w:szCs w:val="20"/>
        </w:rPr>
        <w:fldChar w:fldCharType="separate"/>
      </w:r>
      <w:r w:rsidR="00964E38">
        <w:rPr>
          <w:rFonts w:ascii="Arial Narrow" w:hAnsi="Arial Narrow"/>
          <w:noProof/>
          <w:color w:val="auto"/>
          <w:sz w:val="20"/>
          <w:szCs w:val="20"/>
        </w:rPr>
        <w:t>11</w:t>
      </w:r>
      <w:r w:rsidRPr="009E4EB8">
        <w:rPr>
          <w:rFonts w:ascii="Arial Narrow" w:hAnsi="Arial Narrow"/>
          <w:color w:val="auto"/>
          <w:sz w:val="20"/>
          <w:szCs w:val="20"/>
        </w:rPr>
        <w:fldChar w:fldCharType="end"/>
      </w:r>
      <w:bookmarkEnd w:id="66"/>
      <w:r w:rsidRPr="009E4EB8">
        <w:rPr>
          <w:rFonts w:ascii="Arial Narrow" w:hAnsi="Arial Narrow"/>
          <w:color w:val="auto"/>
          <w:sz w:val="20"/>
          <w:szCs w:val="20"/>
        </w:rPr>
        <w:t>:</w:t>
      </w:r>
      <w:r w:rsidR="005304FD" w:rsidRPr="009E4EB8">
        <w:rPr>
          <w:rStyle w:val="CommentReference"/>
          <w:b/>
          <w:bCs w:val="0"/>
          <w:color w:val="auto"/>
          <w:szCs w:val="20"/>
        </w:rPr>
        <w:t xml:space="preserve"> Key drivers of the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3"/>
        <w:gridCol w:w="4475"/>
        <w:gridCol w:w="3149"/>
      </w:tblGrid>
      <w:tr w:rsidR="005304FD" w:rsidRPr="009E4EB8" w14:paraId="615856B3" w14:textId="77777777" w:rsidTr="00A75797">
        <w:trPr>
          <w:tblHeader/>
        </w:trPr>
        <w:tc>
          <w:tcPr>
            <w:tcW w:w="0" w:type="auto"/>
            <w:shd w:val="clear" w:color="auto" w:fill="auto"/>
            <w:vAlign w:val="center"/>
          </w:tcPr>
          <w:p w14:paraId="6B2BF8D7" w14:textId="77777777" w:rsidR="005304FD" w:rsidRPr="009E4EB8" w:rsidRDefault="005304FD" w:rsidP="00A72F33">
            <w:pPr>
              <w:pStyle w:val="In-tableHeading"/>
              <w:keepLines/>
              <w:jc w:val="center"/>
              <w:rPr>
                <w:lang w:val="en-AU"/>
              </w:rPr>
            </w:pPr>
            <w:r w:rsidRPr="009E4EB8">
              <w:rPr>
                <w:lang w:val="en-AU"/>
              </w:rPr>
              <w:t>Description</w:t>
            </w:r>
          </w:p>
        </w:tc>
        <w:tc>
          <w:tcPr>
            <w:tcW w:w="0" w:type="auto"/>
            <w:shd w:val="clear" w:color="auto" w:fill="auto"/>
            <w:vAlign w:val="center"/>
          </w:tcPr>
          <w:p w14:paraId="10F64752" w14:textId="77777777" w:rsidR="005304FD" w:rsidRPr="009E4EB8" w:rsidRDefault="005304FD" w:rsidP="00A72F33">
            <w:pPr>
              <w:pStyle w:val="In-tableHeading"/>
              <w:keepLines/>
              <w:jc w:val="center"/>
              <w:rPr>
                <w:lang w:val="en-AU"/>
              </w:rPr>
            </w:pPr>
            <w:r w:rsidRPr="009E4EB8">
              <w:rPr>
                <w:lang w:val="en-AU"/>
              </w:rPr>
              <w:t>Method/Value</w:t>
            </w:r>
          </w:p>
        </w:tc>
        <w:tc>
          <w:tcPr>
            <w:tcW w:w="0" w:type="auto"/>
            <w:shd w:val="clear" w:color="auto" w:fill="auto"/>
            <w:vAlign w:val="center"/>
          </w:tcPr>
          <w:p w14:paraId="531AC7F7" w14:textId="77777777" w:rsidR="005304FD" w:rsidRPr="009E4EB8" w:rsidRDefault="005304FD" w:rsidP="00A72F33">
            <w:pPr>
              <w:pStyle w:val="In-tableHeading"/>
              <w:keepLines/>
              <w:jc w:val="center"/>
              <w:rPr>
                <w:lang w:val="en-AU"/>
              </w:rPr>
            </w:pPr>
            <w:r w:rsidRPr="009E4EB8">
              <w:rPr>
                <w:lang w:val="en-AU"/>
              </w:rPr>
              <w:t>Impact</w:t>
            </w:r>
          </w:p>
          <w:p w14:paraId="45762AE4" w14:textId="76AFB3EF" w:rsidR="005304FD" w:rsidRPr="009E4EB8" w:rsidRDefault="005304FD" w:rsidP="00A72F33">
            <w:pPr>
              <w:pStyle w:val="In-tableHeading"/>
              <w:keepLines/>
              <w:jc w:val="center"/>
              <w:rPr>
                <w:lang w:val="en-AU"/>
              </w:rPr>
            </w:pPr>
            <w:r w:rsidRPr="009E4EB8">
              <w:rPr>
                <w:rFonts w:cs="Arial"/>
                <w:szCs w:val="20"/>
                <w:lang w:val="en-AU"/>
              </w:rPr>
              <w:t>Base case: $</w:t>
            </w:r>
            <w:r w:rsidR="00992522" w:rsidRPr="00992522">
              <w:rPr>
                <w:rFonts w:cs="Arial"/>
                <w:color w:val="000000"/>
                <w:szCs w:val="20"/>
                <w:shd w:val="solid" w:color="000000" w:fill="000000"/>
                <w:lang w:val="en-AU"/>
                <w14:textFill>
                  <w14:solidFill>
                    <w14:srgbClr w14:val="000000">
                      <w14:alpha w14:val="100000"/>
                    </w14:srgbClr>
                  </w14:solidFill>
                </w14:textFill>
              </w:rPr>
              <w:t>|</w:t>
            </w:r>
            <w:r w:rsidR="000D6911">
              <w:rPr>
                <w:rFonts w:cs="Arial"/>
                <w:szCs w:val="20"/>
                <w:vertAlign w:val="superscript"/>
                <w:lang w:val="en-AU"/>
              </w:rPr>
              <w:t>1</w:t>
            </w:r>
            <w:r w:rsidR="00065422" w:rsidRPr="009E4EB8">
              <w:rPr>
                <w:rFonts w:cs="Arial"/>
                <w:szCs w:val="20"/>
                <w:lang w:val="en-AU"/>
              </w:rPr>
              <w:t xml:space="preserve"> per </w:t>
            </w:r>
            <w:r w:rsidRPr="009E4EB8">
              <w:rPr>
                <w:rFonts w:cs="Arial"/>
                <w:szCs w:val="20"/>
                <w:lang w:val="en-AU"/>
              </w:rPr>
              <w:t xml:space="preserve">QALY </w:t>
            </w:r>
          </w:p>
        </w:tc>
      </w:tr>
      <w:tr w:rsidR="005304FD" w:rsidRPr="009E4EB8" w14:paraId="0B974BFB" w14:textId="77777777" w:rsidTr="00A75797">
        <w:tc>
          <w:tcPr>
            <w:tcW w:w="0" w:type="auto"/>
            <w:shd w:val="clear" w:color="auto" w:fill="auto"/>
            <w:vAlign w:val="center"/>
          </w:tcPr>
          <w:p w14:paraId="1503041F" w14:textId="5BC11198" w:rsidR="005304FD" w:rsidRPr="009E4EB8" w:rsidRDefault="005304FD" w:rsidP="00A72F33">
            <w:pPr>
              <w:pStyle w:val="TableText0"/>
              <w:keepLines/>
              <w:jc w:val="center"/>
            </w:pPr>
            <w:r w:rsidRPr="009E4EB8">
              <w:t>Extrapolation</w:t>
            </w:r>
            <w:r w:rsidR="00C13820" w:rsidRPr="009E4EB8">
              <w:t xml:space="preserve"> of OS (Sd)</w:t>
            </w:r>
          </w:p>
        </w:tc>
        <w:tc>
          <w:tcPr>
            <w:tcW w:w="0" w:type="auto"/>
            <w:shd w:val="clear" w:color="auto" w:fill="auto"/>
            <w:vAlign w:val="center"/>
          </w:tcPr>
          <w:p w14:paraId="5B28D644" w14:textId="0F1C1BB0" w:rsidR="005304FD" w:rsidRPr="009E4EB8" w:rsidRDefault="00357953" w:rsidP="00A72F33">
            <w:pPr>
              <w:pStyle w:val="TableText0"/>
              <w:keepLines/>
            </w:pPr>
            <w:r w:rsidRPr="009E4EB8">
              <w:t xml:space="preserve">Log-normal distribution </w:t>
            </w:r>
            <w:r w:rsidRPr="009E4EB8">
              <w:rPr>
                <w:iCs/>
              </w:rPr>
              <w:t>(appropriate based on AIC and BIC criteria; however, data were immature)</w:t>
            </w:r>
          </w:p>
        </w:tc>
        <w:tc>
          <w:tcPr>
            <w:tcW w:w="0" w:type="auto"/>
            <w:shd w:val="clear" w:color="auto" w:fill="auto"/>
            <w:vAlign w:val="center"/>
          </w:tcPr>
          <w:p w14:paraId="76D8B9D9" w14:textId="65B93399" w:rsidR="00CA4BDB" w:rsidRPr="009E4EB8" w:rsidRDefault="005304FD" w:rsidP="00A72F33">
            <w:pPr>
              <w:pStyle w:val="TableText0"/>
              <w:keepLines/>
            </w:pPr>
            <w:r w:rsidRPr="009E4EB8">
              <w:t>High, favours</w:t>
            </w:r>
            <w:r w:rsidR="00CA4BDB" w:rsidRPr="009E4EB8">
              <w:t xml:space="preserve"> </w:t>
            </w:r>
            <w:r w:rsidR="00D97CAE" w:rsidRPr="009E4EB8">
              <w:t>DCEP</w:t>
            </w:r>
          </w:p>
          <w:p w14:paraId="450C8000" w14:textId="27FEA9CD" w:rsidR="005304FD" w:rsidRPr="009E4EB8" w:rsidRDefault="005304FD" w:rsidP="00A72F33">
            <w:pPr>
              <w:pStyle w:val="TableText0"/>
              <w:keepLines/>
              <w:rPr>
                <w:i/>
              </w:rPr>
            </w:pPr>
            <w:r w:rsidRPr="009E4EB8">
              <w:t xml:space="preserve">Use of </w:t>
            </w:r>
            <w:r w:rsidR="006E59F2" w:rsidRPr="009E4EB8">
              <w:t xml:space="preserve">generalized </w:t>
            </w:r>
            <w:r w:rsidR="00596BE1" w:rsidRPr="009E4EB8">
              <w:t>gamma decreased</w:t>
            </w:r>
            <w:r w:rsidR="006E59F2" w:rsidRPr="009E4EB8">
              <w:t xml:space="preserve"> </w:t>
            </w:r>
            <w:r w:rsidRPr="009E4EB8">
              <w:t>the ICER to $</w:t>
            </w:r>
            <w:r w:rsidR="00992522" w:rsidRPr="00992522">
              <w:rPr>
                <w:color w:val="000000"/>
                <w:spacing w:val="53"/>
                <w:shd w:val="solid" w:color="000000" w:fill="000000"/>
                <w:fitText w:val="330" w:id="-1504991473"/>
                <w14:textFill>
                  <w14:solidFill>
                    <w14:srgbClr w14:val="000000">
                      <w14:alpha w14:val="100000"/>
                    </w14:srgbClr>
                  </w14:solidFill>
                </w14:textFill>
              </w:rPr>
              <w:t>|||</w:t>
            </w:r>
            <w:r w:rsidR="00992522" w:rsidRPr="00992522">
              <w:rPr>
                <w:color w:val="000000"/>
                <w:spacing w:val="1"/>
                <w:shd w:val="solid" w:color="000000" w:fill="000000"/>
                <w:fitText w:val="330" w:id="-1504991473"/>
                <w14:textFill>
                  <w14:solidFill>
                    <w14:srgbClr w14:val="000000">
                      <w14:alpha w14:val="100000"/>
                    </w14:srgbClr>
                  </w14:solidFill>
                </w14:textFill>
              </w:rPr>
              <w:t>|</w:t>
            </w:r>
            <w:r w:rsidR="000D6911">
              <w:rPr>
                <w:vertAlign w:val="superscript"/>
              </w:rPr>
              <w:t>2</w:t>
            </w:r>
            <w:r w:rsidR="006E59F2" w:rsidRPr="009E4EB8">
              <w:t xml:space="preserve"> per </w:t>
            </w:r>
            <w:r w:rsidRPr="009E4EB8">
              <w:t>QALY</w:t>
            </w:r>
            <w:r w:rsidR="006E59F2" w:rsidRPr="009E4EB8">
              <w:t xml:space="preserve">. </w:t>
            </w:r>
          </w:p>
        </w:tc>
      </w:tr>
      <w:tr w:rsidR="002931C6" w:rsidRPr="009E4EB8" w14:paraId="72CB26B0" w14:textId="77777777" w:rsidTr="00D041EE">
        <w:tc>
          <w:tcPr>
            <w:tcW w:w="0" w:type="auto"/>
            <w:shd w:val="clear" w:color="auto" w:fill="auto"/>
            <w:vAlign w:val="center"/>
          </w:tcPr>
          <w:p w14:paraId="2C34C109" w14:textId="77777777" w:rsidR="002931C6" w:rsidRPr="009E4EB8" w:rsidRDefault="002931C6" w:rsidP="00A72F33">
            <w:pPr>
              <w:pStyle w:val="TableText0"/>
              <w:keepLines/>
              <w:jc w:val="center"/>
            </w:pPr>
            <w:r w:rsidRPr="009E4EB8">
              <w:t>Dose intensity of Sd</w:t>
            </w:r>
          </w:p>
        </w:tc>
        <w:tc>
          <w:tcPr>
            <w:tcW w:w="0" w:type="auto"/>
            <w:shd w:val="clear" w:color="auto" w:fill="auto"/>
            <w:vAlign w:val="center"/>
          </w:tcPr>
          <w:p w14:paraId="7EDE3C66" w14:textId="0FB5D564" w:rsidR="002931C6" w:rsidRPr="009E4EB8" w:rsidRDefault="00BD203A" w:rsidP="00A72F33">
            <w:pPr>
              <w:pStyle w:val="TableText0"/>
              <w:keepLines/>
            </w:pPr>
            <w:r w:rsidRPr="009E4EB8">
              <w:t xml:space="preserve">Dose </w:t>
            </w:r>
            <w:r w:rsidR="002931C6" w:rsidRPr="009E4EB8">
              <w:t>intensity of 65.4% for selinexor and 80% for dexamethasone, calculated based on the median average dose received per week</w:t>
            </w:r>
          </w:p>
        </w:tc>
        <w:tc>
          <w:tcPr>
            <w:tcW w:w="0" w:type="auto"/>
            <w:shd w:val="clear" w:color="auto" w:fill="auto"/>
            <w:vAlign w:val="center"/>
          </w:tcPr>
          <w:p w14:paraId="2EC015DC" w14:textId="77777777" w:rsidR="002931C6" w:rsidRPr="009E4EB8" w:rsidRDefault="002931C6" w:rsidP="00A72F33">
            <w:pPr>
              <w:pStyle w:val="TableText0"/>
              <w:keepLines/>
            </w:pPr>
            <w:r w:rsidRPr="009E4EB8">
              <w:t>Moderate, favours Sd</w:t>
            </w:r>
          </w:p>
          <w:p w14:paraId="1A1355B1" w14:textId="1930B917" w:rsidR="002931C6" w:rsidRPr="009E4EB8" w:rsidRDefault="002931C6" w:rsidP="00A72F33">
            <w:pPr>
              <w:pStyle w:val="TableText0"/>
              <w:keepLines/>
              <w:rPr>
                <w:i/>
              </w:rPr>
            </w:pPr>
            <w:r w:rsidRPr="009E4EB8">
              <w:t>Use of the mean average dose received per week increased the ICER to $</w:t>
            </w:r>
            <w:r w:rsidR="00992522" w:rsidRPr="00992522">
              <w:rPr>
                <w:color w:val="000000"/>
                <w:spacing w:val="53"/>
                <w:shd w:val="solid" w:color="000000" w:fill="000000"/>
                <w:fitText w:val="330" w:id="-1504991472"/>
                <w14:textFill>
                  <w14:solidFill>
                    <w14:srgbClr w14:val="000000">
                      <w14:alpha w14:val="100000"/>
                    </w14:srgbClr>
                  </w14:solidFill>
                </w14:textFill>
              </w:rPr>
              <w:t>|||</w:t>
            </w:r>
            <w:r w:rsidR="00992522" w:rsidRPr="00992522">
              <w:rPr>
                <w:color w:val="000000"/>
                <w:spacing w:val="1"/>
                <w:shd w:val="solid" w:color="000000" w:fill="000000"/>
                <w:fitText w:val="330" w:id="-1504991472"/>
                <w14:textFill>
                  <w14:solidFill>
                    <w14:srgbClr w14:val="000000">
                      <w14:alpha w14:val="100000"/>
                    </w14:srgbClr>
                  </w14:solidFill>
                </w14:textFill>
              </w:rPr>
              <w:t>|</w:t>
            </w:r>
            <w:r w:rsidR="000D6911">
              <w:rPr>
                <w:rFonts w:cs="Arial"/>
                <w:szCs w:val="20"/>
                <w:vertAlign w:val="superscript"/>
              </w:rPr>
              <w:t>1</w:t>
            </w:r>
            <w:r w:rsidRPr="009E4EB8">
              <w:t xml:space="preserve"> per QALY </w:t>
            </w:r>
          </w:p>
        </w:tc>
      </w:tr>
      <w:tr w:rsidR="0038497E" w:rsidRPr="009E4EB8" w14:paraId="413C9EA5" w14:textId="77777777" w:rsidTr="00A75797">
        <w:tc>
          <w:tcPr>
            <w:tcW w:w="0" w:type="auto"/>
            <w:shd w:val="clear" w:color="auto" w:fill="auto"/>
            <w:vAlign w:val="center"/>
          </w:tcPr>
          <w:p w14:paraId="2CD8A266" w14:textId="1A9FB402" w:rsidR="0038497E" w:rsidRPr="009E4EB8" w:rsidRDefault="0038497E" w:rsidP="00A72F33">
            <w:pPr>
              <w:pStyle w:val="TableText0"/>
              <w:keepLines/>
              <w:jc w:val="center"/>
            </w:pPr>
            <w:r w:rsidRPr="009E4EB8">
              <w:t>Convergence for OS of Sd</w:t>
            </w:r>
          </w:p>
        </w:tc>
        <w:tc>
          <w:tcPr>
            <w:tcW w:w="0" w:type="auto"/>
            <w:shd w:val="clear" w:color="auto" w:fill="auto"/>
            <w:vAlign w:val="center"/>
          </w:tcPr>
          <w:p w14:paraId="0DDADF73" w14:textId="28C25A9D" w:rsidR="0038497E" w:rsidRPr="009E4EB8" w:rsidRDefault="0038497E" w:rsidP="00A72F33">
            <w:pPr>
              <w:pStyle w:val="TableText0"/>
              <w:keepLines/>
            </w:pPr>
            <w:r w:rsidRPr="009E4EB8">
              <w:t>OS convergence was assumed from 48 to 60</w:t>
            </w:r>
            <w:r w:rsidR="005367FA" w:rsidRPr="009E4EB8">
              <w:t> </w:t>
            </w:r>
            <w:r w:rsidRPr="009E4EB8">
              <w:t>months</w:t>
            </w:r>
          </w:p>
        </w:tc>
        <w:tc>
          <w:tcPr>
            <w:tcW w:w="0" w:type="auto"/>
            <w:shd w:val="clear" w:color="auto" w:fill="auto"/>
            <w:vAlign w:val="center"/>
          </w:tcPr>
          <w:p w14:paraId="7AD35101" w14:textId="77777777" w:rsidR="0038497E" w:rsidRPr="009E4EB8" w:rsidRDefault="0038497E" w:rsidP="00A72F33">
            <w:pPr>
              <w:pStyle w:val="TableText0"/>
              <w:keepLines/>
            </w:pPr>
            <w:r w:rsidRPr="009E4EB8">
              <w:t>Moderate, favours DCEP</w:t>
            </w:r>
          </w:p>
          <w:p w14:paraId="20BB01B1" w14:textId="46A39BD0" w:rsidR="0038497E" w:rsidRPr="009E4EB8" w:rsidRDefault="0038497E" w:rsidP="00A72F33">
            <w:pPr>
              <w:pStyle w:val="TableText0"/>
              <w:keepLines/>
              <w:rPr>
                <w:i/>
              </w:rPr>
            </w:pPr>
            <w:r w:rsidRPr="009E4EB8">
              <w:t xml:space="preserve">Applying no </w:t>
            </w:r>
            <w:r w:rsidR="00036921" w:rsidRPr="009E4EB8">
              <w:t>convergence</w:t>
            </w:r>
            <w:r w:rsidRPr="009E4EB8">
              <w:t xml:space="preserve"> decreased the ICER to $</w:t>
            </w:r>
            <w:r w:rsidR="00992522" w:rsidRPr="00992522">
              <w:rPr>
                <w:color w:val="000000"/>
                <w:spacing w:val="53"/>
                <w:shd w:val="solid" w:color="000000" w:fill="000000"/>
                <w:fitText w:val="330" w:id="-1504991488"/>
                <w14:textFill>
                  <w14:solidFill>
                    <w14:srgbClr w14:val="000000">
                      <w14:alpha w14:val="100000"/>
                    </w14:srgbClr>
                  </w14:solidFill>
                </w14:textFill>
              </w:rPr>
              <w:t>|||</w:t>
            </w:r>
            <w:r w:rsidR="00992522" w:rsidRPr="00992522">
              <w:rPr>
                <w:color w:val="000000"/>
                <w:spacing w:val="1"/>
                <w:shd w:val="solid" w:color="000000" w:fill="000000"/>
                <w:fitText w:val="330" w:id="-1504991488"/>
                <w14:textFill>
                  <w14:solidFill>
                    <w14:srgbClr w14:val="000000">
                      <w14:alpha w14:val="100000"/>
                    </w14:srgbClr>
                  </w14:solidFill>
                </w14:textFill>
              </w:rPr>
              <w:t>|</w:t>
            </w:r>
            <w:r w:rsidR="000D6911">
              <w:rPr>
                <w:vertAlign w:val="superscript"/>
              </w:rPr>
              <w:t>2</w:t>
            </w:r>
            <w:r w:rsidRPr="009E4EB8">
              <w:t xml:space="preserve"> per QALY</w:t>
            </w:r>
          </w:p>
        </w:tc>
      </w:tr>
      <w:tr w:rsidR="0038497E" w:rsidRPr="009E4EB8" w14:paraId="05870074" w14:textId="77777777" w:rsidTr="00A75797">
        <w:tc>
          <w:tcPr>
            <w:tcW w:w="0" w:type="auto"/>
            <w:shd w:val="clear" w:color="auto" w:fill="auto"/>
            <w:vAlign w:val="center"/>
          </w:tcPr>
          <w:p w14:paraId="64E8E5C0" w14:textId="7DCE7550" w:rsidR="0038497E" w:rsidRPr="009E4EB8" w:rsidRDefault="0038497E" w:rsidP="00A72F33">
            <w:pPr>
              <w:pStyle w:val="TableText0"/>
              <w:keepLines/>
              <w:jc w:val="center"/>
            </w:pPr>
            <w:r w:rsidRPr="009E4EB8">
              <w:t>Extrapolation of TTD (Sd)</w:t>
            </w:r>
          </w:p>
        </w:tc>
        <w:tc>
          <w:tcPr>
            <w:tcW w:w="0" w:type="auto"/>
            <w:shd w:val="clear" w:color="auto" w:fill="auto"/>
            <w:vAlign w:val="center"/>
          </w:tcPr>
          <w:p w14:paraId="55C2D60F" w14:textId="006C2923" w:rsidR="0038497E" w:rsidRPr="009E4EB8" w:rsidRDefault="0038497E" w:rsidP="00A72F33">
            <w:pPr>
              <w:pStyle w:val="TableText0"/>
              <w:keepLines/>
            </w:pPr>
            <w:r w:rsidRPr="009E4EB8">
              <w:t>Log-normal distribution (choice justified based on alignment with the choice of the log-normal distribution for OS and PFS)</w:t>
            </w:r>
          </w:p>
        </w:tc>
        <w:tc>
          <w:tcPr>
            <w:tcW w:w="0" w:type="auto"/>
            <w:shd w:val="clear" w:color="auto" w:fill="auto"/>
            <w:vAlign w:val="center"/>
          </w:tcPr>
          <w:p w14:paraId="37CDECDA" w14:textId="77777777" w:rsidR="0038497E" w:rsidRPr="009E4EB8" w:rsidRDefault="0038497E" w:rsidP="00A72F33">
            <w:pPr>
              <w:pStyle w:val="TableText0"/>
              <w:keepLines/>
            </w:pPr>
            <w:r w:rsidRPr="009E4EB8">
              <w:t>Moderate, favours DCEP</w:t>
            </w:r>
          </w:p>
          <w:p w14:paraId="2E9AD917" w14:textId="29820883" w:rsidR="0038497E" w:rsidRPr="009E4EB8" w:rsidRDefault="0038497E" w:rsidP="00A72F33">
            <w:pPr>
              <w:pStyle w:val="TableText0"/>
              <w:keepLines/>
              <w:rPr>
                <w:i/>
              </w:rPr>
            </w:pPr>
            <w:r w:rsidRPr="009E4EB8">
              <w:t xml:space="preserve">Used of gamma (best fit) </w:t>
            </w:r>
            <w:r w:rsidR="00036921" w:rsidRPr="009E4EB8">
              <w:t>decreased</w:t>
            </w:r>
            <w:r w:rsidRPr="009E4EB8">
              <w:t xml:space="preserve"> the ICER to $</w:t>
            </w:r>
            <w:r w:rsidR="00992522" w:rsidRPr="00992522">
              <w:rPr>
                <w:color w:val="000000"/>
                <w:spacing w:val="53"/>
                <w:shd w:val="solid" w:color="000000" w:fill="000000"/>
                <w:fitText w:val="330" w:id="-1504991487"/>
                <w14:textFill>
                  <w14:solidFill>
                    <w14:srgbClr w14:val="000000">
                      <w14:alpha w14:val="100000"/>
                    </w14:srgbClr>
                  </w14:solidFill>
                </w14:textFill>
              </w:rPr>
              <w:t>|||</w:t>
            </w:r>
            <w:r w:rsidR="00992522" w:rsidRPr="00992522">
              <w:rPr>
                <w:color w:val="000000"/>
                <w:spacing w:val="1"/>
                <w:shd w:val="solid" w:color="000000" w:fill="000000"/>
                <w:fitText w:val="330" w:id="-1504991487"/>
                <w14:textFill>
                  <w14:solidFill>
                    <w14:srgbClr w14:val="000000">
                      <w14:alpha w14:val="100000"/>
                    </w14:srgbClr>
                  </w14:solidFill>
                </w14:textFill>
              </w:rPr>
              <w:t>|</w:t>
            </w:r>
            <w:r w:rsidR="000D6911">
              <w:rPr>
                <w:vertAlign w:val="superscript"/>
              </w:rPr>
              <w:t>2</w:t>
            </w:r>
            <w:r w:rsidR="00A75797" w:rsidRPr="009E4EB8">
              <w:t xml:space="preserve"> per QALY</w:t>
            </w:r>
          </w:p>
        </w:tc>
      </w:tr>
      <w:tr w:rsidR="0038497E" w:rsidRPr="009E4EB8" w14:paraId="002E84F7" w14:textId="77777777" w:rsidTr="00A75797">
        <w:tc>
          <w:tcPr>
            <w:tcW w:w="0" w:type="auto"/>
            <w:shd w:val="clear" w:color="auto" w:fill="auto"/>
            <w:vAlign w:val="center"/>
          </w:tcPr>
          <w:p w14:paraId="464A96B4" w14:textId="318754E6" w:rsidR="0038497E" w:rsidRPr="009E4EB8" w:rsidRDefault="001116BA" w:rsidP="00A72F33">
            <w:pPr>
              <w:pStyle w:val="TableText0"/>
              <w:keepLines/>
              <w:jc w:val="center"/>
            </w:pPr>
            <w:r w:rsidRPr="009E4EB8">
              <w:t xml:space="preserve">Point of extrapolation </w:t>
            </w:r>
          </w:p>
        </w:tc>
        <w:tc>
          <w:tcPr>
            <w:tcW w:w="0" w:type="auto"/>
            <w:shd w:val="clear" w:color="auto" w:fill="auto"/>
            <w:vAlign w:val="center"/>
          </w:tcPr>
          <w:p w14:paraId="36844BE9" w14:textId="5E59DA47" w:rsidR="0038497E" w:rsidRPr="009E4EB8" w:rsidRDefault="001116BA" w:rsidP="00A72F33">
            <w:pPr>
              <w:pStyle w:val="TableText0"/>
              <w:keepLines/>
            </w:pPr>
            <w:r w:rsidRPr="009E4EB8">
              <w:rPr>
                <w:szCs w:val="20"/>
              </w:rPr>
              <w:t>20% patients remain at risk for OS/PFS/TTD</w:t>
            </w:r>
          </w:p>
        </w:tc>
        <w:tc>
          <w:tcPr>
            <w:tcW w:w="0" w:type="auto"/>
            <w:shd w:val="clear" w:color="auto" w:fill="auto"/>
            <w:vAlign w:val="center"/>
          </w:tcPr>
          <w:p w14:paraId="656ADC2A" w14:textId="77777777" w:rsidR="00FB42B2" w:rsidRPr="009E4EB8" w:rsidRDefault="00FB42B2" w:rsidP="00A72F33">
            <w:pPr>
              <w:pStyle w:val="TableText0"/>
              <w:keepLines/>
            </w:pPr>
            <w:r w:rsidRPr="009E4EB8">
              <w:t>Moderate, favours DCEP</w:t>
            </w:r>
          </w:p>
          <w:p w14:paraId="0C60FF4B" w14:textId="2F83BC2B" w:rsidR="00036921" w:rsidRPr="009E4EB8" w:rsidRDefault="00D401B5" w:rsidP="00A72F33">
            <w:pPr>
              <w:pStyle w:val="TableText0"/>
              <w:keepLines/>
              <w:rPr>
                <w:i/>
              </w:rPr>
            </w:pPr>
            <w:r w:rsidRPr="009E4EB8">
              <w:t xml:space="preserve">Extrapolation </w:t>
            </w:r>
            <w:r w:rsidR="00036921" w:rsidRPr="009E4EB8">
              <w:t>from 10% patient at risk decreased the ICER to $</w:t>
            </w:r>
            <w:r w:rsidR="00992522" w:rsidRPr="00992522">
              <w:rPr>
                <w:color w:val="000000"/>
                <w:spacing w:val="49"/>
                <w:shd w:val="solid" w:color="000000" w:fill="000000"/>
                <w:fitText w:val="320" w:id="-1504991486"/>
                <w14:textFill>
                  <w14:solidFill>
                    <w14:srgbClr w14:val="000000">
                      <w14:alpha w14:val="100000"/>
                    </w14:srgbClr>
                  </w14:solidFill>
                </w14:textFill>
              </w:rPr>
              <w:t>|||</w:t>
            </w:r>
            <w:r w:rsidR="00992522" w:rsidRPr="00992522">
              <w:rPr>
                <w:color w:val="000000"/>
                <w:spacing w:val="3"/>
                <w:shd w:val="solid" w:color="000000" w:fill="000000"/>
                <w:fitText w:val="320" w:id="-1504991486"/>
                <w14:textFill>
                  <w14:solidFill>
                    <w14:srgbClr w14:val="000000">
                      <w14:alpha w14:val="100000"/>
                    </w14:srgbClr>
                  </w14:solidFill>
                </w14:textFill>
              </w:rPr>
              <w:t>|</w:t>
            </w:r>
            <w:r w:rsidR="000D6911">
              <w:rPr>
                <w:vertAlign w:val="superscript"/>
              </w:rPr>
              <w:t>2</w:t>
            </w:r>
            <w:r w:rsidR="00A75797" w:rsidRPr="009E4EB8">
              <w:t xml:space="preserve"> per QALY</w:t>
            </w:r>
          </w:p>
        </w:tc>
      </w:tr>
    </w:tbl>
    <w:p w14:paraId="16B4C511" w14:textId="2556D64F" w:rsidR="00335741" w:rsidRPr="009E4EB8" w:rsidRDefault="00335741" w:rsidP="00A72F33">
      <w:pPr>
        <w:pStyle w:val="TableFigureFooter"/>
        <w:keepNext/>
        <w:keepLines/>
        <w:rPr>
          <w:szCs w:val="18"/>
        </w:rPr>
      </w:pPr>
      <w:r w:rsidRPr="009E4EB8">
        <w:t xml:space="preserve">Source: compiled during the evaluation </w:t>
      </w:r>
    </w:p>
    <w:p w14:paraId="2FF8DA05" w14:textId="6A33D442" w:rsidR="00335741" w:rsidRDefault="00335741" w:rsidP="000D6911">
      <w:pPr>
        <w:pStyle w:val="TableFigureFooter"/>
        <w:keepNext/>
        <w:keepLines/>
        <w:spacing w:after="0"/>
        <w:rPr>
          <w:szCs w:val="18"/>
        </w:rPr>
      </w:pPr>
      <w:r w:rsidRPr="009E4EB8">
        <w:t xml:space="preserve">Abbreviations: </w:t>
      </w:r>
      <w:r w:rsidRPr="009E4EB8">
        <w:rPr>
          <w:szCs w:val="18"/>
        </w:rPr>
        <w:t xml:space="preserve">AIC = Akaike Information Criterion; BIC = Bayesian information criterion; </w:t>
      </w:r>
      <w:r w:rsidR="002C10A4" w:rsidRPr="009E4EB8">
        <w:rPr>
          <w:szCs w:val="18"/>
        </w:rPr>
        <w:t xml:space="preserve">DCEP = </w:t>
      </w:r>
      <w:r w:rsidR="002C10A4" w:rsidRPr="009E4EB8">
        <w:rPr>
          <w:rStyle w:val="FontBold"/>
          <w:rFonts w:ascii="Arial Narrow" w:eastAsiaTheme="minorHAnsi" w:hAnsi="Arial Narrow"/>
          <w:b w:val="0"/>
          <w:bCs/>
          <w:sz w:val="18"/>
          <w:szCs w:val="18"/>
        </w:rPr>
        <w:t>dexamethasone + cyclophosphamide + etoposide + cisplatin;</w:t>
      </w:r>
      <w:r w:rsidR="002C10A4" w:rsidRPr="009E4EB8">
        <w:rPr>
          <w:szCs w:val="18"/>
        </w:rPr>
        <w:t xml:space="preserve"> </w:t>
      </w:r>
      <w:r w:rsidRPr="009E4EB8">
        <w:rPr>
          <w:szCs w:val="18"/>
        </w:rPr>
        <w:t xml:space="preserve">ICER = incremental cost effectiveness ratio; OS = overall survival; </w:t>
      </w:r>
      <w:r w:rsidR="001C29C3" w:rsidRPr="009E4EB8">
        <w:rPr>
          <w:szCs w:val="18"/>
        </w:rPr>
        <w:t xml:space="preserve">PFS = progression free survival; </w:t>
      </w:r>
      <w:r w:rsidR="00C42552" w:rsidRPr="009E4EB8">
        <w:rPr>
          <w:szCs w:val="18"/>
        </w:rPr>
        <w:t xml:space="preserve">QALY = quality adjusted life year; </w:t>
      </w:r>
      <w:r w:rsidRPr="009E4EB8">
        <w:rPr>
          <w:szCs w:val="18"/>
        </w:rPr>
        <w:t>Sd = selinexor + dexamethasone</w:t>
      </w:r>
      <w:r w:rsidR="005367FA" w:rsidRPr="009E4EB8">
        <w:rPr>
          <w:szCs w:val="18"/>
        </w:rPr>
        <w:t>; TTD = time to treatment discontinuation</w:t>
      </w:r>
    </w:p>
    <w:p w14:paraId="263EEEC1" w14:textId="77777777" w:rsidR="000D6911" w:rsidRPr="009A6D58" w:rsidRDefault="000D6911" w:rsidP="000D691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75A1BE2" w14:textId="26604339" w:rsidR="000D6911" w:rsidRPr="00F11F43" w:rsidRDefault="00F11F43" w:rsidP="00F11F43">
      <w:pPr>
        <w:pStyle w:val="TableFigureFooter"/>
        <w:rPr>
          <w:i/>
          <w:iCs/>
        </w:rPr>
      </w:pPr>
      <w:r w:rsidRPr="00F11F43">
        <w:rPr>
          <w:i/>
          <w:iCs/>
          <w:vertAlign w:val="superscript"/>
        </w:rPr>
        <w:t>1</w:t>
      </w:r>
      <w:r w:rsidRPr="00F11F43">
        <w:rPr>
          <w:i/>
          <w:iCs/>
        </w:rPr>
        <w:t xml:space="preserve"> </w:t>
      </w:r>
      <w:r w:rsidR="000D6911" w:rsidRPr="00F11F43">
        <w:rPr>
          <w:i/>
          <w:iCs/>
        </w:rPr>
        <w:t>$55,000 to &lt; $75,000</w:t>
      </w:r>
    </w:p>
    <w:p w14:paraId="6162CC27" w14:textId="4E606051" w:rsidR="000D6911" w:rsidRPr="00F11F43" w:rsidRDefault="00F11F43" w:rsidP="00F11F43">
      <w:pPr>
        <w:pStyle w:val="TableFigureFooter"/>
        <w:rPr>
          <w:i/>
          <w:iCs/>
        </w:rPr>
      </w:pPr>
      <w:r w:rsidRPr="00F11F43">
        <w:rPr>
          <w:i/>
          <w:iCs/>
          <w:vertAlign w:val="superscript"/>
        </w:rPr>
        <w:t>2</w:t>
      </w:r>
      <w:r w:rsidRPr="00F11F43">
        <w:rPr>
          <w:i/>
          <w:iCs/>
        </w:rPr>
        <w:t xml:space="preserve"> </w:t>
      </w:r>
      <w:r w:rsidR="000D6911" w:rsidRPr="00F11F43">
        <w:rPr>
          <w:i/>
          <w:iCs/>
        </w:rPr>
        <w:t>$45,000 to &lt; $55,000</w:t>
      </w:r>
    </w:p>
    <w:p w14:paraId="55DBA082" w14:textId="3C4E1687" w:rsidR="00585B47" w:rsidRPr="009E4EB8" w:rsidRDefault="00585B47" w:rsidP="00585B47">
      <w:pPr>
        <w:pStyle w:val="3-BodyText"/>
      </w:pPr>
      <w:r w:rsidRPr="009E4EB8">
        <w:t xml:space="preserve">A summary of the results of the economic evaluation is presented in </w:t>
      </w:r>
      <w:r w:rsidR="006C2945" w:rsidRPr="009E4EB8">
        <w:t>Table 12</w:t>
      </w:r>
      <w:r w:rsidRPr="009E4EB8">
        <w:t>.</w:t>
      </w:r>
    </w:p>
    <w:p w14:paraId="69037892" w14:textId="7E97D128" w:rsidR="00DC402B" w:rsidRPr="009E4EB8" w:rsidRDefault="00585B47" w:rsidP="00DC402B">
      <w:pPr>
        <w:pStyle w:val="TableFigureHeading"/>
        <w:rPr>
          <w:rStyle w:val="CommentReference"/>
          <w:b/>
          <w:szCs w:val="24"/>
        </w:rPr>
      </w:pPr>
      <w:bookmarkStart w:id="67" w:name="_Ref91081210"/>
      <w:r w:rsidRPr="009E4EB8">
        <w:t xml:space="preserve">Table </w:t>
      </w:r>
      <w:fldSimple w:instr=" SEQ Table \* ARABIC ">
        <w:r w:rsidR="00964E38">
          <w:rPr>
            <w:noProof/>
          </w:rPr>
          <w:t>12</w:t>
        </w:r>
      </w:fldSimple>
      <w:bookmarkEnd w:id="67"/>
      <w:r w:rsidRPr="009E4EB8">
        <w:t xml:space="preserve">: </w:t>
      </w:r>
      <w:r w:rsidR="00DC402B" w:rsidRPr="009E4EB8">
        <w:rPr>
          <w:rStyle w:val="CommentReference"/>
          <w:b/>
          <w:szCs w:val="24"/>
        </w:rPr>
        <w:t>Results of the economic evaluation</w:t>
      </w:r>
    </w:p>
    <w:tbl>
      <w:tblPr>
        <w:tblStyle w:val="TableGrid"/>
        <w:tblW w:w="5000" w:type="pct"/>
        <w:tblLook w:val="04A0" w:firstRow="1" w:lastRow="0" w:firstColumn="1" w:lastColumn="0" w:noHBand="0" w:noVBand="1"/>
      </w:tblPr>
      <w:tblGrid>
        <w:gridCol w:w="2255"/>
        <w:gridCol w:w="2263"/>
        <w:gridCol w:w="2242"/>
        <w:gridCol w:w="2257"/>
      </w:tblGrid>
      <w:tr w:rsidR="00DC402B" w:rsidRPr="009E4EB8" w14:paraId="22C2800E" w14:textId="77777777" w:rsidTr="00992522">
        <w:tc>
          <w:tcPr>
            <w:tcW w:w="2255" w:type="dxa"/>
          </w:tcPr>
          <w:p w14:paraId="2181140B" w14:textId="77777777" w:rsidR="00DC402B" w:rsidRPr="009E4EB8" w:rsidRDefault="00DC402B" w:rsidP="00D041EE">
            <w:pPr>
              <w:pStyle w:val="TableLeft"/>
              <w:keepNext/>
              <w:rPr>
                <w:rStyle w:val="SmallBold"/>
                <w:rFonts w:ascii="Arial Narrow" w:hAnsi="Arial Narrow"/>
                <w:szCs w:val="20"/>
                <w:lang w:bidi="en-US"/>
              </w:rPr>
            </w:pPr>
            <w:r w:rsidRPr="009E4EB8">
              <w:rPr>
                <w:rStyle w:val="SmallBold"/>
                <w:rFonts w:ascii="Arial Narrow" w:hAnsi="Arial Narrow"/>
                <w:szCs w:val="20"/>
                <w:lang w:bidi="en-US"/>
              </w:rPr>
              <w:t>Component</w:t>
            </w:r>
          </w:p>
        </w:tc>
        <w:tc>
          <w:tcPr>
            <w:tcW w:w="2263" w:type="dxa"/>
            <w:tcBorders>
              <w:bottom w:val="single" w:sz="4" w:space="0" w:color="auto"/>
            </w:tcBorders>
            <w:hideMark/>
          </w:tcPr>
          <w:p w14:paraId="6FEAA9B8" w14:textId="77777777" w:rsidR="00DC402B" w:rsidRPr="009E4EB8" w:rsidRDefault="00DC402B" w:rsidP="00D041EE">
            <w:pPr>
              <w:pStyle w:val="TableLeft"/>
              <w:keepNext/>
              <w:jc w:val="center"/>
              <w:rPr>
                <w:rStyle w:val="SmallBold"/>
                <w:rFonts w:ascii="Arial Narrow" w:hAnsi="Arial Narrow"/>
                <w:szCs w:val="20"/>
              </w:rPr>
            </w:pPr>
            <w:r w:rsidRPr="009E4EB8">
              <w:rPr>
                <w:rStyle w:val="SmallBold"/>
                <w:rFonts w:ascii="Arial Narrow" w:hAnsi="Arial Narrow"/>
                <w:szCs w:val="20"/>
              </w:rPr>
              <w:t>Sd</w:t>
            </w:r>
          </w:p>
        </w:tc>
        <w:tc>
          <w:tcPr>
            <w:tcW w:w="2242" w:type="dxa"/>
            <w:tcBorders>
              <w:bottom w:val="single" w:sz="4" w:space="0" w:color="auto"/>
            </w:tcBorders>
            <w:hideMark/>
          </w:tcPr>
          <w:p w14:paraId="187DF77D" w14:textId="77777777" w:rsidR="00DC402B" w:rsidRPr="009E4EB8" w:rsidRDefault="00DC402B" w:rsidP="00D041EE">
            <w:pPr>
              <w:pStyle w:val="TableLeft"/>
              <w:keepNext/>
              <w:jc w:val="center"/>
              <w:rPr>
                <w:rStyle w:val="SmallBold"/>
                <w:rFonts w:ascii="Arial Narrow" w:hAnsi="Arial Narrow"/>
                <w:szCs w:val="20"/>
              </w:rPr>
            </w:pPr>
            <w:r w:rsidRPr="009E4EB8">
              <w:rPr>
                <w:rStyle w:val="SmallBold"/>
                <w:rFonts w:ascii="Arial Narrow" w:hAnsi="Arial Narrow"/>
                <w:szCs w:val="20"/>
              </w:rPr>
              <w:t>DCEP</w:t>
            </w:r>
          </w:p>
        </w:tc>
        <w:tc>
          <w:tcPr>
            <w:tcW w:w="2257" w:type="dxa"/>
            <w:tcBorders>
              <w:bottom w:val="single" w:sz="4" w:space="0" w:color="auto"/>
            </w:tcBorders>
            <w:hideMark/>
          </w:tcPr>
          <w:p w14:paraId="338C270A" w14:textId="77777777" w:rsidR="00DC402B" w:rsidRPr="009E4EB8" w:rsidRDefault="00DC402B" w:rsidP="00D041EE">
            <w:pPr>
              <w:pStyle w:val="TableLeft"/>
              <w:keepNext/>
              <w:jc w:val="center"/>
              <w:rPr>
                <w:rStyle w:val="SmallBold"/>
                <w:rFonts w:ascii="Arial Narrow" w:hAnsi="Arial Narrow"/>
                <w:szCs w:val="20"/>
              </w:rPr>
            </w:pPr>
            <w:r w:rsidRPr="009E4EB8">
              <w:rPr>
                <w:rStyle w:val="SmallBold"/>
                <w:rFonts w:ascii="Arial Narrow" w:hAnsi="Arial Narrow"/>
                <w:szCs w:val="20"/>
              </w:rPr>
              <w:t>Incremental</w:t>
            </w:r>
          </w:p>
        </w:tc>
      </w:tr>
      <w:tr w:rsidR="00DC402B" w:rsidRPr="009E4EB8" w14:paraId="7866098B" w14:textId="77777777" w:rsidTr="00992522">
        <w:tc>
          <w:tcPr>
            <w:tcW w:w="2255" w:type="dxa"/>
            <w:hideMark/>
          </w:tcPr>
          <w:p w14:paraId="1AB74F43" w14:textId="005B1349" w:rsidR="00DC402B" w:rsidRPr="009E4EB8" w:rsidRDefault="00DC402B" w:rsidP="00D041EE">
            <w:pPr>
              <w:pStyle w:val="TableLeft"/>
              <w:keepNext/>
              <w:rPr>
                <w:rFonts w:ascii="Arial Narrow" w:hAnsi="Arial Narrow"/>
                <w:szCs w:val="20"/>
              </w:rPr>
            </w:pPr>
            <w:r w:rsidRPr="009E4EB8">
              <w:rPr>
                <w:rFonts w:ascii="Arial Narrow" w:hAnsi="Arial Narrow"/>
                <w:szCs w:val="20"/>
              </w:rPr>
              <w:t>Total costs</w:t>
            </w:r>
            <w:r w:rsidR="000D6911">
              <w:rPr>
                <w:rFonts w:ascii="Arial Narrow" w:hAnsi="Arial Narrow"/>
                <w:szCs w:val="20"/>
              </w:rPr>
              <w:t xml:space="preserve"> ($)</w:t>
            </w:r>
          </w:p>
        </w:tc>
        <w:tc>
          <w:tcPr>
            <w:tcW w:w="2263" w:type="dxa"/>
            <w:shd w:val="solid" w:color="000000" w:fill="000000"/>
          </w:tcPr>
          <w:p w14:paraId="05687D55" w14:textId="3491229A" w:rsidR="00DC402B" w:rsidRPr="00992522" w:rsidRDefault="00992522" w:rsidP="00D041EE">
            <w:pPr>
              <w:pStyle w:val="TableLeft"/>
              <w:keepNext/>
              <w:jc w:val="center"/>
              <w:rPr>
                <w:rFonts w:ascii="Arial Narrow" w:hAnsi="Arial Narrow"/>
                <w:szCs w:val="20"/>
              </w:rPr>
            </w:pPr>
            <w:r w:rsidRPr="00992522">
              <w:rPr>
                <w:rFonts w:ascii="Arial Narrow" w:hAnsi="Arial Narrow"/>
                <w:color w:val="000000"/>
                <w:szCs w:val="20"/>
                <w14:textFill>
                  <w14:solidFill>
                    <w14:srgbClr w14:val="000000">
                      <w14:alpha w14:val="100000"/>
                    </w14:srgbClr>
                  </w14:solidFill>
                </w14:textFill>
              </w:rPr>
              <w:t>|</w:t>
            </w:r>
          </w:p>
        </w:tc>
        <w:tc>
          <w:tcPr>
            <w:tcW w:w="2242" w:type="dxa"/>
            <w:shd w:val="solid" w:color="000000" w:fill="000000"/>
          </w:tcPr>
          <w:p w14:paraId="149CDE01" w14:textId="3944D796" w:rsidR="00DC402B" w:rsidRPr="00992522" w:rsidRDefault="00992522" w:rsidP="00D041EE">
            <w:pPr>
              <w:pStyle w:val="TableLeft"/>
              <w:keepNext/>
              <w:jc w:val="center"/>
              <w:rPr>
                <w:rFonts w:ascii="Arial Narrow" w:hAnsi="Arial Narrow"/>
                <w:szCs w:val="20"/>
              </w:rPr>
            </w:pPr>
            <w:r w:rsidRPr="00992522">
              <w:rPr>
                <w:rFonts w:ascii="Arial Narrow" w:hAnsi="Arial Narrow"/>
                <w:color w:val="000000"/>
                <w:szCs w:val="20"/>
                <w14:textFill>
                  <w14:solidFill>
                    <w14:srgbClr w14:val="000000">
                      <w14:alpha w14:val="100000"/>
                    </w14:srgbClr>
                  </w14:solidFill>
                </w14:textFill>
              </w:rPr>
              <w:t>|</w:t>
            </w:r>
          </w:p>
        </w:tc>
        <w:tc>
          <w:tcPr>
            <w:tcW w:w="2257" w:type="dxa"/>
            <w:shd w:val="solid" w:color="000000" w:fill="000000"/>
          </w:tcPr>
          <w:p w14:paraId="60FD81B6" w14:textId="04F27954" w:rsidR="00DC402B" w:rsidRPr="00992522" w:rsidRDefault="00992522" w:rsidP="00D041EE">
            <w:pPr>
              <w:pStyle w:val="TableLeft"/>
              <w:keepNext/>
              <w:jc w:val="center"/>
              <w:rPr>
                <w:rFonts w:ascii="Arial Narrow" w:hAnsi="Arial Narrow"/>
                <w:szCs w:val="20"/>
              </w:rPr>
            </w:pPr>
            <w:r w:rsidRPr="00992522">
              <w:rPr>
                <w:rFonts w:ascii="Arial Narrow" w:hAnsi="Arial Narrow"/>
                <w:color w:val="000000"/>
                <w:szCs w:val="20"/>
                <w14:textFill>
                  <w14:solidFill>
                    <w14:srgbClr w14:val="000000">
                      <w14:alpha w14:val="100000"/>
                    </w14:srgbClr>
                  </w14:solidFill>
                </w14:textFill>
              </w:rPr>
              <w:t>|</w:t>
            </w:r>
          </w:p>
        </w:tc>
      </w:tr>
      <w:tr w:rsidR="00DC402B" w:rsidRPr="009E4EB8" w14:paraId="550C0267" w14:textId="77777777" w:rsidTr="00DC402B">
        <w:tc>
          <w:tcPr>
            <w:tcW w:w="2255" w:type="dxa"/>
            <w:hideMark/>
          </w:tcPr>
          <w:p w14:paraId="7D88FEF2" w14:textId="77777777" w:rsidR="00DC402B" w:rsidRPr="009E4EB8" w:rsidRDefault="00DC402B" w:rsidP="00D041EE">
            <w:pPr>
              <w:pStyle w:val="TableLeft"/>
              <w:keepNext/>
              <w:rPr>
                <w:rFonts w:ascii="Arial Narrow" w:hAnsi="Arial Narrow"/>
                <w:szCs w:val="20"/>
              </w:rPr>
            </w:pPr>
            <w:r w:rsidRPr="009E4EB8">
              <w:rPr>
                <w:rFonts w:ascii="Arial Narrow" w:hAnsi="Arial Narrow"/>
                <w:szCs w:val="20"/>
              </w:rPr>
              <w:t>Life-years</w:t>
            </w:r>
          </w:p>
        </w:tc>
        <w:tc>
          <w:tcPr>
            <w:tcW w:w="2263" w:type="dxa"/>
          </w:tcPr>
          <w:p w14:paraId="0BA98806" w14:textId="77777777" w:rsidR="00DC402B" w:rsidRPr="009E4EB8" w:rsidRDefault="00DC402B" w:rsidP="00D041EE">
            <w:pPr>
              <w:pStyle w:val="TableLeft"/>
              <w:keepNext/>
              <w:jc w:val="center"/>
              <w:rPr>
                <w:rFonts w:ascii="Arial Narrow" w:hAnsi="Arial Narrow"/>
                <w:szCs w:val="20"/>
              </w:rPr>
            </w:pPr>
            <w:r w:rsidRPr="009E4EB8">
              <w:rPr>
                <w:rFonts w:ascii="Arial Narrow" w:hAnsi="Arial Narrow"/>
                <w:szCs w:val="20"/>
              </w:rPr>
              <w:t>1.0883</w:t>
            </w:r>
          </w:p>
        </w:tc>
        <w:tc>
          <w:tcPr>
            <w:tcW w:w="2242" w:type="dxa"/>
          </w:tcPr>
          <w:p w14:paraId="01D3F645" w14:textId="77777777" w:rsidR="00DC402B" w:rsidRPr="009E4EB8" w:rsidRDefault="00DC402B" w:rsidP="00D041EE">
            <w:pPr>
              <w:pStyle w:val="TableLeft"/>
              <w:keepNext/>
              <w:jc w:val="center"/>
              <w:rPr>
                <w:rFonts w:ascii="Arial Narrow" w:hAnsi="Arial Narrow"/>
                <w:szCs w:val="20"/>
              </w:rPr>
            </w:pPr>
            <w:r w:rsidRPr="009E4EB8">
              <w:rPr>
                <w:rFonts w:ascii="Arial Narrow" w:hAnsi="Arial Narrow"/>
                <w:szCs w:val="20"/>
              </w:rPr>
              <w:t>0.7137</w:t>
            </w:r>
          </w:p>
        </w:tc>
        <w:tc>
          <w:tcPr>
            <w:tcW w:w="2257" w:type="dxa"/>
          </w:tcPr>
          <w:p w14:paraId="3B9B6F5C" w14:textId="77777777" w:rsidR="00DC402B" w:rsidRPr="009E4EB8" w:rsidRDefault="00DC402B" w:rsidP="00D041EE">
            <w:pPr>
              <w:pStyle w:val="TableLeft"/>
              <w:keepNext/>
              <w:jc w:val="center"/>
              <w:rPr>
                <w:rFonts w:ascii="Arial Narrow" w:hAnsi="Arial Narrow"/>
                <w:szCs w:val="20"/>
              </w:rPr>
            </w:pPr>
            <w:r w:rsidRPr="009E4EB8">
              <w:rPr>
                <w:rFonts w:ascii="Arial Narrow" w:hAnsi="Arial Narrow"/>
                <w:szCs w:val="20"/>
              </w:rPr>
              <w:t>0.3747</w:t>
            </w:r>
          </w:p>
        </w:tc>
      </w:tr>
      <w:tr w:rsidR="00DC402B" w:rsidRPr="009E4EB8" w14:paraId="0A6AC229" w14:textId="77777777" w:rsidTr="00DC402B">
        <w:tc>
          <w:tcPr>
            <w:tcW w:w="2255" w:type="dxa"/>
            <w:hideMark/>
          </w:tcPr>
          <w:p w14:paraId="48C4FC10" w14:textId="77777777" w:rsidR="00DC402B" w:rsidRPr="009E4EB8" w:rsidRDefault="00DC402B" w:rsidP="00D041EE">
            <w:pPr>
              <w:pStyle w:val="TableLeft"/>
              <w:keepNext/>
              <w:rPr>
                <w:rFonts w:ascii="Arial Narrow" w:hAnsi="Arial Narrow"/>
                <w:szCs w:val="20"/>
              </w:rPr>
            </w:pPr>
            <w:r w:rsidRPr="009E4EB8">
              <w:rPr>
                <w:rFonts w:ascii="Arial Narrow" w:hAnsi="Arial Narrow"/>
                <w:szCs w:val="20"/>
              </w:rPr>
              <w:t>QALYs</w:t>
            </w:r>
          </w:p>
        </w:tc>
        <w:tc>
          <w:tcPr>
            <w:tcW w:w="2263" w:type="dxa"/>
          </w:tcPr>
          <w:p w14:paraId="4806D910" w14:textId="77777777" w:rsidR="00DC402B" w:rsidRPr="009E4EB8" w:rsidRDefault="00DC402B" w:rsidP="00D041EE">
            <w:pPr>
              <w:pStyle w:val="TableLeft"/>
              <w:keepNext/>
              <w:jc w:val="center"/>
              <w:rPr>
                <w:rFonts w:ascii="Arial Narrow" w:hAnsi="Arial Narrow"/>
                <w:szCs w:val="20"/>
              </w:rPr>
            </w:pPr>
            <w:r w:rsidRPr="009E4EB8">
              <w:rPr>
                <w:rFonts w:ascii="Arial Narrow" w:hAnsi="Arial Narrow"/>
                <w:szCs w:val="20"/>
              </w:rPr>
              <w:t>0.6376</w:t>
            </w:r>
          </w:p>
        </w:tc>
        <w:tc>
          <w:tcPr>
            <w:tcW w:w="2242" w:type="dxa"/>
          </w:tcPr>
          <w:p w14:paraId="49C22031" w14:textId="77777777" w:rsidR="00DC402B" w:rsidRPr="009E4EB8" w:rsidRDefault="00DC402B" w:rsidP="00D041EE">
            <w:pPr>
              <w:pStyle w:val="TableLeft"/>
              <w:keepNext/>
              <w:jc w:val="center"/>
              <w:rPr>
                <w:rFonts w:ascii="Arial Narrow" w:hAnsi="Arial Narrow"/>
                <w:szCs w:val="20"/>
              </w:rPr>
            </w:pPr>
            <w:r w:rsidRPr="009E4EB8">
              <w:rPr>
                <w:rFonts w:ascii="Arial Narrow" w:hAnsi="Arial Narrow"/>
                <w:szCs w:val="20"/>
              </w:rPr>
              <w:t>0.4169</w:t>
            </w:r>
          </w:p>
        </w:tc>
        <w:tc>
          <w:tcPr>
            <w:tcW w:w="2257" w:type="dxa"/>
          </w:tcPr>
          <w:p w14:paraId="3759C86D" w14:textId="77777777" w:rsidR="00DC402B" w:rsidRPr="009E4EB8" w:rsidRDefault="00DC402B" w:rsidP="00D041EE">
            <w:pPr>
              <w:pStyle w:val="TableLeft"/>
              <w:keepNext/>
              <w:jc w:val="center"/>
              <w:rPr>
                <w:rFonts w:ascii="Arial Narrow" w:hAnsi="Arial Narrow"/>
                <w:szCs w:val="20"/>
              </w:rPr>
            </w:pPr>
            <w:r w:rsidRPr="009E4EB8">
              <w:rPr>
                <w:rFonts w:ascii="Arial Narrow" w:hAnsi="Arial Narrow"/>
                <w:szCs w:val="20"/>
              </w:rPr>
              <w:t>0.2207</w:t>
            </w:r>
          </w:p>
        </w:tc>
      </w:tr>
      <w:tr w:rsidR="00DC402B" w:rsidRPr="009E4EB8" w14:paraId="2B39F734" w14:textId="77777777" w:rsidTr="00DC402B">
        <w:tc>
          <w:tcPr>
            <w:tcW w:w="6760" w:type="dxa"/>
            <w:gridSpan w:val="3"/>
            <w:hideMark/>
          </w:tcPr>
          <w:p w14:paraId="3CA75A17" w14:textId="2D9537DA" w:rsidR="00DC402B" w:rsidRPr="009E4EB8" w:rsidRDefault="00DC402B" w:rsidP="00D041EE">
            <w:pPr>
              <w:pStyle w:val="TableLeft"/>
              <w:keepNext/>
              <w:rPr>
                <w:rFonts w:ascii="Arial Narrow" w:hAnsi="Arial Narrow"/>
                <w:szCs w:val="20"/>
              </w:rPr>
            </w:pPr>
            <w:r w:rsidRPr="009E4EB8">
              <w:rPr>
                <w:rFonts w:ascii="Arial Narrow" w:hAnsi="Arial Narrow"/>
                <w:szCs w:val="20"/>
              </w:rPr>
              <w:t>Incremental cost per LY gained</w:t>
            </w:r>
            <w:r w:rsidR="000D6911">
              <w:rPr>
                <w:rFonts w:ascii="Arial Narrow" w:hAnsi="Arial Narrow"/>
                <w:szCs w:val="20"/>
              </w:rPr>
              <w:t xml:space="preserve"> ($)</w:t>
            </w:r>
          </w:p>
        </w:tc>
        <w:tc>
          <w:tcPr>
            <w:tcW w:w="2257" w:type="dxa"/>
          </w:tcPr>
          <w:p w14:paraId="7B37EADC" w14:textId="3B46368D" w:rsidR="00DC402B" w:rsidRPr="009B2665" w:rsidRDefault="00992522" w:rsidP="00D041EE">
            <w:pPr>
              <w:pStyle w:val="TableLeft"/>
              <w:keepNext/>
              <w:jc w:val="center"/>
              <w:rPr>
                <w:rFonts w:ascii="Arial Narrow" w:hAnsi="Arial Narrow"/>
                <w:szCs w:val="20"/>
                <w:highlight w:val="yellow"/>
                <w:vertAlign w:val="superscript"/>
              </w:rPr>
            </w:pPr>
            <w:r w:rsidRPr="00992522">
              <w:rPr>
                <w:rFonts w:ascii="Arial Narrow" w:hAnsi="Arial Narrow"/>
                <w:color w:val="000000"/>
                <w:szCs w:val="20"/>
                <w:shd w:val="solid" w:color="000000" w:fill="000000"/>
                <w14:textFill>
                  <w14:solidFill>
                    <w14:srgbClr w14:val="000000">
                      <w14:alpha w14:val="100000"/>
                    </w14:srgbClr>
                  </w14:solidFill>
                </w14:textFill>
              </w:rPr>
              <w:t>|</w:t>
            </w:r>
            <w:r w:rsidR="009B2665" w:rsidRPr="009B2665">
              <w:rPr>
                <w:rFonts w:ascii="Arial Narrow" w:hAnsi="Arial Narrow"/>
                <w:szCs w:val="20"/>
                <w:vertAlign w:val="superscript"/>
              </w:rPr>
              <w:t>1</w:t>
            </w:r>
          </w:p>
        </w:tc>
      </w:tr>
      <w:tr w:rsidR="00DC402B" w:rsidRPr="009E4EB8" w14:paraId="2177E652" w14:textId="77777777" w:rsidTr="00DC402B">
        <w:tc>
          <w:tcPr>
            <w:tcW w:w="6760" w:type="dxa"/>
            <w:gridSpan w:val="3"/>
            <w:hideMark/>
          </w:tcPr>
          <w:p w14:paraId="69CD5457" w14:textId="23AA13FB" w:rsidR="00DC402B" w:rsidRPr="009E4EB8" w:rsidRDefault="00DC402B" w:rsidP="00D041EE">
            <w:pPr>
              <w:pStyle w:val="TableLeft"/>
              <w:keepNext/>
              <w:rPr>
                <w:rFonts w:ascii="Arial Narrow" w:hAnsi="Arial Narrow"/>
                <w:b/>
                <w:szCs w:val="20"/>
              </w:rPr>
            </w:pPr>
            <w:r w:rsidRPr="009E4EB8">
              <w:rPr>
                <w:rFonts w:ascii="Arial Narrow" w:hAnsi="Arial Narrow"/>
                <w:szCs w:val="20"/>
              </w:rPr>
              <w:t>Incremental cost per QALY gained</w:t>
            </w:r>
            <w:r w:rsidR="000D6911">
              <w:rPr>
                <w:rFonts w:ascii="Arial Narrow" w:hAnsi="Arial Narrow"/>
                <w:szCs w:val="20"/>
              </w:rPr>
              <w:t xml:space="preserve"> ($)</w:t>
            </w:r>
          </w:p>
        </w:tc>
        <w:tc>
          <w:tcPr>
            <w:tcW w:w="2257" w:type="dxa"/>
          </w:tcPr>
          <w:p w14:paraId="05296E44" w14:textId="098E0B26" w:rsidR="00DC402B" w:rsidRPr="009B2665" w:rsidRDefault="00992522" w:rsidP="00D041EE">
            <w:pPr>
              <w:pStyle w:val="TableLeft"/>
              <w:keepNext/>
              <w:jc w:val="center"/>
              <w:rPr>
                <w:rFonts w:ascii="Arial Narrow" w:hAnsi="Arial Narrow"/>
                <w:b/>
                <w:szCs w:val="20"/>
                <w:highlight w:val="yellow"/>
                <w:vertAlign w:val="superscript"/>
              </w:rPr>
            </w:pPr>
            <w:r w:rsidRPr="00992522">
              <w:rPr>
                <w:rFonts w:ascii="Arial Narrow" w:hAnsi="Arial Narrow"/>
                <w:color w:val="000000"/>
                <w:szCs w:val="20"/>
                <w:shd w:val="solid" w:color="000000" w:fill="000000"/>
                <w14:textFill>
                  <w14:solidFill>
                    <w14:srgbClr w14:val="000000">
                      <w14:alpha w14:val="100000"/>
                    </w14:srgbClr>
                  </w14:solidFill>
                </w14:textFill>
              </w:rPr>
              <w:t>|</w:t>
            </w:r>
            <w:r w:rsidR="009B2665" w:rsidRPr="009B2665">
              <w:rPr>
                <w:rFonts w:ascii="Arial Narrow" w:hAnsi="Arial Narrow"/>
                <w:szCs w:val="20"/>
                <w:vertAlign w:val="superscript"/>
              </w:rPr>
              <w:t>2</w:t>
            </w:r>
          </w:p>
        </w:tc>
      </w:tr>
    </w:tbl>
    <w:p w14:paraId="322D2F59" w14:textId="77777777" w:rsidR="00DC402B" w:rsidRPr="009E4EB8" w:rsidRDefault="00DC402B" w:rsidP="00DC402B">
      <w:pPr>
        <w:keepNext/>
        <w:rPr>
          <w:rStyle w:val="FontBold"/>
          <w:rFonts w:ascii="Arial Narrow" w:eastAsiaTheme="minorHAnsi" w:hAnsi="Arial Narrow"/>
          <w:b w:val="0"/>
          <w:bCs/>
          <w:sz w:val="18"/>
          <w:szCs w:val="18"/>
        </w:rPr>
      </w:pPr>
      <w:r w:rsidRPr="009E4EB8">
        <w:rPr>
          <w:rStyle w:val="FontBold"/>
          <w:rFonts w:ascii="Arial Narrow" w:eastAsiaTheme="minorHAnsi" w:hAnsi="Arial Narrow"/>
          <w:b w:val="0"/>
          <w:bCs/>
          <w:sz w:val="18"/>
          <w:szCs w:val="18"/>
        </w:rPr>
        <w:t>Source: Table 3-25, p156 of the resubmission.</w:t>
      </w:r>
    </w:p>
    <w:p w14:paraId="0A7E3A09" w14:textId="5B8D9F40" w:rsidR="00DC402B" w:rsidRDefault="00DC402B" w:rsidP="00DC402B">
      <w:pPr>
        <w:keepNext/>
        <w:rPr>
          <w:rStyle w:val="FontBold"/>
          <w:rFonts w:ascii="Arial Narrow" w:eastAsiaTheme="minorHAnsi" w:hAnsi="Arial Narrow"/>
          <w:b w:val="0"/>
          <w:bCs/>
          <w:sz w:val="18"/>
          <w:szCs w:val="18"/>
        </w:rPr>
      </w:pPr>
      <w:r w:rsidRPr="009E4EB8">
        <w:rPr>
          <w:rStyle w:val="FontBold"/>
          <w:rFonts w:ascii="Arial Narrow" w:eastAsiaTheme="minorHAnsi" w:hAnsi="Arial Narrow"/>
          <w:b w:val="0"/>
          <w:bCs/>
          <w:sz w:val="18"/>
          <w:szCs w:val="18"/>
        </w:rPr>
        <w:t>Abbreviations: DCEP = dexamethasone + cyclophosphamide + etoposide + cisplatin;</w:t>
      </w:r>
      <w:r w:rsidRPr="009E4EB8">
        <w:rPr>
          <w:b/>
          <w:bCs/>
        </w:rPr>
        <w:t xml:space="preserve"> </w:t>
      </w:r>
      <w:r w:rsidRPr="009E4EB8">
        <w:rPr>
          <w:rStyle w:val="FontBold"/>
          <w:rFonts w:ascii="Arial Narrow" w:eastAsiaTheme="minorHAnsi" w:hAnsi="Arial Narrow"/>
          <w:b w:val="0"/>
          <w:bCs/>
          <w:sz w:val="18"/>
          <w:szCs w:val="18"/>
        </w:rPr>
        <w:t>ICER = incremental cost effectiveness ratio; LY = life years; QALYs = quality adjusted life years; Sd = selinexor + dexamethasone</w:t>
      </w:r>
    </w:p>
    <w:p w14:paraId="5A6C72B0" w14:textId="77777777" w:rsidR="000D6911" w:rsidRPr="009A6D58" w:rsidRDefault="000D6911" w:rsidP="000D691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D78ADE5" w14:textId="60C6D027" w:rsidR="000D6911" w:rsidRPr="009A6D58" w:rsidRDefault="000D6911" w:rsidP="000D691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bookmarkStart w:id="68" w:name="_Hlk103612597"/>
      <w:r>
        <w:rPr>
          <w:rFonts w:ascii="Arial Narrow" w:hAnsi="Arial Narrow"/>
          <w:i/>
          <w:sz w:val="18"/>
          <w:szCs w:val="18"/>
        </w:rPr>
        <w:t>$</w:t>
      </w:r>
      <w:r w:rsidR="009B2665">
        <w:rPr>
          <w:rFonts w:ascii="Arial Narrow" w:hAnsi="Arial Narrow"/>
          <w:i/>
          <w:sz w:val="18"/>
          <w:szCs w:val="18"/>
        </w:rPr>
        <w:t>3</w:t>
      </w:r>
      <w:r w:rsidRPr="000D6911">
        <w:rPr>
          <w:rFonts w:ascii="Arial Narrow" w:hAnsi="Arial Narrow"/>
          <w:i/>
          <w:sz w:val="18"/>
          <w:szCs w:val="18"/>
        </w:rPr>
        <w:t>5,000 to &lt; $</w:t>
      </w:r>
      <w:r w:rsidR="009B2665">
        <w:rPr>
          <w:rFonts w:ascii="Arial Narrow" w:hAnsi="Arial Narrow"/>
          <w:i/>
          <w:sz w:val="18"/>
          <w:szCs w:val="18"/>
        </w:rPr>
        <w:t>4</w:t>
      </w:r>
      <w:r w:rsidRPr="000D6911">
        <w:rPr>
          <w:rFonts w:ascii="Arial Narrow" w:hAnsi="Arial Narrow"/>
          <w:i/>
          <w:sz w:val="18"/>
          <w:szCs w:val="18"/>
        </w:rPr>
        <w:t>5,000</w:t>
      </w:r>
      <w:bookmarkEnd w:id="68"/>
    </w:p>
    <w:p w14:paraId="63234073" w14:textId="2045E04D" w:rsidR="000D6911" w:rsidRPr="000D6911" w:rsidRDefault="000D6911" w:rsidP="000D6911">
      <w:pPr>
        <w:rPr>
          <w:rStyle w:val="FontBold"/>
          <w:rFonts w:ascii="Arial Narrow" w:hAnsi="Arial Narrow"/>
          <w:b w:val="0"/>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0D6911">
        <w:rPr>
          <w:rFonts w:ascii="Arial Narrow" w:hAnsi="Arial Narrow"/>
          <w:i/>
          <w:sz w:val="18"/>
          <w:szCs w:val="18"/>
        </w:rPr>
        <w:t>$</w:t>
      </w:r>
      <w:r w:rsidR="009B2665">
        <w:rPr>
          <w:rFonts w:ascii="Arial Narrow" w:hAnsi="Arial Narrow"/>
          <w:i/>
          <w:sz w:val="18"/>
          <w:szCs w:val="18"/>
        </w:rPr>
        <w:t>5</w:t>
      </w:r>
      <w:r w:rsidRPr="000D6911">
        <w:rPr>
          <w:rFonts w:ascii="Arial Narrow" w:hAnsi="Arial Narrow"/>
          <w:i/>
          <w:sz w:val="18"/>
          <w:szCs w:val="18"/>
        </w:rPr>
        <w:t>5,000 to &lt; $</w:t>
      </w:r>
      <w:r w:rsidR="009B2665">
        <w:rPr>
          <w:rFonts w:ascii="Arial Narrow" w:hAnsi="Arial Narrow"/>
          <w:i/>
          <w:sz w:val="18"/>
          <w:szCs w:val="18"/>
        </w:rPr>
        <w:t>7</w:t>
      </w:r>
      <w:r w:rsidRPr="000D6911">
        <w:rPr>
          <w:rFonts w:ascii="Arial Narrow" w:hAnsi="Arial Narrow"/>
          <w:i/>
          <w:sz w:val="18"/>
          <w:szCs w:val="18"/>
        </w:rPr>
        <w:t>5,000</w:t>
      </w:r>
    </w:p>
    <w:p w14:paraId="2171B031" w14:textId="77777777" w:rsidR="00DC402B" w:rsidRPr="009E4EB8" w:rsidRDefault="00DC402B" w:rsidP="00DC402B">
      <w:pPr>
        <w:pStyle w:val="In-tableHeading"/>
        <w:rPr>
          <w:lang w:val="en-AU"/>
        </w:rPr>
      </w:pPr>
    </w:p>
    <w:p w14:paraId="078CF0B2" w14:textId="06EF6BCC" w:rsidR="00C633B9" w:rsidRPr="009E4EB8" w:rsidRDefault="00DC402B" w:rsidP="00C633B9">
      <w:pPr>
        <w:pStyle w:val="3-BodyText"/>
      </w:pPr>
      <w:r w:rsidRPr="009E4EB8">
        <w:t>Treatment with Sd resulted in estimated incremental cost of $</w:t>
      </w:r>
      <w:r w:rsidR="00992522" w:rsidRPr="00992522">
        <w:rPr>
          <w:color w:val="000000"/>
          <w:w w:val="60"/>
          <w:shd w:val="solid" w:color="000000" w:fill="000000"/>
          <w:fitText w:val="470" w:id="-1504991485"/>
          <w14:textFill>
            <w14:solidFill>
              <w14:srgbClr w14:val="000000">
                <w14:alpha w14:val="100000"/>
              </w14:srgbClr>
            </w14:solidFill>
          </w14:textFill>
        </w:rPr>
        <w:t>|||  ||</w:t>
      </w:r>
      <w:r w:rsidR="00992522" w:rsidRPr="00992522">
        <w:rPr>
          <w:color w:val="000000"/>
          <w:spacing w:val="6"/>
          <w:w w:val="60"/>
          <w:shd w:val="solid" w:color="000000" w:fill="000000"/>
          <w:fitText w:val="470" w:id="-1504991485"/>
          <w14:textFill>
            <w14:solidFill>
              <w14:srgbClr w14:val="000000">
                <w14:alpha w14:val="100000"/>
              </w14:srgbClr>
            </w14:solidFill>
          </w14:textFill>
        </w:rPr>
        <w:t>|</w:t>
      </w:r>
      <w:r w:rsidRPr="009E4EB8">
        <w:t xml:space="preserve">, incremental life years (LYs) of 0.3747 and incremental QALYs of 0.2207, compared with treatment with DCEP, resulting in an ICER per LY of </w:t>
      </w:r>
      <w:r w:rsidR="009B2665" w:rsidRPr="009B2665">
        <w:rPr>
          <w:iCs/>
        </w:rPr>
        <w:t>$35,000 to &lt; $45,000</w:t>
      </w:r>
      <w:r w:rsidR="009B2665">
        <w:rPr>
          <w:i/>
        </w:rPr>
        <w:t xml:space="preserve"> </w:t>
      </w:r>
      <w:r w:rsidRPr="009E4EB8">
        <w:rPr>
          <w:iCs/>
        </w:rPr>
        <w:t xml:space="preserve">(updated </w:t>
      </w:r>
      <w:r w:rsidR="009B2665" w:rsidRPr="009B2665">
        <w:rPr>
          <w:iCs/>
        </w:rPr>
        <w:t>$35,000 to &lt; $45,000</w:t>
      </w:r>
      <w:r w:rsidRPr="009E4EB8">
        <w:rPr>
          <w:iCs/>
        </w:rPr>
        <w:t xml:space="preserve">; based on Round 23 data (2018-19), with a </w:t>
      </w:r>
      <w:r w:rsidR="00441EE3" w:rsidRPr="009E4EB8">
        <w:rPr>
          <w:iCs/>
        </w:rPr>
        <w:t xml:space="preserve">national efficient price </w:t>
      </w:r>
      <w:r w:rsidRPr="009E4EB8">
        <w:rPr>
          <w:iCs/>
        </w:rPr>
        <w:t>of $</w:t>
      </w:r>
      <w:r w:rsidR="00992522" w:rsidRPr="00964E38">
        <w:rPr>
          <w:iCs/>
          <w:color w:val="000000"/>
          <w:w w:val="15"/>
          <w:shd w:val="solid" w:color="000000" w:fill="000000"/>
          <w:fitText w:val="-20" w:id="-1504991484"/>
          <w14:textFill>
            <w14:solidFill>
              <w14:srgbClr w14:val="000000">
                <w14:alpha w14:val="100000"/>
              </w14:srgbClr>
            </w14:solidFill>
          </w14:textFill>
        </w:rPr>
        <w:t xml:space="preserve">|  </w:t>
      </w:r>
      <w:r w:rsidR="00992522" w:rsidRPr="00964E38">
        <w:rPr>
          <w:iCs/>
          <w:color w:val="000000"/>
          <w:spacing w:val="-69"/>
          <w:w w:val="15"/>
          <w:shd w:val="solid" w:color="000000" w:fill="000000"/>
          <w:fitText w:val="-20" w:id="-1504991484"/>
          <w14:textFill>
            <w14:solidFill>
              <w14:srgbClr w14:val="000000">
                <w14:alpha w14:val="100000"/>
              </w14:srgbClr>
            </w14:solidFill>
          </w14:textFill>
        </w:rPr>
        <w:t>|</w:t>
      </w:r>
      <w:r w:rsidRPr="009E4EB8">
        <w:rPr>
          <w:iCs/>
        </w:rPr>
        <w:t xml:space="preserve"> per </w:t>
      </w:r>
      <w:r w:rsidR="00441EE3" w:rsidRPr="009E4EB8">
        <w:rPr>
          <w:rFonts w:cs="Calibri"/>
          <w:iCs/>
        </w:rPr>
        <w:t xml:space="preserve">national weighted activity unit </w:t>
      </w:r>
      <w:r w:rsidRPr="009E4EB8">
        <w:rPr>
          <w:iCs/>
        </w:rPr>
        <w:t xml:space="preserve">2021-22) </w:t>
      </w:r>
      <w:r w:rsidRPr="009E4EB8">
        <w:t xml:space="preserve">and an ICER per QALY of </w:t>
      </w:r>
      <w:r w:rsidR="009B2665" w:rsidRPr="009B2665">
        <w:rPr>
          <w:iCs/>
        </w:rPr>
        <w:t>$</w:t>
      </w:r>
      <w:r w:rsidR="009B2665">
        <w:rPr>
          <w:iCs/>
        </w:rPr>
        <w:t>5</w:t>
      </w:r>
      <w:r w:rsidR="009B2665" w:rsidRPr="009B2665">
        <w:rPr>
          <w:iCs/>
        </w:rPr>
        <w:t>5,000 to &lt; $</w:t>
      </w:r>
      <w:r w:rsidR="009B2665">
        <w:rPr>
          <w:iCs/>
        </w:rPr>
        <w:t>7</w:t>
      </w:r>
      <w:r w:rsidR="009B2665" w:rsidRPr="009B2665">
        <w:rPr>
          <w:iCs/>
        </w:rPr>
        <w:t>5,000</w:t>
      </w:r>
      <w:r w:rsidR="009B2665">
        <w:rPr>
          <w:i/>
        </w:rPr>
        <w:t xml:space="preserve"> </w:t>
      </w:r>
      <w:r w:rsidRPr="009E4EB8">
        <w:rPr>
          <w:iCs/>
        </w:rPr>
        <w:t xml:space="preserve">(updated </w:t>
      </w:r>
      <w:r w:rsidR="009B2665" w:rsidRPr="009B2665">
        <w:rPr>
          <w:iCs/>
        </w:rPr>
        <w:t>$</w:t>
      </w:r>
      <w:r w:rsidR="009B2665">
        <w:rPr>
          <w:iCs/>
        </w:rPr>
        <w:t>5</w:t>
      </w:r>
      <w:r w:rsidR="009B2665" w:rsidRPr="009B2665">
        <w:rPr>
          <w:iCs/>
        </w:rPr>
        <w:t>5,000 to &lt; $</w:t>
      </w:r>
      <w:r w:rsidR="009B2665">
        <w:rPr>
          <w:iCs/>
        </w:rPr>
        <w:t>7</w:t>
      </w:r>
      <w:r w:rsidR="009B2665" w:rsidRPr="009B2665">
        <w:rPr>
          <w:iCs/>
        </w:rPr>
        <w:t>5,000</w:t>
      </w:r>
      <w:r w:rsidR="00D91AB5" w:rsidRPr="009E4EB8">
        <w:rPr>
          <w:iCs/>
        </w:rPr>
        <w:t xml:space="preserve">). </w:t>
      </w:r>
      <w:r w:rsidR="00C633B9" w:rsidRPr="009E4EB8">
        <w:t xml:space="preserve">The results of key sensitivity analyses are summarised in Table 13. </w:t>
      </w:r>
    </w:p>
    <w:p w14:paraId="5EE87BAD" w14:textId="26A7167B" w:rsidR="00C633B9" w:rsidRPr="009E4EB8" w:rsidRDefault="00C633B9" w:rsidP="00C1070E">
      <w:pPr>
        <w:pStyle w:val="Caption"/>
        <w:keepNext/>
        <w:spacing w:after="0"/>
        <w:rPr>
          <w:rFonts w:ascii="Arial Narrow" w:hAnsi="Arial Narrow"/>
          <w:color w:val="auto"/>
          <w:sz w:val="20"/>
          <w:szCs w:val="20"/>
        </w:rPr>
      </w:pPr>
      <w:r w:rsidRPr="009E4EB8">
        <w:rPr>
          <w:rFonts w:ascii="Arial Narrow" w:hAnsi="Arial Narrow"/>
          <w:color w:val="auto"/>
          <w:sz w:val="20"/>
          <w:szCs w:val="20"/>
        </w:rPr>
        <w:t xml:space="preserve">Table </w:t>
      </w:r>
      <w:r w:rsidRPr="009E4EB8">
        <w:rPr>
          <w:rFonts w:ascii="Arial Narrow" w:hAnsi="Arial Narrow"/>
          <w:color w:val="auto"/>
          <w:sz w:val="20"/>
          <w:szCs w:val="20"/>
        </w:rPr>
        <w:fldChar w:fldCharType="begin"/>
      </w:r>
      <w:r w:rsidRPr="009E4EB8">
        <w:rPr>
          <w:rFonts w:ascii="Arial Narrow" w:hAnsi="Arial Narrow"/>
          <w:color w:val="auto"/>
          <w:sz w:val="20"/>
          <w:szCs w:val="20"/>
        </w:rPr>
        <w:instrText xml:space="preserve"> SEQ Table \* ARABIC </w:instrText>
      </w:r>
      <w:r w:rsidRPr="009E4EB8">
        <w:rPr>
          <w:rFonts w:ascii="Arial Narrow" w:hAnsi="Arial Narrow"/>
          <w:color w:val="auto"/>
          <w:sz w:val="20"/>
          <w:szCs w:val="20"/>
        </w:rPr>
        <w:fldChar w:fldCharType="separate"/>
      </w:r>
      <w:r w:rsidR="00964E38">
        <w:rPr>
          <w:rFonts w:ascii="Arial Narrow" w:hAnsi="Arial Narrow"/>
          <w:noProof/>
          <w:color w:val="auto"/>
          <w:sz w:val="20"/>
          <w:szCs w:val="20"/>
        </w:rPr>
        <w:t>13</w:t>
      </w:r>
      <w:r w:rsidRPr="009E4EB8">
        <w:rPr>
          <w:rFonts w:ascii="Arial Narrow" w:hAnsi="Arial Narrow"/>
          <w:color w:val="auto"/>
          <w:sz w:val="20"/>
          <w:szCs w:val="20"/>
        </w:rPr>
        <w:fldChar w:fldCharType="end"/>
      </w:r>
      <w:r w:rsidRPr="009E4EB8">
        <w:rPr>
          <w:rFonts w:ascii="Arial Narrow" w:hAnsi="Arial Narrow"/>
          <w:color w:val="auto"/>
          <w:sz w:val="20"/>
          <w:szCs w:val="20"/>
        </w:rPr>
        <w:t xml:space="preserve">: </w:t>
      </w:r>
      <w:r w:rsidR="00BA18E3" w:rsidRPr="009E4EB8">
        <w:rPr>
          <w:rFonts w:ascii="Arial Narrow" w:hAnsi="Arial Narrow"/>
          <w:color w:val="auto"/>
          <w:sz w:val="20"/>
          <w:szCs w:val="20"/>
        </w:rPr>
        <w:t xml:space="preserve">Results of sensitivity analyses conducted </w:t>
      </w:r>
      <w:r w:rsidR="00AC2F5D" w:rsidRPr="009E4EB8">
        <w:rPr>
          <w:rFonts w:ascii="Arial Narrow" w:hAnsi="Arial Narrow"/>
          <w:color w:val="auto"/>
          <w:sz w:val="20"/>
          <w:szCs w:val="20"/>
        </w:rPr>
        <w:t>by the resubmission and during the evaluation</w:t>
      </w:r>
    </w:p>
    <w:tbl>
      <w:tblPr>
        <w:tblStyle w:val="Submissionstandard22"/>
        <w:tblW w:w="0" w:type="auto"/>
        <w:shd w:val="clear" w:color="auto" w:fill="FFFFFF" w:themeFill="background1"/>
        <w:tblLayout w:type="fixed"/>
        <w:tblCellMar>
          <w:left w:w="28" w:type="dxa"/>
          <w:right w:w="28" w:type="dxa"/>
        </w:tblCellMar>
        <w:tblLook w:val="04A0" w:firstRow="1" w:lastRow="0" w:firstColumn="1" w:lastColumn="0" w:noHBand="0" w:noVBand="1"/>
      </w:tblPr>
      <w:tblGrid>
        <w:gridCol w:w="1405"/>
        <w:gridCol w:w="1773"/>
        <w:gridCol w:w="1830"/>
        <w:gridCol w:w="996"/>
        <w:gridCol w:w="996"/>
        <w:gridCol w:w="996"/>
        <w:gridCol w:w="1021"/>
      </w:tblGrid>
      <w:tr w:rsidR="00AC2F5D" w:rsidRPr="009E4EB8" w14:paraId="329D1409" w14:textId="77777777" w:rsidTr="00992522">
        <w:trPr>
          <w:cnfStyle w:val="100000000000" w:firstRow="1" w:lastRow="0" w:firstColumn="0" w:lastColumn="0" w:oddVBand="0" w:evenVBand="0" w:oddHBand="0" w:evenHBand="0" w:firstRowFirstColumn="0" w:firstRowLastColumn="0" w:lastRowFirstColumn="0" w:lastRowLastColumn="0"/>
        </w:trPr>
        <w:tc>
          <w:tcPr>
            <w:tcW w:w="1405" w:type="dxa"/>
            <w:shd w:val="clear" w:color="auto" w:fill="auto"/>
            <w:vAlign w:val="center"/>
            <w:hideMark/>
          </w:tcPr>
          <w:p w14:paraId="74BA2E9E" w14:textId="77777777" w:rsidR="00AC2F5D" w:rsidRPr="009E4EB8" w:rsidRDefault="00AC2F5D" w:rsidP="00D041EE">
            <w:pPr>
              <w:keepNext/>
              <w:keepLines/>
              <w:widowControl w:val="0"/>
              <w:jc w:val="center"/>
              <w:rPr>
                <w:rFonts w:ascii="Arial Narrow" w:hAnsi="Arial Narrow"/>
                <w:sz w:val="20"/>
                <w:szCs w:val="20"/>
                <w:lang w:val="en-AU"/>
              </w:rPr>
            </w:pPr>
            <w:r w:rsidRPr="009E4EB8">
              <w:rPr>
                <w:rFonts w:ascii="Arial Narrow" w:hAnsi="Arial Narrow"/>
                <w:sz w:val="20"/>
                <w:szCs w:val="20"/>
                <w:lang w:val="en-AU"/>
              </w:rPr>
              <w:t>Scenario</w:t>
            </w:r>
          </w:p>
        </w:tc>
        <w:tc>
          <w:tcPr>
            <w:tcW w:w="1773" w:type="dxa"/>
            <w:shd w:val="clear" w:color="auto" w:fill="auto"/>
            <w:vAlign w:val="center"/>
            <w:hideMark/>
          </w:tcPr>
          <w:p w14:paraId="259B5D89" w14:textId="77777777" w:rsidR="00AC2F5D" w:rsidRPr="009E4EB8" w:rsidRDefault="00AC2F5D" w:rsidP="00D041EE">
            <w:pPr>
              <w:keepNext/>
              <w:keepLines/>
              <w:widowControl w:val="0"/>
              <w:jc w:val="center"/>
              <w:rPr>
                <w:rFonts w:ascii="Arial Narrow" w:hAnsi="Arial Narrow"/>
                <w:sz w:val="20"/>
                <w:szCs w:val="20"/>
                <w:lang w:val="en-AU"/>
              </w:rPr>
            </w:pPr>
            <w:r w:rsidRPr="009E4EB8">
              <w:rPr>
                <w:rFonts w:ascii="Arial Narrow" w:hAnsi="Arial Narrow"/>
                <w:sz w:val="20"/>
                <w:szCs w:val="20"/>
                <w:lang w:val="en-AU"/>
              </w:rPr>
              <w:t>Base-case value</w:t>
            </w:r>
          </w:p>
        </w:tc>
        <w:tc>
          <w:tcPr>
            <w:tcW w:w="1830" w:type="dxa"/>
            <w:shd w:val="clear" w:color="auto" w:fill="auto"/>
            <w:vAlign w:val="center"/>
            <w:hideMark/>
          </w:tcPr>
          <w:p w14:paraId="5460073E" w14:textId="77777777" w:rsidR="00AC2F5D" w:rsidRPr="009E4EB8" w:rsidRDefault="00AC2F5D" w:rsidP="00D041EE">
            <w:pPr>
              <w:keepNext/>
              <w:keepLines/>
              <w:widowControl w:val="0"/>
              <w:jc w:val="center"/>
              <w:rPr>
                <w:rFonts w:ascii="Arial Narrow" w:hAnsi="Arial Narrow"/>
                <w:sz w:val="20"/>
                <w:szCs w:val="20"/>
                <w:lang w:val="en-AU"/>
              </w:rPr>
            </w:pPr>
            <w:r w:rsidRPr="009E4EB8">
              <w:rPr>
                <w:rFonts w:ascii="Arial Narrow" w:hAnsi="Arial Narrow"/>
                <w:sz w:val="20"/>
                <w:szCs w:val="20"/>
                <w:lang w:val="en-AU"/>
              </w:rPr>
              <w:t>Scenario analysis value</w:t>
            </w:r>
          </w:p>
        </w:tc>
        <w:tc>
          <w:tcPr>
            <w:tcW w:w="996" w:type="dxa"/>
            <w:tcBorders>
              <w:bottom w:val="single" w:sz="4" w:space="0" w:color="auto"/>
            </w:tcBorders>
            <w:shd w:val="clear" w:color="auto" w:fill="auto"/>
            <w:vAlign w:val="center"/>
            <w:hideMark/>
          </w:tcPr>
          <w:p w14:paraId="0302B164" w14:textId="3C1C85F2" w:rsidR="00AC2F5D" w:rsidRPr="009E4EB8" w:rsidRDefault="00AC2F5D" w:rsidP="00D041EE">
            <w:pPr>
              <w:keepNext/>
              <w:keepLines/>
              <w:widowControl w:val="0"/>
              <w:jc w:val="center"/>
              <w:rPr>
                <w:rFonts w:ascii="Arial Narrow" w:hAnsi="Arial Narrow"/>
                <w:sz w:val="20"/>
                <w:szCs w:val="20"/>
                <w:lang w:val="en-AU"/>
              </w:rPr>
            </w:pPr>
            <w:r w:rsidRPr="009E4EB8">
              <w:rPr>
                <w:rFonts w:ascii="Arial Narrow" w:hAnsi="Arial Narrow"/>
                <w:sz w:val="20"/>
                <w:szCs w:val="20"/>
                <w:lang w:val="en-AU"/>
              </w:rPr>
              <w:t xml:space="preserve">Incremental </w:t>
            </w:r>
            <w:r w:rsidR="009B2665" w:rsidRPr="009E4EB8">
              <w:rPr>
                <w:rFonts w:ascii="Arial Narrow" w:hAnsi="Arial Narrow"/>
                <w:sz w:val="20"/>
                <w:szCs w:val="20"/>
                <w:lang w:val="en-AU"/>
              </w:rPr>
              <w:t xml:space="preserve">costs </w:t>
            </w:r>
            <w:r w:rsidR="009B2665">
              <w:rPr>
                <w:rFonts w:ascii="Arial Narrow" w:hAnsi="Arial Narrow"/>
                <w:sz w:val="20"/>
                <w:szCs w:val="20"/>
                <w:lang w:val="en-AU"/>
              </w:rPr>
              <w:t>($)</w:t>
            </w:r>
          </w:p>
        </w:tc>
        <w:tc>
          <w:tcPr>
            <w:tcW w:w="996" w:type="dxa"/>
            <w:shd w:val="clear" w:color="auto" w:fill="auto"/>
            <w:vAlign w:val="center"/>
            <w:hideMark/>
          </w:tcPr>
          <w:p w14:paraId="195BF0F8" w14:textId="2D4B61B8" w:rsidR="00AC2F5D" w:rsidRPr="009E4EB8" w:rsidRDefault="00AC2F5D" w:rsidP="00D041EE">
            <w:pPr>
              <w:keepNext/>
              <w:keepLines/>
              <w:widowControl w:val="0"/>
              <w:jc w:val="center"/>
              <w:rPr>
                <w:rFonts w:ascii="Arial Narrow" w:hAnsi="Arial Narrow"/>
                <w:sz w:val="20"/>
                <w:szCs w:val="20"/>
                <w:lang w:val="en-AU"/>
              </w:rPr>
            </w:pPr>
            <w:proofErr w:type="spellStart"/>
            <w:r w:rsidRPr="009E4EB8">
              <w:rPr>
                <w:rFonts w:ascii="Arial Narrow" w:hAnsi="Arial Narrow"/>
                <w:sz w:val="20"/>
                <w:szCs w:val="20"/>
                <w:lang w:val="en-AU"/>
              </w:rPr>
              <w:t>Incremental</w:t>
            </w:r>
            <w:r w:rsidR="009B2665" w:rsidRPr="009E4EB8">
              <w:rPr>
                <w:rFonts w:ascii="Arial Narrow" w:hAnsi="Arial Narrow"/>
                <w:sz w:val="20"/>
                <w:szCs w:val="20"/>
                <w:lang w:val="en-AU"/>
              </w:rPr>
              <w:t>outcome</w:t>
            </w:r>
            <w:r w:rsidR="009B2665">
              <w:rPr>
                <w:rFonts w:ascii="Arial Narrow" w:hAnsi="Arial Narrow"/>
                <w:sz w:val="20"/>
                <w:szCs w:val="20"/>
                <w:lang w:val="en-AU"/>
              </w:rPr>
              <w:t>s</w:t>
            </w:r>
            <w:proofErr w:type="spellEnd"/>
            <w:r w:rsidRPr="009E4EB8">
              <w:rPr>
                <w:rFonts w:ascii="Arial Narrow" w:hAnsi="Arial Narrow"/>
                <w:sz w:val="20"/>
                <w:szCs w:val="20"/>
                <w:lang w:val="en-AU"/>
              </w:rPr>
              <w:t xml:space="preserve"> </w:t>
            </w:r>
          </w:p>
        </w:tc>
        <w:tc>
          <w:tcPr>
            <w:tcW w:w="996" w:type="dxa"/>
            <w:shd w:val="clear" w:color="auto" w:fill="auto"/>
            <w:vAlign w:val="center"/>
            <w:hideMark/>
          </w:tcPr>
          <w:p w14:paraId="773810F1" w14:textId="61121631" w:rsidR="00AC2F5D" w:rsidRPr="009E4EB8" w:rsidRDefault="00AC2F5D" w:rsidP="00D041EE">
            <w:pPr>
              <w:keepNext/>
              <w:keepLines/>
              <w:widowControl w:val="0"/>
              <w:jc w:val="center"/>
              <w:rPr>
                <w:rFonts w:ascii="Arial Narrow" w:hAnsi="Arial Narrow"/>
                <w:sz w:val="20"/>
                <w:szCs w:val="20"/>
                <w:lang w:val="en-AU"/>
              </w:rPr>
            </w:pPr>
            <w:r w:rsidRPr="009E4EB8">
              <w:rPr>
                <w:rFonts w:ascii="Arial Narrow" w:hAnsi="Arial Narrow"/>
                <w:sz w:val="20"/>
                <w:szCs w:val="20"/>
                <w:lang w:val="en-AU"/>
              </w:rPr>
              <w:t>ICER</w:t>
            </w:r>
            <w:r w:rsidR="009B2665">
              <w:rPr>
                <w:rFonts w:ascii="Arial Narrow" w:hAnsi="Arial Narrow"/>
                <w:sz w:val="20"/>
                <w:szCs w:val="20"/>
                <w:lang w:val="en-AU"/>
              </w:rPr>
              <w:t xml:space="preserve"> ($)</w:t>
            </w:r>
          </w:p>
        </w:tc>
        <w:tc>
          <w:tcPr>
            <w:tcW w:w="1021" w:type="dxa"/>
            <w:shd w:val="clear" w:color="auto" w:fill="auto"/>
          </w:tcPr>
          <w:p w14:paraId="3CEEDCE5" w14:textId="77777777" w:rsidR="00AC2F5D" w:rsidRPr="009E4EB8" w:rsidRDefault="00AC2F5D" w:rsidP="00D041EE">
            <w:pPr>
              <w:keepNext/>
              <w:keepLines/>
              <w:widowControl w:val="0"/>
              <w:jc w:val="center"/>
              <w:rPr>
                <w:rFonts w:ascii="Arial Narrow" w:hAnsi="Arial Narrow"/>
                <w:sz w:val="20"/>
                <w:szCs w:val="20"/>
                <w:lang w:val="en-AU"/>
              </w:rPr>
            </w:pPr>
            <w:r w:rsidRPr="009E4EB8">
              <w:rPr>
                <w:rFonts w:ascii="Arial Narrow" w:hAnsi="Arial Narrow" w:cs="Cordia New"/>
                <w:sz w:val="20"/>
                <w:szCs w:val="20"/>
                <w:lang w:val="en-AU"/>
              </w:rPr>
              <w:t>Change in ICER from base case</w:t>
            </w:r>
          </w:p>
        </w:tc>
      </w:tr>
      <w:tr w:rsidR="00AC2F5D" w:rsidRPr="009E4EB8" w14:paraId="5BCAC1D9" w14:textId="77777777" w:rsidTr="00992522">
        <w:tc>
          <w:tcPr>
            <w:tcW w:w="5008" w:type="dxa"/>
            <w:gridSpan w:val="3"/>
            <w:shd w:val="clear" w:color="auto" w:fill="auto"/>
            <w:vAlign w:val="center"/>
            <w:hideMark/>
          </w:tcPr>
          <w:p w14:paraId="4F1664C0" w14:textId="03983582" w:rsidR="00AC2F5D" w:rsidRPr="009E4EB8" w:rsidRDefault="00AC2F5D" w:rsidP="00D041EE">
            <w:pPr>
              <w:keepNext/>
              <w:keepLines/>
              <w:widowControl w:val="0"/>
              <w:jc w:val="left"/>
              <w:rPr>
                <w:rFonts w:ascii="Arial Narrow" w:hAnsi="Arial Narrow"/>
                <w:b/>
                <w:bCs/>
                <w:sz w:val="20"/>
                <w:szCs w:val="20"/>
                <w:vertAlign w:val="superscript"/>
                <w:lang w:val="en-AU"/>
              </w:rPr>
            </w:pPr>
            <w:r w:rsidRPr="009E4EB8">
              <w:rPr>
                <w:rFonts w:ascii="Arial Narrow" w:hAnsi="Arial Narrow"/>
                <w:b/>
                <w:bCs/>
                <w:sz w:val="20"/>
                <w:szCs w:val="20"/>
                <w:lang w:val="en-AU"/>
              </w:rPr>
              <w:t xml:space="preserve">Base-case </w:t>
            </w:r>
            <w:r w:rsidR="00352388" w:rsidRPr="009E4EB8">
              <w:rPr>
                <w:rFonts w:ascii="Arial Narrow" w:hAnsi="Arial Narrow"/>
                <w:b/>
                <w:bCs/>
                <w:sz w:val="20"/>
                <w:szCs w:val="20"/>
                <w:vertAlign w:val="superscript"/>
                <w:lang w:val="en-AU"/>
              </w:rPr>
              <w:t>a</w:t>
            </w:r>
          </w:p>
        </w:tc>
        <w:tc>
          <w:tcPr>
            <w:tcW w:w="996" w:type="dxa"/>
            <w:tcBorders>
              <w:bottom w:val="single" w:sz="4" w:space="0" w:color="auto"/>
            </w:tcBorders>
            <w:shd w:val="solid" w:color="000000" w:fill="000000"/>
            <w:vAlign w:val="center"/>
          </w:tcPr>
          <w:p w14:paraId="2923FE88" w14:textId="50229875" w:rsidR="00AC2F5D" w:rsidRPr="00992522" w:rsidRDefault="00992522" w:rsidP="00D041EE">
            <w:pPr>
              <w:keepNext/>
              <w:keepLines/>
              <w:widowControl w:val="0"/>
              <w:jc w:val="center"/>
              <w:rPr>
                <w:rFonts w:ascii="Arial Narrow" w:hAnsi="Arial Narrow"/>
                <w:b/>
                <w:bCs/>
                <w:sz w:val="20"/>
                <w:szCs w:val="20"/>
                <w:lang w:val="en-AU"/>
              </w:rPr>
            </w:pPr>
            <w:r w:rsidRPr="00992522">
              <w:rPr>
                <w:rFonts w:ascii="Arial Narrow" w:hAnsi="Arial Narrow" w:cs="Calibri" w:hint="eastAsia"/>
                <w:b/>
                <w:bCs/>
                <w:color w:val="000000"/>
                <w:w w:val="29"/>
                <w:sz w:val="20"/>
                <w:szCs w:val="20"/>
                <w:fitText w:val="130" w:id="-1504991483"/>
                <w:lang w:val="en-AU"/>
                <w14:textFill>
                  <w14:solidFill>
                    <w14:srgbClr w14:val="000000">
                      <w14:alpha w14:val="100000"/>
                    </w14:srgbClr>
                  </w14:solidFill>
                </w14:textFill>
              </w:rPr>
              <w:t xml:space="preserve">　</w:t>
            </w:r>
            <w:r w:rsidRPr="00992522">
              <w:rPr>
                <w:rFonts w:ascii="Arial Narrow" w:hAnsi="Arial Narrow" w:cs="Calibri"/>
                <w:b/>
                <w:bCs/>
                <w:color w:val="000000"/>
                <w:w w:val="29"/>
                <w:sz w:val="20"/>
                <w:szCs w:val="20"/>
                <w:fitText w:val="130" w:id="-1504991483"/>
                <w:lang w:val="en-AU"/>
                <w14:textFill>
                  <w14:solidFill>
                    <w14:srgbClr w14:val="000000">
                      <w14:alpha w14:val="100000"/>
                    </w14:srgbClr>
                  </w14:solidFill>
                </w14:textFill>
              </w:rPr>
              <w:t>|</w:t>
            </w:r>
            <w:r w:rsidRPr="00992522">
              <w:rPr>
                <w:rFonts w:ascii="Arial Narrow" w:hAnsi="Arial Narrow" w:cs="Calibri" w:hint="eastAsia"/>
                <w:b/>
                <w:bCs/>
                <w:color w:val="000000"/>
                <w:w w:val="29"/>
                <w:sz w:val="20"/>
                <w:szCs w:val="20"/>
                <w:fitText w:val="130" w:id="-1504991483"/>
                <w:lang w:val="en-AU"/>
                <w14:textFill>
                  <w14:solidFill>
                    <w14:srgbClr w14:val="000000">
                      <w14:alpha w14:val="100000"/>
                    </w14:srgbClr>
                  </w14:solidFill>
                </w14:textFill>
              </w:rPr>
              <w:t xml:space="preserve">　</w:t>
            </w:r>
          </w:p>
        </w:tc>
        <w:tc>
          <w:tcPr>
            <w:tcW w:w="996" w:type="dxa"/>
            <w:shd w:val="clear" w:color="auto" w:fill="auto"/>
            <w:vAlign w:val="center"/>
          </w:tcPr>
          <w:p w14:paraId="64E866A5" w14:textId="77777777" w:rsidR="00AC2F5D" w:rsidRPr="009E4EB8" w:rsidRDefault="00AC2F5D" w:rsidP="00D041EE">
            <w:pPr>
              <w:keepNext/>
              <w:keepLines/>
              <w:widowControl w:val="0"/>
              <w:jc w:val="center"/>
              <w:rPr>
                <w:rFonts w:ascii="Arial Narrow" w:hAnsi="Arial Narrow"/>
                <w:b/>
                <w:bCs/>
                <w:sz w:val="20"/>
                <w:szCs w:val="20"/>
                <w:lang w:val="en-AU"/>
              </w:rPr>
            </w:pPr>
            <w:r w:rsidRPr="009E4EB8">
              <w:rPr>
                <w:rFonts w:ascii="Arial Narrow" w:hAnsi="Arial Narrow" w:cs="Calibri"/>
                <w:b/>
                <w:bCs/>
                <w:color w:val="000000"/>
                <w:sz w:val="20"/>
                <w:szCs w:val="20"/>
                <w:lang w:val="en-AU"/>
              </w:rPr>
              <w:t>0.2207</w:t>
            </w:r>
          </w:p>
        </w:tc>
        <w:tc>
          <w:tcPr>
            <w:tcW w:w="996" w:type="dxa"/>
            <w:shd w:val="clear" w:color="auto" w:fill="auto"/>
            <w:vAlign w:val="center"/>
          </w:tcPr>
          <w:p w14:paraId="42B6AD78" w14:textId="7DB73DE0" w:rsidR="00AC2F5D" w:rsidRPr="009B2665" w:rsidRDefault="00992522" w:rsidP="00D041EE">
            <w:pPr>
              <w:keepNext/>
              <w:keepLines/>
              <w:widowControl w:val="0"/>
              <w:jc w:val="center"/>
              <w:rPr>
                <w:rFonts w:ascii="Arial Narrow" w:hAnsi="Arial Narrow"/>
                <w:b/>
                <w:bCs/>
                <w:sz w:val="20"/>
                <w:szCs w:val="20"/>
                <w:highlight w:val="yellow"/>
                <w:vertAlign w:val="superscript"/>
                <w:lang w:val="en-AU"/>
              </w:rPr>
            </w:pPr>
            <w:r w:rsidRPr="00992522">
              <w:rPr>
                <w:rFonts w:ascii="Arial Narrow" w:hAnsi="Arial Narrow" w:cs="Calibri"/>
                <w:b/>
                <w:bCs/>
                <w:color w:val="000000"/>
                <w:spacing w:val="68"/>
                <w:sz w:val="20"/>
                <w:szCs w:val="20"/>
                <w:shd w:val="solid" w:color="000000" w:fill="000000"/>
                <w:fitText w:val="160" w:id="-1504991482"/>
                <w:lang w:val="en-AU"/>
                <w14:textFill>
                  <w14:solidFill>
                    <w14:srgbClr w14:val="000000">
                      <w14:alpha w14:val="100000"/>
                    </w14:srgbClr>
                  </w14:solidFill>
                </w14:textFill>
              </w:rPr>
              <w:t>|</w:t>
            </w:r>
            <w:r w:rsidRPr="00992522">
              <w:rPr>
                <w:rFonts w:ascii="Arial Narrow" w:hAnsi="Arial Narrow" w:cs="Calibri"/>
                <w:b/>
                <w:bCs/>
                <w:color w:val="000000"/>
                <w:spacing w:val="1"/>
                <w:sz w:val="20"/>
                <w:szCs w:val="20"/>
                <w:shd w:val="solid" w:color="000000" w:fill="000000"/>
                <w:fitText w:val="160" w:id="-1504991482"/>
                <w:lang w:val="en-AU"/>
                <w14:textFill>
                  <w14:solidFill>
                    <w14:srgbClr w14:val="000000">
                      <w14:alpha w14:val="100000"/>
                    </w14:srgbClr>
                  </w14:solidFill>
                </w14:textFill>
              </w:rPr>
              <w:t>|</w:t>
            </w:r>
            <w:r w:rsidR="009B2665" w:rsidRPr="009B2665">
              <w:rPr>
                <w:rFonts w:ascii="Arial Narrow" w:hAnsi="Arial Narrow" w:cs="Calibri"/>
                <w:b/>
                <w:bCs/>
                <w:color w:val="000000"/>
                <w:sz w:val="20"/>
                <w:szCs w:val="20"/>
                <w:vertAlign w:val="superscript"/>
                <w:lang w:val="en-AU"/>
              </w:rPr>
              <w:t>1</w:t>
            </w:r>
          </w:p>
        </w:tc>
        <w:tc>
          <w:tcPr>
            <w:tcW w:w="1021" w:type="dxa"/>
            <w:vAlign w:val="center"/>
          </w:tcPr>
          <w:p w14:paraId="7529B326" w14:textId="77777777" w:rsidR="00AC2F5D" w:rsidRPr="009E4EB8" w:rsidRDefault="00AC2F5D" w:rsidP="00D041EE">
            <w:pPr>
              <w:keepNext/>
              <w:keepLines/>
              <w:widowControl w:val="0"/>
              <w:jc w:val="center"/>
              <w:rPr>
                <w:rFonts w:ascii="Arial Narrow" w:hAnsi="Arial Narrow" w:cs="Calibri"/>
                <w:iCs/>
                <w:color w:val="000000"/>
                <w:sz w:val="20"/>
                <w:szCs w:val="20"/>
                <w:lang w:val="en-AU"/>
              </w:rPr>
            </w:pPr>
            <w:r w:rsidRPr="009E4EB8">
              <w:rPr>
                <w:rFonts w:ascii="Arial Narrow" w:hAnsi="Arial Narrow" w:cs="Calibri"/>
                <w:iCs/>
                <w:color w:val="000000"/>
                <w:sz w:val="20"/>
                <w:szCs w:val="20"/>
                <w:lang w:val="en-AU"/>
              </w:rPr>
              <w:t>-</w:t>
            </w:r>
          </w:p>
        </w:tc>
      </w:tr>
      <w:tr w:rsidR="00AC2F5D" w:rsidRPr="009E4EB8" w14:paraId="74B506E3" w14:textId="77777777" w:rsidTr="00992522">
        <w:tc>
          <w:tcPr>
            <w:tcW w:w="1405" w:type="dxa"/>
            <w:shd w:val="clear" w:color="auto" w:fill="auto"/>
            <w:vAlign w:val="center"/>
            <w:hideMark/>
          </w:tcPr>
          <w:p w14:paraId="256D7F85" w14:textId="77777777" w:rsidR="00AC2F5D" w:rsidRPr="009E4EB8" w:rsidRDefault="00AC2F5D" w:rsidP="00D041EE">
            <w:pPr>
              <w:keepNext/>
              <w:keepLines/>
              <w:widowControl w:val="0"/>
              <w:jc w:val="left"/>
              <w:rPr>
                <w:rFonts w:ascii="Arial Narrow" w:hAnsi="Arial Narrow"/>
                <w:sz w:val="20"/>
                <w:szCs w:val="20"/>
                <w:lang w:val="en-AU"/>
              </w:rPr>
            </w:pPr>
            <w:r w:rsidRPr="009E4EB8">
              <w:rPr>
                <w:rFonts w:ascii="Arial Narrow" w:hAnsi="Arial Narrow"/>
                <w:sz w:val="20"/>
                <w:szCs w:val="20"/>
                <w:lang w:val="en-AU"/>
              </w:rPr>
              <w:t xml:space="preserve">OS extrapolation </w:t>
            </w:r>
          </w:p>
        </w:tc>
        <w:tc>
          <w:tcPr>
            <w:tcW w:w="1773" w:type="dxa"/>
            <w:shd w:val="clear" w:color="auto" w:fill="auto"/>
            <w:vAlign w:val="center"/>
            <w:hideMark/>
          </w:tcPr>
          <w:p w14:paraId="74C1C8C3" w14:textId="77777777" w:rsidR="00AC2F5D" w:rsidRPr="009E4EB8" w:rsidRDefault="00AC2F5D" w:rsidP="00D041EE">
            <w:pPr>
              <w:keepNext/>
              <w:keepLines/>
              <w:widowControl w:val="0"/>
              <w:jc w:val="left"/>
              <w:rPr>
                <w:rFonts w:ascii="Arial Narrow" w:hAnsi="Arial Narrow"/>
                <w:sz w:val="20"/>
                <w:szCs w:val="20"/>
                <w:lang w:val="en-AU"/>
              </w:rPr>
            </w:pPr>
            <w:r w:rsidRPr="009E4EB8">
              <w:rPr>
                <w:rFonts w:ascii="Arial Narrow" w:hAnsi="Arial Narrow"/>
                <w:sz w:val="20"/>
                <w:szCs w:val="20"/>
                <w:lang w:val="en-AU"/>
              </w:rPr>
              <w:t>Sd: Log-normal</w:t>
            </w:r>
          </w:p>
          <w:p w14:paraId="493FCA90" w14:textId="77777777" w:rsidR="00AC2F5D" w:rsidRPr="009E4EB8" w:rsidRDefault="00AC2F5D" w:rsidP="00D041EE">
            <w:pPr>
              <w:keepNext/>
              <w:keepLines/>
              <w:widowControl w:val="0"/>
              <w:jc w:val="left"/>
              <w:rPr>
                <w:rFonts w:ascii="Arial Narrow" w:hAnsi="Arial Narrow"/>
                <w:sz w:val="20"/>
                <w:szCs w:val="20"/>
                <w:lang w:val="en-AU"/>
              </w:rPr>
            </w:pPr>
            <w:r w:rsidRPr="009E4EB8">
              <w:rPr>
                <w:rFonts w:ascii="Arial Narrow" w:hAnsi="Arial Narrow"/>
                <w:sz w:val="20"/>
                <w:szCs w:val="20"/>
                <w:lang w:val="en-AU"/>
              </w:rPr>
              <w:t>SoC: Log-normal</w:t>
            </w:r>
          </w:p>
        </w:tc>
        <w:tc>
          <w:tcPr>
            <w:tcW w:w="1830" w:type="dxa"/>
            <w:shd w:val="clear" w:color="auto" w:fill="auto"/>
            <w:vAlign w:val="center"/>
          </w:tcPr>
          <w:p w14:paraId="2F4ADB8B" w14:textId="054B694E" w:rsidR="00AC2F5D" w:rsidRPr="009E4EB8" w:rsidRDefault="00AC2F5D" w:rsidP="00D041EE">
            <w:pPr>
              <w:keepNext/>
              <w:keepLines/>
              <w:widowControl w:val="0"/>
              <w:jc w:val="left"/>
              <w:rPr>
                <w:rFonts w:ascii="Arial Narrow" w:hAnsi="Arial Narrow"/>
                <w:sz w:val="20"/>
                <w:szCs w:val="20"/>
                <w:lang w:val="en-AU"/>
              </w:rPr>
            </w:pPr>
            <w:r w:rsidRPr="009E4EB8">
              <w:rPr>
                <w:rFonts w:ascii="Arial Narrow" w:hAnsi="Arial Narrow"/>
                <w:sz w:val="20"/>
                <w:szCs w:val="20"/>
                <w:lang w:val="en-AU"/>
              </w:rPr>
              <w:t>Sd: Gen. gamma</w:t>
            </w:r>
          </w:p>
        </w:tc>
        <w:tc>
          <w:tcPr>
            <w:tcW w:w="996" w:type="dxa"/>
            <w:tcBorders>
              <w:bottom w:val="single" w:sz="4" w:space="0" w:color="auto"/>
            </w:tcBorders>
            <w:shd w:val="solid" w:color="000000" w:fill="000000"/>
            <w:vAlign w:val="center"/>
          </w:tcPr>
          <w:p w14:paraId="65D5262E" w14:textId="2DA04474" w:rsidR="00AC2F5D" w:rsidRPr="00992522" w:rsidRDefault="00992522" w:rsidP="00D041EE">
            <w:pPr>
              <w:keepNext/>
              <w:keepLines/>
              <w:widowControl w:val="0"/>
              <w:jc w:val="center"/>
              <w:rPr>
                <w:rFonts w:ascii="Arial Narrow" w:hAnsi="Arial Narrow"/>
                <w:sz w:val="20"/>
                <w:szCs w:val="20"/>
                <w:lang w:val="en-AU"/>
              </w:rPr>
            </w:pPr>
            <w:r w:rsidRPr="00992522">
              <w:rPr>
                <w:rFonts w:ascii="Arial Narrow" w:hAnsi="Arial Narrow" w:cs="Calibri" w:hint="eastAsia"/>
                <w:color w:val="000000"/>
                <w:w w:val="18"/>
                <w:sz w:val="20"/>
                <w:szCs w:val="20"/>
                <w:fitText w:val="80" w:id="-1504991481"/>
                <w:lang w:val="en-AU"/>
                <w14:textFill>
                  <w14:solidFill>
                    <w14:srgbClr w14:val="000000">
                      <w14:alpha w14:val="100000"/>
                    </w14:srgbClr>
                  </w14:solidFill>
                </w14:textFill>
              </w:rPr>
              <w:t xml:space="preserve">　</w:t>
            </w:r>
            <w:r w:rsidRPr="00992522">
              <w:rPr>
                <w:rFonts w:ascii="Arial Narrow" w:hAnsi="Arial Narrow" w:cs="Calibri"/>
                <w:color w:val="000000"/>
                <w:w w:val="18"/>
                <w:sz w:val="20"/>
                <w:szCs w:val="20"/>
                <w:fitText w:val="80" w:id="-1504991481"/>
                <w:lang w:val="en-AU"/>
                <w14:textFill>
                  <w14:solidFill>
                    <w14:srgbClr w14:val="000000">
                      <w14:alpha w14:val="100000"/>
                    </w14:srgbClr>
                  </w14:solidFill>
                </w14:textFill>
              </w:rPr>
              <w:t>|</w:t>
            </w:r>
            <w:r w:rsidRPr="00992522">
              <w:rPr>
                <w:rFonts w:ascii="Arial Narrow" w:hAnsi="Arial Narrow" w:cs="Calibri" w:hint="eastAsia"/>
                <w:color w:val="000000"/>
                <w:w w:val="18"/>
                <w:sz w:val="20"/>
                <w:szCs w:val="20"/>
                <w:fitText w:val="80" w:id="-1504991481"/>
                <w:lang w:val="en-AU"/>
                <w14:textFill>
                  <w14:solidFill>
                    <w14:srgbClr w14:val="000000">
                      <w14:alpha w14:val="100000"/>
                    </w14:srgbClr>
                  </w14:solidFill>
                </w14:textFill>
              </w:rPr>
              <w:t xml:space="preserve">　</w:t>
            </w:r>
          </w:p>
        </w:tc>
        <w:tc>
          <w:tcPr>
            <w:tcW w:w="996" w:type="dxa"/>
            <w:shd w:val="clear" w:color="auto" w:fill="auto"/>
            <w:vAlign w:val="center"/>
          </w:tcPr>
          <w:p w14:paraId="3D26A5E0" w14:textId="2080E885" w:rsidR="00AC2F5D" w:rsidRPr="009E4EB8" w:rsidRDefault="00AC2F5D" w:rsidP="00D041EE">
            <w:pPr>
              <w:keepNext/>
              <w:keepLines/>
              <w:widowControl w:val="0"/>
              <w:jc w:val="center"/>
              <w:rPr>
                <w:rFonts w:ascii="Arial Narrow" w:hAnsi="Arial Narrow"/>
                <w:sz w:val="20"/>
                <w:szCs w:val="20"/>
                <w:lang w:val="en-AU"/>
              </w:rPr>
            </w:pPr>
            <w:r w:rsidRPr="009E4EB8">
              <w:rPr>
                <w:rFonts w:ascii="Arial Narrow" w:hAnsi="Arial Narrow" w:cs="Calibri"/>
                <w:color w:val="000000"/>
                <w:sz w:val="20"/>
                <w:szCs w:val="20"/>
                <w:lang w:val="en-AU"/>
              </w:rPr>
              <w:t>0.2867</w:t>
            </w:r>
          </w:p>
        </w:tc>
        <w:tc>
          <w:tcPr>
            <w:tcW w:w="996" w:type="dxa"/>
            <w:shd w:val="clear" w:color="auto" w:fill="auto"/>
            <w:vAlign w:val="center"/>
          </w:tcPr>
          <w:p w14:paraId="0EB66330" w14:textId="1780BB60" w:rsidR="00AC2F5D" w:rsidRPr="009B2665" w:rsidRDefault="00992522" w:rsidP="00D041EE">
            <w:pPr>
              <w:keepNext/>
              <w:keepLines/>
              <w:widowControl w:val="0"/>
              <w:jc w:val="center"/>
              <w:rPr>
                <w:rFonts w:ascii="Arial Narrow" w:hAnsi="Arial Narrow"/>
                <w:sz w:val="20"/>
                <w:szCs w:val="20"/>
                <w:highlight w:val="yellow"/>
                <w:lang w:val="en-AU"/>
              </w:rPr>
            </w:pPr>
            <w:r w:rsidRPr="00992522">
              <w:rPr>
                <w:rFonts w:ascii="Arial Narrow" w:hAnsi="Arial Narrow" w:cs="Calibri" w:hint="eastAsia"/>
                <w:color w:val="000000"/>
                <w:w w:val="24"/>
                <w:sz w:val="20"/>
                <w:szCs w:val="20"/>
                <w:shd w:val="solid" w:color="000000" w:fill="000000"/>
                <w:fitText w:val="110" w:id="-1504991480"/>
                <w:lang w:val="en-AU"/>
                <w14:textFill>
                  <w14:solidFill>
                    <w14:srgbClr w14:val="000000">
                      <w14:alpha w14:val="100000"/>
                    </w14:srgbClr>
                  </w14:solidFill>
                </w14:textFill>
              </w:rPr>
              <w:t xml:space="preserve">　</w:t>
            </w:r>
            <w:r w:rsidRPr="00992522">
              <w:rPr>
                <w:rFonts w:ascii="Arial Narrow" w:hAnsi="Arial Narrow" w:cs="Calibri"/>
                <w:color w:val="000000"/>
                <w:w w:val="24"/>
                <w:sz w:val="20"/>
                <w:szCs w:val="20"/>
                <w:shd w:val="solid" w:color="000000" w:fill="000000"/>
                <w:fitText w:val="110" w:id="-1504991480"/>
                <w:lang w:val="en-AU"/>
                <w14:textFill>
                  <w14:solidFill>
                    <w14:srgbClr w14:val="000000">
                      <w14:alpha w14:val="100000"/>
                    </w14:srgbClr>
                  </w14:solidFill>
                </w14:textFill>
              </w:rPr>
              <w:t>|</w:t>
            </w:r>
            <w:r w:rsidRPr="00992522">
              <w:rPr>
                <w:rFonts w:ascii="Arial Narrow" w:hAnsi="Arial Narrow" w:cs="Calibri" w:hint="eastAsia"/>
                <w:color w:val="000000"/>
                <w:spacing w:val="6"/>
                <w:w w:val="24"/>
                <w:sz w:val="20"/>
                <w:szCs w:val="20"/>
                <w:shd w:val="solid" w:color="000000" w:fill="000000"/>
                <w:fitText w:val="110" w:id="-1504991480"/>
                <w:lang w:val="en-AU"/>
                <w14:textFill>
                  <w14:solidFill>
                    <w14:srgbClr w14:val="000000">
                      <w14:alpha w14:val="100000"/>
                    </w14:srgbClr>
                  </w14:solidFill>
                </w14:textFill>
              </w:rPr>
              <w:t xml:space="preserve">　</w:t>
            </w:r>
            <w:r w:rsidR="009B2665">
              <w:rPr>
                <w:rFonts w:ascii="Arial Narrow" w:hAnsi="Arial Narrow" w:cs="Calibri"/>
                <w:b/>
                <w:bCs/>
                <w:color w:val="000000"/>
                <w:sz w:val="20"/>
                <w:szCs w:val="20"/>
                <w:vertAlign w:val="superscript"/>
                <w:lang w:val="en-AU"/>
              </w:rPr>
              <w:t>2</w:t>
            </w:r>
          </w:p>
        </w:tc>
        <w:tc>
          <w:tcPr>
            <w:tcW w:w="1021" w:type="dxa"/>
            <w:vAlign w:val="center"/>
          </w:tcPr>
          <w:p w14:paraId="0607CFA1" w14:textId="1AFB000C" w:rsidR="00AC2F5D" w:rsidRPr="009E4EB8" w:rsidRDefault="00AC2F5D" w:rsidP="00D041EE">
            <w:pPr>
              <w:keepNext/>
              <w:keepLines/>
              <w:widowControl w:val="0"/>
              <w:jc w:val="center"/>
              <w:rPr>
                <w:rFonts w:ascii="Arial Narrow" w:hAnsi="Arial Narrow" w:cs="Calibri"/>
                <w:iCs/>
                <w:color w:val="000000"/>
                <w:sz w:val="20"/>
                <w:szCs w:val="20"/>
                <w:lang w:val="en-AU"/>
              </w:rPr>
            </w:pPr>
            <w:r w:rsidRPr="009E4EB8">
              <w:rPr>
                <w:rFonts w:ascii="Arial Narrow" w:hAnsi="Arial Narrow"/>
                <w:iCs/>
                <w:sz w:val="20"/>
                <w:szCs w:val="20"/>
                <w:lang w:val="en-AU"/>
              </w:rPr>
              <w:t>-23.3%</w:t>
            </w:r>
          </w:p>
        </w:tc>
      </w:tr>
      <w:tr w:rsidR="00BE748D" w:rsidRPr="009E4EB8" w14:paraId="61E2D112" w14:textId="77777777" w:rsidTr="00992522">
        <w:tc>
          <w:tcPr>
            <w:tcW w:w="1405" w:type="dxa"/>
            <w:shd w:val="clear" w:color="auto" w:fill="auto"/>
            <w:vAlign w:val="center"/>
          </w:tcPr>
          <w:p w14:paraId="3F35CCCB" w14:textId="77777777" w:rsidR="00AC2F5D" w:rsidRPr="009E4EB8" w:rsidRDefault="00AC2F5D" w:rsidP="00D041EE">
            <w:pPr>
              <w:keepNext/>
              <w:keepLines/>
              <w:widowControl w:val="0"/>
              <w:jc w:val="left"/>
              <w:rPr>
                <w:rFonts w:ascii="Arial Narrow" w:hAnsi="Arial Narrow"/>
                <w:sz w:val="20"/>
                <w:szCs w:val="20"/>
                <w:lang w:val="en-AU"/>
              </w:rPr>
            </w:pPr>
            <w:r w:rsidRPr="009E4EB8">
              <w:rPr>
                <w:rFonts w:ascii="Arial Narrow" w:hAnsi="Arial Narrow"/>
                <w:sz w:val="20"/>
                <w:szCs w:val="20"/>
                <w:lang w:val="en-AU"/>
              </w:rPr>
              <w:t>OS Converge</w:t>
            </w:r>
          </w:p>
        </w:tc>
        <w:tc>
          <w:tcPr>
            <w:tcW w:w="1773" w:type="dxa"/>
            <w:shd w:val="clear" w:color="auto" w:fill="auto"/>
            <w:vAlign w:val="center"/>
          </w:tcPr>
          <w:p w14:paraId="0DFE61F7" w14:textId="77777777" w:rsidR="00AC2F5D" w:rsidRPr="009E4EB8" w:rsidRDefault="00AC2F5D" w:rsidP="00D041EE">
            <w:pPr>
              <w:keepNext/>
              <w:keepLines/>
              <w:widowControl w:val="0"/>
              <w:jc w:val="left"/>
              <w:rPr>
                <w:rFonts w:ascii="Arial Narrow" w:hAnsi="Arial Narrow"/>
                <w:sz w:val="20"/>
                <w:szCs w:val="20"/>
                <w:lang w:val="en-AU"/>
              </w:rPr>
            </w:pPr>
            <w:r w:rsidRPr="009E4EB8">
              <w:rPr>
                <w:rFonts w:ascii="Arial Narrow" w:hAnsi="Arial Narrow"/>
                <w:sz w:val="20"/>
                <w:szCs w:val="20"/>
                <w:lang w:val="en-AU"/>
              </w:rPr>
              <w:t>48 to 60 months</w:t>
            </w:r>
          </w:p>
        </w:tc>
        <w:tc>
          <w:tcPr>
            <w:tcW w:w="1830" w:type="dxa"/>
            <w:shd w:val="clear" w:color="auto" w:fill="auto"/>
            <w:vAlign w:val="center"/>
          </w:tcPr>
          <w:p w14:paraId="7300E884" w14:textId="77777777" w:rsidR="00AC2F5D" w:rsidRPr="009E4EB8" w:rsidRDefault="00AC2F5D" w:rsidP="00D041EE">
            <w:pPr>
              <w:keepNext/>
              <w:keepLines/>
              <w:widowControl w:val="0"/>
              <w:jc w:val="left"/>
              <w:rPr>
                <w:rFonts w:ascii="Arial Narrow" w:hAnsi="Arial Narrow"/>
                <w:sz w:val="20"/>
                <w:szCs w:val="20"/>
                <w:lang w:val="en-AU"/>
              </w:rPr>
            </w:pPr>
            <w:r w:rsidRPr="009E4EB8">
              <w:rPr>
                <w:rFonts w:ascii="Arial Narrow" w:hAnsi="Arial Narrow"/>
                <w:sz w:val="20"/>
                <w:szCs w:val="20"/>
                <w:lang w:val="en-AU"/>
              </w:rPr>
              <w:t>Off</w:t>
            </w:r>
          </w:p>
        </w:tc>
        <w:tc>
          <w:tcPr>
            <w:tcW w:w="996" w:type="dxa"/>
            <w:tcBorders>
              <w:bottom w:val="single" w:sz="4" w:space="0" w:color="auto"/>
            </w:tcBorders>
            <w:shd w:val="solid" w:color="000000" w:fill="000000"/>
            <w:vAlign w:val="center"/>
          </w:tcPr>
          <w:p w14:paraId="04E4FB1B" w14:textId="615909C6" w:rsidR="00AC2F5D" w:rsidRPr="00992522" w:rsidRDefault="00992522" w:rsidP="00D041EE">
            <w:pPr>
              <w:keepNext/>
              <w:keepLines/>
              <w:widowControl w:val="0"/>
              <w:jc w:val="center"/>
              <w:rPr>
                <w:rFonts w:ascii="Arial Narrow" w:hAnsi="Arial Narrow"/>
                <w:sz w:val="20"/>
                <w:szCs w:val="20"/>
                <w:lang w:val="en-AU"/>
              </w:rPr>
            </w:pPr>
            <w:r w:rsidRPr="00992522">
              <w:rPr>
                <w:rFonts w:ascii="Arial Narrow" w:hAnsi="Arial Narrow" w:cs="Calibri" w:hint="eastAsia"/>
                <w:color w:val="000000"/>
                <w:w w:val="18"/>
                <w:sz w:val="20"/>
                <w:szCs w:val="20"/>
                <w:fitText w:val="80" w:id="-1504991479"/>
                <w:lang w:val="en-AU"/>
                <w14:textFill>
                  <w14:solidFill>
                    <w14:srgbClr w14:val="000000">
                      <w14:alpha w14:val="100000"/>
                    </w14:srgbClr>
                  </w14:solidFill>
                </w14:textFill>
              </w:rPr>
              <w:t xml:space="preserve">　</w:t>
            </w:r>
            <w:r w:rsidRPr="00992522">
              <w:rPr>
                <w:rFonts w:ascii="Arial Narrow" w:hAnsi="Arial Narrow" w:cs="Calibri"/>
                <w:color w:val="000000"/>
                <w:w w:val="18"/>
                <w:sz w:val="20"/>
                <w:szCs w:val="20"/>
                <w:fitText w:val="80" w:id="-1504991479"/>
                <w:lang w:val="en-AU"/>
                <w14:textFill>
                  <w14:solidFill>
                    <w14:srgbClr w14:val="000000">
                      <w14:alpha w14:val="100000"/>
                    </w14:srgbClr>
                  </w14:solidFill>
                </w14:textFill>
              </w:rPr>
              <w:t>|</w:t>
            </w:r>
            <w:r w:rsidRPr="00992522">
              <w:rPr>
                <w:rFonts w:ascii="Arial Narrow" w:hAnsi="Arial Narrow" w:cs="Calibri" w:hint="eastAsia"/>
                <w:color w:val="000000"/>
                <w:w w:val="18"/>
                <w:sz w:val="20"/>
                <w:szCs w:val="20"/>
                <w:fitText w:val="80" w:id="-1504991479"/>
                <w:lang w:val="en-AU"/>
                <w14:textFill>
                  <w14:solidFill>
                    <w14:srgbClr w14:val="000000">
                      <w14:alpha w14:val="100000"/>
                    </w14:srgbClr>
                  </w14:solidFill>
                </w14:textFill>
              </w:rPr>
              <w:t xml:space="preserve">　</w:t>
            </w:r>
          </w:p>
        </w:tc>
        <w:tc>
          <w:tcPr>
            <w:tcW w:w="996" w:type="dxa"/>
            <w:shd w:val="clear" w:color="auto" w:fill="auto"/>
            <w:vAlign w:val="center"/>
          </w:tcPr>
          <w:p w14:paraId="5F81E4B1" w14:textId="77777777" w:rsidR="00AC2F5D" w:rsidRPr="009E4EB8" w:rsidRDefault="00AC2F5D" w:rsidP="00D041EE">
            <w:pPr>
              <w:keepNext/>
              <w:keepLines/>
              <w:widowControl w:val="0"/>
              <w:jc w:val="center"/>
              <w:rPr>
                <w:rFonts w:ascii="Arial Narrow" w:hAnsi="Arial Narrow"/>
                <w:sz w:val="20"/>
                <w:szCs w:val="20"/>
                <w:lang w:val="en-AU"/>
              </w:rPr>
            </w:pPr>
            <w:r w:rsidRPr="009E4EB8">
              <w:rPr>
                <w:rFonts w:ascii="Arial Narrow" w:hAnsi="Arial Narrow" w:cs="Calibri"/>
                <w:color w:val="000000"/>
                <w:sz w:val="20"/>
                <w:szCs w:val="20"/>
                <w:lang w:val="en-AU"/>
              </w:rPr>
              <w:t>0.2308</w:t>
            </w:r>
          </w:p>
        </w:tc>
        <w:tc>
          <w:tcPr>
            <w:tcW w:w="996" w:type="dxa"/>
            <w:shd w:val="clear" w:color="auto" w:fill="auto"/>
            <w:vAlign w:val="center"/>
          </w:tcPr>
          <w:p w14:paraId="152F48BF" w14:textId="388B08ED" w:rsidR="00AC2F5D" w:rsidRPr="009B2665" w:rsidRDefault="00992522" w:rsidP="00D041EE">
            <w:pPr>
              <w:keepNext/>
              <w:keepLines/>
              <w:widowControl w:val="0"/>
              <w:jc w:val="center"/>
              <w:rPr>
                <w:rFonts w:ascii="Arial Narrow" w:hAnsi="Arial Narrow"/>
                <w:sz w:val="20"/>
                <w:szCs w:val="20"/>
                <w:highlight w:val="yellow"/>
                <w:lang w:val="en-AU"/>
              </w:rPr>
            </w:pPr>
            <w:r w:rsidRPr="00992522">
              <w:rPr>
                <w:rFonts w:ascii="Arial Narrow" w:hAnsi="Arial Narrow" w:cs="Calibri" w:hint="eastAsia"/>
                <w:color w:val="000000"/>
                <w:w w:val="24"/>
                <w:sz w:val="20"/>
                <w:szCs w:val="20"/>
                <w:shd w:val="solid" w:color="000000" w:fill="000000"/>
                <w:fitText w:val="110" w:id="-1504991478"/>
                <w:lang w:val="en-AU"/>
                <w14:textFill>
                  <w14:solidFill>
                    <w14:srgbClr w14:val="000000">
                      <w14:alpha w14:val="100000"/>
                    </w14:srgbClr>
                  </w14:solidFill>
                </w14:textFill>
              </w:rPr>
              <w:t xml:space="preserve">　</w:t>
            </w:r>
            <w:r w:rsidRPr="00992522">
              <w:rPr>
                <w:rFonts w:ascii="Arial Narrow" w:hAnsi="Arial Narrow" w:cs="Calibri"/>
                <w:color w:val="000000"/>
                <w:w w:val="24"/>
                <w:sz w:val="20"/>
                <w:szCs w:val="20"/>
                <w:shd w:val="solid" w:color="000000" w:fill="000000"/>
                <w:fitText w:val="110" w:id="-1504991478"/>
                <w:lang w:val="en-AU"/>
                <w14:textFill>
                  <w14:solidFill>
                    <w14:srgbClr w14:val="000000">
                      <w14:alpha w14:val="100000"/>
                    </w14:srgbClr>
                  </w14:solidFill>
                </w14:textFill>
              </w:rPr>
              <w:t>|</w:t>
            </w:r>
            <w:r w:rsidRPr="00992522">
              <w:rPr>
                <w:rFonts w:ascii="Arial Narrow" w:hAnsi="Arial Narrow" w:cs="Calibri" w:hint="eastAsia"/>
                <w:color w:val="000000"/>
                <w:spacing w:val="6"/>
                <w:w w:val="24"/>
                <w:sz w:val="20"/>
                <w:szCs w:val="20"/>
                <w:shd w:val="solid" w:color="000000" w:fill="000000"/>
                <w:fitText w:val="110" w:id="-1504991478"/>
                <w:lang w:val="en-AU"/>
                <w14:textFill>
                  <w14:solidFill>
                    <w14:srgbClr w14:val="000000">
                      <w14:alpha w14:val="100000"/>
                    </w14:srgbClr>
                  </w14:solidFill>
                </w14:textFill>
              </w:rPr>
              <w:t xml:space="preserve">　</w:t>
            </w:r>
            <w:r w:rsidR="009B2665">
              <w:rPr>
                <w:rFonts w:ascii="Arial Narrow" w:hAnsi="Arial Narrow" w:cs="Calibri"/>
                <w:b/>
                <w:bCs/>
                <w:color w:val="000000"/>
                <w:sz w:val="20"/>
                <w:szCs w:val="20"/>
                <w:vertAlign w:val="superscript"/>
                <w:lang w:val="en-AU"/>
              </w:rPr>
              <w:t>2</w:t>
            </w:r>
          </w:p>
        </w:tc>
        <w:tc>
          <w:tcPr>
            <w:tcW w:w="1021" w:type="dxa"/>
            <w:shd w:val="clear" w:color="auto" w:fill="auto"/>
            <w:vAlign w:val="center"/>
          </w:tcPr>
          <w:p w14:paraId="5206972F" w14:textId="77777777" w:rsidR="00AC2F5D" w:rsidRPr="009E4EB8" w:rsidRDefault="00AC2F5D" w:rsidP="00D041EE">
            <w:pPr>
              <w:keepNext/>
              <w:keepLines/>
              <w:widowControl w:val="0"/>
              <w:jc w:val="center"/>
              <w:rPr>
                <w:rFonts w:ascii="Arial Narrow" w:hAnsi="Arial Narrow" w:cs="Calibri"/>
                <w:iCs/>
                <w:color w:val="000000"/>
                <w:sz w:val="20"/>
                <w:szCs w:val="20"/>
                <w:lang w:val="en-AU"/>
              </w:rPr>
            </w:pPr>
            <w:r w:rsidRPr="009E4EB8">
              <w:rPr>
                <w:rFonts w:ascii="Arial Narrow" w:hAnsi="Arial Narrow"/>
                <w:iCs/>
                <w:sz w:val="20"/>
                <w:szCs w:val="20"/>
                <w:lang w:val="en-AU"/>
              </w:rPr>
              <w:t>-13.5%</w:t>
            </w:r>
          </w:p>
        </w:tc>
      </w:tr>
      <w:tr w:rsidR="00EB5AEF" w:rsidRPr="009E4EB8" w14:paraId="6CC3B2D2" w14:textId="77777777" w:rsidTr="00992522">
        <w:tc>
          <w:tcPr>
            <w:tcW w:w="1405" w:type="dxa"/>
            <w:shd w:val="clear" w:color="auto" w:fill="auto"/>
            <w:vAlign w:val="center"/>
            <w:hideMark/>
          </w:tcPr>
          <w:p w14:paraId="6B48C92B" w14:textId="77777777" w:rsidR="00EB5AEF" w:rsidRPr="009E4EB8" w:rsidRDefault="00EB5AEF" w:rsidP="00D041EE">
            <w:pPr>
              <w:keepNext/>
              <w:keepLines/>
              <w:widowControl w:val="0"/>
              <w:jc w:val="left"/>
              <w:rPr>
                <w:rFonts w:ascii="Arial Narrow" w:hAnsi="Arial Narrow"/>
                <w:sz w:val="20"/>
                <w:szCs w:val="20"/>
                <w:lang w:val="en-AU"/>
              </w:rPr>
            </w:pPr>
            <w:r w:rsidRPr="009E4EB8">
              <w:rPr>
                <w:rFonts w:ascii="Arial Narrow" w:hAnsi="Arial Narrow"/>
                <w:sz w:val="20"/>
                <w:szCs w:val="20"/>
                <w:lang w:val="en-AU"/>
              </w:rPr>
              <w:t xml:space="preserve">TTD extrapolation </w:t>
            </w:r>
          </w:p>
        </w:tc>
        <w:tc>
          <w:tcPr>
            <w:tcW w:w="1773" w:type="dxa"/>
            <w:shd w:val="clear" w:color="auto" w:fill="auto"/>
            <w:vAlign w:val="center"/>
            <w:hideMark/>
          </w:tcPr>
          <w:p w14:paraId="625A6477" w14:textId="77777777" w:rsidR="00EB5AEF" w:rsidRPr="009E4EB8" w:rsidRDefault="00EB5AEF" w:rsidP="00D041EE">
            <w:pPr>
              <w:keepNext/>
              <w:keepLines/>
              <w:widowControl w:val="0"/>
              <w:jc w:val="left"/>
              <w:rPr>
                <w:rFonts w:ascii="Arial Narrow" w:hAnsi="Arial Narrow"/>
                <w:sz w:val="20"/>
                <w:szCs w:val="20"/>
                <w:lang w:val="en-AU"/>
              </w:rPr>
            </w:pPr>
            <w:r w:rsidRPr="009E4EB8">
              <w:rPr>
                <w:rFonts w:ascii="Arial Narrow" w:hAnsi="Arial Narrow"/>
                <w:sz w:val="20"/>
                <w:szCs w:val="20"/>
                <w:lang w:val="en-AU"/>
              </w:rPr>
              <w:t>Sd: Log-normal</w:t>
            </w:r>
          </w:p>
        </w:tc>
        <w:tc>
          <w:tcPr>
            <w:tcW w:w="1830" w:type="dxa"/>
            <w:shd w:val="clear" w:color="auto" w:fill="auto"/>
            <w:vAlign w:val="center"/>
            <w:hideMark/>
          </w:tcPr>
          <w:p w14:paraId="40CD0E29" w14:textId="77777777" w:rsidR="00EB5AEF" w:rsidRPr="009E4EB8" w:rsidRDefault="00EB5AEF" w:rsidP="00D041EE">
            <w:pPr>
              <w:keepNext/>
              <w:keepLines/>
              <w:widowControl w:val="0"/>
              <w:jc w:val="left"/>
              <w:rPr>
                <w:rFonts w:ascii="Arial Narrow" w:hAnsi="Arial Narrow"/>
                <w:sz w:val="20"/>
                <w:szCs w:val="20"/>
                <w:lang w:val="en-AU"/>
              </w:rPr>
            </w:pPr>
            <w:r w:rsidRPr="009E4EB8">
              <w:rPr>
                <w:rFonts w:ascii="Arial Narrow" w:hAnsi="Arial Narrow"/>
                <w:sz w:val="20"/>
                <w:szCs w:val="20"/>
                <w:lang w:val="en-AU"/>
              </w:rPr>
              <w:t>Sd: Gamma</w:t>
            </w:r>
          </w:p>
        </w:tc>
        <w:tc>
          <w:tcPr>
            <w:tcW w:w="996" w:type="dxa"/>
            <w:tcBorders>
              <w:bottom w:val="single" w:sz="4" w:space="0" w:color="auto"/>
            </w:tcBorders>
            <w:shd w:val="solid" w:color="000000" w:fill="000000"/>
            <w:vAlign w:val="center"/>
          </w:tcPr>
          <w:p w14:paraId="15A50813" w14:textId="52CAC8D6" w:rsidR="00EB5AEF" w:rsidRPr="00992522" w:rsidRDefault="00992522" w:rsidP="00D041EE">
            <w:pPr>
              <w:keepNext/>
              <w:keepLines/>
              <w:widowControl w:val="0"/>
              <w:jc w:val="center"/>
              <w:rPr>
                <w:rFonts w:ascii="Arial Narrow" w:hAnsi="Arial Narrow"/>
                <w:sz w:val="20"/>
                <w:szCs w:val="20"/>
                <w:lang w:val="en-AU"/>
              </w:rPr>
            </w:pPr>
            <w:r w:rsidRPr="00992522">
              <w:rPr>
                <w:rFonts w:ascii="Arial Narrow" w:hAnsi="Arial Narrow" w:cs="Calibri" w:hint="eastAsia"/>
                <w:color w:val="000000"/>
                <w:w w:val="18"/>
                <w:sz w:val="20"/>
                <w:szCs w:val="20"/>
                <w:fitText w:val="80" w:id="-1504991477"/>
                <w:lang w:val="en-AU"/>
                <w14:textFill>
                  <w14:solidFill>
                    <w14:srgbClr w14:val="000000">
                      <w14:alpha w14:val="100000"/>
                    </w14:srgbClr>
                  </w14:solidFill>
                </w14:textFill>
              </w:rPr>
              <w:t xml:space="preserve">　</w:t>
            </w:r>
            <w:r w:rsidRPr="00992522">
              <w:rPr>
                <w:rFonts w:ascii="Arial Narrow" w:hAnsi="Arial Narrow" w:cs="Calibri"/>
                <w:color w:val="000000"/>
                <w:w w:val="18"/>
                <w:sz w:val="20"/>
                <w:szCs w:val="20"/>
                <w:fitText w:val="80" w:id="-1504991477"/>
                <w:lang w:val="en-AU"/>
                <w14:textFill>
                  <w14:solidFill>
                    <w14:srgbClr w14:val="000000">
                      <w14:alpha w14:val="100000"/>
                    </w14:srgbClr>
                  </w14:solidFill>
                </w14:textFill>
              </w:rPr>
              <w:t>|</w:t>
            </w:r>
            <w:r w:rsidRPr="00992522">
              <w:rPr>
                <w:rFonts w:ascii="Arial Narrow" w:hAnsi="Arial Narrow" w:cs="Calibri" w:hint="eastAsia"/>
                <w:color w:val="000000"/>
                <w:w w:val="18"/>
                <w:sz w:val="20"/>
                <w:szCs w:val="20"/>
                <w:fitText w:val="80" w:id="-1504991477"/>
                <w:lang w:val="en-AU"/>
                <w14:textFill>
                  <w14:solidFill>
                    <w14:srgbClr w14:val="000000">
                      <w14:alpha w14:val="100000"/>
                    </w14:srgbClr>
                  </w14:solidFill>
                </w14:textFill>
              </w:rPr>
              <w:t xml:space="preserve">　</w:t>
            </w:r>
          </w:p>
        </w:tc>
        <w:tc>
          <w:tcPr>
            <w:tcW w:w="996" w:type="dxa"/>
            <w:shd w:val="clear" w:color="auto" w:fill="auto"/>
            <w:vAlign w:val="center"/>
          </w:tcPr>
          <w:p w14:paraId="773377D2" w14:textId="77777777" w:rsidR="00EB5AEF" w:rsidRPr="009E4EB8" w:rsidRDefault="00EB5AEF" w:rsidP="00D041EE">
            <w:pPr>
              <w:keepNext/>
              <w:keepLines/>
              <w:widowControl w:val="0"/>
              <w:jc w:val="center"/>
              <w:rPr>
                <w:rFonts w:ascii="Arial Narrow" w:hAnsi="Arial Narrow"/>
                <w:sz w:val="20"/>
                <w:szCs w:val="20"/>
                <w:lang w:val="en-AU"/>
              </w:rPr>
            </w:pPr>
            <w:r w:rsidRPr="009E4EB8">
              <w:rPr>
                <w:rFonts w:ascii="Arial Narrow" w:hAnsi="Arial Narrow" w:cs="Calibri"/>
                <w:color w:val="000000"/>
                <w:sz w:val="20"/>
                <w:szCs w:val="20"/>
                <w:lang w:val="en-AU"/>
              </w:rPr>
              <w:t>0.2207</w:t>
            </w:r>
          </w:p>
        </w:tc>
        <w:tc>
          <w:tcPr>
            <w:tcW w:w="996" w:type="dxa"/>
            <w:shd w:val="clear" w:color="auto" w:fill="auto"/>
            <w:vAlign w:val="center"/>
          </w:tcPr>
          <w:p w14:paraId="0C88B8F7" w14:textId="767DCE3E" w:rsidR="00EB5AEF" w:rsidRPr="009B2665" w:rsidRDefault="00992522" w:rsidP="00D041EE">
            <w:pPr>
              <w:keepNext/>
              <w:keepLines/>
              <w:widowControl w:val="0"/>
              <w:jc w:val="center"/>
              <w:rPr>
                <w:rFonts w:ascii="Arial Narrow" w:hAnsi="Arial Narrow"/>
                <w:sz w:val="20"/>
                <w:szCs w:val="20"/>
                <w:highlight w:val="yellow"/>
                <w:lang w:val="en-AU"/>
              </w:rPr>
            </w:pPr>
            <w:r w:rsidRPr="00992522">
              <w:rPr>
                <w:rFonts w:ascii="Arial Narrow" w:hAnsi="Arial Narrow" w:cs="Calibri" w:hint="eastAsia"/>
                <w:color w:val="000000"/>
                <w:w w:val="24"/>
                <w:sz w:val="20"/>
                <w:szCs w:val="20"/>
                <w:shd w:val="solid" w:color="000000" w:fill="000000"/>
                <w:fitText w:val="110" w:id="-1504991476"/>
                <w:lang w:val="en-AU"/>
                <w14:textFill>
                  <w14:solidFill>
                    <w14:srgbClr w14:val="000000">
                      <w14:alpha w14:val="100000"/>
                    </w14:srgbClr>
                  </w14:solidFill>
                </w14:textFill>
              </w:rPr>
              <w:t xml:space="preserve">　</w:t>
            </w:r>
            <w:r w:rsidRPr="00992522">
              <w:rPr>
                <w:rFonts w:ascii="Arial Narrow" w:hAnsi="Arial Narrow" w:cs="Calibri"/>
                <w:color w:val="000000"/>
                <w:w w:val="24"/>
                <w:sz w:val="20"/>
                <w:szCs w:val="20"/>
                <w:shd w:val="solid" w:color="000000" w:fill="000000"/>
                <w:fitText w:val="110" w:id="-1504991476"/>
                <w:lang w:val="en-AU"/>
                <w14:textFill>
                  <w14:solidFill>
                    <w14:srgbClr w14:val="000000">
                      <w14:alpha w14:val="100000"/>
                    </w14:srgbClr>
                  </w14:solidFill>
                </w14:textFill>
              </w:rPr>
              <w:t>|</w:t>
            </w:r>
            <w:r w:rsidRPr="00992522">
              <w:rPr>
                <w:rFonts w:ascii="Arial Narrow" w:hAnsi="Arial Narrow" w:cs="Calibri" w:hint="eastAsia"/>
                <w:color w:val="000000"/>
                <w:spacing w:val="6"/>
                <w:w w:val="24"/>
                <w:sz w:val="20"/>
                <w:szCs w:val="20"/>
                <w:shd w:val="solid" w:color="000000" w:fill="000000"/>
                <w:fitText w:val="110" w:id="-1504991476"/>
                <w:lang w:val="en-AU"/>
                <w14:textFill>
                  <w14:solidFill>
                    <w14:srgbClr w14:val="000000">
                      <w14:alpha w14:val="100000"/>
                    </w14:srgbClr>
                  </w14:solidFill>
                </w14:textFill>
              </w:rPr>
              <w:t xml:space="preserve">　</w:t>
            </w:r>
            <w:r w:rsidR="009B2665">
              <w:rPr>
                <w:rFonts w:ascii="Arial Narrow" w:hAnsi="Arial Narrow" w:cs="Calibri"/>
                <w:b/>
                <w:bCs/>
                <w:color w:val="000000"/>
                <w:sz w:val="20"/>
                <w:szCs w:val="20"/>
                <w:vertAlign w:val="superscript"/>
                <w:lang w:val="en-AU"/>
              </w:rPr>
              <w:t>2</w:t>
            </w:r>
          </w:p>
        </w:tc>
        <w:tc>
          <w:tcPr>
            <w:tcW w:w="1021" w:type="dxa"/>
            <w:shd w:val="clear" w:color="auto" w:fill="auto"/>
            <w:vAlign w:val="center"/>
          </w:tcPr>
          <w:p w14:paraId="742C9100" w14:textId="77777777" w:rsidR="00EB5AEF" w:rsidRPr="009E4EB8" w:rsidRDefault="00EB5AEF" w:rsidP="00D041EE">
            <w:pPr>
              <w:keepNext/>
              <w:keepLines/>
              <w:widowControl w:val="0"/>
              <w:jc w:val="center"/>
              <w:rPr>
                <w:rFonts w:ascii="Arial Narrow" w:hAnsi="Arial Narrow" w:cs="Calibri"/>
                <w:iCs/>
                <w:color w:val="000000"/>
                <w:sz w:val="20"/>
                <w:szCs w:val="20"/>
                <w:lang w:val="en-AU"/>
              </w:rPr>
            </w:pPr>
            <w:r w:rsidRPr="009E4EB8">
              <w:rPr>
                <w:rFonts w:ascii="Arial Narrow" w:hAnsi="Arial Narrow"/>
                <w:iCs/>
                <w:sz w:val="20"/>
                <w:szCs w:val="20"/>
                <w:lang w:val="en-AU"/>
              </w:rPr>
              <w:t>-14.6%</w:t>
            </w:r>
          </w:p>
        </w:tc>
      </w:tr>
      <w:tr w:rsidR="00BE748D" w:rsidRPr="009E4EB8" w14:paraId="1F100C18" w14:textId="77777777" w:rsidTr="00992522">
        <w:tc>
          <w:tcPr>
            <w:tcW w:w="1405" w:type="dxa"/>
            <w:vMerge w:val="restart"/>
            <w:shd w:val="clear" w:color="auto" w:fill="auto"/>
            <w:vAlign w:val="center"/>
          </w:tcPr>
          <w:p w14:paraId="50319122" w14:textId="77777777" w:rsidR="00AC2F5D" w:rsidRPr="009E4EB8" w:rsidRDefault="00AC2F5D" w:rsidP="00D041EE">
            <w:pPr>
              <w:keepNext/>
              <w:keepLines/>
              <w:widowControl w:val="0"/>
              <w:jc w:val="left"/>
              <w:rPr>
                <w:rFonts w:ascii="Arial Narrow" w:hAnsi="Arial Narrow"/>
                <w:sz w:val="20"/>
                <w:szCs w:val="20"/>
                <w:lang w:val="en-AU"/>
              </w:rPr>
            </w:pPr>
            <w:r w:rsidRPr="009E4EB8">
              <w:rPr>
                <w:rFonts w:ascii="Arial Narrow" w:hAnsi="Arial Narrow"/>
                <w:sz w:val="20"/>
                <w:szCs w:val="20"/>
                <w:lang w:val="en-AU"/>
              </w:rPr>
              <w:t>Point to initiate extrapolation from KM data</w:t>
            </w:r>
          </w:p>
        </w:tc>
        <w:tc>
          <w:tcPr>
            <w:tcW w:w="1773" w:type="dxa"/>
            <w:vMerge w:val="restart"/>
            <w:shd w:val="clear" w:color="auto" w:fill="auto"/>
            <w:vAlign w:val="center"/>
          </w:tcPr>
          <w:p w14:paraId="18999394" w14:textId="77777777" w:rsidR="00AC2F5D" w:rsidRPr="009E4EB8" w:rsidRDefault="00AC2F5D" w:rsidP="00D041EE">
            <w:pPr>
              <w:keepNext/>
              <w:keepLines/>
              <w:widowControl w:val="0"/>
              <w:jc w:val="left"/>
              <w:rPr>
                <w:rFonts w:ascii="Arial Narrow" w:hAnsi="Arial Narrow"/>
                <w:sz w:val="20"/>
                <w:szCs w:val="20"/>
                <w:lang w:val="en-AU"/>
              </w:rPr>
            </w:pPr>
            <w:r w:rsidRPr="009E4EB8">
              <w:rPr>
                <w:rFonts w:ascii="Arial Narrow" w:hAnsi="Arial Narrow"/>
                <w:sz w:val="20"/>
                <w:szCs w:val="20"/>
                <w:lang w:val="en-AU"/>
              </w:rPr>
              <w:t xml:space="preserve">Where 20% patients remain at risk for OS/PFS/TTD </w:t>
            </w:r>
          </w:p>
        </w:tc>
        <w:tc>
          <w:tcPr>
            <w:tcW w:w="1830" w:type="dxa"/>
            <w:shd w:val="clear" w:color="auto" w:fill="auto"/>
            <w:vAlign w:val="center"/>
          </w:tcPr>
          <w:p w14:paraId="56BF6084" w14:textId="77777777" w:rsidR="00AC2F5D" w:rsidRPr="009E4EB8" w:rsidRDefault="00AC2F5D" w:rsidP="00D041EE">
            <w:pPr>
              <w:keepNext/>
              <w:keepLines/>
              <w:widowControl w:val="0"/>
              <w:jc w:val="left"/>
              <w:rPr>
                <w:rFonts w:ascii="Arial Narrow" w:hAnsi="Arial Narrow"/>
                <w:sz w:val="20"/>
                <w:szCs w:val="20"/>
                <w:lang w:val="en-AU"/>
              </w:rPr>
            </w:pPr>
            <w:r w:rsidRPr="009E4EB8">
              <w:rPr>
                <w:rFonts w:ascii="Arial Narrow" w:hAnsi="Arial Narrow"/>
                <w:sz w:val="20"/>
                <w:szCs w:val="20"/>
                <w:lang w:val="en-AU"/>
              </w:rPr>
              <w:t xml:space="preserve">From start </w:t>
            </w:r>
          </w:p>
        </w:tc>
        <w:tc>
          <w:tcPr>
            <w:tcW w:w="996" w:type="dxa"/>
            <w:tcBorders>
              <w:bottom w:val="single" w:sz="4" w:space="0" w:color="auto"/>
            </w:tcBorders>
            <w:shd w:val="solid" w:color="000000" w:fill="000000"/>
            <w:vAlign w:val="center"/>
          </w:tcPr>
          <w:p w14:paraId="06E69A4C" w14:textId="6156BC65" w:rsidR="00AC2F5D" w:rsidRPr="00992522" w:rsidRDefault="00992522" w:rsidP="00D041EE">
            <w:pPr>
              <w:keepNext/>
              <w:keepLines/>
              <w:widowControl w:val="0"/>
              <w:jc w:val="center"/>
              <w:rPr>
                <w:rFonts w:ascii="Arial Narrow" w:hAnsi="Arial Narrow"/>
                <w:sz w:val="20"/>
                <w:szCs w:val="20"/>
                <w:lang w:val="en-AU"/>
              </w:rPr>
            </w:pPr>
            <w:r w:rsidRPr="00992522">
              <w:rPr>
                <w:rFonts w:ascii="Arial Narrow" w:hAnsi="Arial Narrow" w:hint="eastAsia"/>
                <w:color w:val="000000"/>
                <w:w w:val="18"/>
                <w:sz w:val="20"/>
                <w:szCs w:val="20"/>
                <w:fitText w:val="80" w:id="-1504991475"/>
                <w:lang w:val="en-AU"/>
                <w14:textFill>
                  <w14:solidFill>
                    <w14:srgbClr w14:val="000000">
                      <w14:alpha w14:val="100000"/>
                    </w14:srgbClr>
                  </w14:solidFill>
                </w14:textFill>
              </w:rPr>
              <w:t xml:space="preserve">　</w:t>
            </w:r>
            <w:r w:rsidRPr="00992522">
              <w:rPr>
                <w:rFonts w:ascii="Arial Narrow" w:hAnsi="Arial Narrow"/>
                <w:color w:val="000000"/>
                <w:w w:val="18"/>
                <w:sz w:val="20"/>
                <w:szCs w:val="20"/>
                <w:fitText w:val="80" w:id="-1504991475"/>
                <w:lang w:val="en-AU"/>
                <w14:textFill>
                  <w14:solidFill>
                    <w14:srgbClr w14:val="000000">
                      <w14:alpha w14:val="100000"/>
                    </w14:srgbClr>
                  </w14:solidFill>
                </w14:textFill>
              </w:rPr>
              <w:t>|</w:t>
            </w:r>
            <w:r w:rsidRPr="00992522">
              <w:rPr>
                <w:rFonts w:ascii="Arial Narrow" w:hAnsi="Arial Narrow" w:hint="eastAsia"/>
                <w:color w:val="000000"/>
                <w:w w:val="18"/>
                <w:sz w:val="20"/>
                <w:szCs w:val="20"/>
                <w:fitText w:val="80" w:id="-1504991475"/>
                <w:lang w:val="en-AU"/>
                <w14:textFill>
                  <w14:solidFill>
                    <w14:srgbClr w14:val="000000">
                      <w14:alpha w14:val="100000"/>
                    </w14:srgbClr>
                  </w14:solidFill>
                </w14:textFill>
              </w:rPr>
              <w:t xml:space="preserve">　</w:t>
            </w:r>
          </w:p>
        </w:tc>
        <w:tc>
          <w:tcPr>
            <w:tcW w:w="996" w:type="dxa"/>
            <w:shd w:val="clear" w:color="auto" w:fill="auto"/>
            <w:vAlign w:val="center"/>
          </w:tcPr>
          <w:p w14:paraId="57BA1021" w14:textId="77777777" w:rsidR="00AC2F5D" w:rsidRPr="009E4EB8" w:rsidRDefault="00AC2F5D" w:rsidP="00D041EE">
            <w:pPr>
              <w:keepNext/>
              <w:keepLines/>
              <w:widowControl w:val="0"/>
              <w:jc w:val="center"/>
              <w:rPr>
                <w:rFonts w:ascii="Arial Narrow" w:hAnsi="Arial Narrow"/>
                <w:sz w:val="20"/>
                <w:szCs w:val="20"/>
                <w:lang w:val="en-AU"/>
              </w:rPr>
            </w:pPr>
            <w:r w:rsidRPr="009E4EB8">
              <w:rPr>
                <w:rFonts w:ascii="Arial Narrow" w:hAnsi="Arial Narrow"/>
                <w:sz w:val="20"/>
                <w:szCs w:val="20"/>
                <w:lang w:val="en-AU"/>
              </w:rPr>
              <w:t>0.2516</w:t>
            </w:r>
          </w:p>
        </w:tc>
        <w:tc>
          <w:tcPr>
            <w:tcW w:w="996" w:type="dxa"/>
            <w:shd w:val="clear" w:color="auto" w:fill="auto"/>
            <w:vAlign w:val="center"/>
          </w:tcPr>
          <w:p w14:paraId="18099683" w14:textId="72C9B4E0" w:rsidR="00AC2F5D" w:rsidRPr="009B2665" w:rsidRDefault="00992522" w:rsidP="00D041EE">
            <w:pPr>
              <w:keepNext/>
              <w:keepLines/>
              <w:widowControl w:val="0"/>
              <w:jc w:val="center"/>
              <w:rPr>
                <w:rFonts w:ascii="Arial Narrow" w:hAnsi="Arial Narrow"/>
                <w:sz w:val="20"/>
                <w:szCs w:val="20"/>
                <w:highlight w:val="yellow"/>
                <w:lang w:val="en-AU"/>
              </w:rPr>
            </w:pPr>
            <w:r w:rsidRPr="00992522">
              <w:rPr>
                <w:rFonts w:ascii="Arial Narrow" w:hAnsi="Arial Narrow" w:hint="eastAsia"/>
                <w:color w:val="000000"/>
                <w:w w:val="24"/>
                <w:sz w:val="20"/>
                <w:szCs w:val="20"/>
                <w:shd w:val="solid" w:color="000000" w:fill="000000"/>
                <w:fitText w:val="110" w:id="-1504991474"/>
                <w:lang w:val="en-AU"/>
                <w14:textFill>
                  <w14:solidFill>
                    <w14:srgbClr w14:val="000000">
                      <w14:alpha w14:val="100000"/>
                    </w14:srgbClr>
                  </w14:solidFill>
                </w14:textFill>
              </w:rPr>
              <w:t xml:space="preserve">　</w:t>
            </w:r>
            <w:r w:rsidRPr="00992522">
              <w:rPr>
                <w:rFonts w:ascii="Arial Narrow" w:hAnsi="Arial Narrow"/>
                <w:color w:val="000000"/>
                <w:w w:val="24"/>
                <w:sz w:val="20"/>
                <w:szCs w:val="20"/>
                <w:shd w:val="solid" w:color="000000" w:fill="000000"/>
                <w:fitText w:val="110" w:id="-1504991474"/>
                <w:lang w:val="en-AU"/>
                <w14:textFill>
                  <w14:solidFill>
                    <w14:srgbClr w14:val="000000">
                      <w14:alpha w14:val="100000"/>
                    </w14:srgbClr>
                  </w14:solidFill>
                </w14:textFill>
              </w:rPr>
              <w:t>|</w:t>
            </w:r>
            <w:r w:rsidRPr="00992522">
              <w:rPr>
                <w:rFonts w:ascii="Arial Narrow" w:hAnsi="Arial Narrow" w:hint="eastAsia"/>
                <w:color w:val="000000"/>
                <w:spacing w:val="6"/>
                <w:w w:val="24"/>
                <w:sz w:val="20"/>
                <w:szCs w:val="20"/>
                <w:shd w:val="solid" w:color="000000" w:fill="000000"/>
                <w:fitText w:val="110" w:id="-1504991474"/>
                <w:lang w:val="en-AU"/>
                <w14:textFill>
                  <w14:solidFill>
                    <w14:srgbClr w14:val="000000">
                      <w14:alpha w14:val="100000"/>
                    </w14:srgbClr>
                  </w14:solidFill>
                </w14:textFill>
              </w:rPr>
              <w:t xml:space="preserve">　</w:t>
            </w:r>
            <w:r w:rsidR="009B2665">
              <w:rPr>
                <w:rFonts w:ascii="Arial Narrow" w:hAnsi="Arial Narrow" w:cs="Calibri"/>
                <w:b/>
                <w:bCs/>
                <w:color w:val="000000"/>
                <w:sz w:val="20"/>
                <w:szCs w:val="20"/>
                <w:vertAlign w:val="superscript"/>
                <w:lang w:val="en-AU"/>
              </w:rPr>
              <w:t>2</w:t>
            </w:r>
          </w:p>
        </w:tc>
        <w:tc>
          <w:tcPr>
            <w:tcW w:w="1021" w:type="dxa"/>
            <w:shd w:val="clear" w:color="auto" w:fill="auto"/>
            <w:vAlign w:val="center"/>
          </w:tcPr>
          <w:p w14:paraId="42DFCEDF" w14:textId="77777777" w:rsidR="00AC2F5D" w:rsidRPr="009E4EB8" w:rsidRDefault="00AC2F5D" w:rsidP="00D041EE">
            <w:pPr>
              <w:keepNext/>
              <w:keepLines/>
              <w:widowControl w:val="0"/>
              <w:jc w:val="center"/>
              <w:rPr>
                <w:rFonts w:ascii="Arial Narrow" w:hAnsi="Arial Narrow"/>
                <w:iCs/>
                <w:sz w:val="20"/>
                <w:szCs w:val="20"/>
                <w:lang w:val="en-AU"/>
              </w:rPr>
            </w:pPr>
            <w:r w:rsidRPr="009E4EB8">
              <w:rPr>
                <w:rFonts w:ascii="Arial Narrow" w:hAnsi="Arial Narrow"/>
                <w:iCs/>
                <w:sz w:val="20"/>
                <w:szCs w:val="20"/>
                <w:lang w:val="en-AU"/>
              </w:rPr>
              <w:t>-13.3%</w:t>
            </w:r>
          </w:p>
        </w:tc>
      </w:tr>
      <w:tr w:rsidR="00BE748D" w:rsidRPr="009E4EB8" w14:paraId="0A20C15B" w14:textId="77777777" w:rsidTr="00992522">
        <w:tc>
          <w:tcPr>
            <w:tcW w:w="1405" w:type="dxa"/>
            <w:vMerge/>
            <w:shd w:val="clear" w:color="auto" w:fill="auto"/>
            <w:vAlign w:val="center"/>
          </w:tcPr>
          <w:p w14:paraId="45ACA858" w14:textId="77777777" w:rsidR="00AC2F5D" w:rsidRPr="009E4EB8" w:rsidRDefault="00AC2F5D" w:rsidP="00D041EE">
            <w:pPr>
              <w:keepNext/>
              <w:keepLines/>
              <w:widowControl w:val="0"/>
              <w:jc w:val="left"/>
              <w:rPr>
                <w:rFonts w:ascii="Arial Narrow" w:hAnsi="Arial Narrow"/>
                <w:sz w:val="20"/>
                <w:szCs w:val="20"/>
                <w:lang w:val="en-AU"/>
              </w:rPr>
            </w:pPr>
          </w:p>
        </w:tc>
        <w:tc>
          <w:tcPr>
            <w:tcW w:w="1773" w:type="dxa"/>
            <w:vMerge/>
            <w:shd w:val="clear" w:color="auto" w:fill="auto"/>
            <w:vAlign w:val="center"/>
          </w:tcPr>
          <w:p w14:paraId="0BC31795" w14:textId="77777777" w:rsidR="00AC2F5D" w:rsidRPr="009E4EB8" w:rsidRDefault="00AC2F5D" w:rsidP="00D041EE">
            <w:pPr>
              <w:keepNext/>
              <w:keepLines/>
              <w:widowControl w:val="0"/>
              <w:jc w:val="left"/>
              <w:rPr>
                <w:rFonts w:ascii="Arial Narrow" w:hAnsi="Arial Narrow"/>
                <w:sz w:val="20"/>
                <w:szCs w:val="20"/>
                <w:lang w:val="en-AU"/>
              </w:rPr>
            </w:pPr>
          </w:p>
        </w:tc>
        <w:tc>
          <w:tcPr>
            <w:tcW w:w="1830" w:type="dxa"/>
            <w:shd w:val="clear" w:color="auto" w:fill="auto"/>
            <w:vAlign w:val="center"/>
          </w:tcPr>
          <w:p w14:paraId="566C59E9" w14:textId="77777777" w:rsidR="00AC2F5D" w:rsidRPr="009E4EB8" w:rsidRDefault="00AC2F5D" w:rsidP="00D041EE">
            <w:pPr>
              <w:keepNext/>
              <w:keepLines/>
              <w:widowControl w:val="0"/>
              <w:jc w:val="left"/>
              <w:rPr>
                <w:rFonts w:ascii="Arial Narrow" w:hAnsi="Arial Narrow"/>
                <w:sz w:val="20"/>
                <w:szCs w:val="20"/>
                <w:lang w:val="en-AU"/>
              </w:rPr>
            </w:pPr>
            <w:r w:rsidRPr="009E4EB8">
              <w:rPr>
                <w:rFonts w:ascii="Arial Narrow" w:hAnsi="Arial Narrow"/>
                <w:sz w:val="20"/>
                <w:szCs w:val="20"/>
                <w:lang w:val="en-AU"/>
              </w:rPr>
              <w:t xml:space="preserve">10% patients remain at risk </w:t>
            </w:r>
          </w:p>
        </w:tc>
        <w:tc>
          <w:tcPr>
            <w:tcW w:w="996" w:type="dxa"/>
            <w:tcBorders>
              <w:bottom w:val="single" w:sz="4" w:space="0" w:color="auto"/>
            </w:tcBorders>
            <w:shd w:val="solid" w:color="000000" w:fill="000000"/>
            <w:vAlign w:val="center"/>
          </w:tcPr>
          <w:p w14:paraId="15C234FC" w14:textId="270AB9C7" w:rsidR="00AC2F5D" w:rsidRPr="00992522" w:rsidRDefault="00992522" w:rsidP="00D041EE">
            <w:pPr>
              <w:keepNext/>
              <w:keepLines/>
              <w:widowControl w:val="0"/>
              <w:jc w:val="center"/>
              <w:rPr>
                <w:rFonts w:ascii="Arial Narrow" w:hAnsi="Arial Narrow"/>
                <w:sz w:val="20"/>
                <w:szCs w:val="20"/>
                <w:lang w:val="en-AU"/>
              </w:rPr>
            </w:pPr>
            <w:r w:rsidRPr="00992522">
              <w:rPr>
                <w:rFonts w:ascii="Arial Narrow" w:hAnsi="Arial Narrow" w:hint="eastAsia"/>
                <w:color w:val="000000"/>
                <w:w w:val="18"/>
                <w:sz w:val="20"/>
                <w:szCs w:val="20"/>
                <w:fitText w:val="80" w:id="-1504991473"/>
                <w:lang w:val="en-AU"/>
                <w14:textFill>
                  <w14:solidFill>
                    <w14:srgbClr w14:val="000000">
                      <w14:alpha w14:val="100000"/>
                    </w14:srgbClr>
                  </w14:solidFill>
                </w14:textFill>
              </w:rPr>
              <w:t xml:space="preserve">　</w:t>
            </w:r>
            <w:r w:rsidRPr="00992522">
              <w:rPr>
                <w:rFonts w:ascii="Arial Narrow" w:hAnsi="Arial Narrow"/>
                <w:color w:val="000000"/>
                <w:w w:val="18"/>
                <w:sz w:val="20"/>
                <w:szCs w:val="20"/>
                <w:fitText w:val="80" w:id="-1504991473"/>
                <w:lang w:val="en-AU"/>
                <w14:textFill>
                  <w14:solidFill>
                    <w14:srgbClr w14:val="000000">
                      <w14:alpha w14:val="100000"/>
                    </w14:srgbClr>
                  </w14:solidFill>
                </w14:textFill>
              </w:rPr>
              <w:t>|</w:t>
            </w:r>
            <w:r w:rsidRPr="00992522">
              <w:rPr>
                <w:rFonts w:ascii="Arial Narrow" w:hAnsi="Arial Narrow" w:hint="eastAsia"/>
                <w:color w:val="000000"/>
                <w:w w:val="18"/>
                <w:sz w:val="20"/>
                <w:szCs w:val="20"/>
                <w:fitText w:val="80" w:id="-1504991473"/>
                <w:lang w:val="en-AU"/>
                <w14:textFill>
                  <w14:solidFill>
                    <w14:srgbClr w14:val="000000">
                      <w14:alpha w14:val="100000"/>
                    </w14:srgbClr>
                  </w14:solidFill>
                </w14:textFill>
              </w:rPr>
              <w:t xml:space="preserve">　</w:t>
            </w:r>
          </w:p>
        </w:tc>
        <w:tc>
          <w:tcPr>
            <w:tcW w:w="996" w:type="dxa"/>
            <w:shd w:val="clear" w:color="auto" w:fill="auto"/>
            <w:vAlign w:val="center"/>
          </w:tcPr>
          <w:p w14:paraId="56776C41" w14:textId="77777777" w:rsidR="00AC2F5D" w:rsidRPr="009E4EB8" w:rsidRDefault="00AC2F5D" w:rsidP="00D041EE">
            <w:pPr>
              <w:keepNext/>
              <w:keepLines/>
              <w:widowControl w:val="0"/>
              <w:jc w:val="center"/>
              <w:rPr>
                <w:rFonts w:ascii="Arial Narrow" w:hAnsi="Arial Narrow"/>
                <w:sz w:val="20"/>
                <w:szCs w:val="20"/>
                <w:lang w:val="en-AU"/>
              </w:rPr>
            </w:pPr>
            <w:r w:rsidRPr="009E4EB8">
              <w:rPr>
                <w:rFonts w:ascii="Arial Narrow" w:hAnsi="Arial Narrow"/>
                <w:sz w:val="20"/>
                <w:szCs w:val="20"/>
                <w:lang w:val="en-AU"/>
              </w:rPr>
              <w:t>0.2535</w:t>
            </w:r>
          </w:p>
        </w:tc>
        <w:tc>
          <w:tcPr>
            <w:tcW w:w="996" w:type="dxa"/>
            <w:shd w:val="clear" w:color="auto" w:fill="auto"/>
            <w:vAlign w:val="center"/>
          </w:tcPr>
          <w:p w14:paraId="3E80E91B" w14:textId="1A15A51B" w:rsidR="00AC2F5D" w:rsidRPr="009B2665" w:rsidRDefault="00992522" w:rsidP="00D041EE">
            <w:pPr>
              <w:keepNext/>
              <w:keepLines/>
              <w:widowControl w:val="0"/>
              <w:jc w:val="center"/>
              <w:rPr>
                <w:rFonts w:ascii="Arial Narrow" w:hAnsi="Arial Narrow"/>
                <w:sz w:val="20"/>
                <w:szCs w:val="20"/>
                <w:highlight w:val="yellow"/>
                <w:lang w:val="en-AU"/>
              </w:rPr>
            </w:pPr>
            <w:r w:rsidRPr="00992522">
              <w:rPr>
                <w:rFonts w:ascii="Arial Narrow" w:hAnsi="Arial Narrow" w:hint="eastAsia"/>
                <w:color w:val="000000"/>
                <w:w w:val="24"/>
                <w:sz w:val="20"/>
                <w:szCs w:val="20"/>
                <w:shd w:val="solid" w:color="000000" w:fill="000000"/>
                <w:fitText w:val="110" w:id="-1504991472"/>
                <w:lang w:val="en-AU"/>
                <w14:textFill>
                  <w14:solidFill>
                    <w14:srgbClr w14:val="000000">
                      <w14:alpha w14:val="100000"/>
                    </w14:srgbClr>
                  </w14:solidFill>
                </w14:textFill>
              </w:rPr>
              <w:t xml:space="preserve">　</w:t>
            </w:r>
            <w:r w:rsidRPr="00992522">
              <w:rPr>
                <w:rFonts w:ascii="Arial Narrow" w:hAnsi="Arial Narrow"/>
                <w:color w:val="000000"/>
                <w:w w:val="24"/>
                <w:sz w:val="20"/>
                <w:szCs w:val="20"/>
                <w:shd w:val="solid" w:color="000000" w:fill="000000"/>
                <w:fitText w:val="110" w:id="-1504991472"/>
                <w:lang w:val="en-AU"/>
                <w14:textFill>
                  <w14:solidFill>
                    <w14:srgbClr w14:val="000000">
                      <w14:alpha w14:val="100000"/>
                    </w14:srgbClr>
                  </w14:solidFill>
                </w14:textFill>
              </w:rPr>
              <w:t>|</w:t>
            </w:r>
            <w:r w:rsidRPr="00992522">
              <w:rPr>
                <w:rFonts w:ascii="Arial Narrow" w:hAnsi="Arial Narrow" w:hint="eastAsia"/>
                <w:color w:val="000000"/>
                <w:spacing w:val="6"/>
                <w:w w:val="24"/>
                <w:sz w:val="20"/>
                <w:szCs w:val="20"/>
                <w:shd w:val="solid" w:color="000000" w:fill="000000"/>
                <w:fitText w:val="110" w:id="-1504991472"/>
                <w:lang w:val="en-AU"/>
                <w14:textFill>
                  <w14:solidFill>
                    <w14:srgbClr w14:val="000000">
                      <w14:alpha w14:val="100000"/>
                    </w14:srgbClr>
                  </w14:solidFill>
                </w14:textFill>
              </w:rPr>
              <w:t xml:space="preserve">　</w:t>
            </w:r>
            <w:r w:rsidR="009B2665">
              <w:rPr>
                <w:rFonts w:ascii="Arial Narrow" w:hAnsi="Arial Narrow" w:cs="Calibri"/>
                <w:b/>
                <w:bCs/>
                <w:color w:val="000000"/>
                <w:sz w:val="20"/>
                <w:szCs w:val="20"/>
                <w:vertAlign w:val="superscript"/>
                <w:lang w:val="en-AU"/>
              </w:rPr>
              <w:t>2</w:t>
            </w:r>
          </w:p>
        </w:tc>
        <w:tc>
          <w:tcPr>
            <w:tcW w:w="1021" w:type="dxa"/>
            <w:shd w:val="clear" w:color="auto" w:fill="auto"/>
            <w:vAlign w:val="center"/>
          </w:tcPr>
          <w:p w14:paraId="727B956F" w14:textId="77777777" w:rsidR="00AC2F5D" w:rsidRPr="009E4EB8" w:rsidRDefault="00AC2F5D" w:rsidP="00D041EE">
            <w:pPr>
              <w:keepNext/>
              <w:keepLines/>
              <w:widowControl w:val="0"/>
              <w:jc w:val="center"/>
              <w:rPr>
                <w:rFonts w:ascii="Arial Narrow" w:hAnsi="Arial Narrow"/>
                <w:iCs/>
                <w:sz w:val="20"/>
                <w:szCs w:val="20"/>
                <w:lang w:val="en-AU"/>
              </w:rPr>
            </w:pPr>
            <w:r w:rsidRPr="009E4EB8">
              <w:rPr>
                <w:rFonts w:ascii="Arial Narrow" w:hAnsi="Arial Narrow"/>
                <w:iCs/>
                <w:sz w:val="20"/>
                <w:szCs w:val="20"/>
                <w:lang w:val="en-AU"/>
              </w:rPr>
              <w:t>-13.5%</w:t>
            </w:r>
          </w:p>
        </w:tc>
      </w:tr>
      <w:tr w:rsidR="00EB5AEF" w:rsidRPr="009E4EB8" w14:paraId="1EE4A1B9" w14:textId="77777777" w:rsidTr="00992522">
        <w:tc>
          <w:tcPr>
            <w:tcW w:w="5008" w:type="dxa"/>
            <w:gridSpan w:val="3"/>
            <w:shd w:val="clear" w:color="auto" w:fill="auto"/>
          </w:tcPr>
          <w:p w14:paraId="58764174" w14:textId="73F47E34" w:rsidR="00EB5AEF" w:rsidRPr="009E4EB8" w:rsidRDefault="00EB5AEF" w:rsidP="00EB5AEF">
            <w:pPr>
              <w:keepNext/>
              <w:keepLines/>
              <w:widowControl w:val="0"/>
              <w:jc w:val="left"/>
              <w:rPr>
                <w:rFonts w:ascii="Arial Narrow" w:hAnsi="Arial Narrow"/>
                <w:b/>
                <w:bCs/>
                <w:iCs/>
                <w:sz w:val="20"/>
                <w:szCs w:val="20"/>
                <w:lang w:val="en-AU"/>
              </w:rPr>
            </w:pPr>
            <w:r w:rsidRPr="009E4EB8">
              <w:rPr>
                <w:rFonts w:ascii="Arial Narrow" w:eastAsia="Batang" w:hAnsi="Arial Narrow" w:cs="Calibri"/>
                <w:b/>
                <w:bCs/>
                <w:iCs/>
                <w:color w:val="000000"/>
                <w:sz w:val="20"/>
                <w:szCs w:val="20"/>
                <w:lang w:val="en-AU"/>
              </w:rPr>
              <w:t xml:space="preserve">Revised base case (updated costs) </w:t>
            </w:r>
            <w:r w:rsidR="008739DA" w:rsidRPr="009E4EB8">
              <w:rPr>
                <w:rFonts w:ascii="Arial Narrow" w:eastAsia="Batang" w:hAnsi="Arial Narrow" w:cs="Calibri"/>
                <w:b/>
                <w:bCs/>
                <w:iCs/>
                <w:color w:val="000000"/>
                <w:sz w:val="20"/>
                <w:szCs w:val="20"/>
                <w:vertAlign w:val="superscript"/>
                <w:lang w:val="en-AU"/>
              </w:rPr>
              <w:t>b</w:t>
            </w:r>
          </w:p>
        </w:tc>
        <w:tc>
          <w:tcPr>
            <w:tcW w:w="996" w:type="dxa"/>
            <w:tcBorders>
              <w:bottom w:val="single" w:sz="4" w:space="0" w:color="auto"/>
            </w:tcBorders>
            <w:shd w:val="solid" w:color="000000" w:fill="000000"/>
            <w:vAlign w:val="center"/>
          </w:tcPr>
          <w:p w14:paraId="4BB9DF7F" w14:textId="2BA5B6C7" w:rsidR="00EB5AEF" w:rsidRPr="00992522" w:rsidRDefault="00992522" w:rsidP="00EB5AEF">
            <w:pPr>
              <w:keepNext/>
              <w:keepLines/>
              <w:widowControl w:val="0"/>
              <w:jc w:val="center"/>
              <w:rPr>
                <w:rFonts w:ascii="Arial Narrow" w:hAnsi="Arial Narrow"/>
                <w:b/>
                <w:bCs/>
                <w:iCs/>
                <w:sz w:val="20"/>
                <w:szCs w:val="20"/>
                <w:lang w:val="en-AU"/>
              </w:rPr>
            </w:pPr>
            <w:r w:rsidRPr="00992522">
              <w:rPr>
                <w:rFonts w:ascii="Arial Narrow" w:eastAsia="Batang" w:hAnsi="Arial Narrow" w:cs="Calibri" w:hint="eastAsia"/>
                <w:b/>
                <w:bCs/>
                <w:iCs/>
                <w:color w:val="000000"/>
                <w:w w:val="29"/>
                <w:sz w:val="20"/>
                <w:szCs w:val="20"/>
                <w:fitText w:val="130" w:id="-1504991488"/>
                <w:lang w:val="en-AU"/>
                <w14:textFill>
                  <w14:solidFill>
                    <w14:srgbClr w14:val="000000">
                      <w14:alpha w14:val="100000"/>
                    </w14:srgbClr>
                  </w14:solidFill>
                </w14:textFill>
              </w:rPr>
              <w:t xml:space="preserve">　</w:t>
            </w:r>
            <w:r w:rsidRPr="00992522">
              <w:rPr>
                <w:rFonts w:ascii="Arial Narrow" w:eastAsia="Batang" w:hAnsi="Arial Narrow" w:cs="Calibri"/>
                <w:b/>
                <w:bCs/>
                <w:iCs/>
                <w:color w:val="000000"/>
                <w:w w:val="29"/>
                <w:sz w:val="20"/>
                <w:szCs w:val="20"/>
                <w:fitText w:val="130" w:id="-1504991488"/>
                <w:lang w:val="en-AU"/>
                <w14:textFill>
                  <w14:solidFill>
                    <w14:srgbClr w14:val="000000">
                      <w14:alpha w14:val="100000"/>
                    </w14:srgbClr>
                  </w14:solidFill>
                </w14:textFill>
              </w:rPr>
              <w:t>|</w:t>
            </w:r>
            <w:r w:rsidRPr="00992522">
              <w:rPr>
                <w:rFonts w:ascii="Arial Narrow" w:eastAsia="Batang" w:hAnsi="Arial Narrow" w:cs="Calibri" w:hint="eastAsia"/>
                <w:b/>
                <w:bCs/>
                <w:iCs/>
                <w:color w:val="000000"/>
                <w:w w:val="29"/>
                <w:sz w:val="20"/>
                <w:szCs w:val="20"/>
                <w:fitText w:val="130" w:id="-1504991488"/>
                <w:lang w:val="en-AU"/>
                <w14:textFill>
                  <w14:solidFill>
                    <w14:srgbClr w14:val="000000">
                      <w14:alpha w14:val="100000"/>
                    </w14:srgbClr>
                  </w14:solidFill>
                </w14:textFill>
              </w:rPr>
              <w:t xml:space="preserve">　</w:t>
            </w:r>
          </w:p>
        </w:tc>
        <w:tc>
          <w:tcPr>
            <w:tcW w:w="996" w:type="dxa"/>
            <w:shd w:val="clear" w:color="auto" w:fill="auto"/>
            <w:vAlign w:val="center"/>
          </w:tcPr>
          <w:p w14:paraId="34BFFB9B" w14:textId="00ECB35E" w:rsidR="00EB5AEF" w:rsidRPr="009E4EB8" w:rsidRDefault="00EB5AEF" w:rsidP="00EB5AEF">
            <w:pPr>
              <w:keepNext/>
              <w:keepLines/>
              <w:widowControl w:val="0"/>
              <w:jc w:val="center"/>
              <w:rPr>
                <w:rFonts w:ascii="Arial Narrow" w:hAnsi="Arial Narrow"/>
                <w:b/>
                <w:bCs/>
                <w:iCs/>
                <w:sz w:val="20"/>
                <w:szCs w:val="20"/>
                <w:lang w:val="en-AU"/>
              </w:rPr>
            </w:pPr>
            <w:r w:rsidRPr="009E4EB8">
              <w:rPr>
                <w:rFonts w:ascii="Arial Narrow" w:eastAsia="Batang" w:hAnsi="Arial Narrow" w:cs="Calibri"/>
                <w:b/>
                <w:bCs/>
                <w:iCs/>
                <w:color w:val="000000"/>
                <w:sz w:val="20"/>
                <w:szCs w:val="20"/>
                <w:lang w:val="en-AU"/>
              </w:rPr>
              <w:t>0.2207</w:t>
            </w:r>
          </w:p>
        </w:tc>
        <w:tc>
          <w:tcPr>
            <w:tcW w:w="996" w:type="dxa"/>
            <w:shd w:val="clear" w:color="auto" w:fill="auto"/>
            <w:vAlign w:val="center"/>
          </w:tcPr>
          <w:p w14:paraId="44243570" w14:textId="7DAD8BBF" w:rsidR="00EB5AEF" w:rsidRPr="009B2665" w:rsidRDefault="00992522" w:rsidP="00EB5AEF">
            <w:pPr>
              <w:keepNext/>
              <w:keepLines/>
              <w:widowControl w:val="0"/>
              <w:jc w:val="center"/>
              <w:rPr>
                <w:rFonts w:ascii="Arial Narrow" w:hAnsi="Arial Narrow"/>
                <w:b/>
                <w:bCs/>
                <w:iCs/>
                <w:sz w:val="20"/>
                <w:szCs w:val="20"/>
                <w:highlight w:val="yellow"/>
                <w:lang w:val="en-AU"/>
              </w:rPr>
            </w:pPr>
            <w:r w:rsidRPr="00992522">
              <w:rPr>
                <w:rFonts w:ascii="Arial Narrow" w:eastAsia="Batang" w:hAnsi="Arial Narrow" w:cs="Calibri"/>
                <w:b/>
                <w:bCs/>
                <w:iCs/>
                <w:color w:val="000000"/>
                <w:spacing w:val="68"/>
                <w:sz w:val="20"/>
                <w:szCs w:val="20"/>
                <w:shd w:val="solid" w:color="000000" w:fill="000000"/>
                <w:fitText w:val="160" w:id="-1504991487"/>
                <w:lang w:val="en-AU"/>
                <w14:textFill>
                  <w14:solidFill>
                    <w14:srgbClr w14:val="000000">
                      <w14:alpha w14:val="100000"/>
                    </w14:srgbClr>
                  </w14:solidFill>
                </w14:textFill>
              </w:rPr>
              <w:t>|</w:t>
            </w:r>
            <w:r w:rsidRPr="00992522">
              <w:rPr>
                <w:rFonts w:ascii="Arial Narrow" w:eastAsia="Batang" w:hAnsi="Arial Narrow" w:cs="Calibri"/>
                <w:b/>
                <w:bCs/>
                <w:iCs/>
                <w:color w:val="000000"/>
                <w:spacing w:val="1"/>
                <w:sz w:val="20"/>
                <w:szCs w:val="20"/>
                <w:shd w:val="solid" w:color="000000" w:fill="000000"/>
                <w:fitText w:val="160" w:id="-1504991487"/>
                <w:lang w:val="en-AU"/>
                <w14:textFill>
                  <w14:solidFill>
                    <w14:srgbClr w14:val="000000">
                      <w14:alpha w14:val="100000"/>
                    </w14:srgbClr>
                  </w14:solidFill>
                </w14:textFill>
              </w:rPr>
              <w:t>|</w:t>
            </w:r>
            <w:r w:rsidR="009B2665" w:rsidRPr="009B2665">
              <w:rPr>
                <w:rFonts w:ascii="Arial Narrow" w:hAnsi="Arial Narrow" w:cs="Calibri"/>
                <w:b/>
                <w:bCs/>
                <w:color w:val="000000"/>
                <w:sz w:val="20"/>
                <w:szCs w:val="20"/>
                <w:vertAlign w:val="superscript"/>
                <w:lang w:val="en-AU"/>
              </w:rPr>
              <w:t>1</w:t>
            </w:r>
          </w:p>
        </w:tc>
        <w:tc>
          <w:tcPr>
            <w:tcW w:w="1021" w:type="dxa"/>
            <w:shd w:val="clear" w:color="auto" w:fill="auto"/>
            <w:vAlign w:val="center"/>
          </w:tcPr>
          <w:p w14:paraId="3C22D225" w14:textId="7170E16E" w:rsidR="00EB5AEF" w:rsidRPr="009E4EB8" w:rsidRDefault="00EB5AEF" w:rsidP="00EB5AEF">
            <w:pPr>
              <w:keepNext/>
              <w:keepLines/>
              <w:widowControl w:val="0"/>
              <w:jc w:val="center"/>
              <w:rPr>
                <w:rFonts w:ascii="Arial Narrow" w:hAnsi="Arial Narrow"/>
                <w:b/>
                <w:bCs/>
                <w:iCs/>
                <w:sz w:val="20"/>
                <w:szCs w:val="20"/>
                <w:lang w:val="en-AU"/>
              </w:rPr>
            </w:pPr>
            <w:r w:rsidRPr="009E4EB8">
              <w:rPr>
                <w:rFonts w:ascii="Arial Narrow" w:eastAsia="Batang" w:hAnsi="Arial Narrow" w:cs="Calibri"/>
                <w:b/>
                <w:bCs/>
                <w:iCs/>
                <w:color w:val="000000"/>
                <w:sz w:val="20"/>
                <w:szCs w:val="20"/>
                <w:lang w:val="en-AU"/>
              </w:rPr>
              <w:t>-</w:t>
            </w:r>
          </w:p>
        </w:tc>
      </w:tr>
      <w:tr w:rsidR="00BE748D" w:rsidRPr="009E4EB8" w14:paraId="0A8AB9A0" w14:textId="77777777" w:rsidTr="00992522">
        <w:tc>
          <w:tcPr>
            <w:tcW w:w="1405" w:type="dxa"/>
            <w:shd w:val="clear" w:color="auto" w:fill="auto"/>
            <w:vAlign w:val="center"/>
          </w:tcPr>
          <w:p w14:paraId="2C61B131" w14:textId="75058FE0" w:rsidR="00BE748D" w:rsidRPr="009E4EB8" w:rsidRDefault="00BE748D" w:rsidP="00BE748D">
            <w:pPr>
              <w:keepNext/>
              <w:keepLines/>
              <w:widowControl w:val="0"/>
              <w:jc w:val="left"/>
              <w:rPr>
                <w:rFonts w:ascii="Arial Narrow" w:hAnsi="Arial Narrow"/>
                <w:iCs/>
                <w:sz w:val="20"/>
                <w:szCs w:val="20"/>
                <w:lang w:val="en-AU"/>
              </w:rPr>
            </w:pPr>
            <w:r w:rsidRPr="009E4EB8">
              <w:rPr>
                <w:rFonts w:ascii="Arial Narrow" w:hAnsi="Arial Narrow"/>
                <w:iCs/>
                <w:sz w:val="20"/>
                <w:szCs w:val="20"/>
                <w:lang w:val="en-AU"/>
              </w:rPr>
              <w:t xml:space="preserve">Dose </w:t>
            </w:r>
            <w:proofErr w:type="spellStart"/>
            <w:r w:rsidRPr="009E4EB8">
              <w:rPr>
                <w:rFonts w:ascii="Arial Narrow" w:hAnsi="Arial Narrow"/>
                <w:iCs/>
                <w:sz w:val="20"/>
                <w:szCs w:val="20"/>
                <w:lang w:val="en-AU"/>
              </w:rPr>
              <w:t>intensity</w:t>
            </w:r>
            <w:r w:rsidR="0098640E" w:rsidRPr="009E4EB8">
              <w:rPr>
                <w:rFonts w:ascii="Arial Narrow" w:hAnsi="Arial Narrow"/>
                <w:iCs/>
                <w:sz w:val="20"/>
                <w:szCs w:val="20"/>
                <w:vertAlign w:val="superscript"/>
                <w:lang w:val="en-AU"/>
              </w:rPr>
              <w:t>c</w:t>
            </w:r>
            <w:proofErr w:type="spellEnd"/>
          </w:p>
        </w:tc>
        <w:tc>
          <w:tcPr>
            <w:tcW w:w="1773" w:type="dxa"/>
            <w:shd w:val="clear" w:color="auto" w:fill="auto"/>
            <w:vAlign w:val="center"/>
          </w:tcPr>
          <w:p w14:paraId="3AD768FC" w14:textId="477F54EF" w:rsidR="00BE748D" w:rsidRPr="009E4EB8" w:rsidRDefault="00BE748D" w:rsidP="00BE748D">
            <w:pPr>
              <w:keepNext/>
              <w:keepLines/>
              <w:widowControl w:val="0"/>
              <w:jc w:val="left"/>
              <w:rPr>
                <w:rFonts w:ascii="Arial Narrow" w:hAnsi="Arial Narrow"/>
                <w:iCs/>
                <w:sz w:val="20"/>
                <w:szCs w:val="20"/>
                <w:lang w:val="en-AU"/>
              </w:rPr>
            </w:pPr>
            <w:r w:rsidRPr="009E4EB8">
              <w:rPr>
                <w:rFonts w:ascii="Arial Narrow" w:hAnsi="Arial Narrow"/>
                <w:iCs/>
                <w:sz w:val="20"/>
                <w:szCs w:val="20"/>
                <w:lang w:val="en-AU"/>
              </w:rPr>
              <w:t>median; 65.4% for selinexor and 80% for dexamethasone</w:t>
            </w:r>
          </w:p>
        </w:tc>
        <w:tc>
          <w:tcPr>
            <w:tcW w:w="1830" w:type="dxa"/>
            <w:shd w:val="clear" w:color="auto" w:fill="auto"/>
            <w:vAlign w:val="center"/>
          </w:tcPr>
          <w:p w14:paraId="74E3709F" w14:textId="7C798017" w:rsidR="00BE748D" w:rsidRPr="009E4EB8" w:rsidRDefault="00BE748D" w:rsidP="00BE748D">
            <w:pPr>
              <w:keepNext/>
              <w:keepLines/>
              <w:widowControl w:val="0"/>
              <w:jc w:val="left"/>
              <w:rPr>
                <w:rFonts w:ascii="Arial Narrow" w:hAnsi="Arial Narrow"/>
                <w:sz w:val="20"/>
                <w:szCs w:val="20"/>
                <w:lang w:val="en-AU"/>
              </w:rPr>
            </w:pPr>
            <w:r w:rsidRPr="009E4EB8">
              <w:rPr>
                <w:rFonts w:ascii="Arial Narrow" w:eastAsia="Batang" w:hAnsi="Arial Narrow" w:cs="Calibri"/>
                <w:color w:val="000000"/>
                <w:sz w:val="20"/>
                <w:szCs w:val="20"/>
                <w:lang w:val="en-AU"/>
              </w:rPr>
              <w:t>Mean (71.5% for selinexor and 77.8% for dexamethasone)</w:t>
            </w:r>
          </w:p>
        </w:tc>
        <w:tc>
          <w:tcPr>
            <w:tcW w:w="996" w:type="dxa"/>
            <w:shd w:val="solid" w:color="000000" w:fill="000000"/>
            <w:vAlign w:val="center"/>
          </w:tcPr>
          <w:p w14:paraId="5464853D" w14:textId="75EE638F" w:rsidR="00BE748D" w:rsidRPr="00992522" w:rsidRDefault="00992522" w:rsidP="00BE748D">
            <w:pPr>
              <w:keepNext/>
              <w:keepLines/>
              <w:widowControl w:val="0"/>
              <w:jc w:val="center"/>
              <w:rPr>
                <w:rFonts w:ascii="Arial Narrow" w:hAnsi="Arial Narrow"/>
                <w:sz w:val="20"/>
                <w:szCs w:val="20"/>
                <w:lang w:val="en-AU"/>
              </w:rPr>
            </w:pPr>
            <w:r w:rsidRPr="00992522">
              <w:rPr>
                <w:rFonts w:ascii="Arial Narrow" w:eastAsia="Batang" w:hAnsi="Arial Narrow" w:cs="Calibri" w:hint="eastAsia"/>
                <w:color w:val="000000"/>
                <w:w w:val="18"/>
                <w:sz w:val="20"/>
                <w:szCs w:val="20"/>
                <w:fitText w:val="80" w:id="-1504991486"/>
                <w:lang w:val="en-AU"/>
                <w14:textFill>
                  <w14:solidFill>
                    <w14:srgbClr w14:val="000000">
                      <w14:alpha w14:val="100000"/>
                    </w14:srgbClr>
                  </w14:solidFill>
                </w14:textFill>
              </w:rPr>
              <w:t xml:space="preserve">　</w:t>
            </w:r>
            <w:r w:rsidRPr="00992522">
              <w:rPr>
                <w:rFonts w:ascii="Arial Narrow" w:eastAsia="Batang" w:hAnsi="Arial Narrow" w:cs="Calibri"/>
                <w:color w:val="000000"/>
                <w:w w:val="18"/>
                <w:sz w:val="20"/>
                <w:szCs w:val="20"/>
                <w:fitText w:val="80" w:id="-1504991486"/>
                <w:lang w:val="en-AU"/>
                <w14:textFill>
                  <w14:solidFill>
                    <w14:srgbClr w14:val="000000">
                      <w14:alpha w14:val="100000"/>
                    </w14:srgbClr>
                  </w14:solidFill>
                </w14:textFill>
              </w:rPr>
              <w:t>|</w:t>
            </w:r>
            <w:r w:rsidRPr="00992522">
              <w:rPr>
                <w:rFonts w:ascii="Arial Narrow" w:eastAsia="Batang" w:hAnsi="Arial Narrow" w:cs="Calibri" w:hint="eastAsia"/>
                <w:color w:val="000000"/>
                <w:w w:val="18"/>
                <w:sz w:val="20"/>
                <w:szCs w:val="20"/>
                <w:fitText w:val="80" w:id="-1504991486"/>
                <w:lang w:val="en-AU"/>
                <w14:textFill>
                  <w14:solidFill>
                    <w14:srgbClr w14:val="000000">
                      <w14:alpha w14:val="100000"/>
                    </w14:srgbClr>
                  </w14:solidFill>
                </w14:textFill>
              </w:rPr>
              <w:t xml:space="preserve">　</w:t>
            </w:r>
          </w:p>
        </w:tc>
        <w:tc>
          <w:tcPr>
            <w:tcW w:w="996" w:type="dxa"/>
            <w:shd w:val="clear" w:color="auto" w:fill="auto"/>
            <w:vAlign w:val="center"/>
          </w:tcPr>
          <w:p w14:paraId="2F584A35" w14:textId="72437D0F" w:rsidR="00BE748D" w:rsidRPr="009E4EB8" w:rsidRDefault="00BE748D" w:rsidP="00BE748D">
            <w:pPr>
              <w:keepNext/>
              <w:keepLines/>
              <w:widowControl w:val="0"/>
              <w:jc w:val="center"/>
              <w:rPr>
                <w:rFonts w:ascii="Arial Narrow" w:hAnsi="Arial Narrow"/>
                <w:sz w:val="20"/>
                <w:szCs w:val="20"/>
                <w:lang w:val="en-AU"/>
              </w:rPr>
            </w:pPr>
            <w:r w:rsidRPr="009E4EB8">
              <w:rPr>
                <w:rFonts w:ascii="Arial Narrow" w:eastAsia="Batang" w:hAnsi="Arial Narrow" w:cs="Calibri"/>
                <w:color w:val="000000"/>
                <w:sz w:val="20"/>
                <w:szCs w:val="20"/>
                <w:lang w:val="en-AU"/>
              </w:rPr>
              <w:t>0.2207</w:t>
            </w:r>
          </w:p>
        </w:tc>
        <w:tc>
          <w:tcPr>
            <w:tcW w:w="996" w:type="dxa"/>
            <w:shd w:val="clear" w:color="auto" w:fill="auto"/>
            <w:vAlign w:val="center"/>
          </w:tcPr>
          <w:p w14:paraId="69238CF2" w14:textId="146F5AE2" w:rsidR="00BE748D" w:rsidRPr="009B2665" w:rsidRDefault="00992522" w:rsidP="00BE748D">
            <w:pPr>
              <w:keepNext/>
              <w:keepLines/>
              <w:widowControl w:val="0"/>
              <w:jc w:val="center"/>
              <w:rPr>
                <w:rFonts w:ascii="Arial Narrow" w:hAnsi="Arial Narrow"/>
                <w:sz w:val="20"/>
                <w:szCs w:val="20"/>
                <w:highlight w:val="yellow"/>
                <w:lang w:val="en-AU"/>
              </w:rPr>
            </w:pPr>
            <w:r w:rsidRPr="00992522">
              <w:rPr>
                <w:rFonts w:ascii="Arial Narrow" w:eastAsia="Batang" w:hAnsi="Arial Narrow" w:cs="Calibri" w:hint="eastAsia"/>
                <w:color w:val="000000"/>
                <w:w w:val="24"/>
                <w:sz w:val="20"/>
                <w:szCs w:val="20"/>
                <w:shd w:val="solid" w:color="000000" w:fill="000000"/>
                <w:fitText w:val="110" w:id="-1504991485"/>
                <w:lang w:val="en-AU"/>
                <w14:textFill>
                  <w14:solidFill>
                    <w14:srgbClr w14:val="000000">
                      <w14:alpha w14:val="100000"/>
                    </w14:srgbClr>
                  </w14:solidFill>
                </w14:textFill>
              </w:rPr>
              <w:t xml:space="preserve">　</w:t>
            </w:r>
            <w:r w:rsidRPr="00992522">
              <w:rPr>
                <w:rFonts w:ascii="Arial Narrow" w:eastAsia="Batang" w:hAnsi="Arial Narrow" w:cs="Calibri"/>
                <w:color w:val="000000"/>
                <w:w w:val="24"/>
                <w:sz w:val="20"/>
                <w:szCs w:val="20"/>
                <w:shd w:val="solid" w:color="000000" w:fill="000000"/>
                <w:fitText w:val="110" w:id="-1504991485"/>
                <w:lang w:val="en-AU"/>
                <w14:textFill>
                  <w14:solidFill>
                    <w14:srgbClr w14:val="000000">
                      <w14:alpha w14:val="100000"/>
                    </w14:srgbClr>
                  </w14:solidFill>
                </w14:textFill>
              </w:rPr>
              <w:t>|</w:t>
            </w:r>
            <w:r w:rsidRPr="00992522">
              <w:rPr>
                <w:rFonts w:ascii="Arial Narrow" w:eastAsia="Batang" w:hAnsi="Arial Narrow" w:cs="Calibri" w:hint="eastAsia"/>
                <w:color w:val="000000"/>
                <w:spacing w:val="4"/>
                <w:w w:val="24"/>
                <w:sz w:val="20"/>
                <w:szCs w:val="20"/>
                <w:shd w:val="solid" w:color="000000" w:fill="000000"/>
                <w:fitText w:val="110" w:id="-1504991485"/>
                <w:lang w:val="en-AU"/>
                <w14:textFill>
                  <w14:solidFill>
                    <w14:srgbClr w14:val="000000">
                      <w14:alpha w14:val="100000"/>
                    </w14:srgbClr>
                  </w14:solidFill>
                </w14:textFill>
              </w:rPr>
              <w:t xml:space="preserve">　</w:t>
            </w:r>
            <w:r w:rsidR="009B2665" w:rsidRPr="009B2665">
              <w:rPr>
                <w:rFonts w:ascii="Arial Narrow" w:hAnsi="Arial Narrow" w:cs="Calibri"/>
                <w:b/>
                <w:bCs/>
                <w:color w:val="000000"/>
                <w:sz w:val="20"/>
                <w:szCs w:val="20"/>
                <w:vertAlign w:val="superscript"/>
                <w:lang w:val="en-AU"/>
              </w:rPr>
              <w:t>1</w:t>
            </w:r>
          </w:p>
        </w:tc>
        <w:tc>
          <w:tcPr>
            <w:tcW w:w="1021" w:type="dxa"/>
            <w:shd w:val="clear" w:color="auto" w:fill="auto"/>
            <w:vAlign w:val="center"/>
          </w:tcPr>
          <w:p w14:paraId="13E31AE0" w14:textId="044BFF56" w:rsidR="00BE748D" w:rsidRPr="009E4EB8" w:rsidRDefault="00BE748D" w:rsidP="00BE748D">
            <w:pPr>
              <w:keepNext/>
              <w:keepLines/>
              <w:widowControl w:val="0"/>
              <w:jc w:val="center"/>
              <w:rPr>
                <w:rFonts w:ascii="Arial Narrow" w:hAnsi="Arial Narrow"/>
                <w:iCs/>
                <w:sz w:val="20"/>
                <w:szCs w:val="20"/>
                <w:lang w:val="en-AU"/>
              </w:rPr>
            </w:pPr>
            <w:r w:rsidRPr="009E4EB8">
              <w:rPr>
                <w:rFonts w:ascii="Arial Narrow" w:hAnsi="Arial Narrow"/>
                <w:iCs/>
                <w:sz w:val="20"/>
                <w:szCs w:val="20"/>
                <w:lang w:val="en-AU"/>
              </w:rPr>
              <w:t>11.3%</w:t>
            </w:r>
          </w:p>
        </w:tc>
      </w:tr>
    </w:tbl>
    <w:p w14:paraId="53EBE531" w14:textId="74F7CA85" w:rsidR="00C1070E" w:rsidRPr="009E4EB8" w:rsidRDefault="00C1070E" w:rsidP="00C1070E">
      <w:pPr>
        <w:rPr>
          <w:rStyle w:val="FontBold"/>
          <w:rFonts w:ascii="Arial Narrow" w:eastAsiaTheme="minorHAnsi" w:hAnsi="Arial Narrow"/>
          <w:b w:val="0"/>
          <w:bCs/>
          <w:sz w:val="18"/>
          <w:szCs w:val="18"/>
        </w:rPr>
      </w:pPr>
      <w:r w:rsidRPr="009E4EB8">
        <w:rPr>
          <w:rStyle w:val="FontBold"/>
          <w:rFonts w:ascii="Arial Narrow" w:eastAsiaTheme="minorHAnsi" w:hAnsi="Arial Narrow"/>
          <w:b w:val="0"/>
          <w:bCs/>
          <w:sz w:val="18"/>
          <w:szCs w:val="18"/>
        </w:rPr>
        <w:t xml:space="preserve">Source: Table 3-27, pp158 of the resubmission and </w:t>
      </w:r>
      <w:r w:rsidR="00AA6BD0" w:rsidRPr="009E4EB8">
        <w:rPr>
          <w:rFonts w:ascii="Arial Narrow" w:hAnsi="Arial Narrow" w:cs="Cordia New"/>
          <w:sz w:val="18"/>
          <w:szCs w:val="18"/>
          <w:lang w:eastAsia="en-US"/>
        </w:rPr>
        <w:t>d</w:t>
      </w:r>
      <w:r w:rsidRPr="009E4EB8">
        <w:rPr>
          <w:rFonts w:ascii="Arial Narrow" w:hAnsi="Arial Narrow" w:cs="Cordia New"/>
          <w:sz w:val="18"/>
          <w:szCs w:val="18"/>
          <w:lang w:eastAsia="en-US"/>
        </w:rPr>
        <w:t>eveloped during the evaluation</w:t>
      </w:r>
    </w:p>
    <w:p w14:paraId="1BC474A0" w14:textId="0FC8C445" w:rsidR="00C1070E" w:rsidRPr="009E4EB8" w:rsidRDefault="00C1070E" w:rsidP="00C1070E">
      <w:pPr>
        <w:rPr>
          <w:rStyle w:val="FontBold"/>
          <w:rFonts w:ascii="Arial Narrow" w:eastAsiaTheme="minorHAnsi" w:hAnsi="Arial Narrow"/>
          <w:b w:val="0"/>
          <w:bCs/>
          <w:sz w:val="18"/>
          <w:szCs w:val="18"/>
        </w:rPr>
      </w:pPr>
      <w:r w:rsidRPr="009E4EB8">
        <w:rPr>
          <w:rStyle w:val="FontBold"/>
          <w:rFonts w:ascii="Arial Narrow" w:eastAsiaTheme="minorHAnsi" w:hAnsi="Arial Narrow"/>
          <w:b w:val="0"/>
          <w:bCs/>
          <w:sz w:val="18"/>
          <w:szCs w:val="18"/>
        </w:rPr>
        <w:t>Abbreviations: DCEP = dexamethasone + cyclophosphamide + etoposide + cisplatin; ICER = incremental cost effectiveness ratio; KM = Kaplan Meier; OS = overall survival; PFS = progression free survival; Sd = selinexor + dexamethasone; SoC = standard of care (denoting DCEP); TTD = time to discontinuation</w:t>
      </w:r>
    </w:p>
    <w:p w14:paraId="5ABAE036" w14:textId="5DAC1486" w:rsidR="00C1070E" w:rsidRPr="009E4EB8" w:rsidRDefault="00C1070E" w:rsidP="00C1070E">
      <w:pPr>
        <w:rPr>
          <w:rStyle w:val="FontBold"/>
          <w:rFonts w:ascii="Arial Narrow" w:eastAsiaTheme="minorHAnsi" w:hAnsi="Arial Narrow"/>
          <w:b w:val="0"/>
          <w:bCs/>
          <w:iCs/>
          <w:sz w:val="18"/>
          <w:szCs w:val="18"/>
        </w:rPr>
      </w:pPr>
      <w:r w:rsidRPr="009E4EB8">
        <w:rPr>
          <w:rStyle w:val="FontBold"/>
          <w:rFonts w:ascii="Arial Narrow" w:eastAsiaTheme="minorHAnsi" w:hAnsi="Arial Narrow"/>
          <w:b w:val="0"/>
          <w:bCs/>
          <w:iCs/>
          <w:sz w:val="18"/>
          <w:szCs w:val="18"/>
        </w:rPr>
        <w:t xml:space="preserve">Note: </w:t>
      </w:r>
      <w:r w:rsidRPr="009E4EB8">
        <w:rPr>
          <w:rStyle w:val="FontBold"/>
          <w:rFonts w:ascii="Arial Narrow" w:eastAsiaTheme="minorHAnsi" w:hAnsi="Arial Narrow"/>
          <w:b w:val="0"/>
          <w:bCs/>
          <w:iCs/>
          <w:sz w:val="18"/>
          <w:szCs w:val="18"/>
          <w:vertAlign w:val="superscript"/>
        </w:rPr>
        <w:t xml:space="preserve">a </w:t>
      </w:r>
      <w:r w:rsidRPr="009E4EB8">
        <w:rPr>
          <w:rStyle w:val="FontBold"/>
          <w:rFonts w:ascii="Arial Narrow" w:eastAsiaTheme="minorHAnsi" w:hAnsi="Arial Narrow"/>
          <w:b w:val="0"/>
          <w:bCs/>
          <w:iCs/>
          <w:sz w:val="18"/>
          <w:szCs w:val="18"/>
        </w:rPr>
        <w:t>base case as per the resubmission (i.e., without the updated costs referring to costs based on Round 23 data (2018-19), with a national effective price (NEP) of $</w:t>
      </w:r>
      <w:proofErr w:type="gramStart"/>
      <w:r w:rsidR="00992522" w:rsidRPr="00992522">
        <w:rPr>
          <w:rStyle w:val="FontBold"/>
          <w:rFonts w:ascii="Arial Narrow" w:eastAsiaTheme="minorHAnsi" w:hAnsi="Arial Narrow"/>
          <w:b w:val="0"/>
          <w:bCs/>
          <w:iCs/>
          <w:color w:val="000000"/>
          <w:spacing w:val="37"/>
          <w:sz w:val="18"/>
          <w:szCs w:val="18"/>
          <w:shd w:val="solid" w:color="000000" w:fill="000000"/>
          <w:fitText w:val="270" w:id="-1504991484"/>
          <w14:textFill>
            <w14:solidFill>
              <w14:srgbClr w14:val="000000">
                <w14:alpha w14:val="100000"/>
              </w14:srgbClr>
            </w14:solidFill>
          </w14:textFill>
        </w:rPr>
        <w:t xml:space="preserve">|  </w:t>
      </w:r>
      <w:r w:rsidR="00992522" w:rsidRPr="00992522">
        <w:rPr>
          <w:rStyle w:val="FontBold"/>
          <w:rFonts w:ascii="Arial Narrow" w:eastAsiaTheme="minorHAnsi" w:hAnsi="Arial Narrow"/>
          <w:b w:val="0"/>
          <w:bCs/>
          <w:iCs/>
          <w:color w:val="000000"/>
          <w:spacing w:val="1"/>
          <w:sz w:val="18"/>
          <w:szCs w:val="18"/>
          <w:shd w:val="solid" w:color="000000" w:fill="000000"/>
          <w:fitText w:val="270" w:id="-1504991484"/>
          <w14:textFill>
            <w14:solidFill>
              <w14:srgbClr w14:val="000000">
                <w14:alpha w14:val="100000"/>
              </w14:srgbClr>
            </w14:solidFill>
          </w14:textFill>
        </w:rPr>
        <w:t>|</w:t>
      </w:r>
      <w:proofErr w:type="gramEnd"/>
      <w:r w:rsidRPr="009E4EB8">
        <w:rPr>
          <w:rStyle w:val="FontBold"/>
          <w:rFonts w:ascii="Arial Narrow" w:eastAsiaTheme="minorHAnsi" w:hAnsi="Arial Narrow"/>
          <w:b w:val="0"/>
          <w:bCs/>
          <w:iCs/>
          <w:sz w:val="18"/>
          <w:szCs w:val="18"/>
        </w:rPr>
        <w:t xml:space="preserve"> per national weighted activity unit (NWAU) 2021-22)</w:t>
      </w:r>
    </w:p>
    <w:p w14:paraId="75598FBB" w14:textId="6FC67A11" w:rsidR="00AC2F5D" w:rsidRPr="009E4EB8" w:rsidRDefault="008739DA" w:rsidP="00AC2F5D">
      <w:pPr>
        <w:rPr>
          <w:rStyle w:val="normaltextrun"/>
          <w:rFonts w:ascii="Arial Narrow" w:hAnsi="Arial Narrow" w:cs="Calibri"/>
          <w:iCs/>
          <w:color w:val="000000"/>
          <w:sz w:val="18"/>
          <w:szCs w:val="18"/>
          <w:shd w:val="clear" w:color="auto" w:fill="FFFFFF"/>
        </w:rPr>
      </w:pPr>
      <w:r w:rsidRPr="009E4EB8">
        <w:rPr>
          <w:rFonts w:ascii="Arial Narrow" w:hAnsi="Arial Narrow" w:cs="Cordia New"/>
          <w:sz w:val="18"/>
          <w:szCs w:val="18"/>
          <w:vertAlign w:val="superscript"/>
          <w:lang w:eastAsia="en-US"/>
        </w:rPr>
        <w:t>b</w:t>
      </w:r>
      <w:r w:rsidR="00C1070E" w:rsidRPr="009E4EB8">
        <w:rPr>
          <w:rFonts w:ascii="Arial Narrow" w:hAnsi="Arial Narrow" w:cs="Cordia New"/>
          <w:sz w:val="18"/>
          <w:szCs w:val="18"/>
          <w:vertAlign w:val="superscript"/>
          <w:lang w:eastAsia="en-US"/>
        </w:rPr>
        <w:t xml:space="preserve"> </w:t>
      </w:r>
      <w:r w:rsidR="00C1070E" w:rsidRPr="009E4EB8">
        <w:rPr>
          <w:rFonts w:ascii="Arial Narrow" w:hAnsi="Arial Narrow" w:cs="Cordia New"/>
          <w:iCs/>
          <w:sz w:val="18"/>
          <w:szCs w:val="18"/>
          <w:lang w:eastAsia="en-US"/>
        </w:rPr>
        <w:t>updated based on NHCDC Round 22 (2018-19) and national effective price (NEP) of $</w:t>
      </w:r>
      <w:proofErr w:type="gramStart"/>
      <w:r w:rsidR="00992522" w:rsidRPr="00992522">
        <w:rPr>
          <w:rFonts w:ascii="Arial Narrow" w:hAnsi="Arial Narrow" w:cs="Cordia New"/>
          <w:iCs/>
          <w:color w:val="000000"/>
          <w:spacing w:val="37"/>
          <w:sz w:val="18"/>
          <w:szCs w:val="18"/>
          <w:shd w:val="solid" w:color="000000" w:fill="000000"/>
          <w:fitText w:val="270" w:id="-1504991483"/>
          <w:lang w:eastAsia="en-US"/>
          <w14:textFill>
            <w14:solidFill>
              <w14:srgbClr w14:val="000000">
                <w14:alpha w14:val="100000"/>
              </w14:srgbClr>
            </w14:solidFill>
          </w14:textFill>
        </w:rPr>
        <w:t xml:space="preserve">|  </w:t>
      </w:r>
      <w:r w:rsidR="00992522" w:rsidRPr="00992522">
        <w:rPr>
          <w:rFonts w:ascii="Arial Narrow" w:hAnsi="Arial Narrow" w:cs="Cordia New"/>
          <w:iCs/>
          <w:color w:val="000000"/>
          <w:spacing w:val="1"/>
          <w:sz w:val="18"/>
          <w:szCs w:val="18"/>
          <w:shd w:val="solid" w:color="000000" w:fill="000000"/>
          <w:fitText w:val="270" w:id="-1504991483"/>
          <w:lang w:eastAsia="en-US"/>
          <w14:textFill>
            <w14:solidFill>
              <w14:srgbClr w14:val="000000">
                <w14:alpha w14:val="100000"/>
              </w14:srgbClr>
            </w14:solidFill>
          </w14:textFill>
        </w:rPr>
        <w:t>|</w:t>
      </w:r>
      <w:proofErr w:type="gramEnd"/>
      <w:r w:rsidR="00C1070E" w:rsidRPr="009E4EB8">
        <w:rPr>
          <w:rFonts w:ascii="Arial Narrow" w:hAnsi="Arial Narrow" w:cs="Cordia New"/>
          <w:iCs/>
          <w:sz w:val="18"/>
          <w:szCs w:val="18"/>
          <w:lang w:eastAsia="en-US"/>
        </w:rPr>
        <w:t xml:space="preserve"> per </w:t>
      </w:r>
      <w:r w:rsidR="00C1070E" w:rsidRPr="009E4EB8">
        <w:rPr>
          <w:rStyle w:val="normaltextrun"/>
          <w:rFonts w:ascii="Arial Narrow" w:hAnsi="Arial Narrow" w:cs="Calibri"/>
          <w:iCs/>
          <w:color w:val="000000"/>
          <w:sz w:val="18"/>
          <w:szCs w:val="18"/>
          <w:shd w:val="clear" w:color="auto" w:fill="FFFFFF"/>
        </w:rPr>
        <w:t>national weighted activity unit (NWAU) 2020-21</w:t>
      </w:r>
    </w:p>
    <w:p w14:paraId="08866A33" w14:textId="78048FCC" w:rsidR="0098640E" w:rsidRDefault="0098640E" w:rsidP="00AC2F5D">
      <w:pPr>
        <w:rPr>
          <w:rStyle w:val="normaltextrun"/>
          <w:rFonts w:ascii="Arial Narrow" w:hAnsi="Arial Narrow" w:cs="Calibri"/>
          <w:iCs/>
          <w:color w:val="000000"/>
          <w:sz w:val="18"/>
          <w:szCs w:val="18"/>
          <w:shd w:val="clear" w:color="auto" w:fill="FFFFFF"/>
        </w:rPr>
      </w:pPr>
      <w:r w:rsidRPr="009E4EB8">
        <w:rPr>
          <w:rStyle w:val="normaltextrun"/>
          <w:rFonts w:ascii="Arial Narrow" w:hAnsi="Arial Narrow" w:cs="Calibri"/>
          <w:iCs/>
          <w:color w:val="000000"/>
          <w:sz w:val="18"/>
          <w:szCs w:val="18"/>
          <w:shd w:val="clear" w:color="auto" w:fill="FFFFFF"/>
          <w:vertAlign w:val="superscript"/>
        </w:rPr>
        <w:t>c</w:t>
      </w:r>
      <w:r w:rsidRPr="009E4EB8">
        <w:rPr>
          <w:rStyle w:val="normaltextrun"/>
          <w:rFonts w:ascii="Arial Narrow" w:hAnsi="Arial Narrow" w:cs="Calibri"/>
          <w:iCs/>
          <w:color w:val="000000"/>
          <w:sz w:val="18"/>
          <w:szCs w:val="18"/>
          <w:shd w:val="clear" w:color="auto" w:fill="FFFFFF"/>
        </w:rPr>
        <w:t xml:space="preserve"> </w:t>
      </w:r>
      <w:proofErr w:type="gramStart"/>
      <w:r w:rsidR="0073627C" w:rsidRPr="009E4EB8">
        <w:rPr>
          <w:rStyle w:val="normaltextrun"/>
          <w:rFonts w:ascii="Arial Narrow" w:hAnsi="Arial Narrow" w:cs="Calibri"/>
          <w:iCs/>
          <w:color w:val="000000"/>
          <w:sz w:val="18"/>
          <w:szCs w:val="18"/>
          <w:shd w:val="clear" w:color="auto" w:fill="FFFFFF"/>
        </w:rPr>
        <w:t>The</w:t>
      </w:r>
      <w:proofErr w:type="gramEnd"/>
      <w:r w:rsidR="0073627C" w:rsidRPr="009E4EB8">
        <w:rPr>
          <w:rStyle w:val="normaltextrun"/>
          <w:rFonts w:ascii="Arial Narrow" w:hAnsi="Arial Narrow" w:cs="Calibri"/>
          <w:iCs/>
          <w:color w:val="000000"/>
          <w:sz w:val="18"/>
          <w:szCs w:val="18"/>
          <w:shd w:val="clear" w:color="auto" w:fill="FFFFFF"/>
        </w:rPr>
        <w:t xml:space="preserve"> resubmission applied a dose intensity of 65.4% for selinexor and 80% for dexamethasone calculated from the median dose per week for selinexor and dexamethasone (104.6 mg and 32.0 mg, respectively) from the STORM TCR/PR subgroup. The mean dose intensities (selinexor 114.4 mg and dexamethasone 31.1 mg per week) correspond to inputs of 71.5% for selinexor and 77.8% for dexamethasone.</w:t>
      </w:r>
    </w:p>
    <w:p w14:paraId="397899FD" w14:textId="77777777" w:rsidR="009B2665" w:rsidRPr="009A6D58" w:rsidRDefault="009B2665" w:rsidP="009B266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2B850E1" w14:textId="77777777" w:rsidR="009B2665" w:rsidRPr="009A6D58" w:rsidRDefault="009B2665" w:rsidP="009B266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0D6911">
        <w:rPr>
          <w:rFonts w:ascii="Arial Narrow" w:hAnsi="Arial Narrow"/>
          <w:i/>
          <w:sz w:val="18"/>
          <w:szCs w:val="18"/>
        </w:rPr>
        <w:t>55,000 to &lt; $75,000</w:t>
      </w:r>
    </w:p>
    <w:p w14:paraId="5C41E015" w14:textId="3FF08A4A" w:rsidR="007159D8" w:rsidRPr="009E4EB8" w:rsidRDefault="009B2665" w:rsidP="009B2665">
      <w:pPr>
        <w:rPr>
          <w:iCs/>
        </w:rPr>
      </w:pPr>
      <w:r w:rsidRPr="009A6D58">
        <w:rPr>
          <w:rFonts w:ascii="Arial Narrow" w:hAnsi="Arial Narrow"/>
          <w:i/>
          <w:sz w:val="18"/>
          <w:szCs w:val="18"/>
          <w:vertAlign w:val="superscript"/>
        </w:rPr>
        <w:t>2</w:t>
      </w:r>
      <w:r>
        <w:rPr>
          <w:rFonts w:ascii="Arial Narrow" w:hAnsi="Arial Narrow"/>
          <w:i/>
          <w:sz w:val="18"/>
          <w:szCs w:val="18"/>
        </w:rPr>
        <w:t xml:space="preserve"> </w:t>
      </w:r>
      <w:r w:rsidRPr="000D6911">
        <w:rPr>
          <w:rFonts w:ascii="Arial Narrow" w:hAnsi="Arial Narrow"/>
          <w:i/>
          <w:sz w:val="18"/>
          <w:szCs w:val="18"/>
        </w:rPr>
        <w:t>$45,000 to &lt; $55,000</w:t>
      </w:r>
    </w:p>
    <w:p w14:paraId="5207E309" w14:textId="4433BFF6" w:rsidR="00BD203A" w:rsidRPr="009E4EB8" w:rsidRDefault="00BD203A" w:rsidP="009557F4">
      <w:pPr>
        <w:pStyle w:val="3-BodyText"/>
      </w:pPr>
      <w:r w:rsidRPr="009E4EB8">
        <w:rPr>
          <w:iCs/>
        </w:rPr>
        <w:t xml:space="preserve">The PSCR noted that four of the five drivers of the model favoured the comparator treatment (Table 11). The ESC noted that the use of median dose intensity for selinexor (65.4%) as compared with mean dose intensity (71.5%) was not conservative as it favoured selinexor. The ESC considered that mean dose intensity should be used and would result in an ICER of </w:t>
      </w:r>
      <w:r w:rsidR="005C7437" w:rsidRPr="009B2665">
        <w:rPr>
          <w:iCs/>
        </w:rPr>
        <w:t>$</w:t>
      </w:r>
      <w:r w:rsidR="005C7437">
        <w:rPr>
          <w:iCs/>
        </w:rPr>
        <w:t>5</w:t>
      </w:r>
      <w:r w:rsidR="005C7437" w:rsidRPr="009B2665">
        <w:rPr>
          <w:iCs/>
        </w:rPr>
        <w:t>5,000 to &lt; $</w:t>
      </w:r>
      <w:r w:rsidR="005C7437">
        <w:rPr>
          <w:iCs/>
        </w:rPr>
        <w:t>7</w:t>
      </w:r>
      <w:r w:rsidR="005C7437" w:rsidRPr="009B2665">
        <w:rPr>
          <w:iCs/>
        </w:rPr>
        <w:t>5,000</w:t>
      </w:r>
      <w:r w:rsidR="005C7437">
        <w:rPr>
          <w:i/>
        </w:rPr>
        <w:t xml:space="preserve"> </w:t>
      </w:r>
      <w:r w:rsidRPr="009E4EB8">
        <w:rPr>
          <w:iCs/>
        </w:rPr>
        <w:t>per QALY as shown in Table 13</w:t>
      </w:r>
      <w:r w:rsidR="00E211F0" w:rsidRPr="009E4EB8">
        <w:rPr>
          <w:iCs/>
        </w:rPr>
        <w:t xml:space="preserve"> above</w:t>
      </w:r>
      <w:r w:rsidRPr="009E4EB8">
        <w:rPr>
          <w:iCs/>
        </w:rPr>
        <w:t>.</w:t>
      </w:r>
    </w:p>
    <w:p w14:paraId="4B73DFD1" w14:textId="025C0632" w:rsidR="004153A2" w:rsidRPr="009E4EB8" w:rsidRDefault="007159D8" w:rsidP="0095612C">
      <w:pPr>
        <w:pStyle w:val="3-BodyText"/>
        <w:rPr>
          <w:iCs/>
        </w:rPr>
      </w:pPr>
      <w:r w:rsidRPr="009E4EB8">
        <w:t xml:space="preserve">The PSCR </w:t>
      </w:r>
      <w:r w:rsidR="00D16138" w:rsidRPr="009E4EB8">
        <w:t>noted that the resubmission had followed all but one of the PBAC</w:t>
      </w:r>
      <w:r w:rsidR="002B1597" w:rsidRPr="009E4EB8">
        <w:t>’s recommendati</w:t>
      </w:r>
      <w:r w:rsidR="00D16138" w:rsidRPr="009E4EB8">
        <w:t>o</w:t>
      </w:r>
      <w:r w:rsidR="002B1597" w:rsidRPr="009E4EB8">
        <w:t>n</w:t>
      </w:r>
      <w:r w:rsidR="00D16138" w:rsidRPr="009E4EB8">
        <w:t xml:space="preserve">s for a re-specified base case. </w:t>
      </w:r>
      <w:proofErr w:type="gramStart"/>
      <w:r w:rsidR="00D16138" w:rsidRPr="009E4EB8">
        <w:rPr>
          <w:iCs/>
        </w:rPr>
        <w:t>The time horizon,</w:t>
      </w:r>
      <w:proofErr w:type="gramEnd"/>
      <w:r w:rsidR="00D16138" w:rsidRPr="009E4EB8">
        <w:rPr>
          <w:iCs/>
        </w:rPr>
        <w:t xml:space="preserve"> increased adverse events, convergence of OS and removal of a PFS treatment effect all followed the PBAC’s </w:t>
      </w:r>
      <w:r w:rsidR="00D16138" w:rsidRPr="009E4EB8">
        <w:t>recommendation. The resubmission’s base case did not consider post progression costs, but this was applied as a sensitivity analysis.</w:t>
      </w:r>
      <w:r w:rsidR="004153A2" w:rsidRPr="009E4EB8">
        <w:rPr>
          <w:iCs/>
        </w:rPr>
        <w:t xml:space="preserve"> </w:t>
      </w:r>
      <w:r w:rsidR="002B1597" w:rsidRPr="009E4EB8">
        <w:rPr>
          <w:iCs/>
        </w:rPr>
        <w:t xml:space="preserve">The </w:t>
      </w:r>
      <w:r w:rsidR="004153A2" w:rsidRPr="009E4EB8">
        <w:rPr>
          <w:iCs/>
        </w:rPr>
        <w:t xml:space="preserve">ESC considered </w:t>
      </w:r>
      <w:r w:rsidR="00E65351" w:rsidRPr="009E4EB8">
        <w:rPr>
          <w:iCs/>
        </w:rPr>
        <w:t>the sensitivity analysis (Table 1</w:t>
      </w:r>
      <w:r w:rsidR="008C7DAA" w:rsidRPr="009E4EB8">
        <w:rPr>
          <w:iCs/>
        </w:rPr>
        <w:t>4</w:t>
      </w:r>
      <w:r w:rsidR="00E65351" w:rsidRPr="009E4EB8">
        <w:rPr>
          <w:iCs/>
        </w:rPr>
        <w:t xml:space="preserve">) and considered that </w:t>
      </w:r>
      <w:r w:rsidR="00AF6AB5" w:rsidRPr="009E4EB8">
        <w:rPr>
          <w:iCs/>
        </w:rPr>
        <w:t>ex</w:t>
      </w:r>
      <w:r w:rsidR="004153A2" w:rsidRPr="009E4EB8">
        <w:rPr>
          <w:iCs/>
        </w:rPr>
        <w:t xml:space="preserve">clusion of post-progression costs </w:t>
      </w:r>
      <w:r w:rsidR="00AF6AB5" w:rsidRPr="009E4EB8">
        <w:rPr>
          <w:iCs/>
        </w:rPr>
        <w:t>from the base case analysis</w:t>
      </w:r>
      <w:r w:rsidR="00E65351" w:rsidRPr="009E4EB8">
        <w:rPr>
          <w:iCs/>
        </w:rPr>
        <w:t xml:space="preserve"> </w:t>
      </w:r>
      <w:r w:rsidR="00AF6AB5" w:rsidRPr="009E4EB8">
        <w:rPr>
          <w:iCs/>
        </w:rPr>
        <w:t>may be reasonable</w:t>
      </w:r>
      <w:r w:rsidR="00E65351" w:rsidRPr="009E4EB8">
        <w:rPr>
          <w:iCs/>
        </w:rPr>
        <w:t xml:space="preserve"> </w:t>
      </w:r>
      <w:r w:rsidR="00CE3D3F" w:rsidRPr="009E4EB8">
        <w:rPr>
          <w:iCs/>
        </w:rPr>
        <w:t>as</w:t>
      </w:r>
      <w:r w:rsidR="00E65351" w:rsidRPr="009E4EB8">
        <w:rPr>
          <w:iCs/>
        </w:rPr>
        <w:t xml:space="preserve"> there </w:t>
      </w:r>
      <w:r w:rsidR="002B1597" w:rsidRPr="009E4EB8">
        <w:rPr>
          <w:iCs/>
        </w:rPr>
        <w:t xml:space="preserve">was no </w:t>
      </w:r>
      <w:r w:rsidR="00AF6AB5" w:rsidRPr="009E4EB8">
        <w:rPr>
          <w:iCs/>
        </w:rPr>
        <w:t>information</w:t>
      </w:r>
      <w:r w:rsidR="002B1597" w:rsidRPr="009E4EB8">
        <w:rPr>
          <w:iCs/>
        </w:rPr>
        <w:t xml:space="preserve"> to suggest that the subsequent treatments would be different between the arms</w:t>
      </w:r>
      <w:r w:rsidR="004153A2" w:rsidRPr="009E4EB8">
        <w:rPr>
          <w:iCs/>
        </w:rPr>
        <w:t>.</w:t>
      </w:r>
      <w:r w:rsidR="00E2540D" w:rsidRPr="009E4EB8">
        <w:rPr>
          <w:iCs/>
        </w:rPr>
        <w:t xml:space="preserve"> The PBAC considered that exclusion of post-progression costs from the base case analysis was reasonable as described by the ESC.</w:t>
      </w:r>
    </w:p>
    <w:p w14:paraId="77C6E5AB" w14:textId="050D3719" w:rsidR="005114AF" w:rsidRPr="009E4EB8" w:rsidRDefault="005114AF" w:rsidP="00587FEC">
      <w:pPr>
        <w:pStyle w:val="Caption"/>
        <w:keepNext/>
        <w:spacing w:after="0"/>
        <w:rPr>
          <w:rFonts w:ascii="Arial Narrow" w:hAnsi="Arial Narrow"/>
          <w:color w:val="auto"/>
          <w:sz w:val="20"/>
          <w:szCs w:val="20"/>
        </w:rPr>
      </w:pPr>
      <w:bookmarkStart w:id="69" w:name="_Toc86416757"/>
      <w:r w:rsidRPr="009E4EB8">
        <w:rPr>
          <w:rFonts w:ascii="Arial Narrow" w:hAnsi="Arial Narrow"/>
          <w:color w:val="auto"/>
          <w:sz w:val="20"/>
          <w:szCs w:val="20"/>
        </w:rPr>
        <w:t xml:space="preserve">Table </w:t>
      </w:r>
      <w:r w:rsidRPr="009E4EB8">
        <w:rPr>
          <w:rFonts w:ascii="Arial Narrow" w:hAnsi="Arial Narrow"/>
          <w:color w:val="auto"/>
          <w:sz w:val="20"/>
          <w:szCs w:val="20"/>
        </w:rPr>
        <w:fldChar w:fldCharType="begin"/>
      </w:r>
      <w:r w:rsidRPr="009E4EB8">
        <w:rPr>
          <w:rFonts w:ascii="Arial Narrow" w:hAnsi="Arial Narrow"/>
          <w:color w:val="auto"/>
          <w:sz w:val="20"/>
          <w:szCs w:val="20"/>
        </w:rPr>
        <w:instrText xml:space="preserve"> SEQ Table \* ARABIC </w:instrText>
      </w:r>
      <w:r w:rsidRPr="009E4EB8">
        <w:rPr>
          <w:rFonts w:ascii="Arial Narrow" w:hAnsi="Arial Narrow"/>
          <w:color w:val="auto"/>
          <w:sz w:val="20"/>
          <w:szCs w:val="20"/>
        </w:rPr>
        <w:fldChar w:fldCharType="separate"/>
      </w:r>
      <w:r w:rsidR="00964E38">
        <w:rPr>
          <w:rFonts w:ascii="Arial Narrow" w:hAnsi="Arial Narrow"/>
          <w:noProof/>
          <w:color w:val="auto"/>
          <w:sz w:val="20"/>
          <w:szCs w:val="20"/>
        </w:rPr>
        <w:t>14</w:t>
      </w:r>
      <w:r w:rsidRPr="009E4EB8">
        <w:rPr>
          <w:rFonts w:ascii="Arial Narrow" w:hAnsi="Arial Narrow"/>
          <w:color w:val="auto"/>
          <w:sz w:val="20"/>
          <w:szCs w:val="20"/>
        </w:rPr>
        <w:fldChar w:fldCharType="end"/>
      </w:r>
      <w:r w:rsidRPr="009E4EB8">
        <w:rPr>
          <w:rFonts w:ascii="Arial Narrow" w:hAnsi="Arial Narrow"/>
          <w:color w:val="auto"/>
          <w:sz w:val="20"/>
          <w:szCs w:val="20"/>
        </w:rPr>
        <w:t>: Sensitivity analysis of subsequent treatment costs</w:t>
      </w:r>
      <w:bookmarkEnd w:id="69"/>
    </w:p>
    <w:tbl>
      <w:tblPr>
        <w:tblStyle w:val="Submissionstandard22"/>
        <w:tblW w:w="5000" w:type="pct"/>
        <w:tblCellMar>
          <w:left w:w="57" w:type="dxa"/>
          <w:right w:w="57" w:type="dxa"/>
        </w:tblCellMar>
        <w:tblLook w:val="04A0" w:firstRow="1" w:lastRow="0" w:firstColumn="1" w:lastColumn="0" w:noHBand="0" w:noVBand="1"/>
      </w:tblPr>
      <w:tblGrid>
        <w:gridCol w:w="1389"/>
        <w:gridCol w:w="3284"/>
        <w:gridCol w:w="1134"/>
        <w:gridCol w:w="1064"/>
        <w:gridCol w:w="779"/>
        <w:gridCol w:w="1367"/>
      </w:tblGrid>
      <w:tr w:rsidR="005114AF" w:rsidRPr="009E4EB8" w14:paraId="50437A86" w14:textId="77777777" w:rsidTr="00992522">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tcMar>
              <w:left w:w="28" w:type="dxa"/>
              <w:right w:w="28" w:type="dxa"/>
            </w:tcMar>
            <w:vAlign w:val="center"/>
          </w:tcPr>
          <w:p w14:paraId="2465B933" w14:textId="77777777" w:rsidR="005114AF" w:rsidRPr="009E4EB8" w:rsidRDefault="005114AF" w:rsidP="00587FEC">
            <w:pPr>
              <w:pStyle w:val="ResubUpdateText"/>
              <w:keepNext/>
              <w:spacing w:after="0"/>
              <w:rPr>
                <w:rFonts w:ascii="Arial Narrow" w:hAnsi="Arial Narrow"/>
                <w:color w:val="auto"/>
                <w:sz w:val="20"/>
                <w:szCs w:val="20"/>
                <w:lang w:val="en-AU"/>
              </w:rPr>
            </w:pPr>
            <w:r w:rsidRPr="009E4EB8">
              <w:rPr>
                <w:rFonts w:ascii="Arial Narrow" w:hAnsi="Arial Narrow"/>
                <w:color w:val="auto"/>
                <w:sz w:val="20"/>
                <w:szCs w:val="20"/>
                <w:lang w:val="en-AU"/>
              </w:rPr>
              <w:t>Sensitivity analysis</w:t>
            </w:r>
          </w:p>
        </w:tc>
        <w:tc>
          <w:tcPr>
            <w:tcW w:w="1821" w:type="pct"/>
            <w:shd w:val="clear" w:color="auto" w:fill="auto"/>
            <w:tcMar>
              <w:left w:w="28" w:type="dxa"/>
              <w:right w:w="28" w:type="dxa"/>
            </w:tcMar>
            <w:vAlign w:val="center"/>
          </w:tcPr>
          <w:p w14:paraId="6D7E988A" w14:textId="77777777" w:rsidR="005114AF" w:rsidRPr="009E4EB8" w:rsidRDefault="005114AF" w:rsidP="00587FEC">
            <w:pPr>
              <w:pStyle w:val="ResubUpdateText"/>
              <w:keepNext/>
              <w:spacing w:after="0"/>
              <w:jc w:val="center"/>
              <w:rPr>
                <w:rFonts w:ascii="Arial Narrow" w:hAnsi="Arial Narrow"/>
                <w:color w:val="auto"/>
                <w:sz w:val="20"/>
                <w:szCs w:val="20"/>
                <w:vertAlign w:val="superscript"/>
                <w:lang w:val="en-AU"/>
              </w:rPr>
            </w:pPr>
            <w:r w:rsidRPr="009E4EB8">
              <w:rPr>
                <w:rFonts w:ascii="Arial Narrow" w:hAnsi="Arial Narrow"/>
                <w:color w:val="auto"/>
                <w:sz w:val="20"/>
                <w:szCs w:val="20"/>
                <w:lang w:val="en-AU"/>
              </w:rPr>
              <w:t xml:space="preserve">Proportion of patients with and expected cost of subsequent treatment </w:t>
            </w:r>
            <w:r w:rsidRPr="009E4EB8">
              <w:rPr>
                <w:rFonts w:ascii="Arial Narrow" w:hAnsi="Arial Narrow"/>
                <w:color w:val="auto"/>
                <w:sz w:val="20"/>
                <w:szCs w:val="20"/>
                <w:vertAlign w:val="superscript"/>
                <w:lang w:val="en-AU"/>
              </w:rPr>
              <w:t>a</w:t>
            </w:r>
          </w:p>
        </w:tc>
        <w:tc>
          <w:tcPr>
            <w:tcW w:w="629" w:type="pct"/>
            <w:tcBorders>
              <w:bottom w:val="single" w:sz="4" w:space="0" w:color="auto"/>
            </w:tcBorders>
            <w:shd w:val="clear" w:color="auto" w:fill="auto"/>
            <w:tcMar>
              <w:left w:w="28" w:type="dxa"/>
              <w:right w:w="28" w:type="dxa"/>
            </w:tcMar>
            <w:vAlign w:val="center"/>
          </w:tcPr>
          <w:p w14:paraId="2CAEDD1F" w14:textId="01B936EB" w:rsidR="005114AF" w:rsidRPr="009E4EB8" w:rsidRDefault="005114AF" w:rsidP="00587FEC">
            <w:pPr>
              <w:pStyle w:val="ResubUpdateText"/>
              <w:keepNext/>
              <w:spacing w:after="0"/>
              <w:jc w:val="center"/>
              <w:rPr>
                <w:rFonts w:ascii="Arial Narrow" w:hAnsi="Arial Narrow"/>
                <w:color w:val="auto"/>
                <w:sz w:val="20"/>
                <w:szCs w:val="20"/>
                <w:lang w:val="en-AU"/>
              </w:rPr>
            </w:pPr>
            <w:r w:rsidRPr="009E4EB8">
              <w:rPr>
                <w:rFonts w:ascii="Arial Narrow" w:hAnsi="Arial Narrow"/>
                <w:color w:val="auto"/>
                <w:sz w:val="20"/>
                <w:szCs w:val="20"/>
                <w:lang w:val="en-AU"/>
              </w:rPr>
              <w:t>Incremental cost</w:t>
            </w:r>
            <w:r w:rsidR="00192427">
              <w:rPr>
                <w:rFonts w:ascii="Arial Narrow" w:hAnsi="Arial Narrow"/>
                <w:color w:val="auto"/>
                <w:sz w:val="20"/>
                <w:szCs w:val="20"/>
                <w:lang w:val="en-AU"/>
              </w:rPr>
              <w:t xml:space="preserve"> ($)</w:t>
            </w:r>
          </w:p>
        </w:tc>
        <w:tc>
          <w:tcPr>
            <w:tcW w:w="590" w:type="pct"/>
            <w:shd w:val="clear" w:color="auto" w:fill="auto"/>
            <w:tcMar>
              <w:left w:w="28" w:type="dxa"/>
              <w:right w:w="28" w:type="dxa"/>
            </w:tcMar>
            <w:vAlign w:val="center"/>
          </w:tcPr>
          <w:p w14:paraId="4B65B2D2" w14:textId="77777777" w:rsidR="005114AF" w:rsidRPr="009E4EB8" w:rsidRDefault="005114AF" w:rsidP="00587FEC">
            <w:pPr>
              <w:pStyle w:val="ResubUpdateText"/>
              <w:keepNext/>
              <w:spacing w:after="0"/>
              <w:jc w:val="center"/>
              <w:rPr>
                <w:rFonts w:ascii="Arial Narrow" w:hAnsi="Arial Narrow"/>
                <w:color w:val="auto"/>
                <w:sz w:val="20"/>
                <w:szCs w:val="20"/>
                <w:lang w:val="en-AU"/>
              </w:rPr>
            </w:pPr>
            <w:r w:rsidRPr="009E4EB8">
              <w:rPr>
                <w:rFonts w:ascii="Arial Narrow" w:hAnsi="Arial Narrow"/>
                <w:color w:val="auto"/>
                <w:sz w:val="20"/>
                <w:szCs w:val="20"/>
                <w:lang w:val="en-AU"/>
              </w:rPr>
              <w:t>Incremental QALYs</w:t>
            </w:r>
          </w:p>
        </w:tc>
        <w:tc>
          <w:tcPr>
            <w:tcW w:w="432" w:type="pct"/>
            <w:shd w:val="clear" w:color="auto" w:fill="auto"/>
            <w:tcMar>
              <w:left w:w="28" w:type="dxa"/>
              <w:right w:w="28" w:type="dxa"/>
            </w:tcMar>
            <w:vAlign w:val="center"/>
          </w:tcPr>
          <w:p w14:paraId="178A03D9" w14:textId="64728B07" w:rsidR="005114AF" w:rsidRPr="009E4EB8" w:rsidRDefault="005114AF" w:rsidP="00587FEC">
            <w:pPr>
              <w:pStyle w:val="ResubUpdateText"/>
              <w:keepNext/>
              <w:spacing w:after="0"/>
              <w:jc w:val="center"/>
              <w:rPr>
                <w:rFonts w:ascii="Arial Narrow" w:hAnsi="Arial Narrow"/>
                <w:color w:val="auto"/>
                <w:sz w:val="20"/>
                <w:szCs w:val="20"/>
                <w:lang w:val="en-AU"/>
              </w:rPr>
            </w:pPr>
            <w:r w:rsidRPr="009E4EB8">
              <w:rPr>
                <w:rFonts w:ascii="Arial Narrow" w:hAnsi="Arial Narrow"/>
                <w:color w:val="auto"/>
                <w:sz w:val="20"/>
                <w:szCs w:val="20"/>
                <w:lang w:val="en-AU"/>
              </w:rPr>
              <w:t>ICER</w:t>
            </w:r>
            <w:r w:rsidR="00192427">
              <w:rPr>
                <w:rFonts w:ascii="Arial Narrow" w:hAnsi="Arial Narrow"/>
                <w:color w:val="auto"/>
                <w:sz w:val="20"/>
                <w:szCs w:val="20"/>
                <w:lang w:val="en-AU"/>
              </w:rPr>
              <w:t xml:space="preserve"> ($)</w:t>
            </w:r>
          </w:p>
        </w:tc>
        <w:tc>
          <w:tcPr>
            <w:tcW w:w="758" w:type="pct"/>
            <w:shd w:val="clear" w:color="auto" w:fill="auto"/>
            <w:tcMar>
              <w:left w:w="28" w:type="dxa"/>
              <w:right w:w="28" w:type="dxa"/>
            </w:tcMar>
          </w:tcPr>
          <w:p w14:paraId="24C26257" w14:textId="77777777" w:rsidR="005114AF" w:rsidRPr="009E4EB8" w:rsidRDefault="005114AF" w:rsidP="00587FEC">
            <w:pPr>
              <w:pStyle w:val="ResubUpdateText"/>
              <w:keepNext/>
              <w:spacing w:after="0"/>
              <w:jc w:val="center"/>
              <w:rPr>
                <w:rFonts w:ascii="Arial Narrow" w:hAnsi="Arial Narrow"/>
                <w:color w:val="auto"/>
                <w:sz w:val="20"/>
                <w:szCs w:val="20"/>
                <w:lang w:val="en-AU"/>
              </w:rPr>
            </w:pPr>
            <w:r w:rsidRPr="009E4EB8">
              <w:rPr>
                <w:rFonts w:ascii="Arial Narrow" w:hAnsi="Arial Narrow" w:cs="Cordia New"/>
                <w:color w:val="auto"/>
                <w:sz w:val="20"/>
                <w:szCs w:val="20"/>
                <w:lang w:val="en-AU"/>
              </w:rPr>
              <w:t>Change in ICER from base case</w:t>
            </w:r>
          </w:p>
        </w:tc>
      </w:tr>
      <w:tr w:rsidR="005114AF" w:rsidRPr="009E4EB8" w14:paraId="0ECFD702" w14:textId="77777777" w:rsidTr="00992522">
        <w:tc>
          <w:tcPr>
            <w:tcW w:w="0" w:type="auto"/>
            <w:tcMar>
              <w:left w:w="28" w:type="dxa"/>
              <w:right w:w="28" w:type="dxa"/>
            </w:tcMar>
            <w:vAlign w:val="center"/>
          </w:tcPr>
          <w:p w14:paraId="47C03521" w14:textId="77777777" w:rsidR="005114AF" w:rsidRPr="009E4EB8" w:rsidRDefault="005114AF" w:rsidP="00587FEC">
            <w:pPr>
              <w:pStyle w:val="ResubUpdateText"/>
              <w:keepNext/>
              <w:spacing w:after="0"/>
              <w:rPr>
                <w:rFonts w:ascii="Arial Narrow" w:hAnsi="Arial Narrow"/>
                <w:color w:val="auto"/>
                <w:sz w:val="20"/>
                <w:szCs w:val="20"/>
                <w:lang w:val="en-AU"/>
              </w:rPr>
            </w:pPr>
            <w:r w:rsidRPr="009E4EB8">
              <w:rPr>
                <w:rFonts w:ascii="Arial Narrow" w:hAnsi="Arial Narrow"/>
                <w:color w:val="auto"/>
                <w:sz w:val="20"/>
                <w:szCs w:val="20"/>
                <w:lang w:val="en-AU"/>
              </w:rPr>
              <w:t>Base-case</w:t>
            </w:r>
          </w:p>
        </w:tc>
        <w:tc>
          <w:tcPr>
            <w:tcW w:w="1821" w:type="pct"/>
            <w:tcMar>
              <w:left w:w="28" w:type="dxa"/>
              <w:right w:w="28" w:type="dxa"/>
            </w:tcMar>
            <w:vAlign w:val="center"/>
          </w:tcPr>
          <w:p w14:paraId="33C313A6" w14:textId="77777777" w:rsidR="005114AF" w:rsidRPr="009E4EB8" w:rsidRDefault="005114AF" w:rsidP="00587FEC">
            <w:pPr>
              <w:pStyle w:val="ResubUpdateText"/>
              <w:keepNext/>
              <w:spacing w:after="0"/>
              <w:rPr>
                <w:rFonts w:ascii="Arial Narrow" w:hAnsi="Arial Narrow"/>
                <w:color w:val="auto"/>
                <w:sz w:val="20"/>
                <w:szCs w:val="20"/>
                <w:lang w:val="en-AU"/>
              </w:rPr>
            </w:pPr>
            <w:r w:rsidRPr="009E4EB8">
              <w:rPr>
                <w:rFonts w:ascii="Arial Narrow" w:hAnsi="Arial Narrow"/>
                <w:color w:val="auto"/>
                <w:sz w:val="20"/>
                <w:szCs w:val="20"/>
                <w:lang w:val="en-AU"/>
              </w:rPr>
              <w:t>Sd: 0%, $0</w:t>
            </w:r>
          </w:p>
          <w:p w14:paraId="5DD586EB" w14:textId="77777777" w:rsidR="005114AF" w:rsidRPr="009E4EB8" w:rsidRDefault="005114AF" w:rsidP="00587FEC">
            <w:pPr>
              <w:pStyle w:val="ResubUpdateText"/>
              <w:keepNext/>
              <w:spacing w:after="0"/>
              <w:rPr>
                <w:rFonts w:ascii="Arial Narrow" w:hAnsi="Arial Narrow"/>
                <w:color w:val="auto"/>
                <w:sz w:val="20"/>
                <w:szCs w:val="20"/>
                <w:lang w:val="en-AU"/>
              </w:rPr>
            </w:pPr>
            <w:r w:rsidRPr="009E4EB8">
              <w:rPr>
                <w:rFonts w:ascii="Arial Narrow" w:hAnsi="Arial Narrow"/>
                <w:color w:val="auto"/>
                <w:sz w:val="20"/>
                <w:szCs w:val="20"/>
                <w:lang w:val="en-AU"/>
              </w:rPr>
              <w:t>SoC: 0%, $0</w:t>
            </w:r>
          </w:p>
        </w:tc>
        <w:tc>
          <w:tcPr>
            <w:tcW w:w="629" w:type="pct"/>
            <w:tcBorders>
              <w:bottom w:val="single" w:sz="4" w:space="0" w:color="auto"/>
            </w:tcBorders>
            <w:shd w:val="solid" w:color="000000" w:fill="000000"/>
            <w:tcMar>
              <w:left w:w="28" w:type="dxa"/>
              <w:right w:w="28" w:type="dxa"/>
            </w:tcMar>
            <w:vAlign w:val="center"/>
          </w:tcPr>
          <w:p w14:paraId="63A5C760" w14:textId="495850AC" w:rsidR="005114AF" w:rsidRPr="00992522" w:rsidRDefault="00992522" w:rsidP="00587FEC">
            <w:pPr>
              <w:keepNext/>
              <w:jc w:val="center"/>
              <w:rPr>
                <w:rFonts w:ascii="Arial Narrow" w:hAnsi="Arial Narrow"/>
                <w:sz w:val="20"/>
                <w:szCs w:val="20"/>
                <w:lang w:val="en-AU"/>
              </w:rPr>
            </w:pPr>
            <w:r w:rsidRPr="00964E38">
              <w:rPr>
                <w:rFonts w:ascii="Arial Narrow" w:hAnsi="Arial Narrow" w:hint="eastAsia"/>
                <w:color w:val="000000"/>
                <w:w w:val="15"/>
                <w:sz w:val="20"/>
                <w:szCs w:val="20"/>
                <w:fitText w:val="10" w:id="-1504991482"/>
                <w:lang w:val="en-AU"/>
                <w14:textFill>
                  <w14:solidFill>
                    <w14:srgbClr w14:val="000000">
                      <w14:alpha w14:val="100000"/>
                    </w14:srgbClr>
                  </w14:solidFill>
                </w14:textFill>
              </w:rPr>
              <w:t xml:space="preserve">　</w:t>
            </w:r>
            <w:r w:rsidRPr="00964E38">
              <w:rPr>
                <w:rFonts w:ascii="Arial Narrow" w:hAnsi="Arial Narrow"/>
                <w:color w:val="000000"/>
                <w:w w:val="15"/>
                <w:sz w:val="20"/>
                <w:szCs w:val="20"/>
                <w:fitText w:val="10" w:id="-1504991482"/>
                <w:lang w:val="en-AU"/>
                <w14:textFill>
                  <w14:solidFill>
                    <w14:srgbClr w14:val="000000">
                      <w14:alpha w14:val="100000"/>
                    </w14:srgbClr>
                  </w14:solidFill>
                </w14:textFill>
              </w:rPr>
              <w:t>|</w:t>
            </w:r>
            <w:r w:rsidRPr="00964E38">
              <w:rPr>
                <w:rFonts w:ascii="Arial Narrow" w:hAnsi="Arial Narrow" w:hint="eastAsia"/>
                <w:color w:val="000000"/>
                <w:spacing w:val="-55"/>
                <w:w w:val="15"/>
                <w:sz w:val="20"/>
                <w:szCs w:val="20"/>
                <w:fitText w:val="10" w:id="-1504991482"/>
                <w:lang w:val="en-AU"/>
                <w14:textFill>
                  <w14:solidFill>
                    <w14:srgbClr w14:val="000000">
                      <w14:alpha w14:val="100000"/>
                    </w14:srgbClr>
                  </w14:solidFill>
                </w14:textFill>
              </w:rPr>
              <w:t xml:space="preserve">　</w:t>
            </w:r>
          </w:p>
        </w:tc>
        <w:tc>
          <w:tcPr>
            <w:tcW w:w="590" w:type="pct"/>
            <w:tcMar>
              <w:left w:w="28" w:type="dxa"/>
              <w:right w:w="28" w:type="dxa"/>
            </w:tcMar>
            <w:vAlign w:val="center"/>
          </w:tcPr>
          <w:p w14:paraId="69DE9E31" w14:textId="77777777" w:rsidR="005114AF" w:rsidRPr="009E4EB8" w:rsidRDefault="005114AF" w:rsidP="00587FEC">
            <w:pPr>
              <w:keepNext/>
              <w:jc w:val="center"/>
              <w:rPr>
                <w:rFonts w:ascii="Arial Narrow" w:hAnsi="Arial Narrow"/>
                <w:sz w:val="20"/>
                <w:szCs w:val="20"/>
                <w:lang w:val="en-AU"/>
              </w:rPr>
            </w:pPr>
            <w:r w:rsidRPr="009E4EB8">
              <w:rPr>
                <w:rFonts w:ascii="Arial Narrow" w:hAnsi="Arial Narrow"/>
                <w:sz w:val="20"/>
                <w:szCs w:val="20"/>
                <w:lang w:val="en-AU"/>
              </w:rPr>
              <w:t>0.2207</w:t>
            </w:r>
          </w:p>
        </w:tc>
        <w:tc>
          <w:tcPr>
            <w:tcW w:w="432" w:type="pct"/>
            <w:tcMar>
              <w:left w:w="28" w:type="dxa"/>
              <w:right w:w="28" w:type="dxa"/>
            </w:tcMar>
            <w:vAlign w:val="center"/>
          </w:tcPr>
          <w:p w14:paraId="1C67A25B" w14:textId="478045E0" w:rsidR="005114AF" w:rsidRPr="00192427" w:rsidRDefault="00992522" w:rsidP="00587FEC">
            <w:pPr>
              <w:keepNext/>
              <w:jc w:val="center"/>
              <w:rPr>
                <w:rFonts w:ascii="Arial Narrow" w:hAnsi="Arial Narrow"/>
                <w:sz w:val="20"/>
                <w:szCs w:val="20"/>
                <w:highlight w:val="yellow"/>
                <w:vertAlign w:val="superscript"/>
                <w:lang w:val="en-AU"/>
              </w:rPr>
            </w:pPr>
            <w:r w:rsidRPr="00992522">
              <w:rPr>
                <w:rFonts w:ascii="Arial Narrow" w:hAnsi="Arial Narrow"/>
                <w:color w:val="000000"/>
                <w:spacing w:val="46"/>
                <w:sz w:val="20"/>
                <w:szCs w:val="20"/>
                <w:shd w:val="solid" w:color="000000" w:fill="000000"/>
                <w:fitText w:val="220" w:id="-1504991481"/>
                <w:lang w:val="en-AU"/>
                <w14:textFill>
                  <w14:solidFill>
                    <w14:srgbClr w14:val="000000">
                      <w14:alpha w14:val="100000"/>
                    </w14:srgbClr>
                  </w14:solidFill>
                </w14:textFill>
              </w:rPr>
              <w:t>||</w:t>
            </w:r>
            <w:r w:rsidRPr="00992522">
              <w:rPr>
                <w:rFonts w:ascii="Arial Narrow" w:hAnsi="Arial Narrow"/>
                <w:color w:val="000000"/>
                <w:spacing w:val="1"/>
                <w:sz w:val="20"/>
                <w:szCs w:val="20"/>
                <w:shd w:val="solid" w:color="000000" w:fill="000000"/>
                <w:fitText w:val="220" w:id="-1504991481"/>
                <w:lang w:val="en-AU"/>
                <w14:textFill>
                  <w14:solidFill>
                    <w14:srgbClr w14:val="000000">
                      <w14:alpha w14:val="100000"/>
                    </w14:srgbClr>
                  </w14:solidFill>
                </w14:textFill>
              </w:rPr>
              <w:t>|</w:t>
            </w:r>
            <w:r w:rsidR="00192427" w:rsidRPr="00192427">
              <w:rPr>
                <w:rFonts w:ascii="Arial Narrow" w:hAnsi="Arial Narrow"/>
                <w:sz w:val="20"/>
                <w:szCs w:val="20"/>
                <w:vertAlign w:val="superscript"/>
                <w:lang w:val="en-AU"/>
              </w:rPr>
              <w:t>1</w:t>
            </w:r>
          </w:p>
        </w:tc>
        <w:tc>
          <w:tcPr>
            <w:tcW w:w="758" w:type="pct"/>
            <w:tcMar>
              <w:left w:w="28" w:type="dxa"/>
              <w:right w:w="28" w:type="dxa"/>
            </w:tcMar>
            <w:vAlign w:val="center"/>
          </w:tcPr>
          <w:p w14:paraId="4ECC4DC1" w14:textId="77777777" w:rsidR="005114AF" w:rsidRPr="009E4EB8" w:rsidRDefault="005114AF" w:rsidP="00587FEC">
            <w:pPr>
              <w:keepNext/>
              <w:jc w:val="center"/>
              <w:rPr>
                <w:rFonts w:ascii="Arial Narrow" w:hAnsi="Arial Narrow"/>
                <w:iCs/>
                <w:sz w:val="20"/>
                <w:szCs w:val="20"/>
                <w:lang w:val="en-AU"/>
              </w:rPr>
            </w:pPr>
            <w:r w:rsidRPr="009E4EB8">
              <w:rPr>
                <w:rFonts w:ascii="Arial Narrow" w:hAnsi="Arial Narrow"/>
                <w:iCs/>
                <w:sz w:val="20"/>
                <w:szCs w:val="20"/>
                <w:lang w:val="en-AU"/>
              </w:rPr>
              <w:t>-</w:t>
            </w:r>
          </w:p>
        </w:tc>
      </w:tr>
      <w:tr w:rsidR="005114AF" w:rsidRPr="009E4EB8" w14:paraId="031FE0FC" w14:textId="77777777" w:rsidTr="00992522">
        <w:tc>
          <w:tcPr>
            <w:tcW w:w="0" w:type="auto"/>
            <w:tcMar>
              <w:left w:w="28" w:type="dxa"/>
              <w:right w:w="28" w:type="dxa"/>
            </w:tcMar>
            <w:vAlign w:val="center"/>
          </w:tcPr>
          <w:p w14:paraId="56781ECC" w14:textId="77777777" w:rsidR="005114AF" w:rsidRPr="009E4EB8" w:rsidRDefault="005114AF" w:rsidP="009557F4">
            <w:pPr>
              <w:pStyle w:val="ResubUpdateText"/>
              <w:spacing w:after="0"/>
              <w:rPr>
                <w:rFonts w:ascii="Arial Narrow" w:hAnsi="Arial Narrow"/>
                <w:color w:val="auto"/>
                <w:sz w:val="20"/>
                <w:szCs w:val="20"/>
                <w:lang w:val="en-AU"/>
              </w:rPr>
            </w:pPr>
            <w:r w:rsidRPr="009E4EB8">
              <w:rPr>
                <w:rFonts w:ascii="Arial Narrow" w:hAnsi="Arial Narrow"/>
                <w:color w:val="auto"/>
                <w:sz w:val="20"/>
                <w:szCs w:val="20"/>
                <w:lang w:val="en-AU"/>
              </w:rPr>
              <w:t>As per the respective trials</w:t>
            </w:r>
          </w:p>
        </w:tc>
        <w:tc>
          <w:tcPr>
            <w:tcW w:w="1821" w:type="pct"/>
            <w:tcMar>
              <w:left w:w="28" w:type="dxa"/>
              <w:right w:w="28" w:type="dxa"/>
            </w:tcMar>
            <w:vAlign w:val="center"/>
          </w:tcPr>
          <w:p w14:paraId="5942655B" w14:textId="77777777" w:rsidR="005114AF" w:rsidRPr="009E4EB8" w:rsidRDefault="005114AF" w:rsidP="009557F4">
            <w:pPr>
              <w:pStyle w:val="ResubUpdateText"/>
              <w:spacing w:after="0"/>
              <w:rPr>
                <w:rFonts w:ascii="Arial Narrow" w:hAnsi="Arial Narrow"/>
                <w:color w:val="auto"/>
                <w:sz w:val="20"/>
                <w:szCs w:val="20"/>
                <w:lang w:val="en-AU"/>
              </w:rPr>
            </w:pPr>
            <w:r w:rsidRPr="009E4EB8">
              <w:rPr>
                <w:rFonts w:ascii="Arial Narrow" w:hAnsi="Arial Narrow"/>
                <w:color w:val="auto"/>
                <w:sz w:val="20"/>
                <w:szCs w:val="20"/>
                <w:lang w:val="en-AU"/>
              </w:rPr>
              <w:t>Sd: 50%, $2560</w:t>
            </w:r>
          </w:p>
          <w:p w14:paraId="63372774" w14:textId="77777777" w:rsidR="005114AF" w:rsidRPr="009E4EB8" w:rsidRDefault="005114AF" w:rsidP="009557F4">
            <w:pPr>
              <w:pStyle w:val="ResubUpdateText"/>
              <w:spacing w:after="0"/>
              <w:rPr>
                <w:rFonts w:ascii="Arial Narrow" w:hAnsi="Arial Narrow"/>
                <w:color w:val="auto"/>
                <w:sz w:val="20"/>
                <w:szCs w:val="20"/>
                <w:lang w:val="en-AU"/>
              </w:rPr>
            </w:pPr>
            <w:r w:rsidRPr="009E4EB8">
              <w:rPr>
                <w:rFonts w:ascii="Arial Narrow" w:hAnsi="Arial Narrow"/>
                <w:color w:val="auto"/>
                <w:sz w:val="20"/>
                <w:szCs w:val="20"/>
                <w:lang w:val="en-AU"/>
              </w:rPr>
              <w:t>SoC: 63%, $3226</w:t>
            </w:r>
          </w:p>
        </w:tc>
        <w:tc>
          <w:tcPr>
            <w:tcW w:w="629" w:type="pct"/>
            <w:tcBorders>
              <w:bottom w:val="single" w:sz="4" w:space="0" w:color="auto"/>
            </w:tcBorders>
            <w:shd w:val="solid" w:color="000000" w:fill="000000"/>
            <w:tcMar>
              <w:left w:w="28" w:type="dxa"/>
              <w:right w:w="28" w:type="dxa"/>
            </w:tcMar>
            <w:vAlign w:val="center"/>
          </w:tcPr>
          <w:p w14:paraId="55F16D59" w14:textId="6F2313D5" w:rsidR="005114AF" w:rsidRPr="00992522" w:rsidRDefault="00992522" w:rsidP="009557F4">
            <w:pPr>
              <w:jc w:val="center"/>
              <w:rPr>
                <w:rFonts w:ascii="Arial Narrow" w:hAnsi="Arial Narrow"/>
                <w:sz w:val="20"/>
                <w:szCs w:val="20"/>
                <w:lang w:val="en-AU"/>
              </w:rPr>
            </w:pPr>
            <w:r w:rsidRPr="00964E38">
              <w:rPr>
                <w:rFonts w:ascii="Arial Narrow" w:hAnsi="Arial Narrow" w:hint="eastAsia"/>
                <w:color w:val="000000"/>
                <w:w w:val="15"/>
                <w:sz w:val="20"/>
                <w:szCs w:val="20"/>
                <w:fitText w:val="10" w:id="-1504991480"/>
                <w:lang w:val="en-AU"/>
                <w14:textFill>
                  <w14:solidFill>
                    <w14:srgbClr w14:val="000000">
                      <w14:alpha w14:val="100000"/>
                    </w14:srgbClr>
                  </w14:solidFill>
                </w14:textFill>
              </w:rPr>
              <w:t xml:space="preserve">　</w:t>
            </w:r>
            <w:r w:rsidRPr="00964E38">
              <w:rPr>
                <w:rFonts w:ascii="Arial Narrow" w:hAnsi="Arial Narrow"/>
                <w:color w:val="000000"/>
                <w:w w:val="15"/>
                <w:sz w:val="20"/>
                <w:szCs w:val="20"/>
                <w:fitText w:val="10" w:id="-1504991480"/>
                <w:lang w:val="en-AU"/>
                <w14:textFill>
                  <w14:solidFill>
                    <w14:srgbClr w14:val="000000">
                      <w14:alpha w14:val="100000"/>
                    </w14:srgbClr>
                  </w14:solidFill>
                </w14:textFill>
              </w:rPr>
              <w:t>|</w:t>
            </w:r>
            <w:r w:rsidRPr="00964E38">
              <w:rPr>
                <w:rFonts w:ascii="Arial Narrow" w:hAnsi="Arial Narrow" w:hint="eastAsia"/>
                <w:color w:val="000000"/>
                <w:spacing w:val="-55"/>
                <w:w w:val="15"/>
                <w:sz w:val="20"/>
                <w:szCs w:val="20"/>
                <w:fitText w:val="10" w:id="-1504991480"/>
                <w:lang w:val="en-AU"/>
                <w14:textFill>
                  <w14:solidFill>
                    <w14:srgbClr w14:val="000000">
                      <w14:alpha w14:val="100000"/>
                    </w14:srgbClr>
                  </w14:solidFill>
                </w14:textFill>
              </w:rPr>
              <w:t xml:space="preserve">　</w:t>
            </w:r>
          </w:p>
        </w:tc>
        <w:tc>
          <w:tcPr>
            <w:tcW w:w="590" w:type="pct"/>
            <w:tcMar>
              <w:left w:w="28" w:type="dxa"/>
              <w:right w:w="28" w:type="dxa"/>
            </w:tcMar>
            <w:vAlign w:val="center"/>
          </w:tcPr>
          <w:p w14:paraId="29FCD1DD" w14:textId="77777777" w:rsidR="005114AF" w:rsidRPr="009E4EB8" w:rsidRDefault="005114AF" w:rsidP="009557F4">
            <w:pPr>
              <w:jc w:val="center"/>
              <w:rPr>
                <w:rFonts w:ascii="Arial Narrow" w:hAnsi="Arial Narrow"/>
                <w:sz w:val="20"/>
                <w:szCs w:val="20"/>
                <w:lang w:val="en-AU"/>
              </w:rPr>
            </w:pPr>
            <w:r w:rsidRPr="009E4EB8">
              <w:rPr>
                <w:rFonts w:ascii="Arial Narrow" w:hAnsi="Arial Narrow"/>
                <w:sz w:val="20"/>
                <w:szCs w:val="20"/>
                <w:lang w:val="en-AU"/>
              </w:rPr>
              <w:t>0.2207</w:t>
            </w:r>
          </w:p>
        </w:tc>
        <w:tc>
          <w:tcPr>
            <w:tcW w:w="432" w:type="pct"/>
            <w:tcMar>
              <w:left w:w="28" w:type="dxa"/>
              <w:right w:w="28" w:type="dxa"/>
            </w:tcMar>
            <w:vAlign w:val="center"/>
          </w:tcPr>
          <w:p w14:paraId="630BDFA7" w14:textId="2E78DD38" w:rsidR="005114AF" w:rsidRPr="00192427" w:rsidRDefault="00992522" w:rsidP="009557F4">
            <w:pPr>
              <w:jc w:val="center"/>
              <w:rPr>
                <w:rFonts w:ascii="Arial Narrow" w:hAnsi="Arial Narrow"/>
                <w:sz w:val="20"/>
                <w:szCs w:val="20"/>
                <w:highlight w:val="yellow"/>
                <w:lang w:val="en-AU"/>
              </w:rPr>
            </w:pPr>
            <w:r w:rsidRPr="00992522">
              <w:rPr>
                <w:rFonts w:ascii="Arial Narrow" w:hAnsi="Arial Narrow"/>
                <w:color w:val="000000"/>
                <w:spacing w:val="46"/>
                <w:sz w:val="20"/>
                <w:szCs w:val="20"/>
                <w:shd w:val="solid" w:color="000000" w:fill="000000"/>
                <w:fitText w:val="220" w:id="-1504991479"/>
                <w:lang w:val="en-AU"/>
                <w14:textFill>
                  <w14:solidFill>
                    <w14:srgbClr w14:val="000000">
                      <w14:alpha w14:val="100000"/>
                    </w14:srgbClr>
                  </w14:solidFill>
                </w14:textFill>
              </w:rPr>
              <w:t>||</w:t>
            </w:r>
            <w:r w:rsidRPr="00992522">
              <w:rPr>
                <w:rFonts w:ascii="Arial Narrow" w:hAnsi="Arial Narrow"/>
                <w:color w:val="000000"/>
                <w:spacing w:val="1"/>
                <w:sz w:val="20"/>
                <w:szCs w:val="20"/>
                <w:shd w:val="solid" w:color="000000" w:fill="000000"/>
                <w:fitText w:val="220" w:id="-1504991479"/>
                <w:lang w:val="en-AU"/>
                <w14:textFill>
                  <w14:solidFill>
                    <w14:srgbClr w14:val="000000">
                      <w14:alpha w14:val="100000"/>
                    </w14:srgbClr>
                  </w14:solidFill>
                </w14:textFill>
              </w:rPr>
              <w:t>|</w:t>
            </w:r>
            <w:r w:rsidR="00192427" w:rsidRPr="00192427">
              <w:rPr>
                <w:rFonts w:ascii="Arial Narrow" w:hAnsi="Arial Narrow"/>
                <w:sz w:val="20"/>
                <w:szCs w:val="20"/>
                <w:vertAlign w:val="superscript"/>
                <w:lang w:val="en-AU"/>
              </w:rPr>
              <w:t>1</w:t>
            </w:r>
          </w:p>
        </w:tc>
        <w:tc>
          <w:tcPr>
            <w:tcW w:w="758" w:type="pct"/>
            <w:tcMar>
              <w:left w:w="28" w:type="dxa"/>
              <w:right w:w="28" w:type="dxa"/>
            </w:tcMar>
            <w:vAlign w:val="center"/>
          </w:tcPr>
          <w:p w14:paraId="598FF7BD" w14:textId="77777777" w:rsidR="005114AF" w:rsidRPr="009E4EB8" w:rsidRDefault="005114AF" w:rsidP="009557F4">
            <w:pPr>
              <w:jc w:val="center"/>
              <w:rPr>
                <w:rFonts w:ascii="Arial Narrow" w:hAnsi="Arial Narrow"/>
                <w:iCs/>
                <w:sz w:val="20"/>
                <w:szCs w:val="20"/>
                <w:lang w:val="en-AU"/>
              </w:rPr>
            </w:pPr>
            <w:r w:rsidRPr="009E4EB8">
              <w:rPr>
                <w:rFonts w:ascii="Arial Narrow" w:hAnsi="Arial Narrow"/>
                <w:iCs/>
                <w:sz w:val="20"/>
                <w:szCs w:val="20"/>
                <w:lang w:val="en-AU"/>
              </w:rPr>
              <w:t>-4.9%</w:t>
            </w:r>
          </w:p>
        </w:tc>
      </w:tr>
      <w:tr w:rsidR="00E65351" w:rsidRPr="009E4EB8" w14:paraId="5DD6BF21" w14:textId="637CE0A1" w:rsidTr="00992522">
        <w:tc>
          <w:tcPr>
            <w:tcW w:w="0" w:type="auto"/>
            <w:tcMar>
              <w:left w:w="28" w:type="dxa"/>
              <w:right w:w="28" w:type="dxa"/>
            </w:tcMar>
            <w:vAlign w:val="center"/>
          </w:tcPr>
          <w:p w14:paraId="7906D66C" w14:textId="45F2A559" w:rsidR="00E65351" w:rsidRPr="009E4EB8" w:rsidRDefault="00E65351" w:rsidP="00E65351">
            <w:pPr>
              <w:pStyle w:val="ResubUpdateText"/>
              <w:spacing w:after="0"/>
              <w:rPr>
                <w:rFonts w:ascii="Arial Narrow" w:hAnsi="Arial Narrow"/>
                <w:color w:val="auto"/>
                <w:sz w:val="20"/>
                <w:szCs w:val="20"/>
                <w:lang w:val="en-AU"/>
              </w:rPr>
            </w:pPr>
            <w:r w:rsidRPr="009E4EB8">
              <w:rPr>
                <w:rFonts w:ascii="Arial Narrow" w:hAnsi="Arial Narrow"/>
                <w:color w:val="auto"/>
                <w:sz w:val="20"/>
                <w:szCs w:val="20"/>
                <w:lang w:val="en-AU"/>
              </w:rPr>
              <w:t>Only applied to Sd patients</w:t>
            </w:r>
          </w:p>
        </w:tc>
        <w:tc>
          <w:tcPr>
            <w:tcW w:w="1821" w:type="pct"/>
            <w:tcMar>
              <w:left w:w="28" w:type="dxa"/>
              <w:right w:w="28" w:type="dxa"/>
            </w:tcMar>
            <w:vAlign w:val="center"/>
          </w:tcPr>
          <w:p w14:paraId="08BE3422" w14:textId="77777777" w:rsidR="00E65351" w:rsidRPr="009E4EB8" w:rsidRDefault="00E65351" w:rsidP="00E65351">
            <w:pPr>
              <w:pStyle w:val="ResubUpdateText"/>
              <w:spacing w:after="0"/>
              <w:rPr>
                <w:rFonts w:ascii="Arial Narrow" w:hAnsi="Arial Narrow"/>
                <w:color w:val="auto"/>
                <w:sz w:val="20"/>
                <w:szCs w:val="20"/>
                <w:lang w:val="en-AU"/>
              </w:rPr>
            </w:pPr>
            <w:r w:rsidRPr="009E4EB8">
              <w:rPr>
                <w:rFonts w:ascii="Arial Narrow" w:hAnsi="Arial Narrow"/>
                <w:color w:val="auto"/>
                <w:sz w:val="20"/>
                <w:szCs w:val="20"/>
                <w:lang w:val="en-AU"/>
              </w:rPr>
              <w:t>Sd: 50%, $2560</w:t>
            </w:r>
          </w:p>
          <w:p w14:paraId="0239968B" w14:textId="03E2A5F1" w:rsidR="00E65351" w:rsidRPr="009E4EB8" w:rsidRDefault="00E65351" w:rsidP="00E65351">
            <w:pPr>
              <w:pStyle w:val="ResubUpdateText"/>
              <w:spacing w:after="0"/>
              <w:rPr>
                <w:rFonts w:ascii="Arial Narrow" w:hAnsi="Arial Narrow"/>
                <w:color w:val="auto"/>
                <w:sz w:val="20"/>
                <w:szCs w:val="20"/>
                <w:lang w:val="en-AU"/>
              </w:rPr>
            </w:pPr>
            <w:r w:rsidRPr="009E4EB8">
              <w:rPr>
                <w:rFonts w:ascii="Arial Narrow" w:hAnsi="Arial Narrow"/>
                <w:color w:val="auto"/>
                <w:sz w:val="20"/>
                <w:szCs w:val="20"/>
                <w:lang w:val="en-AU"/>
              </w:rPr>
              <w:t>SoC: 0%, $0</w:t>
            </w:r>
          </w:p>
        </w:tc>
        <w:tc>
          <w:tcPr>
            <w:tcW w:w="629" w:type="pct"/>
            <w:shd w:val="solid" w:color="000000" w:fill="000000"/>
            <w:tcMar>
              <w:left w:w="28" w:type="dxa"/>
              <w:right w:w="28" w:type="dxa"/>
            </w:tcMar>
            <w:vAlign w:val="center"/>
          </w:tcPr>
          <w:p w14:paraId="7650F543" w14:textId="16C2BA05" w:rsidR="00E65351" w:rsidRPr="00992522" w:rsidRDefault="00992522" w:rsidP="00E65351">
            <w:pPr>
              <w:jc w:val="center"/>
              <w:rPr>
                <w:rFonts w:ascii="Arial Narrow" w:hAnsi="Arial Narrow"/>
                <w:sz w:val="20"/>
                <w:szCs w:val="20"/>
                <w:lang w:val="en-AU"/>
              </w:rPr>
            </w:pPr>
            <w:r w:rsidRPr="00964E38">
              <w:rPr>
                <w:rFonts w:ascii="Arial Narrow" w:hAnsi="Arial Narrow" w:hint="eastAsia"/>
                <w:color w:val="000000"/>
                <w:w w:val="15"/>
                <w:sz w:val="20"/>
                <w:szCs w:val="20"/>
                <w:fitText w:val="10" w:id="-1504991478"/>
                <w:lang w:val="en-AU"/>
                <w14:textFill>
                  <w14:solidFill>
                    <w14:srgbClr w14:val="000000">
                      <w14:alpha w14:val="100000"/>
                    </w14:srgbClr>
                  </w14:solidFill>
                </w14:textFill>
              </w:rPr>
              <w:t xml:space="preserve">　</w:t>
            </w:r>
            <w:r w:rsidRPr="00964E38">
              <w:rPr>
                <w:rFonts w:ascii="Arial Narrow" w:hAnsi="Arial Narrow"/>
                <w:color w:val="000000"/>
                <w:w w:val="15"/>
                <w:sz w:val="20"/>
                <w:szCs w:val="20"/>
                <w:fitText w:val="10" w:id="-1504991478"/>
                <w:lang w:val="en-AU"/>
                <w14:textFill>
                  <w14:solidFill>
                    <w14:srgbClr w14:val="000000">
                      <w14:alpha w14:val="100000"/>
                    </w14:srgbClr>
                  </w14:solidFill>
                </w14:textFill>
              </w:rPr>
              <w:t>|</w:t>
            </w:r>
            <w:r w:rsidRPr="00964E38">
              <w:rPr>
                <w:rFonts w:ascii="Arial Narrow" w:hAnsi="Arial Narrow" w:hint="eastAsia"/>
                <w:color w:val="000000"/>
                <w:spacing w:val="-55"/>
                <w:w w:val="15"/>
                <w:sz w:val="20"/>
                <w:szCs w:val="20"/>
                <w:fitText w:val="10" w:id="-1504991478"/>
                <w:lang w:val="en-AU"/>
                <w14:textFill>
                  <w14:solidFill>
                    <w14:srgbClr w14:val="000000">
                      <w14:alpha w14:val="100000"/>
                    </w14:srgbClr>
                  </w14:solidFill>
                </w14:textFill>
              </w:rPr>
              <w:t xml:space="preserve">　</w:t>
            </w:r>
          </w:p>
        </w:tc>
        <w:tc>
          <w:tcPr>
            <w:tcW w:w="590" w:type="pct"/>
            <w:tcMar>
              <w:left w:w="28" w:type="dxa"/>
              <w:right w:w="28" w:type="dxa"/>
            </w:tcMar>
            <w:vAlign w:val="center"/>
          </w:tcPr>
          <w:p w14:paraId="1ADDEFF9" w14:textId="357D84C3" w:rsidR="00E65351" w:rsidRPr="009E4EB8" w:rsidRDefault="00E65351" w:rsidP="00E65351">
            <w:pPr>
              <w:jc w:val="center"/>
              <w:rPr>
                <w:rFonts w:ascii="Arial Narrow" w:hAnsi="Arial Narrow"/>
                <w:sz w:val="20"/>
                <w:szCs w:val="20"/>
                <w:lang w:val="en-AU"/>
              </w:rPr>
            </w:pPr>
            <w:r w:rsidRPr="009E4EB8">
              <w:rPr>
                <w:rFonts w:ascii="Arial Narrow" w:hAnsi="Arial Narrow"/>
                <w:sz w:val="20"/>
                <w:szCs w:val="20"/>
                <w:lang w:val="en-AU"/>
              </w:rPr>
              <w:t>0.2207</w:t>
            </w:r>
          </w:p>
        </w:tc>
        <w:tc>
          <w:tcPr>
            <w:tcW w:w="432" w:type="pct"/>
            <w:tcMar>
              <w:left w:w="28" w:type="dxa"/>
              <w:right w:w="28" w:type="dxa"/>
            </w:tcMar>
            <w:vAlign w:val="center"/>
          </w:tcPr>
          <w:p w14:paraId="4F4BEBC3" w14:textId="713E758E" w:rsidR="00E65351" w:rsidRPr="00192427" w:rsidRDefault="00992522" w:rsidP="00E65351">
            <w:pPr>
              <w:jc w:val="center"/>
              <w:rPr>
                <w:rFonts w:ascii="Arial Narrow" w:hAnsi="Arial Narrow"/>
                <w:sz w:val="20"/>
                <w:szCs w:val="20"/>
                <w:highlight w:val="yellow"/>
                <w:lang w:val="en-AU"/>
              </w:rPr>
            </w:pPr>
            <w:r w:rsidRPr="00992522">
              <w:rPr>
                <w:rFonts w:ascii="Arial Narrow" w:hAnsi="Arial Narrow"/>
                <w:color w:val="000000"/>
                <w:spacing w:val="46"/>
                <w:sz w:val="20"/>
                <w:szCs w:val="20"/>
                <w:shd w:val="solid" w:color="000000" w:fill="000000"/>
                <w:fitText w:val="220" w:id="-1504991477"/>
                <w:lang w:val="en-AU"/>
                <w14:textFill>
                  <w14:solidFill>
                    <w14:srgbClr w14:val="000000">
                      <w14:alpha w14:val="100000"/>
                    </w14:srgbClr>
                  </w14:solidFill>
                </w14:textFill>
              </w:rPr>
              <w:t>||</w:t>
            </w:r>
            <w:r w:rsidRPr="00992522">
              <w:rPr>
                <w:rFonts w:ascii="Arial Narrow" w:hAnsi="Arial Narrow"/>
                <w:color w:val="000000"/>
                <w:spacing w:val="1"/>
                <w:sz w:val="20"/>
                <w:szCs w:val="20"/>
                <w:shd w:val="solid" w:color="000000" w:fill="000000"/>
                <w:fitText w:val="220" w:id="-1504991477"/>
                <w:lang w:val="en-AU"/>
                <w14:textFill>
                  <w14:solidFill>
                    <w14:srgbClr w14:val="000000">
                      <w14:alpha w14:val="100000"/>
                    </w14:srgbClr>
                  </w14:solidFill>
                </w14:textFill>
              </w:rPr>
              <w:t>|</w:t>
            </w:r>
            <w:r w:rsidR="00192427" w:rsidRPr="00192427">
              <w:rPr>
                <w:rFonts w:ascii="Arial Narrow" w:hAnsi="Arial Narrow"/>
                <w:sz w:val="20"/>
                <w:szCs w:val="20"/>
                <w:vertAlign w:val="superscript"/>
                <w:lang w:val="en-AU"/>
              </w:rPr>
              <w:t>1</w:t>
            </w:r>
          </w:p>
        </w:tc>
        <w:tc>
          <w:tcPr>
            <w:tcW w:w="758" w:type="pct"/>
            <w:tcMar>
              <w:left w:w="28" w:type="dxa"/>
              <w:right w:w="28" w:type="dxa"/>
            </w:tcMar>
            <w:vAlign w:val="center"/>
          </w:tcPr>
          <w:p w14:paraId="2EA07C8B" w14:textId="5AB51A11" w:rsidR="00E65351" w:rsidRPr="009E4EB8" w:rsidRDefault="00E65351" w:rsidP="00E65351">
            <w:pPr>
              <w:jc w:val="center"/>
              <w:rPr>
                <w:rFonts w:ascii="Arial Narrow" w:hAnsi="Arial Narrow"/>
                <w:iCs/>
                <w:sz w:val="20"/>
                <w:szCs w:val="20"/>
                <w:lang w:val="en-AU"/>
              </w:rPr>
            </w:pPr>
            <w:r w:rsidRPr="009E4EB8">
              <w:rPr>
                <w:rFonts w:ascii="Arial Narrow" w:hAnsi="Arial Narrow"/>
                <w:iCs/>
                <w:sz w:val="20"/>
                <w:szCs w:val="20"/>
                <w:lang w:val="en-AU"/>
              </w:rPr>
              <w:t>19.0%</w:t>
            </w:r>
          </w:p>
        </w:tc>
      </w:tr>
    </w:tbl>
    <w:p w14:paraId="126F3EA4" w14:textId="77777777" w:rsidR="005114AF" w:rsidRPr="009E4EB8" w:rsidRDefault="005114AF" w:rsidP="005114AF">
      <w:pPr>
        <w:rPr>
          <w:rStyle w:val="FontBold"/>
          <w:rFonts w:ascii="Arial Narrow" w:eastAsiaTheme="minorHAnsi" w:hAnsi="Arial Narrow"/>
          <w:b w:val="0"/>
          <w:bCs/>
          <w:sz w:val="18"/>
          <w:szCs w:val="18"/>
        </w:rPr>
      </w:pPr>
      <w:r w:rsidRPr="009E4EB8">
        <w:rPr>
          <w:rStyle w:val="FontBold"/>
          <w:rFonts w:ascii="Arial Narrow" w:eastAsiaTheme="minorHAnsi" w:hAnsi="Arial Narrow"/>
          <w:b w:val="0"/>
          <w:bCs/>
          <w:sz w:val="18"/>
          <w:szCs w:val="18"/>
        </w:rPr>
        <w:t>Source: Table 3-26, p157 of the resubmission</w:t>
      </w:r>
    </w:p>
    <w:p w14:paraId="50C2D166" w14:textId="77777777" w:rsidR="005114AF" w:rsidRPr="009E4EB8" w:rsidRDefault="005114AF" w:rsidP="005114AF">
      <w:pPr>
        <w:rPr>
          <w:rStyle w:val="FontBold"/>
          <w:rFonts w:ascii="Arial Narrow" w:eastAsiaTheme="minorHAnsi" w:hAnsi="Arial Narrow"/>
          <w:b w:val="0"/>
          <w:bCs/>
          <w:sz w:val="18"/>
          <w:szCs w:val="18"/>
        </w:rPr>
      </w:pPr>
      <w:r w:rsidRPr="009E4EB8">
        <w:rPr>
          <w:rStyle w:val="FontBold"/>
          <w:rFonts w:ascii="Arial Narrow" w:eastAsiaTheme="minorHAnsi" w:hAnsi="Arial Narrow"/>
          <w:b w:val="0"/>
          <w:bCs/>
          <w:sz w:val="18"/>
          <w:szCs w:val="18"/>
        </w:rPr>
        <w:t>Abbreviations: DCEP = dexamethasone + cyclophosphamide + etoposide + cisplatin; PFS = progression free survival; Sd = selinexor + dexamethasone; SoC = standard of care (denoting DCEP); QALY = quality adjusted life years</w:t>
      </w:r>
    </w:p>
    <w:p w14:paraId="2F6E2F6E" w14:textId="24BB6E39" w:rsidR="007159D8" w:rsidRDefault="007159D8" w:rsidP="00587FEC">
      <w:pPr>
        <w:rPr>
          <w:rFonts w:ascii="Arial Narrow" w:hAnsi="Arial Narrow" w:cs="Calibri"/>
          <w:color w:val="000000"/>
          <w:sz w:val="18"/>
          <w:szCs w:val="18"/>
          <w:shd w:val="clear" w:color="auto" w:fill="FFFFFF"/>
        </w:rPr>
      </w:pPr>
    </w:p>
    <w:p w14:paraId="659D86DF" w14:textId="77777777" w:rsidR="00192427" w:rsidRPr="009A6D58" w:rsidRDefault="00192427" w:rsidP="00192427">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74BFF5D" w14:textId="77777777" w:rsidR="00192427" w:rsidRPr="009A6D58" w:rsidRDefault="00192427" w:rsidP="00192427">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0D6911">
        <w:rPr>
          <w:rFonts w:ascii="Arial Narrow" w:hAnsi="Arial Narrow"/>
          <w:i/>
          <w:sz w:val="18"/>
          <w:szCs w:val="18"/>
        </w:rPr>
        <w:t>55,000 to &lt; $75,000</w:t>
      </w:r>
    </w:p>
    <w:p w14:paraId="6A50E837" w14:textId="4287F0EA" w:rsidR="005304FD" w:rsidRPr="009E4EB8" w:rsidRDefault="005304FD" w:rsidP="005304FD">
      <w:pPr>
        <w:pStyle w:val="4-SubsectionHeading"/>
      </w:pPr>
      <w:bookmarkStart w:id="70" w:name="_Toc22897646"/>
      <w:bookmarkStart w:id="71" w:name="_Toc22898858"/>
      <w:bookmarkStart w:id="72" w:name="_Toc93422869"/>
      <w:r w:rsidRPr="009E4EB8">
        <w:t>Drug</w:t>
      </w:r>
      <w:r w:rsidR="00EB7603" w:rsidRPr="009E4EB8">
        <w:t xml:space="preserve"> </w:t>
      </w:r>
      <w:r w:rsidRPr="009E4EB8">
        <w:t>cost/patient/course</w:t>
      </w:r>
      <w:bookmarkEnd w:id="70"/>
      <w:bookmarkEnd w:id="71"/>
      <w:bookmarkEnd w:id="72"/>
    </w:p>
    <w:p w14:paraId="796F964D" w14:textId="2E446135" w:rsidR="002D4209" w:rsidRPr="009E4EB8" w:rsidRDefault="002D4209" w:rsidP="002D4209">
      <w:pPr>
        <w:pStyle w:val="3-BodyText"/>
        <w:rPr>
          <w:iCs/>
        </w:rPr>
      </w:pPr>
      <w:r w:rsidRPr="009E4EB8">
        <w:rPr>
          <w:rFonts w:cstheme="minorHAnsi"/>
          <w:iCs/>
        </w:rPr>
        <w:t xml:space="preserve">A summary of the drug cost per patient for Sd and DCEP is presented in </w:t>
      </w:r>
      <w:r w:rsidR="006C2945" w:rsidRPr="009E4EB8">
        <w:rPr>
          <w:rFonts w:cstheme="minorHAnsi"/>
        </w:rPr>
        <w:t>Table 1</w:t>
      </w:r>
      <w:r w:rsidR="008C7DAA" w:rsidRPr="009E4EB8">
        <w:rPr>
          <w:rFonts w:cstheme="minorHAnsi"/>
        </w:rPr>
        <w:t>5</w:t>
      </w:r>
      <w:r w:rsidRPr="009E4EB8">
        <w:rPr>
          <w:rFonts w:cstheme="minorHAnsi"/>
        </w:rPr>
        <w:t>.</w:t>
      </w:r>
      <w:r w:rsidRPr="009E4EB8">
        <w:t xml:space="preserve"> The average time on treatment of Sd estimated from the model was </w:t>
      </w:r>
      <w:r w:rsidR="00C05092" w:rsidRPr="009E4EB8">
        <w:t>12.35</w:t>
      </w:r>
      <w:r w:rsidRPr="009E4EB8">
        <w:t xml:space="preserve"> weeks, and the proposed drug cost/patient/course was estimated to be </w:t>
      </w:r>
      <w:r w:rsidRPr="00885237">
        <w:t>$</w:t>
      </w:r>
      <w:proofErr w:type="gramStart"/>
      <w:r w:rsidR="00992522" w:rsidRPr="00964E38">
        <w:rPr>
          <w:color w:val="000000"/>
          <w:w w:val="15"/>
          <w:shd w:val="solid" w:color="000000" w:fill="000000"/>
          <w:fitText w:val="-20" w:id="-1504991476"/>
          <w14:textFill>
            <w14:solidFill>
              <w14:srgbClr w14:val="000000">
                <w14:alpha w14:val="100000"/>
              </w14:srgbClr>
            </w14:solidFill>
          </w14:textFill>
        </w:rPr>
        <w:t xml:space="preserve">|  </w:t>
      </w:r>
      <w:r w:rsidR="00992522" w:rsidRPr="00964E38">
        <w:rPr>
          <w:color w:val="000000"/>
          <w:spacing w:val="-69"/>
          <w:w w:val="15"/>
          <w:shd w:val="solid" w:color="000000" w:fill="000000"/>
          <w:fitText w:val="-20" w:id="-1504991476"/>
          <w14:textFill>
            <w14:solidFill>
              <w14:srgbClr w14:val="000000">
                <w14:alpha w14:val="100000"/>
              </w14:srgbClr>
            </w14:solidFill>
          </w14:textFill>
        </w:rPr>
        <w:t>|</w:t>
      </w:r>
      <w:proofErr w:type="gramEnd"/>
      <w:r w:rsidRPr="009E4EB8">
        <w:t>.</w:t>
      </w:r>
      <w:r w:rsidRPr="009E4EB8">
        <w:rPr>
          <w:rFonts w:cstheme="minorHAnsi"/>
          <w:iCs/>
        </w:rPr>
        <w:t xml:space="preserve"> </w:t>
      </w:r>
      <w:r w:rsidR="00D37DC4" w:rsidRPr="009E4EB8">
        <w:rPr>
          <w:rFonts w:cstheme="minorHAnsi"/>
          <w:iCs/>
        </w:rPr>
        <w:t xml:space="preserve">The duration of therapy </w:t>
      </w:r>
      <w:r w:rsidR="00EB119A" w:rsidRPr="009E4EB8">
        <w:rPr>
          <w:rFonts w:cstheme="minorHAnsi"/>
          <w:iCs/>
        </w:rPr>
        <w:t xml:space="preserve">based on </w:t>
      </w:r>
      <w:r w:rsidR="00934D73" w:rsidRPr="009E4EB8">
        <w:rPr>
          <w:rFonts w:cstheme="minorHAnsi"/>
          <w:iCs/>
        </w:rPr>
        <w:t xml:space="preserve">observed data in </w:t>
      </w:r>
      <w:r w:rsidR="00EB119A" w:rsidRPr="009E4EB8">
        <w:rPr>
          <w:rFonts w:cstheme="minorHAnsi"/>
          <w:iCs/>
        </w:rPr>
        <w:t xml:space="preserve">STORM was lower for Sd </w:t>
      </w:r>
      <w:r w:rsidR="00934D73" w:rsidRPr="009E4EB8">
        <w:rPr>
          <w:rFonts w:cstheme="minorHAnsi"/>
          <w:iCs/>
        </w:rPr>
        <w:t xml:space="preserve">than the modelled durations in the </w:t>
      </w:r>
      <w:r w:rsidR="00EB119A" w:rsidRPr="009E4EB8">
        <w:rPr>
          <w:rFonts w:cstheme="minorHAnsi"/>
          <w:iCs/>
        </w:rPr>
        <w:t>economic and financial estimates.</w:t>
      </w:r>
    </w:p>
    <w:p w14:paraId="3CE97540" w14:textId="10FDD2C0" w:rsidR="005304FD" w:rsidRPr="009E4EB8" w:rsidRDefault="00185BA9" w:rsidP="002D6927">
      <w:pPr>
        <w:pStyle w:val="Caption"/>
        <w:keepNext/>
        <w:spacing w:after="0"/>
        <w:rPr>
          <w:rStyle w:val="CommentReference"/>
          <w:b/>
          <w:color w:val="auto"/>
          <w:szCs w:val="20"/>
        </w:rPr>
      </w:pPr>
      <w:bookmarkStart w:id="73" w:name="_Ref91082774"/>
      <w:r w:rsidRPr="009E4EB8">
        <w:rPr>
          <w:rFonts w:ascii="Arial Narrow" w:hAnsi="Arial Narrow"/>
          <w:color w:val="auto"/>
          <w:sz w:val="20"/>
          <w:szCs w:val="20"/>
        </w:rPr>
        <w:t xml:space="preserve">Table </w:t>
      </w:r>
      <w:r w:rsidRPr="009E4EB8">
        <w:rPr>
          <w:rFonts w:ascii="Arial Narrow" w:hAnsi="Arial Narrow"/>
          <w:color w:val="auto"/>
          <w:sz w:val="20"/>
          <w:szCs w:val="20"/>
        </w:rPr>
        <w:fldChar w:fldCharType="begin"/>
      </w:r>
      <w:r w:rsidRPr="009E4EB8">
        <w:rPr>
          <w:rFonts w:ascii="Arial Narrow" w:hAnsi="Arial Narrow"/>
          <w:color w:val="auto"/>
          <w:sz w:val="20"/>
          <w:szCs w:val="20"/>
        </w:rPr>
        <w:instrText xml:space="preserve"> SEQ Table \* ARABIC </w:instrText>
      </w:r>
      <w:r w:rsidRPr="009E4EB8">
        <w:rPr>
          <w:rFonts w:ascii="Arial Narrow" w:hAnsi="Arial Narrow"/>
          <w:color w:val="auto"/>
          <w:sz w:val="20"/>
          <w:szCs w:val="20"/>
        </w:rPr>
        <w:fldChar w:fldCharType="separate"/>
      </w:r>
      <w:r w:rsidR="00964E38">
        <w:rPr>
          <w:rFonts w:ascii="Arial Narrow" w:hAnsi="Arial Narrow"/>
          <w:noProof/>
          <w:color w:val="auto"/>
          <w:sz w:val="20"/>
          <w:szCs w:val="20"/>
        </w:rPr>
        <w:t>15</w:t>
      </w:r>
      <w:r w:rsidRPr="009E4EB8">
        <w:rPr>
          <w:rFonts w:ascii="Arial Narrow" w:hAnsi="Arial Narrow"/>
          <w:color w:val="auto"/>
          <w:sz w:val="20"/>
          <w:szCs w:val="20"/>
        </w:rPr>
        <w:fldChar w:fldCharType="end"/>
      </w:r>
      <w:bookmarkEnd w:id="73"/>
      <w:r w:rsidRPr="009E4EB8">
        <w:rPr>
          <w:rFonts w:ascii="Arial Narrow" w:hAnsi="Arial Narrow"/>
          <w:color w:val="auto"/>
          <w:sz w:val="20"/>
          <w:szCs w:val="20"/>
        </w:rPr>
        <w:t xml:space="preserve">: </w:t>
      </w:r>
      <w:r w:rsidR="005304FD" w:rsidRPr="009E4EB8">
        <w:rPr>
          <w:rStyle w:val="CommentReference"/>
          <w:b/>
          <w:color w:val="auto"/>
          <w:szCs w:val="20"/>
        </w:rPr>
        <w:t>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257"/>
        <w:gridCol w:w="1255"/>
        <w:gridCol w:w="1259"/>
        <w:gridCol w:w="1255"/>
        <w:gridCol w:w="1261"/>
        <w:gridCol w:w="1261"/>
      </w:tblGrid>
      <w:tr w:rsidR="00FA6690" w:rsidRPr="009E4EB8" w14:paraId="2F7B4D7A" w14:textId="77777777" w:rsidTr="00FA6690">
        <w:trPr>
          <w:cantSplit/>
          <w:tblHeader/>
          <w:jc w:val="center"/>
        </w:trPr>
        <w:tc>
          <w:tcPr>
            <w:tcW w:w="815" w:type="pct"/>
            <w:shd w:val="clear" w:color="auto" w:fill="auto"/>
            <w:vAlign w:val="center"/>
          </w:tcPr>
          <w:p w14:paraId="4555C5E6" w14:textId="77777777" w:rsidR="00FA6690" w:rsidRPr="009E4EB8" w:rsidRDefault="00FA6690" w:rsidP="002D6927">
            <w:pPr>
              <w:pStyle w:val="In-tableHeading"/>
              <w:jc w:val="center"/>
              <w:rPr>
                <w:lang w:val="en-AU"/>
              </w:rPr>
            </w:pPr>
          </w:p>
        </w:tc>
        <w:tc>
          <w:tcPr>
            <w:tcW w:w="2091" w:type="pct"/>
            <w:gridSpan w:val="3"/>
            <w:shd w:val="clear" w:color="auto" w:fill="auto"/>
            <w:vAlign w:val="center"/>
          </w:tcPr>
          <w:p w14:paraId="74949CDF" w14:textId="16895686" w:rsidR="00FA6690" w:rsidRPr="009E4EB8" w:rsidRDefault="00FA6690" w:rsidP="002D6927">
            <w:pPr>
              <w:pStyle w:val="In-tableHeading"/>
              <w:jc w:val="center"/>
              <w:rPr>
                <w:lang w:val="en-AU"/>
              </w:rPr>
            </w:pPr>
            <w:r w:rsidRPr="009E4EB8">
              <w:rPr>
                <w:lang w:val="en-AU"/>
              </w:rPr>
              <w:t>Sd</w:t>
            </w:r>
          </w:p>
        </w:tc>
        <w:tc>
          <w:tcPr>
            <w:tcW w:w="2094" w:type="pct"/>
            <w:gridSpan w:val="3"/>
            <w:shd w:val="clear" w:color="auto" w:fill="auto"/>
            <w:vAlign w:val="center"/>
          </w:tcPr>
          <w:p w14:paraId="4B4BA164" w14:textId="0DA2DD14" w:rsidR="00FA6690" w:rsidRPr="009E4EB8" w:rsidRDefault="00FA6690" w:rsidP="002D6927">
            <w:pPr>
              <w:pStyle w:val="In-tableHeading"/>
              <w:jc w:val="center"/>
              <w:rPr>
                <w:lang w:val="en-AU"/>
              </w:rPr>
            </w:pPr>
            <w:r w:rsidRPr="009E4EB8">
              <w:rPr>
                <w:lang w:val="en-AU"/>
              </w:rPr>
              <w:t>DCEP</w:t>
            </w:r>
          </w:p>
        </w:tc>
      </w:tr>
      <w:tr w:rsidR="00FA6690" w:rsidRPr="009E4EB8" w14:paraId="6D5859CA" w14:textId="77777777" w:rsidTr="00C05092">
        <w:trPr>
          <w:cantSplit/>
          <w:tblHeader/>
          <w:jc w:val="center"/>
        </w:trPr>
        <w:tc>
          <w:tcPr>
            <w:tcW w:w="815" w:type="pct"/>
            <w:shd w:val="clear" w:color="auto" w:fill="auto"/>
            <w:vAlign w:val="center"/>
          </w:tcPr>
          <w:p w14:paraId="6343E7F9" w14:textId="77777777" w:rsidR="00FA6690" w:rsidRPr="009E4EB8" w:rsidRDefault="00FA6690" w:rsidP="002D6927">
            <w:pPr>
              <w:pStyle w:val="In-tableHeading"/>
              <w:jc w:val="center"/>
              <w:rPr>
                <w:lang w:val="en-AU"/>
              </w:rPr>
            </w:pPr>
          </w:p>
        </w:tc>
        <w:tc>
          <w:tcPr>
            <w:tcW w:w="697" w:type="pct"/>
            <w:shd w:val="clear" w:color="auto" w:fill="auto"/>
            <w:vAlign w:val="center"/>
          </w:tcPr>
          <w:p w14:paraId="5AEFC4B1" w14:textId="6C023957" w:rsidR="00FA6690" w:rsidRPr="009E4EB8" w:rsidRDefault="00FA6690" w:rsidP="002D6927">
            <w:pPr>
              <w:pStyle w:val="In-tableHeading"/>
              <w:jc w:val="center"/>
              <w:rPr>
                <w:lang w:val="en-AU"/>
              </w:rPr>
            </w:pPr>
            <w:r w:rsidRPr="009E4EB8">
              <w:rPr>
                <w:lang w:val="en-AU"/>
              </w:rPr>
              <w:t>Study dose and duration</w:t>
            </w:r>
          </w:p>
        </w:tc>
        <w:tc>
          <w:tcPr>
            <w:tcW w:w="696" w:type="pct"/>
            <w:shd w:val="clear" w:color="auto" w:fill="auto"/>
            <w:vAlign w:val="center"/>
          </w:tcPr>
          <w:p w14:paraId="78C2A1A8" w14:textId="77777777" w:rsidR="00FA6690" w:rsidRPr="009E4EB8" w:rsidRDefault="00FA6690" w:rsidP="00C05092">
            <w:pPr>
              <w:pStyle w:val="In-tableHeading"/>
              <w:jc w:val="center"/>
              <w:rPr>
                <w:lang w:val="en-AU"/>
              </w:rPr>
            </w:pPr>
            <w:r w:rsidRPr="009E4EB8">
              <w:rPr>
                <w:lang w:val="en-AU"/>
              </w:rPr>
              <w:t>Model</w:t>
            </w:r>
          </w:p>
        </w:tc>
        <w:tc>
          <w:tcPr>
            <w:tcW w:w="698" w:type="pct"/>
            <w:shd w:val="clear" w:color="auto" w:fill="auto"/>
          </w:tcPr>
          <w:p w14:paraId="442A07B7" w14:textId="77777777" w:rsidR="00FA6690" w:rsidRPr="009E4EB8" w:rsidRDefault="00FA6690" w:rsidP="00C05092">
            <w:pPr>
              <w:pStyle w:val="In-tableHeading"/>
              <w:jc w:val="center"/>
              <w:rPr>
                <w:lang w:val="en-AU"/>
              </w:rPr>
            </w:pPr>
            <w:r w:rsidRPr="009E4EB8">
              <w:rPr>
                <w:lang w:val="en-AU"/>
              </w:rPr>
              <w:t>Financial estimates</w:t>
            </w:r>
          </w:p>
        </w:tc>
        <w:tc>
          <w:tcPr>
            <w:tcW w:w="696" w:type="pct"/>
            <w:shd w:val="clear" w:color="auto" w:fill="auto"/>
          </w:tcPr>
          <w:p w14:paraId="3851A813" w14:textId="21414542" w:rsidR="00FA6690" w:rsidRPr="009E4EB8" w:rsidRDefault="00FA6690" w:rsidP="00C05092">
            <w:pPr>
              <w:pStyle w:val="In-tableHeading"/>
              <w:jc w:val="center"/>
              <w:rPr>
                <w:lang w:val="en-AU"/>
              </w:rPr>
            </w:pPr>
            <w:r w:rsidRPr="009E4EB8">
              <w:rPr>
                <w:lang w:val="en-AU"/>
              </w:rPr>
              <w:t>Study dose and duration</w:t>
            </w:r>
          </w:p>
        </w:tc>
        <w:tc>
          <w:tcPr>
            <w:tcW w:w="699" w:type="pct"/>
            <w:shd w:val="clear" w:color="auto" w:fill="auto"/>
            <w:vAlign w:val="center"/>
          </w:tcPr>
          <w:p w14:paraId="1B8252D0" w14:textId="618B41E1" w:rsidR="00FA6690" w:rsidRPr="009E4EB8" w:rsidRDefault="00FA6690" w:rsidP="00C05092">
            <w:pPr>
              <w:pStyle w:val="In-tableHeading"/>
              <w:jc w:val="center"/>
              <w:rPr>
                <w:lang w:val="en-AU"/>
              </w:rPr>
            </w:pPr>
            <w:r w:rsidRPr="009E4EB8">
              <w:rPr>
                <w:lang w:val="en-AU"/>
              </w:rPr>
              <w:t>Model</w:t>
            </w:r>
          </w:p>
        </w:tc>
        <w:tc>
          <w:tcPr>
            <w:tcW w:w="699" w:type="pct"/>
            <w:vAlign w:val="center"/>
          </w:tcPr>
          <w:p w14:paraId="7D02BEA2" w14:textId="49AA2CA5" w:rsidR="00FA6690" w:rsidRPr="009E4EB8" w:rsidRDefault="00FA6690" w:rsidP="002D6927">
            <w:pPr>
              <w:pStyle w:val="In-tableHeading"/>
              <w:jc w:val="center"/>
              <w:rPr>
                <w:lang w:val="en-AU"/>
              </w:rPr>
            </w:pPr>
            <w:r w:rsidRPr="009E4EB8">
              <w:rPr>
                <w:lang w:val="en-AU"/>
              </w:rPr>
              <w:t>Financial estimates</w:t>
            </w:r>
          </w:p>
        </w:tc>
      </w:tr>
      <w:tr w:rsidR="00B6028E" w:rsidRPr="009E4EB8" w14:paraId="6BB053D7" w14:textId="77777777" w:rsidTr="00D041EE">
        <w:trPr>
          <w:cantSplit/>
          <w:trHeight w:val="469"/>
          <w:jc w:val="center"/>
        </w:trPr>
        <w:tc>
          <w:tcPr>
            <w:tcW w:w="815" w:type="pct"/>
            <w:shd w:val="clear" w:color="auto" w:fill="auto"/>
          </w:tcPr>
          <w:p w14:paraId="5C8E89EF" w14:textId="77777777" w:rsidR="00B6028E" w:rsidRPr="009E4EB8" w:rsidRDefault="00B6028E" w:rsidP="002D6927">
            <w:pPr>
              <w:pStyle w:val="TableText0"/>
              <w:rPr>
                <w:bCs w:val="0"/>
              </w:rPr>
            </w:pPr>
            <w:r w:rsidRPr="009E4EB8">
              <w:t>Dose intensity</w:t>
            </w:r>
          </w:p>
          <w:p w14:paraId="71798DD8" w14:textId="634E6D6A" w:rsidR="00B6028E" w:rsidRPr="009E4EB8" w:rsidRDefault="00B6028E" w:rsidP="002D6927">
            <w:pPr>
              <w:pStyle w:val="TableText0"/>
            </w:pPr>
            <w:r w:rsidRPr="009E4EB8">
              <w:rPr>
                <w:bCs w:val="0"/>
              </w:rPr>
              <w:t xml:space="preserve">    </w:t>
            </w:r>
          </w:p>
        </w:tc>
        <w:tc>
          <w:tcPr>
            <w:tcW w:w="697" w:type="pct"/>
            <w:shd w:val="clear" w:color="auto" w:fill="auto"/>
            <w:vAlign w:val="center"/>
          </w:tcPr>
          <w:p w14:paraId="48D4AE8A" w14:textId="77777777" w:rsidR="00B6028E" w:rsidRPr="009E4EB8" w:rsidRDefault="00B6028E" w:rsidP="002D6927">
            <w:pPr>
              <w:pStyle w:val="TableText0"/>
              <w:jc w:val="center"/>
              <w:rPr>
                <w:bCs w:val="0"/>
              </w:rPr>
            </w:pPr>
            <w:r w:rsidRPr="009E4EB8">
              <w:rPr>
                <w:bCs w:val="0"/>
              </w:rPr>
              <w:t>S: 65.4%</w:t>
            </w:r>
          </w:p>
          <w:p w14:paraId="5F439439" w14:textId="2238CE4F" w:rsidR="00B6028E" w:rsidRPr="009E4EB8" w:rsidRDefault="00B6028E" w:rsidP="002D6927">
            <w:pPr>
              <w:pStyle w:val="TableText0"/>
              <w:jc w:val="center"/>
              <w:rPr>
                <w:bCs w:val="0"/>
              </w:rPr>
            </w:pPr>
            <w:r w:rsidRPr="009E4EB8">
              <w:rPr>
                <w:bCs w:val="0"/>
              </w:rPr>
              <w:t>D: 80.0%</w:t>
            </w:r>
          </w:p>
        </w:tc>
        <w:tc>
          <w:tcPr>
            <w:tcW w:w="696" w:type="pct"/>
            <w:shd w:val="clear" w:color="auto" w:fill="auto"/>
            <w:vAlign w:val="center"/>
          </w:tcPr>
          <w:p w14:paraId="3F53813D" w14:textId="77777777" w:rsidR="00B6028E" w:rsidRPr="009E4EB8" w:rsidRDefault="00B6028E" w:rsidP="002D6927">
            <w:pPr>
              <w:pStyle w:val="TableText0"/>
              <w:jc w:val="center"/>
              <w:rPr>
                <w:bCs w:val="0"/>
              </w:rPr>
            </w:pPr>
            <w:r w:rsidRPr="009E4EB8">
              <w:rPr>
                <w:bCs w:val="0"/>
              </w:rPr>
              <w:t>S: 65.4%</w:t>
            </w:r>
          </w:p>
          <w:p w14:paraId="3E9A392E" w14:textId="0191D250" w:rsidR="00B6028E" w:rsidRPr="009E4EB8" w:rsidRDefault="00B6028E" w:rsidP="002D6927">
            <w:pPr>
              <w:pStyle w:val="TableText0"/>
              <w:jc w:val="center"/>
              <w:rPr>
                <w:bCs w:val="0"/>
              </w:rPr>
            </w:pPr>
            <w:r w:rsidRPr="009E4EB8">
              <w:rPr>
                <w:bCs w:val="0"/>
              </w:rPr>
              <w:t>D: 80.0%</w:t>
            </w:r>
          </w:p>
        </w:tc>
        <w:tc>
          <w:tcPr>
            <w:tcW w:w="698" w:type="pct"/>
            <w:shd w:val="clear" w:color="auto" w:fill="auto"/>
            <w:vAlign w:val="center"/>
          </w:tcPr>
          <w:p w14:paraId="1F929D64" w14:textId="77777777" w:rsidR="00B6028E" w:rsidRPr="009E4EB8" w:rsidRDefault="00B6028E" w:rsidP="002D6927">
            <w:pPr>
              <w:pStyle w:val="TableText0"/>
              <w:jc w:val="center"/>
              <w:rPr>
                <w:bCs w:val="0"/>
              </w:rPr>
            </w:pPr>
            <w:r w:rsidRPr="009E4EB8">
              <w:rPr>
                <w:bCs w:val="0"/>
              </w:rPr>
              <w:t>S: 65.4%</w:t>
            </w:r>
          </w:p>
          <w:p w14:paraId="3D9077D2" w14:textId="56ACBC8D" w:rsidR="00B6028E" w:rsidRPr="009E4EB8" w:rsidRDefault="00B6028E" w:rsidP="002D6927">
            <w:pPr>
              <w:pStyle w:val="TableText0"/>
              <w:jc w:val="center"/>
              <w:rPr>
                <w:bCs w:val="0"/>
              </w:rPr>
            </w:pPr>
            <w:r w:rsidRPr="009E4EB8">
              <w:rPr>
                <w:bCs w:val="0"/>
              </w:rPr>
              <w:t>D: 80.0%</w:t>
            </w:r>
          </w:p>
        </w:tc>
        <w:tc>
          <w:tcPr>
            <w:tcW w:w="696" w:type="pct"/>
            <w:shd w:val="clear" w:color="auto" w:fill="auto"/>
            <w:vAlign w:val="center"/>
          </w:tcPr>
          <w:p w14:paraId="6A519285" w14:textId="6A2D6C31" w:rsidR="00B6028E" w:rsidRPr="009E4EB8" w:rsidRDefault="00B6028E" w:rsidP="002D6927">
            <w:pPr>
              <w:pStyle w:val="TableText0"/>
              <w:jc w:val="center"/>
              <w:rPr>
                <w:bCs w:val="0"/>
              </w:rPr>
            </w:pPr>
            <w:r w:rsidRPr="009E4EB8">
              <w:rPr>
                <w:bCs w:val="0"/>
              </w:rPr>
              <w:t>NA</w:t>
            </w:r>
          </w:p>
        </w:tc>
        <w:tc>
          <w:tcPr>
            <w:tcW w:w="699" w:type="pct"/>
            <w:shd w:val="clear" w:color="auto" w:fill="auto"/>
            <w:vAlign w:val="center"/>
          </w:tcPr>
          <w:p w14:paraId="566EF359" w14:textId="6E7876BE" w:rsidR="00B6028E" w:rsidRPr="009E4EB8" w:rsidRDefault="00B6028E" w:rsidP="002D6927">
            <w:pPr>
              <w:pStyle w:val="TableText0"/>
              <w:jc w:val="center"/>
              <w:rPr>
                <w:bCs w:val="0"/>
              </w:rPr>
            </w:pPr>
            <w:r w:rsidRPr="009E4EB8">
              <w:rPr>
                <w:bCs w:val="0"/>
              </w:rPr>
              <w:t>100%</w:t>
            </w:r>
          </w:p>
        </w:tc>
        <w:tc>
          <w:tcPr>
            <w:tcW w:w="699" w:type="pct"/>
            <w:vAlign w:val="center"/>
          </w:tcPr>
          <w:p w14:paraId="797A80E9" w14:textId="52F96BFB" w:rsidR="00B6028E" w:rsidRPr="009E4EB8" w:rsidRDefault="00B6028E" w:rsidP="002D6927">
            <w:pPr>
              <w:pStyle w:val="TableText0"/>
              <w:jc w:val="center"/>
              <w:rPr>
                <w:bCs w:val="0"/>
              </w:rPr>
            </w:pPr>
            <w:r w:rsidRPr="009E4EB8">
              <w:rPr>
                <w:bCs w:val="0"/>
              </w:rPr>
              <w:t>100%</w:t>
            </w:r>
          </w:p>
        </w:tc>
      </w:tr>
      <w:tr w:rsidR="00975815" w:rsidRPr="009E4EB8" w14:paraId="32433B1F" w14:textId="77777777" w:rsidTr="00D041EE">
        <w:trPr>
          <w:cantSplit/>
          <w:jc w:val="center"/>
        </w:trPr>
        <w:tc>
          <w:tcPr>
            <w:tcW w:w="815" w:type="pct"/>
            <w:shd w:val="clear" w:color="auto" w:fill="auto"/>
          </w:tcPr>
          <w:p w14:paraId="668D6034" w14:textId="6EFD59F4" w:rsidR="00975815" w:rsidRPr="009E4EB8" w:rsidRDefault="00975815" w:rsidP="002D6927">
            <w:pPr>
              <w:pStyle w:val="TableText0"/>
              <w:rPr>
                <w:vertAlign w:val="superscript"/>
              </w:rPr>
            </w:pPr>
            <w:r w:rsidRPr="009E4EB8">
              <w:t>Mean duration</w:t>
            </w:r>
            <w:r w:rsidR="0015752C" w:rsidRPr="009E4EB8">
              <w:t xml:space="preserve"> </w:t>
            </w:r>
            <w:r w:rsidR="0015752C" w:rsidRPr="009E4EB8">
              <w:rPr>
                <w:vertAlign w:val="superscript"/>
              </w:rPr>
              <w:t>a</w:t>
            </w:r>
          </w:p>
        </w:tc>
        <w:tc>
          <w:tcPr>
            <w:tcW w:w="697" w:type="pct"/>
            <w:shd w:val="clear" w:color="auto" w:fill="auto"/>
            <w:vAlign w:val="center"/>
          </w:tcPr>
          <w:p w14:paraId="58B0A9E5" w14:textId="5F265AD3" w:rsidR="00975815" w:rsidRPr="009E4EB8" w:rsidRDefault="0015752C" w:rsidP="002D6927">
            <w:pPr>
              <w:pStyle w:val="TableText0"/>
              <w:jc w:val="center"/>
              <w:rPr>
                <w:bCs w:val="0"/>
              </w:rPr>
            </w:pPr>
            <w:r w:rsidRPr="009E4EB8">
              <w:rPr>
                <w:bCs w:val="0"/>
              </w:rPr>
              <w:t>9</w:t>
            </w:r>
          </w:p>
        </w:tc>
        <w:tc>
          <w:tcPr>
            <w:tcW w:w="696" w:type="pct"/>
            <w:shd w:val="clear" w:color="auto" w:fill="auto"/>
            <w:vAlign w:val="center"/>
          </w:tcPr>
          <w:p w14:paraId="0C728B77" w14:textId="388903D1" w:rsidR="00975815" w:rsidRPr="009E4EB8" w:rsidRDefault="0015752C" w:rsidP="002D6927">
            <w:pPr>
              <w:pStyle w:val="TableText0"/>
              <w:jc w:val="center"/>
              <w:rPr>
                <w:bCs w:val="0"/>
              </w:rPr>
            </w:pPr>
            <w:r w:rsidRPr="009E4EB8">
              <w:rPr>
                <w:bCs w:val="0"/>
              </w:rPr>
              <w:t>12.35</w:t>
            </w:r>
          </w:p>
        </w:tc>
        <w:tc>
          <w:tcPr>
            <w:tcW w:w="698" w:type="pct"/>
            <w:shd w:val="clear" w:color="auto" w:fill="auto"/>
            <w:vAlign w:val="center"/>
          </w:tcPr>
          <w:p w14:paraId="215CFC78" w14:textId="5DD0323F" w:rsidR="00975815" w:rsidRPr="009E4EB8" w:rsidRDefault="0015752C" w:rsidP="002D6927">
            <w:pPr>
              <w:pStyle w:val="TableText0"/>
              <w:jc w:val="center"/>
              <w:rPr>
                <w:bCs w:val="0"/>
              </w:rPr>
            </w:pPr>
            <w:r w:rsidRPr="009E4EB8">
              <w:rPr>
                <w:bCs w:val="0"/>
              </w:rPr>
              <w:t>12.35</w:t>
            </w:r>
          </w:p>
        </w:tc>
        <w:tc>
          <w:tcPr>
            <w:tcW w:w="696" w:type="pct"/>
            <w:shd w:val="clear" w:color="auto" w:fill="auto"/>
            <w:vAlign w:val="center"/>
          </w:tcPr>
          <w:p w14:paraId="074E4FD4" w14:textId="70D57CCF" w:rsidR="00975815" w:rsidRPr="009E4EB8" w:rsidRDefault="005326A6" w:rsidP="002D6927">
            <w:pPr>
              <w:pStyle w:val="TableText0"/>
              <w:jc w:val="center"/>
              <w:rPr>
                <w:bCs w:val="0"/>
              </w:rPr>
            </w:pPr>
            <w:r w:rsidRPr="009E4EB8">
              <w:rPr>
                <w:bCs w:val="0"/>
              </w:rPr>
              <w:t>NA</w:t>
            </w:r>
          </w:p>
        </w:tc>
        <w:tc>
          <w:tcPr>
            <w:tcW w:w="699" w:type="pct"/>
            <w:shd w:val="clear" w:color="auto" w:fill="auto"/>
            <w:vAlign w:val="center"/>
          </w:tcPr>
          <w:p w14:paraId="62592F63" w14:textId="02D52AC1" w:rsidR="00975815" w:rsidRPr="009E4EB8" w:rsidRDefault="005326A6" w:rsidP="002D6927">
            <w:pPr>
              <w:pStyle w:val="TableText0"/>
              <w:jc w:val="center"/>
              <w:rPr>
                <w:bCs w:val="0"/>
              </w:rPr>
            </w:pPr>
            <w:r w:rsidRPr="009E4EB8">
              <w:rPr>
                <w:bCs w:val="0"/>
              </w:rPr>
              <w:t>7.6</w:t>
            </w:r>
          </w:p>
        </w:tc>
        <w:tc>
          <w:tcPr>
            <w:tcW w:w="699" w:type="pct"/>
          </w:tcPr>
          <w:p w14:paraId="127BCBB9" w14:textId="62A88EA5" w:rsidR="00975815" w:rsidRPr="009E4EB8" w:rsidRDefault="005326A6" w:rsidP="002D6927">
            <w:pPr>
              <w:pStyle w:val="TableText0"/>
              <w:jc w:val="center"/>
              <w:rPr>
                <w:bCs w:val="0"/>
              </w:rPr>
            </w:pPr>
            <w:r w:rsidRPr="009E4EB8">
              <w:rPr>
                <w:bCs w:val="0"/>
              </w:rPr>
              <w:t>7.6</w:t>
            </w:r>
          </w:p>
        </w:tc>
      </w:tr>
      <w:tr w:rsidR="00B6028E" w:rsidRPr="009E4EB8" w14:paraId="4A67982A" w14:textId="77777777" w:rsidTr="00992522">
        <w:trPr>
          <w:cantSplit/>
          <w:trHeight w:val="948"/>
          <w:jc w:val="center"/>
        </w:trPr>
        <w:tc>
          <w:tcPr>
            <w:tcW w:w="815" w:type="pct"/>
            <w:shd w:val="clear" w:color="auto" w:fill="auto"/>
          </w:tcPr>
          <w:p w14:paraId="107E1B23" w14:textId="36F3D4E0" w:rsidR="00B6028E" w:rsidRPr="009E4EB8" w:rsidRDefault="00B6028E" w:rsidP="002D6927">
            <w:pPr>
              <w:pStyle w:val="TableText0"/>
            </w:pPr>
            <w:r w:rsidRPr="009E4EB8">
              <w:t>Cost/patient/dose/week</w:t>
            </w:r>
            <w:r w:rsidRPr="009E4EB8">
              <w:rPr>
                <w:bCs w:val="0"/>
              </w:rPr>
              <w:t xml:space="preserve"> </w:t>
            </w:r>
            <w:proofErr w:type="spellStart"/>
            <w:proofErr w:type="gramStart"/>
            <w:r w:rsidRPr="009E4EB8">
              <w:rPr>
                <w:bCs w:val="0"/>
                <w:vertAlign w:val="superscript"/>
              </w:rPr>
              <w:t>b,c</w:t>
            </w:r>
            <w:proofErr w:type="spellEnd"/>
            <w:proofErr w:type="gramEnd"/>
            <w:r w:rsidRPr="009E4EB8">
              <w:rPr>
                <w:bCs w:val="0"/>
              </w:rPr>
              <w:t xml:space="preserve">   </w:t>
            </w:r>
          </w:p>
        </w:tc>
        <w:tc>
          <w:tcPr>
            <w:tcW w:w="697" w:type="pct"/>
            <w:tcBorders>
              <w:bottom w:val="single" w:sz="4" w:space="0" w:color="auto"/>
            </w:tcBorders>
            <w:shd w:val="clear" w:color="auto" w:fill="auto"/>
            <w:vAlign w:val="center"/>
          </w:tcPr>
          <w:p w14:paraId="6BE6B149" w14:textId="218E5C16" w:rsidR="00B6028E" w:rsidRPr="009E4EB8" w:rsidRDefault="00B6028E" w:rsidP="002D6927">
            <w:pPr>
              <w:pStyle w:val="TableText0"/>
              <w:jc w:val="center"/>
              <w:rPr>
                <w:bCs w:val="0"/>
              </w:rPr>
            </w:pPr>
            <w:r w:rsidRPr="009E4EB8">
              <w:rPr>
                <w:bCs w:val="0"/>
              </w:rPr>
              <w:t xml:space="preserve">S: </w:t>
            </w:r>
            <w:r w:rsidR="00992522" w:rsidRPr="00992522">
              <w:rPr>
                <w:rFonts w:hint="eastAsia"/>
                <w:bCs w:val="0"/>
                <w:color w:val="000000"/>
                <w:w w:val="15"/>
                <w:shd w:val="solid" w:color="000000" w:fill="000000"/>
                <w:fitText w:val="50" w:id="-1504991475"/>
                <w14:textFill>
                  <w14:solidFill>
                    <w14:srgbClr w14:val="000000">
                      <w14:alpha w14:val="100000"/>
                    </w14:srgbClr>
                  </w14:solidFill>
                </w14:textFill>
              </w:rPr>
              <w:t xml:space="preserve">　</w:t>
            </w:r>
            <w:r w:rsidR="00992522" w:rsidRPr="00992522">
              <w:rPr>
                <w:bCs w:val="0"/>
                <w:color w:val="000000"/>
                <w:w w:val="15"/>
                <w:shd w:val="solid" w:color="000000" w:fill="000000"/>
                <w:fitText w:val="50" w:id="-1504991475"/>
                <w14:textFill>
                  <w14:solidFill>
                    <w14:srgbClr w14:val="000000">
                      <w14:alpha w14:val="100000"/>
                    </w14:srgbClr>
                  </w14:solidFill>
                </w14:textFill>
              </w:rPr>
              <w:t>|</w:t>
            </w:r>
            <w:r w:rsidR="00992522" w:rsidRPr="00992522">
              <w:rPr>
                <w:rFonts w:hint="eastAsia"/>
                <w:bCs w:val="0"/>
                <w:color w:val="000000"/>
                <w:spacing w:val="-16"/>
                <w:w w:val="15"/>
                <w:shd w:val="solid" w:color="000000" w:fill="000000"/>
                <w:fitText w:val="50" w:id="-1504991475"/>
                <w14:textFill>
                  <w14:solidFill>
                    <w14:srgbClr w14:val="000000">
                      <w14:alpha w14:val="100000"/>
                    </w14:srgbClr>
                  </w14:solidFill>
                </w14:textFill>
              </w:rPr>
              <w:t xml:space="preserve">　</w:t>
            </w:r>
          </w:p>
          <w:p w14:paraId="50E3D1C0" w14:textId="47323380" w:rsidR="00B6028E" w:rsidRPr="009E4EB8" w:rsidRDefault="00B6028E" w:rsidP="002D6927">
            <w:pPr>
              <w:pStyle w:val="TableText0"/>
              <w:jc w:val="center"/>
              <w:rPr>
                <w:bCs w:val="0"/>
              </w:rPr>
            </w:pPr>
            <w:r w:rsidRPr="009E4EB8">
              <w:rPr>
                <w:bCs w:val="0"/>
              </w:rPr>
              <w:t xml:space="preserve">D: </w:t>
            </w:r>
            <w:r w:rsidR="00992522" w:rsidRPr="00992522">
              <w:rPr>
                <w:rFonts w:hint="eastAsia"/>
                <w:bCs w:val="0"/>
                <w:color w:val="000000"/>
                <w:w w:val="15"/>
                <w:shd w:val="solid" w:color="000000" w:fill="000000"/>
                <w:fitText w:val="40" w:id="-1504991474"/>
                <w14:textFill>
                  <w14:solidFill>
                    <w14:srgbClr w14:val="000000">
                      <w14:alpha w14:val="100000"/>
                    </w14:srgbClr>
                  </w14:solidFill>
                </w14:textFill>
              </w:rPr>
              <w:t xml:space="preserve">　</w:t>
            </w:r>
            <w:r w:rsidR="00992522" w:rsidRPr="00992522">
              <w:rPr>
                <w:bCs w:val="0"/>
                <w:color w:val="000000"/>
                <w:w w:val="15"/>
                <w:shd w:val="solid" w:color="000000" w:fill="000000"/>
                <w:fitText w:val="40" w:id="-1504991474"/>
                <w14:textFill>
                  <w14:solidFill>
                    <w14:srgbClr w14:val="000000">
                      <w14:alpha w14:val="100000"/>
                    </w14:srgbClr>
                  </w14:solidFill>
                </w14:textFill>
              </w:rPr>
              <w:t>|</w:t>
            </w:r>
            <w:r w:rsidR="00992522" w:rsidRPr="00992522">
              <w:rPr>
                <w:rFonts w:hint="eastAsia"/>
                <w:bCs w:val="0"/>
                <w:color w:val="000000"/>
                <w:spacing w:val="-25"/>
                <w:w w:val="15"/>
                <w:shd w:val="solid" w:color="000000" w:fill="000000"/>
                <w:fitText w:val="40" w:id="-1504991474"/>
                <w14:textFill>
                  <w14:solidFill>
                    <w14:srgbClr w14:val="000000">
                      <w14:alpha w14:val="100000"/>
                    </w14:srgbClr>
                  </w14:solidFill>
                </w14:textFill>
              </w:rPr>
              <w:t xml:space="preserve">　</w:t>
            </w:r>
          </w:p>
        </w:tc>
        <w:tc>
          <w:tcPr>
            <w:tcW w:w="696" w:type="pct"/>
            <w:tcBorders>
              <w:bottom w:val="single" w:sz="4" w:space="0" w:color="auto"/>
            </w:tcBorders>
            <w:shd w:val="clear" w:color="auto" w:fill="auto"/>
            <w:vAlign w:val="center"/>
          </w:tcPr>
          <w:p w14:paraId="43647377" w14:textId="70F7F957" w:rsidR="00B6028E" w:rsidRPr="009E4EB8" w:rsidRDefault="00B6028E" w:rsidP="002D6927">
            <w:pPr>
              <w:pStyle w:val="TableText0"/>
              <w:ind w:left="720" w:hanging="720"/>
              <w:jc w:val="center"/>
              <w:rPr>
                <w:bCs w:val="0"/>
              </w:rPr>
            </w:pPr>
            <w:r w:rsidRPr="009E4EB8">
              <w:rPr>
                <w:bCs w:val="0"/>
              </w:rPr>
              <w:t xml:space="preserve">S: </w:t>
            </w:r>
            <w:r w:rsidR="00992522" w:rsidRPr="00992522">
              <w:rPr>
                <w:rFonts w:hint="eastAsia"/>
                <w:bCs w:val="0"/>
                <w:color w:val="000000"/>
                <w:w w:val="15"/>
                <w:shd w:val="solid" w:color="000000" w:fill="000000"/>
                <w:fitText w:val="50" w:id="-1504991473"/>
                <w14:textFill>
                  <w14:solidFill>
                    <w14:srgbClr w14:val="000000">
                      <w14:alpha w14:val="100000"/>
                    </w14:srgbClr>
                  </w14:solidFill>
                </w14:textFill>
              </w:rPr>
              <w:t xml:space="preserve">　</w:t>
            </w:r>
            <w:r w:rsidR="00992522" w:rsidRPr="00992522">
              <w:rPr>
                <w:bCs w:val="0"/>
                <w:color w:val="000000"/>
                <w:w w:val="15"/>
                <w:shd w:val="solid" w:color="000000" w:fill="000000"/>
                <w:fitText w:val="50" w:id="-1504991473"/>
                <w14:textFill>
                  <w14:solidFill>
                    <w14:srgbClr w14:val="000000">
                      <w14:alpha w14:val="100000"/>
                    </w14:srgbClr>
                  </w14:solidFill>
                </w14:textFill>
              </w:rPr>
              <w:t>|</w:t>
            </w:r>
            <w:r w:rsidR="00992522" w:rsidRPr="00992522">
              <w:rPr>
                <w:rFonts w:hint="eastAsia"/>
                <w:bCs w:val="0"/>
                <w:color w:val="000000"/>
                <w:spacing w:val="-16"/>
                <w:w w:val="15"/>
                <w:shd w:val="solid" w:color="000000" w:fill="000000"/>
                <w:fitText w:val="50" w:id="-1504991473"/>
                <w14:textFill>
                  <w14:solidFill>
                    <w14:srgbClr w14:val="000000">
                      <w14:alpha w14:val="100000"/>
                    </w14:srgbClr>
                  </w14:solidFill>
                </w14:textFill>
              </w:rPr>
              <w:t xml:space="preserve">　</w:t>
            </w:r>
          </w:p>
          <w:p w14:paraId="4EF289E4" w14:textId="46D6CAFA" w:rsidR="00B6028E" w:rsidRPr="009E4EB8" w:rsidRDefault="00B6028E" w:rsidP="002D6927">
            <w:pPr>
              <w:pStyle w:val="TableText0"/>
              <w:ind w:left="720" w:hanging="720"/>
              <w:jc w:val="center"/>
              <w:rPr>
                <w:bCs w:val="0"/>
              </w:rPr>
            </w:pPr>
            <w:r w:rsidRPr="009E4EB8">
              <w:rPr>
                <w:bCs w:val="0"/>
              </w:rPr>
              <w:t xml:space="preserve">D: </w:t>
            </w:r>
            <w:r w:rsidR="00992522" w:rsidRPr="00992522">
              <w:rPr>
                <w:rFonts w:hint="eastAsia"/>
                <w:bCs w:val="0"/>
                <w:color w:val="000000"/>
                <w:w w:val="15"/>
                <w:shd w:val="solid" w:color="000000" w:fill="000000"/>
                <w:fitText w:val="50" w:id="-1504991472"/>
                <w14:textFill>
                  <w14:solidFill>
                    <w14:srgbClr w14:val="000000">
                      <w14:alpha w14:val="100000"/>
                    </w14:srgbClr>
                  </w14:solidFill>
                </w14:textFill>
              </w:rPr>
              <w:t xml:space="preserve">　</w:t>
            </w:r>
            <w:r w:rsidR="00992522" w:rsidRPr="00992522">
              <w:rPr>
                <w:bCs w:val="0"/>
                <w:color w:val="000000"/>
                <w:w w:val="15"/>
                <w:shd w:val="solid" w:color="000000" w:fill="000000"/>
                <w:fitText w:val="50" w:id="-1504991472"/>
                <w14:textFill>
                  <w14:solidFill>
                    <w14:srgbClr w14:val="000000">
                      <w14:alpha w14:val="100000"/>
                    </w14:srgbClr>
                  </w14:solidFill>
                </w14:textFill>
              </w:rPr>
              <w:t>|</w:t>
            </w:r>
            <w:r w:rsidR="00992522" w:rsidRPr="00992522">
              <w:rPr>
                <w:rFonts w:hint="eastAsia"/>
                <w:bCs w:val="0"/>
                <w:color w:val="000000"/>
                <w:spacing w:val="-16"/>
                <w:w w:val="15"/>
                <w:shd w:val="solid" w:color="000000" w:fill="000000"/>
                <w:fitText w:val="50" w:id="-1504991472"/>
                <w14:textFill>
                  <w14:solidFill>
                    <w14:srgbClr w14:val="000000">
                      <w14:alpha w14:val="100000"/>
                    </w14:srgbClr>
                  </w14:solidFill>
                </w14:textFill>
              </w:rPr>
              <w:t xml:space="preserve">　</w:t>
            </w:r>
          </w:p>
        </w:tc>
        <w:tc>
          <w:tcPr>
            <w:tcW w:w="698" w:type="pct"/>
            <w:tcBorders>
              <w:bottom w:val="single" w:sz="4" w:space="0" w:color="auto"/>
            </w:tcBorders>
            <w:shd w:val="clear" w:color="auto" w:fill="auto"/>
            <w:vAlign w:val="center"/>
          </w:tcPr>
          <w:p w14:paraId="07C89518" w14:textId="26871094" w:rsidR="00B6028E" w:rsidRPr="009E4EB8" w:rsidRDefault="00B6028E" w:rsidP="002D6927">
            <w:pPr>
              <w:pStyle w:val="TableText0"/>
              <w:ind w:left="720" w:hanging="720"/>
              <w:jc w:val="center"/>
              <w:rPr>
                <w:bCs w:val="0"/>
              </w:rPr>
            </w:pPr>
            <w:r w:rsidRPr="009E4EB8">
              <w:rPr>
                <w:bCs w:val="0"/>
              </w:rPr>
              <w:t xml:space="preserve">S: </w:t>
            </w:r>
            <w:r w:rsidR="00992522" w:rsidRPr="00992522">
              <w:rPr>
                <w:rFonts w:hint="eastAsia"/>
                <w:bCs w:val="0"/>
                <w:color w:val="000000"/>
                <w:w w:val="15"/>
                <w:shd w:val="solid" w:color="000000" w:fill="000000"/>
                <w:fitText w:val="50" w:id="-1504991488"/>
                <w14:textFill>
                  <w14:solidFill>
                    <w14:srgbClr w14:val="000000">
                      <w14:alpha w14:val="100000"/>
                    </w14:srgbClr>
                  </w14:solidFill>
                </w14:textFill>
              </w:rPr>
              <w:t xml:space="preserve">　</w:t>
            </w:r>
            <w:r w:rsidR="00992522" w:rsidRPr="00992522">
              <w:rPr>
                <w:bCs w:val="0"/>
                <w:color w:val="000000"/>
                <w:w w:val="15"/>
                <w:shd w:val="solid" w:color="000000" w:fill="000000"/>
                <w:fitText w:val="50" w:id="-1504991488"/>
                <w14:textFill>
                  <w14:solidFill>
                    <w14:srgbClr w14:val="000000">
                      <w14:alpha w14:val="100000"/>
                    </w14:srgbClr>
                  </w14:solidFill>
                </w14:textFill>
              </w:rPr>
              <w:t>|</w:t>
            </w:r>
            <w:r w:rsidR="00992522" w:rsidRPr="00992522">
              <w:rPr>
                <w:rFonts w:hint="eastAsia"/>
                <w:bCs w:val="0"/>
                <w:color w:val="000000"/>
                <w:spacing w:val="-16"/>
                <w:w w:val="15"/>
                <w:shd w:val="solid" w:color="000000" w:fill="000000"/>
                <w:fitText w:val="50" w:id="-1504991488"/>
                <w14:textFill>
                  <w14:solidFill>
                    <w14:srgbClr w14:val="000000">
                      <w14:alpha w14:val="100000"/>
                    </w14:srgbClr>
                  </w14:solidFill>
                </w14:textFill>
              </w:rPr>
              <w:t xml:space="preserve">　</w:t>
            </w:r>
          </w:p>
          <w:p w14:paraId="49A0D32F" w14:textId="56581A1E" w:rsidR="00B6028E" w:rsidRPr="009E4EB8" w:rsidRDefault="00B6028E" w:rsidP="002D6927">
            <w:pPr>
              <w:pStyle w:val="TableText0"/>
              <w:ind w:left="720" w:hanging="720"/>
              <w:jc w:val="center"/>
              <w:rPr>
                <w:bCs w:val="0"/>
              </w:rPr>
            </w:pPr>
            <w:r w:rsidRPr="009E4EB8">
              <w:rPr>
                <w:bCs w:val="0"/>
              </w:rPr>
              <w:t xml:space="preserve">D: </w:t>
            </w:r>
            <w:r w:rsidR="00992522" w:rsidRPr="00992522">
              <w:rPr>
                <w:rFonts w:hint="eastAsia"/>
                <w:bCs w:val="0"/>
                <w:color w:val="000000"/>
                <w:w w:val="15"/>
                <w:shd w:val="solid" w:color="000000" w:fill="000000"/>
                <w:fitText w:val="50" w:id="-1504991487"/>
                <w14:textFill>
                  <w14:solidFill>
                    <w14:srgbClr w14:val="000000">
                      <w14:alpha w14:val="100000"/>
                    </w14:srgbClr>
                  </w14:solidFill>
                </w14:textFill>
              </w:rPr>
              <w:t xml:space="preserve">　</w:t>
            </w:r>
            <w:r w:rsidR="00992522" w:rsidRPr="00992522">
              <w:rPr>
                <w:bCs w:val="0"/>
                <w:color w:val="000000"/>
                <w:w w:val="15"/>
                <w:shd w:val="solid" w:color="000000" w:fill="000000"/>
                <w:fitText w:val="50" w:id="-1504991487"/>
                <w14:textFill>
                  <w14:solidFill>
                    <w14:srgbClr w14:val="000000">
                      <w14:alpha w14:val="100000"/>
                    </w14:srgbClr>
                  </w14:solidFill>
                </w14:textFill>
              </w:rPr>
              <w:t>|</w:t>
            </w:r>
            <w:r w:rsidR="00992522" w:rsidRPr="00992522">
              <w:rPr>
                <w:rFonts w:hint="eastAsia"/>
                <w:bCs w:val="0"/>
                <w:color w:val="000000"/>
                <w:spacing w:val="-16"/>
                <w:w w:val="15"/>
                <w:shd w:val="solid" w:color="000000" w:fill="000000"/>
                <w:fitText w:val="50" w:id="-1504991487"/>
                <w14:textFill>
                  <w14:solidFill>
                    <w14:srgbClr w14:val="000000">
                      <w14:alpha w14:val="100000"/>
                    </w14:srgbClr>
                  </w14:solidFill>
                </w14:textFill>
              </w:rPr>
              <w:t xml:space="preserve">　</w:t>
            </w:r>
          </w:p>
        </w:tc>
        <w:tc>
          <w:tcPr>
            <w:tcW w:w="696" w:type="pct"/>
            <w:shd w:val="clear" w:color="auto" w:fill="auto"/>
            <w:vAlign w:val="center"/>
          </w:tcPr>
          <w:p w14:paraId="39D2865F" w14:textId="38E6067B" w:rsidR="00B6028E" w:rsidRPr="009E4EB8" w:rsidRDefault="00B6028E" w:rsidP="002D6927">
            <w:pPr>
              <w:pStyle w:val="TableText0"/>
              <w:jc w:val="center"/>
              <w:rPr>
                <w:bCs w:val="0"/>
              </w:rPr>
            </w:pPr>
            <w:r w:rsidRPr="009E4EB8">
              <w:rPr>
                <w:bCs w:val="0"/>
              </w:rPr>
              <w:t>NA</w:t>
            </w:r>
          </w:p>
        </w:tc>
        <w:tc>
          <w:tcPr>
            <w:tcW w:w="699" w:type="pct"/>
            <w:tcBorders>
              <w:bottom w:val="single" w:sz="4" w:space="0" w:color="auto"/>
            </w:tcBorders>
            <w:shd w:val="clear" w:color="auto" w:fill="auto"/>
            <w:vAlign w:val="center"/>
          </w:tcPr>
          <w:p w14:paraId="510DD5D1" w14:textId="632B2E4D" w:rsidR="00B6028E" w:rsidRPr="009E4EB8" w:rsidRDefault="00B6028E" w:rsidP="002D6927">
            <w:pPr>
              <w:pStyle w:val="TableText0"/>
              <w:jc w:val="center"/>
              <w:rPr>
                <w:bCs w:val="0"/>
              </w:rPr>
            </w:pPr>
            <w:r w:rsidRPr="009E4EB8">
              <w:rPr>
                <w:bCs w:val="0"/>
              </w:rPr>
              <w:t xml:space="preserve">D: </w:t>
            </w:r>
            <w:r w:rsidR="00992522" w:rsidRPr="00992522">
              <w:rPr>
                <w:rFonts w:hint="eastAsia"/>
                <w:bCs w:val="0"/>
                <w:color w:val="000000"/>
                <w:w w:val="27"/>
                <w:shd w:val="solid" w:color="000000" w:fill="000000"/>
                <w:fitText w:val="120" w:id="-1504991486"/>
                <w14:textFill>
                  <w14:solidFill>
                    <w14:srgbClr w14:val="000000">
                      <w14:alpha w14:val="100000"/>
                    </w14:srgbClr>
                  </w14:solidFill>
                </w14:textFill>
              </w:rPr>
              <w:t xml:space="preserve">　</w:t>
            </w:r>
            <w:r w:rsidR="00992522" w:rsidRPr="00992522">
              <w:rPr>
                <w:bCs w:val="0"/>
                <w:color w:val="000000"/>
                <w:w w:val="27"/>
                <w:shd w:val="solid" w:color="000000" w:fill="000000"/>
                <w:fitText w:val="120" w:id="-1504991486"/>
                <w14:textFill>
                  <w14:solidFill>
                    <w14:srgbClr w14:val="000000">
                      <w14:alpha w14:val="100000"/>
                    </w14:srgbClr>
                  </w14:solidFill>
                </w14:textFill>
              </w:rPr>
              <w:t>|</w:t>
            </w:r>
            <w:r w:rsidR="00992522" w:rsidRPr="00992522">
              <w:rPr>
                <w:rFonts w:hint="eastAsia"/>
                <w:bCs w:val="0"/>
                <w:color w:val="000000"/>
                <w:spacing w:val="1"/>
                <w:w w:val="27"/>
                <w:shd w:val="solid" w:color="000000" w:fill="000000"/>
                <w:fitText w:val="120" w:id="-1504991486"/>
                <w14:textFill>
                  <w14:solidFill>
                    <w14:srgbClr w14:val="000000">
                      <w14:alpha w14:val="100000"/>
                    </w14:srgbClr>
                  </w14:solidFill>
                </w14:textFill>
              </w:rPr>
              <w:t xml:space="preserve">　</w:t>
            </w:r>
            <w:r w:rsidRPr="009E4EB8">
              <w:rPr>
                <w:bCs w:val="0"/>
              </w:rPr>
              <w:t xml:space="preserve">C: </w:t>
            </w:r>
            <w:r w:rsidR="00992522" w:rsidRPr="00992522">
              <w:rPr>
                <w:bCs w:val="0"/>
                <w:color w:val="000000"/>
                <w:spacing w:val="46"/>
                <w:shd w:val="solid" w:color="000000" w:fill="000000"/>
                <w:fitText w:val="220" w:id="-1504991485"/>
                <w14:textFill>
                  <w14:solidFill>
                    <w14:srgbClr w14:val="000000">
                      <w14:alpha w14:val="100000"/>
                    </w14:srgbClr>
                  </w14:solidFill>
                </w14:textFill>
              </w:rPr>
              <w:t>||</w:t>
            </w:r>
            <w:r w:rsidR="00992522" w:rsidRPr="00992522">
              <w:rPr>
                <w:bCs w:val="0"/>
                <w:color w:val="000000"/>
                <w:spacing w:val="1"/>
                <w:shd w:val="solid" w:color="000000" w:fill="000000"/>
                <w:fitText w:val="220" w:id="-1504991485"/>
                <w14:textFill>
                  <w14:solidFill>
                    <w14:srgbClr w14:val="000000">
                      <w14:alpha w14:val="100000"/>
                    </w14:srgbClr>
                  </w14:solidFill>
                </w14:textFill>
              </w:rPr>
              <w:t>|</w:t>
            </w:r>
          </w:p>
          <w:p w14:paraId="5C79AB40" w14:textId="7096633C" w:rsidR="00B6028E" w:rsidRPr="009E4EB8" w:rsidRDefault="00B6028E" w:rsidP="002D6927">
            <w:pPr>
              <w:pStyle w:val="TableText0"/>
              <w:jc w:val="center"/>
              <w:rPr>
                <w:bCs w:val="0"/>
              </w:rPr>
            </w:pPr>
            <w:r w:rsidRPr="009E4EB8">
              <w:rPr>
                <w:bCs w:val="0"/>
              </w:rPr>
              <w:t xml:space="preserve">E: </w:t>
            </w:r>
            <w:r w:rsidR="00992522" w:rsidRPr="00992522">
              <w:rPr>
                <w:rFonts w:hint="eastAsia"/>
                <w:bCs w:val="0"/>
                <w:color w:val="000000"/>
                <w:w w:val="24"/>
                <w:shd w:val="solid" w:color="000000" w:fill="000000"/>
                <w:fitText w:val="110" w:id="-1504991484"/>
                <w14:textFill>
                  <w14:solidFill>
                    <w14:srgbClr w14:val="000000">
                      <w14:alpha w14:val="100000"/>
                    </w14:srgbClr>
                  </w14:solidFill>
                </w14:textFill>
              </w:rPr>
              <w:t xml:space="preserve">　</w:t>
            </w:r>
            <w:r w:rsidR="00992522" w:rsidRPr="00992522">
              <w:rPr>
                <w:bCs w:val="0"/>
                <w:color w:val="000000"/>
                <w:w w:val="24"/>
                <w:shd w:val="solid" w:color="000000" w:fill="000000"/>
                <w:fitText w:val="110" w:id="-1504991484"/>
                <w14:textFill>
                  <w14:solidFill>
                    <w14:srgbClr w14:val="000000">
                      <w14:alpha w14:val="100000"/>
                    </w14:srgbClr>
                  </w14:solidFill>
                </w14:textFill>
              </w:rPr>
              <w:t>|</w:t>
            </w:r>
            <w:r w:rsidR="00992522" w:rsidRPr="00992522">
              <w:rPr>
                <w:rFonts w:hint="eastAsia"/>
                <w:bCs w:val="0"/>
                <w:color w:val="000000"/>
                <w:spacing w:val="6"/>
                <w:w w:val="24"/>
                <w:shd w:val="solid" w:color="000000" w:fill="000000"/>
                <w:fitText w:val="110" w:id="-1504991484"/>
                <w14:textFill>
                  <w14:solidFill>
                    <w14:srgbClr w14:val="000000">
                      <w14:alpha w14:val="100000"/>
                    </w14:srgbClr>
                  </w14:solidFill>
                </w14:textFill>
              </w:rPr>
              <w:t xml:space="preserve">　</w:t>
            </w:r>
            <w:r w:rsidRPr="009E4EB8">
              <w:rPr>
                <w:bCs w:val="0"/>
              </w:rPr>
              <w:t xml:space="preserve">P: </w:t>
            </w:r>
            <w:r w:rsidR="00992522" w:rsidRPr="00992522">
              <w:rPr>
                <w:bCs w:val="0"/>
                <w:color w:val="000000"/>
                <w:spacing w:val="114"/>
                <w:shd w:val="solid" w:color="000000" w:fill="000000"/>
                <w:fitText w:val="200" w:id="-1504991483"/>
                <w14:textFill>
                  <w14:solidFill>
                    <w14:srgbClr w14:val="000000">
                      <w14:alpha w14:val="100000"/>
                    </w14:srgbClr>
                  </w14:solidFill>
                </w14:textFill>
              </w:rPr>
              <w:t>|</w:t>
            </w:r>
            <w:r w:rsidR="00992522" w:rsidRPr="00992522">
              <w:rPr>
                <w:bCs w:val="0"/>
                <w:color w:val="000000"/>
                <w:spacing w:val="1"/>
                <w:shd w:val="solid" w:color="000000" w:fill="000000"/>
                <w:fitText w:val="200" w:id="-1504991483"/>
                <w14:textFill>
                  <w14:solidFill>
                    <w14:srgbClr w14:val="000000">
                      <w14:alpha w14:val="100000"/>
                    </w14:srgbClr>
                  </w14:solidFill>
                </w14:textFill>
              </w:rPr>
              <w:t>|</w:t>
            </w:r>
          </w:p>
        </w:tc>
        <w:tc>
          <w:tcPr>
            <w:tcW w:w="699" w:type="pct"/>
            <w:tcBorders>
              <w:bottom w:val="single" w:sz="4" w:space="0" w:color="auto"/>
            </w:tcBorders>
            <w:vAlign w:val="center"/>
          </w:tcPr>
          <w:p w14:paraId="5AE97B6E" w14:textId="2772E3B2" w:rsidR="00B6028E" w:rsidRPr="009E4EB8" w:rsidRDefault="00B6028E" w:rsidP="002D6927">
            <w:pPr>
              <w:pStyle w:val="TableText0"/>
              <w:jc w:val="center"/>
              <w:rPr>
                <w:bCs w:val="0"/>
              </w:rPr>
            </w:pPr>
            <w:r w:rsidRPr="009E4EB8">
              <w:rPr>
                <w:bCs w:val="0"/>
              </w:rPr>
              <w:t xml:space="preserve">D: </w:t>
            </w:r>
            <w:r w:rsidR="00992522" w:rsidRPr="00992522">
              <w:rPr>
                <w:rFonts w:hint="eastAsia"/>
                <w:bCs w:val="0"/>
                <w:color w:val="000000"/>
                <w:w w:val="15"/>
                <w:shd w:val="solid" w:color="000000" w:fill="000000"/>
                <w:fitText w:val="50" w:id="-1504991482"/>
                <w14:textFill>
                  <w14:solidFill>
                    <w14:srgbClr w14:val="000000">
                      <w14:alpha w14:val="100000"/>
                    </w14:srgbClr>
                  </w14:solidFill>
                </w14:textFill>
              </w:rPr>
              <w:t xml:space="preserve">　</w:t>
            </w:r>
            <w:r w:rsidR="00992522" w:rsidRPr="00992522">
              <w:rPr>
                <w:bCs w:val="0"/>
                <w:color w:val="000000"/>
                <w:w w:val="15"/>
                <w:shd w:val="solid" w:color="000000" w:fill="000000"/>
                <w:fitText w:val="50" w:id="-1504991482"/>
                <w14:textFill>
                  <w14:solidFill>
                    <w14:srgbClr w14:val="000000">
                      <w14:alpha w14:val="100000"/>
                    </w14:srgbClr>
                  </w14:solidFill>
                </w14:textFill>
              </w:rPr>
              <w:t>|</w:t>
            </w:r>
            <w:r w:rsidR="00992522" w:rsidRPr="00992522">
              <w:rPr>
                <w:rFonts w:hint="eastAsia"/>
                <w:bCs w:val="0"/>
                <w:color w:val="000000"/>
                <w:spacing w:val="-16"/>
                <w:w w:val="15"/>
                <w:shd w:val="solid" w:color="000000" w:fill="000000"/>
                <w:fitText w:val="50" w:id="-1504991482"/>
                <w14:textFill>
                  <w14:solidFill>
                    <w14:srgbClr w14:val="000000">
                      <w14:alpha w14:val="100000"/>
                    </w14:srgbClr>
                  </w14:solidFill>
                </w14:textFill>
              </w:rPr>
              <w:t xml:space="preserve">　</w:t>
            </w:r>
          </w:p>
          <w:p w14:paraId="4A3100E7" w14:textId="21435433" w:rsidR="00B6028E" w:rsidRPr="009E4EB8" w:rsidRDefault="00B6028E" w:rsidP="002D6927">
            <w:pPr>
              <w:pStyle w:val="TableText0"/>
              <w:jc w:val="center"/>
              <w:rPr>
                <w:bCs w:val="0"/>
              </w:rPr>
            </w:pPr>
            <w:r w:rsidRPr="009E4EB8">
              <w:rPr>
                <w:bCs w:val="0"/>
              </w:rPr>
              <w:t xml:space="preserve">C: </w:t>
            </w:r>
            <w:r w:rsidR="00992522" w:rsidRPr="00992522">
              <w:rPr>
                <w:rFonts w:hint="eastAsia"/>
                <w:bCs w:val="0"/>
                <w:color w:val="000000"/>
                <w:w w:val="15"/>
                <w:shd w:val="solid" w:color="000000" w:fill="000000"/>
                <w:fitText w:val="50" w:id="-1504991481"/>
                <w14:textFill>
                  <w14:solidFill>
                    <w14:srgbClr w14:val="000000">
                      <w14:alpha w14:val="100000"/>
                    </w14:srgbClr>
                  </w14:solidFill>
                </w14:textFill>
              </w:rPr>
              <w:t xml:space="preserve">　</w:t>
            </w:r>
            <w:r w:rsidR="00992522" w:rsidRPr="00992522">
              <w:rPr>
                <w:bCs w:val="0"/>
                <w:color w:val="000000"/>
                <w:w w:val="15"/>
                <w:shd w:val="solid" w:color="000000" w:fill="000000"/>
                <w:fitText w:val="50" w:id="-1504991481"/>
                <w14:textFill>
                  <w14:solidFill>
                    <w14:srgbClr w14:val="000000">
                      <w14:alpha w14:val="100000"/>
                    </w14:srgbClr>
                  </w14:solidFill>
                </w14:textFill>
              </w:rPr>
              <w:t>|</w:t>
            </w:r>
            <w:r w:rsidR="00992522" w:rsidRPr="00992522">
              <w:rPr>
                <w:rFonts w:hint="eastAsia"/>
                <w:bCs w:val="0"/>
                <w:color w:val="000000"/>
                <w:spacing w:val="-16"/>
                <w:w w:val="15"/>
                <w:shd w:val="solid" w:color="000000" w:fill="000000"/>
                <w:fitText w:val="50" w:id="-1504991481"/>
                <w14:textFill>
                  <w14:solidFill>
                    <w14:srgbClr w14:val="000000">
                      <w14:alpha w14:val="100000"/>
                    </w14:srgbClr>
                  </w14:solidFill>
                </w14:textFill>
              </w:rPr>
              <w:t xml:space="preserve">　</w:t>
            </w:r>
          </w:p>
          <w:p w14:paraId="42AB8DB1" w14:textId="70430F5C" w:rsidR="00B6028E" w:rsidRPr="009E4EB8" w:rsidRDefault="00B6028E" w:rsidP="002D6927">
            <w:pPr>
              <w:pStyle w:val="TableText0"/>
              <w:jc w:val="center"/>
              <w:rPr>
                <w:bCs w:val="0"/>
              </w:rPr>
            </w:pPr>
            <w:r w:rsidRPr="009E4EB8">
              <w:rPr>
                <w:bCs w:val="0"/>
              </w:rPr>
              <w:t xml:space="preserve">E: </w:t>
            </w:r>
            <w:r w:rsidR="00992522" w:rsidRPr="00992522">
              <w:rPr>
                <w:rFonts w:hint="eastAsia"/>
                <w:bCs w:val="0"/>
                <w:color w:val="000000"/>
                <w:w w:val="24"/>
                <w:shd w:val="solid" w:color="000000" w:fill="000000"/>
                <w:fitText w:val="110" w:id="-1504991480"/>
                <w14:textFill>
                  <w14:solidFill>
                    <w14:srgbClr w14:val="000000">
                      <w14:alpha w14:val="100000"/>
                    </w14:srgbClr>
                  </w14:solidFill>
                </w14:textFill>
              </w:rPr>
              <w:t xml:space="preserve">　</w:t>
            </w:r>
            <w:r w:rsidR="00992522" w:rsidRPr="00992522">
              <w:rPr>
                <w:bCs w:val="0"/>
                <w:color w:val="000000"/>
                <w:w w:val="24"/>
                <w:shd w:val="solid" w:color="000000" w:fill="000000"/>
                <w:fitText w:val="110" w:id="-1504991480"/>
                <w14:textFill>
                  <w14:solidFill>
                    <w14:srgbClr w14:val="000000">
                      <w14:alpha w14:val="100000"/>
                    </w14:srgbClr>
                  </w14:solidFill>
                </w14:textFill>
              </w:rPr>
              <w:t>|</w:t>
            </w:r>
            <w:r w:rsidR="00992522" w:rsidRPr="00992522">
              <w:rPr>
                <w:rFonts w:hint="eastAsia"/>
                <w:bCs w:val="0"/>
                <w:color w:val="000000"/>
                <w:spacing w:val="6"/>
                <w:w w:val="24"/>
                <w:shd w:val="solid" w:color="000000" w:fill="000000"/>
                <w:fitText w:val="110" w:id="-1504991480"/>
                <w14:textFill>
                  <w14:solidFill>
                    <w14:srgbClr w14:val="000000">
                      <w14:alpha w14:val="100000"/>
                    </w14:srgbClr>
                  </w14:solidFill>
                </w14:textFill>
              </w:rPr>
              <w:t xml:space="preserve">　</w:t>
            </w:r>
            <w:r w:rsidRPr="009E4EB8">
              <w:rPr>
                <w:bCs w:val="0"/>
              </w:rPr>
              <w:t xml:space="preserve">P: </w:t>
            </w:r>
            <w:r w:rsidR="00992522" w:rsidRPr="00992522">
              <w:rPr>
                <w:bCs w:val="0"/>
                <w:color w:val="000000"/>
                <w:spacing w:val="114"/>
                <w:shd w:val="solid" w:color="000000" w:fill="000000"/>
                <w:fitText w:val="200" w:id="-1504991479"/>
                <w14:textFill>
                  <w14:solidFill>
                    <w14:srgbClr w14:val="000000">
                      <w14:alpha w14:val="100000"/>
                    </w14:srgbClr>
                  </w14:solidFill>
                </w14:textFill>
              </w:rPr>
              <w:t>|</w:t>
            </w:r>
            <w:r w:rsidR="00992522" w:rsidRPr="00992522">
              <w:rPr>
                <w:bCs w:val="0"/>
                <w:color w:val="000000"/>
                <w:spacing w:val="1"/>
                <w:shd w:val="solid" w:color="000000" w:fill="000000"/>
                <w:fitText w:val="200" w:id="-1504991479"/>
                <w14:textFill>
                  <w14:solidFill>
                    <w14:srgbClr w14:val="000000">
                      <w14:alpha w14:val="100000"/>
                    </w14:srgbClr>
                  </w14:solidFill>
                </w14:textFill>
              </w:rPr>
              <w:t>|</w:t>
            </w:r>
          </w:p>
        </w:tc>
      </w:tr>
      <w:tr w:rsidR="005326A6" w:rsidRPr="009E4EB8" w14:paraId="0AF58487" w14:textId="77777777" w:rsidTr="00992522">
        <w:trPr>
          <w:cantSplit/>
          <w:jc w:val="center"/>
        </w:trPr>
        <w:tc>
          <w:tcPr>
            <w:tcW w:w="815" w:type="pct"/>
            <w:shd w:val="clear" w:color="auto" w:fill="auto"/>
          </w:tcPr>
          <w:p w14:paraId="14C40533" w14:textId="207E8006" w:rsidR="005326A6" w:rsidRPr="009E4EB8" w:rsidRDefault="005326A6" w:rsidP="002D6927">
            <w:pPr>
              <w:pStyle w:val="TableText0"/>
              <w:rPr>
                <w:vertAlign w:val="superscript"/>
              </w:rPr>
            </w:pPr>
            <w:r w:rsidRPr="009E4EB8">
              <w:t>Cost/patient</w:t>
            </w:r>
            <w:r w:rsidR="00D75018" w:rsidRPr="009E4EB8">
              <w:t xml:space="preserve"> </w:t>
            </w:r>
            <w:r w:rsidR="00D75018" w:rsidRPr="009E4EB8">
              <w:rPr>
                <w:vertAlign w:val="superscript"/>
              </w:rPr>
              <w:t>b</w:t>
            </w:r>
          </w:p>
        </w:tc>
        <w:tc>
          <w:tcPr>
            <w:tcW w:w="697" w:type="pct"/>
            <w:shd w:val="solid" w:color="000000" w:fill="000000"/>
            <w:vAlign w:val="center"/>
          </w:tcPr>
          <w:p w14:paraId="3F083B1E" w14:textId="2BB8A790" w:rsidR="005326A6" w:rsidRPr="00992522" w:rsidRDefault="00992522" w:rsidP="002D6927">
            <w:pPr>
              <w:pStyle w:val="TableText0"/>
              <w:jc w:val="center"/>
              <w:rPr>
                <w:bCs w:val="0"/>
              </w:rPr>
            </w:pPr>
            <w:r w:rsidRPr="00992522">
              <w:rPr>
                <w:rFonts w:cs="Calibri"/>
                <w:color w:val="000000"/>
                <w:szCs w:val="20"/>
                <w14:textFill>
                  <w14:solidFill>
                    <w14:srgbClr w14:val="000000">
                      <w14:alpha w14:val="100000"/>
                    </w14:srgbClr>
                  </w14:solidFill>
                </w14:textFill>
              </w:rPr>
              <w:t>|</w:t>
            </w:r>
          </w:p>
        </w:tc>
        <w:tc>
          <w:tcPr>
            <w:tcW w:w="696" w:type="pct"/>
            <w:shd w:val="solid" w:color="000000" w:fill="000000"/>
            <w:vAlign w:val="center"/>
          </w:tcPr>
          <w:p w14:paraId="39D0C5C5" w14:textId="5EE95A26" w:rsidR="005326A6" w:rsidRPr="00992522" w:rsidRDefault="00992522" w:rsidP="002D6927">
            <w:pPr>
              <w:pStyle w:val="TableText0"/>
              <w:jc w:val="center"/>
              <w:rPr>
                <w:bCs w:val="0"/>
              </w:rPr>
            </w:pPr>
            <w:r w:rsidRPr="00992522">
              <w:rPr>
                <w:rFonts w:cs="Calibri"/>
                <w:color w:val="000000"/>
                <w:szCs w:val="20"/>
                <w14:textFill>
                  <w14:solidFill>
                    <w14:srgbClr w14:val="000000">
                      <w14:alpha w14:val="100000"/>
                    </w14:srgbClr>
                  </w14:solidFill>
                </w14:textFill>
              </w:rPr>
              <w:t>|</w:t>
            </w:r>
          </w:p>
        </w:tc>
        <w:tc>
          <w:tcPr>
            <w:tcW w:w="698" w:type="pct"/>
            <w:shd w:val="solid" w:color="000000" w:fill="000000"/>
            <w:vAlign w:val="center"/>
          </w:tcPr>
          <w:p w14:paraId="193FFAC0" w14:textId="71EEBE2A" w:rsidR="005326A6" w:rsidRPr="00992522" w:rsidRDefault="00992522" w:rsidP="002D6927">
            <w:pPr>
              <w:pStyle w:val="TableText0"/>
              <w:jc w:val="center"/>
              <w:rPr>
                <w:bCs w:val="0"/>
              </w:rPr>
            </w:pPr>
            <w:r w:rsidRPr="00992522">
              <w:rPr>
                <w:rFonts w:cs="Calibri"/>
                <w:color w:val="000000"/>
                <w:szCs w:val="20"/>
                <w14:textFill>
                  <w14:solidFill>
                    <w14:srgbClr w14:val="000000">
                      <w14:alpha w14:val="100000"/>
                    </w14:srgbClr>
                  </w14:solidFill>
                </w14:textFill>
              </w:rPr>
              <w:t>|</w:t>
            </w:r>
          </w:p>
        </w:tc>
        <w:tc>
          <w:tcPr>
            <w:tcW w:w="696" w:type="pct"/>
            <w:shd w:val="clear" w:color="auto" w:fill="auto"/>
            <w:vAlign w:val="center"/>
          </w:tcPr>
          <w:p w14:paraId="4683459B" w14:textId="0F908E63" w:rsidR="005326A6" w:rsidRPr="009E4EB8" w:rsidRDefault="005326A6" w:rsidP="002D6927">
            <w:pPr>
              <w:pStyle w:val="TableText0"/>
              <w:jc w:val="center"/>
              <w:rPr>
                <w:bCs w:val="0"/>
              </w:rPr>
            </w:pPr>
            <w:r w:rsidRPr="009E4EB8">
              <w:rPr>
                <w:bCs w:val="0"/>
              </w:rPr>
              <w:t>NA</w:t>
            </w:r>
          </w:p>
        </w:tc>
        <w:tc>
          <w:tcPr>
            <w:tcW w:w="699" w:type="pct"/>
            <w:shd w:val="solid" w:color="000000" w:fill="000000"/>
            <w:vAlign w:val="center"/>
          </w:tcPr>
          <w:p w14:paraId="35122B71" w14:textId="3C83402D" w:rsidR="005326A6" w:rsidRPr="00992522" w:rsidRDefault="00992522" w:rsidP="002D6927">
            <w:pPr>
              <w:pStyle w:val="TableText0"/>
              <w:jc w:val="center"/>
              <w:rPr>
                <w:bCs w:val="0"/>
              </w:rPr>
            </w:pPr>
            <w:r w:rsidRPr="00992522">
              <w:rPr>
                <w:bCs w:val="0"/>
                <w:color w:val="000000"/>
                <w14:textFill>
                  <w14:solidFill>
                    <w14:srgbClr w14:val="000000">
                      <w14:alpha w14:val="100000"/>
                    </w14:srgbClr>
                  </w14:solidFill>
                </w14:textFill>
              </w:rPr>
              <w:t>|</w:t>
            </w:r>
          </w:p>
        </w:tc>
        <w:tc>
          <w:tcPr>
            <w:tcW w:w="699" w:type="pct"/>
            <w:shd w:val="solid" w:color="000000" w:fill="000000"/>
          </w:tcPr>
          <w:p w14:paraId="1519699E" w14:textId="455AB575" w:rsidR="005326A6" w:rsidRPr="00992522" w:rsidRDefault="00992522" w:rsidP="002D6927">
            <w:pPr>
              <w:pStyle w:val="TableText0"/>
              <w:jc w:val="center"/>
              <w:rPr>
                <w:bCs w:val="0"/>
              </w:rPr>
            </w:pPr>
            <w:r w:rsidRPr="00992522">
              <w:rPr>
                <w:bCs w:val="0"/>
                <w:color w:val="000000"/>
                <w14:textFill>
                  <w14:solidFill>
                    <w14:srgbClr w14:val="000000">
                      <w14:alpha w14:val="100000"/>
                    </w14:srgbClr>
                  </w14:solidFill>
                </w14:textFill>
              </w:rPr>
              <w:t>|</w:t>
            </w:r>
          </w:p>
        </w:tc>
      </w:tr>
    </w:tbl>
    <w:p w14:paraId="74C83B47" w14:textId="77777777" w:rsidR="00063E31" w:rsidRPr="009E4EB8" w:rsidRDefault="00063E31" w:rsidP="002D6927">
      <w:pPr>
        <w:pStyle w:val="TableFigureFooter"/>
        <w:keepNext/>
      </w:pPr>
      <w:r w:rsidRPr="009E4EB8">
        <w:t>Source: Developed during the evaluation</w:t>
      </w:r>
    </w:p>
    <w:p w14:paraId="40970A01" w14:textId="5CB06CA8" w:rsidR="00063E31" w:rsidRPr="009E4EB8" w:rsidRDefault="00063E31" w:rsidP="002D6927">
      <w:pPr>
        <w:pStyle w:val="TableFigureFooter"/>
        <w:keepNext/>
      </w:pPr>
      <w:r w:rsidRPr="009E4EB8">
        <w:t xml:space="preserve">Abbreviations: C = cyclophosphamide; D = dexamethasone; </w:t>
      </w:r>
      <w:r w:rsidR="00FA6690" w:rsidRPr="009E4EB8">
        <w:t xml:space="preserve">DCEP = dexamethasone + cyclophosphamide + etoposide + cisplatin; </w:t>
      </w:r>
      <w:r w:rsidRPr="009E4EB8">
        <w:t>E = etoposide; NA = not applicable; P = cisplatin; S = selinexor</w:t>
      </w:r>
      <w:r w:rsidR="00FA6690" w:rsidRPr="009E4EB8">
        <w:t>; Sd = selinexor + dexamethasone</w:t>
      </w:r>
    </w:p>
    <w:p w14:paraId="7D67A1E6" w14:textId="300236BB" w:rsidR="00063E31" w:rsidRPr="009E4EB8" w:rsidRDefault="00063E31" w:rsidP="002D6927">
      <w:pPr>
        <w:pStyle w:val="TableFigureFooter"/>
        <w:keepNext/>
      </w:pPr>
      <w:r w:rsidRPr="009E4EB8">
        <w:t xml:space="preserve">Note: </w:t>
      </w:r>
      <w:r w:rsidRPr="009E4EB8">
        <w:rPr>
          <w:vertAlign w:val="superscript"/>
        </w:rPr>
        <w:t>a</w:t>
      </w:r>
      <w:r w:rsidRPr="009E4EB8">
        <w:t xml:space="preserve"> </w:t>
      </w:r>
      <w:r w:rsidR="0015752C" w:rsidRPr="009E4EB8">
        <w:t xml:space="preserve">in weeks </w:t>
      </w:r>
    </w:p>
    <w:p w14:paraId="5FFA6186" w14:textId="433A77AE" w:rsidR="00D75018" w:rsidRPr="009E4EB8" w:rsidRDefault="00D75018" w:rsidP="002D6927">
      <w:pPr>
        <w:pStyle w:val="TableFigureFooter"/>
        <w:keepNext/>
      </w:pPr>
      <w:r w:rsidRPr="009E4EB8">
        <w:rPr>
          <w:vertAlign w:val="superscript"/>
        </w:rPr>
        <w:t xml:space="preserve">b </w:t>
      </w:r>
      <w:r w:rsidRPr="009E4EB8">
        <w:t xml:space="preserve">drug costs were </w:t>
      </w:r>
      <w:r w:rsidR="00DA7FE8" w:rsidRPr="009E4EB8">
        <w:t xml:space="preserve">weighted (private/private) as per the economic evaluation </w:t>
      </w:r>
    </w:p>
    <w:p w14:paraId="7DC913EF" w14:textId="1D426A5A" w:rsidR="00CA34EE" w:rsidRPr="009E4EB8" w:rsidRDefault="00DA7FE8" w:rsidP="002D6927">
      <w:pPr>
        <w:pStyle w:val="TableFigureFooter"/>
        <w:keepNext/>
      </w:pPr>
      <w:r w:rsidRPr="009E4EB8">
        <w:rPr>
          <w:vertAlign w:val="superscript"/>
        </w:rPr>
        <w:t>c</w:t>
      </w:r>
      <w:r w:rsidRPr="009E4EB8">
        <w:t xml:space="preserve"> costs for DCEP were calculated based on a BSA of </w:t>
      </w:r>
      <w:r w:rsidR="00A401E1" w:rsidRPr="00885237">
        <w:t>1.89</w:t>
      </w:r>
      <w:r w:rsidR="00A401E1" w:rsidRPr="009E4EB8">
        <w:t xml:space="preserve"> as per the economic evaluation </w:t>
      </w:r>
    </w:p>
    <w:p w14:paraId="5BB7FB1C" w14:textId="77777777" w:rsidR="005304FD" w:rsidRPr="009E4EB8" w:rsidRDefault="005304FD" w:rsidP="005304FD">
      <w:pPr>
        <w:pStyle w:val="4-SubsectionHeading"/>
      </w:pPr>
      <w:bookmarkStart w:id="74" w:name="_Toc22897647"/>
      <w:bookmarkStart w:id="75" w:name="_Toc22898859"/>
      <w:bookmarkStart w:id="76" w:name="_Toc93422870"/>
      <w:r w:rsidRPr="009E4EB8">
        <w:t>Estimated PBS usage &amp; financial implications</w:t>
      </w:r>
      <w:bookmarkEnd w:id="74"/>
      <w:bookmarkEnd w:id="75"/>
      <w:bookmarkEnd w:id="76"/>
    </w:p>
    <w:p w14:paraId="72942F0D" w14:textId="3834D473" w:rsidR="00EB119A" w:rsidRPr="009E4EB8" w:rsidRDefault="005304FD" w:rsidP="00EB119A">
      <w:pPr>
        <w:pStyle w:val="3-BodyText"/>
        <w:rPr>
          <w:rFonts w:ascii="Arial Narrow" w:hAnsi="Arial Narrow"/>
          <w:sz w:val="20"/>
        </w:rPr>
      </w:pPr>
      <w:r w:rsidRPr="009E4EB8">
        <w:t xml:space="preserve">This </w:t>
      </w:r>
      <w:r w:rsidR="002D6927" w:rsidRPr="009E4EB8">
        <w:t>re</w:t>
      </w:r>
      <w:r w:rsidRPr="009E4EB8">
        <w:t xml:space="preserve">submission </w:t>
      </w:r>
      <w:r w:rsidR="00017057" w:rsidRPr="009E4EB8">
        <w:t xml:space="preserve">was </w:t>
      </w:r>
      <w:r w:rsidRPr="009E4EB8">
        <w:t>not considered by DUSC</w:t>
      </w:r>
      <w:r w:rsidRPr="009E4EB8">
        <w:rPr>
          <w:color w:val="0070C0"/>
        </w:rPr>
        <w:t xml:space="preserve">. </w:t>
      </w:r>
      <w:r w:rsidR="00385B10" w:rsidRPr="009E4EB8">
        <w:t xml:space="preserve">The </w:t>
      </w:r>
      <w:r w:rsidR="0076337B" w:rsidRPr="009E4EB8">
        <w:t>re</w:t>
      </w:r>
      <w:r w:rsidR="00385B10" w:rsidRPr="009E4EB8">
        <w:t>submission used an epidemiological approach to estimate the financial implications. A summary of key inputs used in the estimation is presented in</w:t>
      </w:r>
      <w:r w:rsidR="00793FD4" w:rsidRPr="009E4EB8">
        <w:t xml:space="preserve"> Table 1</w:t>
      </w:r>
      <w:r w:rsidR="008C7DAA" w:rsidRPr="009E4EB8">
        <w:t>6</w:t>
      </w:r>
      <w:r w:rsidR="00385B10" w:rsidRPr="009E4EB8">
        <w:t xml:space="preserve">. </w:t>
      </w:r>
    </w:p>
    <w:p w14:paraId="16BDDDD9" w14:textId="55CD8B17" w:rsidR="005304FD" w:rsidRPr="009E4EB8" w:rsidRDefault="00EB119A" w:rsidP="00793FD4">
      <w:pPr>
        <w:pStyle w:val="Caption"/>
        <w:keepNext/>
        <w:spacing w:after="0"/>
        <w:rPr>
          <w:rFonts w:ascii="Arial Narrow" w:hAnsi="Arial Narrow"/>
          <w:color w:val="auto"/>
          <w:sz w:val="20"/>
          <w:szCs w:val="20"/>
        </w:rPr>
      </w:pPr>
      <w:bookmarkStart w:id="77" w:name="_Ref91091031"/>
      <w:r w:rsidRPr="009E4EB8">
        <w:rPr>
          <w:rFonts w:ascii="Arial Narrow" w:hAnsi="Arial Narrow"/>
          <w:color w:val="auto"/>
          <w:sz w:val="20"/>
          <w:szCs w:val="20"/>
        </w:rPr>
        <w:t xml:space="preserve">Table </w:t>
      </w:r>
      <w:r w:rsidRPr="009E4EB8">
        <w:rPr>
          <w:rFonts w:ascii="Arial Narrow" w:hAnsi="Arial Narrow"/>
          <w:color w:val="auto"/>
          <w:sz w:val="20"/>
          <w:szCs w:val="20"/>
        </w:rPr>
        <w:fldChar w:fldCharType="begin"/>
      </w:r>
      <w:r w:rsidRPr="009E4EB8">
        <w:rPr>
          <w:rFonts w:ascii="Arial Narrow" w:hAnsi="Arial Narrow"/>
          <w:color w:val="auto"/>
          <w:sz w:val="20"/>
          <w:szCs w:val="20"/>
        </w:rPr>
        <w:instrText xml:space="preserve"> SEQ Table \* ARABIC </w:instrText>
      </w:r>
      <w:r w:rsidRPr="009E4EB8">
        <w:rPr>
          <w:rFonts w:ascii="Arial Narrow" w:hAnsi="Arial Narrow"/>
          <w:color w:val="auto"/>
          <w:sz w:val="20"/>
          <w:szCs w:val="20"/>
        </w:rPr>
        <w:fldChar w:fldCharType="separate"/>
      </w:r>
      <w:r w:rsidR="00964E38">
        <w:rPr>
          <w:rFonts w:ascii="Arial Narrow" w:hAnsi="Arial Narrow"/>
          <w:noProof/>
          <w:color w:val="auto"/>
          <w:sz w:val="20"/>
          <w:szCs w:val="20"/>
        </w:rPr>
        <w:t>16</w:t>
      </w:r>
      <w:r w:rsidRPr="009E4EB8">
        <w:rPr>
          <w:rFonts w:ascii="Arial Narrow" w:hAnsi="Arial Narrow"/>
          <w:color w:val="auto"/>
          <w:sz w:val="20"/>
          <w:szCs w:val="20"/>
        </w:rPr>
        <w:fldChar w:fldCharType="end"/>
      </w:r>
      <w:bookmarkEnd w:id="77"/>
      <w:r w:rsidRPr="009E4EB8">
        <w:rPr>
          <w:rFonts w:ascii="Arial Narrow" w:hAnsi="Arial Narrow"/>
          <w:color w:val="auto"/>
          <w:sz w:val="20"/>
          <w:szCs w:val="20"/>
        </w:rPr>
        <w:t xml:space="preserve">: </w:t>
      </w:r>
      <w:r w:rsidR="005304FD" w:rsidRPr="009E4EB8">
        <w:rPr>
          <w:rFonts w:ascii="Arial Narrow" w:hAnsi="Arial Narrow"/>
          <w:color w:val="auto"/>
          <w:sz w:val="20"/>
          <w:szCs w:val="20"/>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14"/>
        <w:gridCol w:w="2538"/>
        <w:gridCol w:w="5365"/>
      </w:tblGrid>
      <w:tr w:rsidR="005304FD" w:rsidRPr="009E4EB8" w14:paraId="0A3E941A" w14:textId="77777777" w:rsidTr="00793FD4">
        <w:trPr>
          <w:tblHeader/>
        </w:trPr>
        <w:tc>
          <w:tcPr>
            <w:tcW w:w="595" w:type="pct"/>
            <w:shd w:val="clear" w:color="auto" w:fill="auto"/>
            <w:vAlign w:val="center"/>
          </w:tcPr>
          <w:p w14:paraId="0CF48AE7" w14:textId="77777777" w:rsidR="005304FD" w:rsidRPr="009E4EB8" w:rsidRDefault="005304FD" w:rsidP="00D041EE">
            <w:pPr>
              <w:pStyle w:val="In-tableHeading"/>
              <w:rPr>
                <w:lang w:val="en-AU"/>
              </w:rPr>
            </w:pPr>
            <w:r w:rsidRPr="009E4EB8">
              <w:rPr>
                <w:lang w:val="en-AU"/>
              </w:rPr>
              <w:t>Parameter</w:t>
            </w:r>
          </w:p>
        </w:tc>
        <w:tc>
          <w:tcPr>
            <w:tcW w:w="1419" w:type="pct"/>
            <w:shd w:val="clear" w:color="auto" w:fill="auto"/>
            <w:vAlign w:val="center"/>
          </w:tcPr>
          <w:p w14:paraId="1C8174D2" w14:textId="77777777" w:rsidR="005304FD" w:rsidRPr="009E4EB8" w:rsidRDefault="005304FD" w:rsidP="00D041EE">
            <w:pPr>
              <w:pStyle w:val="In-tableHeading"/>
              <w:rPr>
                <w:lang w:val="en-AU"/>
              </w:rPr>
            </w:pPr>
            <w:r w:rsidRPr="009E4EB8">
              <w:rPr>
                <w:lang w:val="en-AU"/>
              </w:rPr>
              <w:t>Value applied and source</w:t>
            </w:r>
          </w:p>
        </w:tc>
        <w:tc>
          <w:tcPr>
            <w:tcW w:w="2986" w:type="pct"/>
            <w:shd w:val="clear" w:color="auto" w:fill="auto"/>
            <w:vAlign w:val="center"/>
          </w:tcPr>
          <w:p w14:paraId="2D6B58E8" w14:textId="77777777" w:rsidR="005304FD" w:rsidRPr="009E4EB8" w:rsidRDefault="005304FD" w:rsidP="00D041EE">
            <w:pPr>
              <w:pStyle w:val="In-tableHeading"/>
              <w:rPr>
                <w:lang w:val="en-AU"/>
              </w:rPr>
            </w:pPr>
            <w:r w:rsidRPr="009E4EB8">
              <w:rPr>
                <w:lang w:val="en-AU"/>
              </w:rPr>
              <w:t>Comment</w:t>
            </w:r>
          </w:p>
        </w:tc>
      </w:tr>
      <w:tr w:rsidR="005304FD" w:rsidRPr="009E4EB8" w14:paraId="343CA00B" w14:textId="77777777" w:rsidTr="00793FD4">
        <w:tc>
          <w:tcPr>
            <w:tcW w:w="595" w:type="pct"/>
            <w:shd w:val="clear" w:color="auto" w:fill="auto"/>
            <w:vAlign w:val="center"/>
          </w:tcPr>
          <w:p w14:paraId="1DC4586E" w14:textId="1DF11513" w:rsidR="005304FD" w:rsidRPr="009E4EB8" w:rsidRDefault="00990463" w:rsidP="00D041EE">
            <w:pPr>
              <w:pStyle w:val="TableText0"/>
            </w:pPr>
            <w:r w:rsidRPr="009E4EB8">
              <w:rPr>
                <w:szCs w:val="20"/>
              </w:rPr>
              <w:t xml:space="preserve">Patients treated in the TCR/PR </w:t>
            </w:r>
            <w:r w:rsidR="00674867" w:rsidRPr="009E4EB8">
              <w:rPr>
                <w:szCs w:val="20"/>
              </w:rPr>
              <w:t>s</w:t>
            </w:r>
            <w:r w:rsidRPr="009E4EB8">
              <w:rPr>
                <w:szCs w:val="20"/>
              </w:rPr>
              <w:t>etting</w:t>
            </w:r>
          </w:p>
        </w:tc>
        <w:tc>
          <w:tcPr>
            <w:tcW w:w="1419" w:type="pct"/>
            <w:shd w:val="clear" w:color="auto" w:fill="auto"/>
            <w:vAlign w:val="center"/>
          </w:tcPr>
          <w:p w14:paraId="43FDB124" w14:textId="77777777" w:rsidR="005304FD" w:rsidRPr="009E4EB8" w:rsidRDefault="00990463" w:rsidP="00D041EE">
            <w:pPr>
              <w:pStyle w:val="TableText0"/>
              <w:rPr>
                <w:szCs w:val="20"/>
              </w:rPr>
            </w:pPr>
            <w:proofErr w:type="spellStart"/>
            <w:r w:rsidRPr="009E4EB8">
              <w:rPr>
                <w:szCs w:val="20"/>
              </w:rPr>
              <w:t>Yr</w:t>
            </w:r>
            <w:proofErr w:type="spellEnd"/>
            <w:r w:rsidRPr="009E4EB8">
              <w:rPr>
                <w:szCs w:val="20"/>
              </w:rPr>
              <w:t xml:space="preserve"> 1-6 (2022-2027): 221 per year</w:t>
            </w:r>
          </w:p>
          <w:p w14:paraId="2DEB5B9F" w14:textId="77777777" w:rsidR="00CE6DC3" w:rsidRPr="009E4EB8" w:rsidRDefault="00CE6DC3" w:rsidP="004C3C16">
            <w:pPr>
              <w:keepNext/>
              <w:snapToGrid w:val="0"/>
              <w:jc w:val="left"/>
              <w:rPr>
                <w:rFonts w:ascii="Arial Narrow" w:hAnsi="Arial Narrow"/>
                <w:sz w:val="20"/>
                <w:szCs w:val="20"/>
              </w:rPr>
            </w:pPr>
            <w:r w:rsidRPr="009E4EB8">
              <w:rPr>
                <w:rFonts w:ascii="Arial Narrow" w:hAnsi="Arial Narrow"/>
                <w:sz w:val="20"/>
                <w:szCs w:val="20"/>
              </w:rPr>
              <w:t xml:space="preserve">Assumption based on: </w:t>
            </w:r>
          </w:p>
          <w:p w14:paraId="27BA4FFF" w14:textId="1F666BEE" w:rsidR="00CE6DC3" w:rsidRPr="009E4EB8" w:rsidRDefault="00CE6DC3" w:rsidP="002C3290">
            <w:pPr>
              <w:pStyle w:val="ListParagraph"/>
              <w:keepNext/>
              <w:numPr>
                <w:ilvl w:val="0"/>
                <w:numId w:val="13"/>
              </w:numPr>
              <w:snapToGrid w:val="0"/>
              <w:spacing w:after="0"/>
              <w:ind w:left="234" w:hanging="150"/>
              <w:jc w:val="left"/>
              <w:rPr>
                <w:rFonts w:ascii="Arial Narrow" w:hAnsi="Arial Narrow"/>
                <w:sz w:val="20"/>
                <w:szCs w:val="20"/>
              </w:rPr>
            </w:pPr>
            <w:r w:rsidRPr="009E4EB8">
              <w:rPr>
                <w:rFonts w:ascii="Arial Narrow" w:hAnsi="Arial Narrow"/>
                <w:sz w:val="20"/>
                <w:szCs w:val="20"/>
              </w:rPr>
              <w:t xml:space="preserve">Constant number of patients treated with Pd: </w:t>
            </w:r>
            <w:r w:rsidR="00885237">
              <w:rPr>
                <w:rFonts w:ascii="Arial Narrow" w:hAnsi="Arial Narrow"/>
                <w:sz w:val="20"/>
                <w:szCs w:val="20"/>
              </w:rPr>
              <w:t>&lt;500</w:t>
            </w:r>
          </w:p>
          <w:p w14:paraId="1081232B" w14:textId="1544980D" w:rsidR="00CE6DC3" w:rsidRPr="009E4EB8" w:rsidRDefault="00CE6DC3" w:rsidP="002C3290">
            <w:pPr>
              <w:pStyle w:val="ListParagraph"/>
              <w:keepNext/>
              <w:numPr>
                <w:ilvl w:val="0"/>
                <w:numId w:val="13"/>
              </w:numPr>
              <w:snapToGrid w:val="0"/>
              <w:spacing w:after="0"/>
              <w:ind w:left="234" w:hanging="150"/>
              <w:jc w:val="left"/>
              <w:rPr>
                <w:rFonts w:ascii="Arial Narrow" w:hAnsi="Arial Narrow"/>
                <w:sz w:val="20"/>
                <w:szCs w:val="20"/>
              </w:rPr>
            </w:pPr>
            <w:r w:rsidRPr="009E4EB8">
              <w:rPr>
                <w:rFonts w:ascii="Arial Narrow" w:hAnsi="Arial Narrow"/>
                <w:sz w:val="20"/>
                <w:szCs w:val="20"/>
              </w:rPr>
              <w:t xml:space="preserve">Constant proportion of Pd patients moving on to subsequent therapy: </w:t>
            </w:r>
            <w:r w:rsidR="00992522" w:rsidRPr="00992522">
              <w:rPr>
                <w:rFonts w:ascii="Arial Narrow" w:hAnsi="Arial Narrow" w:hint="eastAsia"/>
                <w:color w:val="000000"/>
                <w:w w:val="20"/>
                <w:sz w:val="20"/>
                <w:szCs w:val="20"/>
                <w:shd w:val="solid" w:color="000000" w:fill="000000"/>
                <w:fitText w:val="90" w:id="-1504991478"/>
                <w14:textFill>
                  <w14:solidFill>
                    <w14:srgbClr w14:val="000000">
                      <w14:alpha w14:val="100000"/>
                    </w14:srgbClr>
                  </w14:solidFill>
                </w14:textFill>
              </w:rPr>
              <w:t xml:space="preserve">　</w:t>
            </w:r>
            <w:r w:rsidR="00992522" w:rsidRPr="00992522">
              <w:rPr>
                <w:rFonts w:ascii="Arial Narrow" w:hAnsi="Arial Narrow"/>
                <w:color w:val="000000"/>
                <w:w w:val="20"/>
                <w:sz w:val="20"/>
                <w:szCs w:val="20"/>
                <w:shd w:val="solid" w:color="000000" w:fill="000000"/>
                <w:fitText w:val="90" w:id="-1504991478"/>
                <w14:textFill>
                  <w14:solidFill>
                    <w14:srgbClr w14:val="000000">
                      <w14:alpha w14:val="100000"/>
                    </w14:srgbClr>
                  </w14:solidFill>
                </w14:textFill>
              </w:rPr>
              <w:t>|</w:t>
            </w:r>
            <w:r w:rsidR="00992522" w:rsidRPr="00992522">
              <w:rPr>
                <w:rFonts w:ascii="Arial Narrow" w:hAnsi="Arial Narrow" w:hint="eastAsia"/>
                <w:color w:val="000000"/>
                <w:spacing w:val="3"/>
                <w:w w:val="20"/>
                <w:sz w:val="20"/>
                <w:szCs w:val="20"/>
                <w:shd w:val="solid" w:color="000000" w:fill="000000"/>
                <w:fitText w:val="90" w:id="-1504991478"/>
                <w14:textFill>
                  <w14:solidFill>
                    <w14:srgbClr w14:val="000000">
                      <w14:alpha w14:val="100000"/>
                    </w14:srgbClr>
                  </w14:solidFill>
                </w14:textFill>
              </w:rPr>
              <w:t xml:space="preserve">　</w:t>
            </w:r>
            <w:r w:rsidRPr="009E4EB8">
              <w:rPr>
                <w:rFonts w:ascii="Arial Narrow" w:hAnsi="Arial Narrow"/>
                <w:sz w:val="20"/>
                <w:szCs w:val="20"/>
              </w:rPr>
              <w:t>%</w:t>
            </w:r>
          </w:p>
        </w:tc>
        <w:tc>
          <w:tcPr>
            <w:tcW w:w="2986" w:type="pct"/>
            <w:shd w:val="clear" w:color="auto" w:fill="auto"/>
            <w:vAlign w:val="center"/>
          </w:tcPr>
          <w:p w14:paraId="452EECBB" w14:textId="20B06174" w:rsidR="005304FD" w:rsidRPr="009E4EB8" w:rsidRDefault="004C3C16" w:rsidP="00D041EE">
            <w:pPr>
              <w:pStyle w:val="TableText0"/>
            </w:pPr>
            <w:r w:rsidRPr="009E4EB8">
              <w:rPr>
                <w:iCs/>
                <w:szCs w:val="20"/>
              </w:rPr>
              <w:t>This estimate was not well justified</w:t>
            </w:r>
            <w:r w:rsidR="00533663" w:rsidRPr="009E4EB8">
              <w:rPr>
                <w:iCs/>
                <w:szCs w:val="20"/>
              </w:rPr>
              <w:t>.</w:t>
            </w:r>
          </w:p>
        </w:tc>
      </w:tr>
      <w:tr w:rsidR="005304FD" w:rsidRPr="009E4EB8" w14:paraId="7A1D01EC" w14:textId="77777777" w:rsidTr="00793FD4">
        <w:tc>
          <w:tcPr>
            <w:tcW w:w="595" w:type="pct"/>
            <w:shd w:val="clear" w:color="auto" w:fill="auto"/>
            <w:vAlign w:val="center"/>
          </w:tcPr>
          <w:p w14:paraId="013678FB" w14:textId="35ED58B2" w:rsidR="005304FD" w:rsidRPr="009E4EB8" w:rsidRDefault="004C3C16" w:rsidP="00D041EE">
            <w:pPr>
              <w:pStyle w:val="TableText0"/>
            </w:pPr>
            <w:r w:rsidRPr="009E4EB8">
              <w:rPr>
                <w:szCs w:val="20"/>
              </w:rPr>
              <w:t>Uptake rate</w:t>
            </w:r>
          </w:p>
        </w:tc>
        <w:tc>
          <w:tcPr>
            <w:tcW w:w="1419" w:type="pct"/>
            <w:shd w:val="clear" w:color="auto" w:fill="auto"/>
            <w:vAlign w:val="center"/>
          </w:tcPr>
          <w:p w14:paraId="21CBE763" w14:textId="6F279FCB" w:rsidR="005304FD" w:rsidRPr="009E4EB8" w:rsidRDefault="004C3C16" w:rsidP="00D041EE">
            <w:pPr>
              <w:pStyle w:val="TableText0"/>
            </w:pPr>
            <w:r w:rsidRPr="009E4EB8">
              <w:t>50</w:t>
            </w:r>
            <w:r w:rsidR="005304FD" w:rsidRPr="009E4EB8">
              <w:t xml:space="preserve">% in Year 1 increasing to </w:t>
            </w:r>
            <w:r w:rsidR="000A3BAD" w:rsidRPr="009E4EB8">
              <w:t>90</w:t>
            </w:r>
            <w:r w:rsidR="005304FD" w:rsidRPr="009E4EB8">
              <w:t xml:space="preserve">% in Year 6. Based on </w:t>
            </w:r>
            <w:r w:rsidR="000A3BAD" w:rsidRPr="009E4EB8">
              <w:t xml:space="preserve">assumption. </w:t>
            </w:r>
          </w:p>
        </w:tc>
        <w:tc>
          <w:tcPr>
            <w:tcW w:w="2986" w:type="pct"/>
            <w:shd w:val="clear" w:color="auto" w:fill="auto"/>
            <w:vAlign w:val="center"/>
          </w:tcPr>
          <w:p w14:paraId="26788F45" w14:textId="126A7C04" w:rsidR="005304FD" w:rsidRPr="009E4EB8" w:rsidRDefault="000A3BAD" w:rsidP="00D041EE">
            <w:pPr>
              <w:pStyle w:val="TableText0"/>
            </w:pPr>
            <w:r w:rsidRPr="009E4EB8">
              <w:rPr>
                <w:iCs/>
                <w:szCs w:val="20"/>
              </w:rPr>
              <w:t>Likely overestimated. Despite the resubmission’s consideration that the uptake rates were more conservatively applied (i.e</w:t>
            </w:r>
            <w:r w:rsidRPr="00885237">
              <w:rPr>
                <w:iCs/>
                <w:szCs w:val="20"/>
              </w:rPr>
              <w:t xml:space="preserve">. </w:t>
            </w:r>
            <w:r w:rsidR="00992522" w:rsidRPr="00992522">
              <w:rPr>
                <w:iCs/>
                <w:color w:val="000000"/>
                <w:spacing w:val="49"/>
                <w:szCs w:val="20"/>
                <w:shd w:val="solid" w:color="000000" w:fill="000000"/>
                <w:fitText w:val="320" w:id="-1504991477"/>
                <w14:textFill>
                  <w14:solidFill>
                    <w14:srgbClr w14:val="000000">
                      <w14:alpha w14:val="100000"/>
                    </w14:srgbClr>
                  </w14:solidFill>
                </w14:textFill>
              </w:rPr>
              <w:t>|||</w:t>
            </w:r>
            <w:r w:rsidR="00992522" w:rsidRPr="00992522">
              <w:rPr>
                <w:iCs/>
                <w:color w:val="000000"/>
                <w:spacing w:val="3"/>
                <w:szCs w:val="20"/>
                <w:shd w:val="solid" w:color="000000" w:fill="000000"/>
                <w:fitText w:val="320" w:id="-1504991477"/>
                <w14:textFill>
                  <w14:solidFill>
                    <w14:srgbClr w14:val="000000">
                      <w14:alpha w14:val="100000"/>
                    </w14:srgbClr>
                  </w14:solidFill>
                </w14:textFill>
              </w:rPr>
              <w:t>|</w:t>
            </w:r>
            <w:r w:rsidRPr="009E4EB8">
              <w:rPr>
                <w:iCs/>
                <w:szCs w:val="20"/>
              </w:rPr>
              <w:t xml:space="preserve">% of patients treated with Pd likely to receive subsequent therapy), this does not fully account for DUSC’s previous </w:t>
            </w:r>
            <w:r w:rsidR="005B02C1" w:rsidRPr="009E4EB8">
              <w:rPr>
                <w:iCs/>
                <w:szCs w:val="20"/>
              </w:rPr>
              <w:t xml:space="preserve">consideration </w:t>
            </w:r>
            <w:r w:rsidRPr="009E4EB8">
              <w:rPr>
                <w:iCs/>
                <w:szCs w:val="20"/>
              </w:rPr>
              <w:t xml:space="preserve">that the uptake rate (90%) was substantially overestimated in the July 2021 submission and would likely be approximately </w:t>
            </w:r>
            <w:r w:rsidR="00992522" w:rsidRPr="00992522">
              <w:rPr>
                <w:iCs/>
                <w:color w:val="000000"/>
                <w:spacing w:val="53"/>
                <w:szCs w:val="20"/>
                <w:shd w:val="solid" w:color="000000" w:fill="000000"/>
                <w:fitText w:val="330" w:id="-1504991476"/>
                <w14:textFill>
                  <w14:solidFill>
                    <w14:srgbClr w14:val="000000">
                      <w14:alpha w14:val="100000"/>
                    </w14:srgbClr>
                  </w14:solidFill>
                </w14:textFill>
              </w:rPr>
              <w:t>|||</w:t>
            </w:r>
            <w:r w:rsidR="00992522" w:rsidRPr="00992522">
              <w:rPr>
                <w:iCs/>
                <w:color w:val="000000"/>
                <w:spacing w:val="1"/>
                <w:szCs w:val="20"/>
                <w:shd w:val="solid" w:color="000000" w:fill="000000"/>
                <w:fitText w:val="330" w:id="-1504991476"/>
                <w14:textFill>
                  <w14:solidFill>
                    <w14:srgbClr w14:val="000000">
                      <w14:alpha w14:val="100000"/>
                    </w14:srgbClr>
                  </w14:solidFill>
                </w14:textFill>
              </w:rPr>
              <w:t>|</w:t>
            </w:r>
            <w:r w:rsidRPr="00885237">
              <w:rPr>
                <w:iCs/>
                <w:szCs w:val="20"/>
              </w:rPr>
              <w:t>-</w:t>
            </w:r>
            <w:r w:rsidR="00992522" w:rsidRPr="00992522">
              <w:rPr>
                <w:iCs/>
                <w:color w:val="000000"/>
                <w:spacing w:val="53"/>
                <w:szCs w:val="20"/>
                <w:shd w:val="solid" w:color="000000" w:fill="000000"/>
                <w:fitText w:val="330" w:id="-1504991475"/>
                <w14:textFill>
                  <w14:solidFill>
                    <w14:srgbClr w14:val="000000">
                      <w14:alpha w14:val="100000"/>
                    </w14:srgbClr>
                  </w14:solidFill>
                </w14:textFill>
              </w:rPr>
              <w:t>|||</w:t>
            </w:r>
            <w:r w:rsidR="00992522" w:rsidRPr="00992522">
              <w:rPr>
                <w:iCs/>
                <w:color w:val="000000"/>
                <w:spacing w:val="1"/>
                <w:szCs w:val="20"/>
                <w:shd w:val="solid" w:color="000000" w:fill="000000"/>
                <w:fitText w:val="330" w:id="-1504991475"/>
                <w14:textFill>
                  <w14:solidFill>
                    <w14:srgbClr w14:val="000000">
                      <w14:alpha w14:val="100000"/>
                    </w14:srgbClr>
                  </w14:solidFill>
                </w14:textFill>
              </w:rPr>
              <w:t>|</w:t>
            </w:r>
            <w:r w:rsidRPr="009E4EB8">
              <w:rPr>
                <w:iCs/>
                <w:szCs w:val="20"/>
              </w:rPr>
              <w:t>% given the unclear benefit and high toxicity of selinexor (Selinexor (TCR/PR), DUSC Minutes, July 2021 PBAC Meeting).</w:t>
            </w:r>
          </w:p>
        </w:tc>
      </w:tr>
      <w:tr w:rsidR="005304FD" w:rsidRPr="009E4EB8" w14:paraId="242F8505" w14:textId="77777777" w:rsidTr="00793FD4">
        <w:tc>
          <w:tcPr>
            <w:tcW w:w="595" w:type="pct"/>
            <w:shd w:val="clear" w:color="auto" w:fill="auto"/>
            <w:vAlign w:val="center"/>
          </w:tcPr>
          <w:p w14:paraId="329370BA" w14:textId="0F450A8E" w:rsidR="005304FD" w:rsidRPr="009E4EB8" w:rsidRDefault="00083C70" w:rsidP="00D041EE">
            <w:pPr>
              <w:pStyle w:val="TableText0"/>
            </w:pPr>
            <w:r w:rsidRPr="009E4EB8">
              <w:rPr>
                <w:szCs w:val="20"/>
              </w:rPr>
              <w:t>Duration of Sd treatment</w:t>
            </w:r>
          </w:p>
        </w:tc>
        <w:tc>
          <w:tcPr>
            <w:tcW w:w="1419" w:type="pct"/>
            <w:shd w:val="clear" w:color="auto" w:fill="auto"/>
            <w:vAlign w:val="center"/>
          </w:tcPr>
          <w:p w14:paraId="5D586AFB" w14:textId="3C16AF1C" w:rsidR="005304FD" w:rsidRPr="009E4EB8" w:rsidRDefault="00083C70" w:rsidP="00D041EE">
            <w:pPr>
              <w:pStyle w:val="TableText0"/>
            </w:pPr>
            <w:r w:rsidRPr="009E4EB8">
              <w:rPr>
                <w:szCs w:val="20"/>
              </w:rPr>
              <w:t>2.84 months (12.35 weeks)</w:t>
            </w:r>
          </w:p>
        </w:tc>
        <w:tc>
          <w:tcPr>
            <w:tcW w:w="2986" w:type="pct"/>
            <w:shd w:val="clear" w:color="auto" w:fill="auto"/>
            <w:vAlign w:val="center"/>
          </w:tcPr>
          <w:p w14:paraId="240D101A" w14:textId="354FED54" w:rsidR="005304FD" w:rsidRPr="009E4EB8" w:rsidRDefault="00083C70" w:rsidP="00D041EE">
            <w:pPr>
              <w:pStyle w:val="TableText0"/>
            </w:pPr>
            <w:r w:rsidRPr="009E4EB8">
              <w:rPr>
                <w:iCs/>
                <w:szCs w:val="20"/>
              </w:rPr>
              <w:t xml:space="preserve">Appropriate, </w:t>
            </w:r>
            <w:r w:rsidR="00000583" w:rsidRPr="009E4EB8">
              <w:rPr>
                <w:iCs/>
                <w:szCs w:val="20"/>
              </w:rPr>
              <w:t xml:space="preserve">consistent with </w:t>
            </w:r>
            <w:r w:rsidRPr="009E4EB8">
              <w:rPr>
                <w:iCs/>
                <w:szCs w:val="20"/>
              </w:rPr>
              <w:t xml:space="preserve">the duration of treatment </w:t>
            </w:r>
            <w:r w:rsidR="001F12E6" w:rsidRPr="009E4EB8">
              <w:rPr>
                <w:iCs/>
                <w:szCs w:val="20"/>
              </w:rPr>
              <w:t xml:space="preserve">applied </w:t>
            </w:r>
            <w:r w:rsidRPr="009E4EB8">
              <w:rPr>
                <w:iCs/>
                <w:szCs w:val="20"/>
              </w:rPr>
              <w:t>in the economic model.</w:t>
            </w:r>
          </w:p>
        </w:tc>
      </w:tr>
      <w:tr w:rsidR="005304FD" w:rsidRPr="009E4EB8" w14:paraId="275B66BF" w14:textId="77777777" w:rsidTr="00793FD4">
        <w:tc>
          <w:tcPr>
            <w:tcW w:w="595" w:type="pct"/>
            <w:shd w:val="clear" w:color="auto" w:fill="auto"/>
            <w:vAlign w:val="center"/>
          </w:tcPr>
          <w:p w14:paraId="4E0EE6E9" w14:textId="77777777" w:rsidR="005304FD" w:rsidRPr="009E4EB8" w:rsidRDefault="005304FD" w:rsidP="00D041EE">
            <w:pPr>
              <w:pStyle w:val="TableText0"/>
            </w:pPr>
            <w:r w:rsidRPr="009E4EB8">
              <w:t>Grandfathered patients</w:t>
            </w:r>
          </w:p>
        </w:tc>
        <w:tc>
          <w:tcPr>
            <w:tcW w:w="1419" w:type="pct"/>
            <w:shd w:val="clear" w:color="auto" w:fill="auto"/>
            <w:vAlign w:val="center"/>
          </w:tcPr>
          <w:p w14:paraId="2CBD472C" w14:textId="28213D6A" w:rsidR="005304FD" w:rsidRPr="009E4EB8" w:rsidRDefault="00787E02" w:rsidP="00D041EE">
            <w:pPr>
              <w:pStyle w:val="TableText0"/>
            </w:pPr>
            <w:r w:rsidRPr="009E4EB8">
              <w:t>Nil</w:t>
            </w:r>
          </w:p>
        </w:tc>
        <w:tc>
          <w:tcPr>
            <w:tcW w:w="2986" w:type="pct"/>
            <w:shd w:val="clear" w:color="auto" w:fill="auto"/>
            <w:vAlign w:val="center"/>
          </w:tcPr>
          <w:p w14:paraId="7460243E" w14:textId="279A9948" w:rsidR="005304FD" w:rsidRPr="009E4EB8" w:rsidRDefault="00787E02" w:rsidP="00D041EE">
            <w:pPr>
              <w:pStyle w:val="TableText0"/>
              <w:rPr>
                <w:iCs/>
              </w:rPr>
            </w:pPr>
            <w:r w:rsidRPr="009E4EB8">
              <w:rPr>
                <w:iCs/>
              </w:rPr>
              <w:t xml:space="preserve">Inconsistent with Section 1 which assumed </w:t>
            </w:r>
            <w:r w:rsidR="003A7E21" w:rsidRPr="009E4EB8">
              <w:rPr>
                <w:iCs/>
              </w:rPr>
              <w:t xml:space="preserve">at least 13 RRMM </w:t>
            </w:r>
            <w:r w:rsidR="001F12E6" w:rsidRPr="009E4EB8">
              <w:rPr>
                <w:iCs/>
              </w:rPr>
              <w:t xml:space="preserve">patients </w:t>
            </w:r>
            <w:r w:rsidR="003A7E21" w:rsidRPr="009E4EB8">
              <w:rPr>
                <w:iCs/>
              </w:rPr>
              <w:t xml:space="preserve">on the </w:t>
            </w:r>
            <w:r w:rsidR="0078532E" w:rsidRPr="009E4EB8">
              <w:rPr>
                <w:iCs/>
              </w:rPr>
              <w:t xml:space="preserve">expanded access registry. The resubmission stated that the revised approach would implicitly capture grandfathered patients. </w:t>
            </w:r>
          </w:p>
        </w:tc>
      </w:tr>
      <w:tr w:rsidR="005304FD" w:rsidRPr="009E4EB8" w14:paraId="7521DF2D" w14:textId="77777777" w:rsidTr="00793FD4">
        <w:tc>
          <w:tcPr>
            <w:tcW w:w="595" w:type="pct"/>
            <w:shd w:val="clear" w:color="auto" w:fill="auto"/>
            <w:vAlign w:val="center"/>
          </w:tcPr>
          <w:p w14:paraId="7881698D" w14:textId="65BA6CC6" w:rsidR="005304FD" w:rsidRPr="009E4EB8" w:rsidRDefault="0078532E" w:rsidP="00D041EE">
            <w:pPr>
              <w:pStyle w:val="TableText0"/>
            </w:pPr>
            <w:r w:rsidRPr="009E4EB8">
              <w:t>MBS costs</w:t>
            </w:r>
          </w:p>
        </w:tc>
        <w:tc>
          <w:tcPr>
            <w:tcW w:w="1419" w:type="pct"/>
            <w:shd w:val="clear" w:color="auto" w:fill="auto"/>
            <w:vAlign w:val="center"/>
          </w:tcPr>
          <w:p w14:paraId="17BB40F5" w14:textId="3627B183" w:rsidR="005304FD" w:rsidRPr="009E4EB8" w:rsidRDefault="0078532E" w:rsidP="0078532E">
            <w:pPr>
              <w:pStyle w:val="TableText0"/>
              <w:snapToGrid w:val="0"/>
              <w:rPr>
                <w:szCs w:val="20"/>
              </w:rPr>
            </w:pPr>
            <w:r w:rsidRPr="009E4EB8">
              <w:rPr>
                <w:szCs w:val="20"/>
              </w:rPr>
              <w:t>13950</w:t>
            </w:r>
            <w:r w:rsidRPr="009E4EB8">
              <w:rPr>
                <w:iCs/>
                <w:szCs w:val="20"/>
              </w:rPr>
              <w:t xml:space="preserve"> (IV infusion for DCEP; </w:t>
            </w:r>
            <w:r w:rsidR="00992522" w:rsidRPr="00992522">
              <w:rPr>
                <w:iCs/>
                <w:color w:val="000000"/>
                <w:spacing w:val="53"/>
                <w:szCs w:val="20"/>
                <w:shd w:val="solid" w:color="000000" w:fill="000000"/>
                <w:fitText w:val="330" w:id="-1504991474"/>
                <w14:textFill>
                  <w14:solidFill>
                    <w14:srgbClr w14:val="000000">
                      <w14:alpha w14:val="100000"/>
                    </w14:srgbClr>
                  </w14:solidFill>
                </w14:textFill>
              </w:rPr>
              <w:t>|||</w:t>
            </w:r>
            <w:r w:rsidR="00992522" w:rsidRPr="00992522">
              <w:rPr>
                <w:iCs/>
                <w:color w:val="000000"/>
                <w:spacing w:val="1"/>
                <w:szCs w:val="20"/>
                <w:shd w:val="solid" w:color="000000" w:fill="000000"/>
                <w:fitText w:val="330" w:id="-1504991474"/>
                <w14:textFill>
                  <w14:solidFill>
                    <w14:srgbClr w14:val="000000">
                      <w14:alpha w14:val="100000"/>
                    </w14:srgbClr>
                  </w14:solidFill>
                </w14:textFill>
              </w:rPr>
              <w:t>|</w:t>
            </w:r>
            <w:r w:rsidRPr="009E4EB8">
              <w:rPr>
                <w:iCs/>
                <w:szCs w:val="20"/>
              </w:rPr>
              <w:t>% rebate)</w:t>
            </w:r>
          </w:p>
        </w:tc>
        <w:tc>
          <w:tcPr>
            <w:tcW w:w="2986" w:type="pct"/>
            <w:shd w:val="clear" w:color="auto" w:fill="auto"/>
            <w:vAlign w:val="center"/>
          </w:tcPr>
          <w:p w14:paraId="05B7BEDD" w14:textId="4649A5B6" w:rsidR="005304FD" w:rsidRPr="009E4EB8" w:rsidRDefault="00820DF7" w:rsidP="00820DF7">
            <w:pPr>
              <w:pStyle w:val="TableText0"/>
            </w:pPr>
            <w:r w:rsidRPr="009E4EB8">
              <w:rPr>
                <w:iCs/>
                <w:szCs w:val="20"/>
              </w:rPr>
              <w:t xml:space="preserve">Only IV infusion costs were included. </w:t>
            </w:r>
            <w:r w:rsidR="00B55DEB" w:rsidRPr="009E4EB8">
              <w:rPr>
                <w:iCs/>
                <w:szCs w:val="20"/>
              </w:rPr>
              <w:t xml:space="preserve">Costs associated with routine care and the management of AEs for Sd and DCEP were not considered in the net impact on the MBS. </w:t>
            </w:r>
          </w:p>
        </w:tc>
      </w:tr>
    </w:tbl>
    <w:p w14:paraId="57DDA425" w14:textId="77777777" w:rsidR="00304886" w:rsidRPr="009E4EB8" w:rsidRDefault="00304886" w:rsidP="00304886">
      <w:pPr>
        <w:pStyle w:val="TableFigureFooter"/>
      </w:pPr>
      <w:r w:rsidRPr="009E4EB8">
        <w:t>Source: Table 4-5 p166, Table 4-7 p167, Table 4-8 p168, Table 4-9 168, Table 4-13 p170 of the resubmission.</w:t>
      </w:r>
    </w:p>
    <w:p w14:paraId="6CEEF887" w14:textId="5F34884C" w:rsidR="00304886" w:rsidRPr="009E4EB8" w:rsidRDefault="00304886" w:rsidP="00304886">
      <w:pPr>
        <w:pStyle w:val="TableFigureFooter"/>
      </w:pPr>
      <w:r w:rsidRPr="009E4EB8">
        <w:t xml:space="preserve">Abbreviations: AE = adverse event; </w:t>
      </w:r>
      <w:r w:rsidRPr="009E4EB8">
        <w:rPr>
          <w:rStyle w:val="FontBold"/>
          <w:rFonts w:ascii="Arial Narrow" w:eastAsiaTheme="minorHAnsi" w:hAnsi="Arial Narrow"/>
          <w:b w:val="0"/>
          <w:bCs/>
          <w:sz w:val="18"/>
          <w:szCs w:val="18"/>
        </w:rPr>
        <w:t>DCEP = dexamethasone + cyclophosphamide + etoposide + cisplatin</w:t>
      </w:r>
      <w:r w:rsidRPr="009E4EB8">
        <w:rPr>
          <w:b/>
          <w:bCs/>
          <w:szCs w:val="18"/>
        </w:rPr>
        <w:t>;</w:t>
      </w:r>
      <w:r w:rsidRPr="009E4EB8">
        <w:rPr>
          <w:szCs w:val="18"/>
        </w:rPr>
        <w:t xml:space="preserve"> </w:t>
      </w:r>
      <w:r w:rsidRPr="009E4EB8">
        <w:t xml:space="preserve">DUSC = Drug Utilisation Sub-committee; IV </w:t>
      </w:r>
      <w:r w:rsidRPr="009E4EB8">
        <w:rPr>
          <w:rStyle w:val="FontBold"/>
          <w:rFonts w:ascii="Arial Narrow" w:eastAsiaTheme="minorHAnsi" w:hAnsi="Arial Narrow"/>
          <w:b w:val="0"/>
          <w:bCs/>
          <w:sz w:val="18"/>
          <w:szCs w:val="18"/>
        </w:rPr>
        <w:t xml:space="preserve">= </w:t>
      </w:r>
      <w:r w:rsidR="00153163" w:rsidRPr="009E4EB8">
        <w:rPr>
          <w:rStyle w:val="FontBold"/>
          <w:rFonts w:ascii="Arial Narrow" w:eastAsiaTheme="minorHAnsi" w:hAnsi="Arial Narrow"/>
          <w:b w:val="0"/>
          <w:bCs/>
          <w:sz w:val="18"/>
          <w:szCs w:val="18"/>
        </w:rPr>
        <w:t>intravenous; MBS</w:t>
      </w:r>
      <w:r w:rsidRPr="009E4EB8">
        <w:t xml:space="preserve"> = Medicare Benefits Schedule;</w:t>
      </w:r>
      <w:r w:rsidR="00033989" w:rsidRPr="009E4EB8">
        <w:t xml:space="preserve"> RR</w:t>
      </w:r>
      <w:r w:rsidRPr="009E4EB8">
        <w:t xml:space="preserve"> MM =</w:t>
      </w:r>
      <w:r w:rsidR="00033989" w:rsidRPr="009E4EB8">
        <w:t xml:space="preserve"> </w:t>
      </w:r>
      <w:r w:rsidR="00153163" w:rsidRPr="009E4EB8">
        <w:t>replaced</w:t>
      </w:r>
      <w:r w:rsidR="00033989" w:rsidRPr="009E4EB8">
        <w:t xml:space="preserve"> and/or refractory</w:t>
      </w:r>
      <w:r w:rsidRPr="009E4EB8">
        <w:t xml:space="preserve"> multiple myeloma; Pd = pomalidomide + dexamethasone; Sd = selinexor + dexamethasone; TCR/PR = triple class refractory and penta-refractory; </w:t>
      </w:r>
      <w:proofErr w:type="spellStart"/>
      <w:r w:rsidRPr="009E4EB8">
        <w:t>Yr</w:t>
      </w:r>
      <w:proofErr w:type="spellEnd"/>
      <w:r w:rsidRPr="009E4EB8">
        <w:t xml:space="preserve"> = year</w:t>
      </w:r>
    </w:p>
    <w:p w14:paraId="2C604744" w14:textId="77777777" w:rsidR="002D5DD6" w:rsidRPr="009E4EB8" w:rsidRDefault="00283787" w:rsidP="00837889">
      <w:pPr>
        <w:pStyle w:val="3-BodyText"/>
      </w:pPr>
      <w:r w:rsidRPr="009E4EB8">
        <w:t xml:space="preserve">The resubmission determined the eligible population by estimating the number of patients failing </w:t>
      </w:r>
      <w:r w:rsidR="00D01BD2" w:rsidRPr="009E4EB8">
        <w:t>treatment with</w:t>
      </w:r>
      <w:r w:rsidRPr="009E4EB8">
        <w:t xml:space="preserve"> </w:t>
      </w:r>
      <w:r w:rsidR="00483150" w:rsidRPr="009E4EB8">
        <w:t xml:space="preserve">PBS listed </w:t>
      </w:r>
      <w:r w:rsidRPr="009E4EB8">
        <w:t>pomalidomide. T</w:t>
      </w:r>
      <w:r w:rsidR="001C593D" w:rsidRPr="009E4EB8">
        <w:t xml:space="preserve">his was justified on the basis that </w:t>
      </w:r>
      <w:r w:rsidRPr="009E4EB8">
        <w:t xml:space="preserve">failing pomalidomide was a necessary precursor to the TCR/PR requirement of failing two </w:t>
      </w:r>
      <w:proofErr w:type="spellStart"/>
      <w:r w:rsidRPr="009E4EB8">
        <w:t>IMiDs</w:t>
      </w:r>
      <w:proofErr w:type="spellEnd"/>
      <w:r w:rsidRPr="009E4EB8">
        <w:t xml:space="preserve">. </w:t>
      </w:r>
      <w:r w:rsidR="007F1E55" w:rsidRPr="009E4EB8">
        <w:t>The resubmission also acknowledged that failing pomalidomide was not sufficient for TCR/PR eligibility as failure of a second PI and a mAb are not requirements for access to pomalidomide, however considered it likely that patients treated with pomalidomide would have met the TCR/PR criteria given the eligibility criteria for daratumumab and carfilzomib on the PBS.</w:t>
      </w:r>
      <w:r w:rsidR="00D458A1" w:rsidRPr="009E4EB8">
        <w:t xml:space="preserve"> </w:t>
      </w:r>
      <w:r w:rsidR="00D458A1" w:rsidRPr="009E4EB8">
        <w:rPr>
          <w:iCs/>
        </w:rPr>
        <w:t>The July 2021 submission estimated the number of patients in the TCR/PR setting by quantifying the proportion of patients failing each of up to four previous lines of therapy.</w:t>
      </w:r>
      <w:r w:rsidR="00D458A1" w:rsidRPr="009E4EB8">
        <w:t xml:space="preserve"> </w:t>
      </w:r>
    </w:p>
    <w:p w14:paraId="627C92F0" w14:textId="175E548A" w:rsidR="007E10E7" w:rsidRPr="009E4EB8" w:rsidRDefault="00E211F0" w:rsidP="0095612C">
      <w:pPr>
        <w:pStyle w:val="3-BodyText"/>
      </w:pPr>
      <w:r w:rsidRPr="009E4EB8">
        <w:t>Consistent with the discussion provided in the resubmission (paragraph 6.</w:t>
      </w:r>
      <w:r w:rsidR="00EC2BF3" w:rsidRPr="009E4EB8">
        <w:t>52</w:t>
      </w:r>
      <w:r w:rsidRPr="009E4EB8">
        <w:t>), t</w:t>
      </w:r>
      <w:r w:rsidR="002D5DD6" w:rsidRPr="009E4EB8">
        <w:t xml:space="preserve">he PSCR acknowledged that failing Pd, is a necessary but not sufficient condition for defining penta-refractory MM, however maintained that the approach taken by the resubmission was more certain than attempting to follow patients through multiple lines of therapy. </w:t>
      </w:r>
      <w:r w:rsidR="00046694" w:rsidRPr="009E4EB8">
        <w:t>The ESC considered that the approach in the resubmission may overestimate the potential number of Sd patients</w:t>
      </w:r>
      <w:r w:rsidR="00875248" w:rsidRPr="009E4EB8">
        <w:t xml:space="preserve">, however the proportion of patients taking up later lines of therapy is difficult to </w:t>
      </w:r>
      <w:r w:rsidR="002B1597" w:rsidRPr="009E4EB8">
        <w:t>predict due to lack of data in this population</w:t>
      </w:r>
      <w:r w:rsidR="00046694" w:rsidRPr="009E4EB8">
        <w:t xml:space="preserve">. </w:t>
      </w:r>
    </w:p>
    <w:p w14:paraId="75A25E22" w14:textId="24B8157D" w:rsidR="007E10E7" w:rsidRPr="009E4EB8" w:rsidRDefault="007E10E7" w:rsidP="007E10E7">
      <w:pPr>
        <w:pStyle w:val="3-BodyText"/>
        <w:rPr>
          <w:iCs/>
        </w:rPr>
      </w:pPr>
      <w:r w:rsidRPr="009E4EB8">
        <w:rPr>
          <w:iCs/>
        </w:rPr>
        <w:t xml:space="preserve">The following issues </w:t>
      </w:r>
      <w:r w:rsidR="00000583" w:rsidRPr="009E4EB8">
        <w:rPr>
          <w:iCs/>
        </w:rPr>
        <w:t>with</w:t>
      </w:r>
      <w:r w:rsidRPr="009E4EB8">
        <w:rPr>
          <w:iCs/>
        </w:rPr>
        <w:t xml:space="preserve"> the approach adopted by the resubmission </w:t>
      </w:r>
      <w:r w:rsidR="00000583" w:rsidRPr="009E4EB8">
        <w:rPr>
          <w:iCs/>
        </w:rPr>
        <w:t>were noted during the evaluation</w:t>
      </w:r>
      <w:r w:rsidRPr="009E4EB8">
        <w:rPr>
          <w:iCs/>
        </w:rPr>
        <w:t xml:space="preserve">: </w:t>
      </w:r>
    </w:p>
    <w:p w14:paraId="7102449F" w14:textId="4327F2C6" w:rsidR="007E10E7" w:rsidRPr="009E4EB8" w:rsidRDefault="007E10E7" w:rsidP="00AD1B07">
      <w:pPr>
        <w:pStyle w:val="Bulletpoints"/>
        <w:ind w:left="1049" w:hanging="357"/>
        <w:contextualSpacing w:val="0"/>
        <w:rPr>
          <w:iCs/>
        </w:rPr>
      </w:pPr>
      <w:r w:rsidRPr="009E4EB8">
        <w:rPr>
          <w:iCs/>
        </w:rPr>
        <w:t xml:space="preserve">Pd </w:t>
      </w:r>
      <w:r w:rsidR="005D6BD2" w:rsidRPr="009E4EB8">
        <w:rPr>
          <w:iCs/>
        </w:rPr>
        <w:t xml:space="preserve">(pomalidomide + dexamethasone) </w:t>
      </w:r>
      <w:r w:rsidRPr="009E4EB8">
        <w:rPr>
          <w:iCs/>
        </w:rPr>
        <w:t>and PBd</w:t>
      </w:r>
      <w:r w:rsidR="005D6BD2" w:rsidRPr="009E4EB8">
        <w:rPr>
          <w:iCs/>
        </w:rPr>
        <w:t xml:space="preserve"> (pomalidomide + bortezomib + dexamethasone)</w:t>
      </w:r>
      <w:r w:rsidRPr="009E4EB8">
        <w:rPr>
          <w:iCs/>
        </w:rPr>
        <w:t xml:space="preserve"> require prior treatment with lenalidomide (i.e., failure of two </w:t>
      </w:r>
      <w:proofErr w:type="spellStart"/>
      <w:r w:rsidRPr="009E4EB8">
        <w:rPr>
          <w:iCs/>
        </w:rPr>
        <w:t>IMiDs</w:t>
      </w:r>
      <w:proofErr w:type="spellEnd"/>
      <w:r w:rsidRPr="009E4EB8">
        <w:rPr>
          <w:iCs/>
        </w:rPr>
        <w:t>)</w:t>
      </w:r>
      <w:r w:rsidR="00431F66" w:rsidRPr="009E4EB8">
        <w:rPr>
          <w:iCs/>
        </w:rPr>
        <w:t xml:space="preserve"> and</w:t>
      </w:r>
      <w:r w:rsidRPr="009E4EB8">
        <w:rPr>
          <w:iCs/>
        </w:rPr>
        <w:t xml:space="preserve"> patients eligible for Pd must have also experienced treatment failure with bortezomib, whilst this is not necessary for PBd. Thus, pomalidomide can be accessed on the PBS as third line therapy</w:t>
      </w:r>
      <w:r w:rsidR="000256A3" w:rsidRPr="009E4EB8">
        <w:rPr>
          <w:iCs/>
        </w:rPr>
        <w:t>.</w:t>
      </w:r>
      <w:r w:rsidRPr="009E4EB8">
        <w:rPr>
          <w:iCs/>
        </w:rPr>
        <w:t xml:space="preserve"> Hence, failure with pomalidomide </w:t>
      </w:r>
      <w:r w:rsidR="00112961" w:rsidRPr="009E4EB8">
        <w:rPr>
          <w:iCs/>
        </w:rPr>
        <w:t xml:space="preserve">could </w:t>
      </w:r>
      <w:r w:rsidRPr="009E4EB8">
        <w:rPr>
          <w:iCs/>
        </w:rPr>
        <w:t>be indicative of quad-refractory rather than penta-refractory MM</w:t>
      </w:r>
      <w:r w:rsidR="00112961" w:rsidRPr="009E4EB8">
        <w:rPr>
          <w:iCs/>
        </w:rPr>
        <w:t>, therefore overestimating the number of</w:t>
      </w:r>
      <w:r w:rsidRPr="009E4EB8">
        <w:rPr>
          <w:iCs/>
        </w:rPr>
        <w:t xml:space="preserve"> patients eligible for selinexor. </w:t>
      </w:r>
    </w:p>
    <w:p w14:paraId="7F0F74C7" w14:textId="5AB3D3BE" w:rsidR="007E10E7" w:rsidRPr="009E4EB8" w:rsidRDefault="007E10E7" w:rsidP="00AD1B07">
      <w:pPr>
        <w:pStyle w:val="Bulletpoints"/>
        <w:ind w:left="1049" w:hanging="357"/>
        <w:contextualSpacing w:val="0"/>
        <w:rPr>
          <w:iCs/>
        </w:rPr>
      </w:pPr>
      <w:r w:rsidRPr="009E4EB8">
        <w:t>The resubmission considered that a small number of patients would use thalidomide for MM and that the current approach may underestimate patients becoming eligible for Sd via thalidomide rather than Pd</w:t>
      </w:r>
      <w:r w:rsidRPr="009E4EB8">
        <w:rPr>
          <w:iCs/>
        </w:rPr>
        <w:t xml:space="preserve">. </w:t>
      </w:r>
      <w:r w:rsidR="00AD2DB0" w:rsidRPr="009E4EB8">
        <w:rPr>
          <w:iCs/>
        </w:rPr>
        <w:t xml:space="preserve">The PBAC considered that </w:t>
      </w:r>
      <w:r w:rsidR="00C01BAF" w:rsidRPr="009E4EB8">
        <w:rPr>
          <w:iCs/>
        </w:rPr>
        <w:t>thalidomide has largely</w:t>
      </w:r>
      <w:r w:rsidR="009D2D7B" w:rsidRPr="009E4EB8">
        <w:rPr>
          <w:iCs/>
        </w:rPr>
        <w:t xml:space="preserve"> been</w:t>
      </w:r>
      <w:r w:rsidR="00C01BAF" w:rsidRPr="009E4EB8">
        <w:rPr>
          <w:iCs/>
        </w:rPr>
        <w:t xml:space="preserve"> </w:t>
      </w:r>
      <w:r w:rsidR="00CF2BB1" w:rsidRPr="009E4EB8">
        <w:rPr>
          <w:iCs/>
        </w:rPr>
        <w:t>superseded</w:t>
      </w:r>
      <w:r w:rsidR="00C01BAF" w:rsidRPr="009E4EB8">
        <w:rPr>
          <w:iCs/>
        </w:rPr>
        <w:t xml:space="preserve"> in clinical practice, and it was reasonable to assume most patients would be treated with pomalidomide-based therapies before selinexor.</w:t>
      </w:r>
    </w:p>
    <w:p w14:paraId="0F000197" w14:textId="7820B668" w:rsidR="007E10E7" w:rsidRPr="009E4EB8" w:rsidRDefault="007E10E7" w:rsidP="00AD1B07">
      <w:pPr>
        <w:pStyle w:val="Bulletpoints"/>
        <w:ind w:left="1049" w:hanging="357"/>
        <w:contextualSpacing w:val="0"/>
        <w:rPr>
          <w:iCs/>
        </w:rPr>
      </w:pPr>
      <w:r w:rsidRPr="009E4EB8">
        <w:rPr>
          <w:iCs/>
        </w:rPr>
        <w:t xml:space="preserve">The approach taken does not directly consider patients prior therapy with mAbs, as </w:t>
      </w:r>
      <w:r w:rsidR="00A72FC1" w:rsidRPr="009E4EB8">
        <w:rPr>
          <w:iCs/>
        </w:rPr>
        <w:t xml:space="preserve">their </w:t>
      </w:r>
      <w:r w:rsidRPr="009E4EB8">
        <w:rPr>
          <w:iCs/>
        </w:rPr>
        <w:t xml:space="preserve">prior use is not a criterion for pomalidomide access. </w:t>
      </w:r>
    </w:p>
    <w:p w14:paraId="37A74961" w14:textId="4CE6F7BC" w:rsidR="00225A50" w:rsidRPr="009E4EB8" w:rsidRDefault="001F7180" w:rsidP="00837889">
      <w:pPr>
        <w:pStyle w:val="3-BodyText"/>
        <w:rPr>
          <w:color w:val="0066FF"/>
        </w:rPr>
      </w:pPr>
      <w:r w:rsidRPr="009E4EB8">
        <w:t xml:space="preserve">The resubmission estimated that a </w:t>
      </w:r>
      <w:proofErr w:type="gramStart"/>
      <w:r w:rsidR="00692FE1" w:rsidRPr="00692FE1">
        <w:rPr>
          <w:color w:val="000000"/>
          <w:w w:val="30"/>
          <w:shd w:val="solid" w:color="000000" w:fill="000000"/>
          <w:fitText w:val="101" w:id="-1498678528"/>
          <w14:textFill>
            <w14:solidFill>
              <w14:srgbClr w14:val="000000">
                <w14:alpha w14:val="100000"/>
              </w14:srgbClr>
            </w14:solidFill>
          </w14:textFill>
        </w:rPr>
        <w:t>|  |</w:t>
      </w:r>
      <w:proofErr w:type="gramEnd"/>
      <w:r w:rsidRPr="00692FE1">
        <w:t>%</w:t>
      </w:r>
      <w:r w:rsidRPr="009E4EB8">
        <w:t xml:space="preserve"> uptake rate would be reached by Year 4</w:t>
      </w:r>
      <w:r w:rsidR="00F6783A" w:rsidRPr="009E4EB8">
        <w:t>.</w:t>
      </w:r>
      <w:r w:rsidRPr="009E4EB8">
        <w:t xml:space="preserve"> This final uptake rate was </w:t>
      </w:r>
      <w:r w:rsidR="005701D0" w:rsidRPr="009E4EB8">
        <w:t>consistent with</w:t>
      </w:r>
      <w:r w:rsidRPr="009E4EB8">
        <w:t xml:space="preserve"> the July 2021 submission. The resubmission however, considered that these uptake rates were more conservative</w:t>
      </w:r>
      <w:r w:rsidR="005701D0" w:rsidRPr="009E4EB8">
        <w:t xml:space="preserve"> as it </w:t>
      </w:r>
      <w:r w:rsidR="0020709E" w:rsidRPr="009E4EB8">
        <w:t xml:space="preserve">was applied to </w:t>
      </w:r>
      <w:r w:rsidR="00692FE1" w:rsidRPr="00964E38">
        <w:rPr>
          <w:color w:val="000000"/>
          <w:w w:val="15"/>
          <w:shd w:val="solid" w:color="000000" w:fill="000000"/>
          <w:fitText w:val="-20" w:id="-1498678527"/>
          <w14:textFill>
            <w14:solidFill>
              <w14:srgbClr w14:val="000000">
                <w14:alpha w14:val="100000"/>
              </w14:srgbClr>
            </w14:solidFill>
          </w14:textFill>
        </w:rPr>
        <w:t xml:space="preserve">|           </w:t>
      </w:r>
      <w:r w:rsidR="00692FE1" w:rsidRPr="00964E38">
        <w:rPr>
          <w:color w:val="000000"/>
          <w:spacing w:val="-141"/>
          <w:w w:val="15"/>
          <w:shd w:val="solid" w:color="000000" w:fill="000000"/>
          <w:fitText w:val="-20" w:id="-1498678527"/>
          <w14:textFill>
            <w14:solidFill>
              <w14:srgbClr w14:val="000000">
                <w14:alpha w14:val="100000"/>
              </w14:srgbClr>
            </w14:solidFill>
          </w14:textFill>
        </w:rPr>
        <w:t>|</w:t>
      </w:r>
      <w:r w:rsidRPr="00692FE1">
        <w:t>%</w:t>
      </w:r>
      <w:r w:rsidRPr="009E4EB8">
        <w:t xml:space="preserve"> of patients</w:t>
      </w:r>
      <w:r w:rsidR="00614464" w:rsidRPr="009E4EB8">
        <w:t xml:space="preserve"> failing therapy</w:t>
      </w:r>
      <w:r w:rsidRPr="009E4EB8">
        <w:t xml:space="preserve"> with Pd </w:t>
      </w:r>
      <w:r w:rsidR="00614464" w:rsidRPr="009E4EB8">
        <w:t>and moving to subsequent therapy</w:t>
      </w:r>
      <w:r w:rsidR="005A3E5F" w:rsidRPr="009E4EB8">
        <w:t>.</w:t>
      </w:r>
      <w:r w:rsidRPr="009E4EB8">
        <w:t xml:space="preserve"> </w:t>
      </w:r>
      <w:r w:rsidR="00E32687" w:rsidRPr="009E4EB8">
        <w:rPr>
          <w:iCs/>
        </w:rPr>
        <w:t xml:space="preserve">DUSC previously considered that the </w:t>
      </w:r>
      <w:r w:rsidR="005A3E5F" w:rsidRPr="009E4EB8">
        <w:rPr>
          <w:iCs/>
        </w:rPr>
        <w:t xml:space="preserve">uptake </w:t>
      </w:r>
      <w:r w:rsidR="00E32687" w:rsidRPr="009E4EB8">
        <w:rPr>
          <w:iCs/>
        </w:rPr>
        <w:t xml:space="preserve">rate was substantially overestimated given the toxicity profile of selinexor (Table 15, Selinexor (TCR/PR), PBAC </w:t>
      </w:r>
      <w:r w:rsidR="00640A47">
        <w:rPr>
          <w:iCs/>
        </w:rPr>
        <w:t>PSD</w:t>
      </w:r>
      <w:r w:rsidR="00E32687" w:rsidRPr="009E4EB8">
        <w:rPr>
          <w:iCs/>
        </w:rPr>
        <w:t xml:space="preserve">, July 2021 PBAC Meeting). </w:t>
      </w:r>
      <w:r w:rsidR="00F4114C" w:rsidRPr="009E4EB8">
        <w:rPr>
          <w:iCs/>
        </w:rPr>
        <w:t>DUSC noted that</w:t>
      </w:r>
      <w:r w:rsidR="00F4114C" w:rsidRPr="009E4EB8">
        <w:t xml:space="preserve"> </w:t>
      </w:r>
      <w:r w:rsidR="00F4114C" w:rsidRPr="009E4EB8">
        <w:rPr>
          <w:iCs/>
        </w:rPr>
        <w:t xml:space="preserve">the 10% rate of death could be higher in practice and the uptake rate would be much lower at approximately </w:t>
      </w:r>
      <w:proofErr w:type="gramStart"/>
      <w:r w:rsidR="00992522" w:rsidRPr="00964E38">
        <w:rPr>
          <w:iCs/>
          <w:color w:val="000000"/>
          <w:w w:val="15"/>
          <w:shd w:val="solid" w:color="000000" w:fill="000000"/>
          <w:fitText w:val="-20" w:id="-1504991473"/>
          <w14:textFill>
            <w14:solidFill>
              <w14:srgbClr w14:val="000000">
                <w14:alpha w14:val="100000"/>
              </w14:srgbClr>
            </w14:solidFill>
          </w14:textFill>
        </w:rPr>
        <w:t xml:space="preserve">|  </w:t>
      </w:r>
      <w:r w:rsidR="00992522" w:rsidRPr="00964E38">
        <w:rPr>
          <w:iCs/>
          <w:color w:val="000000"/>
          <w:spacing w:val="-69"/>
          <w:w w:val="15"/>
          <w:shd w:val="solid" w:color="000000" w:fill="000000"/>
          <w:fitText w:val="-20" w:id="-1504991473"/>
          <w14:textFill>
            <w14:solidFill>
              <w14:srgbClr w14:val="000000">
                <w14:alpha w14:val="100000"/>
              </w14:srgbClr>
            </w14:solidFill>
          </w14:textFill>
        </w:rPr>
        <w:t>|</w:t>
      </w:r>
      <w:proofErr w:type="gramEnd"/>
      <w:r w:rsidR="00F4114C" w:rsidRPr="00885237">
        <w:rPr>
          <w:iCs/>
        </w:rPr>
        <w:t>-</w:t>
      </w:r>
      <w:r w:rsidR="00992522" w:rsidRPr="00964E38">
        <w:rPr>
          <w:iCs/>
          <w:color w:val="000000"/>
          <w:w w:val="15"/>
          <w:shd w:val="solid" w:color="000000" w:fill="000000"/>
          <w:fitText w:val="-20" w:id="-1504991472"/>
          <w14:textFill>
            <w14:solidFill>
              <w14:srgbClr w14:val="000000">
                <w14:alpha w14:val="100000"/>
              </w14:srgbClr>
            </w14:solidFill>
          </w14:textFill>
        </w:rPr>
        <w:t xml:space="preserve">|  </w:t>
      </w:r>
      <w:r w:rsidR="00992522" w:rsidRPr="00964E38">
        <w:rPr>
          <w:iCs/>
          <w:color w:val="000000"/>
          <w:spacing w:val="-69"/>
          <w:w w:val="15"/>
          <w:shd w:val="solid" w:color="000000" w:fill="000000"/>
          <w:fitText w:val="-20" w:id="-1504991472"/>
          <w14:textFill>
            <w14:solidFill>
              <w14:srgbClr w14:val="000000">
                <w14:alpha w14:val="100000"/>
              </w14:srgbClr>
            </w14:solidFill>
          </w14:textFill>
        </w:rPr>
        <w:t>|</w:t>
      </w:r>
      <w:r w:rsidR="00F4114C" w:rsidRPr="009E4EB8">
        <w:rPr>
          <w:iCs/>
        </w:rPr>
        <w:t xml:space="preserve">% (Selinexor (TCR/PR), DUSC Minutes, July 2021 PBAC Meeting). </w:t>
      </w:r>
      <w:r w:rsidR="00E32687" w:rsidRPr="009E4EB8">
        <w:t xml:space="preserve">The PBAC previously considered that </w:t>
      </w:r>
      <w:r w:rsidR="00126C8F" w:rsidRPr="009E4EB8">
        <w:t>u</w:t>
      </w:r>
      <w:r w:rsidR="00E32687" w:rsidRPr="009E4EB8">
        <w:t>ptake rate</w:t>
      </w:r>
      <w:r w:rsidR="00126C8F" w:rsidRPr="009E4EB8">
        <w:t>s</w:t>
      </w:r>
      <w:r w:rsidR="00E32687" w:rsidRPr="009E4EB8">
        <w:t xml:space="preserve"> </w:t>
      </w:r>
      <w:r w:rsidR="00E32687" w:rsidRPr="00885237">
        <w:t>of 81.9% and 45%</w:t>
      </w:r>
      <w:r w:rsidR="00E32687" w:rsidRPr="009E4EB8">
        <w:t xml:space="preserve"> for third-line treatment and fourth-line treatment respectively of plitidepsin were overestimated (Para. 6.52, </w:t>
      </w:r>
      <w:r w:rsidR="00E32687" w:rsidRPr="009E4EB8">
        <w:rPr>
          <w:iCs/>
        </w:rPr>
        <w:t xml:space="preserve">Selinexor (TCR/PR), PBAC </w:t>
      </w:r>
      <w:r w:rsidR="00640A47">
        <w:rPr>
          <w:iCs/>
        </w:rPr>
        <w:t>PSD</w:t>
      </w:r>
      <w:r w:rsidR="00E32687" w:rsidRPr="009E4EB8">
        <w:rPr>
          <w:iCs/>
        </w:rPr>
        <w:t>, July 2021 PBAC Meeting</w:t>
      </w:r>
      <w:r w:rsidR="00E32687" w:rsidRPr="009E4EB8">
        <w:t>).</w:t>
      </w:r>
      <w:r w:rsidR="00E32687" w:rsidRPr="009E4EB8">
        <w:rPr>
          <w:iCs/>
        </w:rPr>
        <w:t xml:space="preserve"> </w:t>
      </w:r>
    </w:p>
    <w:p w14:paraId="34925C43" w14:textId="72874247" w:rsidR="000723C9" w:rsidRPr="009E4EB8" w:rsidRDefault="000723C9" w:rsidP="000723C9">
      <w:pPr>
        <w:pStyle w:val="3-BodyText"/>
      </w:pPr>
      <w:r w:rsidRPr="009E4EB8">
        <w:t xml:space="preserve">A summary of the estimated use and financial implications of selinexor is presented in </w:t>
      </w:r>
      <w:r w:rsidR="006C2945" w:rsidRPr="009E4EB8">
        <w:rPr>
          <w:rFonts w:cstheme="minorHAnsi"/>
        </w:rPr>
        <w:t>Table 1</w:t>
      </w:r>
      <w:r w:rsidR="008C7DAA" w:rsidRPr="009E4EB8">
        <w:rPr>
          <w:rFonts w:cstheme="minorHAnsi"/>
        </w:rPr>
        <w:t>7</w:t>
      </w:r>
      <w:r w:rsidRPr="009E4EB8">
        <w:rPr>
          <w:rFonts w:cstheme="minorHAnsi"/>
        </w:rPr>
        <w:t>.</w:t>
      </w:r>
    </w:p>
    <w:p w14:paraId="169A76B5" w14:textId="1378BCBD" w:rsidR="00644D40" w:rsidRPr="009E4EB8" w:rsidRDefault="00644D40" w:rsidP="00644D40">
      <w:pPr>
        <w:pStyle w:val="Caption"/>
        <w:keepNext/>
        <w:spacing w:after="0"/>
        <w:jc w:val="left"/>
        <w:rPr>
          <w:rFonts w:ascii="Arial Narrow" w:hAnsi="Arial Narrow"/>
          <w:color w:val="auto"/>
          <w:sz w:val="20"/>
          <w:szCs w:val="20"/>
        </w:rPr>
      </w:pPr>
      <w:bookmarkStart w:id="78" w:name="_Ref91093336"/>
      <w:r w:rsidRPr="009E4EB8">
        <w:rPr>
          <w:rFonts w:ascii="Arial Narrow" w:hAnsi="Arial Narrow"/>
          <w:color w:val="auto"/>
          <w:sz w:val="20"/>
          <w:szCs w:val="20"/>
        </w:rPr>
        <w:t xml:space="preserve">Table </w:t>
      </w:r>
      <w:r w:rsidRPr="009E4EB8">
        <w:rPr>
          <w:rFonts w:ascii="Arial Narrow" w:hAnsi="Arial Narrow"/>
          <w:color w:val="auto"/>
          <w:sz w:val="20"/>
          <w:szCs w:val="20"/>
        </w:rPr>
        <w:fldChar w:fldCharType="begin"/>
      </w:r>
      <w:r w:rsidRPr="009E4EB8">
        <w:rPr>
          <w:rFonts w:ascii="Arial Narrow" w:hAnsi="Arial Narrow"/>
          <w:color w:val="auto"/>
          <w:sz w:val="20"/>
          <w:szCs w:val="20"/>
        </w:rPr>
        <w:instrText xml:space="preserve"> SEQ Table \* ARABIC </w:instrText>
      </w:r>
      <w:r w:rsidRPr="009E4EB8">
        <w:rPr>
          <w:rFonts w:ascii="Arial Narrow" w:hAnsi="Arial Narrow"/>
          <w:color w:val="auto"/>
          <w:sz w:val="20"/>
          <w:szCs w:val="20"/>
        </w:rPr>
        <w:fldChar w:fldCharType="separate"/>
      </w:r>
      <w:r w:rsidR="00964E38">
        <w:rPr>
          <w:rFonts w:ascii="Arial Narrow" w:hAnsi="Arial Narrow"/>
          <w:noProof/>
          <w:color w:val="auto"/>
          <w:sz w:val="20"/>
          <w:szCs w:val="20"/>
        </w:rPr>
        <w:t>17</w:t>
      </w:r>
      <w:r w:rsidRPr="009E4EB8">
        <w:rPr>
          <w:rFonts w:ascii="Arial Narrow" w:hAnsi="Arial Narrow"/>
          <w:color w:val="auto"/>
          <w:sz w:val="20"/>
          <w:szCs w:val="20"/>
        </w:rPr>
        <w:fldChar w:fldCharType="end"/>
      </w:r>
      <w:bookmarkEnd w:id="78"/>
      <w:r w:rsidRPr="009E4EB8">
        <w:rPr>
          <w:rFonts w:ascii="Arial Narrow" w:hAnsi="Arial Narrow"/>
          <w:color w:val="auto"/>
          <w:sz w:val="20"/>
          <w:szCs w:val="20"/>
        </w:rPr>
        <w:t>:</w:t>
      </w:r>
      <w:r w:rsidRPr="009E4EB8">
        <w:rPr>
          <w:rStyle w:val="CommentReference"/>
          <w:b/>
          <w:color w:val="auto"/>
          <w:szCs w:val="20"/>
        </w:rPr>
        <w:t xml:space="preserve"> Estimated use and financial implications (effective)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03"/>
        <w:gridCol w:w="1070"/>
        <w:gridCol w:w="1069"/>
        <w:gridCol w:w="1069"/>
        <w:gridCol w:w="1069"/>
        <w:gridCol w:w="1069"/>
        <w:gridCol w:w="1068"/>
      </w:tblGrid>
      <w:tr w:rsidR="00522151" w:rsidRPr="009E4EB8" w14:paraId="1F1AE9DE" w14:textId="77777777" w:rsidTr="006F7A73">
        <w:trPr>
          <w:tblHeader/>
        </w:trPr>
        <w:tc>
          <w:tcPr>
            <w:tcW w:w="1443" w:type="pct"/>
            <w:shd w:val="clear" w:color="auto" w:fill="auto"/>
            <w:vAlign w:val="center"/>
          </w:tcPr>
          <w:p w14:paraId="3EC8BF51" w14:textId="77777777" w:rsidR="00E9710E" w:rsidRPr="009E4EB8" w:rsidRDefault="00E9710E" w:rsidP="00E9710E">
            <w:pPr>
              <w:pStyle w:val="In-tableHeading"/>
              <w:jc w:val="center"/>
              <w:rPr>
                <w:lang w:val="en-AU"/>
              </w:rPr>
            </w:pPr>
          </w:p>
        </w:tc>
        <w:tc>
          <w:tcPr>
            <w:tcW w:w="593" w:type="pct"/>
            <w:shd w:val="clear" w:color="auto" w:fill="auto"/>
          </w:tcPr>
          <w:p w14:paraId="36605DCB" w14:textId="4EBE03D3" w:rsidR="00E9710E" w:rsidRPr="009E4EB8" w:rsidRDefault="00E9710E" w:rsidP="00E9710E">
            <w:pPr>
              <w:pStyle w:val="In-tableHeading"/>
              <w:jc w:val="center"/>
              <w:rPr>
                <w:lang w:val="en-AU"/>
              </w:rPr>
            </w:pPr>
            <w:r w:rsidRPr="009E4EB8">
              <w:rPr>
                <w:szCs w:val="20"/>
                <w:lang w:val="en-AU"/>
              </w:rPr>
              <w:t>2022 (Year 1)</w:t>
            </w:r>
          </w:p>
        </w:tc>
        <w:tc>
          <w:tcPr>
            <w:tcW w:w="593" w:type="pct"/>
            <w:shd w:val="clear" w:color="auto" w:fill="auto"/>
          </w:tcPr>
          <w:p w14:paraId="29FB06A5" w14:textId="6CBB03BA" w:rsidR="00E9710E" w:rsidRPr="009E4EB8" w:rsidRDefault="00E9710E" w:rsidP="00E9710E">
            <w:pPr>
              <w:pStyle w:val="In-tableHeading"/>
              <w:jc w:val="center"/>
              <w:rPr>
                <w:lang w:val="en-AU"/>
              </w:rPr>
            </w:pPr>
            <w:r w:rsidRPr="009E4EB8">
              <w:rPr>
                <w:szCs w:val="20"/>
                <w:lang w:val="en-AU"/>
              </w:rPr>
              <w:t>2023</w:t>
            </w:r>
          </w:p>
        </w:tc>
        <w:tc>
          <w:tcPr>
            <w:tcW w:w="593" w:type="pct"/>
            <w:shd w:val="clear" w:color="auto" w:fill="auto"/>
          </w:tcPr>
          <w:p w14:paraId="1E3AAFE0" w14:textId="35A00D78" w:rsidR="00E9710E" w:rsidRPr="009E4EB8" w:rsidRDefault="00E9710E" w:rsidP="00E9710E">
            <w:pPr>
              <w:pStyle w:val="In-tableHeading"/>
              <w:jc w:val="center"/>
              <w:rPr>
                <w:lang w:val="en-AU"/>
              </w:rPr>
            </w:pPr>
            <w:r w:rsidRPr="009E4EB8">
              <w:rPr>
                <w:szCs w:val="20"/>
                <w:lang w:val="en-AU"/>
              </w:rPr>
              <w:t>2024</w:t>
            </w:r>
          </w:p>
        </w:tc>
        <w:tc>
          <w:tcPr>
            <w:tcW w:w="593" w:type="pct"/>
            <w:shd w:val="clear" w:color="auto" w:fill="auto"/>
          </w:tcPr>
          <w:p w14:paraId="4C79E63D" w14:textId="0096A579" w:rsidR="00E9710E" w:rsidRPr="009E4EB8" w:rsidRDefault="00E9710E" w:rsidP="00E9710E">
            <w:pPr>
              <w:pStyle w:val="In-tableHeading"/>
              <w:jc w:val="center"/>
              <w:rPr>
                <w:lang w:val="en-AU"/>
              </w:rPr>
            </w:pPr>
            <w:r w:rsidRPr="009E4EB8">
              <w:rPr>
                <w:szCs w:val="20"/>
                <w:lang w:val="en-AU"/>
              </w:rPr>
              <w:t>2025</w:t>
            </w:r>
          </w:p>
        </w:tc>
        <w:tc>
          <w:tcPr>
            <w:tcW w:w="593" w:type="pct"/>
            <w:shd w:val="clear" w:color="auto" w:fill="auto"/>
          </w:tcPr>
          <w:p w14:paraId="7B827F09" w14:textId="5357B2DE" w:rsidR="00E9710E" w:rsidRPr="009E4EB8" w:rsidRDefault="00E9710E" w:rsidP="00E9710E">
            <w:pPr>
              <w:pStyle w:val="In-tableHeading"/>
              <w:jc w:val="center"/>
              <w:rPr>
                <w:lang w:val="en-AU"/>
              </w:rPr>
            </w:pPr>
            <w:r w:rsidRPr="009E4EB8">
              <w:rPr>
                <w:szCs w:val="20"/>
                <w:lang w:val="en-AU"/>
              </w:rPr>
              <w:t>2026</w:t>
            </w:r>
          </w:p>
        </w:tc>
        <w:tc>
          <w:tcPr>
            <w:tcW w:w="592" w:type="pct"/>
            <w:shd w:val="clear" w:color="auto" w:fill="auto"/>
          </w:tcPr>
          <w:p w14:paraId="5850640B" w14:textId="4DFCB79A" w:rsidR="00E9710E" w:rsidRPr="009E4EB8" w:rsidRDefault="00E9710E" w:rsidP="00E9710E">
            <w:pPr>
              <w:pStyle w:val="In-tableHeading"/>
              <w:jc w:val="center"/>
              <w:rPr>
                <w:lang w:val="en-AU"/>
              </w:rPr>
            </w:pPr>
            <w:r w:rsidRPr="009E4EB8">
              <w:rPr>
                <w:szCs w:val="20"/>
                <w:lang w:val="en-AU"/>
              </w:rPr>
              <w:t>2027</w:t>
            </w:r>
          </w:p>
        </w:tc>
      </w:tr>
      <w:tr w:rsidR="00644D40" w:rsidRPr="009E4EB8" w14:paraId="6FD179C0" w14:textId="77777777" w:rsidTr="00D041EE">
        <w:tc>
          <w:tcPr>
            <w:tcW w:w="5000" w:type="pct"/>
            <w:gridSpan w:val="7"/>
            <w:shd w:val="clear" w:color="auto" w:fill="auto"/>
            <w:vAlign w:val="center"/>
          </w:tcPr>
          <w:p w14:paraId="668AA464" w14:textId="77777777" w:rsidR="00644D40" w:rsidRPr="009E4EB8" w:rsidRDefault="00644D40" w:rsidP="00D041EE">
            <w:pPr>
              <w:pStyle w:val="In-tableHeading"/>
              <w:rPr>
                <w:bCs/>
                <w:color w:val="000000"/>
                <w:lang w:val="en-AU"/>
              </w:rPr>
            </w:pPr>
            <w:r w:rsidRPr="009E4EB8">
              <w:rPr>
                <w:bCs/>
                <w:color w:val="000000"/>
                <w:lang w:val="en-AU"/>
              </w:rPr>
              <w:t>Estimated extent of use</w:t>
            </w:r>
          </w:p>
        </w:tc>
      </w:tr>
      <w:tr w:rsidR="00DB2997" w:rsidRPr="009E4EB8" w14:paraId="51EA07B9" w14:textId="77777777" w:rsidTr="006F7A73">
        <w:tc>
          <w:tcPr>
            <w:tcW w:w="1443" w:type="pct"/>
            <w:shd w:val="clear" w:color="auto" w:fill="auto"/>
            <w:vAlign w:val="center"/>
          </w:tcPr>
          <w:p w14:paraId="5238AA64" w14:textId="6F33C5E1" w:rsidR="00E9710E" w:rsidRPr="009E4EB8" w:rsidRDefault="00E9710E" w:rsidP="00E9710E">
            <w:pPr>
              <w:pStyle w:val="TableText0"/>
              <w:rPr>
                <w:rFonts w:ascii="Times" w:hAnsi="Times"/>
              </w:rPr>
            </w:pPr>
            <w:r w:rsidRPr="009E4EB8">
              <w:t>Number of patients treated</w:t>
            </w:r>
            <w:r w:rsidR="00DB2997" w:rsidRPr="009E4EB8">
              <w:t xml:space="preserve"> with Sd</w:t>
            </w:r>
          </w:p>
        </w:tc>
        <w:tc>
          <w:tcPr>
            <w:tcW w:w="593" w:type="pct"/>
            <w:shd w:val="clear" w:color="auto" w:fill="auto"/>
            <w:vAlign w:val="center"/>
          </w:tcPr>
          <w:p w14:paraId="62EDB10B" w14:textId="3E2442FE" w:rsidR="00E9710E" w:rsidRPr="00263DC7" w:rsidRDefault="00992522" w:rsidP="00E9710E">
            <w:pPr>
              <w:pStyle w:val="TableText0"/>
              <w:jc w:val="center"/>
              <w:rPr>
                <w:color w:val="000000"/>
                <w:highlight w:val="yellow"/>
                <w:vertAlign w:val="superscript"/>
              </w:rPr>
            </w:pPr>
            <w:r w:rsidRPr="00992522">
              <w:rPr>
                <w:rFonts w:hint="eastAsia"/>
                <w:color w:val="000000"/>
                <w:w w:val="15"/>
                <w:szCs w:val="20"/>
                <w:shd w:val="solid" w:color="000000" w:fill="000000"/>
                <w:fitText w:val="70" w:id="-1504991488"/>
                <w14:textFill>
                  <w14:solidFill>
                    <w14:srgbClr w14:val="000000">
                      <w14:alpha w14:val="100000"/>
                    </w14:srgbClr>
                  </w14:solidFill>
                </w14:textFill>
              </w:rPr>
              <w:t xml:space="preserve">　</w:t>
            </w:r>
            <w:r w:rsidRPr="00992522">
              <w:rPr>
                <w:color w:val="000000"/>
                <w:w w:val="15"/>
                <w:szCs w:val="20"/>
                <w:shd w:val="solid" w:color="000000" w:fill="000000"/>
                <w:fitText w:val="70" w:id="-1504991488"/>
                <w14:textFill>
                  <w14:solidFill>
                    <w14:srgbClr w14:val="000000">
                      <w14:alpha w14:val="100000"/>
                    </w14:srgbClr>
                  </w14:solidFill>
                </w14:textFill>
              </w:rPr>
              <w:t>|</w:t>
            </w:r>
            <w:r w:rsidRPr="00992522">
              <w:rPr>
                <w:rFonts w:hint="eastAsia"/>
                <w:color w:val="000000"/>
                <w:spacing w:val="4"/>
                <w:w w:val="15"/>
                <w:szCs w:val="20"/>
                <w:shd w:val="solid" w:color="000000" w:fill="000000"/>
                <w:fitText w:val="70" w:id="-1504991488"/>
                <w14:textFill>
                  <w14:solidFill>
                    <w14:srgbClr w14:val="000000">
                      <w14:alpha w14:val="100000"/>
                    </w14:srgbClr>
                  </w14:solidFill>
                </w14:textFill>
              </w:rPr>
              <w:t xml:space="preserve">　</w:t>
            </w:r>
            <w:r w:rsidR="00263DC7" w:rsidRPr="00263DC7">
              <w:rPr>
                <w:szCs w:val="20"/>
                <w:vertAlign w:val="superscript"/>
              </w:rPr>
              <w:t>1</w:t>
            </w:r>
          </w:p>
        </w:tc>
        <w:tc>
          <w:tcPr>
            <w:tcW w:w="593" w:type="pct"/>
            <w:shd w:val="clear" w:color="auto" w:fill="auto"/>
            <w:vAlign w:val="center"/>
          </w:tcPr>
          <w:p w14:paraId="53ADD05B" w14:textId="31F1C2D5" w:rsidR="00E9710E" w:rsidRPr="00263DC7" w:rsidRDefault="00992522" w:rsidP="00E9710E">
            <w:pPr>
              <w:pStyle w:val="TableText0"/>
              <w:jc w:val="center"/>
              <w:rPr>
                <w:color w:val="000000"/>
                <w:highlight w:val="yellow"/>
              </w:rPr>
            </w:pPr>
            <w:r w:rsidRPr="00992522">
              <w:rPr>
                <w:rFonts w:hint="eastAsia"/>
                <w:color w:val="000000"/>
                <w:w w:val="15"/>
                <w:szCs w:val="20"/>
                <w:shd w:val="solid" w:color="000000" w:fill="000000"/>
                <w:fitText w:val="70" w:id="-1504991487"/>
                <w14:textFill>
                  <w14:solidFill>
                    <w14:srgbClr w14:val="000000">
                      <w14:alpha w14:val="100000"/>
                    </w14:srgbClr>
                  </w14:solidFill>
                </w14:textFill>
              </w:rPr>
              <w:t xml:space="preserve">　</w:t>
            </w:r>
            <w:r w:rsidRPr="00992522">
              <w:rPr>
                <w:color w:val="000000"/>
                <w:w w:val="15"/>
                <w:szCs w:val="20"/>
                <w:shd w:val="solid" w:color="000000" w:fill="000000"/>
                <w:fitText w:val="70" w:id="-1504991487"/>
                <w14:textFill>
                  <w14:solidFill>
                    <w14:srgbClr w14:val="000000">
                      <w14:alpha w14:val="100000"/>
                    </w14:srgbClr>
                  </w14:solidFill>
                </w14:textFill>
              </w:rPr>
              <w:t>|</w:t>
            </w:r>
            <w:r w:rsidRPr="00992522">
              <w:rPr>
                <w:rFonts w:hint="eastAsia"/>
                <w:color w:val="000000"/>
                <w:spacing w:val="4"/>
                <w:w w:val="15"/>
                <w:szCs w:val="20"/>
                <w:shd w:val="solid" w:color="000000" w:fill="000000"/>
                <w:fitText w:val="70" w:id="-1504991487"/>
                <w14:textFill>
                  <w14:solidFill>
                    <w14:srgbClr w14:val="000000">
                      <w14:alpha w14:val="100000"/>
                    </w14:srgbClr>
                  </w14:solidFill>
                </w14:textFill>
              </w:rPr>
              <w:t xml:space="preserve">　</w:t>
            </w:r>
            <w:r w:rsidR="00263DC7" w:rsidRPr="00263DC7">
              <w:rPr>
                <w:szCs w:val="20"/>
                <w:vertAlign w:val="superscript"/>
              </w:rPr>
              <w:t>1</w:t>
            </w:r>
          </w:p>
        </w:tc>
        <w:tc>
          <w:tcPr>
            <w:tcW w:w="593" w:type="pct"/>
            <w:shd w:val="clear" w:color="auto" w:fill="auto"/>
            <w:vAlign w:val="center"/>
          </w:tcPr>
          <w:p w14:paraId="4E1F1956" w14:textId="48489C63" w:rsidR="00E9710E" w:rsidRPr="00263DC7" w:rsidRDefault="00992522" w:rsidP="00E9710E">
            <w:pPr>
              <w:pStyle w:val="TableText0"/>
              <w:jc w:val="center"/>
              <w:rPr>
                <w:color w:val="000000"/>
                <w:highlight w:val="yellow"/>
              </w:rPr>
            </w:pPr>
            <w:r w:rsidRPr="00992522">
              <w:rPr>
                <w:rFonts w:hint="eastAsia"/>
                <w:color w:val="000000"/>
                <w:w w:val="15"/>
                <w:szCs w:val="20"/>
                <w:shd w:val="solid" w:color="000000" w:fill="000000"/>
                <w:fitText w:val="70" w:id="-1504991486"/>
                <w14:textFill>
                  <w14:solidFill>
                    <w14:srgbClr w14:val="000000">
                      <w14:alpha w14:val="100000"/>
                    </w14:srgbClr>
                  </w14:solidFill>
                </w14:textFill>
              </w:rPr>
              <w:t xml:space="preserve">　</w:t>
            </w:r>
            <w:r w:rsidRPr="00992522">
              <w:rPr>
                <w:color w:val="000000"/>
                <w:w w:val="15"/>
                <w:szCs w:val="20"/>
                <w:shd w:val="solid" w:color="000000" w:fill="000000"/>
                <w:fitText w:val="70" w:id="-1504991486"/>
                <w14:textFill>
                  <w14:solidFill>
                    <w14:srgbClr w14:val="000000">
                      <w14:alpha w14:val="100000"/>
                    </w14:srgbClr>
                  </w14:solidFill>
                </w14:textFill>
              </w:rPr>
              <w:t>|</w:t>
            </w:r>
            <w:r w:rsidRPr="00992522">
              <w:rPr>
                <w:rFonts w:hint="eastAsia"/>
                <w:color w:val="000000"/>
                <w:spacing w:val="4"/>
                <w:w w:val="15"/>
                <w:szCs w:val="20"/>
                <w:shd w:val="solid" w:color="000000" w:fill="000000"/>
                <w:fitText w:val="70" w:id="-1504991486"/>
                <w14:textFill>
                  <w14:solidFill>
                    <w14:srgbClr w14:val="000000">
                      <w14:alpha w14:val="100000"/>
                    </w14:srgbClr>
                  </w14:solidFill>
                </w14:textFill>
              </w:rPr>
              <w:t xml:space="preserve">　</w:t>
            </w:r>
            <w:r w:rsidR="00263DC7" w:rsidRPr="00263DC7">
              <w:rPr>
                <w:szCs w:val="20"/>
                <w:vertAlign w:val="superscript"/>
              </w:rPr>
              <w:t>1</w:t>
            </w:r>
          </w:p>
        </w:tc>
        <w:tc>
          <w:tcPr>
            <w:tcW w:w="593" w:type="pct"/>
            <w:shd w:val="clear" w:color="auto" w:fill="auto"/>
            <w:vAlign w:val="center"/>
          </w:tcPr>
          <w:p w14:paraId="1A1BCFC3" w14:textId="39A5B9C3" w:rsidR="00E9710E" w:rsidRPr="00263DC7" w:rsidRDefault="00992522" w:rsidP="00E9710E">
            <w:pPr>
              <w:pStyle w:val="TableText0"/>
              <w:jc w:val="center"/>
              <w:rPr>
                <w:i/>
                <w:iCs/>
                <w:color w:val="000000"/>
                <w:highlight w:val="yellow"/>
              </w:rPr>
            </w:pPr>
            <w:r w:rsidRPr="00992522">
              <w:rPr>
                <w:rFonts w:hint="eastAsia"/>
                <w:color w:val="000000"/>
                <w:w w:val="15"/>
                <w:szCs w:val="20"/>
                <w:shd w:val="solid" w:color="000000" w:fill="000000"/>
                <w:fitText w:val="70" w:id="-1504991485"/>
                <w14:textFill>
                  <w14:solidFill>
                    <w14:srgbClr w14:val="000000">
                      <w14:alpha w14:val="100000"/>
                    </w14:srgbClr>
                  </w14:solidFill>
                </w14:textFill>
              </w:rPr>
              <w:t xml:space="preserve">　</w:t>
            </w:r>
            <w:r w:rsidRPr="00992522">
              <w:rPr>
                <w:color w:val="000000"/>
                <w:w w:val="15"/>
                <w:szCs w:val="20"/>
                <w:shd w:val="solid" w:color="000000" w:fill="000000"/>
                <w:fitText w:val="70" w:id="-1504991485"/>
                <w14:textFill>
                  <w14:solidFill>
                    <w14:srgbClr w14:val="000000">
                      <w14:alpha w14:val="100000"/>
                    </w14:srgbClr>
                  </w14:solidFill>
                </w14:textFill>
              </w:rPr>
              <w:t>|</w:t>
            </w:r>
            <w:r w:rsidRPr="00992522">
              <w:rPr>
                <w:rFonts w:hint="eastAsia"/>
                <w:color w:val="000000"/>
                <w:spacing w:val="4"/>
                <w:w w:val="15"/>
                <w:szCs w:val="20"/>
                <w:shd w:val="solid" w:color="000000" w:fill="000000"/>
                <w:fitText w:val="70" w:id="-1504991485"/>
                <w14:textFill>
                  <w14:solidFill>
                    <w14:srgbClr w14:val="000000">
                      <w14:alpha w14:val="100000"/>
                    </w14:srgbClr>
                  </w14:solidFill>
                </w14:textFill>
              </w:rPr>
              <w:t xml:space="preserve">　</w:t>
            </w:r>
            <w:r w:rsidR="00263DC7" w:rsidRPr="00263DC7">
              <w:rPr>
                <w:szCs w:val="20"/>
                <w:vertAlign w:val="superscript"/>
              </w:rPr>
              <w:t>1</w:t>
            </w:r>
          </w:p>
        </w:tc>
        <w:tc>
          <w:tcPr>
            <w:tcW w:w="593" w:type="pct"/>
            <w:shd w:val="clear" w:color="auto" w:fill="auto"/>
            <w:vAlign w:val="center"/>
          </w:tcPr>
          <w:p w14:paraId="37FE2550" w14:textId="470381C4" w:rsidR="00E9710E" w:rsidRPr="00263DC7" w:rsidRDefault="00992522" w:rsidP="00E9710E">
            <w:pPr>
              <w:pStyle w:val="TableText0"/>
              <w:jc w:val="center"/>
              <w:rPr>
                <w:i/>
                <w:iCs/>
                <w:color w:val="000000"/>
                <w:highlight w:val="yellow"/>
              </w:rPr>
            </w:pPr>
            <w:r w:rsidRPr="00992522">
              <w:rPr>
                <w:rFonts w:hint="eastAsia"/>
                <w:color w:val="000000"/>
                <w:w w:val="15"/>
                <w:szCs w:val="20"/>
                <w:shd w:val="solid" w:color="000000" w:fill="000000"/>
                <w:fitText w:val="70" w:id="-1504991484"/>
                <w14:textFill>
                  <w14:solidFill>
                    <w14:srgbClr w14:val="000000">
                      <w14:alpha w14:val="100000"/>
                    </w14:srgbClr>
                  </w14:solidFill>
                </w14:textFill>
              </w:rPr>
              <w:t xml:space="preserve">　</w:t>
            </w:r>
            <w:r w:rsidRPr="00992522">
              <w:rPr>
                <w:color w:val="000000"/>
                <w:w w:val="15"/>
                <w:szCs w:val="20"/>
                <w:shd w:val="solid" w:color="000000" w:fill="000000"/>
                <w:fitText w:val="70" w:id="-1504991484"/>
                <w14:textFill>
                  <w14:solidFill>
                    <w14:srgbClr w14:val="000000">
                      <w14:alpha w14:val="100000"/>
                    </w14:srgbClr>
                  </w14:solidFill>
                </w14:textFill>
              </w:rPr>
              <w:t>|</w:t>
            </w:r>
            <w:r w:rsidRPr="00992522">
              <w:rPr>
                <w:rFonts w:hint="eastAsia"/>
                <w:color w:val="000000"/>
                <w:spacing w:val="4"/>
                <w:w w:val="15"/>
                <w:szCs w:val="20"/>
                <w:shd w:val="solid" w:color="000000" w:fill="000000"/>
                <w:fitText w:val="70" w:id="-1504991484"/>
                <w14:textFill>
                  <w14:solidFill>
                    <w14:srgbClr w14:val="000000">
                      <w14:alpha w14:val="100000"/>
                    </w14:srgbClr>
                  </w14:solidFill>
                </w14:textFill>
              </w:rPr>
              <w:t xml:space="preserve">　</w:t>
            </w:r>
            <w:r w:rsidR="00263DC7" w:rsidRPr="00263DC7">
              <w:rPr>
                <w:szCs w:val="20"/>
                <w:vertAlign w:val="superscript"/>
              </w:rPr>
              <w:t>1</w:t>
            </w:r>
          </w:p>
        </w:tc>
        <w:tc>
          <w:tcPr>
            <w:tcW w:w="592" w:type="pct"/>
            <w:shd w:val="clear" w:color="auto" w:fill="auto"/>
            <w:vAlign w:val="center"/>
          </w:tcPr>
          <w:p w14:paraId="2BEA2DC1" w14:textId="169A7C37" w:rsidR="00E9710E" w:rsidRPr="00263DC7" w:rsidRDefault="00992522" w:rsidP="00E9710E">
            <w:pPr>
              <w:pStyle w:val="TableText0"/>
              <w:jc w:val="center"/>
              <w:rPr>
                <w:i/>
                <w:iCs/>
                <w:color w:val="000000"/>
                <w:highlight w:val="yellow"/>
              </w:rPr>
            </w:pPr>
            <w:r w:rsidRPr="00992522">
              <w:rPr>
                <w:rFonts w:hint="eastAsia"/>
                <w:color w:val="000000"/>
                <w:w w:val="15"/>
                <w:szCs w:val="20"/>
                <w:shd w:val="solid" w:color="000000" w:fill="000000"/>
                <w:fitText w:val="70" w:id="-1504991483"/>
                <w14:textFill>
                  <w14:solidFill>
                    <w14:srgbClr w14:val="000000">
                      <w14:alpha w14:val="100000"/>
                    </w14:srgbClr>
                  </w14:solidFill>
                </w14:textFill>
              </w:rPr>
              <w:t xml:space="preserve">　</w:t>
            </w:r>
            <w:r w:rsidRPr="00992522">
              <w:rPr>
                <w:color w:val="000000"/>
                <w:w w:val="15"/>
                <w:szCs w:val="20"/>
                <w:shd w:val="solid" w:color="000000" w:fill="000000"/>
                <w:fitText w:val="70" w:id="-1504991483"/>
                <w14:textFill>
                  <w14:solidFill>
                    <w14:srgbClr w14:val="000000">
                      <w14:alpha w14:val="100000"/>
                    </w14:srgbClr>
                  </w14:solidFill>
                </w14:textFill>
              </w:rPr>
              <w:t>|</w:t>
            </w:r>
            <w:r w:rsidRPr="00992522">
              <w:rPr>
                <w:rFonts w:hint="eastAsia"/>
                <w:color w:val="000000"/>
                <w:spacing w:val="4"/>
                <w:w w:val="15"/>
                <w:szCs w:val="20"/>
                <w:shd w:val="solid" w:color="000000" w:fill="000000"/>
                <w:fitText w:val="70" w:id="-1504991483"/>
                <w14:textFill>
                  <w14:solidFill>
                    <w14:srgbClr w14:val="000000">
                      <w14:alpha w14:val="100000"/>
                    </w14:srgbClr>
                  </w14:solidFill>
                </w14:textFill>
              </w:rPr>
              <w:t xml:space="preserve">　</w:t>
            </w:r>
            <w:r w:rsidR="00263DC7" w:rsidRPr="00263DC7">
              <w:rPr>
                <w:szCs w:val="20"/>
                <w:vertAlign w:val="superscript"/>
              </w:rPr>
              <w:t>1</w:t>
            </w:r>
          </w:p>
        </w:tc>
      </w:tr>
      <w:tr w:rsidR="00D86AF5" w:rsidRPr="009E4EB8" w14:paraId="4ABEB66C" w14:textId="77777777" w:rsidTr="006F7A73">
        <w:tc>
          <w:tcPr>
            <w:tcW w:w="1443" w:type="pct"/>
            <w:shd w:val="clear" w:color="auto" w:fill="auto"/>
            <w:vAlign w:val="center"/>
          </w:tcPr>
          <w:p w14:paraId="1A373068" w14:textId="77777777" w:rsidR="00D86AF5" w:rsidRPr="009E4EB8" w:rsidRDefault="00D86AF5" w:rsidP="00D86AF5">
            <w:pPr>
              <w:pStyle w:val="TableText0"/>
              <w:rPr>
                <w:rFonts w:ascii="Times" w:hAnsi="Times"/>
              </w:rPr>
            </w:pPr>
            <w:r w:rsidRPr="009E4EB8">
              <w:t>Number of scripts dispensed</w:t>
            </w:r>
          </w:p>
        </w:tc>
        <w:tc>
          <w:tcPr>
            <w:tcW w:w="593" w:type="pct"/>
            <w:shd w:val="clear" w:color="auto" w:fill="auto"/>
          </w:tcPr>
          <w:p w14:paraId="5248C458" w14:textId="1C5B485C" w:rsidR="00D86AF5" w:rsidRPr="00263DC7" w:rsidRDefault="00992522" w:rsidP="00D86AF5">
            <w:pPr>
              <w:pStyle w:val="TableText0"/>
              <w:jc w:val="center"/>
              <w:rPr>
                <w:color w:val="000000"/>
                <w:highlight w:val="yellow"/>
              </w:rPr>
            </w:pPr>
            <w:r w:rsidRPr="00992522">
              <w:rPr>
                <w:rFonts w:hint="eastAsia"/>
                <w:color w:val="000000"/>
                <w:w w:val="15"/>
                <w:shd w:val="solid" w:color="000000" w:fill="000000"/>
                <w:fitText w:val="70" w:id="-1504991482"/>
                <w14:textFill>
                  <w14:solidFill>
                    <w14:srgbClr w14:val="000000">
                      <w14:alpha w14:val="100000"/>
                    </w14:srgbClr>
                  </w14:solidFill>
                </w14:textFill>
              </w:rPr>
              <w:t xml:space="preserve">　</w:t>
            </w:r>
            <w:r w:rsidRPr="00992522">
              <w:rPr>
                <w:color w:val="000000"/>
                <w:w w:val="15"/>
                <w:shd w:val="solid" w:color="000000" w:fill="000000"/>
                <w:fitText w:val="70" w:id="-1504991482"/>
                <w14:textFill>
                  <w14:solidFill>
                    <w14:srgbClr w14:val="000000">
                      <w14:alpha w14:val="100000"/>
                    </w14:srgbClr>
                  </w14:solidFill>
                </w14:textFill>
              </w:rPr>
              <w:t>|</w:t>
            </w:r>
            <w:r w:rsidRPr="00992522">
              <w:rPr>
                <w:rFonts w:hint="eastAsia"/>
                <w:color w:val="000000"/>
                <w:spacing w:val="4"/>
                <w:w w:val="15"/>
                <w:shd w:val="solid" w:color="000000" w:fill="000000"/>
                <w:fitText w:val="70" w:id="-1504991482"/>
                <w14:textFill>
                  <w14:solidFill>
                    <w14:srgbClr w14:val="000000">
                      <w14:alpha w14:val="100000"/>
                    </w14:srgbClr>
                  </w14:solidFill>
                </w14:textFill>
              </w:rPr>
              <w:t xml:space="preserve">　</w:t>
            </w:r>
            <w:r w:rsidR="00263DC7" w:rsidRPr="00263DC7">
              <w:rPr>
                <w:szCs w:val="20"/>
                <w:vertAlign w:val="superscript"/>
              </w:rPr>
              <w:t>1</w:t>
            </w:r>
          </w:p>
        </w:tc>
        <w:tc>
          <w:tcPr>
            <w:tcW w:w="593" w:type="pct"/>
            <w:shd w:val="clear" w:color="auto" w:fill="auto"/>
          </w:tcPr>
          <w:p w14:paraId="4CA15782" w14:textId="2F0A4124" w:rsidR="00D86AF5" w:rsidRPr="00263DC7" w:rsidRDefault="00992522" w:rsidP="00D86AF5">
            <w:pPr>
              <w:pStyle w:val="TableText0"/>
              <w:jc w:val="center"/>
              <w:rPr>
                <w:color w:val="000000"/>
                <w:highlight w:val="yellow"/>
              </w:rPr>
            </w:pPr>
            <w:r w:rsidRPr="00992522">
              <w:rPr>
                <w:rFonts w:hint="eastAsia"/>
                <w:color w:val="000000"/>
                <w:w w:val="15"/>
                <w:shd w:val="solid" w:color="000000" w:fill="000000"/>
                <w:fitText w:val="70" w:id="-1504991481"/>
                <w14:textFill>
                  <w14:solidFill>
                    <w14:srgbClr w14:val="000000">
                      <w14:alpha w14:val="100000"/>
                    </w14:srgbClr>
                  </w14:solidFill>
                </w14:textFill>
              </w:rPr>
              <w:t xml:space="preserve">　</w:t>
            </w:r>
            <w:r w:rsidRPr="00992522">
              <w:rPr>
                <w:color w:val="000000"/>
                <w:w w:val="15"/>
                <w:shd w:val="solid" w:color="000000" w:fill="000000"/>
                <w:fitText w:val="70" w:id="-1504991481"/>
                <w14:textFill>
                  <w14:solidFill>
                    <w14:srgbClr w14:val="000000">
                      <w14:alpha w14:val="100000"/>
                    </w14:srgbClr>
                  </w14:solidFill>
                </w14:textFill>
              </w:rPr>
              <w:t>|</w:t>
            </w:r>
            <w:r w:rsidRPr="00992522">
              <w:rPr>
                <w:rFonts w:hint="eastAsia"/>
                <w:color w:val="000000"/>
                <w:spacing w:val="4"/>
                <w:w w:val="15"/>
                <w:shd w:val="solid" w:color="000000" w:fill="000000"/>
                <w:fitText w:val="70" w:id="-1504991481"/>
                <w14:textFill>
                  <w14:solidFill>
                    <w14:srgbClr w14:val="000000">
                      <w14:alpha w14:val="100000"/>
                    </w14:srgbClr>
                  </w14:solidFill>
                </w14:textFill>
              </w:rPr>
              <w:t xml:space="preserve">　</w:t>
            </w:r>
            <w:r w:rsidR="00263DC7" w:rsidRPr="00263DC7">
              <w:rPr>
                <w:szCs w:val="20"/>
                <w:vertAlign w:val="superscript"/>
              </w:rPr>
              <w:t>1</w:t>
            </w:r>
          </w:p>
        </w:tc>
        <w:tc>
          <w:tcPr>
            <w:tcW w:w="593" w:type="pct"/>
            <w:shd w:val="clear" w:color="auto" w:fill="auto"/>
          </w:tcPr>
          <w:p w14:paraId="64A6F383" w14:textId="164901CD" w:rsidR="00D86AF5" w:rsidRPr="00263DC7" w:rsidRDefault="00992522" w:rsidP="00D86AF5">
            <w:pPr>
              <w:pStyle w:val="TableText0"/>
              <w:jc w:val="center"/>
              <w:rPr>
                <w:color w:val="000000"/>
                <w:highlight w:val="yellow"/>
              </w:rPr>
            </w:pPr>
            <w:r w:rsidRPr="00992522">
              <w:rPr>
                <w:rFonts w:hint="eastAsia"/>
                <w:color w:val="000000"/>
                <w:w w:val="15"/>
                <w:shd w:val="solid" w:color="000000" w:fill="000000"/>
                <w:fitText w:val="70" w:id="-1504991480"/>
                <w14:textFill>
                  <w14:solidFill>
                    <w14:srgbClr w14:val="000000">
                      <w14:alpha w14:val="100000"/>
                    </w14:srgbClr>
                  </w14:solidFill>
                </w14:textFill>
              </w:rPr>
              <w:t xml:space="preserve">　</w:t>
            </w:r>
            <w:r w:rsidRPr="00992522">
              <w:rPr>
                <w:color w:val="000000"/>
                <w:w w:val="15"/>
                <w:shd w:val="solid" w:color="000000" w:fill="000000"/>
                <w:fitText w:val="70" w:id="-1504991480"/>
                <w14:textFill>
                  <w14:solidFill>
                    <w14:srgbClr w14:val="000000">
                      <w14:alpha w14:val="100000"/>
                    </w14:srgbClr>
                  </w14:solidFill>
                </w14:textFill>
              </w:rPr>
              <w:t>|</w:t>
            </w:r>
            <w:r w:rsidRPr="00992522">
              <w:rPr>
                <w:rFonts w:hint="eastAsia"/>
                <w:color w:val="000000"/>
                <w:spacing w:val="4"/>
                <w:w w:val="15"/>
                <w:shd w:val="solid" w:color="000000" w:fill="000000"/>
                <w:fitText w:val="70" w:id="-1504991480"/>
                <w14:textFill>
                  <w14:solidFill>
                    <w14:srgbClr w14:val="000000">
                      <w14:alpha w14:val="100000"/>
                    </w14:srgbClr>
                  </w14:solidFill>
                </w14:textFill>
              </w:rPr>
              <w:t xml:space="preserve">　</w:t>
            </w:r>
            <w:r w:rsidR="00263DC7" w:rsidRPr="00263DC7">
              <w:rPr>
                <w:szCs w:val="20"/>
                <w:vertAlign w:val="superscript"/>
              </w:rPr>
              <w:t>1</w:t>
            </w:r>
          </w:p>
        </w:tc>
        <w:tc>
          <w:tcPr>
            <w:tcW w:w="593" w:type="pct"/>
            <w:shd w:val="clear" w:color="auto" w:fill="auto"/>
          </w:tcPr>
          <w:p w14:paraId="73D8C7E5" w14:textId="7BD67864" w:rsidR="00D86AF5" w:rsidRPr="00263DC7" w:rsidRDefault="00992522" w:rsidP="00D86AF5">
            <w:pPr>
              <w:pStyle w:val="TableText0"/>
              <w:jc w:val="center"/>
              <w:rPr>
                <w:color w:val="000000"/>
                <w:highlight w:val="yellow"/>
              </w:rPr>
            </w:pPr>
            <w:r w:rsidRPr="00992522">
              <w:rPr>
                <w:rFonts w:hint="eastAsia"/>
                <w:color w:val="000000"/>
                <w:w w:val="15"/>
                <w:shd w:val="solid" w:color="000000" w:fill="000000"/>
                <w:fitText w:val="70" w:id="-1504991479"/>
                <w14:textFill>
                  <w14:solidFill>
                    <w14:srgbClr w14:val="000000">
                      <w14:alpha w14:val="100000"/>
                    </w14:srgbClr>
                  </w14:solidFill>
                </w14:textFill>
              </w:rPr>
              <w:t xml:space="preserve">　</w:t>
            </w:r>
            <w:r w:rsidRPr="00992522">
              <w:rPr>
                <w:color w:val="000000"/>
                <w:w w:val="15"/>
                <w:shd w:val="solid" w:color="000000" w:fill="000000"/>
                <w:fitText w:val="70" w:id="-1504991479"/>
                <w14:textFill>
                  <w14:solidFill>
                    <w14:srgbClr w14:val="000000">
                      <w14:alpha w14:val="100000"/>
                    </w14:srgbClr>
                  </w14:solidFill>
                </w14:textFill>
              </w:rPr>
              <w:t>|</w:t>
            </w:r>
            <w:r w:rsidRPr="00992522">
              <w:rPr>
                <w:rFonts w:hint="eastAsia"/>
                <w:color w:val="000000"/>
                <w:spacing w:val="4"/>
                <w:w w:val="15"/>
                <w:shd w:val="solid" w:color="000000" w:fill="000000"/>
                <w:fitText w:val="70" w:id="-1504991479"/>
                <w14:textFill>
                  <w14:solidFill>
                    <w14:srgbClr w14:val="000000">
                      <w14:alpha w14:val="100000"/>
                    </w14:srgbClr>
                  </w14:solidFill>
                </w14:textFill>
              </w:rPr>
              <w:t xml:space="preserve">　</w:t>
            </w:r>
            <w:r w:rsidR="00263DC7">
              <w:rPr>
                <w:szCs w:val="20"/>
                <w:vertAlign w:val="superscript"/>
              </w:rPr>
              <w:t>3</w:t>
            </w:r>
          </w:p>
        </w:tc>
        <w:tc>
          <w:tcPr>
            <w:tcW w:w="593" w:type="pct"/>
            <w:shd w:val="clear" w:color="auto" w:fill="auto"/>
          </w:tcPr>
          <w:p w14:paraId="5E799E31" w14:textId="19E65CF3" w:rsidR="00D86AF5" w:rsidRPr="00263DC7" w:rsidRDefault="00992522" w:rsidP="00D86AF5">
            <w:pPr>
              <w:pStyle w:val="TableText0"/>
              <w:jc w:val="center"/>
              <w:rPr>
                <w:color w:val="000000"/>
                <w:highlight w:val="yellow"/>
              </w:rPr>
            </w:pPr>
            <w:r w:rsidRPr="00992522">
              <w:rPr>
                <w:rFonts w:hint="eastAsia"/>
                <w:color w:val="000000"/>
                <w:w w:val="15"/>
                <w:shd w:val="solid" w:color="000000" w:fill="000000"/>
                <w:fitText w:val="70" w:id="-1504991478"/>
                <w14:textFill>
                  <w14:solidFill>
                    <w14:srgbClr w14:val="000000">
                      <w14:alpha w14:val="100000"/>
                    </w14:srgbClr>
                  </w14:solidFill>
                </w14:textFill>
              </w:rPr>
              <w:t xml:space="preserve">　</w:t>
            </w:r>
            <w:r w:rsidRPr="00992522">
              <w:rPr>
                <w:color w:val="000000"/>
                <w:w w:val="15"/>
                <w:shd w:val="solid" w:color="000000" w:fill="000000"/>
                <w:fitText w:val="70" w:id="-1504991478"/>
                <w14:textFill>
                  <w14:solidFill>
                    <w14:srgbClr w14:val="000000">
                      <w14:alpha w14:val="100000"/>
                    </w14:srgbClr>
                  </w14:solidFill>
                </w14:textFill>
              </w:rPr>
              <w:t>|</w:t>
            </w:r>
            <w:r w:rsidRPr="00992522">
              <w:rPr>
                <w:rFonts w:hint="eastAsia"/>
                <w:color w:val="000000"/>
                <w:spacing w:val="4"/>
                <w:w w:val="15"/>
                <w:shd w:val="solid" w:color="000000" w:fill="000000"/>
                <w:fitText w:val="70" w:id="-1504991478"/>
                <w14:textFill>
                  <w14:solidFill>
                    <w14:srgbClr w14:val="000000">
                      <w14:alpha w14:val="100000"/>
                    </w14:srgbClr>
                  </w14:solidFill>
                </w14:textFill>
              </w:rPr>
              <w:t xml:space="preserve">　</w:t>
            </w:r>
            <w:r w:rsidR="00263DC7">
              <w:rPr>
                <w:szCs w:val="20"/>
                <w:vertAlign w:val="superscript"/>
              </w:rPr>
              <w:t>2</w:t>
            </w:r>
          </w:p>
        </w:tc>
        <w:tc>
          <w:tcPr>
            <w:tcW w:w="592" w:type="pct"/>
            <w:shd w:val="clear" w:color="auto" w:fill="auto"/>
          </w:tcPr>
          <w:p w14:paraId="7AB69D55" w14:textId="41D2A7A1" w:rsidR="00D86AF5" w:rsidRPr="00263DC7" w:rsidRDefault="00992522" w:rsidP="00D86AF5">
            <w:pPr>
              <w:pStyle w:val="TableText0"/>
              <w:jc w:val="center"/>
              <w:rPr>
                <w:color w:val="000000"/>
                <w:highlight w:val="yellow"/>
              </w:rPr>
            </w:pPr>
            <w:r w:rsidRPr="00992522">
              <w:rPr>
                <w:rFonts w:hint="eastAsia"/>
                <w:color w:val="000000"/>
                <w:w w:val="15"/>
                <w:shd w:val="solid" w:color="000000" w:fill="000000"/>
                <w:fitText w:val="70" w:id="-1504991477"/>
                <w14:textFill>
                  <w14:solidFill>
                    <w14:srgbClr w14:val="000000">
                      <w14:alpha w14:val="100000"/>
                    </w14:srgbClr>
                  </w14:solidFill>
                </w14:textFill>
              </w:rPr>
              <w:t xml:space="preserve">　</w:t>
            </w:r>
            <w:r w:rsidRPr="00992522">
              <w:rPr>
                <w:color w:val="000000"/>
                <w:w w:val="15"/>
                <w:shd w:val="solid" w:color="000000" w:fill="000000"/>
                <w:fitText w:val="70" w:id="-1504991477"/>
                <w14:textFill>
                  <w14:solidFill>
                    <w14:srgbClr w14:val="000000">
                      <w14:alpha w14:val="100000"/>
                    </w14:srgbClr>
                  </w14:solidFill>
                </w14:textFill>
              </w:rPr>
              <w:t>|</w:t>
            </w:r>
            <w:r w:rsidRPr="00992522">
              <w:rPr>
                <w:rFonts w:hint="eastAsia"/>
                <w:color w:val="000000"/>
                <w:spacing w:val="4"/>
                <w:w w:val="15"/>
                <w:shd w:val="solid" w:color="000000" w:fill="000000"/>
                <w:fitText w:val="70" w:id="-1504991477"/>
                <w14:textFill>
                  <w14:solidFill>
                    <w14:srgbClr w14:val="000000">
                      <w14:alpha w14:val="100000"/>
                    </w14:srgbClr>
                  </w14:solidFill>
                </w14:textFill>
              </w:rPr>
              <w:t xml:space="preserve">　</w:t>
            </w:r>
            <w:r w:rsidR="00263DC7">
              <w:rPr>
                <w:szCs w:val="20"/>
                <w:vertAlign w:val="superscript"/>
              </w:rPr>
              <w:t>3</w:t>
            </w:r>
          </w:p>
        </w:tc>
      </w:tr>
      <w:tr w:rsidR="00644D40" w:rsidRPr="009E4EB8" w14:paraId="090FE0F5" w14:textId="77777777" w:rsidTr="006F7A73">
        <w:tc>
          <w:tcPr>
            <w:tcW w:w="5000" w:type="pct"/>
            <w:gridSpan w:val="7"/>
            <w:shd w:val="clear" w:color="auto" w:fill="auto"/>
            <w:vAlign w:val="center"/>
          </w:tcPr>
          <w:p w14:paraId="1169207C" w14:textId="238BC51E" w:rsidR="00644D40" w:rsidRPr="009E4EB8" w:rsidRDefault="00644D40" w:rsidP="00D041EE">
            <w:pPr>
              <w:pStyle w:val="In-tableHeading"/>
              <w:rPr>
                <w:lang w:val="en-AU"/>
              </w:rPr>
            </w:pPr>
            <w:r w:rsidRPr="009E4EB8">
              <w:rPr>
                <w:lang w:val="en-AU"/>
              </w:rPr>
              <w:t xml:space="preserve">Estimated financial implications of </w:t>
            </w:r>
            <w:r w:rsidR="00263DC7">
              <w:rPr>
                <w:lang w:val="en-AU"/>
              </w:rPr>
              <w:t>selinexor</w:t>
            </w:r>
          </w:p>
        </w:tc>
      </w:tr>
      <w:tr w:rsidR="00431F44" w:rsidRPr="009E4EB8" w14:paraId="012C6720" w14:textId="77777777" w:rsidTr="006F7A73">
        <w:tc>
          <w:tcPr>
            <w:tcW w:w="1443" w:type="pct"/>
            <w:shd w:val="clear" w:color="auto" w:fill="auto"/>
            <w:vAlign w:val="center"/>
          </w:tcPr>
          <w:p w14:paraId="4135DB6A" w14:textId="24358C10" w:rsidR="00431F44" w:rsidRPr="009E4EB8" w:rsidRDefault="00431F44" w:rsidP="00431F44">
            <w:pPr>
              <w:pStyle w:val="TableText0"/>
              <w:rPr>
                <w:sz w:val="19"/>
                <w:szCs w:val="19"/>
              </w:rPr>
            </w:pPr>
            <w:r w:rsidRPr="009E4EB8">
              <w:rPr>
                <w:sz w:val="19"/>
                <w:szCs w:val="19"/>
              </w:rPr>
              <w:t xml:space="preserve">Cost to PBS/RPBS less </w:t>
            </w:r>
            <w:proofErr w:type="spellStart"/>
            <w:r w:rsidRPr="009E4EB8">
              <w:rPr>
                <w:sz w:val="19"/>
                <w:szCs w:val="19"/>
              </w:rPr>
              <w:t>copayments</w:t>
            </w:r>
            <w:proofErr w:type="spellEnd"/>
            <w:r w:rsidR="00263DC7">
              <w:rPr>
                <w:sz w:val="19"/>
                <w:szCs w:val="19"/>
              </w:rPr>
              <w:t xml:space="preserve"> ($)</w:t>
            </w:r>
          </w:p>
        </w:tc>
        <w:tc>
          <w:tcPr>
            <w:tcW w:w="593" w:type="pct"/>
            <w:shd w:val="clear" w:color="auto" w:fill="auto"/>
          </w:tcPr>
          <w:p w14:paraId="4A2F4521" w14:textId="769B2B22" w:rsidR="00431F44" w:rsidRPr="00263DC7" w:rsidRDefault="00992522" w:rsidP="00431F44">
            <w:pPr>
              <w:pStyle w:val="TableText0"/>
              <w:jc w:val="center"/>
              <w:rPr>
                <w:highlight w:val="yellow"/>
              </w:rPr>
            </w:pPr>
            <w:r w:rsidRPr="00992522">
              <w:rPr>
                <w:rFonts w:hint="eastAsia"/>
                <w:color w:val="000000"/>
                <w:w w:val="15"/>
                <w:shd w:val="solid" w:color="000000" w:fill="000000"/>
                <w:fitText w:val="70" w:id="-1504991476"/>
                <w14:textFill>
                  <w14:solidFill>
                    <w14:srgbClr w14:val="000000">
                      <w14:alpha w14:val="100000"/>
                    </w14:srgbClr>
                  </w14:solidFill>
                </w14:textFill>
              </w:rPr>
              <w:t xml:space="preserve">　</w:t>
            </w:r>
            <w:r w:rsidRPr="00992522">
              <w:rPr>
                <w:color w:val="000000"/>
                <w:w w:val="15"/>
                <w:shd w:val="solid" w:color="000000" w:fill="000000"/>
                <w:fitText w:val="70" w:id="-1504991476"/>
                <w14:textFill>
                  <w14:solidFill>
                    <w14:srgbClr w14:val="000000">
                      <w14:alpha w14:val="100000"/>
                    </w14:srgbClr>
                  </w14:solidFill>
                </w14:textFill>
              </w:rPr>
              <w:t>|</w:t>
            </w:r>
            <w:r w:rsidRPr="00992522">
              <w:rPr>
                <w:rFonts w:hint="eastAsia"/>
                <w:color w:val="000000"/>
                <w:spacing w:val="4"/>
                <w:w w:val="15"/>
                <w:shd w:val="solid" w:color="000000" w:fill="000000"/>
                <w:fitText w:val="70" w:id="-1504991476"/>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127BD1BE" w14:textId="564B7834" w:rsidR="00431F44" w:rsidRPr="00263DC7" w:rsidRDefault="00992522" w:rsidP="00431F44">
            <w:pPr>
              <w:pStyle w:val="TableText0"/>
              <w:jc w:val="center"/>
              <w:rPr>
                <w:highlight w:val="yellow"/>
              </w:rPr>
            </w:pPr>
            <w:r w:rsidRPr="00992522">
              <w:rPr>
                <w:rFonts w:hint="eastAsia"/>
                <w:color w:val="000000"/>
                <w:w w:val="15"/>
                <w:shd w:val="solid" w:color="000000" w:fill="000000"/>
                <w:fitText w:val="70" w:id="-1504991475"/>
                <w14:textFill>
                  <w14:solidFill>
                    <w14:srgbClr w14:val="000000">
                      <w14:alpha w14:val="100000"/>
                    </w14:srgbClr>
                  </w14:solidFill>
                </w14:textFill>
              </w:rPr>
              <w:t xml:space="preserve">　</w:t>
            </w:r>
            <w:r w:rsidRPr="00992522">
              <w:rPr>
                <w:color w:val="000000"/>
                <w:w w:val="15"/>
                <w:shd w:val="solid" w:color="000000" w:fill="000000"/>
                <w:fitText w:val="70" w:id="-1504991475"/>
                <w14:textFill>
                  <w14:solidFill>
                    <w14:srgbClr w14:val="000000">
                      <w14:alpha w14:val="100000"/>
                    </w14:srgbClr>
                  </w14:solidFill>
                </w14:textFill>
              </w:rPr>
              <w:t>|</w:t>
            </w:r>
            <w:r w:rsidRPr="00992522">
              <w:rPr>
                <w:rFonts w:hint="eastAsia"/>
                <w:color w:val="000000"/>
                <w:spacing w:val="4"/>
                <w:w w:val="15"/>
                <w:shd w:val="solid" w:color="000000" w:fill="000000"/>
                <w:fitText w:val="70" w:id="-1504991475"/>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332A15D4" w14:textId="56F33F12" w:rsidR="00431F44" w:rsidRPr="00263DC7" w:rsidRDefault="00992522" w:rsidP="00431F44">
            <w:pPr>
              <w:pStyle w:val="TableText0"/>
              <w:jc w:val="center"/>
              <w:rPr>
                <w:highlight w:val="yellow"/>
              </w:rPr>
            </w:pPr>
            <w:r w:rsidRPr="00992522">
              <w:rPr>
                <w:rFonts w:hint="eastAsia"/>
                <w:color w:val="000000"/>
                <w:w w:val="15"/>
                <w:shd w:val="solid" w:color="000000" w:fill="000000"/>
                <w:fitText w:val="70" w:id="-1504991474"/>
                <w14:textFill>
                  <w14:solidFill>
                    <w14:srgbClr w14:val="000000">
                      <w14:alpha w14:val="100000"/>
                    </w14:srgbClr>
                  </w14:solidFill>
                </w14:textFill>
              </w:rPr>
              <w:t xml:space="preserve">　</w:t>
            </w:r>
            <w:r w:rsidRPr="00992522">
              <w:rPr>
                <w:color w:val="000000"/>
                <w:w w:val="15"/>
                <w:shd w:val="solid" w:color="000000" w:fill="000000"/>
                <w:fitText w:val="70" w:id="-1504991474"/>
                <w14:textFill>
                  <w14:solidFill>
                    <w14:srgbClr w14:val="000000">
                      <w14:alpha w14:val="100000"/>
                    </w14:srgbClr>
                  </w14:solidFill>
                </w14:textFill>
              </w:rPr>
              <w:t>|</w:t>
            </w:r>
            <w:r w:rsidRPr="00992522">
              <w:rPr>
                <w:rFonts w:hint="eastAsia"/>
                <w:color w:val="000000"/>
                <w:spacing w:val="4"/>
                <w:w w:val="15"/>
                <w:shd w:val="solid" w:color="000000" w:fill="000000"/>
                <w:fitText w:val="70" w:id="-1504991474"/>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70943B82" w14:textId="5E841BBF" w:rsidR="00431F44" w:rsidRPr="00263DC7" w:rsidRDefault="00992522" w:rsidP="00431F44">
            <w:pPr>
              <w:pStyle w:val="TableText0"/>
              <w:jc w:val="center"/>
              <w:rPr>
                <w:highlight w:val="yellow"/>
              </w:rPr>
            </w:pPr>
            <w:r w:rsidRPr="00992522">
              <w:rPr>
                <w:rFonts w:hint="eastAsia"/>
                <w:color w:val="000000"/>
                <w:w w:val="15"/>
                <w:shd w:val="solid" w:color="000000" w:fill="000000"/>
                <w:fitText w:val="70" w:id="-1504991473"/>
                <w14:textFill>
                  <w14:solidFill>
                    <w14:srgbClr w14:val="000000">
                      <w14:alpha w14:val="100000"/>
                    </w14:srgbClr>
                  </w14:solidFill>
                </w14:textFill>
              </w:rPr>
              <w:t xml:space="preserve">　</w:t>
            </w:r>
            <w:r w:rsidRPr="00992522">
              <w:rPr>
                <w:color w:val="000000"/>
                <w:w w:val="15"/>
                <w:shd w:val="solid" w:color="000000" w:fill="000000"/>
                <w:fitText w:val="70" w:id="-1504991473"/>
                <w14:textFill>
                  <w14:solidFill>
                    <w14:srgbClr w14:val="000000">
                      <w14:alpha w14:val="100000"/>
                    </w14:srgbClr>
                  </w14:solidFill>
                </w14:textFill>
              </w:rPr>
              <w:t>|</w:t>
            </w:r>
            <w:r w:rsidRPr="00992522">
              <w:rPr>
                <w:rFonts w:hint="eastAsia"/>
                <w:color w:val="000000"/>
                <w:spacing w:val="4"/>
                <w:w w:val="15"/>
                <w:shd w:val="solid" w:color="000000" w:fill="000000"/>
                <w:fitText w:val="70" w:id="-1504991473"/>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01BBCDBC" w14:textId="66640C36" w:rsidR="00431F44" w:rsidRPr="00263DC7" w:rsidRDefault="00992522" w:rsidP="00431F44">
            <w:pPr>
              <w:pStyle w:val="TableText0"/>
              <w:jc w:val="center"/>
              <w:rPr>
                <w:highlight w:val="yellow"/>
              </w:rPr>
            </w:pPr>
            <w:r w:rsidRPr="00992522">
              <w:rPr>
                <w:rFonts w:hint="eastAsia"/>
                <w:color w:val="000000"/>
                <w:w w:val="15"/>
                <w:shd w:val="solid" w:color="000000" w:fill="000000"/>
                <w:fitText w:val="70" w:id="-1504991472"/>
                <w14:textFill>
                  <w14:solidFill>
                    <w14:srgbClr w14:val="000000">
                      <w14:alpha w14:val="100000"/>
                    </w14:srgbClr>
                  </w14:solidFill>
                </w14:textFill>
              </w:rPr>
              <w:t xml:space="preserve">　</w:t>
            </w:r>
            <w:r w:rsidRPr="00992522">
              <w:rPr>
                <w:color w:val="000000"/>
                <w:w w:val="15"/>
                <w:shd w:val="solid" w:color="000000" w:fill="000000"/>
                <w:fitText w:val="70" w:id="-1504991472"/>
                <w14:textFill>
                  <w14:solidFill>
                    <w14:srgbClr w14:val="000000">
                      <w14:alpha w14:val="100000"/>
                    </w14:srgbClr>
                  </w14:solidFill>
                </w14:textFill>
              </w:rPr>
              <w:t>|</w:t>
            </w:r>
            <w:r w:rsidRPr="00992522">
              <w:rPr>
                <w:rFonts w:hint="eastAsia"/>
                <w:color w:val="000000"/>
                <w:spacing w:val="4"/>
                <w:w w:val="15"/>
                <w:shd w:val="solid" w:color="000000" w:fill="000000"/>
                <w:fitText w:val="70" w:id="-1504991472"/>
                <w14:textFill>
                  <w14:solidFill>
                    <w14:srgbClr w14:val="000000">
                      <w14:alpha w14:val="100000"/>
                    </w14:srgbClr>
                  </w14:solidFill>
                </w14:textFill>
              </w:rPr>
              <w:t xml:space="preserve">　</w:t>
            </w:r>
            <w:r w:rsidR="00263DC7">
              <w:rPr>
                <w:szCs w:val="20"/>
                <w:vertAlign w:val="superscript"/>
              </w:rPr>
              <w:t>2</w:t>
            </w:r>
          </w:p>
        </w:tc>
        <w:tc>
          <w:tcPr>
            <w:tcW w:w="592" w:type="pct"/>
            <w:shd w:val="clear" w:color="auto" w:fill="auto"/>
          </w:tcPr>
          <w:p w14:paraId="1CD0612B" w14:textId="3AD13C0D" w:rsidR="00431F44" w:rsidRPr="00263DC7" w:rsidRDefault="00992522" w:rsidP="00431F44">
            <w:pPr>
              <w:pStyle w:val="TableText0"/>
              <w:jc w:val="center"/>
              <w:rPr>
                <w:highlight w:val="yellow"/>
              </w:rPr>
            </w:pPr>
            <w:r w:rsidRPr="00992522">
              <w:rPr>
                <w:rFonts w:hint="eastAsia"/>
                <w:color w:val="000000"/>
                <w:w w:val="15"/>
                <w:shd w:val="solid" w:color="000000" w:fill="000000"/>
                <w:fitText w:val="70" w:id="-1504991488"/>
                <w14:textFill>
                  <w14:solidFill>
                    <w14:srgbClr w14:val="000000">
                      <w14:alpha w14:val="100000"/>
                    </w14:srgbClr>
                  </w14:solidFill>
                </w14:textFill>
              </w:rPr>
              <w:t xml:space="preserve">　</w:t>
            </w:r>
            <w:r w:rsidRPr="00992522">
              <w:rPr>
                <w:color w:val="000000"/>
                <w:w w:val="15"/>
                <w:shd w:val="solid" w:color="000000" w:fill="000000"/>
                <w:fitText w:val="70" w:id="-1504991488"/>
                <w14:textFill>
                  <w14:solidFill>
                    <w14:srgbClr w14:val="000000">
                      <w14:alpha w14:val="100000"/>
                    </w14:srgbClr>
                  </w14:solidFill>
                </w14:textFill>
              </w:rPr>
              <w:t>|</w:t>
            </w:r>
            <w:r w:rsidRPr="00992522">
              <w:rPr>
                <w:rFonts w:hint="eastAsia"/>
                <w:color w:val="000000"/>
                <w:spacing w:val="4"/>
                <w:w w:val="15"/>
                <w:shd w:val="solid" w:color="000000" w:fill="000000"/>
                <w:fitText w:val="70" w:id="-1504991488"/>
                <w14:textFill>
                  <w14:solidFill>
                    <w14:srgbClr w14:val="000000">
                      <w14:alpha w14:val="100000"/>
                    </w14:srgbClr>
                  </w14:solidFill>
                </w14:textFill>
              </w:rPr>
              <w:t xml:space="preserve">　</w:t>
            </w:r>
            <w:r w:rsidR="00263DC7">
              <w:rPr>
                <w:szCs w:val="20"/>
                <w:vertAlign w:val="superscript"/>
              </w:rPr>
              <w:t>2</w:t>
            </w:r>
          </w:p>
        </w:tc>
      </w:tr>
      <w:tr w:rsidR="00644D40" w:rsidRPr="009E4EB8" w14:paraId="13A1367A" w14:textId="77777777" w:rsidTr="006F7A73">
        <w:tc>
          <w:tcPr>
            <w:tcW w:w="5000" w:type="pct"/>
            <w:gridSpan w:val="7"/>
            <w:shd w:val="clear" w:color="auto" w:fill="auto"/>
            <w:vAlign w:val="center"/>
          </w:tcPr>
          <w:p w14:paraId="1F7CD918" w14:textId="77777777" w:rsidR="00644D40" w:rsidRPr="009E4EB8" w:rsidRDefault="00644D40" w:rsidP="00D041EE">
            <w:pPr>
              <w:pStyle w:val="TableText0"/>
              <w:rPr>
                <w:b/>
                <w:bCs w:val="0"/>
              </w:rPr>
            </w:pPr>
            <w:r w:rsidRPr="009E4EB8">
              <w:rPr>
                <w:b/>
                <w:bCs w:val="0"/>
              </w:rPr>
              <w:t>Estimated financial implications for other medicines</w:t>
            </w:r>
          </w:p>
        </w:tc>
      </w:tr>
      <w:tr w:rsidR="0087215D" w:rsidRPr="009E4EB8" w14:paraId="06B2D13B" w14:textId="77777777" w:rsidTr="006F7A73">
        <w:tc>
          <w:tcPr>
            <w:tcW w:w="1443" w:type="pct"/>
            <w:shd w:val="clear" w:color="auto" w:fill="auto"/>
            <w:vAlign w:val="center"/>
          </w:tcPr>
          <w:p w14:paraId="2AB3B39C" w14:textId="49529FDF" w:rsidR="0087215D" w:rsidRPr="009E4EB8" w:rsidRDefault="0087215D" w:rsidP="0087215D">
            <w:pPr>
              <w:pStyle w:val="TableText0"/>
              <w:rPr>
                <w:sz w:val="19"/>
                <w:szCs w:val="19"/>
              </w:rPr>
            </w:pPr>
            <w:r w:rsidRPr="009E4EB8">
              <w:rPr>
                <w:sz w:val="19"/>
                <w:szCs w:val="19"/>
              </w:rPr>
              <w:t xml:space="preserve">Cost to PBS/RPBS less </w:t>
            </w:r>
            <w:proofErr w:type="spellStart"/>
            <w:r w:rsidRPr="009E4EB8">
              <w:rPr>
                <w:sz w:val="19"/>
                <w:szCs w:val="19"/>
              </w:rPr>
              <w:t>copayments</w:t>
            </w:r>
            <w:proofErr w:type="spellEnd"/>
            <w:r w:rsidR="00263DC7">
              <w:rPr>
                <w:sz w:val="19"/>
                <w:szCs w:val="19"/>
              </w:rPr>
              <w:t xml:space="preserve"> ($)</w:t>
            </w:r>
          </w:p>
        </w:tc>
        <w:tc>
          <w:tcPr>
            <w:tcW w:w="593" w:type="pct"/>
            <w:shd w:val="clear" w:color="auto" w:fill="auto"/>
          </w:tcPr>
          <w:p w14:paraId="4AFE3C3A" w14:textId="1FE8B5E8" w:rsidR="0087215D" w:rsidRPr="009E4EB8" w:rsidRDefault="0087215D" w:rsidP="0087215D">
            <w:pPr>
              <w:pStyle w:val="TableText0"/>
              <w:jc w:val="center"/>
            </w:pPr>
            <w:r w:rsidRPr="009E4EB8">
              <w:t>-</w:t>
            </w:r>
            <w:r w:rsidR="00992522" w:rsidRPr="00992522">
              <w:rPr>
                <w:rFonts w:hint="eastAsia"/>
                <w:color w:val="000000"/>
                <w:w w:val="20"/>
                <w:shd w:val="solid" w:color="000000" w:fill="000000"/>
                <w:fitText w:val="90" w:id="-1504991487"/>
                <w14:textFill>
                  <w14:solidFill>
                    <w14:srgbClr w14:val="000000">
                      <w14:alpha w14:val="100000"/>
                    </w14:srgbClr>
                  </w14:solidFill>
                </w14:textFill>
              </w:rPr>
              <w:t xml:space="preserve">　</w:t>
            </w:r>
            <w:r w:rsidR="00992522" w:rsidRPr="00992522">
              <w:rPr>
                <w:color w:val="000000"/>
                <w:w w:val="20"/>
                <w:shd w:val="solid" w:color="000000" w:fill="000000"/>
                <w:fitText w:val="90" w:id="-1504991487"/>
                <w14:textFill>
                  <w14:solidFill>
                    <w14:srgbClr w14:val="000000">
                      <w14:alpha w14:val="100000"/>
                    </w14:srgbClr>
                  </w14:solidFill>
                </w14:textFill>
              </w:rPr>
              <w:t>|</w:t>
            </w:r>
            <w:r w:rsidR="00992522" w:rsidRPr="00992522">
              <w:rPr>
                <w:rFonts w:hint="eastAsia"/>
                <w:color w:val="000000"/>
                <w:spacing w:val="3"/>
                <w:w w:val="20"/>
                <w:shd w:val="solid" w:color="000000" w:fill="000000"/>
                <w:fitText w:val="90" w:id="-1504991487"/>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16596962" w14:textId="6D490350" w:rsidR="0087215D" w:rsidRPr="009E4EB8" w:rsidRDefault="0087215D" w:rsidP="0087215D">
            <w:pPr>
              <w:pStyle w:val="TableText0"/>
              <w:jc w:val="center"/>
            </w:pPr>
            <w:r w:rsidRPr="009E4EB8">
              <w:t>-</w:t>
            </w:r>
            <w:r w:rsidR="00992522" w:rsidRPr="00992522">
              <w:rPr>
                <w:rFonts w:hint="eastAsia"/>
                <w:color w:val="000000"/>
                <w:w w:val="22"/>
                <w:shd w:val="solid" w:color="000000" w:fill="000000"/>
                <w:fitText w:val="100" w:id="-1504991486"/>
                <w14:textFill>
                  <w14:solidFill>
                    <w14:srgbClr w14:val="000000">
                      <w14:alpha w14:val="100000"/>
                    </w14:srgbClr>
                  </w14:solidFill>
                </w14:textFill>
              </w:rPr>
              <w:t xml:space="preserve">　</w:t>
            </w:r>
            <w:r w:rsidR="00992522" w:rsidRPr="00992522">
              <w:rPr>
                <w:color w:val="000000"/>
                <w:w w:val="22"/>
                <w:shd w:val="solid" w:color="000000" w:fill="000000"/>
                <w:fitText w:val="100" w:id="-1504991486"/>
                <w14:textFill>
                  <w14:solidFill>
                    <w14:srgbClr w14:val="000000">
                      <w14:alpha w14:val="100000"/>
                    </w14:srgbClr>
                  </w14:solidFill>
                </w14:textFill>
              </w:rPr>
              <w:t>|</w:t>
            </w:r>
            <w:r w:rsidR="00992522" w:rsidRPr="00992522">
              <w:rPr>
                <w:rFonts w:hint="eastAsia"/>
                <w:color w:val="000000"/>
                <w:spacing w:val="3"/>
                <w:w w:val="22"/>
                <w:shd w:val="solid" w:color="000000" w:fill="000000"/>
                <w:fitText w:val="100" w:id="-1504991486"/>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7F2C8A66" w14:textId="6C9C5F0D" w:rsidR="0087215D" w:rsidRPr="009E4EB8" w:rsidRDefault="0087215D" w:rsidP="0087215D">
            <w:pPr>
              <w:pStyle w:val="TableText0"/>
              <w:jc w:val="center"/>
            </w:pPr>
            <w:r w:rsidRPr="009E4EB8">
              <w:t>-</w:t>
            </w:r>
            <w:r w:rsidR="00992522" w:rsidRPr="00992522">
              <w:rPr>
                <w:rFonts w:hint="eastAsia"/>
                <w:color w:val="000000"/>
                <w:w w:val="22"/>
                <w:shd w:val="solid" w:color="000000" w:fill="000000"/>
                <w:fitText w:val="100" w:id="-1504991485"/>
                <w14:textFill>
                  <w14:solidFill>
                    <w14:srgbClr w14:val="000000">
                      <w14:alpha w14:val="100000"/>
                    </w14:srgbClr>
                  </w14:solidFill>
                </w14:textFill>
              </w:rPr>
              <w:t xml:space="preserve">　</w:t>
            </w:r>
            <w:r w:rsidR="00992522" w:rsidRPr="00992522">
              <w:rPr>
                <w:color w:val="000000"/>
                <w:w w:val="22"/>
                <w:shd w:val="solid" w:color="000000" w:fill="000000"/>
                <w:fitText w:val="100" w:id="-1504991485"/>
                <w14:textFill>
                  <w14:solidFill>
                    <w14:srgbClr w14:val="000000">
                      <w14:alpha w14:val="100000"/>
                    </w14:srgbClr>
                  </w14:solidFill>
                </w14:textFill>
              </w:rPr>
              <w:t>|</w:t>
            </w:r>
            <w:r w:rsidR="00992522" w:rsidRPr="00992522">
              <w:rPr>
                <w:rFonts w:hint="eastAsia"/>
                <w:color w:val="000000"/>
                <w:spacing w:val="3"/>
                <w:w w:val="22"/>
                <w:shd w:val="solid" w:color="000000" w:fill="000000"/>
                <w:fitText w:val="100" w:id="-1504991485"/>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6AC654ED" w14:textId="4A047ED2" w:rsidR="0087215D" w:rsidRPr="009E4EB8" w:rsidRDefault="0087215D" w:rsidP="0087215D">
            <w:pPr>
              <w:pStyle w:val="TableText0"/>
              <w:jc w:val="center"/>
            </w:pPr>
            <w:r w:rsidRPr="009E4EB8">
              <w:t>-</w:t>
            </w:r>
            <w:r w:rsidR="00992522" w:rsidRPr="00992522">
              <w:rPr>
                <w:rFonts w:hint="eastAsia"/>
                <w:color w:val="000000"/>
                <w:w w:val="22"/>
                <w:shd w:val="solid" w:color="000000" w:fill="000000"/>
                <w:fitText w:val="100" w:id="-1504991484"/>
                <w14:textFill>
                  <w14:solidFill>
                    <w14:srgbClr w14:val="000000">
                      <w14:alpha w14:val="100000"/>
                    </w14:srgbClr>
                  </w14:solidFill>
                </w14:textFill>
              </w:rPr>
              <w:t xml:space="preserve">　</w:t>
            </w:r>
            <w:r w:rsidR="00992522" w:rsidRPr="00992522">
              <w:rPr>
                <w:color w:val="000000"/>
                <w:w w:val="22"/>
                <w:shd w:val="solid" w:color="000000" w:fill="000000"/>
                <w:fitText w:val="100" w:id="-1504991484"/>
                <w14:textFill>
                  <w14:solidFill>
                    <w14:srgbClr w14:val="000000">
                      <w14:alpha w14:val="100000"/>
                    </w14:srgbClr>
                  </w14:solidFill>
                </w14:textFill>
              </w:rPr>
              <w:t>|</w:t>
            </w:r>
            <w:r w:rsidR="00992522" w:rsidRPr="00992522">
              <w:rPr>
                <w:rFonts w:hint="eastAsia"/>
                <w:color w:val="000000"/>
                <w:spacing w:val="3"/>
                <w:w w:val="22"/>
                <w:shd w:val="solid" w:color="000000" w:fill="000000"/>
                <w:fitText w:val="100" w:id="-1504991484"/>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55B4FB43" w14:textId="5EF04853" w:rsidR="0087215D" w:rsidRPr="009E4EB8" w:rsidRDefault="0087215D" w:rsidP="0087215D">
            <w:pPr>
              <w:pStyle w:val="TableText0"/>
              <w:jc w:val="center"/>
            </w:pPr>
            <w:r w:rsidRPr="009E4EB8">
              <w:t>-</w:t>
            </w:r>
            <w:r w:rsidR="00992522" w:rsidRPr="00992522">
              <w:rPr>
                <w:rFonts w:hint="eastAsia"/>
                <w:color w:val="000000"/>
                <w:w w:val="22"/>
                <w:shd w:val="solid" w:color="000000" w:fill="000000"/>
                <w:fitText w:val="100" w:id="-1504991483"/>
                <w14:textFill>
                  <w14:solidFill>
                    <w14:srgbClr w14:val="000000">
                      <w14:alpha w14:val="100000"/>
                    </w14:srgbClr>
                  </w14:solidFill>
                </w14:textFill>
              </w:rPr>
              <w:t xml:space="preserve">　</w:t>
            </w:r>
            <w:r w:rsidR="00992522" w:rsidRPr="00992522">
              <w:rPr>
                <w:color w:val="000000"/>
                <w:w w:val="22"/>
                <w:shd w:val="solid" w:color="000000" w:fill="000000"/>
                <w:fitText w:val="100" w:id="-1504991483"/>
                <w14:textFill>
                  <w14:solidFill>
                    <w14:srgbClr w14:val="000000">
                      <w14:alpha w14:val="100000"/>
                    </w14:srgbClr>
                  </w14:solidFill>
                </w14:textFill>
              </w:rPr>
              <w:t>|</w:t>
            </w:r>
            <w:r w:rsidR="00992522" w:rsidRPr="00992522">
              <w:rPr>
                <w:rFonts w:hint="eastAsia"/>
                <w:color w:val="000000"/>
                <w:spacing w:val="3"/>
                <w:w w:val="22"/>
                <w:shd w:val="solid" w:color="000000" w:fill="000000"/>
                <w:fitText w:val="100" w:id="-1504991483"/>
                <w14:textFill>
                  <w14:solidFill>
                    <w14:srgbClr w14:val="000000">
                      <w14:alpha w14:val="100000"/>
                    </w14:srgbClr>
                  </w14:solidFill>
                </w14:textFill>
              </w:rPr>
              <w:t xml:space="preserve">　</w:t>
            </w:r>
            <w:r w:rsidR="00263DC7">
              <w:rPr>
                <w:szCs w:val="20"/>
                <w:vertAlign w:val="superscript"/>
              </w:rPr>
              <w:t>2</w:t>
            </w:r>
          </w:p>
        </w:tc>
        <w:tc>
          <w:tcPr>
            <w:tcW w:w="592" w:type="pct"/>
            <w:shd w:val="clear" w:color="auto" w:fill="auto"/>
          </w:tcPr>
          <w:p w14:paraId="1B181A3A" w14:textId="78C99130" w:rsidR="0087215D" w:rsidRPr="009E4EB8" w:rsidRDefault="0087215D" w:rsidP="0087215D">
            <w:pPr>
              <w:pStyle w:val="TableText0"/>
              <w:jc w:val="center"/>
            </w:pPr>
            <w:r w:rsidRPr="009E4EB8">
              <w:t>-</w:t>
            </w:r>
            <w:r w:rsidR="00992522" w:rsidRPr="00992522">
              <w:rPr>
                <w:rFonts w:hint="eastAsia"/>
                <w:color w:val="000000"/>
                <w:w w:val="22"/>
                <w:shd w:val="solid" w:color="000000" w:fill="000000"/>
                <w:fitText w:val="100" w:id="-1504991482"/>
                <w14:textFill>
                  <w14:solidFill>
                    <w14:srgbClr w14:val="000000">
                      <w14:alpha w14:val="100000"/>
                    </w14:srgbClr>
                  </w14:solidFill>
                </w14:textFill>
              </w:rPr>
              <w:t xml:space="preserve">　</w:t>
            </w:r>
            <w:r w:rsidR="00992522" w:rsidRPr="00992522">
              <w:rPr>
                <w:color w:val="000000"/>
                <w:w w:val="22"/>
                <w:shd w:val="solid" w:color="000000" w:fill="000000"/>
                <w:fitText w:val="100" w:id="-1504991482"/>
                <w14:textFill>
                  <w14:solidFill>
                    <w14:srgbClr w14:val="000000">
                      <w14:alpha w14:val="100000"/>
                    </w14:srgbClr>
                  </w14:solidFill>
                </w14:textFill>
              </w:rPr>
              <w:t>|</w:t>
            </w:r>
            <w:r w:rsidR="00992522" w:rsidRPr="00992522">
              <w:rPr>
                <w:rFonts w:hint="eastAsia"/>
                <w:color w:val="000000"/>
                <w:spacing w:val="3"/>
                <w:w w:val="22"/>
                <w:shd w:val="solid" w:color="000000" w:fill="000000"/>
                <w:fitText w:val="100" w:id="-1504991482"/>
                <w14:textFill>
                  <w14:solidFill>
                    <w14:srgbClr w14:val="000000">
                      <w14:alpha w14:val="100000"/>
                    </w14:srgbClr>
                  </w14:solidFill>
                </w14:textFill>
              </w:rPr>
              <w:t xml:space="preserve">　</w:t>
            </w:r>
            <w:r w:rsidR="00263DC7">
              <w:rPr>
                <w:szCs w:val="20"/>
                <w:vertAlign w:val="superscript"/>
              </w:rPr>
              <w:t>2</w:t>
            </w:r>
          </w:p>
        </w:tc>
      </w:tr>
      <w:tr w:rsidR="00644D40" w:rsidRPr="009E4EB8" w14:paraId="5990FE8F" w14:textId="77777777" w:rsidTr="006F7A73">
        <w:tc>
          <w:tcPr>
            <w:tcW w:w="5000" w:type="pct"/>
            <w:gridSpan w:val="7"/>
            <w:shd w:val="clear" w:color="auto" w:fill="auto"/>
            <w:vAlign w:val="center"/>
          </w:tcPr>
          <w:p w14:paraId="151173B7" w14:textId="77777777" w:rsidR="00644D40" w:rsidRPr="009E4EB8" w:rsidRDefault="00644D40" w:rsidP="00D041EE">
            <w:pPr>
              <w:pStyle w:val="In-tableHeading"/>
              <w:rPr>
                <w:lang w:val="en-AU"/>
              </w:rPr>
            </w:pPr>
            <w:r w:rsidRPr="009E4EB8">
              <w:rPr>
                <w:lang w:val="en-AU"/>
              </w:rPr>
              <w:t>Net financial implications</w:t>
            </w:r>
            <w:r w:rsidRPr="009E4EB8">
              <w:rPr>
                <w:color w:val="4BACC6" w:themeColor="accent5"/>
                <w:lang w:val="en-AU"/>
              </w:rPr>
              <w:t xml:space="preserve"> </w:t>
            </w:r>
          </w:p>
        </w:tc>
      </w:tr>
      <w:tr w:rsidR="00A80BD3" w:rsidRPr="009E4EB8" w14:paraId="7C2A360F" w14:textId="77777777" w:rsidTr="006F7A73">
        <w:tc>
          <w:tcPr>
            <w:tcW w:w="1443" w:type="pct"/>
            <w:shd w:val="clear" w:color="auto" w:fill="auto"/>
            <w:vAlign w:val="center"/>
          </w:tcPr>
          <w:p w14:paraId="2A828DF1" w14:textId="0B252A12" w:rsidR="00A80BD3" w:rsidRPr="009E4EB8" w:rsidRDefault="00A80BD3" w:rsidP="00A80BD3">
            <w:pPr>
              <w:pStyle w:val="TableText0"/>
              <w:rPr>
                <w:sz w:val="19"/>
                <w:szCs w:val="19"/>
              </w:rPr>
            </w:pPr>
            <w:r w:rsidRPr="009E4EB8">
              <w:rPr>
                <w:sz w:val="19"/>
                <w:szCs w:val="19"/>
              </w:rPr>
              <w:t>Net cost to PBS/RPBS</w:t>
            </w:r>
            <w:r w:rsidR="00263DC7">
              <w:rPr>
                <w:sz w:val="19"/>
                <w:szCs w:val="19"/>
              </w:rPr>
              <w:t xml:space="preserve"> ($)</w:t>
            </w:r>
          </w:p>
        </w:tc>
        <w:tc>
          <w:tcPr>
            <w:tcW w:w="593" w:type="pct"/>
            <w:shd w:val="clear" w:color="auto" w:fill="auto"/>
          </w:tcPr>
          <w:p w14:paraId="6D8C0FCB" w14:textId="610570B3" w:rsidR="00A80BD3" w:rsidRPr="00263DC7" w:rsidRDefault="00992522" w:rsidP="00A80BD3">
            <w:pPr>
              <w:pStyle w:val="TableText0"/>
              <w:jc w:val="center"/>
              <w:rPr>
                <w:highlight w:val="yellow"/>
              </w:rPr>
            </w:pPr>
            <w:r w:rsidRPr="00992522">
              <w:rPr>
                <w:rFonts w:hint="eastAsia"/>
                <w:color w:val="000000"/>
                <w:w w:val="15"/>
                <w:shd w:val="solid" w:color="000000" w:fill="000000"/>
                <w:fitText w:val="70" w:id="-1504991232"/>
                <w14:textFill>
                  <w14:solidFill>
                    <w14:srgbClr w14:val="000000">
                      <w14:alpha w14:val="100000"/>
                    </w14:srgbClr>
                  </w14:solidFill>
                </w14:textFill>
              </w:rPr>
              <w:t xml:space="preserve">　</w:t>
            </w:r>
            <w:r w:rsidRPr="00992522">
              <w:rPr>
                <w:color w:val="000000"/>
                <w:w w:val="15"/>
                <w:shd w:val="solid" w:color="000000" w:fill="000000"/>
                <w:fitText w:val="70" w:id="-1504991232"/>
                <w14:textFill>
                  <w14:solidFill>
                    <w14:srgbClr w14:val="000000">
                      <w14:alpha w14:val="100000"/>
                    </w14:srgbClr>
                  </w14:solidFill>
                </w14:textFill>
              </w:rPr>
              <w:t>|</w:t>
            </w:r>
            <w:r w:rsidRPr="00992522">
              <w:rPr>
                <w:rFonts w:hint="eastAsia"/>
                <w:color w:val="000000"/>
                <w:spacing w:val="4"/>
                <w:w w:val="15"/>
                <w:shd w:val="solid" w:color="000000" w:fill="000000"/>
                <w:fitText w:val="70" w:id="-1504991232"/>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3146D642" w14:textId="7AD65441" w:rsidR="00A80BD3" w:rsidRPr="00263DC7" w:rsidRDefault="00992522" w:rsidP="00A80BD3">
            <w:pPr>
              <w:pStyle w:val="TableText0"/>
              <w:jc w:val="center"/>
              <w:rPr>
                <w:highlight w:val="yellow"/>
              </w:rPr>
            </w:pPr>
            <w:r w:rsidRPr="00992522">
              <w:rPr>
                <w:rFonts w:hint="eastAsia"/>
                <w:color w:val="000000"/>
                <w:w w:val="15"/>
                <w:shd w:val="solid" w:color="000000" w:fill="000000"/>
                <w:fitText w:val="70" w:id="-1504991231"/>
                <w14:textFill>
                  <w14:solidFill>
                    <w14:srgbClr w14:val="000000">
                      <w14:alpha w14:val="100000"/>
                    </w14:srgbClr>
                  </w14:solidFill>
                </w14:textFill>
              </w:rPr>
              <w:t xml:space="preserve">　</w:t>
            </w:r>
            <w:r w:rsidRPr="00992522">
              <w:rPr>
                <w:color w:val="000000"/>
                <w:w w:val="15"/>
                <w:shd w:val="solid" w:color="000000" w:fill="000000"/>
                <w:fitText w:val="70" w:id="-1504991231"/>
                <w14:textFill>
                  <w14:solidFill>
                    <w14:srgbClr w14:val="000000">
                      <w14:alpha w14:val="100000"/>
                    </w14:srgbClr>
                  </w14:solidFill>
                </w14:textFill>
              </w:rPr>
              <w:t>|</w:t>
            </w:r>
            <w:r w:rsidRPr="00992522">
              <w:rPr>
                <w:rFonts w:hint="eastAsia"/>
                <w:color w:val="000000"/>
                <w:spacing w:val="4"/>
                <w:w w:val="15"/>
                <w:shd w:val="solid" w:color="000000" w:fill="000000"/>
                <w:fitText w:val="70" w:id="-1504991231"/>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05967108" w14:textId="7A13D7A0" w:rsidR="00A80BD3" w:rsidRPr="00263DC7" w:rsidRDefault="00992522" w:rsidP="00A80BD3">
            <w:pPr>
              <w:pStyle w:val="TableText0"/>
              <w:jc w:val="center"/>
              <w:rPr>
                <w:highlight w:val="yellow"/>
              </w:rPr>
            </w:pPr>
            <w:r w:rsidRPr="00992522">
              <w:rPr>
                <w:rFonts w:hint="eastAsia"/>
                <w:color w:val="000000"/>
                <w:w w:val="15"/>
                <w:shd w:val="solid" w:color="000000" w:fill="000000"/>
                <w:fitText w:val="70" w:id="-1504991230"/>
                <w14:textFill>
                  <w14:solidFill>
                    <w14:srgbClr w14:val="000000">
                      <w14:alpha w14:val="100000"/>
                    </w14:srgbClr>
                  </w14:solidFill>
                </w14:textFill>
              </w:rPr>
              <w:t xml:space="preserve">　</w:t>
            </w:r>
            <w:r w:rsidRPr="00992522">
              <w:rPr>
                <w:color w:val="000000"/>
                <w:w w:val="15"/>
                <w:shd w:val="solid" w:color="000000" w:fill="000000"/>
                <w:fitText w:val="70" w:id="-1504991230"/>
                <w14:textFill>
                  <w14:solidFill>
                    <w14:srgbClr w14:val="000000">
                      <w14:alpha w14:val="100000"/>
                    </w14:srgbClr>
                  </w14:solidFill>
                </w14:textFill>
              </w:rPr>
              <w:t>|</w:t>
            </w:r>
            <w:r w:rsidRPr="00992522">
              <w:rPr>
                <w:rFonts w:hint="eastAsia"/>
                <w:color w:val="000000"/>
                <w:spacing w:val="4"/>
                <w:w w:val="15"/>
                <w:shd w:val="solid" w:color="000000" w:fill="000000"/>
                <w:fitText w:val="70" w:id="-1504991230"/>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777AE538" w14:textId="556939E9" w:rsidR="00A80BD3" w:rsidRPr="00263DC7" w:rsidRDefault="00992522" w:rsidP="00A80BD3">
            <w:pPr>
              <w:pStyle w:val="TableText0"/>
              <w:jc w:val="center"/>
              <w:rPr>
                <w:highlight w:val="yellow"/>
              </w:rPr>
            </w:pPr>
            <w:r w:rsidRPr="00992522">
              <w:rPr>
                <w:rFonts w:hint="eastAsia"/>
                <w:color w:val="000000"/>
                <w:w w:val="15"/>
                <w:shd w:val="solid" w:color="000000" w:fill="000000"/>
                <w:fitText w:val="70" w:id="-1504991229"/>
                <w14:textFill>
                  <w14:solidFill>
                    <w14:srgbClr w14:val="000000">
                      <w14:alpha w14:val="100000"/>
                    </w14:srgbClr>
                  </w14:solidFill>
                </w14:textFill>
              </w:rPr>
              <w:t xml:space="preserve">　</w:t>
            </w:r>
            <w:r w:rsidRPr="00992522">
              <w:rPr>
                <w:color w:val="000000"/>
                <w:w w:val="15"/>
                <w:shd w:val="solid" w:color="000000" w:fill="000000"/>
                <w:fitText w:val="70" w:id="-1504991229"/>
                <w14:textFill>
                  <w14:solidFill>
                    <w14:srgbClr w14:val="000000">
                      <w14:alpha w14:val="100000"/>
                    </w14:srgbClr>
                  </w14:solidFill>
                </w14:textFill>
              </w:rPr>
              <w:t>|</w:t>
            </w:r>
            <w:r w:rsidRPr="00992522">
              <w:rPr>
                <w:rFonts w:hint="eastAsia"/>
                <w:color w:val="000000"/>
                <w:spacing w:val="4"/>
                <w:w w:val="15"/>
                <w:shd w:val="solid" w:color="000000" w:fill="000000"/>
                <w:fitText w:val="70" w:id="-1504991229"/>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40B880B7" w14:textId="3A457F5B" w:rsidR="00A80BD3" w:rsidRPr="00263DC7" w:rsidRDefault="00992522" w:rsidP="00A80BD3">
            <w:pPr>
              <w:pStyle w:val="TableText0"/>
              <w:jc w:val="center"/>
              <w:rPr>
                <w:highlight w:val="yellow"/>
              </w:rPr>
            </w:pPr>
            <w:r w:rsidRPr="00992522">
              <w:rPr>
                <w:rFonts w:hint="eastAsia"/>
                <w:color w:val="000000"/>
                <w:w w:val="15"/>
                <w:shd w:val="solid" w:color="000000" w:fill="000000"/>
                <w:fitText w:val="70" w:id="-1504991228"/>
                <w14:textFill>
                  <w14:solidFill>
                    <w14:srgbClr w14:val="000000">
                      <w14:alpha w14:val="100000"/>
                    </w14:srgbClr>
                  </w14:solidFill>
                </w14:textFill>
              </w:rPr>
              <w:t xml:space="preserve">　</w:t>
            </w:r>
            <w:r w:rsidRPr="00992522">
              <w:rPr>
                <w:color w:val="000000"/>
                <w:w w:val="15"/>
                <w:shd w:val="solid" w:color="000000" w:fill="000000"/>
                <w:fitText w:val="70" w:id="-1504991228"/>
                <w14:textFill>
                  <w14:solidFill>
                    <w14:srgbClr w14:val="000000">
                      <w14:alpha w14:val="100000"/>
                    </w14:srgbClr>
                  </w14:solidFill>
                </w14:textFill>
              </w:rPr>
              <w:t>|</w:t>
            </w:r>
            <w:r w:rsidRPr="00992522">
              <w:rPr>
                <w:rFonts w:hint="eastAsia"/>
                <w:color w:val="000000"/>
                <w:spacing w:val="4"/>
                <w:w w:val="15"/>
                <w:shd w:val="solid" w:color="000000" w:fill="000000"/>
                <w:fitText w:val="70" w:id="-1504991228"/>
                <w14:textFill>
                  <w14:solidFill>
                    <w14:srgbClr w14:val="000000">
                      <w14:alpha w14:val="100000"/>
                    </w14:srgbClr>
                  </w14:solidFill>
                </w14:textFill>
              </w:rPr>
              <w:t xml:space="preserve">　</w:t>
            </w:r>
            <w:r w:rsidR="00263DC7">
              <w:rPr>
                <w:szCs w:val="20"/>
                <w:vertAlign w:val="superscript"/>
              </w:rPr>
              <w:t>2</w:t>
            </w:r>
          </w:p>
        </w:tc>
        <w:tc>
          <w:tcPr>
            <w:tcW w:w="592" w:type="pct"/>
            <w:shd w:val="clear" w:color="auto" w:fill="auto"/>
          </w:tcPr>
          <w:p w14:paraId="012ED190" w14:textId="1844FA31" w:rsidR="00A80BD3" w:rsidRPr="00263DC7" w:rsidRDefault="00992522" w:rsidP="00A80BD3">
            <w:pPr>
              <w:pStyle w:val="TableText0"/>
              <w:jc w:val="center"/>
              <w:rPr>
                <w:highlight w:val="yellow"/>
              </w:rPr>
            </w:pPr>
            <w:r w:rsidRPr="00992522">
              <w:rPr>
                <w:rFonts w:hint="eastAsia"/>
                <w:color w:val="000000"/>
                <w:w w:val="15"/>
                <w:shd w:val="solid" w:color="000000" w:fill="000000"/>
                <w:fitText w:val="70" w:id="-1504991227"/>
                <w14:textFill>
                  <w14:solidFill>
                    <w14:srgbClr w14:val="000000">
                      <w14:alpha w14:val="100000"/>
                    </w14:srgbClr>
                  </w14:solidFill>
                </w14:textFill>
              </w:rPr>
              <w:t xml:space="preserve">　</w:t>
            </w:r>
            <w:r w:rsidRPr="00992522">
              <w:rPr>
                <w:color w:val="000000"/>
                <w:w w:val="15"/>
                <w:shd w:val="solid" w:color="000000" w:fill="000000"/>
                <w:fitText w:val="70" w:id="-1504991227"/>
                <w14:textFill>
                  <w14:solidFill>
                    <w14:srgbClr w14:val="000000">
                      <w14:alpha w14:val="100000"/>
                    </w14:srgbClr>
                  </w14:solidFill>
                </w14:textFill>
              </w:rPr>
              <w:t>|</w:t>
            </w:r>
            <w:r w:rsidRPr="00992522">
              <w:rPr>
                <w:rFonts w:hint="eastAsia"/>
                <w:color w:val="000000"/>
                <w:spacing w:val="4"/>
                <w:w w:val="15"/>
                <w:shd w:val="solid" w:color="000000" w:fill="000000"/>
                <w:fitText w:val="70" w:id="-1504991227"/>
                <w14:textFill>
                  <w14:solidFill>
                    <w14:srgbClr w14:val="000000">
                      <w14:alpha w14:val="100000"/>
                    </w14:srgbClr>
                  </w14:solidFill>
                </w14:textFill>
              </w:rPr>
              <w:t xml:space="preserve">　</w:t>
            </w:r>
            <w:r w:rsidR="00263DC7">
              <w:rPr>
                <w:szCs w:val="20"/>
                <w:vertAlign w:val="superscript"/>
              </w:rPr>
              <w:t>2</w:t>
            </w:r>
          </w:p>
        </w:tc>
      </w:tr>
      <w:tr w:rsidR="006F7A73" w:rsidRPr="009E4EB8" w14:paraId="5D7C44DF" w14:textId="77777777" w:rsidTr="006F7A73">
        <w:tc>
          <w:tcPr>
            <w:tcW w:w="1443" w:type="pct"/>
            <w:shd w:val="clear" w:color="auto" w:fill="auto"/>
            <w:vAlign w:val="center"/>
          </w:tcPr>
          <w:p w14:paraId="7A68D8DB" w14:textId="6F0D6B8E" w:rsidR="00A80BD3" w:rsidRPr="00263DC7" w:rsidRDefault="00A80BD3" w:rsidP="00A80BD3">
            <w:pPr>
              <w:pStyle w:val="TableText0"/>
              <w:rPr>
                <w:rFonts w:ascii="Times" w:hAnsi="Times"/>
                <w:vertAlign w:val="superscript"/>
              </w:rPr>
            </w:pPr>
            <w:r w:rsidRPr="009E4EB8">
              <w:rPr>
                <w:sz w:val="19"/>
                <w:szCs w:val="19"/>
              </w:rPr>
              <w:t xml:space="preserve">Net cost to </w:t>
            </w:r>
            <w:proofErr w:type="spellStart"/>
            <w:r w:rsidRPr="009E4EB8">
              <w:rPr>
                <w:sz w:val="19"/>
                <w:szCs w:val="19"/>
              </w:rPr>
              <w:t>MBS</w:t>
            </w:r>
            <w:r w:rsidR="00820DF7" w:rsidRPr="009E4EB8">
              <w:rPr>
                <w:sz w:val="19"/>
                <w:szCs w:val="19"/>
                <w:vertAlign w:val="superscript"/>
              </w:rPr>
              <w:t>a</w:t>
            </w:r>
            <w:proofErr w:type="spellEnd"/>
            <w:r w:rsidR="00263DC7">
              <w:rPr>
                <w:sz w:val="19"/>
                <w:szCs w:val="19"/>
                <w:vertAlign w:val="superscript"/>
              </w:rPr>
              <w:t xml:space="preserve"> </w:t>
            </w:r>
            <w:r w:rsidR="00263DC7">
              <w:rPr>
                <w:sz w:val="19"/>
                <w:szCs w:val="19"/>
              </w:rPr>
              <w:t>($)</w:t>
            </w:r>
          </w:p>
        </w:tc>
        <w:tc>
          <w:tcPr>
            <w:tcW w:w="593" w:type="pct"/>
            <w:shd w:val="clear" w:color="auto" w:fill="auto"/>
          </w:tcPr>
          <w:p w14:paraId="2354353C" w14:textId="54AF3D6B" w:rsidR="00A80BD3" w:rsidRPr="009E4EB8" w:rsidRDefault="00A80BD3" w:rsidP="00A80BD3">
            <w:pPr>
              <w:pStyle w:val="TableText0"/>
              <w:jc w:val="center"/>
            </w:pPr>
            <w:r w:rsidRPr="009E4EB8">
              <w:t>-</w:t>
            </w:r>
            <w:r w:rsidR="00992522" w:rsidRPr="00992522">
              <w:rPr>
                <w:rFonts w:hint="eastAsia"/>
                <w:color w:val="000000"/>
                <w:w w:val="20"/>
                <w:shd w:val="solid" w:color="000000" w:fill="000000"/>
                <w:fitText w:val="90" w:id="-1504991226"/>
                <w14:textFill>
                  <w14:solidFill>
                    <w14:srgbClr w14:val="000000">
                      <w14:alpha w14:val="100000"/>
                    </w14:srgbClr>
                  </w14:solidFill>
                </w14:textFill>
              </w:rPr>
              <w:t xml:space="preserve">　</w:t>
            </w:r>
            <w:r w:rsidR="00992522" w:rsidRPr="00992522">
              <w:rPr>
                <w:color w:val="000000"/>
                <w:w w:val="20"/>
                <w:shd w:val="solid" w:color="000000" w:fill="000000"/>
                <w:fitText w:val="90" w:id="-1504991226"/>
                <w14:textFill>
                  <w14:solidFill>
                    <w14:srgbClr w14:val="000000">
                      <w14:alpha w14:val="100000"/>
                    </w14:srgbClr>
                  </w14:solidFill>
                </w14:textFill>
              </w:rPr>
              <w:t>|</w:t>
            </w:r>
            <w:r w:rsidR="00992522" w:rsidRPr="00992522">
              <w:rPr>
                <w:rFonts w:hint="eastAsia"/>
                <w:color w:val="000000"/>
                <w:spacing w:val="3"/>
                <w:w w:val="20"/>
                <w:shd w:val="solid" w:color="000000" w:fill="000000"/>
                <w:fitText w:val="90" w:id="-1504991226"/>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708AF305" w14:textId="4107A9A6" w:rsidR="00A80BD3" w:rsidRPr="009E4EB8" w:rsidRDefault="00A80BD3" w:rsidP="00A80BD3">
            <w:pPr>
              <w:pStyle w:val="TableText0"/>
              <w:jc w:val="center"/>
            </w:pPr>
            <w:r w:rsidRPr="009E4EB8">
              <w:t>-</w:t>
            </w:r>
            <w:r w:rsidR="00992522" w:rsidRPr="00992522">
              <w:rPr>
                <w:rFonts w:hint="eastAsia"/>
                <w:color w:val="000000"/>
                <w:w w:val="22"/>
                <w:shd w:val="solid" w:color="000000" w:fill="000000"/>
                <w:fitText w:val="100" w:id="-1504991225"/>
                <w14:textFill>
                  <w14:solidFill>
                    <w14:srgbClr w14:val="000000">
                      <w14:alpha w14:val="100000"/>
                    </w14:srgbClr>
                  </w14:solidFill>
                </w14:textFill>
              </w:rPr>
              <w:t xml:space="preserve">　</w:t>
            </w:r>
            <w:r w:rsidR="00992522" w:rsidRPr="00992522">
              <w:rPr>
                <w:color w:val="000000"/>
                <w:w w:val="22"/>
                <w:shd w:val="solid" w:color="000000" w:fill="000000"/>
                <w:fitText w:val="100" w:id="-1504991225"/>
                <w14:textFill>
                  <w14:solidFill>
                    <w14:srgbClr w14:val="000000">
                      <w14:alpha w14:val="100000"/>
                    </w14:srgbClr>
                  </w14:solidFill>
                </w14:textFill>
              </w:rPr>
              <w:t>|</w:t>
            </w:r>
            <w:r w:rsidR="00992522" w:rsidRPr="00992522">
              <w:rPr>
                <w:rFonts w:hint="eastAsia"/>
                <w:color w:val="000000"/>
                <w:spacing w:val="3"/>
                <w:w w:val="22"/>
                <w:shd w:val="solid" w:color="000000" w:fill="000000"/>
                <w:fitText w:val="100" w:id="-1504991225"/>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1D99F7D0" w14:textId="161F73FC" w:rsidR="00A80BD3" w:rsidRPr="009E4EB8" w:rsidRDefault="00A80BD3" w:rsidP="00A80BD3">
            <w:pPr>
              <w:pStyle w:val="TableText0"/>
              <w:jc w:val="center"/>
            </w:pPr>
            <w:r w:rsidRPr="009E4EB8">
              <w:t>-</w:t>
            </w:r>
            <w:r w:rsidR="00992522" w:rsidRPr="00992522">
              <w:rPr>
                <w:rFonts w:hint="eastAsia"/>
                <w:color w:val="000000"/>
                <w:w w:val="22"/>
                <w:shd w:val="solid" w:color="000000" w:fill="000000"/>
                <w:fitText w:val="100" w:id="-1504991224"/>
                <w14:textFill>
                  <w14:solidFill>
                    <w14:srgbClr w14:val="000000">
                      <w14:alpha w14:val="100000"/>
                    </w14:srgbClr>
                  </w14:solidFill>
                </w14:textFill>
              </w:rPr>
              <w:t xml:space="preserve">　</w:t>
            </w:r>
            <w:r w:rsidR="00992522" w:rsidRPr="00992522">
              <w:rPr>
                <w:color w:val="000000"/>
                <w:w w:val="22"/>
                <w:shd w:val="solid" w:color="000000" w:fill="000000"/>
                <w:fitText w:val="100" w:id="-1504991224"/>
                <w14:textFill>
                  <w14:solidFill>
                    <w14:srgbClr w14:val="000000">
                      <w14:alpha w14:val="100000"/>
                    </w14:srgbClr>
                  </w14:solidFill>
                </w14:textFill>
              </w:rPr>
              <w:t>|</w:t>
            </w:r>
            <w:r w:rsidR="00992522" w:rsidRPr="00992522">
              <w:rPr>
                <w:rFonts w:hint="eastAsia"/>
                <w:color w:val="000000"/>
                <w:spacing w:val="3"/>
                <w:w w:val="22"/>
                <w:shd w:val="solid" w:color="000000" w:fill="000000"/>
                <w:fitText w:val="100" w:id="-1504991224"/>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36C496BE" w14:textId="1DF4B2E0" w:rsidR="00A80BD3" w:rsidRPr="009E4EB8" w:rsidRDefault="00A80BD3" w:rsidP="00A80BD3">
            <w:pPr>
              <w:pStyle w:val="TableText0"/>
              <w:jc w:val="center"/>
            </w:pPr>
            <w:r w:rsidRPr="009E4EB8">
              <w:t>-</w:t>
            </w:r>
            <w:r w:rsidR="00992522" w:rsidRPr="00992522">
              <w:rPr>
                <w:rFonts w:hint="eastAsia"/>
                <w:color w:val="000000"/>
                <w:w w:val="22"/>
                <w:shd w:val="solid" w:color="000000" w:fill="000000"/>
                <w:fitText w:val="100" w:id="-1504991223"/>
                <w14:textFill>
                  <w14:solidFill>
                    <w14:srgbClr w14:val="000000">
                      <w14:alpha w14:val="100000"/>
                    </w14:srgbClr>
                  </w14:solidFill>
                </w14:textFill>
              </w:rPr>
              <w:t xml:space="preserve">　</w:t>
            </w:r>
            <w:r w:rsidR="00992522" w:rsidRPr="00992522">
              <w:rPr>
                <w:color w:val="000000"/>
                <w:w w:val="22"/>
                <w:shd w:val="solid" w:color="000000" w:fill="000000"/>
                <w:fitText w:val="100" w:id="-1504991223"/>
                <w14:textFill>
                  <w14:solidFill>
                    <w14:srgbClr w14:val="000000">
                      <w14:alpha w14:val="100000"/>
                    </w14:srgbClr>
                  </w14:solidFill>
                </w14:textFill>
              </w:rPr>
              <w:t>|</w:t>
            </w:r>
            <w:r w:rsidR="00992522" w:rsidRPr="00992522">
              <w:rPr>
                <w:rFonts w:hint="eastAsia"/>
                <w:color w:val="000000"/>
                <w:spacing w:val="3"/>
                <w:w w:val="22"/>
                <w:shd w:val="solid" w:color="000000" w:fill="000000"/>
                <w:fitText w:val="100" w:id="-1504991223"/>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2ED7C8FF" w14:textId="4B148837" w:rsidR="00A80BD3" w:rsidRPr="009E4EB8" w:rsidRDefault="00A80BD3" w:rsidP="00A80BD3">
            <w:pPr>
              <w:pStyle w:val="TableText0"/>
              <w:jc w:val="center"/>
            </w:pPr>
            <w:r w:rsidRPr="009E4EB8">
              <w:t>-</w:t>
            </w:r>
            <w:r w:rsidR="00992522" w:rsidRPr="00992522">
              <w:rPr>
                <w:rFonts w:hint="eastAsia"/>
                <w:color w:val="000000"/>
                <w:w w:val="22"/>
                <w:shd w:val="solid" w:color="000000" w:fill="000000"/>
                <w:fitText w:val="100" w:id="-1504991222"/>
                <w14:textFill>
                  <w14:solidFill>
                    <w14:srgbClr w14:val="000000">
                      <w14:alpha w14:val="100000"/>
                    </w14:srgbClr>
                  </w14:solidFill>
                </w14:textFill>
              </w:rPr>
              <w:t xml:space="preserve">　</w:t>
            </w:r>
            <w:r w:rsidR="00992522" w:rsidRPr="00992522">
              <w:rPr>
                <w:color w:val="000000"/>
                <w:w w:val="22"/>
                <w:shd w:val="solid" w:color="000000" w:fill="000000"/>
                <w:fitText w:val="100" w:id="-1504991222"/>
                <w14:textFill>
                  <w14:solidFill>
                    <w14:srgbClr w14:val="000000">
                      <w14:alpha w14:val="100000"/>
                    </w14:srgbClr>
                  </w14:solidFill>
                </w14:textFill>
              </w:rPr>
              <w:t>|</w:t>
            </w:r>
            <w:r w:rsidR="00992522" w:rsidRPr="00992522">
              <w:rPr>
                <w:rFonts w:hint="eastAsia"/>
                <w:color w:val="000000"/>
                <w:spacing w:val="3"/>
                <w:w w:val="22"/>
                <w:shd w:val="solid" w:color="000000" w:fill="000000"/>
                <w:fitText w:val="100" w:id="-1504991222"/>
                <w14:textFill>
                  <w14:solidFill>
                    <w14:srgbClr w14:val="000000">
                      <w14:alpha w14:val="100000"/>
                    </w14:srgbClr>
                  </w14:solidFill>
                </w14:textFill>
              </w:rPr>
              <w:t xml:space="preserve">　</w:t>
            </w:r>
            <w:r w:rsidR="00263DC7">
              <w:rPr>
                <w:szCs w:val="20"/>
                <w:vertAlign w:val="superscript"/>
              </w:rPr>
              <w:t>2</w:t>
            </w:r>
          </w:p>
        </w:tc>
        <w:tc>
          <w:tcPr>
            <w:tcW w:w="592" w:type="pct"/>
            <w:shd w:val="clear" w:color="auto" w:fill="auto"/>
          </w:tcPr>
          <w:p w14:paraId="2746AD8A" w14:textId="44FD301F" w:rsidR="00A80BD3" w:rsidRPr="009E4EB8" w:rsidRDefault="00A80BD3" w:rsidP="00A80BD3">
            <w:pPr>
              <w:pStyle w:val="TableText0"/>
              <w:jc w:val="center"/>
            </w:pPr>
            <w:r w:rsidRPr="009E4EB8">
              <w:t>-</w:t>
            </w:r>
            <w:r w:rsidR="00992522" w:rsidRPr="00992522">
              <w:rPr>
                <w:rFonts w:hint="eastAsia"/>
                <w:color w:val="000000"/>
                <w:w w:val="22"/>
                <w:shd w:val="solid" w:color="000000" w:fill="000000"/>
                <w:fitText w:val="100" w:id="-1504991221"/>
                <w14:textFill>
                  <w14:solidFill>
                    <w14:srgbClr w14:val="000000">
                      <w14:alpha w14:val="100000"/>
                    </w14:srgbClr>
                  </w14:solidFill>
                </w14:textFill>
              </w:rPr>
              <w:t xml:space="preserve">　</w:t>
            </w:r>
            <w:r w:rsidR="00992522" w:rsidRPr="00992522">
              <w:rPr>
                <w:color w:val="000000"/>
                <w:w w:val="22"/>
                <w:shd w:val="solid" w:color="000000" w:fill="000000"/>
                <w:fitText w:val="100" w:id="-1504991221"/>
                <w14:textFill>
                  <w14:solidFill>
                    <w14:srgbClr w14:val="000000">
                      <w14:alpha w14:val="100000"/>
                    </w14:srgbClr>
                  </w14:solidFill>
                </w14:textFill>
              </w:rPr>
              <w:t>|</w:t>
            </w:r>
            <w:r w:rsidR="00992522" w:rsidRPr="00992522">
              <w:rPr>
                <w:rFonts w:hint="eastAsia"/>
                <w:color w:val="000000"/>
                <w:spacing w:val="3"/>
                <w:w w:val="22"/>
                <w:shd w:val="solid" w:color="000000" w:fill="000000"/>
                <w:fitText w:val="100" w:id="-1504991221"/>
                <w14:textFill>
                  <w14:solidFill>
                    <w14:srgbClr w14:val="000000">
                      <w14:alpha w14:val="100000"/>
                    </w14:srgbClr>
                  </w14:solidFill>
                </w14:textFill>
              </w:rPr>
              <w:t xml:space="preserve">　</w:t>
            </w:r>
            <w:r w:rsidR="00263DC7">
              <w:rPr>
                <w:szCs w:val="20"/>
                <w:vertAlign w:val="superscript"/>
              </w:rPr>
              <w:t>2</w:t>
            </w:r>
          </w:p>
        </w:tc>
      </w:tr>
      <w:tr w:rsidR="006F7A73" w:rsidRPr="009E4EB8" w14:paraId="58923AD6" w14:textId="77777777" w:rsidTr="006F7A73">
        <w:tc>
          <w:tcPr>
            <w:tcW w:w="1443" w:type="pct"/>
            <w:shd w:val="clear" w:color="auto" w:fill="auto"/>
            <w:vAlign w:val="center"/>
          </w:tcPr>
          <w:p w14:paraId="036B12A1" w14:textId="1A133CBA" w:rsidR="006F7A73" w:rsidRPr="009E4EB8" w:rsidRDefault="006F7A73" w:rsidP="006F7A73">
            <w:pPr>
              <w:pStyle w:val="TableText0"/>
              <w:rPr>
                <w:sz w:val="19"/>
                <w:szCs w:val="19"/>
              </w:rPr>
            </w:pPr>
            <w:r w:rsidRPr="009E4EB8">
              <w:rPr>
                <w:sz w:val="19"/>
                <w:szCs w:val="19"/>
              </w:rPr>
              <w:t>Net cost to PBS/RPBS/MBS</w:t>
            </w:r>
            <w:r w:rsidR="00263DC7">
              <w:rPr>
                <w:sz w:val="19"/>
                <w:szCs w:val="19"/>
              </w:rPr>
              <w:t xml:space="preserve"> ($)</w:t>
            </w:r>
          </w:p>
        </w:tc>
        <w:tc>
          <w:tcPr>
            <w:tcW w:w="593" w:type="pct"/>
            <w:shd w:val="clear" w:color="auto" w:fill="auto"/>
          </w:tcPr>
          <w:p w14:paraId="3DB66861" w14:textId="1A5749BF" w:rsidR="006F7A73" w:rsidRPr="00263DC7" w:rsidRDefault="00992522" w:rsidP="006F7A73">
            <w:pPr>
              <w:pStyle w:val="TableText0"/>
              <w:jc w:val="center"/>
              <w:rPr>
                <w:highlight w:val="yellow"/>
              </w:rPr>
            </w:pPr>
            <w:r w:rsidRPr="00992522">
              <w:rPr>
                <w:rFonts w:hint="eastAsia"/>
                <w:b/>
                <w:color w:val="000000"/>
                <w:w w:val="24"/>
                <w:szCs w:val="20"/>
                <w:shd w:val="solid" w:color="000000" w:fill="000000"/>
                <w:fitText w:val="110" w:id="-1504991220"/>
                <w14:textFill>
                  <w14:solidFill>
                    <w14:srgbClr w14:val="000000">
                      <w14:alpha w14:val="100000"/>
                    </w14:srgbClr>
                  </w14:solidFill>
                </w14:textFill>
              </w:rPr>
              <w:t xml:space="preserve">　</w:t>
            </w:r>
            <w:r w:rsidRPr="00992522">
              <w:rPr>
                <w:b/>
                <w:color w:val="000000"/>
                <w:w w:val="24"/>
                <w:szCs w:val="20"/>
                <w:shd w:val="solid" w:color="000000" w:fill="000000"/>
                <w:fitText w:val="110" w:id="-1504991220"/>
                <w14:textFill>
                  <w14:solidFill>
                    <w14:srgbClr w14:val="000000">
                      <w14:alpha w14:val="100000"/>
                    </w14:srgbClr>
                  </w14:solidFill>
                </w14:textFill>
              </w:rPr>
              <w:t>|</w:t>
            </w:r>
            <w:r w:rsidRPr="00992522">
              <w:rPr>
                <w:rFonts w:hint="eastAsia"/>
                <w:b/>
                <w:color w:val="000000"/>
                <w:spacing w:val="5"/>
                <w:w w:val="24"/>
                <w:szCs w:val="20"/>
                <w:shd w:val="solid" w:color="000000" w:fill="000000"/>
                <w:fitText w:val="110" w:id="-1504991220"/>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19CF2C6E" w14:textId="0EBF21DB" w:rsidR="006F7A73" w:rsidRPr="00263DC7" w:rsidRDefault="00992522" w:rsidP="006F7A73">
            <w:pPr>
              <w:pStyle w:val="TableText0"/>
              <w:jc w:val="center"/>
              <w:rPr>
                <w:highlight w:val="yellow"/>
              </w:rPr>
            </w:pPr>
            <w:r w:rsidRPr="00992522">
              <w:rPr>
                <w:rFonts w:hint="eastAsia"/>
                <w:b/>
                <w:color w:val="000000"/>
                <w:w w:val="24"/>
                <w:szCs w:val="20"/>
                <w:shd w:val="solid" w:color="000000" w:fill="000000"/>
                <w:fitText w:val="110" w:id="-1504991219"/>
                <w14:textFill>
                  <w14:solidFill>
                    <w14:srgbClr w14:val="000000">
                      <w14:alpha w14:val="100000"/>
                    </w14:srgbClr>
                  </w14:solidFill>
                </w14:textFill>
              </w:rPr>
              <w:t xml:space="preserve">　</w:t>
            </w:r>
            <w:r w:rsidRPr="00992522">
              <w:rPr>
                <w:b/>
                <w:color w:val="000000"/>
                <w:w w:val="24"/>
                <w:szCs w:val="20"/>
                <w:shd w:val="solid" w:color="000000" w:fill="000000"/>
                <w:fitText w:val="110" w:id="-1504991219"/>
                <w14:textFill>
                  <w14:solidFill>
                    <w14:srgbClr w14:val="000000">
                      <w14:alpha w14:val="100000"/>
                    </w14:srgbClr>
                  </w14:solidFill>
                </w14:textFill>
              </w:rPr>
              <w:t>|</w:t>
            </w:r>
            <w:r w:rsidRPr="00992522">
              <w:rPr>
                <w:rFonts w:hint="eastAsia"/>
                <w:b/>
                <w:color w:val="000000"/>
                <w:spacing w:val="5"/>
                <w:w w:val="24"/>
                <w:szCs w:val="20"/>
                <w:shd w:val="solid" w:color="000000" w:fill="000000"/>
                <w:fitText w:val="110" w:id="-1504991219"/>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3BE82D9C" w14:textId="6530754B" w:rsidR="006F7A73" w:rsidRPr="00263DC7" w:rsidRDefault="00992522" w:rsidP="006F7A73">
            <w:pPr>
              <w:pStyle w:val="TableText0"/>
              <w:jc w:val="center"/>
              <w:rPr>
                <w:highlight w:val="yellow"/>
              </w:rPr>
            </w:pPr>
            <w:r w:rsidRPr="00992522">
              <w:rPr>
                <w:rFonts w:hint="eastAsia"/>
                <w:b/>
                <w:color w:val="000000"/>
                <w:w w:val="24"/>
                <w:szCs w:val="20"/>
                <w:shd w:val="solid" w:color="000000" w:fill="000000"/>
                <w:fitText w:val="110" w:id="-1504991218"/>
                <w14:textFill>
                  <w14:solidFill>
                    <w14:srgbClr w14:val="000000">
                      <w14:alpha w14:val="100000"/>
                    </w14:srgbClr>
                  </w14:solidFill>
                </w14:textFill>
              </w:rPr>
              <w:t xml:space="preserve">　</w:t>
            </w:r>
            <w:r w:rsidRPr="00992522">
              <w:rPr>
                <w:b/>
                <w:color w:val="000000"/>
                <w:w w:val="24"/>
                <w:szCs w:val="20"/>
                <w:shd w:val="solid" w:color="000000" w:fill="000000"/>
                <w:fitText w:val="110" w:id="-1504991218"/>
                <w14:textFill>
                  <w14:solidFill>
                    <w14:srgbClr w14:val="000000">
                      <w14:alpha w14:val="100000"/>
                    </w14:srgbClr>
                  </w14:solidFill>
                </w14:textFill>
              </w:rPr>
              <w:t>|</w:t>
            </w:r>
            <w:r w:rsidRPr="00992522">
              <w:rPr>
                <w:rFonts w:hint="eastAsia"/>
                <w:b/>
                <w:color w:val="000000"/>
                <w:spacing w:val="5"/>
                <w:w w:val="24"/>
                <w:szCs w:val="20"/>
                <w:shd w:val="solid" w:color="000000" w:fill="000000"/>
                <w:fitText w:val="110" w:id="-1504991218"/>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552A959C" w14:textId="3FF3A25A" w:rsidR="006F7A73" w:rsidRPr="00263DC7" w:rsidRDefault="00992522" w:rsidP="006F7A73">
            <w:pPr>
              <w:pStyle w:val="TableText0"/>
              <w:jc w:val="center"/>
              <w:rPr>
                <w:highlight w:val="yellow"/>
              </w:rPr>
            </w:pPr>
            <w:r w:rsidRPr="00992522">
              <w:rPr>
                <w:rFonts w:hint="eastAsia"/>
                <w:b/>
                <w:color w:val="000000"/>
                <w:w w:val="24"/>
                <w:szCs w:val="20"/>
                <w:shd w:val="solid" w:color="000000" w:fill="000000"/>
                <w:fitText w:val="110" w:id="-1504991217"/>
                <w14:textFill>
                  <w14:solidFill>
                    <w14:srgbClr w14:val="000000">
                      <w14:alpha w14:val="100000"/>
                    </w14:srgbClr>
                  </w14:solidFill>
                </w14:textFill>
              </w:rPr>
              <w:t xml:space="preserve">　</w:t>
            </w:r>
            <w:r w:rsidRPr="00992522">
              <w:rPr>
                <w:b/>
                <w:color w:val="000000"/>
                <w:w w:val="24"/>
                <w:szCs w:val="20"/>
                <w:shd w:val="solid" w:color="000000" w:fill="000000"/>
                <w:fitText w:val="110" w:id="-1504991217"/>
                <w14:textFill>
                  <w14:solidFill>
                    <w14:srgbClr w14:val="000000">
                      <w14:alpha w14:val="100000"/>
                    </w14:srgbClr>
                  </w14:solidFill>
                </w14:textFill>
              </w:rPr>
              <w:t>|</w:t>
            </w:r>
            <w:r w:rsidRPr="00992522">
              <w:rPr>
                <w:rFonts w:hint="eastAsia"/>
                <w:b/>
                <w:color w:val="000000"/>
                <w:spacing w:val="5"/>
                <w:w w:val="24"/>
                <w:szCs w:val="20"/>
                <w:shd w:val="solid" w:color="000000" w:fill="000000"/>
                <w:fitText w:val="110" w:id="-1504991217"/>
                <w14:textFill>
                  <w14:solidFill>
                    <w14:srgbClr w14:val="000000">
                      <w14:alpha w14:val="100000"/>
                    </w14:srgbClr>
                  </w14:solidFill>
                </w14:textFill>
              </w:rPr>
              <w:t xml:space="preserve">　</w:t>
            </w:r>
            <w:r w:rsidR="00263DC7">
              <w:rPr>
                <w:szCs w:val="20"/>
                <w:vertAlign w:val="superscript"/>
              </w:rPr>
              <w:t>2</w:t>
            </w:r>
          </w:p>
        </w:tc>
        <w:tc>
          <w:tcPr>
            <w:tcW w:w="593" w:type="pct"/>
            <w:shd w:val="clear" w:color="auto" w:fill="auto"/>
          </w:tcPr>
          <w:p w14:paraId="5DBA56A4" w14:textId="2C188CA4" w:rsidR="006F7A73" w:rsidRPr="00263DC7" w:rsidRDefault="00992522" w:rsidP="006F7A73">
            <w:pPr>
              <w:pStyle w:val="TableText0"/>
              <w:jc w:val="center"/>
              <w:rPr>
                <w:highlight w:val="yellow"/>
              </w:rPr>
            </w:pPr>
            <w:r w:rsidRPr="00992522">
              <w:rPr>
                <w:rFonts w:hint="eastAsia"/>
                <w:b/>
                <w:color w:val="000000"/>
                <w:w w:val="24"/>
                <w:szCs w:val="20"/>
                <w:shd w:val="solid" w:color="000000" w:fill="000000"/>
                <w:fitText w:val="110" w:id="-1504991216"/>
                <w14:textFill>
                  <w14:solidFill>
                    <w14:srgbClr w14:val="000000">
                      <w14:alpha w14:val="100000"/>
                    </w14:srgbClr>
                  </w14:solidFill>
                </w14:textFill>
              </w:rPr>
              <w:t xml:space="preserve">　</w:t>
            </w:r>
            <w:r w:rsidRPr="00992522">
              <w:rPr>
                <w:b/>
                <w:color w:val="000000"/>
                <w:w w:val="24"/>
                <w:szCs w:val="20"/>
                <w:shd w:val="solid" w:color="000000" w:fill="000000"/>
                <w:fitText w:val="110" w:id="-1504991216"/>
                <w14:textFill>
                  <w14:solidFill>
                    <w14:srgbClr w14:val="000000">
                      <w14:alpha w14:val="100000"/>
                    </w14:srgbClr>
                  </w14:solidFill>
                </w14:textFill>
              </w:rPr>
              <w:t>|</w:t>
            </w:r>
            <w:r w:rsidRPr="00992522">
              <w:rPr>
                <w:rFonts w:hint="eastAsia"/>
                <w:b/>
                <w:color w:val="000000"/>
                <w:spacing w:val="5"/>
                <w:w w:val="24"/>
                <w:szCs w:val="20"/>
                <w:shd w:val="solid" w:color="000000" w:fill="000000"/>
                <w:fitText w:val="110" w:id="-1504991216"/>
                <w14:textFill>
                  <w14:solidFill>
                    <w14:srgbClr w14:val="000000">
                      <w14:alpha w14:val="100000"/>
                    </w14:srgbClr>
                  </w14:solidFill>
                </w14:textFill>
              </w:rPr>
              <w:t xml:space="preserve">　</w:t>
            </w:r>
            <w:r w:rsidR="00263DC7">
              <w:rPr>
                <w:szCs w:val="20"/>
                <w:vertAlign w:val="superscript"/>
              </w:rPr>
              <w:t>2</w:t>
            </w:r>
          </w:p>
        </w:tc>
        <w:tc>
          <w:tcPr>
            <w:tcW w:w="592" w:type="pct"/>
            <w:shd w:val="clear" w:color="auto" w:fill="auto"/>
          </w:tcPr>
          <w:p w14:paraId="509AAAAB" w14:textId="108CEF92" w:rsidR="006F7A73" w:rsidRPr="00263DC7" w:rsidRDefault="00992522" w:rsidP="006F7A73">
            <w:pPr>
              <w:pStyle w:val="TableText0"/>
              <w:jc w:val="center"/>
              <w:rPr>
                <w:highlight w:val="yellow"/>
              </w:rPr>
            </w:pPr>
            <w:r w:rsidRPr="00992522">
              <w:rPr>
                <w:rFonts w:hint="eastAsia"/>
                <w:b/>
                <w:color w:val="000000"/>
                <w:w w:val="24"/>
                <w:szCs w:val="20"/>
                <w:shd w:val="solid" w:color="000000" w:fill="000000"/>
                <w:fitText w:val="110" w:id="-1504991232"/>
                <w14:textFill>
                  <w14:solidFill>
                    <w14:srgbClr w14:val="000000">
                      <w14:alpha w14:val="100000"/>
                    </w14:srgbClr>
                  </w14:solidFill>
                </w14:textFill>
              </w:rPr>
              <w:t xml:space="preserve">　</w:t>
            </w:r>
            <w:r w:rsidRPr="00992522">
              <w:rPr>
                <w:b/>
                <w:color w:val="000000"/>
                <w:w w:val="24"/>
                <w:szCs w:val="20"/>
                <w:shd w:val="solid" w:color="000000" w:fill="000000"/>
                <w:fitText w:val="110" w:id="-1504991232"/>
                <w14:textFill>
                  <w14:solidFill>
                    <w14:srgbClr w14:val="000000">
                      <w14:alpha w14:val="100000"/>
                    </w14:srgbClr>
                  </w14:solidFill>
                </w14:textFill>
              </w:rPr>
              <w:t>|</w:t>
            </w:r>
            <w:r w:rsidRPr="00992522">
              <w:rPr>
                <w:rFonts w:hint="eastAsia"/>
                <w:b/>
                <w:color w:val="000000"/>
                <w:spacing w:val="5"/>
                <w:w w:val="24"/>
                <w:szCs w:val="20"/>
                <w:shd w:val="solid" w:color="000000" w:fill="000000"/>
                <w:fitText w:val="110" w:id="-1504991232"/>
                <w14:textFill>
                  <w14:solidFill>
                    <w14:srgbClr w14:val="000000">
                      <w14:alpha w14:val="100000"/>
                    </w14:srgbClr>
                  </w14:solidFill>
                </w14:textFill>
              </w:rPr>
              <w:t xml:space="preserve">　</w:t>
            </w:r>
            <w:r w:rsidR="00263DC7">
              <w:rPr>
                <w:szCs w:val="20"/>
                <w:vertAlign w:val="superscript"/>
              </w:rPr>
              <w:t>2</w:t>
            </w:r>
          </w:p>
        </w:tc>
      </w:tr>
    </w:tbl>
    <w:p w14:paraId="11A78F02" w14:textId="73694EF0" w:rsidR="0087215D" w:rsidRPr="009E4EB8" w:rsidRDefault="00644D40" w:rsidP="0087215D">
      <w:pPr>
        <w:pStyle w:val="TableFigureFooter"/>
      </w:pPr>
      <w:r w:rsidRPr="009E4EB8">
        <w:t xml:space="preserve">Source: </w:t>
      </w:r>
      <w:r w:rsidR="00666E74" w:rsidRPr="009E4EB8">
        <w:t>Table 4-7, p167</w:t>
      </w:r>
      <w:r w:rsidR="00D86AF5" w:rsidRPr="009E4EB8">
        <w:t xml:space="preserve">; </w:t>
      </w:r>
      <w:r w:rsidR="00D86AF5" w:rsidRPr="009E4EB8">
        <w:rPr>
          <w:rStyle w:val="FontBold"/>
          <w:rFonts w:ascii="Arial Narrow" w:hAnsi="Arial Narrow"/>
          <w:b w:val="0"/>
          <w:sz w:val="18"/>
          <w:szCs w:val="18"/>
        </w:rPr>
        <w:t>Table 4-8, p168;</w:t>
      </w:r>
      <w:r w:rsidR="00522151" w:rsidRPr="009E4EB8">
        <w:rPr>
          <w:rStyle w:val="FontBold"/>
          <w:rFonts w:ascii="Arial Narrow" w:hAnsi="Arial Narrow"/>
          <w:b w:val="0"/>
          <w:sz w:val="18"/>
          <w:szCs w:val="18"/>
        </w:rPr>
        <w:t xml:space="preserve"> Table 4-10, p169</w:t>
      </w:r>
      <w:r w:rsidR="0087215D" w:rsidRPr="009E4EB8">
        <w:rPr>
          <w:rStyle w:val="FontBold"/>
          <w:rFonts w:ascii="Arial Narrow" w:hAnsi="Arial Narrow"/>
          <w:b w:val="0"/>
          <w:sz w:val="18"/>
          <w:szCs w:val="18"/>
        </w:rPr>
        <w:t xml:space="preserve">; Table 4-14, p161; </w:t>
      </w:r>
      <w:r w:rsidR="00A80BD3" w:rsidRPr="009E4EB8">
        <w:t>Table 4-18, p173</w:t>
      </w:r>
      <w:r w:rsidR="006F7A73" w:rsidRPr="009E4EB8">
        <w:t>; Table 4-19, p174</w:t>
      </w:r>
      <w:r w:rsidR="00666E74" w:rsidRPr="009E4EB8">
        <w:t xml:space="preserve"> of the resubmission  </w:t>
      </w:r>
    </w:p>
    <w:p w14:paraId="4FD76DC1" w14:textId="5F72C5FF" w:rsidR="00644D40" w:rsidRPr="009E4EB8" w:rsidRDefault="00644D40" w:rsidP="00644D40">
      <w:pPr>
        <w:pStyle w:val="TableFigureFooter"/>
        <w:rPr>
          <w:rStyle w:val="FontBold"/>
          <w:rFonts w:ascii="Arial Narrow" w:hAnsi="Arial Narrow"/>
          <w:b w:val="0"/>
          <w:sz w:val="18"/>
          <w:szCs w:val="18"/>
        </w:rPr>
      </w:pPr>
      <w:r w:rsidRPr="009E4EB8">
        <w:rPr>
          <w:szCs w:val="18"/>
        </w:rPr>
        <w:t xml:space="preserve">Abbreviations: </w:t>
      </w:r>
      <w:r w:rsidR="006F7A73" w:rsidRPr="009E4EB8">
        <w:t>MBS = Medicare Benefits Schedule;</w:t>
      </w:r>
      <w:r w:rsidR="006F7A73" w:rsidRPr="009E4EB8">
        <w:rPr>
          <w:rStyle w:val="FontBold"/>
          <w:rFonts w:ascii="Arial Narrow" w:hAnsi="Arial Narrow"/>
          <w:b w:val="0"/>
          <w:sz w:val="18"/>
          <w:szCs w:val="18"/>
        </w:rPr>
        <w:t xml:space="preserve"> </w:t>
      </w:r>
      <w:r w:rsidR="00666E74" w:rsidRPr="009E4EB8">
        <w:rPr>
          <w:rStyle w:val="FontBold"/>
          <w:rFonts w:ascii="Arial Narrow" w:hAnsi="Arial Narrow"/>
          <w:b w:val="0"/>
          <w:sz w:val="18"/>
          <w:szCs w:val="18"/>
        </w:rPr>
        <w:t xml:space="preserve">PBS = Pharmaceutical Benefits Scheme; </w:t>
      </w:r>
      <w:r w:rsidR="0087215D" w:rsidRPr="009E4EB8">
        <w:rPr>
          <w:rFonts w:eastAsiaTheme="majorEastAsia" w:cstheme="majorBidi"/>
          <w:szCs w:val="18"/>
          <w:lang w:eastAsia="en-US" w:bidi="en-US"/>
        </w:rPr>
        <w:t>RPBS = Repatriation Schedule of Pharmaceutical Benefits</w:t>
      </w:r>
      <w:r w:rsidR="00185948" w:rsidRPr="009E4EB8">
        <w:rPr>
          <w:rFonts w:eastAsiaTheme="majorEastAsia" w:cstheme="majorBidi"/>
          <w:szCs w:val="18"/>
          <w:lang w:eastAsia="en-US" w:bidi="en-US"/>
        </w:rPr>
        <w:t xml:space="preserve">; </w:t>
      </w:r>
      <w:r w:rsidR="00666E74" w:rsidRPr="009E4EB8">
        <w:rPr>
          <w:rStyle w:val="FontBold"/>
          <w:rFonts w:ascii="Arial Narrow" w:hAnsi="Arial Narrow"/>
          <w:b w:val="0"/>
          <w:sz w:val="18"/>
          <w:szCs w:val="18"/>
        </w:rPr>
        <w:t>Sd = selinexor + dexamethasone</w:t>
      </w:r>
    </w:p>
    <w:p w14:paraId="3AF7DF9F" w14:textId="1A431C5F" w:rsidR="00820DF7" w:rsidRPr="009E4EB8" w:rsidRDefault="00820DF7" w:rsidP="00263DC7">
      <w:pPr>
        <w:pStyle w:val="TableFigureFooter"/>
        <w:keepNext/>
        <w:spacing w:after="0"/>
        <w:rPr>
          <w:vertAlign w:val="superscript"/>
        </w:rPr>
      </w:pPr>
      <w:proofErr w:type="gramStart"/>
      <w:r w:rsidRPr="009E4EB8">
        <w:rPr>
          <w:vertAlign w:val="superscript"/>
        </w:rPr>
        <w:t>a</w:t>
      </w:r>
      <w:proofErr w:type="gramEnd"/>
      <w:r w:rsidRPr="009E4EB8">
        <w:rPr>
          <w:vertAlign w:val="superscript"/>
        </w:rPr>
        <w:t xml:space="preserve"> </w:t>
      </w:r>
      <w:r w:rsidRPr="009E4EB8">
        <w:t>MBS item 13950.</w:t>
      </w:r>
    </w:p>
    <w:p w14:paraId="1EABAB60" w14:textId="77777777" w:rsidR="00263DC7" w:rsidRPr="009A6D58" w:rsidRDefault="00263DC7" w:rsidP="00263DC7">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ADA3CB2" w14:textId="53B2321D" w:rsidR="00263DC7" w:rsidRPr="009A6D58" w:rsidRDefault="00263DC7" w:rsidP="00263DC7">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263DC7">
        <w:rPr>
          <w:rFonts w:ascii="Arial Narrow" w:hAnsi="Arial Narrow"/>
          <w:i/>
          <w:sz w:val="18"/>
          <w:szCs w:val="18"/>
        </w:rPr>
        <w:t>&lt; 500</w:t>
      </w:r>
    </w:p>
    <w:p w14:paraId="615742B1" w14:textId="178B8479" w:rsidR="00263DC7" w:rsidRPr="009A6D58" w:rsidRDefault="00263DC7" w:rsidP="00263DC7">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bookmarkStart w:id="79" w:name="_Hlk103610558"/>
      <w:r w:rsidRPr="00263DC7">
        <w:rPr>
          <w:rFonts w:ascii="Arial Narrow" w:hAnsi="Arial Narrow"/>
          <w:i/>
          <w:sz w:val="18"/>
          <w:szCs w:val="18"/>
        </w:rPr>
        <w:t>$0 to &lt; $10 million</w:t>
      </w:r>
    </w:p>
    <w:bookmarkEnd w:id="79"/>
    <w:p w14:paraId="6BA66BD2" w14:textId="32295895" w:rsidR="00263DC7" w:rsidRDefault="00263DC7" w:rsidP="00263DC7">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263DC7">
        <w:rPr>
          <w:rFonts w:ascii="Arial Narrow" w:hAnsi="Arial Narrow"/>
          <w:i/>
          <w:sz w:val="18"/>
          <w:szCs w:val="18"/>
        </w:rPr>
        <w:t>500 to &lt; 5,000</w:t>
      </w:r>
    </w:p>
    <w:p w14:paraId="5122A12D" w14:textId="77777777" w:rsidR="00820DF7" w:rsidRPr="009E4EB8" w:rsidRDefault="00820DF7" w:rsidP="00644D40">
      <w:pPr>
        <w:pStyle w:val="TableFigureFooter"/>
        <w:rPr>
          <w:szCs w:val="18"/>
        </w:rPr>
      </w:pPr>
    </w:p>
    <w:p w14:paraId="3F460CC1" w14:textId="4BC7EA5E" w:rsidR="0083442E" w:rsidRPr="009E4EB8" w:rsidRDefault="009F1BC4" w:rsidP="0083442E">
      <w:pPr>
        <w:pStyle w:val="3-BodyText"/>
      </w:pPr>
      <w:r w:rsidRPr="009E4EB8">
        <w:t xml:space="preserve">The total cost to the PBS/RPBS of listing selinexor was estimated to be </w:t>
      </w:r>
      <w:r w:rsidR="00263DC7" w:rsidRPr="00263DC7">
        <w:t>$0</w:t>
      </w:r>
      <w:r w:rsidR="00263DC7">
        <w:t> </w:t>
      </w:r>
      <w:r w:rsidR="00263DC7" w:rsidRPr="00263DC7">
        <w:t>to</w:t>
      </w:r>
      <w:r w:rsidR="00263DC7">
        <w:t> </w:t>
      </w:r>
      <w:r w:rsidR="00263DC7" w:rsidRPr="00263DC7">
        <w:t>&lt;</w:t>
      </w:r>
      <w:r w:rsidR="00263DC7">
        <w:t> </w:t>
      </w:r>
      <w:r w:rsidR="00263DC7" w:rsidRPr="00263DC7">
        <w:t>$10 million</w:t>
      </w:r>
      <w:r w:rsidR="00263DC7">
        <w:t xml:space="preserve"> </w:t>
      </w:r>
      <w:r w:rsidRPr="009E4EB8">
        <w:t xml:space="preserve">in Year 6, and a total of </w:t>
      </w:r>
      <w:r w:rsidR="005152B8" w:rsidRPr="00263DC7">
        <w:t>$</w:t>
      </w:r>
      <w:r w:rsidR="005152B8">
        <w:t>1</w:t>
      </w:r>
      <w:r w:rsidR="005152B8" w:rsidRPr="00263DC7">
        <w:t>0</w:t>
      </w:r>
      <w:r w:rsidR="005152B8">
        <w:t> </w:t>
      </w:r>
      <w:r w:rsidR="005152B8" w:rsidRPr="00263DC7">
        <w:t>to</w:t>
      </w:r>
      <w:r w:rsidR="005152B8">
        <w:t> </w:t>
      </w:r>
      <w:r w:rsidR="005152B8" w:rsidRPr="00263DC7">
        <w:t>&lt;</w:t>
      </w:r>
      <w:r w:rsidR="005152B8">
        <w:t> </w:t>
      </w:r>
      <w:r w:rsidR="005152B8" w:rsidRPr="00263DC7">
        <w:t>$</w:t>
      </w:r>
      <w:r w:rsidR="005152B8">
        <w:t>2</w:t>
      </w:r>
      <w:r w:rsidR="005152B8" w:rsidRPr="00263DC7">
        <w:t>0 million</w:t>
      </w:r>
      <w:r w:rsidR="005152B8">
        <w:t xml:space="preserve"> </w:t>
      </w:r>
      <w:r w:rsidRPr="009E4EB8">
        <w:t xml:space="preserve">in the first 6 years of listing. </w:t>
      </w:r>
      <w:r w:rsidR="00997D39" w:rsidRPr="009E4EB8">
        <w:t xml:space="preserve">This was significantly reduced from the estimates in the July 2021 submission, in which the total cost to the PBS/RPBS of listing selinexor was estimated to be </w:t>
      </w:r>
      <w:r w:rsidR="005152B8" w:rsidRPr="00263DC7">
        <w:t>$</w:t>
      </w:r>
      <w:r w:rsidR="005152B8">
        <w:t>3</w:t>
      </w:r>
      <w:r w:rsidR="005152B8" w:rsidRPr="00263DC7">
        <w:t>0</w:t>
      </w:r>
      <w:r w:rsidR="005152B8">
        <w:t> </w:t>
      </w:r>
      <w:r w:rsidR="005152B8" w:rsidRPr="00263DC7">
        <w:t>to</w:t>
      </w:r>
      <w:r w:rsidR="005152B8">
        <w:t> </w:t>
      </w:r>
      <w:r w:rsidR="005152B8" w:rsidRPr="00263DC7">
        <w:t>&lt;</w:t>
      </w:r>
      <w:r w:rsidR="005152B8">
        <w:t> </w:t>
      </w:r>
      <w:r w:rsidR="005152B8" w:rsidRPr="00263DC7">
        <w:t>$</w:t>
      </w:r>
      <w:r w:rsidR="005152B8">
        <w:t>4</w:t>
      </w:r>
      <w:r w:rsidR="005152B8" w:rsidRPr="00263DC7">
        <w:t>0 million</w:t>
      </w:r>
      <w:r w:rsidR="005152B8">
        <w:t xml:space="preserve"> </w:t>
      </w:r>
      <w:r w:rsidR="00997D39" w:rsidRPr="009E4EB8">
        <w:t xml:space="preserve">in the first 6 years of listing. </w:t>
      </w:r>
      <w:r w:rsidR="0083442E" w:rsidRPr="009E4EB8">
        <w:t>The results of key sensitivity analyses are summarised in</w:t>
      </w:r>
      <w:r w:rsidR="00793FD4" w:rsidRPr="009E4EB8">
        <w:t xml:space="preserve"> Table 1</w:t>
      </w:r>
      <w:r w:rsidR="008C7DAA" w:rsidRPr="009E4EB8">
        <w:t>8</w:t>
      </w:r>
      <w:r w:rsidR="0083442E" w:rsidRPr="009E4EB8">
        <w:t xml:space="preserve">. </w:t>
      </w:r>
    </w:p>
    <w:p w14:paraId="65C68BE9" w14:textId="1835ADC4" w:rsidR="0083442E" w:rsidRPr="009E4EB8" w:rsidRDefault="0083442E" w:rsidP="0083442E">
      <w:pPr>
        <w:pStyle w:val="Caption"/>
        <w:keepNext/>
        <w:spacing w:after="0"/>
        <w:rPr>
          <w:rFonts w:ascii="Arial Narrow" w:hAnsi="Arial Narrow"/>
          <w:color w:val="auto"/>
          <w:sz w:val="20"/>
          <w:szCs w:val="20"/>
        </w:rPr>
      </w:pPr>
      <w:bookmarkStart w:id="80" w:name="_Ref91094212"/>
      <w:r w:rsidRPr="009E4EB8">
        <w:rPr>
          <w:rFonts w:ascii="Arial Narrow" w:hAnsi="Arial Narrow"/>
          <w:color w:val="auto"/>
          <w:sz w:val="20"/>
          <w:szCs w:val="20"/>
        </w:rPr>
        <w:t xml:space="preserve">Table </w:t>
      </w:r>
      <w:r w:rsidRPr="009E4EB8">
        <w:rPr>
          <w:rFonts w:ascii="Arial Narrow" w:hAnsi="Arial Narrow"/>
          <w:color w:val="auto"/>
          <w:sz w:val="20"/>
          <w:szCs w:val="20"/>
        </w:rPr>
        <w:fldChar w:fldCharType="begin"/>
      </w:r>
      <w:r w:rsidRPr="009E4EB8">
        <w:rPr>
          <w:rFonts w:ascii="Arial Narrow" w:hAnsi="Arial Narrow"/>
          <w:color w:val="auto"/>
          <w:sz w:val="20"/>
          <w:szCs w:val="20"/>
        </w:rPr>
        <w:instrText xml:space="preserve"> SEQ Table \* ARABIC </w:instrText>
      </w:r>
      <w:r w:rsidRPr="009E4EB8">
        <w:rPr>
          <w:rFonts w:ascii="Arial Narrow" w:hAnsi="Arial Narrow"/>
          <w:color w:val="auto"/>
          <w:sz w:val="20"/>
          <w:szCs w:val="20"/>
        </w:rPr>
        <w:fldChar w:fldCharType="separate"/>
      </w:r>
      <w:r w:rsidR="00964E38">
        <w:rPr>
          <w:rFonts w:ascii="Arial Narrow" w:hAnsi="Arial Narrow"/>
          <w:noProof/>
          <w:color w:val="auto"/>
          <w:sz w:val="20"/>
          <w:szCs w:val="20"/>
        </w:rPr>
        <w:t>18</w:t>
      </w:r>
      <w:r w:rsidRPr="009E4EB8">
        <w:rPr>
          <w:rFonts w:ascii="Arial Narrow" w:hAnsi="Arial Narrow"/>
          <w:color w:val="auto"/>
          <w:sz w:val="20"/>
          <w:szCs w:val="20"/>
        </w:rPr>
        <w:fldChar w:fldCharType="end"/>
      </w:r>
      <w:bookmarkEnd w:id="80"/>
      <w:r w:rsidRPr="009E4EB8">
        <w:rPr>
          <w:rFonts w:ascii="Arial Narrow" w:hAnsi="Arial Narrow"/>
          <w:color w:val="auto"/>
          <w:sz w:val="20"/>
          <w:szCs w:val="20"/>
        </w:rPr>
        <w:t xml:space="preserve">: Results of sensitivity analyses </w:t>
      </w:r>
      <w:r w:rsidR="00F216F8" w:rsidRPr="009E4EB8">
        <w:rPr>
          <w:rFonts w:ascii="Arial Narrow" w:hAnsi="Arial Narrow"/>
          <w:color w:val="auto"/>
          <w:sz w:val="20"/>
          <w:szCs w:val="20"/>
        </w:rPr>
        <w:t>on net cost to PBS/RPBS</w:t>
      </w:r>
      <w:r w:rsidR="00F216F8" w:rsidRPr="009E4EB8" w:rsidDel="00F216F8">
        <w:rPr>
          <w:rFonts w:ascii="Arial Narrow" w:hAnsi="Arial Narrow"/>
          <w:color w:val="auto"/>
          <w:sz w:val="20"/>
          <w:szCs w:val="20"/>
        </w:rPr>
        <w:t xml:space="preserve"> </w:t>
      </w:r>
      <w:r w:rsidR="005D718D" w:rsidRPr="009E4EB8">
        <w:rPr>
          <w:rFonts w:ascii="Arial Narrow" w:hAnsi="Arial Narrow"/>
          <w:color w:val="auto"/>
          <w:sz w:val="20"/>
          <w:szCs w:val="20"/>
        </w:rPr>
        <w:t>(effective)</w:t>
      </w:r>
    </w:p>
    <w:tbl>
      <w:tblPr>
        <w:tblStyle w:val="MRKDossierTable"/>
        <w:tblW w:w="5000" w:type="pct"/>
        <w:tblInd w:w="0" w:type="dxa"/>
        <w:tblLayout w:type="fixed"/>
        <w:tblCellMar>
          <w:left w:w="28" w:type="dxa"/>
          <w:right w:w="0" w:type="dxa"/>
        </w:tblCellMar>
        <w:tblLook w:val="04A0" w:firstRow="1" w:lastRow="0" w:firstColumn="1" w:lastColumn="0" w:noHBand="0" w:noVBand="1"/>
      </w:tblPr>
      <w:tblGrid>
        <w:gridCol w:w="1682"/>
        <w:gridCol w:w="1081"/>
        <w:gridCol w:w="912"/>
        <w:gridCol w:w="912"/>
        <w:gridCol w:w="913"/>
        <w:gridCol w:w="912"/>
        <w:gridCol w:w="912"/>
        <w:gridCol w:w="913"/>
        <w:gridCol w:w="774"/>
      </w:tblGrid>
      <w:tr w:rsidR="00691460" w:rsidRPr="009E4EB8" w14:paraId="07587310" w14:textId="77777777" w:rsidTr="00B20F49">
        <w:trPr>
          <w:cnfStyle w:val="100000000000" w:firstRow="1" w:lastRow="0" w:firstColumn="0" w:lastColumn="0" w:oddVBand="0" w:evenVBand="0" w:oddHBand="0" w:evenHBand="0" w:firstRowFirstColumn="0" w:firstRowLastColumn="0" w:lastRowFirstColumn="0" w:lastRowLastColumn="0"/>
        </w:trPr>
        <w:tc>
          <w:tcPr>
            <w:tcW w:w="16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247646" w14:textId="77777777" w:rsidR="0083442E" w:rsidRPr="009E4EB8" w:rsidRDefault="0083442E" w:rsidP="00D041EE">
            <w:pPr>
              <w:keepNext/>
              <w:spacing w:before="0" w:beforeAutospacing="0" w:after="0" w:afterAutospacing="0"/>
              <w:jc w:val="center"/>
              <w:rPr>
                <w:rFonts w:ascii="Arial Narrow" w:hAnsi="Arial Narrow"/>
                <w:sz w:val="20"/>
                <w:szCs w:val="20"/>
                <w:lang w:val="en-AU"/>
              </w:rPr>
            </w:pPr>
            <w:r w:rsidRPr="009E4EB8">
              <w:rPr>
                <w:rFonts w:ascii="Arial Narrow" w:hAnsi="Arial Narrow"/>
                <w:sz w:val="20"/>
                <w:szCs w:val="20"/>
                <w:lang w:val="en-AU"/>
              </w:rPr>
              <w:t>Sensitivity analysis (base case)</w:t>
            </w:r>
          </w:p>
        </w:tc>
        <w:tc>
          <w:tcPr>
            <w:tcW w:w="10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DA57F6" w14:textId="77777777" w:rsidR="0083442E" w:rsidRPr="009E4EB8" w:rsidRDefault="0083442E" w:rsidP="00D041EE">
            <w:pPr>
              <w:keepNext/>
              <w:spacing w:before="0" w:beforeAutospacing="0" w:after="0" w:afterAutospacing="0"/>
              <w:jc w:val="center"/>
              <w:rPr>
                <w:rFonts w:ascii="Arial Narrow" w:hAnsi="Arial Narrow"/>
                <w:sz w:val="20"/>
                <w:szCs w:val="20"/>
                <w:lang w:val="en-AU"/>
              </w:rPr>
            </w:pPr>
            <w:r w:rsidRPr="009E4EB8">
              <w:rPr>
                <w:rFonts w:ascii="Arial Narrow" w:hAnsi="Arial Narrow"/>
                <w:sz w:val="20"/>
                <w:szCs w:val="20"/>
                <w:lang w:val="en-AU"/>
              </w:rPr>
              <w:t>Values</w:t>
            </w:r>
          </w:p>
        </w:tc>
        <w:tc>
          <w:tcPr>
            <w:tcW w:w="9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6D4E03" w14:textId="34EBB075" w:rsidR="0083442E" w:rsidRPr="009E4EB8" w:rsidRDefault="0083442E" w:rsidP="00D041EE">
            <w:pPr>
              <w:keepNext/>
              <w:spacing w:before="0" w:beforeAutospacing="0" w:after="0" w:afterAutospacing="0"/>
              <w:jc w:val="center"/>
              <w:rPr>
                <w:rFonts w:ascii="Arial Narrow" w:hAnsi="Arial Narrow"/>
                <w:sz w:val="20"/>
                <w:szCs w:val="20"/>
                <w:lang w:val="en-AU"/>
              </w:rPr>
            </w:pPr>
            <w:r w:rsidRPr="009E4EB8">
              <w:rPr>
                <w:rFonts w:ascii="Arial Narrow" w:hAnsi="Arial Narrow"/>
                <w:sz w:val="20"/>
                <w:szCs w:val="20"/>
                <w:lang w:val="en-AU"/>
              </w:rPr>
              <w:t>2022 (</w:t>
            </w:r>
            <w:proofErr w:type="spellStart"/>
            <w:r w:rsidRPr="009E4EB8">
              <w:rPr>
                <w:rFonts w:ascii="Arial Narrow" w:hAnsi="Arial Narrow"/>
                <w:sz w:val="20"/>
                <w:szCs w:val="20"/>
                <w:lang w:val="en-AU"/>
              </w:rPr>
              <w:t>Yr</w:t>
            </w:r>
            <w:proofErr w:type="spellEnd"/>
            <w:r w:rsidRPr="009E4EB8">
              <w:rPr>
                <w:rFonts w:ascii="Arial Narrow" w:hAnsi="Arial Narrow"/>
                <w:sz w:val="20"/>
                <w:szCs w:val="20"/>
                <w:lang w:val="en-AU"/>
              </w:rPr>
              <w:t xml:space="preserve"> 1)</w:t>
            </w:r>
            <w:r w:rsidR="00192427">
              <w:rPr>
                <w:rFonts w:ascii="Arial Narrow" w:hAnsi="Arial Narrow"/>
                <w:sz w:val="20"/>
                <w:szCs w:val="20"/>
                <w:lang w:val="en-AU"/>
              </w:rPr>
              <w:t xml:space="preserve"> ($)</w:t>
            </w:r>
          </w:p>
        </w:tc>
        <w:tc>
          <w:tcPr>
            <w:tcW w:w="9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56942C" w14:textId="673258EC" w:rsidR="0083442E" w:rsidRPr="009E4EB8" w:rsidRDefault="0083442E" w:rsidP="00D041EE">
            <w:pPr>
              <w:keepNext/>
              <w:spacing w:before="0" w:beforeAutospacing="0" w:after="0" w:afterAutospacing="0"/>
              <w:jc w:val="center"/>
              <w:rPr>
                <w:rFonts w:ascii="Arial Narrow" w:hAnsi="Arial Narrow"/>
                <w:sz w:val="20"/>
                <w:szCs w:val="20"/>
                <w:lang w:val="en-AU"/>
              </w:rPr>
            </w:pPr>
            <w:r w:rsidRPr="009E4EB8">
              <w:rPr>
                <w:rFonts w:ascii="Arial Narrow" w:hAnsi="Arial Narrow"/>
                <w:sz w:val="20"/>
                <w:szCs w:val="20"/>
                <w:lang w:val="en-AU"/>
              </w:rPr>
              <w:t>2023</w:t>
            </w:r>
            <w:r w:rsidR="00192427">
              <w:rPr>
                <w:rFonts w:ascii="Arial Narrow" w:hAnsi="Arial Narrow"/>
                <w:sz w:val="20"/>
                <w:szCs w:val="20"/>
                <w:lang w:val="en-AU"/>
              </w:rPr>
              <w:t xml:space="preserve"> ($)</w:t>
            </w:r>
          </w:p>
        </w:tc>
        <w:tc>
          <w:tcPr>
            <w:tcW w:w="9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7F0F9C" w14:textId="7E2D421D" w:rsidR="0083442E" w:rsidRPr="009E4EB8" w:rsidRDefault="0083442E" w:rsidP="00D041EE">
            <w:pPr>
              <w:keepNext/>
              <w:spacing w:before="0" w:beforeAutospacing="0" w:after="0" w:afterAutospacing="0"/>
              <w:jc w:val="center"/>
              <w:rPr>
                <w:rFonts w:ascii="Arial Narrow" w:hAnsi="Arial Narrow"/>
                <w:sz w:val="20"/>
                <w:szCs w:val="20"/>
                <w:lang w:val="en-AU"/>
              </w:rPr>
            </w:pPr>
            <w:r w:rsidRPr="009E4EB8">
              <w:rPr>
                <w:rFonts w:ascii="Arial Narrow" w:hAnsi="Arial Narrow"/>
                <w:sz w:val="20"/>
                <w:szCs w:val="20"/>
                <w:lang w:val="en-AU"/>
              </w:rPr>
              <w:t>2024</w:t>
            </w:r>
            <w:r w:rsidR="00192427">
              <w:rPr>
                <w:rFonts w:ascii="Arial Narrow" w:hAnsi="Arial Narrow"/>
                <w:sz w:val="20"/>
                <w:szCs w:val="20"/>
                <w:lang w:val="en-AU"/>
              </w:rPr>
              <w:t xml:space="preserve"> ($)</w:t>
            </w:r>
          </w:p>
        </w:tc>
        <w:tc>
          <w:tcPr>
            <w:tcW w:w="9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86B348" w14:textId="3B28213C" w:rsidR="0083442E" w:rsidRPr="009E4EB8" w:rsidRDefault="0083442E" w:rsidP="00D041EE">
            <w:pPr>
              <w:keepNext/>
              <w:spacing w:before="0" w:beforeAutospacing="0" w:after="0" w:afterAutospacing="0"/>
              <w:jc w:val="center"/>
              <w:rPr>
                <w:rFonts w:ascii="Arial Narrow" w:hAnsi="Arial Narrow"/>
                <w:sz w:val="20"/>
                <w:szCs w:val="20"/>
                <w:lang w:val="en-AU"/>
              </w:rPr>
            </w:pPr>
            <w:r w:rsidRPr="009E4EB8">
              <w:rPr>
                <w:rFonts w:ascii="Arial Narrow" w:hAnsi="Arial Narrow"/>
                <w:sz w:val="20"/>
                <w:szCs w:val="20"/>
                <w:lang w:val="en-AU"/>
              </w:rPr>
              <w:t>2025</w:t>
            </w:r>
            <w:r w:rsidR="00192427">
              <w:rPr>
                <w:rFonts w:ascii="Arial Narrow" w:hAnsi="Arial Narrow"/>
                <w:sz w:val="20"/>
                <w:szCs w:val="20"/>
                <w:lang w:val="en-AU"/>
              </w:rPr>
              <w:t xml:space="preserve"> ($)</w:t>
            </w:r>
          </w:p>
        </w:tc>
        <w:tc>
          <w:tcPr>
            <w:tcW w:w="9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98A24D" w14:textId="6172E7AC" w:rsidR="0083442E" w:rsidRPr="009E4EB8" w:rsidRDefault="0083442E" w:rsidP="00D041EE">
            <w:pPr>
              <w:keepNext/>
              <w:spacing w:before="0" w:beforeAutospacing="0" w:after="0" w:afterAutospacing="0"/>
              <w:jc w:val="center"/>
              <w:rPr>
                <w:rFonts w:ascii="Arial Narrow" w:hAnsi="Arial Narrow"/>
                <w:sz w:val="20"/>
                <w:szCs w:val="20"/>
                <w:lang w:val="en-AU"/>
              </w:rPr>
            </w:pPr>
            <w:r w:rsidRPr="009E4EB8">
              <w:rPr>
                <w:rFonts w:ascii="Arial Narrow" w:hAnsi="Arial Narrow"/>
                <w:sz w:val="20"/>
                <w:szCs w:val="20"/>
                <w:lang w:val="en-AU"/>
              </w:rPr>
              <w:t>2026</w:t>
            </w:r>
            <w:r w:rsidR="00192427">
              <w:rPr>
                <w:rFonts w:ascii="Arial Narrow" w:hAnsi="Arial Narrow"/>
                <w:sz w:val="20"/>
                <w:szCs w:val="20"/>
                <w:lang w:val="en-AU"/>
              </w:rPr>
              <w:t xml:space="preserve"> ($)</w:t>
            </w:r>
          </w:p>
        </w:tc>
        <w:tc>
          <w:tcPr>
            <w:tcW w:w="9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97594F" w14:textId="646D2348" w:rsidR="0083442E" w:rsidRPr="009E4EB8" w:rsidRDefault="0083442E" w:rsidP="00D041EE">
            <w:pPr>
              <w:keepNext/>
              <w:spacing w:before="0" w:beforeAutospacing="0" w:after="0" w:afterAutospacing="0"/>
              <w:jc w:val="center"/>
              <w:rPr>
                <w:rFonts w:ascii="Arial Narrow" w:hAnsi="Arial Narrow"/>
                <w:sz w:val="20"/>
                <w:szCs w:val="20"/>
                <w:lang w:val="en-AU"/>
              </w:rPr>
            </w:pPr>
            <w:r w:rsidRPr="009E4EB8">
              <w:rPr>
                <w:rFonts w:ascii="Arial Narrow" w:hAnsi="Arial Narrow"/>
                <w:sz w:val="20"/>
                <w:szCs w:val="20"/>
                <w:lang w:val="en-AU"/>
              </w:rPr>
              <w:t>2027</w:t>
            </w:r>
            <w:r w:rsidR="00192427">
              <w:rPr>
                <w:rFonts w:ascii="Arial Narrow" w:hAnsi="Arial Narrow"/>
                <w:sz w:val="20"/>
                <w:szCs w:val="20"/>
                <w:lang w:val="en-AU"/>
              </w:rPr>
              <w:t xml:space="preserve"> ($)</w:t>
            </w:r>
          </w:p>
        </w:tc>
        <w:tc>
          <w:tcPr>
            <w:tcW w:w="7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4A16C5" w14:textId="77777777" w:rsidR="0083442E" w:rsidRPr="009E4EB8" w:rsidRDefault="0083442E" w:rsidP="009D36D6">
            <w:pPr>
              <w:keepNext/>
              <w:jc w:val="center"/>
              <w:rPr>
                <w:rFonts w:ascii="Arial Narrow" w:hAnsi="Arial Narrow"/>
                <w:iCs/>
                <w:sz w:val="20"/>
                <w:szCs w:val="20"/>
                <w:vertAlign w:val="superscript"/>
                <w:lang w:val="en-AU"/>
              </w:rPr>
            </w:pPr>
            <w:r w:rsidRPr="009E4EB8">
              <w:rPr>
                <w:rFonts w:ascii="Arial Narrow" w:hAnsi="Arial Narrow"/>
                <w:iCs/>
                <w:sz w:val="20"/>
                <w:szCs w:val="20"/>
                <w:lang w:val="en-AU"/>
              </w:rPr>
              <w:t xml:space="preserve">Change </w:t>
            </w:r>
            <w:r w:rsidRPr="009E4EB8">
              <w:rPr>
                <w:rFonts w:ascii="Arial Narrow" w:hAnsi="Arial Narrow"/>
                <w:iCs/>
                <w:sz w:val="20"/>
                <w:szCs w:val="20"/>
                <w:vertAlign w:val="superscript"/>
                <w:lang w:val="en-AU"/>
              </w:rPr>
              <w:t>c</w:t>
            </w:r>
          </w:p>
        </w:tc>
      </w:tr>
      <w:tr w:rsidR="00B20F49" w:rsidRPr="009E4EB8" w14:paraId="4F42CD44" w14:textId="77777777" w:rsidTr="00B20F49">
        <w:tc>
          <w:tcPr>
            <w:tcW w:w="1682" w:type="dxa"/>
            <w:tcBorders>
              <w:top w:val="single" w:sz="6" w:space="0" w:color="000000"/>
              <w:left w:val="single" w:sz="6" w:space="0" w:color="000000"/>
              <w:bottom w:val="single" w:sz="6" w:space="0" w:color="000000"/>
              <w:right w:val="single" w:sz="6" w:space="0" w:color="000000"/>
            </w:tcBorders>
            <w:vAlign w:val="center"/>
            <w:hideMark/>
          </w:tcPr>
          <w:p w14:paraId="6742EB13" w14:textId="77777777" w:rsidR="0083442E" w:rsidRPr="009E4EB8" w:rsidRDefault="0083442E" w:rsidP="00D041EE">
            <w:pPr>
              <w:keepNext/>
              <w:jc w:val="left"/>
              <w:rPr>
                <w:rFonts w:ascii="Arial Narrow" w:hAnsi="Arial Narrow"/>
                <w:b/>
                <w:bCs/>
                <w:sz w:val="20"/>
                <w:szCs w:val="20"/>
                <w:lang w:val="en-AU"/>
              </w:rPr>
            </w:pPr>
            <w:r w:rsidRPr="009E4EB8">
              <w:rPr>
                <w:rFonts w:ascii="Arial Narrow" w:hAnsi="Arial Narrow"/>
                <w:b/>
                <w:bCs/>
                <w:sz w:val="20"/>
                <w:szCs w:val="20"/>
                <w:lang w:val="en-AU"/>
              </w:rPr>
              <w:t xml:space="preserve">Base-case </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0D4135EF" w14:textId="77777777" w:rsidR="0083442E" w:rsidRPr="009E4EB8" w:rsidRDefault="0083442E" w:rsidP="00D041EE">
            <w:pPr>
              <w:keepNext/>
              <w:jc w:val="center"/>
              <w:rPr>
                <w:rFonts w:ascii="Arial Narrow" w:hAnsi="Arial Narrow"/>
                <w:b/>
                <w:bCs/>
                <w:sz w:val="20"/>
                <w:szCs w:val="20"/>
                <w:lang w:val="en-AU"/>
              </w:rPr>
            </w:pPr>
            <w:r w:rsidRPr="009E4EB8">
              <w:rPr>
                <w:rFonts w:ascii="Arial Narrow" w:hAnsi="Arial Narrow"/>
                <w:b/>
                <w:bCs/>
                <w:sz w:val="20"/>
                <w:szCs w:val="20"/>
                <w:lang w:val="en-AU"/>
              </w:rPr>
              <w:t>-</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19BED93C" w14:textId="079DEFE7" w:rsidR="0083442E" w:rsidRPr="00E70651" w:rsidRDefault="00992522" w:rsidP="00D041EE">
            <w:pPr>
              <w:keepNext/>
              <w:jc w:val="center"/>
              <w:rPr>
                <w:rFonts w:ascii="Arial Narrow" w:hAnsi="Arial Narrow"/>
                <w:b/>
                <w:bCs/>
                <w:sz w:val="20"/>
                <w:szCs w:val="20"/>
                <w:highlight w:val="yellow"/>
                <w:vertAlign w:val="superscript"/>
                <w:lang w:val="en-AU"/>
              </w:rPr>
            </w:pPr>
            <w:r w:rsidRPr="00992522">
              <w:rPr>
                <w:rFonts w:ascii="Arial Narrow" w:hAnsi="Arial Narrow"/>
                <w:b/>
                <w:bCs/>
                <w:color w:val="000000"/>
                <w:spacing w:val="88"/>
                <w:sz w:val="20"/>
                <w:szCs w:val="20"/>
                <w:shd w:val="solid" w:color="000000" w:fill="000000"/>
                <w:fitText w:val="180" w:id="-1504991231"/>
                <w:lang w:val="en-AU"/>
                <w14:textFill>
                  <w14:solidFill>
                    <w14:srgbClr w14:val="000000">
                      <w14:alpha w14:val="100000"/>
                    </w14:srgbClr>
                  </w14:solidFill>
                </w14:textFill>
              </w:rPr>
              <w:t>|</w:t>
            </w:r>
            <w:r w:rsidRPr="00992522">
              <w:rPr>
                <w:rFonts w:ascii="Arial Narrow" w:hAnsi="Arial Narrow"/>
                <w:b/>
                <w:bCs/>
                <w:color w:val="000000"/>
                <w:spacing w:val="1"/>
                <w:sz w:val="20"/>
                <w:szCs w:val="20"/>
                <w:shd w:val="solid" w:color="000000" w:fill="000000"/>
                <w:fitText w:val="180" w:id="-1504991231"/>
                <w:lang w:val="en-AU"/>
                <w14:textFill>
                  <w14:solidFill>
                    <w14:srgbClr w14:val="000000">
                      <w14:alpha w14:val="100000"/>
                    </w14:srgbClr>
                  </w14:solidFill>
                </w14:textFill>
              </w:rPr>
              <w:t>|</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49A08A3E" w14:textId="0529E96E" w:rsidR="0083442E" w:rsidRPr="00192427" w:rsidRDefault="00992522" w:rsidP="00D041EE">
            <w:pPr>
              <w:keepNext/>
              <w:jc w:val="center"/>
              <w:rPr>
                <w:rFonts w:ascii="Arial Narrow" w:hAnsi="Arial Narrow"/>
                <w:b/>
                <w:bCs/>
                <w:sz w:val="20"/>
                <w:szCs w:val="20"/>
                <w:highlight w:val="yellow"/>
                <w:lang w:val="en-AU"/>
              </w:rPr>
            </w:pPr>
            <w:r w:rsidRPr="00992522">
              <w:rPr>
                <w:rFonts w:ascii="Arial Narrow" w:hAnsi="Arial Narrow"/>
                <w:b/>
                <w:bCs/>
                <w:color w:val="000000"/>
                <w:spacing w:val="88"/>
                <w:sz w:val="20"/>
                <w:szCs w:val="20"/>
                <w:shd w:val="solid" w:color="000000" w:fill="000000"/>
                <w:fitText w:val="180" w:id="-1504991230"/>
                <w:lang w:val="en-AU"/>
                <w14:textFill>
                  <w14:solidFill>
                    <w14:srgbClr w14:val="000000">
                      <w14:alpha w14:val="100000"/>
                    </w14:srgbClr>
                  </w14:solidFill>
                </w14:textFill>
              </w:rPr>
              <w:t>|</w:t>
            </w:r>
            <w:r w:rsidRPr="00992522">
              <w:rPr>
                <w:rFonts w:ascii="Arial Narrow" w:hAnsi="Arial Narrow"/>
                <w:b/>
                <w:bCs/>
                <w:color w:val="000000"/>
                <w:spacing w:val="1"/>
                <w:sz w:val="20"/>
                <w:szCs w:val="20"/>
                <w:shd w:val="solid" w:color="000000" w:fill="000000"/>
                <w:fitText w:val="180" w:id="-1504991230"/>
                <w:lang w:val="en-AU"/>
                <w14:textFill>
                  <w14:solidFill>
                    <w14:srgbClr w14:val="000000">
                      <w14:alpha w14:val="100000"/>
                    </w14:srgbClr>
                  </w14:solidFill>
                </w14:textFill>
              </w:rPr>
              <w:t>|</w:t>
            </w:r>
            <w:r w:rsidR="00E70651" w:rsidRPr="00E70651">
              <w:rPr>
                <w:rFonts w:ascii="Arial Narrow" w:hAnsi="Arial Narrow"/>
                <w:b/>
                <w:bCs/>
                <w:sz w:val="20"/>
                <w:szCs w:val="20"/>
                <w:vertAlign w:val="superscript"/>
                <w:lang w:val="en-AU"/>
              </w:rPr>
              <w:t>1</w:t>
            </w:r>
          </w:p>
        </w:tc>
        <w:tc>
          <w:tcPr>
            <w:tcW w:w="913" w:type="dxa"/>
            <w:tcBorders>
              <w:top w:val="single" w:sz="6" w:space="0" w:color="000000"/>
              <w:left w:val="single" w:sz="6" w:space="0" w:color="000000"/>
              <w:bottom w:val="single" w:sz="6" w:space="0" w:color="000000"/>
              <w:right w:val="single" w:sz="6" w:space="0" w:color="000000"/>
            </w:tcBorders>
            <w:vAlign w:val="center"/>
            <w:hideMark/>
          </w:tcPr>
          <w:p w14:paraId="2EE45640" w14:textId="7E1531D6" w:rsidR="0083442E" w:rsidRPr="00192427" w:rsidRDefault="00992522" w:rsidP="00D041EE">
            <w:pPr>
              <w:keepNext/>
              <w:jc w:val="center"/>
              <w:rPr>
                <w:rFonts w:ascii="Arial Narrow" w:hAnsi="Arial Narrow"/>
                <w:b/>
                <w:bCs/>
                <w:sz w:val="20"/>
                <w:szCs w:val="20"/>
                <w:highlight w:val="yellow"/>
                <w:lang w:val="en-AU"/>
              </w:rPr>
            </w:pPr>
            <w:r w:rsidRPr="00992522">
              <w:rPr>
                <w:rFonts w:ascii="Arial Narrow" w:hAnsi="Arial Narrow"/>
                <w:b/>
                <w:bCs/>
                <w:color w:val="000000"/>
                <w:spacing w:val="88"/>
                <w:sz w:val="20"/>
                <w:szCs w:val="20"/>
                <w:shd w:val="solid" w:color="000000" w:fill="000000"/>
                <w:fitText w:val="180" w:id="-1504991229"/>
                <w:lang w:val="en-AU"/>
                <w14:textFill>
                  <w14:solidFill>
                    <w14:srgbClr w14:val="000000">
                      <w14:alpha w14:val="100000"/>
                    </w14:srgbClr>
                  </w14:solidFill>
                </w14:textFill>
              </w:rPr>
              <w:t>|</w:t>
            </w:r>
            <w:r w:rsidRPr="00992522">
              <w:rPr>
                <w:rFonts w:ascii="Arial Narrow" w:hAnsi="Arial Narrow"/>
                <w:b/>
                <w:bCs/>
                <w:color w:val="000000"/>
                <w:spacing w:val="1"/>
                <w:sz w:val="20"/>
                <w:szCs w:val="20"/>
                <w:shd w:val="solid" w:color="000000" w:fill="000000"/>
                <w:fitText w:val="180" w:id="-1504991229"/>
                <w:lang w:val="en-AU"/>
                <w14:textFill>
                  <w14:solidFill>
                    <w14:srgbClr w14:val="000000">
                      <w14:alpha w14:val="100000"/>
                    </w14:srgbClr>
                  </w14:solidFill>
                </w14:textFill>
              </w:rPr>
              <w:t>|</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08CD940B" w14:textId="381987B6" w:rsidR="0083442E" w:rsidRPr="00192427" w:rsidRDefault="00992522" w:rsidP="00D041EE">
            <w:pPr>
              <w:keepNext/>
              <w:jc w:val="center"/>
              <w:rPr>
                <w:rFonts w:ascii="Arial Narrow" w:hAnsi="Arial Narrow"/>
                <w:b/>
                <w:bCs/>
                <w:sz w:val="20"/>
                <w:szCs w:val="20"/>
                <w:highlight w:val="yellow"/>
                <w:lang w:val="en-AU"/>
              </w:rPr>
            </w:pPr>
            <w:r w:rsidRPr="00992522">
              <w:rPr>
                <w:rFonts w:ascii="Arial Narrow" w:hAnsi="Arial Narrow"/>
                <w:b/>
                <w:bCs/>
                <w:color w:val="000000"/>
                <w:spacing w:val="88"/>
                <w:sz w:val="20"/>
                <w:szCs w:val="20"/>
                <w:shd w:val="solid" w:color="000000" w:fill="000000"/>
                <w:fitText w:val="180" w:id="-1504991228"/>
                <w:lang w:val="en-AU"/>
                <w14:textFill>
                  <w14:solidFill>
                    <w14:srgbClr w14:val="000000">
                      <w14:alpha w14:val="100000"/>
                    </w14:srgbClr>
                  </w14:solidFill>
                </w14:textFill>
              </w:rPr>
              <w:t>|</w:t>
            </w:r>
            <w:r w:rsidRPr="00992522">
              <w:rPr>
                <w:rFonts w:ascii="Arial Narrow" w:hAnsi="Arial Narrow"/>
                <w:b/>
                <w:bCs/>
                <w:color w:val="000000"/>
                <w:spacing w:val="1"/>
                <w:sz w:val="20"/>
                <w:szCs w:val="20"/>
                <w:shd w:val="solid" w:color="000000" w:fill="000000"/>
                <w:fitText w:val="180" w:id="-1504991228"/>
                <w:lang w:val="en-AU"/>
                <w14:textFill>
                  <w14:solidFill>
                    <w14:srgbClr w14:val="000000">
                      <w14:alpha w14:val="100000"/>
                    </w14:srgbClr>
                  </w14:solidFill>
                </w14:textFill>
              </w:rPr>
              <w:t>|</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51B525B7" w14:textId="10EC3792" w:rsidR="0083442E" w:rsidRPr="00192427" w:rsidRDefault="00992522" w:rsidP="00D041EE">
            <w:pPr>
              <w:keepNext/>
              <w:jc w:val="center"/>
              <w:rPr>
                <w:rFonts w:ascii="Arial Narrow" w:hAnsi="Arial Narrow"/>
                <w:b/>
                <w:bCs/>
                <w:sz w:val="20"/>
                <w:szCs w:val="20"/>
                <w:highlight w:val="yellow"/>
                <w:lang w:val="en-AU"/>
              </w:rPr>
            </w:pPr>
            <w:r w:rsidRPr="00992522">
              <w:rPr>
                <w:rFonts w:ascii="Arial Narrow" w:hAnsi="Arial Narrow"/>
                <w:b/>
                <w:bCs/>
                <w:color w:val="000000"/>
                <w:spacing w:val="88"/>
                <w:sz w:val="20"/>
                <w:szCs w:val="20"/>
                <w:shd w:val="solid" w:color="000000" w:fill="000000"/>
                <w:fitText w:val="180" w:id="-1504991227"/>
                <w:lang w:val="en-AU"/>
                <w14:textFill>
                  <w14:solidFill>
                    <w14:srgbClr w14:val="000000">
                      <w14:alpha w14:val="100000"/>
                    </w14:srgbClr>
                  </w14:solidFill>
                </w14:textFill>
              </w:rPr>
              <w:t>|</w:t>
            </w:r>
            <w:r w:rsidRPr="00992522">
              <w:rPr>
                <w:rFonts w:ascii="Arial Narrow" w:hAnsi="Arial Narrow"/>
                <w:b/>
                <w:bCs/>
                <w:color w:val="000000"/>
                <w:spacing w:val="1"/>
                <w:sz w:val="20"/>
                <w:szCs w:val="20"/>
                <w:shd w:val="solid" w:color="000000" w:fill="000000"/>
                <w:fitText w:val="180" w:id="-1504991227"/>
                <w:lang w:val="en-AU"/>
                <w14:textFill>
                  <w14:solidFill>
                    <w14:srgbClr w14:val="000000">
                      <w14:alpha w14:val="100000"/>
                    </w14:srgbClr>
                  </w14:solidFill>
                </w14:textFill>
              </w:rPr>
              <w:t>|</w:t>
            </w:r>
            <w:r w:rsidR="00E70651" w:rsidRPr="00E70651">
              <w:rPr>
                <w:rFonts w:ascii="Arial Narrow" w:hAnsi="Arial Narrow"/>
                <w:b/>
                <w:bCs/>
                <w:sz w:val="20"/>
                <w:szCs w:val="20"/>
                <w:vertAlign w:val="superscript"/>
                <w:lang w:val="en-AU"/>
              </w:rPr>
              <w:t>1</w:t>
            </w:r>
          </w:p>
        </w:tc>
        <w:tc>
          <w:tcPr>
            <w:tcW w:w="913" w:type="dxa"/>
            <w:tcBorders>
              <w:top w:val="single" w:sz="6" w:space="0" w:color="000000"/>
              <w:left w:val="single" w:sz="6" w:space="0" w:color="000000"/>
              <w:bottom w:val="single" w:sz="6" w:space="0" w:color="000000"/>
              <w:right w:val="single" w:sz="6" w:space="0" w:color="000000"/>
            </w:tcBorders>
            <w:vAlign w:val="center"/>
            <w:hideMark/>
          </w:tcPr>
          <w:p w14:paraId="2D74AE68" w14:textId="4FD2FBC5" w:rsidR="0083442E" w:rsidRPr="00192427" w:rsidRDefault="00992522" w:rsidP="00D041EE">
            <w:pPr>
              <w:keepNext/>
              <w:jc w:val="center"/>
              <w:rPr>
                <w:rFonts w:ascii="Arial Narrow" w:hAnsi="Arial Narrow"/>
                <w:b/>
                <w:bCs/>
                <w:sz w:val="20"/>
                <w:szCs w:val="20"/>
                <w:highlight w:val="yellow"/>
                <w:lang w:val="en-AU"/>
              </w:rPr>
            </w:pPr>
            <w:r w:rsidRPr="00992522">
              <w:rPr>
                <w:rFonts w:ascii="Arial Narrow" w:hAnsi="Arial Narrow"/>
                <w:b/>
                <w:bCs/>
                <w:color w:val="000000"/>
                <w:spacing w:val="88"/>
                <w:sz w:val="20"/>
                <w:szCs w:val="20"/>
                <w:shd w:val="solid" w:color="000000" w:fill="000000"/>
                <w:fitText w:val="180" w:id="-1504991226"/>
                <w:lang w:val="en-AU"/>
                <w14:textFill>
                  <w14:solidFill>
                    <w14:srgbClr w14:val="000000">
                      <w14:alpha w14:val="100000"/>
                    </w14:srgbClr>
                  </w14:solidFill>
                </w14:textFill>
              </w:rPr>
              <w:t>|</w:t>
            </w:r>
            <w:r w:rsidRPr="00992522">
              <w:rPr>
                <w:rFonts w:ascii="Arial Narrow" w:hAnsi="Arial Narrow"/>
                <w:b/>
                <w:bCs/>
                <w:color w:val="000000"/>
                <w:spacing w:val="1"/>
                <w:sz w:val="20"/>
                <w:szCs w:val="20"/>
                <w:shd w:val="solid" w:color="000000" w:fill="000000"/>
                <w:fitText w:val="180" w:id="-1504991226"/>
                <w:lang w:val="en-AU"/>
                <w14:textFill>
                  <w14:solidFill>
                    <w14:srgbClr w14:val="000000">
                      <w14:alpha w14:val="100000"/>
                    </w14:srgbClr>
                  </w14:solidFill>
                </w14:textFill>
              </w:rPr>
              <w:t>|</w:t>
            </w:r>
            <w:r w:rsidR="00E70651" w:rsidRPr="00E70651">
              <w:rPr>
                <w:rFonts w:ascii="Arial Narrow" w:hAnsi="Arial Narrow"/>
                <w:b/>
                <w:bCs/>
                <w:sz w:val="20"/>
                <w:szCs w:val="20"/>
                <w:vertAlign w:val="superscript"/>
                <w:lang w:val="en-AU"/>
              </w:rPr>
              <w:t>1</w:t>
            </w:r>
          </w:p>
        </w:tc>
        <w:tc>
          <w:tcPr>
            <w:tcW w:w="774" w:type="dxa"/>
            <w:tcBorders>
              <w:top w:val="single" w:sz="6" w:space="0" w:color="000000"/>
              <w:left w:val="single" w:sz="6" w:space="0" w:color="000000"/>
              <w:bottom w:val="single" w:sz="6" w:space="0" w:color="000000"/>
              <w:right w:val="single" w:sz="6" w:space="0" w:color="000000"/>
            </w:tcBorders>
            <w:vAlign w:val="center"/>
          </w:tcPr>
          <w:p w14:paraId="705385D9" w14:textId="77777777" w:rsidR="0083442E" w:rsidRPr="009E4EB8" w:rsidRDefault="0083442E" w:rsidP="009D36D6">
            <w:pPr>
              <w:keepNext/>
              <w:jc w:val="center"/>
              <w:rPr>
                <w:rFonts w:ascii="Arial Narrow" w:hAnsi="Arial Narrow"/>
                <w:b/>
                <w:bCs/>
                <w:i/>
                <w:iCs/>
                <w:sz w:val="20"/>
                <w:szCs w:val="20"/>
                <w:lang w:val="en-AU"/>
              </w:rPr>
            </w:pPr>
            <w:r w:rsidRPr="009E4EB8">
              <w:rPr>
                <w:rFonts w:ascii="Arial Narrow" w:hAnsi="Arial Narrow"/>
                <w:b/>
                <w:bCs/>
                <w:sz w:val="20"/>
                <w:szCs w:val="20"/>
                <w:lang w:val="en-AU"/>
              </w:rPr>
              <w:t>-</w:t>
            </w:r>
          </w:p>
        </w:tc>
      </w:tr>
      <w:tr w:rsidR="00B20F49" w:rsidRPr="009E4EB8" w14:paraId="62B8F483" w14:textId="77777777" w:rsidTr="00B20F49">
        <w:tc>
          <w:tcPr>
            <w:tcW w:w="1682" w:type="dxa"/>
            <w:vMerge w:val="restart"/>
            <w:tcBorders>
              <w:top w:val="single" w:sz="6" w:space="0" w:color="000000"/>
              <w:left w:val="single" w:sz="6" w:space="0" w:color="000000"/>
              <w:bottom w:val="single" w:sz="6" w:space="0" w:color="000000"/>
              <w:right w:val="single" w:sz="6" w:space="0" w:color="000000"/>
            </w:tcBorders>
            <w:vAlign w:val="center"/>
            <w:hideMark/>
          </w:tcPr>
          <w:p w14:paraId="3D2DB25E" w14:textId="77777777" w:rsidR="0083442E" w:rsidRPr="009E4EB8" w:rsidRDefault="0083442E" w:rsidP="00D041EE">
            <w:pPr>
              <w:keepNext/>
              <w:jc w:val="left"/>
              <w:rPr>
                <w:rFonts w:ascii="Arial Narrow" w:hAnsi="Arial Narrow"/>
                <w:sz w:val="20"/>
                <w:szCs w:val="20"/>
                <w:lang w:val="en-AU"/>
              </w:rPr>
            </w:pPr>
            <w:r w:rsidRPr="009E4EB8">
              <w:rPr>
                <w:rFonts w:ascii="Arial Narrow" w:hAnsi="Arial Narrow"/>
                <w:sz w:val="20"/>
                <w:szCs w:val="20"/>
                <w:lang w:val="en-AU"/>
              </w:rPr>
              <w:t>Probability becoming eligible for Sd after Pd (60%)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1D20987E" w14:textId="77777777" w:rsidR="0083442E" w:rsidRPr="009E4EB8" w:rsidRDefault="0083442E" w:rsidP="00D041EE">
            <w:pPr>
              <w:keepNext/>
              <w:jc w:val="center"/>
              <w:rPr>
                <w:rFonts w:ascii="Arial Narrow" w:hAnsi="Arial Narrow"/>
                <w:sz w:val="20"/>
                <w:szCs w:val="20"/>
                <w:lang w:val="en-AU"/>
              </w:rPr>
            </w:pPr>
            <w:r w:rsidRPr="009E4EB8">
              <w:rPr>
                <w:rFonts w:ascii="Arial Narrow" w:hAnsi="Arial Narrow"/>
                <w:sz w:val="20"/>
                <w:szCs w:val="20"/>
                <w:lang w:val="en-AU"/>
              </w:rPr>
              <w:t>50%</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0686D32C" w14:textId="013104B0"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25"/>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25"/>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25"/>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7D5FF7B4" w14:textId="0CFBC5A3"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24"/>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24"/>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24"/>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3" w:type="dxa"/>
            <w:tcBorders>
              <w:top w:val="single" w:sz="6" w:space="0" w:color="000000"/>
              <w:left w:val="single" w:sz="6" w:space="0" w:color="000000"/>
              <w:bottom w:val="single" w:sz="6" w:space="0" w:color="000000"/>
              <w:right w:val="single" w:sz="6" w:space="0" w:color="000000"/>
            </w:tcBorders>
            <w:vAlign w:val="center"/>
            <w:hideMark/>
          </w:tcPr>
          <w:p w14:paraId="65AEA17C" w14:textId="791C939F"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23"/>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23"/>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23"/>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7775FDDE" w14:textId="024A4A90"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22"/>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22"/>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22"/>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0499161A" w14:textId="6C39EA0B"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21"/>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21"/>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21"/>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3" w:type="dxa"/>
            <w:tcBorders>
              <w:top w:val="single" w:sz="6" w:space="0" w:color="000000"/>
              <w:left w:val="single" w:sz="6" w:space="0" w:color="000000"/>
              <w:bottom w:val="single" w:sz="6" w:space="0" w:color="000000"/>
              <w:right w:val="single" w:sz="6" w:space="0" w:color="000000"/>
            </w:tcBorders>
            <w:vAlign w:val="center"/>
            <w:hideMark/>
          </w:tcPr>
          <w:p w14:paraId="7FF19F02" w14:textId="7A61904B"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20"/>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20"/>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20"/>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774" w:type="dxa"/>
            <w:tcBorders>
              <w:top w:val="single" w:sz="6" w:space="0" w:color="000000"/>
              <w:left w:val="single" w:sz="6" w:space="0" w:color="000000"/>
              <w:bottom w:val="single" w:sz="6" w:space="0" w:color="000000"/>
              <w:right w:val="single" w:sz="6" w:space="0" w:color="000000"/>
            </w:tcBorders>
            <w:vAlign w:val="center"/>
          </w:tcPr>
          <w:p w14:paraId="736E1F70" w14:textId="77777777" w:rsidR="0083442E" w:rsidRPr="009E4EB8" w:rsidRDefault="0083442E" w:rsidP="009D36D6">
            <w:pPr>
              <w:keepNext/>
              <w:jc w:val="center"/>
              <w:rPr>
                <w:rFonts w:ascii="Arial Narrow" w:hAnsi="Arial Narrow"/>
                <w:iCs/>
                <w:sz w:val="20"/>
                <w:szCs w:val="20"/>
                <w:lang w:val="en-AU"/>
              </w:rPr>
            </w:pPr>
            <w:r w:rsidRPr="009E4EB8">
              <w:rPr>
                <w:rFonts w:ascii="Arial Narrow" w:hAnsi="Arial Narrow"/>
                <w:iCs/>
                <w:sz w:val="20"/>
                <w:szCs w:val="20"/>
                <w:lang w:val="en-AU"/>
              </w:rPr>
              <w:t>-17%</w:t>
            </w:r>
          </w:p>
        </w:tc>
      </w:tr>
      <w:tr w:rsidR="00B20F49" w:rsidRPr="009E4EB8" w14:paraId="063A1B48" w14:textId="77777777" w:rsidTr="00B20F49">
        <w:tc>
          <w:tcPr>
            <w:tcW w:w="1682" w:type="dxa"/>
            <w:vMerge/>
            <w:tcBorders>
              <w:top w:val="single" w:sz="6" w:space="0" w:color="000000"/>
              <w:left w:val="single" w:sz="6" w:space="0" w:color="000000"/>
              <w:bottom w:val="single" w:sz="6" w:space="0" w:color="000000"/>
              <w:right w:val="single" w:sz="6" w:space="0" w:color="000000"/>
            </w:tcBorders>
            <w:vAlign w:val="center"/>
            <w:hideMark/>
          </w:tcPr>
          <w:p w14:paraId="6C8923EC" w14:textId="77777777" w:rsidR="0083442E" w:rsidRPr="009E4EB8" w:rsidRDefault="0083442E" w:rsidP="00D041EE">
            <w:pPr>
              <w:keepNext/>
              <w:jc w:val="left"/>
              <w:rPr>
                <w:rFonts w:ascii="Arial Narrow" w:hAnsi="Arial Narrow"/>
                <w:sz w:val="20"/>
                <w:szCs w:val="20"/>
                <w:lang w:val="en-AU"/>
              </w:rPr>
            </w:pP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643408DF" w14:textId="77777777" w:rsidR="0083442E" w:rsidRPr="009E4EB8" w:rsidRDefault="0083442E" w:rsidP="00D041EE">
            <w:pPr>
              <w:keepNext/>
              <w:jc w:val="center"/>
              <w:rPr>
                <w:rFonts w:ascii="Arial Narrow" w:hAnsi="Arial Narrow"/>
                <w:sz w:val="20"/>
                <w:szCs w:val="20"/>
                <w:lang w:val="en-AU"/>
              </w:rPr>
            </w:pPr>
            <w:r w:rsidRPr="009E4EB8">
              <w:rPr>
                <w:rFonts w:ascii="Arial Narrow" w:hAnsi="Arial Narrow"/>
                <w:sz w:val="20"/>
                <w:szCs w:val="20"/>
                <w:lang w:val="en-AU"/>
              </w:rPr>
              <w:t>70%</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3B4541D5" w14:textId="7CDBCEFC"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19"/>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19"/>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19"/>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6AFB54A7" w14:textId="7C7D2056"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18"/>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18"/>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18"/>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3" w:type="dxa"/>
            <w:tcBorders>
              <w:top w:val="single" w:sz="6" w:space="0" w:color="000000"/>
              <w:left w:val="single" w:sz="6" w:space="0" w:color="000000"/>
              <w:bottom w:val="single" w:sz="6" w:space="0" w:color="000000"/>
              <w:right w:val="single" w:sz="6" w:space="0" w:color="000000"/>
            </w:tcBorders>
            <w:vAlign w:val="center"/>
            <w:hideMark/>
          </w:tcPr>
          <w:p w14:paraId="46EB876C" w14:textId="75397674"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17"/>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17"/>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17"/>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54B724B5" w14:textId="0B9CD84A"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16"/>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16"/>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16"/>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110811DE" w14:textId="6E4EAEA4"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32"/>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32"/>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32"/>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3" w:type="dxa"/>
            <w:tcBorders>
              <w:top w:val="single" w:sz="6" w:space="0" w:color="000000"/>
              <w:left w:val="single" w:sz="6" w:space="0" w:color="000000"/>
              <w:bottom w:val="single" w:sz="6" w:space="0" w:color="000000"/>
              <w:right w:val="single" w:sz="6" w:space="0" w:color="000000"/>
            </w:tcBorders>
            <w:vAlign w:val="center"/>
            <w:hideMark/>
          </w:tcPr>
          <w:p w14:paraId="7DA22A84" w14:textId="57EFB792"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31"/>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31"/>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31"/>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774" w:type="dxa"/>
            <w:tcBorders>
              <w:top w:val="single" w:sz="6" w:space="0" w:color="000000"/>
              <w:left w:val="single" w:sz="6" w:space="0" w:color="000000"/>
              <w:bottom w:val="single" w:sz="6" w:space="0" w:color="000000"/>
              <w:right w:val="single" w:sz="6" w:space="0" w:color="000000"/>
            </w:tcBorders>
            <w:vAlign w:val="center"/>
          </w:tcPr>
          <w:p w14:paraId="514604FC" w14:textId="77777777" w:rsidR="0083442E" w:rsidRPr="009E4EB8" w:rsidRDefault="0083442E" w:rsidP="009D36D6">
            <w:pPr>
              <w:keepNext/>
              <w:jc w:val="center"/>
              <w:rPr>
                <w:rFonts w:ascii="Arial Narrow" w:hAnsi="Arial Narrow"/>
                <w:iCs/>
                <w:sz w:val="20"/>
                <w:szCs w:val="20"/>
                <w:lang w:val="en-AU"/>
              </w:rPr>
            </w:pPr>
            <w:r w:rsidRPr="009E4EB8">
              <w:rPr>
                <w:rFonts w:ascii="Arial Narrow" w:hAnsi="Arial Narrow"/>
                <w:iCs/>
                <w:sz w:val="20"/>
                <w:szCs w:val="20"/>
                <w:lang w:val="en-AU"/>
              </w:rPr>
              <w:t>17%</w:t>
            </w:r>
          </w:p>
        </w:tc>
      </w:tr>
      <w:tr w:rsidR="009D36D6" w:rsidRPr="009E4EB8" w14:paraId="0B3A4036" w14:textId="77777777" w:rsidTr="00B20F49">
        <w:trPr>
          <w:trHeight w:val="48"/>
        </w:trPr>
        <w:tc>
          <w:tcPr>
            <w:tcW w:w="1682" w:type="dxa"/>
            <w:vMerge w:val="restart"/>
            <w:tcBorders>
              <w:top w:val="single" w:sz="6" w:space="0" w:color="000000"/>
              <w:left w:val="single" w:sz="6" w:space="0" w:color="000000"/>
              <w:bottom w:val="single" w:sz="6" w:space="0" w:color="000000"/>
              <w:right w:val="single" w:sz="6" w:space="0" w:color="000000"/>
            </w:tcBorders>
            <w:vAlign w:val="center"/>
            <w:hideMark/>
          </w:tcPr>
          <w:p w14:paraId="55BC9D06" w14:textId="429EA228" w:rsidR="0083442E" w:rsidRPr="009E4EB8" w:rsidRDefault="0083442E" w:rsidP="00D041EE">
            <w:pPr>
              <w:keepNext/>
              <w:jc w:val="left"/>
              <w:rPr>
                <w:rFonts w:ascii="Arial Narrow" w:hAnsi="Arial Narrow"/>
                <w:sz w:val="20"/>
                <w:szCs w:val="20"/>
                <w:lang w:val="en-AU"/>
              </w:rPr>
            </w:pPr>
            <w:r w:rsidRPr="009E4EB8">
              <w:rPr>
                <w:rFonts w:ascii="Arial Narrow" w:hAnsi="Arial Narrow"/>
                <w:sz w:val="20"/>
                <w:szCs w:val="20"/>
                <w:lang w:val="en-AU"/>
              </w:rPr>
              <w:t xml:space="preserve">Selinexor treatment duration (2.84 </w:t>
            </w:r>
            <w:r w:rsidR="003746FA" w:rsidRPr="009E4EB8">
              <w:rPr>
                <w:rFonts w:ascii="Arial Narrow" w:hAnsi="Arial Narrow"/>
                <w:sz w:val="20"/>
                <w:szCs w:val="20"/>
                <w:lang w:val="en-AU"/>
              </w:rPr>
              <w:t>m</w:t>
            </w:r>
            <w:r w:rsidRPr="009E4EB8">
              <w:rPr>
                <w:rFonts w:ascii="Arial Narrow" w:hAnsi="Arial Narrow"/>
                <w:sz w:val="20"/>
                <w:szCs w:val="20"/>
                <w:lang w:val="en-AU"/>
              </w:rPr>
              <w:t>onths)</w:t>
            </w: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3FE0C7AC" w14:textId="77777777" w:rsidR="0083442E" w:rsidRPr="009E4EB8" w:rsidRDefault="0083442E" w:rsidP="00D041EE">
            <w:pPr>
              <w:keepNext/>
              <w:jc w:val="center"/>
              <w:rPr>
                <w:rFonts w:ascii="Arial Narrow" w:hAnsi="Arial Narrow"/>
                <w:sz w:val="20"/>
                <w:szCs w:val="20"/>
                <w:lang w:val="en-AU"/>
              </w:rPr>
            </w:pPr>
            <w:r w:rsidRPr="009E4EB8">
              <w:rPr>
                <w:rFonts w:ascii="Arial Narrow" w:hAnsi="Arial Narrow"/>
                <w:sz w:val="20"/>
                <w:szCs w:val="20"/>
                <w:lang w:val="en-AU"/>
              </w:rPr>
              <w:t>2.50 months</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2D58D8D1" w14:textId="1162D38F"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30"/>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30"/>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30"/>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4482A0C5" w14:textId="439C9BCE"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29"/>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29"/>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29"/>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3" w:type="dxa"/>
            <w:tcBorders>
              <w:top w:val="single" w:sz="6" w:space="0" w:color="000000"/>
              <w:left w:val="single" w:sz="6" w:space="0" w:color="000000"/>
              <w:bottom w:val="single" w:sz="6" w:space="0" w:color="000000"/>
              <w:right w:val="single" w:sz="6" w:space="0" w:color="000000"/>
            </w:tcBorders>
            <w:vAlign w:val="center"/>
            <w:hideMark/>
          </w:tcPr>
          <w:p w14:paraId="625E6D0C" w14:textId="3B75E702"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28"/>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28"/>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28"/>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5B8A4A23" w14:textId="7C827234"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27"/>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27"/>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27"/>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634B0651" w14:textId="00850E86"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26"/>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26"/>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26"/>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3" w:type="dxa"/>
            <w:tcBorders>
              <w:top w:val="single" w:sz="6" w:space="0" w:color="000000"/>
              <w:left w:val="single" w:sz="6" w:space="0" w:color="000000"/>
              <w:bottom w:val="single" w:sz="6" w:space="0" w:color="000000"/>
              <w:right w:val="single" w:sz="6" w:space="0" w:color="000000"/>
            </w:tcBorders>
            <w:vAlign w:val="center"/>
            <w:hideMark/>
          </w:tcPr>
          <w:p w14:paraId="503E36F4" w14:textId="2432055E"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25"/>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25"/>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25"/>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774" w:type="dxa"/>
            <w:tcBorders>
              <w:top w:val="single" w:sz="6" w:space="0" w:color="000000"/>
              <w:left w:val="single" w:sz="6" w:space="0" w:color="000000"/>
              <w:bottom w:val="single" w:sz="6" w:space="0" w:color="000000"/>
              <w:right w:val="single" w:sz="6" w:space="0" w:color="000000"/>
            </w:tcBorders>
            <w:vAlign w:val="center"/>
          </w:tcPr>
          <w:p w14:paraId="7DCF0D32" w14:textId="77777777" w:rsidR="0083442E" w:rsidRPr="009E4EB8" w:rsidRDefault="0083442E" w:rsidP="009D36D6">
            <w:pPr>
              <w:keepNext/>
              <w:jc w:val="center"/>
              <w:rPr>
                <w:rFonts w:ascii="Arial Narrow" w:hAnsi="Arial Narrow"/>
                <w:iCs/>
                <w:sz w:val="20"/>
                <w:szCs w:val="20"/>
                <w:lang w:val="en-AU"/>
              </w:rPr>
            </w:pPr>
            <w:r w:rsidRPr="009E4EB8">
              <w:rPr>
                <w:rFonts w:ascii="Arial Narrow" w:hAnsi="Arial Narrow"/>
                <w:iCs/>
                <w:sz w:val="20"/>
                <w:szCs w:val="20"/>
                <w:lang w:val="en-AU"/>
              </w:rPr>
              <w:t>-15%</w:t>
            </w:r>
          </w:p>
        </w:tc>
      </w:tr>
      <w:tr w:rsidR="00B20F49" w:rsidRPr="009E4EB8" w14:paraId="01690D98" w14:textId="77777777" w:rsidTr="00B20F49">
        <w:tc>
          <w:tcPr>
            <w:tcW w:w="1682" w:type="dxa"/>
            <w:vMerge/>
            <w:tcBorders>
              <w:top w:val="single" w:sz="6" w:space="0" w:color="000000"/>
              <w:left w:val="single" w:sz="6" w:space="0" w:color="000000"/>
              <w:bottom w:val="single" w:sz="6" w:space="0" w:color="000000"/>
              <w:right w:val="single" w:sz="6" w:space="0" w:color="000000"/>
            </w:tcBorders>
            <w:vAlign w:val="center"/>
            <w:hideMark/>
          </w:tcPr>
          <w:p w14:paraId="54BE13A2" w14:textId="77777777" w:rsidR="0083442E" w:rsidRPr="009E4EB8" w:rsidRDefault="0083442E" w:rsidP="00D041EE">
            <w:pPr>
              <w:keepNext/>
              <w:jc w:val="left"/>
              <w:rPr>
                <w:rFonts w:ascii="Arial Narrow" w:hAnsi="Arial Narrow"/>
                <w:sz w:val="20"/>
                <w:szCs w:val="20"/>
                <w:lang w:val="en-AU"/>
              </w:rPr>
            </w:pPr>
          </w:p>
        </w:tc>
        <w:tc>
          <w:tcPr>
            <w:tcW w:w="1081" w:type="dxa"/>
            <w:tcBorders>
              <w:top w:val="single" w:sz="6" w:space="0" w:color="000000"/>
              <w:left w:val="single" w:sz="6" w:space="0" w:color="000000"/>
              <w:bottom w:val="single" w:sz="6" w:space="0" w:color="000000"/>
              <w:right w:val="single" w:sz="6" w:space="0" w:color="000000"/>
            </w:tcBorders>
            <w:vAlign w:val="center"/>
            <w:hideMark/>
          </w:tcPr>
          <w:p w14:paraId="1B041AA6" w14:textId="77777777" w:rsidR="0083442E" w:rsidRPr="009E4EB8" w:rsidRDefault="0083442E" w:rsidP="00D041EE">
            <w:pPr>
              <w:keepNext/>
              <w:jc w:val="center"/>
              <w:rPr>
                <w:rFonts w:ascii="Arial Narrow" w:hAnsi="Arial Narrow"/>
                <w:sz w:val="20"/>
                <w:szCs w:val="20"/>
                <w:lang w:val="en-AU"/>
              </w:rPr>
            </w:pPr>
            <w:r w:rsidRPr="009E4EB8">
              <w:rPr>
                <w:rFonts w:ascii="Arial Narrow" w:hAnsi="Arial Narrow"/>
                <w:sz w:val="20"/>
                <w:szCs w:val="20"/>
                <w:lang w:val="en-AU"/>
              </w:rPr>
              <w:t>3.30 months</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077F2242" w14:textId="22379146"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24"/>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24"/>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24"/>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3351EA2F" w14:textId="1618B6F7"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23"/>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23"/>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23"/>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3" w:type="dxa"/>
            <w:tcBorders>
              <w:top w:val="single" w:sz="6" w:space="0" w:color="000000"/>
              <w:left w:val="single" w:sz="6" w:space="0" w:color="000000"/>
              <w:bottom w:val="single" w:sz="6" w:space="0" w:color="000000"/>
              <w:right w:val="single" w:sz="6" w:space="0" w:color="000000"/>
            </w:tcBorders>
            <w:vAlign w:val="center"/>
            <w:hideMark/>
          </w:tcPr>
          <w:p w14:paraId="6891ED5B" w14:textId="0AA0A0D7"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22"/>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22"/>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22"/>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414BA58F" w14:textId="03AC443C"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21"/>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21"/>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21"/>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hideMark/>
          </w:tcPr>
          <w:p w14:paraId="0E1B2F33" w14:textId="2ADD6213"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20"/>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20"/>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20"/>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3" w:type="dxa"/>
            <w:tcBorders>
              <w:top w:val="single" w:sz="6" w:space="0" w:color="000000"/>
              <w:left w:val="single" w:sz="6" w:space="0" w:color="000000"/>
              <w:bottom w:val="single" w:sz="6" w:space="0" w:color="000000"/>
              <w:right w:val="single" w:sz="6" w:space="0" w:color="000000"/>
            </w:tcBorders>
            <w:vAlign w:val="center"/>
            <w:hideMark/>
          </w:tcPr>
          <w:p w14:paraId="43EE7F9C" w14:textId="5A370883" w:rsidR="0083442E" w:rsidRPr="00192427" w:rsidRDefault="00992522" w:rsidP="00D041EE">
            <w:pPr>
              <w:keepNext/>
              <w:jc w:val="center"/>
              <w:rPr>
                <w:rFonts w:ascii="Arial Narrow" w:hAnsi="Arial Narrow"/>
                <w:sz w:val="20"/>
                <w:szCs w:val="20"/>
                <w:highlight w:val="yellow"/>
                <w:lang w:val="en-AU"/>
              </w:rPr>
            </w:pPr>
            <w:r w:rsidRPr="00992522">
              <w:rPr>
                <w:rFonts w:ascii="Arial Narrow" w:hAnsi="Arial Narrow" w:hint="eastAsia"/>
                <w:color w:val="000000"/>
                <w:w w:val="31"/>
                <w:sz w:val="20"/>
                <w:szCs w:val="20"/>
                <w:shd w:val="solid" w:color="000000" w:fill="000000"/>
                <w:fitText w:val="140" w:id="-1504991219"/>
                <w:lang w:val="en-AU"/>
                <w14:textFill>
                  <w14:solidFill>
                    <w14:srgbClr w14:val="000000">
                      <w14:alpha w14:val="100000"/>
                    </w14:srgbClr>
                  </w14:solidFill>
                </w14:textFill>
              </w:rPr>
              <w:t xml:space="preserve">　</w:t>
            </w:r>
            <w:r w:rsidRPr="00992522">
              <w:rPr>
                <w:rFonts w:ascii="Arial Narrow" w:hAnsi="Arial Narrow"/>
                <w:color w:val="000000"/>
                <w:w w:val="31"/>
                <w:sz w:val="20"/>
                <w:szCs w:val="20"/>
                <w:shd w:val="solid" w:color="000000" w:fill="000000"/>
                <w:fitText w:val="140" w:id="-1504991219"/>
                <w:lang w:val="en-AU"/>
                <w14:textFill>
                  <w14:solidFill>
                    <w14:srgbClr w14:val="000000">
                      <w14:alpha w14:val="100000"/>
                    </w14:srgbClr>
                  </w14:solidFill>
                </w14:textFill>
              </w:rPr>
              <w:t>|</w:t>
            </w:r>
            <w:r w:rsidRPr="00992522">
              <w:rPr>
                <w:rFonts w:ascii="Arial Narrow" w:hAnsi="Arial Narrow" w:hint="eastAsia"/>
                <w:color w:val="000000"/>
                <w:spacing w:val="4"/>
                <w:w w:val="31"/>
                <w:sz w:val="20"/>
                <w:szCs w:val="20"/>
                <w:shd w:val="solid" w:color="000000" w:fill="000000"/>
                <w:fitText w:val="140" w:id="-1504991219"/>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774" w:type="dxa"/>
            <w:tcBorders>
              <w:top w:val="single" w:sz="6" w:space="0" w:color="000000"/>
              <w:left w:val="single" w:sz="6" w:space="0" w:color="000000"/>
              <w:bottom w:val="single" w:sz="6" w:space="0" w:color="000000"/>
              <w:right w:val="single" w:sz="6" w:space="0" w:color="000000"/>
            </w:tcBorders>
            <w:vAlign w:val="center"/>
          </w:tcPr>
          <w:p w14:paraId="2FA25379" w14:textId="77777777" w:rsidR="0083442E" w:rsidRPr="009E4EB8" w:rsidRDefault="0083442E" w:rsidP="009D36D6">
            <w:pPr>
              <w:keepNext/>
              <w:jc w:val="center"/>
              <w:rPr>
                <w:rFonts w:ascii="Arial Narrow" w:hAnsi="Arial Narrow"/>
                <w:iCs/>
                <w:sz w:val="20"/>
                <w:szCs w:val="20"/>
                <w:lang w:val="en-AU"/>
              </w:rPr>
            </w:pPr>
            <w:r w:rsidRPr="009E4EB8">
              <w:rPr>
                <w:rFonts w:ascii="Arial Narrow" w:hAnsi="Arial Narrow"/>
                <w:iCs/>
                <w:sz w:val="20"/>
                <w:szCs w:val="20"/>
                <w:lang w:val="en-AU"/>
              </w:rPr>
              <w:t>20%</w:t>
            </w:r>
          </w:p>
        </w:tc>
      </w:tr>
      <w:tr w:rsidR="00691460" w:rsidRPr="009E4EB8" w14:paraId="288ACA48" w14:textId="77777777" w:rsidTr="00B20F49">
        <w:tc>
          <w:tcPr>
            <w:tcW w:w="1682" w:type="dxa"/>
            <w:tcBorders>
              <w:top w:val="single" w:sz="6" w:space="0" w:color="000000"/>
              <w:left w:val="single" w:sz="6" w:space="0" w:color="000000"/>
              <w:bottom w:val="single" w:sz="6" w:space="0" w:color="000000"/>
              <w:right w:val="single" w:sz="6" w:space="0" w:color="000000"/>
            </w:tcBorders>
            <w:vAlign w:val="center"/>
          </w:tcPr>
          <w:p w14:paraId="6D488DB3" w14:textId="77777777" w:rsidR="003746FA" w:rsidRPr="009E4EB8" w:rsidRDefault="00691460" w:rsidP="00D041EE">
            <w:pPr>
              <w:keepNext/>
              <w:jc w:val="left"/>
              <w:rPr>
                <w:rFonts w:ascii="Arial Narrow" w:hAnsi="Arial Narrow"/>
                <w:iCs/>
                <w:sz w:val="20"/>
                <w:szCs w:val="20"/>
                <w:lang w:val="en-AU"/>
              </w:rPr>
            </w:pPr>
            <w:r w:rsidRPr="009E4EB8">
              <w:rPr>
                <w:rFonts w:ascii="Arial Narrow" w:hAnsi="Arial Narrow"/>
                <w:iCs/>
                <w:sz w:val="20"/>
                <w:szCs w:val="20"/>
                <w:lang w:val="en-AU"/>
              </w:rPr>
              <w:t xml:space="preserve">Uptake of </w:t>
            </w:r>
            <w:r w:rsidR="00002008" w:rsidRPr="009E4EB8">
              <w:rPr>
                <w:rFonts w:ascii="Arial Narrow" w:hAnsi="Arial Narrow"/>
                <w:iCs/>
                <w:sz w:val="20"/>
                <w:szCs w:val="20"/>
                <w:lang w:val="en-AU"/>
              </w:rPr>
              <w:t xml:space="preserve">Sd </w:t>
            </w:r>
          </w:p>
          <w:p w14:paraId="0A4CCC79" w14:textId="75663693" w:rsidR="00691460" w:rsidRPr="009E4EB8" w:rsidRDefault="00691460" w:rsidP="00D041EE">
            <w:pPr>
              <w:keepNext/>
              <w:jc w:val="left"/>
              <w:rPr>
                <w:rFonts w:ascii="Arial Narrow" w:hAnsi="Arial Narrow"/>
                <w:iCs/>
                <w:sz w:val="20"/>
                <w:szCs w:val="20"/>
                <w:lang w:val="en-AU"/>
              </w:rPr>
            </w:pPr>
            <w:r w:rsidRPr="009E4EB8">
              <w:rPr>
                <w:rFonts w:ascii="Arial Narrow" w:hAnsi="Arial Narrow"/>
                <w:iCs/>
                <w:sz w:val="20"/>
                <w:szCs w:val="20"/>
                <w:lang w:val="en-AU"/>
              </w:rPr>
              <w:t>(50%-90%)</w:t>
            </w:r>
          </w:p>
        </w:tc>
        <w:tc>
          <w:tcPr>
            <w:tcW w:w="1081" w:type="dxa"/>
            <w:tcBorders>
              <w:top w:val="single" w:sz="6" w:space="0" w:color="000000"/>
              <w:left w:val="single" w:sz="6" w:space="0" w:color="000000"/>
              <w:bottom w:val="single" w:sz="6" w:space="0" w:color="000000"/>
              <w:right w:val="single" w:sz="6" w:space="0" w:color="000000"/>
            </w:tcBorders>
            <w:vAlign w:val="center"/>
          </w:tcPr>
          <w:p w14:paraId="3F4CFDB9" w14:textId="77777777" w:rsidR="00691460" w:rsidRPr="009E4EB8" w:rsidRDefault="00691460" w:rsidP="00D041EE">
            <w:pPr>
              <w:keepNext/>
              <w:jc w:val="center"/>
              <w:rPr>
                <w:rFonts w:ascii="Arial Narrow" w:hAnsi="Arial Narrow"/>
                <w:iCs/>
                <w:sz w:val="20"/>
                <w:szCs w:val="20"/>
                <w:vertAlign w:val="superscript"/>
                <w:lang w:val="en-AU"/>
              </w:rPr>
            </w:pPr>
            <w:r w:rsidRPr="009E4EB8">
              <w:rPr>
                <w:rFonts w:ascii="Arial Narrow" w:hAnsi="Arial Narrow"/>
                <w:iCs/>
                <w:sz w:val="20"/>
                <w:szCs w:val="20"/>
                <w:lang w:val="en-AU"/>
              </w:rPr>
              <w:t xml:space="preserve">10-20% </w:t>
            </w:r>
            <w:r w:rsidRPr="009E4EB8">
              <w:rPr>
                <w:rFonts w:ascii="Arial Narrow" w:hAnsi="Arial Narrow"/>
                <w:iCs/>
                <w:sz w:val="20"/>
                <w:szCs w:val="20"/>
                <w:vertAlign w:val="superscript"/>
                <w:lang w:val="en-AU"/>
              </w:rPr>
              <w:t>a</w:t>
            </w:r>
          </w:p>
        </w:tc>
        <w:tc>
          <w:tcPr>
            <w:tcW w:w="912" w:type="dxa"/>
            <w:tcBorders>
              <w:top w:val="single" w:sz="6" w:space="0" w:color="000000"/>
              <w:left w:val="single" w:sz="6" w:space="0" w:color="000000"/>
              <w:bottom w:val="single" w:sz="6" w:space="0" w:color="000000"/>
              <w:right w:val="single" w:sz="6" w:space="0" w:color="000000"/>
            </w:tcBorders>
            <w:vAlign w:val="center"/>
          </w:tcPr>
          <w:p w14:paraId="07AE6BCA" w14:textId="4644F6B1" w:rsidR="00691460" w:rsidRPr="00192427" w:rsidRDefault="00992522" w:rsidP="00D041EE">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18"/>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18"/>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18"/>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tcPr>
          <w:p w14:paraId="4969E618" w14:textId="470FEFC1" w:rsidR="00691460" w:rsidRPr="00192427" w:rsidRDefault="00992522" w:rsidP="00D041EE">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17"/>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17"/>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17"/>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3" w:type="dxa"/>
            <w:tcBorders>
              <w:top w:val="single" w:sz="6" w:space="0" w:color="000000"/>
              <w:left w:val="single" w:sz="6" w:space="0" w:color="000000"/>
              <w:bottom w:val="single" w:sz="6" w:space="0" w:color="000000"/>
              <w:right w:val="single" w:sz="6" w:space="0" w:color="000000"/>
            </w:tcBorders>
            <w:vAlign w:val="center"/>
          </w:tcPr>
          <w:p w14:paraId="7EAD0C05" w14:textId="72A901BA" w:rsidR="00691460" w:rsidRPr="00192427" w:rsidRDefault="00992522" w:rsidP="00D041EE">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16"/>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16"/>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16"/>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tcPr>
          <w:p w14:paraId="4FB30BD5" w14:textId="5E94677F" w:rsidR="00691460" w:rsidRPr="00192427" w:rsidRDefault="00992522" w:rsidP="00D041EE">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32"/>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32"/>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32"/>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tcPr>
          <w:p w14:paraId="22D9D980" w14:textId="34FF4B2D" w:rsidR="00691460" w:rsidRPr="00192427" w:rsidRDefault="00992522" w:rsidP="00D041EE">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31"/>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31"/>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31"/>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3" w:type="dxa"/>
            <w:tcBorders>
              <w:top w:val="single" w:sz="6" w:space="0" w:color="000000"/>
              <w:left w:val="single" w:sz="6" w:space="0" w:color="000000"/>
              <w:bottom w:val="single" w:sz="6" w:space="0" w:color="000000"/>
              <w:right w:val="single" w:sz="6" w:space="0" w:color="000000"/>
            </w:tcBorders>
            <w:vAlign w:val="center"/>
          </w:tcPr>
          <w:p w14:paraId="1A79C54A" w14:textId="37C0FB1D" w:rsidR="00691460" w:rsidRPr="00192427" w:rsidRDefault="00992522" w:rsidP="00D041EE">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30"/>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30"/>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30"/>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774" w:type="dxa"/>
            <w:tcBorders>
              <w:top w:val="single" w:sz="6" w:space="0" w:color="000000"/>
              <w:left w:val="single" w:sz="6" w:space="0" w:color="000000"/>
              <w:bottom w:val="single" w:sz="6" w:space="0" w:color="000000"/>
              <w:right w:val="single" w:sz="6" w:space="0" w:color="000000"/>
            </w:tcBorders>
            <w:vAlign w:val="center"/>
          </w:tcPr>
          <w:p w14:paraId="4C926DCA" w14:textId="77777777" w:rsidR="00691460" w:rsidRPr="009E4EB8" w:rsidRDefault="00691460" w:rsidP="009D36D6">
            <w:pPr>
              <w:keepNext/>
              <w:jc w:val="center"/>
              <w:rPr>
                <w:rFonts w:ascii="Arial Narrow" w:hAnsi="Arial Narrow"/>
                <w:iCs/>
                <w:sz w:val="20"/>
                <w:szCs w:val="20"/>
                <w:vertAlign w:val="superscript"/>
                <w:lang w:val="en-AU"/>
              </w:rPr>
            </w:pPr>
            <w:r w:rsidRPr="009E4EB8">
              <w:rPr>
                <w:rFonts w:ascii="Arial Narrow" w:hAnsi="Arial Narrow"/>
                <w:iCs/>
                <w:sz w:val="20"/>
                <w:szCs w:val="20"/>
                <w:lang w:val="en-AU"/>
              </w:rPr>
              <w:t>-79% </w:t>
            </w:r>
            <w:r w:rsidRPr="009E4EB8">
              <w:rPr>
                <w:rFonts w:ascii="Arial Narrow" w:hAnsi="Arial Narrow"/>
                <w:iCs/>
                <w:sz w:val="20"/>
                <w:szCs w:val="20"/>
                <w:vertAlign w:val="superscript"/>
                <w:lang w:val="en-AU"/>
              </w:rPr>
              <w:t>d</w:t>
            </w:r>
          </w:p>
        </w:tc>
      </w:tr>
      <w:tr w:rsidR="00A24FCC" w:rsidRPr="009E4EB8" w14:paraId="0BBB82FA" w14:textId="77777777" w:rsidTr="00E11384">
        <w:tc>
          <w:tcPr>
            <w:tcW w:w="1681" w:type="dxa"/>
            <w:tcBorders>
              <w:top w:val="single" w:sz="6" w:space="0" w:color="000000"/>
              <w:left w:val="single" w:sz="6" w:space="0" w:color="000000"/>
              <w:bottom w:val="single" w:sz="6" w:space="0" w:color="000000"/>
              <w:right w:val="single" w:sz="6" w:space="0" w:color="000000"/>
            </w:tcBorders>
            <w:vAlign w:val="center"/>
          </w:tcPr>
          <w:p w14:paraId="6F8A8E04" w14:textId="77777777" w:rsidR="00E11384" w:rsidRPr="009E4EB8" w:rsidRDefault="00E11384" w:rsidP="00D041EE">
            <w:pPr>
              <w:keepNext/>
              <w:jc w:val="left"/>
              <w:rPr>
                <w:rFonts w:ascii="Arial Narrow" w:hAnsi="Arial Narrow"/>
                <w:iCs/>
                <w:sz w:val="20"/>
                <w:szCs w:val="20"/>
                <w:lang w:val="en-AU"/>
              </w:rPr>
            </w:pPr>
            <w:r w:rsidRPr="009E4EB8">
              <w:rPr>
                <w:rFonts w:ascii="Arial Narrow" w:hAnsi="Arial Narrow"/>
                <w:iCs/>
                <w:sz w:val="20"/>
                <w:szCs w:val="20"/>
                <w:lang w:val="en-AU"/>
              </w:rPr>
              <w:t>Sd treatment duration (2.84 months)</w:t>
            </w:r>
          </w:p>
        </w:tc>
        <w:tc>
          <w:tcPr>
            <w:tcW w:w="1081" w:type="dxa"/>
            <w:tcBorders>
              <w:top w:val="single" w:sz="6" w:space="0" w:color="000000"/>
              <w:left w:val="single" w:sz="6" w:space="0" w:color="000000"/>
              <w:bottom w:val="single" w:sz="6" w:space="0" w:color="000000"/>
              <w:right w:val="single" w:sz="6" w:space="0" w:color="000000"/>
            </w:tcBorders>
            <w:vAlign w:val="center"/>
          </w:tcPr>
          <w:p w14:paraId="31771847" w14:textId="77777777" w:rsidR="00E11384" w:rsidRPr="009E4EB8" w:rsidRDefault="00E11384" w:rsidP="00D041EE">
            <w:pPr>
              <w:keepNext/>
              <w:jc w:val="center"/>
              <w:rPr>
                <w:rFonts w:ascii="Arial Narrow" w:hAnsi="Arial Narrow"/>
                <w:iCs/>
                <w:sz w:val="20"/>
                <w:szCs w:val="20"/>
                <w:vertAlign w:val="superscript"/>
                <w:lang w:val="en-AU"/>
              </w:rPr>
            </w:pPr>
            <w:r w:rsidRPr="009E4EB8">
              <w:rPr>
                <w:rFonts w:ascii="Arial Narrow" w:hAnsi="Arial Narrow"/>
                <w:iCs/>
                <w:sz w:val="20"/>
                <w:szCs w:val="20"/>
                <w:lang w:val="en-AU"/>
              </w:rPr>
              <w:t xml:space="preserve">2.07 months </w:t>
            </w:r>
            <w:r w:rsidRPr="009E4EB8">
              <w:rPr>
                <w:rFonts w:ascii="Arial Narrow" w:hAnsi="Arial Narrow"/>
                <w:iCs/>
                <w:sz w:val="20"/>
                <w:szCs w:val="20"/>
                <w:vertAlign w:val="superscript"/>
                <w:lang w:val="en-AU"/>
              </w:rPr>
              <w:t>b</w:t>
            </w:r>
          </w:p>
        </w:tc>
        <w:tc>
          <w:tcPr>
            <w:tcW w:w="912" w:type="dxa"/>
            <w:tcBorders>
              <w:top w:val="single" w:sz="6" w:space="0" w:color="000000"/>
              <w:left w:val="single" w:sz="6" w:space="0" w:color="000000"/>
              <w:bottom w:val="single" w:sz="6" w:space="0" w:color="000000"/>
              <w:right w:val="single" w:sz="6" w:space="0" w:color="000000"/>
            </w:tcBorders>
            <w:vAlign w:val="center"/>
          </w:tcPr>
          <w:p w14:paraId="40EB3A21" w14:textId="7E0F8D67" w:rsidR="00E11384" w:rsidRPr="00192427" w:rsidRDefault="00992522" w:rsidP="00D041EE">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29"/>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29"/>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29"/>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tcPr>
          <w:p w14:paraId="1B21D1C4" w14:textId="342880F4" w:rsidR="00E11384" w:rsidRPr="00192427" w:rsidRDefault="00992522" w:rsidP="00D041EE">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28"/>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28"/>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28"/>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3" w:type="dxa"/>
            <w:tcBorders>
              <w:top w:val="single" w:sz="6" w:space="0" w:color="000000"/>
              <w:left w:val="single" w:sz="6" w:space="0" w:color="000000"/>
              <w:bottom w:val="single" w:sz="6" w:space="0" w:color="000000"/>
              <w:right w:val="single" w:sz="6" w:space="0" w:color="000000"/>
            </w:tcBorders>
            <w:vAlign w:val="center"/>
          </w:tcPr>
          <w:p w14:paraId="7B791481" w14:textId="78B0C1C5" w:rsidR="00E11384" w:rsidRPr="00192427" w:rsidRDefault="00992522" w:rsidP="00D041EE">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27"/>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27"/>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27"/>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tcPr>
          <w:p w14:paraId="6F14A3ED" w14:textId="6DBBBB88" w:rsidR="00E11384" w:rsidRPr="00192427" w:rsidRDefault="00992522" w:rsidP="00D041EE">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26"/>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26"/>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26"/>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tcPr>
          <w:p w14:paraId="05E1C019" w14:textId="1C127A60" w:rsidR="00E11384" w:rsidRPr="00192427" w:rsidRDefault="00992522" w:rsidP="00D041EE">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25"/>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25"/>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25"/>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3" w:type="dxa"/>
            <w:tcBorders>
              <w:top w:val="single" w:sz="6" w:space="0" w:color="000000"/>
              <w:left w:val="single" w:sz="6" w:space="0" w:color="000000"/>
              <w:bottom w:val="single" w:sz="6" w:space="0" w:color="000000"/>
              <w:right w:val="single" w:sz="6" w:space="0" w:color="000000"/>
            </w:tcBorders>
            <w:vAlign w:val="center"/>
          </w:tcPr>
          <w:p w14:paraId="40934271" w14:textId="5730ACA2" w:rsidR="00E11384" w:rsidRPr="00192427" w:rsidRDefault="00992522" w:rsidP="00D041EE">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24"/>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24"/>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24"/>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774" w:type="dxa"/>
            <w:tcBorders>
              <w:top w:val="single" w:sz="6" w:space="0" w:color="000000"/>
              <w:left w:val="single" w:sz="6" w:space="0" w:color="000000"/>
              <w:bottom w:val="single" w:sz="6" w:space="0" w:color="000000"/>
              <w:right w:val="single" w:sz="6" w:space="0" w:color="000000"/>
            </w:tcBorders>
            <w:vAlign w:val="center"/>
          </w:tcPr>
          <w:p w14:paraId="6C68CE34" w14:textId="77777777" w:rsidR="00E11384" w:rsidRPr="009E4EB8" w:rsidRDefault="00E11384" w:rsidP="00D041EE">
            <w:pPr>
              <w:keepNext/>
              <w:jc w:val="center"/>
              <w:rPr>
                <w:rFonts w:ascii="Arial Narrow" w:hAnsi="Arial Narrow"/>
                <w:iCs/>
                <w:sz w:val="20"/>
                <w:szCs w:val="20"/>
                <w:lang w:val="en-AU"/>
              </w:rPr>
            </w:pPr>
            <w:r w:rsidRPr="009E4EB8">
              <w:rPr>
                <w:rFonts w:ascii="Arial Narrow" w:hAnsi="Arial Narrow"/>
                <w:iCs/>
                <w:sz w:val="20"/>
                <w:szCs w:val="20"/>
                <w:lang w:val="en-AU"/>
              </w:rPr>
              <w:t>-33%</w:t>
            </w:r>
          </w:p>
        </w:tc>
      </w:tr>
      <w:tr w:rsidR="00A24FCC" w:rsidRPr="009E4EB8" w14:paraId="471629F9" w14:textId="77777777" w:rsidTr="00076869">
        <w:tc>
          <w:tcPr>
            <w:tcW w:w="1682" w:type="dxa"/>
            <w:tcBorders>
              <w:top w:val="single" w:sz="6" w:space="0" w:color="000000"/>
              <w:left w:val="single" w:sz="6" w:space="0" w:color="000000"/>
              <w:bottom w:val="single" w:sz="6" w:space="0" w:color="000000"/>
              <w:right w:val="single" w:sz="6" w:space="0" w:color="000000"/>
            </w:tcBorders>
            <w:vAlign w:val="center"/>
          </w:tcPr>
          <w:p w14:paraId="6F7EF535" w14:textId="05EFF9A4" w:rsidR="00E11384" w:rsidRPr="009E4EB8" w:rsidRDefault="00E11384" w:rsidP="00076869">
            <w:pPr>
              <w:keepNext/>
              <w:jc w:val="left"/>
              <w:rPr>
                <w:rFonts w:ascii="Arial Narrow" w:hAnsi="Arial Narrow"/>
                <w:iCs/>
                <w:sz w:val="20"/>
                <w:szCs w:val="20"/>
                <w:lang w:val="en-AU"/>
              </w:rPr>
            </w:pPr>
            <w:r w:rsidRPr="009E4EB8">
              <w:rPr>
                <w:rFonts w:ascii="Arial Narrow" w:hAnsi="Arial Narrow"/>
                <w:iCs/>
                <w:sz w:val="20"/>
                <w:szCs w:val="20"/>
                <w:lang w:val="en-AU"/>
              </w:rPr>
              <w:t>Median dose intensity selinexor 65.4%</w:t>
            </w:r>
          </w:p>
        </w:tc>
        <w:tc>
          <w:tcPr>
            <w:tcW w:w="1081" w:type="dxa"/>
            <w:tcBorders>
              <w:top w:val="single" w:sz="6" w:space="0" w:color="000000"/>
              <w:left w:val="single" w:sz="6" w:space="0" w:color="000000"/>
              <w:bottom w:val="single" w:sz="6" w:space="0" w:color="000000"/>
              <w:right w:val="single" w:sz="6" w:space="0" w:color="000000"/>
            </w:tcBorders>
            <w:vAlign w:val="center"/>
          </w:tcPr>
          <w:p w14:paraId="7491F646" w14:textId="1A7A613C" w:rsidR="00E11384" w:rsidRPr="009E4EB8" w:rsidRDefault="00E11384" w:rsidP="00076869">
            <w:pPr>
              <w:keepNext/>
              <w:jc w:val="center"/>
              <w:rPr>
                <w:rFonts w:ascii="Arial Narrow" w:hAnsi="Arial Narrow"/>
                <w:iCs/>
                <w:sz w:val="20"/>
                <w:szCs w:val="20"/>
                <w:vertAlign w:val="superscript"/>
                <w:lang w:val="en-AU"/>
              </w:rPr>
            </w:pPr>
            <w:r w:rsidRPr="009E4EB8">
              <w:rPr>
                <w:rFonts w:ascii="Arial Narrow" w:hAnsi="Arial Narrow"/>
                <w:iCs/>
                <w:sz w:val="20"/>
                <w:szCs w:val="20"/>
                <w:lang w:val="en-AU"/>
              </w:rPr>
              <w:t>Mean dose intensity selinexor 71.5%</w:t>
            </w:r>
          </w:p>
        </w:tc>
        <w:tc>
          <w:tcPr>
            <w:tcW w:w="912" w:type="dxa"/>
            <w:tcBorders>
              <w:top w:val="single" w:sz="6" w:space="0" w:color="000000"/>
              <w:left w:val="single" w:sz="6" w:space="0" w:color="000000"/>
              <w:bottom w:val="single" w:sz="6" w:space="0" w:color="000000"/>
              <w:right w:val="single" w:sz="6" w:space="0" w:color="000000"/>
            </w:tcBorders>
            <w:vAlign w:val="center"/>
          </w:tcPr>
          <w:p w14:paraId="1EA1DDBB" w14:textId="0E59E43A" w:rsidR="00E11384" w:rsidRPr="00192427" w:rsidRDefault="00992522" w:rsidP="00076869">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23"/>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23"/>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23"/>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tcPr>
          <w:p w14:paraId="42C423FA" w14:textId="61B31D8C" w:rsidR="00E11384" w:rsidRPr="00192427" w:rsidRDefault="00992522" w:rsidP="00076869">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22"/>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22"/>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22"/>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3" w:type="dxa"/>
            <w:tcBorders>
              <w:top w:val="single" w:sz="6" w:space="0" w:color="000000"/>
              <w:left w:val="single" w:sz="6" w:space="0" w:color="000000"/>
              <w:bottom w:val="single" w:sz="6" w:space="0" w:color="000000"/>
              <w:right w:val="single" w:sz="6" w:space="0" w:color="000000"/>
            </w:tcBorders>
            <w:vAlign w:val="center"/>
          </w:tcPr>
          <w:p w14:paraId="79A50DE0" w14:textId="48730887" w:rsidR="00E11384" w:rsidRPr="00192427" w:rsidRDefault="00992522" w:rsidP="00076869">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21"/>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21"/>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21"/>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tcPr>
          <w:p w14:paraId="4C124555" w14:textId="05DA4BEC" w:rsidR="00E11384" w:rsidRPr="00192427" w:rsidRDefault="00992522" w:rsidP="00076869">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20"/>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20"/>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20"/>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2" w:type="dxa"/>
            <w:tcBorders>
              <w:top w:val="single" w:sz="6" w:space="0" w:color="000000"/>
              <w:left w:val="single" w:sz="6" w:space="0" w:color="000000"/>
              <w:bottom w:val="single" w:sz="6" w:space="0" w:color="000000"/>
              <w:right w:val="single" w:sz="6" w:space="0" w:color="000000"/>
            </w:tcBorders>
            <w:vAlign w:val="center"/>
          </w:tcPr>
          <w:p w14:paraId="73FAAA90" w14:textId="2F796F11" w:rsidR="00E11384" w:rsidRPr="00192427" w:rsidRDefault="00992522" w:rsidP="00076869">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19"/>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19"/>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19"/>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913" w:type="dxa"/>
            <w:tcBorders>
              <w:top w:val="single" w:sz="6" w:space="0" w:color="000000"/>
              <w:left w:val="single" w:sz="6" w:space="0" w:color="000000"/>
              <w:bottom w:val="single" w:sz="6" w:space="0" w:color="000000"/>
              <w:right w:val="single" w:sz="6" w:space="0" w:color="000000"/>
            </w:tcBorders>
            <w:vAlign w:val="center"/>
          </w:tcPr>
          <w:p w14:paraId="726E4A99" w14:textId="54FE2EBA" w:rsidR="00E11384" w:rsidRPr="00192427" w:rsidRDefault="00992522" w:rsidP="00076869">
            <w:pPr>
              <w:keepNext/>
              <w:jc w:val="center"/>
              <w:rPr>
                <w:rFonts w:ascii="Arial Narrow" w:hAnsi="Arial Narrow"/>
                <w:iCs/>
                <w:sz w:val="20"/>
                <w:szCs w:val="20"/>
                <w:highlight w:val="yellow"/>
                <w:lang w:val="en-AU"/>
              </w:rPr>
            </w:pPr>
            <w:r w:rsidRPr="00992522">
              <w:rPr>
                <w:rFonts w:ascii="Arial Narrow" w:hAnsi="Arial Narrow" w:hint="eastAsia"/>
                <w:iCs/>
                <w:color w:val="000000"/>
                <w:w w:val="31"/>
                <w:sz w:val="20"/>
                <w:szCs w:val="20"/>
                <w:shd w:val="solid" w:color="000000" w:fill="000000"/>
                <w:fitText w:val="140" w:id="-1504991218"/>
                <w:lang w:val="en-AU"/>
                <w14:textFill>
                  <w14:solidFill>
                    <w14:srgbClr w14:val="000000">
                      <w14:alpha w14:val="100000"/>
                    </w14:srgbClr>
                  </w14:solidFill>
                </w14:textFill>
              </w:rPr>
              <w:t xml:space="preserve">　</w:t>
            </w:r>
            <w:r w:rsidRPr="00992522">
              <w:rPr>
                <w:rFonts w:ascii="Arial Narrow" w:hAnsi="Arial Narrow"/>
                <w:iCs/>
                <w:color w:val="000000"/>
                <w:w w:val="31"/>
                <w:sz w:val="20"/>
                <w:szCs w:val="20"/>
                <w:shd w:val="solid" w:color="000000" w:fill="000000"/>
                <w:fitText w:val="140" w:id="-1504991218"/>
                <w:lang w:val="en-AU"/>
                <w14:textFill>
                  <w14:solidFill>
                    <w14:srgbClr w14:val="000000">
                      <w14:alpha w14:val="100000"/>
                    </w14:srgbClr>
                  </w14:solidFill>
                </w14:textFill>
              </w:rPr>
              <w:t>|</w:t>
            </w:r>
            <w:r w:rsidRPr="00992522">
              <w:rPr>
                <w:rFonts w:ascii="Arial Narrow" w:hAnsi="Arial Narrow" w:hint="eastAsia"/>
                <w:iCs/>
                <w:color w:val="000000"/>
                <w:spacing w:val="4"/>
                <w:w w:val="31"/>
                <w:sz w:val="20"/>
                <w:szCs w:val="20"/>
                <w:shd w:val="solid" w:color="000000" w:fill="000000"/>
                <w:fitText w:val="140" w:id="-1504991218"/>
                <w:lang w:val="en-AU"/>
                <w14:textFill>
                  <w14:solidFill>
                    <w14:srgbClr w14:val="000000">
                      <w14:alpha w14:val="100000"/>
                    </w14:srgbClr>
                  </w14:solidFill>
                </w14:textFill>
              </w:rPr>
              <w:t xml:space="preserve">　</w:t>
            </w:r>
            <w:r w:rsidR="00E70651" w:rsidRPr="00E70651">
              <w:rPr>
                <w:rFonts w:ascii="Arial Narrow" w:hAnsi="Arial Narrow"/>
                <w:b/>
                <w:bCs/>
                <w:sz w:val="20"/>
                <w:szCs w:val="20"/>
                <w:vertAlign w:val="superscript"/>
                <w:lang w:val="en-AU"/>
              </w:rPr>
              <w:t>1</w:t>
            </w:r>
          </w:p>
        </w:tc>
        <w:tc>
          <w:tcPr>
            <w:tcW w:w="774" w:type="dxa"/>
            <w:tcBorders>
              <w:top w:val="single" w:sz="6" w:space="0" w:color="000000"/>
              <w:left w:val="single" w:sz="6" w:space="0" w:color="000000"/>
              <w:bottom w:val="single" w:sz="6" w:space="0" w:color="000000"/>
              <w:right w:val="single" w:sz="6" w:space="0" w:color="000000"/>
            </w:tcBorders>
            <w:vAlign w:val="center"/>
          </w:tcPr>
          <w:p w14:paraId="0C30CC31" w14:textId="79EE239A" w:rsidR="00E11384" w:rsidRPr="009E4EB8" w:rsidRDefault="00E11384" w:rsidP="00076869">
            <w:pPr>
              <w:keepNext/>
              <w:jc w:val="center"/>
              <w:rPr>
                <w:rFonts w:ascii="Arial Narrow" w:hAnsi="Arial Narrow"/>
                <w:iCs/>
                <w:sz w:val="20"/>
                <w:szCs w:val="20"/>
                <w:lang w:val="en-AU"/>
              </w:rPr>
            </w:pPr>
            <w:r w:rsidRPr="009E4EB8">
              <w:rPr>
                <w:rFonts w:ascii="Arial Narrow" w:hAnsi="Arial Narrow"/>
                <w:iCs/>
                <w:sz w:val="20"/>
                <w:szCs w:val="20"/>
                <w:lang w:val="en-AU"/>
              </w:rPr>
              <w:t>11%</w:t>
            </w:r>
          </w:p>
        </w:tc>
      </w:tr>
    </w:tbl>
    <w:p w14:paraId="51A9435A" w14:textId="5617D2FE" w:rsidR="006E5DDF" w:rsidRPr="009E4EB8" w:rsidRDefault="006E5DDF" w:rsidP="006E5DDF">
      <w:pPr>
        <w:pStyle w:val="TableFigureFooter"/>
        <w:keepNext/>
      </w:pPr>
      <w:r w:rsidRPr="009E4EB8">
        <w:t xml:space="preserve">Source: Table 4-20, p176 of the resubmission </w:t>
      </w:r>
      <w:r w:rsidRPr="009E4EB8">
        <w:rPr>
          <w:rStyle w:val="FontBold"/>
          <w:rFonts w:ascii="Arial Narrow" w:eastAsiaTheme="minorHAnsi" w:hAnsi="Arial Narrow"/>
          <w:b w:val="0"/>
          <w:bCs/>
          <w:sz w:val="18"/>
          <w:szCs w:val="18"/>
        </w:rPr>
        <w:t xml:space="preserve">and </w:t>
      </w:r>
      <w:r w:rsidRPr="009E4EB8">
        <w:rPr>
          <w:rFonts w:cs="Cordia New"/>
          <w:szCs w:val="18"/>
          <w:lang w:eastAsia="en-US"/>
        </w:rPr>
        <w:t>developed during the evaluation</w:t>
      </w:r>
    </w:p>
    <w:p w14:paraId="6589B6C0" w14:textId="1C800D02" w:rsidR="006E5DDF" w:rsidRPr="009E4EB8" w:rsidRDefault="006E5DDF" w:rsidP="006E5DDF">
      <w:pPr>
        <w:pStyle w:val="TableFigureFooter"/>
        <w:keepNext/>
        <w:rPr>
          <w:szCs w:val="18"/>
        </w:rPr>
      </w:pPr>
      <w:r w:rsidRPr="009E4EB8">
        <w:t xml:space="preserve">Abbreviations: </w:t>
      </w:r>
      <w:r w:rsidRPr="009E4EB8">
        <w:rPr>
          <w:szCs w:val="18"/>
        </w:rPr>
        <w:t>Pd = pomalidomide + dexamethasone; Sd = selinexor + dexamethasone</w:t>
      </w:r>
      <w:r w:rsidR="009648FE" w:rsidRPr="009E4EB8">
        <w:rPr>
          <w:szCs w:val="18"/>
        </w:rPr>
        <w:t xml:space="preserve">; </w:t>
      </w:r>
      <w:r w:rsidR="009648FE" w:rsidRPr="009E4EB8">
        <w:t>TCR/PR = triple class refractory and penta-refractory</w:t>
      </w:r>
    </w:p>
    <w:p w14:paraId="51C11CAA" w14:textId="00AE0409" w:rsidR="00002008" w:rsidRPr="009E4EB8" w:rsidRDefault="00002008" w:rsidP="00002008">
      <w:pPr>
        <w:pStyle w:val="TableFigureFooter"/>
        <w:keepNext/>
        <w:rPr>
          <w:iCs/>
          <w:szCs w:val="18"/>
        </w:rPr>
      </w:pPr>
      <w:r w:rsidRPr="009E4EB8">
        <w:rPr>
          <w:szCs w:val="18"/>
        </w:rPr>
        <w:t xml:space="preserve">Notes: </w:t>
      </w:r>
      <w:proofErr w:type="gramStart"/>
      <w:r w:rsidRPr="009E4EB8">
        <w:rPr>
          <w:iCs/>
          <w:szCs w:val="18"/>
          <w:vertAlign w:val="superscript"/>
        </w:rPr>
        <w:t>a</w:t>
      </w:r>
      <w:proofErr w:type="gramEnd"/>
      <w:r w:rsidRPr="009E4EB8">
        <w:rPr>
          <w:iCs/>
          <w:szCs w:val="18"/>
          <w:vertAlign w:val="superscript"/>
        </w:rPr>
        <w:t xml:space="preserve"> </w:t>
      </w:r>
      <w:r w:rsidRPr="009E4EB8">
        <w:rPr>
          <w:iCs/>
          <w:szCs w:val="18"/>
        </w:rPr>
        <w:t>Based on DUSC’s previous consideration that an uptake rate was substantially overestimated and that the uptake rate would be much lower at approximately 10-20% (p5, Selinexor (TCR/PR), DUSC Minutes, July 2021 PBAC Meeting). The sensitivity analysis applied an uptake rate of 10% (</w:t>
      </w:r>
      <w:proofErr w:type="spellStart"/>
      <w:r w:rsidRPr="009E4EB8">
        <w:rPr>
          <w:iCs/>
          <w:szCs w:val="18"/>
        </w:rPr>
        <w:t>Yr</w:t>
      </w:r>
      <w:proofErr w:type="spellEnd"/>
      <w:r w:rsidRPr="009E4EB8">
        <w:rPr>
          <w:iCs/>
          <w:szCs w:val="18"/>
        </w:rPr>
        <w:t xml:space="preserve"> 1 and 2) and 20% thereafter. </w:t>
      </w:r>
    </w:p>
    <w:p w14:paraId="7875867D" w14:textId="77777777" w:rsidR="00002008" w:rsidRPr="009E4EB8" w:rsidRDefault="00002008" w:rsidP="00002008">
      <w:pPr>
        <w:pStyle w:val="TableFigureFooter"/>
        <w:keepNext/>
        <w:rPr>
          <w:iCs/>
          <w:szCs w:val="18"/>
        </w:rPr>
      </w:pPr>
      <w:r w:rsidRPr="009E4EB8">
        <w:rPr>
          <w:iCs/>
          <w:szCs w:val="18"/>
          <w:vertAlign w:val="superscript"/>
        </w:rPr>
        <w:t>b</w:t>
      </w:r>
      <w:r w:rsidRPr="009E4EB8">
        <w:rPr>
          <w:iCs/>
          <w:szCs w:val="18"/>
        </w:rPr>
        <w:t xml:space="preserve"> Based on the duration of Sd treatment in the TCR/PR subgroup of STORM (</w:t>
      </w:r>
      <w:proofErr w:type="gramStart"/>
      <w:r w:rsidRPr="009E4EB8">
        <w:rPr>
          <w:iCs/>
          <w:szCs w:val="18"/>
        </w:rPr>
        <w:t>i.e.</w:t>
      </w:r>
      <w:proofErr w:type="gramEnd"/>
      <w:r w:rsidRPr="009E4EB8">
        <w:rPr>
          <w:iCs/>
          <w:szCs w:val="18"/>
        </w:rPr>
        <w:t xml:space="preserve"> 9 weeks)</w:t>
      </w:r>
    </w:p>
    <w:p w14:paraId="4FB5565B" w14:textId="77777777" w:rsidR="00002008" w:rsidRPr="009E4EB8" w:rsidRDefault="00002008" w:rsidP="00002008">
      <w:pPr>
        <w:pStyle w:val="TableFigureFooter"/>
        <w:keepNext/>
        <w:rPr>
          <w:iCs/>
          <w:szCs w:val="18"/>
        </w:rPr>
      </w:pPr>
      <w:r w:rsidRPr="009E4EB8">
        <w:rPr>
          <w:iCs/>
          <w:szCs w:val="18"/>
          <w:vertAlign w:val="superscript"/>
        </w:rPr>
        <w:t xml:space="preserve">c </w:t>
      </w:r>
      <w:r w:rsidRPr="009E4EB8">
        <w:rPr>
          <w:iCs/>
          <w:szCs w:val="18"/>
        </w:rPr>
        <w:t xml:space="preserve">average change per year </w:t>
      </w:r>
    </w:p>
    <w:p w14:paraId="1D27EE0A" w14:textId="6D19429E" w:rsidR="00002008" w:rsidRDefault="00002008" w:rsidP="006E5DDF">
      <w:pPr>
        <w:pStyle w:val="TableFigureFooter"/>
        <w:keepNext/>
        <w:rPr>
          <w:iCs/>
          <w:szCs w:val="18"/>
        </w:rPr>
      </w:pPr>
      <w:r w:rsidRPr="009E4EB8">
        <w:rPr>
          <w:iCs/>
          <w:szCs w:val="18"/>
          <w:vertAlign w:val="superscript"/>
        </w:rPr>
        <w:t>d -</w:t>
      </w:r>
      <w:r w:rsidRPr="009E4EB8">
        <w:rPr>
          <w:iCs/>
          <w:szCs w:val="18"/>
        </w:rPr>
        <w:t xml:space="preserve">80% in Year 1, -86% in Year 2, -75% in Year </w:t>
      </w:r>
      <w:proofErr w:type="gramStart"/>
      <w:r w:rsidRPr="009E4EB8">
        <w:rPr>
          <w:iCs/>
          <w:szCs w:val="18"/>
        </w:rPr>
        <w:t>3</w:t>
      </w:r>
      <w:proofErr w:type="gramEnd"/>
      <w:r w:rsidRPr="009E4EB8">
        <w:rPr>
          <w:iCs/>
          <w:szCs w:val="18"/>
        </w:rPr>
        <w:t xml:space="preserve"> and -78% in Years 4-6</w:t>
      </w:r>
    </w:p>
    <w:p w14:paraId="7D1DA74C" w14:textId="75A81135" w:rsidR="00192427" w:rsidRDefault="00192427" w:rsidP="006E5DDF">
      <w:pPr>
        <w:pStyle w:val="TableFigureFooter"/>
        <w:keepNext/>
        <w:rPr>
          <w:iCs/>
          <w:szCs w:val="18"/>
        </w:rPr>
      </w:pPr>
    </w:p>
    <w:p w14:paraId="5C45258B" w14:textId="6EEF6AA8" w:rsidR="00192427" w:rsidRDefault="00192427" w:rsidP="00192427">
      <w:pPr>
        <w:rPr>
          <w:rFonts w:ascii="Arial Narrow" w:hAnsi="Arial Narrow"/>
          <w:i/>
          <w:sz w:val="18"/>
          <w:szCs w:val="18"/>
        </w:rPr>
      </w:pPr>
      <w:r w:rsidRPr="009A6D58">
        <w:rPr>
          <w:rFonts w:ascii="Arial Narrow" w:hAnsi="Arial Narrow"/>
          <w:i/>
          <w:sz w:val="18"/>
          <w:szCs w:val="18"/>
        </w:rPr>
        <w:t>The redacted values correspond to the following ranges:</w:t>
      </w:r>
    </w:p>
    <w:p w14:paraId="542BBC69" w14:textId="1FBF3F30" w:rsidR="00192427" w:rsidRPr="009A6D58" w:rsidRDefault="00192427" w:rsidP="00192427">
      <w:pPr>
        <w:rPr>
          <w:rFonts w:ascii="Arial Narrow" w:hAnsi="Arial Narrow"/>
          <w:i/>
          <w:sz w:val="18"/>
          <w:szCs w:val="18"/>
        </w:rPr>
      </w:pPr>
      <w:r>
        <w:rPr>
          <w:rFonts w:ascii="Arial Narrow" w:hAnsi="Arial Narrow"/>
          <w:i/>
          <w:sz w:val="18"/>
          <w:szCs w:val="18"/>
          <w:vertAlign w:val="superscript"/>
        </w:rPr>
        <w:t xml:space="preserve">1 </w:t>
      </w:r>
      <w:r w:rsidRPr="00263DC7">
        <w:rPr>
          <w:rFonts w:ascii="Arial Narrow" w:hAnsi="Arial Narrow"/>
          <w:i/>
          <w:sz w:val="18"/>
          <w:szCs w:val="18"/>
        </w:rPr>
        <w:t>$0 to &lt; $10 million</w:t>
      </w:r>
    </w:p>
    <w:p w14:paraId="4BA90F2C" w14:textId="77777777" w:rsidR="00192427" w:rsidRPr="009E4EB8" w:rsidRDefault="00192427" w:rsidP="006E5DDF">
      <w:pPr>
        <w:pStyle w:val="TableFigureFooter"/>
        <w:keepNext/>
        <w:rPr>
          <w:iCs/>
          <w:szCs w:val="18"/>
        </w:rPr>
      </w:pPr>
    </w:p>
    <w:p w14:paraId="28D3D03C" w14:textId="7C9F8449" w:rsidR="005304FD" w:rsidRPr="009E4EB8" w:rsidRDefault="00076869" w:rsidP="005304FD">
      <w:pPr>
        <w:pStyle w:val="3-BodyText"/>
        <w:rPr>
          <w:iCs/>
        </w:rPr>
      </w:pPr>
      <w:r w:rsidRPr="009E4EB8">
        <w:rPr>
          <w:iCs/>
        </w:rPr>
        <w:t xml:space="preserve">Based on the results of the sensitivity analyses, the financial estimates were sensitive to the duration of treatment with Sd and the probability of becoming eligible for Sd following Pd failure. Assuming a lower uptake rate (as per DUSC’s previous consideration (i.e., </w:t>
      </w:r>
      <w:proofErr w:type="gramStart"/>
      <w:r w:rsidR="00992522" w:rsidRPr="00964E38">
        <w:rPr>
          <w:iCs/>
          <w:color w:val="000000"/>
          <w:w w:val="15"/>
          <w:shd w:val="solid" w:color="000000" w:fill="000000"/>
          <w:fitText w:val="-20" w:id="-1504991217"/>
          <w14:textFill>
            <w14:solidFill>
              <w14:srgbClr w14:val="000000">
                <w14:alpha w14:val="100000"/>
              </w14:srgbClr>
            </w14:solidFill>
          </w14:textFill>
        </w:rPr>
        <w:t xml:space="preserve">|  </w:t>
      </w:r>
      <w:r w:rsidR="00992522" w:rsidRPr="00964E38">
        <w:rPr>
          <w:iCs/>
          <w:color w:val="000000"/>
          <w:spacing w:val="-69"/>
          <w:w w:val="15"/>
          <w:shd w:val="solid" w:color="000000" w:fill="000000"/>
          <w:fitText w:val="-20" w:id="-1504991217"/>
          <w14:textFill>
            <w14:solidFill>
              <w14:srgbClr w14:val="000000">
                <w14:alpha w14:val="100000"/>
              </w14:srgbClr>
            </w14:solidFill>
          </w14:textFill>
        </w:rPr>
        <w:t>|</w:t>
      </w:r>
      <w:proofErr w:type="gramEnd"/>
      <w:r w:rsidRPr="00885237">
        <w:rPr>
          <w:iCs/>
        </w:rPr>
        <w:t>-</w:t>
      </w:r>
      <w:r w:rsidR="00992522" w:rsidRPr="00964E38">
        <w:rPr>
          <w:iCs/>
          <w:color w:val="000000"/>
          <w:w w:val="15"/>
          <w:shd w:val="solid" w:color="000000" w:fill="000000"/>
          <w:fitText w:val="-20" w:id="-1504991216"/>
          <w14:textFill>
            <w14:solidFill>
              <w14:srgbClr w14:val="000000">
                <w14:alpha w14:val="100000"/>
              </w14:srgbClr>
            </w14:solidFill>
          </w14:textFill>
        </w:rPr>
        <w:t xml:space="preserve">|  </w:t>
      </w:r>
      <w:r w:rsidR="00992522" w:rsidRPr="00964E38">
        <w:rPr>
          <w:iCs/>
          <w:color w:val="000000"/>
          <w:spacing w:val="-69"/>
          <w:w w:val="15"/>
          <w:shd w:val="solid" w:color="000000" w:fill="000000"/>
          <w:fitText w:val="-20" w:id="-1504991216"/>
          <w14:textFill>
            <w14:solidFill>
              <w14:srgbClr w14:val="000000">
                <w14:alpha w14:val="100000"/>
              </w14:srgbClr>
            </w14:solidFill>
          </w14:textFill>
        </w:rPr>
        <w:t>|</w:t>
      </w:r>
      <w:r w:rsidRPr="009E4EB8">
        <w:rPr>
          <w:iCs/>
        </w:rPr>
        <w:t xml:space="preserve">%; Selinexor (TCR/PR), DUSC Minutes, July 2021 PBAC Meeting) resulted in a </w:t>
      </w:r>
      <w:r w:rsidR="00992522" w:rsidRPr="00964E38">
        <w:rPr>
          <w:iCs/>
          <w:color w:val="000000"/>
          <w:w w:val="15"/>
          <w:shd w:val="solid" w:color="000000" w:fill="000000"/>
          <w:fitText w:val="-20" w:id="-1504991232"/>
          <w14:textFill>
            <w14:solidFill>
              <w14:srgbClr w14:val="000000">
                <w14:alpha w14:val="100000"/>
              </w14:srgbClr>
            </w14:solidFill>
          </w14:textFill>
        </w:rPr>
        <w:t xml:space="preserve">|  </w:t>
      </w:r>
      <w:r w:rsidR="00992522" w:rsidRPr="00964E38">
        <w:rPr>
          <w:iCs/>
          <w:color w:val="000000"/>
          <w:spacing w:val="-69"/>
          <w:w w:val="15"/>
          <w:shd w:val="solid" w:color="000000" w:fill="000000"/>
          <w:fitText w:val="-20" w:id="-1504991232"/>
          <w14:textFill>
            <w14:solidFill>
              <w14:srgbClr w14:val="000000">
                <w14:alpha w14:val="100000"/>
              </w14:srgbClr>
            </w14:solidFill>
          </w14:textFill>
        </w:rPr>
        <w:t>|</w:t>
      </w:r>
      <w:r w:rsidRPr="009E4EB8">
        <w:rPr>
          <w:iCs/>
        </w:rPr>
        <w:t xml:space="preserve">% lower financial impact to the PBS/RPBS (from </w:t>
      </w:r>
      <w:r w:rsidR="00F37FC8" w:rsidRPr="00F37FC8">
        <w:rPr>
          <w:iCs/>
        </w:rPr>
        <w:t>$0 to &lt; $10 million</w:t>
      </w:r>
      <w:r w:rsidR="00F37FC8" w:rsidRPr="00885237" w:rsidDel="00F37FC8">
        <w:rPr>
          <w:iCs/>
        </w:rPr>
        <w:t xml:space="preserve"> </w:t>
      </w:r>
      <w:r w:rsidRPr="00885237">
        <w:rPr>
          <w:iCs/>
        </w:rPr>
        <w:t xml:space="preserve">to </w:t>
      </w:r>
      <w:r w:rsidR="00F37FC8" w:rsidRPr="00F37FC8">
        <w:rPr>
          <w:iCs/>
        </w:rPr>
        <w:t>$0 to &lt; $10 million</w:t>
      </w:r>
      <w:r w:rsidR="00F37FC8" w:rsidRPr="00885237" w:rsidDel="00F37FC8">
        <w:rPr>
          <w:iCs/>
        </w:rPr>
        <w:t xml:space="preserve"> </w:t>
      </w:r>
      <w:r w:rsidRPr="009E4EB8">
        <w:rPr>
          <w:iCs/>
        </w:rPr>
        <w:t xml:space="preserve">in Year 6). Reducing the duration of Sd treatment from 2.84 months (based on the economic model) to 2.07 months (TCR/PR subgroup in STORM) resulted in a </w:t>
      </w:r>
      <w:proofErr w:type="gramStart"/>
      <w:r w:rsidR="00992522" w:rsidRPr="00964E38">
        <w:rPr>
          <w:iCs/>
          <w:color w:val="000000"/>
          <w:w w:val="15"/>
          <w:shd w:val="solid" w:color="000000" w:fill="000000"/>
          <w:fitText w:val="-20" w:id="-1504991231"/>
          <w14:textFill>
            <w14:solidFill>
              <w14:srgbClr w14:val="000000">
                <w14:alpha w14:val="100000"/>
              </w14:srgbClr>
            </w14:solidFill>
          </w14:textFill>
        </w:rPr>
        <w:t xml:space="preserve">|  </w:t>
      </w:r>
      <w:r w:rsidR="00992522" w:rsidRPr="00964E38">
        <w:rPr>
          <w:iCs/>
          <w:color w:val="000000"/>
          <w:spacing w:val="-69"/>
          <w:w w:val="15"/>
          <w:shd w:val="solid" w:color="000000" w:fill="000000"/>
          <w:fitText w:val="-20" w:id="-1504991231"/>
          <w14:textFill>
            <w14:solidFill>
              <w14:srgbClr w14:val="000000">
                <w14:alpha w14:val="100000"/>
              </w14:srgbClr>
            </w14:solidFill>
          </w14:textFill>
        </w:rPr>
        <w:t>|</w:t>
      </w:r>
      <w:proofErr w:type="gramEnd"/>
      <w:r w:rsidRPr="009E4EB8">
        <w:rPr>
          <w:iCs/>
        </w:rPr>
        <w:t>% lower financial impact to the PBS/RPBS (from</w:t>
      </w:r>
      <w:r w:rsidR="00E70651">
        <w:rPr>
          <w:iCs/>
        </w:rPr>
        <w:t xml:space="preserve"> $0 to &lt; $10 million</w:t>
      </w:r>
      <w:r w:rsidRPr="009E4EB8">
        <w:rPr>
          <w:iCs/>
        </w:rPr>
        <w:t xml:space="preserve"> to</w:t>
      </w:r>
      <w:r w:rsidR="00E70651">
        <w:rPr>
          <w:iCs/>
        </w:rPr>
        <w:t xml:space="preserve"> $0 to &lt; $10 million</w:t>
      </w:r>
      <w:r w:rsidRPr="009E4EB8">
        <w:rPr>
          <w:iCs/>
        </w:rPr>
        <w:t xml:space="preserve">  in Year 6). Applying the mean average dose received per week (rather than the median dose) of selinexor increased the financial impact of selinexor to the PBS/RPBS by 11% (from </w:t>
      </w:r>
      <w:r w:rsidR="00E70651">
        <w:rPr>
          <w:iCs/>
        </w:rPr>
        <w:t>$0 to &lt; $10 million</w:t>
      </w:r>
      <w:r w:rsidR="00E70651" w:rsidRPr="009E4EB8" w:rsidDel="00E70651">
        <w:rPr>
          <w:iCs/>
        </w:rPr>
        <w:t xml:space="preserve"> </w:t>
      </w:r>
      <w:r w:rsidRPr="009E4EB8">
        <w:rPr>
          <w:iCs/>
        </w:rPr>
        <w:t xml:space="preserve">to </w:t>
      </w:r>
      <w:r w:rsidR="00E70651">
        <w:rPr>
          <w:iCs/>
        </w:rPr>
        <w:t>$0 to &lt; $10 million</w:t>
      </w:r>
      <w:r w:rsidR="00E70651" w:rsidRPr="009E4EB8" w:rsidDel="00E70651">
        <w:rPr>
          <w:iCs/>
        </w:rPr>
        <w:t xml:space="preserve"> </w:t>
      </w:r>
      <w:r w:rsidRPr="009E4EB8">
        <w:rPr>
          <w:iCs/>
        </w:rPr>
        <w:t>in Year 6).</w:t>
      </w:r>
    </w:p>
    <w:p w14:paraId="6E9AB089" w14:textId="77777777" w:rsidR="005304FD" w:rsidRPr="009E4EB8" w:rsidRDefault="005304FD" w:rsidP="005304FD">
      <w:pPr>
        <w:pStyle w:val="4-SubsectionHeading"/>
      </w:pPr>
      <w:bookmarkStart w:id="81" w:name="_Toc22897648"/>
      <w:bookmarkStart w:id="82" w:name="_Toc22898860"/>
      <w:bookmarkStart w:id="83" w:name="_Toc93422871"/>
      <w:r w:rsidRPr="009E4EB8">
        <w:t>Quality Use of Medicines</w:t>
      </w:r>
      <w:bookmarkEnd w:id="81"/>
      <w:bookmarkEnd w:id="82"/>
      <w:bookmarkEnd w:id="83"/>
    </w:p>
    <w:p w14:paraId="630BFB92" w14:textId="1D9D2BD3" w:rsidR="00DA2865" w:rsidRPr="009E4EB8" w:rsidRDefault="00DA2865" w:rsidP="005304FD">
      <w:pPr>
        <w:pStyle w:val="3-BodyText"/>
        <w:rPr>
          <w:color w:val="0066FF"/>
        </w:rPr>
      </w:pPr>
      <w:r w:rsidRPr="009E4EB8">
        <w:rPr>
          <w:color w:val="000000" w:themeColor="text1"/>
        </w:rPr>
        <w:t xml:space="preserve">The resubmission </w:t>
      </w:r>
      <w:r w:rsidRPr="009E4EB8">
        <w:t xml:space="preserve">committed to supporting the education of health professionals, </w:t>
      </w:r>
      <w:proofErr w:type="gramStart"/>
      <w:r w:rsidRPr="009E4EB8">
        <w:t>patients</w:t>
      </w:r>
      <w:proofErr w:type="gramEnd"/>
      <w:r w:rsidRPr="009E4EB8">
        <w:t xml:space="preserve"> and caregivers to ensure the safe and appropriate use of selinexor through a multi-stakeholder quality use of medicines approach for haematologists, nurse, pharmacist and patients. The sponsor is working with MSAG to create suitable guidelines and education, with Myeloma Australia on nurse education and with the Haematology Society of Australia and New Zealand (HSANZ) on Australian practical management treatment recommendations for selinexor. The resubmission also stated it would also establish a patient support program to help monitor and support patients treated with selinexor. </w:t>
      </w:r>
    </w:p>
    <w:p w14:paraId="29CC0C80" w14:textId="202C06AA" w:rsidR="00DA2865" w:rsidRPr="009E4EB8" w:rsidRDefault="00DA2865" w:rsidP="005304FD">
      <w:pPr>
        <w:pStyle w:val="3-BodyText"/>
        <w:rPr>
          <w:iCs/>
        </w:rPr>
      </w:pPr>
      <w:r w:rsidRPr="009E4EB8">
        <w:rPr>
          <w:iCs/>
        </w:rPr>
        <w:t>Only the 32-pack of selinexor is sufficient for a month</w:t>
      </w:r>
      <w:r w:rsidR="00E72D9F" w:rsidRPr="009E4EB8">
        <w:rPr>
          <w:iCs/>
        </w:rPr>
        <w:t>’</w:t>
      </w:r>
      <w:r w:rsidRPr="009E4EB8">
        <w:rPr>
          <w:iCs/>
        </w:rPr>
        <w:t>s supply of treatment whilst the other pack sizes (24-pack, 20-</w:t>
      </w:r>
      <w:proofErr w:type="gramStart"/>
      <w:r w:rsidRPr="009E4EB8">
        <w:rPr>
          <w:iCs/>
        </w:rPr>
        <w:t>pack</w:t>
      </w:r>
      <w:proofErr w:type="gramEnd"/>
      <w:r w:rsidRPr="009E4EB8">
        <w:rPr>
          <w:iCs/>
        </w:rPr>
        <w:t xml:space="preserve"> and 16-pack) would only be required in the case of a dose reduction. Thus, this could potentially lead to prescriber and patient confusion with the dosing regimen, in the context of multiple pack-sizes being available and </w:t>
      </w:r>
      <w:r w:rsidR="00CF2BB1" w:rsidRPr="009E4EB8">
        <w:rPr>
          <w:iCs/>
        </w:rPr>
        <w:t>the high</w:t>
      </w:r>
      <w:r w:rsidR="005A461C" w:rsidRPr="009E4EB8">
        <w:rPr>
          <w:iCs/>
        </w:rPr>
        <w:t xml:space="preserve"> rate of dose reductions in STORM</w:t>
      </w:r>
      <w:r w:rsidRPr="009E4EB8">
        <w:rPr>
          <w:iCs/>
        </w:rPr>
        <w:t xml:space="preserve">.  </w:t>
      </w:r>
    </w:p>
    <w:p w14:paraId="4B5E422C" w14:textId="77777777" w:rsidR="005304FD" w:rsidRPr="009E4EB8" w:rsidRDefault="005304FD" w:rsidP="005304FD">
      <w:pPr>
        <w:pStyle w:val="4-SubsectionHeading"/>
      </w:pPr>
      <w:bookmarkStart w:id="84" w:name="_Toc22897649"/>
      <w:bookmarkStart w:id="85" w:name="_Toc22898861"/>
      <w:bookmarkStart w:id="86" w:name="_Toc93422872"/>
      <w:r w:rsidRPr="009E4EB8">
        <w:t>Financial Management – Risk Sharing Arrangements</w:t>
      </w:r>
      <w:bookmarkEnd w:id="84"/>
      <w:bookmarkEnd w:id="85"/>
      <w:bookmarkEnd w:id="86"/>
    </w:p>
    <w:p w14:paraId="7A1D72A3" w14:textId="084599F7" w:rsidR="005304FD" w:rsidRPr="009E4EB8" w:rsidRDefault="00E345B7" w:rsidP="00E345B7">
      <w:pPr>
        <w:pStyle w:val="3-BodyText"/>
      </w:pPr>
      <w:r w:rsidRPr="009E4EB8">
        <w:t xml:space="preserve">The </w:t>
      </w:r>
      <w:r w:rsidR="000D626B" w:rsidRPr="009E4EB8">
        <w:t>re</w:t>
      </w:r>
      <w:r w:rsidRPr="009E4EB8">
        <w:t xml:space="preserve">submission did not present a risk sharing arrangement (RSA) for </w:t>
      </w:r>
      <w:r w:rsidR="000D626B" w:rsidRPr="009E4EB8">
        <w:t>selinexor</w:t>
      </w:r>
      <w:r w:rsidRPr="009E4EB8">
        <w:t>.</w:t>
      </w:r>
    </w:p>
    <w:p w14:paraId="309AF109" w14:textId="77777777" w:rsidR="002C3290" w:rsidRPr="009E4EB8" w:rsidRDefault="002C3290" w:rsidP="002C3290">
      <w:pPr>
        <w:ind w:firstLine="709"/>
        <w:rPr>
          <w:rFonts w:asciiTheme="minorHAnsi" w:hAnsiTheme="minorHAnsi"/>
          <w:i/>
        </w:rPr>
      </w:pPr>
      <w:bookmarkStart w:id="87" w:name="_Toc22898863"/>
      <w:r w:rsidRPr="009E4EB8">
        <w:rPr>
          <w:rFonts w:asciiTheme="minorHAnsi" w:hAnsiTheme="minorHAnsi"/>
          <w:i/>
        </w:rPr>
        <w:t>For more detail on PBAC’s view, see section 7 PBAC outcome.</w:t>
      </w:r>
    </w:p>
    <w:bookmarkEnd w:id="87"/>
    <w:p w14:paraId="5318FB0B" w14:textId="77777777" w:rsidR="00223C10" w:rsidRPr="009E4EB8" w:rsidRDefault="00223C10" w:rsidP="005304FD">
      <w:pPr>
        <w:jc w:val="left"/>
      </w:pPr>
    </w:p>
    <w:p w14:paraId="015AA78D" w14:textId="334EC0D0" w:rsidR="00587FEC" w:rsidRPr="009E4EB8" w:rsidRDefault="00587FEC" w:rsidP="003C5AFC">
      <w:pPr>
        <w:pStyle w:val="2-SectionHeading"/>
        <w:numPr>
          <w:ilvl w:val="0"/>
          <w:numId w:val="1"/>
        </w:numPr>
      </w:pPr>
      <w:bookmarkStart w:id="88" w:name="_Hlk76381249"/>
      <w:bookmarkStart w:id="89" w:name="_Hlk76377955"/>
      <w:r w:rsidRPr="009E4EB8">
        <w:t>PBAC Outcome</w:t>
      </w:r>
    </w:p>
    <w:p w14:paraId="3DA3412F" w14:textId="77777777" w:rsidR="001E788B" w:rsidRPr="009E4EB8" w:rsidRDefault="001E788B" w:rsidP="001E788B">
      <w:pPr>
        <w:pStyle w:val="3-BodyText"/>
      </w:pPr>
      <w:r w:rsidRPr="009E4EB8">
        <w:t xml:space="preserve">The PBAC recommended the listing of selinexor, for use in combination with dexamethasone (Sd), for the treatment of triple class refractory and penta-refractory multiple myeloma (TCR/PR MM). The PBAC considered that the clinical evidence for Sd was adequate to support listing in a small patient population with significant unmet need, and on this basis was satisfied that Sd provides, for some patients, a significant improvement in efficacy over salvage chemotherapy, represented by dexamethasone + cyclophosphamide + etoposide + cisplatin (DCEP). The PBAC noted that the resubmission had addressed </w:t>
      </w:r>
      <w:proofErr w:type="gramStart"/>
      <w:r w:rsidRPr="009E4EB8">
        <w:t>a number of</w:t>
      </w:r>
      <w:proofErr w:type="gramEnd"/>
      <w:r w:rsidRPr="009E4EB8">
        <w:t xml:space="preserve"> its previous concerns with the economic model. The PBAC’s recommendation for listing was based on, among other matters, its assessment that selinexor would be cost-effective if its price was reduced such that the incremental cost-effectiveness ratio (ICER) was less than $60,000 per quality adjusted life year (QALY) for the scenario using the mean doses of Sd.</w:t>
      </w:r>
    </w:p>
    <w:p w14:paraId="3B086B83" w14:textId="77777777" w:rsidR="001E788B" w:rsidRPr="009E4EB8" w:rsidRDefault="001E788B" w:rsidP="001E788B">
      <w:pPr>
        <w:pStyle w:val="3-BodyText"/>
        <w:widowControl w:val="0"/>
      </w:pPr>
      <w:r w:rsidRPr="009E4EB8">
        <w:t xml:space="preserve">The PBAC considered there was a </w:t>
      </w:r>
      <w:r w:rsidRPr="009E4EB8">
        <w:rPr>
          <w:bCs/>
        </w:rPr>
        <w:t xml:space="preserve">high clinical need for effective therapies for patients with TCR/PR MM. </w:t>
      </w:r>
      <w:r w:rsidRPr="009E4EB8">
        <w:t>The PBAC noted the consumer comments which described the ongoing need for new therapies and supported the proposed PBS listing of Sd.</w:t>
      </w:r>
      <w:r w:rsidRPr="009E4EB8">
        <w:rPr>
          <w:bCs/>
        </w:rPr>
        <w:t xml:space="preserve"> The PBAC noted that sel</w:t>
      </w:r>
      <w:r w:rsidRPr="009E4EB8">
        <w:t>inexor is the first of a new class of anti-myeloma medicines known as selective inhibitors of nuclear export (SINE), and it is administered orally.</w:t>
      </w:r>
    </w:p>
    <w:p w14:paraId="4D114659" w14:textId="77777777" w:rsidR="001E788B" w:rsidRPr="009E4EB8" w:rsidRDefault="001E788B" w:rsidP="001E788B">
      <w:pPr>
        <w:widowControl w:val="0"/>
        <w:numPr>
          <w:ilvl w:val="1"/>
          <w:numId w:val="1"/>
        </w:numPr>
        <w:spacing w:after="120"/>
        <w:rPr>
          <w:rFonts w:asciiTheme="minorHAnsi" w:hAnsiTheme="minorHAnsi"/>
          <w:snapToGrid w:val="0"/>
        </w:rPr>
      </w:pPr>
      <w:r w:rsidRPr="009E4EB8">
        <w:rPr>
          <w:rFonts w:asciiTheme="minorHAnsi" w:hAnsiTheme="minorHAnsi"/>
          <w:snapToGrid w:val="0"/>
        </w:rPr>
        <w:t>The PBAC noted that the proposed place in therapy for Sd was in patients who have received at least four prior lines of therapy and whose disease is refractory to at least two proteasome inhibitors, at least two immunomodulatory agents and at least one anti-CD38 monoclonal antibody. The PBAC, noted that the requested restriction was narrower than the proposed TGA indication, and considered this was appropriate.</w:t>
      </w:r>
    </w:p>
    <w:p w14:paraId="2AC4A24B" w14:textId="77777777" w:rsidR="001E788B" w:rsidRPr="009E4EB8" w:rsidRDefault="001E788B" w:rsidP="001E788B">
      <w:pPr>
        <w:pStyle w:val="3-BodyText"/>
      </w:pPr>
      <w:r w:rsidRPr="009E4EB8">
        <w:t xml:space="preserve">The PBAC considered that the nomination of salvage chemotherapy, represented by DCEP, as primary comparator was appropriate, consistent with its previous advice at the July 2021 PBAC meeting. </w:t>
      </w:r>
    </w:p>
    <w:p w14:paraId="5492E88B" w14:textId="31A6F4E0" w:rsidR="001E788B" w:rsidRPr="009E4EB8" w:rsidRDefault="001E788B" w:rsidP="001E788B">
      <w:pPr>
        <w:pStyle w:val="3-BodyText"/>
      </w:pPr>
      <w:r w:rsidRPr="009E4EB8">
        <w:rPr>
          <w:rFonts w:ascii="Calibri" w:hAnsi="Calibri"/>
          <w:snapToGrid/>
        </w:rPr>
        <w:t xml:space="preserve">As for the July 2021 consideration, the primary clinical evidence presented to support the proposed listing was drawn from </w:t>
      </w:r>
      <w:r w:rsidRPr="009E4EB8">
        <w:t xml:space="preserve">STORM, an open label, single arm study of Sd in patients with </w:t>
      </w:r>
      <w:r w:rsidRPr="009E4EB8">
        <w:rPr>
          <w:szCs w:val="20"/>
        </w:rPr>
        <w:t>heavily pre-treated RRMM</w:t>
      </w:r>
      <w:r w:rsidRPr="009E4EB8">
        <w:t xml:space="preserve">. The PBAC noted that consistent with its previous advice, the resubmission presented clinical evidence from a subgroup of patients in STORM reflecting the proposed PBS population (TCR/PR MM subgroup). The resubmission provided an updated naïve comparison of Sd versus salvage chemotherapy based on the TCR/PR population of STORM (N=83) and two single arm comparator studies (MAMMOTH, N=70; and Goldsmith 2020, N=31). The PBAC noted the differences across the populations in the three studies (see paragraph 6.10), and that the comparisons remained difficult and uncertain due to the limited data available.  </w:t>
      </w:r>
    </w:p>
    <w:p w14:paraId="22EFF969" w14:textId="77777777" w:rsidR="001E788B" w:rsidRPr="009E4EB8" w:rsidRDefault="001E788B" w:rsidP="001E788B">
      <w:pPr>
        <w:widowControl w:val="0"/>
        <w:numPr>
          <w:ilvl w:val="1"/>
          <w:numId w:val="1"/>
        </w:numPr>
        <w:spacing w:after="120"/>
        <w:rPr>
          <w:rFonts w:asciiTheme="minorHAnsi" w:hAnsiTheme="minorHAnsi"/>
          <w:snapToGrid w:val="0"/>
        </w:rPr>
      </w:pPr>
      <w:r w:rsidRPr="009E4EB8">
        <w:rPr>
          <w:rFonts w:asciiTheme="minorHAnsi" w:hAnsiTheme="minorHAnsi"/>
          <w:snapToGrid w:val="0"/>
        </w:rPr>
        <w:t>The PBAC noted that for the TCR/PR MM subgroup treated with Sd, the median OS was 8.4 months (95% CI: 5.9, 11.2), median progression free survival (PFS) was 2.8 months (95% CI: 1.9, 4.3) and the overall response rate (ORR) was 25.3% (Table 7). The PBAC noted that OS was longer in patients achieving a response (see Figure 2).</w:t>
      </w:r>
    </w:p>
    <w:p w14:paraId="0D8E0158" w14:textId="0FA29D7B" w:rsidR="00DE727C" w:rsidRPr="009E4EB8" w:rsidRDefault="001E788B" w:rsidP="002811A9">
      <w:pPr>
        <w:widowControl w:val="0"/>
        <w:numPr>
          <w:ilvl w:val="1"/>
          <w:numId w:val="1"/>
        </w:numPr>
        <w:spacing w:after="120"/>
      </w:pPr>
      <w:r w:rsidRPr="009E4EB8">
        <w:rPr>
          <w:rFonts w:asciiTheme="minorHAnsi" w:hAnsiTheme="minorHAnsi"/>
          <w:snapToGrid w:val="0"/>
        </w:rPr>
        <w:t xml:space="preserve">In terms of comparative benefits, the PBAC </w:t>
      </w:r>
      <w:r w:rsidR="00E059D9" w:rsidRPr="009E4EB8">
        <w:rPr>
          <w:rFonts w:asciiTheme="minorHAnsi" w:hAnsiTheme="minorHAnsi"/>
          <w:snapToGrid w:val="0"/>
        </w:rPr>
        <w:t xml:space="preserve">noted </w:t>
      </w:r>
      <w:r w:rsidRPr="009E4EB8">
        <w:rPr>
          <w:rFonts w:asciiTheme="minorHAnsi" w:hAnsiTheme="minorHAnsi"/>
          <w:snapToGrid w:val="0"/>
        </w:rPr>
        <w:t xml:space="preserve">the naïve comparison </w:t>
      </w:r>
      <w:r w:rsidR="00B147EF" w:rsidRPr="009E4EB8">
        <w:rPr>
          <w:rFonts w:asciiTheme="minorHAnsi" w:hAnsiTheme="minorHAnsi"/>
          <w:snapToGrid w:val="0"/>
        </w:rPr>
        <w:t xml:space="preserve">suggested an improvement in OS, although a corresponding improvement in PFS was not demonstrated. </w:t>
      </w:r>
      <w:r w:rsidR="00E91F93" w:rsidRPr="009E4EB8">
        <w:rPr>
          <w:rFonts w:asciiTheme="minorHAnsi" w:hAnsiTheme="minorHAnsi"/>
          <w:snapToGrid w:val="0"/>
        </w:rPr>
        <w:t xml:space="preserve">The PBAC </w:t>
      </w:r>
      <w:r w:rsidR="002811A9" w:rsidRPr="009E4EB8">
        <w:rPr>
          <w:rFonts w:asciiTheme="minorHAnsi" w:hAnsiTheme="minorHAnsi"/>
          <w:snapToGrid w:val="0"/>
        </w:rPr>
        <w:t>noted</w:t>
      </w:r>
      <w:r w:rsidR="00E91F93" w:rsidRPr="009E4EB8">
        <w:rPr>
          <w:rFonts w:asciiTheme="minorHAnsi" w:hAnsiTheme="minorHAnsi"/>
          <w:snapToGrid w:val="0"/>
        </w:rPr>
        <w:t xml:space="preserve"> </w:t>
      </w:r>
      <w:r w:rsidR="002811A9" w:rsidRPr="009E4EB8">
        <w:rPr>
          <w:rFonts w:asciiTheme="minorHAnsi" w:hAnsiTheme="minorHAnsi"/>
          <w:snapToGrid w:val="0"/>
        </w:rPr>
        <w:t xml:space="preserve">that </w:t>
      </w:r>
      <w:r w:rsidR="00E91F93" w:rsidRPr="009E4EB8">
        <w:rPr>
          <w:rFonts w:asciiTheme="minorHAnsi" w:hAnsiTheme="minorHAnsi"/>
          <w:snapToGrid w:val="0"/>
        </w:rPr>
        <w:t>the efficacy of selinexor</w:t>
      </w:r>
      <w:r w:rsidR="002811A9" w:rsidRPr="009E4EB8">
        <w:rPr>
          <w:rFonts w:asciiTheme="minorHAnsi" w:hAnsiTheme="minorHAnsi"/>
          <w:snapToGrid w:val="0"/>
        </w:rPr>
        <w:t xml:space="preserve"> had been assessed in a randomised trial, </w:t>
      </w:r>
      <w:r w:rsidR="00E91F93" w:rsidRPr="009E4EB8">
        <w:rPr>
          <w:rFonts w:asciiTheme="minorHAnsi" w:hAnsiTheme="minorHAnsi"/>
          <w:snapToGrid w:val="0"/>
        </w:rPr>
        <w:t xml:space="preserve">although in combination with bortezomib and </w:t>
      </w:r>
      <w:r w:rsidR="002811A9" w:rsidRPr="009E4EB8">
        <w:rPr>
          <w:rFonts w:asciiTheme="minorHAnsi" w:hAnsiTheme="minorHAnsi"/>
          <w:snapToGrid w:val="0"/>
        </w:rPr>
        <w:t>in an earlier</w:t>
      </w:r>
      <w:r w:rsidR="00E91F93" w:rsidRPr="009E4EB8">
        <w:rPr>
          <w:rFonts w:asciiTheme="minorHAnsi" w:hAnsiTheme="minorHAnsi"/>
          <w:snapToGrid w:val="0"/>
        </w:rPr>
        <w:t xml:space="preserve"> line of treatment (paragraph 6.</w:t>
      </w:r>
      <w:r w:rsidR="002811A9" w:rsidRPr="009E4EB8">
        <w:rPr>
          <w:rFonts w:asciiTheme="minorHAnsi" w:hAnsiTheme="minorHAnsi"/>
          <w:snapToGrid w:val="0"/>
        </w:rPr>
        <w:t>35</w:t>
      </w:r>
      <w:r w:rsidR="00E91F93" w:rsidRPr="009E4EB8">
        <w:rPr>
          <w:rFonts w:asciiTheme="minorHAnsi" w:hAnsiTheme="minorHAnsi"/>
          <w:snapToGrid w:val="0"/>
        </w:rPr>
        <w:t>). Overall</w:t>
      </w:r>
      <w:r w:rsidR="00071CA2" w:rsidRPr="009E4EB8">
        <w:rPr>
          <w:rFonts w:asciiTheme="minorHAnsi" w:hAnsiTheme="minorHAnsi"/>
          <w:snapToGrid w:val="0"/>
        </w:rPr>
        <w:t>, t</w:t>
      </w:r>
      <w:r w:rsidR="00071CA2" w:rsidRPr="009E4EB8">
        <w:t>he PBAC considered that the clinical evidence for Sd was adequate to support listing in a small patient population with significant unmet need, and on this basis was satisfied that Sd provides, for some patients, a significant improvement in efficacy over salvage chemotherapy.</w:t>
      </w:r>
      <w:r w:rsidR="002811A9" w:rsidRPr="009E4EB8">
        <w:t xml:space="preserve"> </w:t>
      </w:r>
      <w:r w:rsidR="00E91F93" w:rsidRPr="009E4EB8">
        <w:t>T</w:t>
      </w:r>
      <w:r w:rsidRPr="009E4EB8">
        <w:t>he PBAC accepted the resubmission’s claim of superior comparative effectiveness, in the context of significant unmet need in a small population.</w:t>
      </w:r>
    </w:p>
    <w:p w14:paraId="0E8B69EB" w14:textId="284CEB52" w:rsidR="001E788B" w:rsidRPr="009E4EB8" w:rsidRDefault="001E788B" w:rsidP="00DE727C">
      <w:pPr>
        <w:widowControl w:val="0"/>
        <w:numPr>
          <w:ilvl w:val="1"/>
          <w:numId w:val="1"/>
        </w:numPr>
        <w:spacing w:after="120"/>
      </w:pPr>
      <w:r w:rsidRPr="009E4EB8">
        <w:rPr>
          <w:snapToGrid w:val="0"/>
        </w:rPr>
        <w:t>To assess comparative harms, the resubmission presented a naïve comparison of adverse events reported in STORM with those reported in two</w:t>
      </w:r>
      <w:r w:rsidRPr="009E4EB8">
        <w:t xml:space="preserve"> retrospective studies of patients with heavily pre</w:t>
      </w:r>
      <w:r w:rsidRPr="009E4EB8">
        <w:noBreakHyphen/>
        <w:t xml:space="preserve">treated MM patients receiving DCEP (Yuen 2018, Griffin 2015). </w:t>
      </w:r>
      <w:r w:rsidRPr="009E4EB8">
        <w:rPr>
          <w:rFonts w:asciiTheme="minorHAnsi" w:hAnsiTheme="minorHAnsi"/>
          <w:snapToGrid w:val="0"/>
        </w:rPr>
        <w:t xml:space="preserve">The PBAC noted the limitations of the naïve safety comparison and the uncertainties arising from differences between the trials, however considered the comparison informative. The PBAC noted that </w:t>
      </w:r>
      <w:proofErr w:type="gramStart"/>
      <w:r w:rsidRPr="009E4EB8">
        <w:rPr>
          <w:rFonts w:asciiTheme="minorHAnsi" w:hAnsiTheme="minorHAnsi"/>
          <w:snapToGrid w:val="0"/>
        </w:rPr>
        <w:t>the majority of</w:t>
      </w:r>
      <w:proofErr w:type="gramEnd"/>
      <w:r w:rsidRPr="009E4EB8">
        <w:rPr>
          <w:rFonts w:asciiTheme="minorHAnsi" w:hAnsiTheme="minorHAnsi"/>
          <w:snapToGrid w:val="0"/>
        </w:rPr>
        <w:t xml:space="preserve"> patients in STORM reported Grade 3 or greater treatment related adverse events (93.5%; Table 8) and that the majority of patients had a dose reduction (61.8%; 7.09.COM.72). </w:t>
      </w:r>
      <w:r w:rsidRPr="009E4EB8">
        <w:t>The PBAC noted that the majority of Grade ≥3 AEs with Sd were thrombocytopenia, and that there were relatively few febrile neutropenia complications with selinexor compared with DCEP (see paragraph 6.2</w:t>
      </w:r>
      <w:r w:rsidR="007A3217" w:rsidRPr="009E4EB8">
        <w:t>7</w:t>
      </w:r>
      <w:r w:rsidRPr="009E4EB8">
        <w:t>). The PBAC considered thrombocytopenia is generally more easily managed than febrile neutropenia which often requires hospitalisation. Overall, the PBAC noted the resubmission’s claim of non-inferior comparative safety was based on limited evidence, however accepted this claim in the context of significant unmet need in a small population.</w:t>
      </w:r>
    </w:p>
    <w:p w14:paraId="156B13BF" w14:textId="6CB061F5" w:rsidR="001E788B" w:rsidRPr="009E4EB8" w:rsidRDefault="001E788B" w:rsidP="00730AE6">
      <w:pPr>
        <w:pStyle w:val="3-BodyText"/>
        <w:rPr>
          <w:iCs/>
        </w:rPr>
      </w:pPr>
      <w:proofErr w:type="gramStart"/>
      <w:r w:rsidRPr="009E4EB8">
        <w:rPr>
          <w:iCs/>
        </w:rPr>
        <w:t>With regard to</w:t>
      </w:r>
      <w:proofErr w:type="gramEnd"/>
      <w:r w:rsidRPr="009E4EB8">
        <w:rPr>
          <w:iCs/>
        </w:rPr>
        <w:t xml:space="preserve"> the economic analysis, t</w:t>
      </w:r>
      <w:r w:rsidRPr="009E4EB8">
        <w:t>he PBAC noted the resubmission had revised the economic model consistent with its advice with respect to the time horizon, convergence of the survival curves, assumption of no PFS benefit, and impact of adverse events (see paragraph 6.3</w:t>
      </w:r>
      <w:r w:rsidR="007A3217" w:rsidRPr="009E4EB8">
        <w:t>8</w:t>
      </w:r>
      <w:r w:rsidRPr="009E4EB8">
        <w:t xml:space="preserve">). </w:t>
      </w:r>
      <w:r w:rsidRPr="009E4EB8">
        <w:rPr>
          <w:iCs/>
        </w:rPr>
        <w:t>However, t</w:t>
      </w:r>
      <w:r w:rsidRPr="009E4EB8">
        <w:t>he PBAC noted that the use of median dose intensities favoured Sd in the analysis, and a</w:t>
      </w:r>
      <w:r w:rsidRPr="009E4EB8">
        <w:rPr>
          <w:iCs/>
        </w:rPr>
        <w:t xml:space="preserve">pplying the mean dose received per week increased the ICER from </w:t>
      </w:r>
      <w:r w:rsidR="00E70651">
        <w:rPr>
          <w:iCs/>
        </w:rPr>
        <w:t>$55,000 to &lt; $75,000</w:t>
      </w:r>
      <w:r w:rsidRPr="009E4EB8">
        <w:rPr>
          <w:iCs/>
        </w:rPr>
        <w:t xml:space="preserve"> per QALY gained in the revised base case to </w:t>
      </w:r>
      <w:r w:rsidR="00E70651">
        <w:rPr>
          <w:iCs/>
        </w:rPr>
        <w:t>$55,000 to &lt; $75,000</w:t>
      </w:r>
      <w:r w:rsidRPr="009E4EB8">
        <w:rPr>
          <w:iCs/>
        </w:rPr>
        <w:t xml:space="preserve">per QALY gained (Table 13). </w:t>
      </w:r>
      <w:r w:rsidRPr="009E4EB8">
        <w:t>The PBAC considered that the mean dose better reflects the extent of dose modifications and time spent at each dose level, and overall provide a more accurate basis for estimating the drug costs and thus should be used in the economic evaluation. The PBAC considered that selinexor would be considered cost-effective if the mean dose intensities were applied to the revised base case, and the price of selinexor was reduced such that the ICER was less than $60,000/QALY.</w:t>
      </w:r>
    </w:p>
    <w:p w14:paraId="47E142C7" w14:textId="45AAE7C5" w:rsidR="001E788B" w:rsidRPr="009E4EB8" w:rsidRDefault="001E788B" w:rsidP="001E788B">
      <w:pPr>
        <w:widowControl w:val="0"/>
        <w:numPr>
          <w:ilvl w:val="1"/>
          <w:numId w:val="1"/>
        </w:numPr>
        <w:spacing w:after="120"/>
      </w:pPr>
      <w:r w:rsidRPr="009E4EB8">
        <w:t>The PBAC noted that the resubmission estimated the size of the eligible patient population based on the PBS utilisation of pomalidomide plus dexamethasone (Pd). The PBAC considered this may overestimate the potential number of Sd patients, although</w:t>
      </w:r>
      <w:r w:rsidRPr="009E4EB8">
        <w:rPr>
          <w:iCs/>
        </w:rPr>
        <w:t xml:space="preserve"> it was reasonable to assume most patients would be treated with pomalidomide-based therapies before selinexor. The PBAC noted t</w:t>
      </w:r>
      <w:r w:rsidRPr="009E4EB8">
        <w:t>he financial estimates were appropriately substantially reduced compared with those in the July 2021 submission (paragraph 6.5</w:t>
      </w:r>
      <w:r w:rsidR="007A3217" w:rsidRPr="009E4EB8">
        <w:t>5</w:t>
      </w:r>
      <w:r w:rsidRPr="009E4EB8">
        <w:t>). The PBAC noted the sensitivity analyses prepared during the evaluation (Table 18) which indicated that net cost to PBS/RPBS over six years may be less than proposed by the resubmission, although assuming utilisation based on mean doses rather than median doses would increase the estimates.</w:t>
      </w:r>
    </w:p>
    <w:p w14:paraId="27CBB592" w14:textId="77777777" w:rsidR="001E788B" w:rsidRPr="009E4EB8" w:rsidRDefault="001E788B" w:rsidP="001E788B">
      <w:pPr>
        <w:pStyle w:val="3-BodyText"/>
      </w:pPr>
      <w:r w:rsidRPr="009E4EB8">
        <w:t xml:space="preserve">The PBAC made the following comments </w:t>
      </w:r>
      <w:proofErr w:type="gramStart"/>
      <w:r w:rsidRPr="009E4EB8">
        <w:t>with regard to</w:t>
      </w:r>
      <w:proofErr w:type="gramEnd"/>
      <w:r w:rsidRPr="009E4EB8">
        <w:t xml:space="preserve"> the restriction:</w:t>
      </w:r>
    </w:p>
    <w:p w14:paraId="4D015D62" w14:textId="7A3EA181" w:rsidR="001E788B" w:rsidRPr="009E4EB8" w:rsidRDefault="001E788B" w:rsidP="001E788B">
      <w:pPr>
        <w:pStyle w:val="3-BodyText"/>
        <w:numPr>
          <w:ilvl w:val="1"/>
          <w:numId w:val="33"/>
        </w:numPr>
        <w:ind w:left="1276" w:hanging="425"/>
      </w:pPr>
      <w:r w:rsidRPr="009E4EB8">
        <w:t xml:space="preserve">The PBAC considered that an ‘authority required (telephone/electronic)’ was appropriate as requested by the resubmission, consistent with previous advice (paragraph 3.3, Selinexor (TCR/PR), </w:t>
      </w:r>
      <w:r w:rsidR="00E70651">
        <w:t>PSD</w:t>
      </w:r>
      <w:r w:rsidRPr="009E4EB8">
        <w:t>, July 2021 PBAC Meeting).</w:t>
      </w:r>
    </w:p>
    <w:p w14:paraId="48684D0C" w14:textId="77777777" w:rsidR="001E788B" w:rsidRPr="009E4EB8" w:rsidRDefault="001E788B" w:rsidP="001E788B">
      <w:pPr>
        <w:widowControl w:val="0"/>
        <w:numPr>
          <w:ilvl w:val="1"/>
          <w:numId w:val="33"/>
        </w:numPr>
        <w:spacing w:after="120"/>
        <w:ind w:left="1276" w:hanging="425"/>
        <w:rPr>
          <w:rFonts w:asciiTheme="minorHAnsi" w:hAnsiTheme="minorHAnsi"/>
          <w:snapToGrid w:val="0"/>
        </w:rPr>
      </w:pPr>
      <w:r w:rsidRPr="009E4EB8">
        <w:t>The PBAC confirmed that the restriction should refer to previous lines of therapy consistent with the algorithm proposed by the submission (</w:t>
      </w:r>
      <w:proofErr w:type="gramStart"/>
      <w:r w:rsidRPr="009E4EB8">
        <w:t>i.e.</w:t>
      </w:r>
      <w:proofErr w:type="gramEnd"/>
      <w:r w:rsidRPr="009E4EB8">
        <w:t xml:space="preserve"> “at least four prior lines of therapy” as compared with “at least four prior therapies”).</w:t>
      </w:r>
    </w:p>
    <w:p w14:paraId="64609408" w14:textId="4FC6D0DE" w:rsidR="001E788B" w:rsidRPr="009E4EB8" w:rsidRDefault="001E788B" w:rsidP="001E788B">
      <w:pPr>
        <w:pStyle w:val="3-BodyText"/>
        <w:numPr>
          <w:ilvl w:val="1"/>
          <w:numId w:val="33"/>
        </w:numPr>
        <w:ind w:left="1276" w:hanging="425"/>
      </w:pPr>
      <w:r w:rsidRPr="009E4EB8">
        <w:t xml:space="preserve">The submission sought listings for the 16, 20, 24 and 32 tablet pack sizes. The dose of selinexor, as per the TGA-approved Product Information is 80 mg (4 x 20 mg tablets) on Days 1 and 3 of each week. Thus, the </w:t>
      </w:r>
      <w:proofErr w:type="gramStart"/>
      <w:r w:rsidRPr="009E4EB8">
        <w:t>32 tablet</w:t>
      </w:r>
      <w:proofErr w:type="gramEnd"/>
      <w:r w:rsidRPr="009E4EB8">
        <w:t xml:space="preserve"> pack would allow for 4 weeks treatment. </w:t>
      </w:r>
      <w:r w:rsidR="002E09F3" w:rsidRPr="009E4EB8">
        <w:rPr>
          <w:iCs/>
        </w:rPr>
        <w:t>The PBAC recommended a maximum quantity of up to 32 tablets.</w:t>
      </w:r>
    </w:p>
    <w:p w14:paraId="681BEC77" w14:textId="77777777" w:rsidR="001E788B" w:rsidRPr="009E4EB8" w:rsidRDefault="001E788B" w:rsidP="001E788B">
      <w:pPr>
        <w:pStyle w:val="3-BodyText"/>
        <w:numPr>
          <w:ilvl w:val="1"/>
          <w:numId w:val="33"/>
        </w:numPr>
        <w:ind w:left="1276" w:hanging="425"/>
      </w:pPr>
      <w:r w:rsidRPr="009E4EB8">
        <w:t xml:space="preserve">The requested maximum quantity of one pack and two repeats was appropriate. </w:t>
      </w:r>
    </w:p>
    <w:p w14:paraId="124B9136" w14:textId="77777777" w:rsidR="001E788B" w:rsidRPr="009E4EB8" w:rsidRDefault="001E788B" w:rsidP="001E788B">
      <w:pPr>
        <w:pStyle w:val="3-BodyText"/>
        <w:numPr>
          <w:ilvl w:val="1"/>
          <w:numId w:val="33"/>
        </w:numPr>
        <w:ind w:left="1276" w:hanging="425"/>
      </w:pPr>
      <w:r w:rsidRPr="009E4EB8">
        <w:t>The PBAC considered it appropriate for clinicians to determine at their discretion whether their patient has trialled the pre-requisite drugs and experienced progression (as per the standard criteria) and that it would not be necessary to capture proof for each previous drug in the application process.</w:t>
      </w:r>
    </w:p>
    <w:p w14:paraId="780E8162" w14:textId="77777777" w:rsidR="001E788B" w:rsidRPr="009E4EB8" w:rsidRDefault="001E788B" w:rsidP="001E788B">
      <w:pPr>
        <w:pStyle w:val="3-BodyText"/>
        <w:numPr>
          <w:ilvl w:val="1"/>
          <w:numId w:val="33"/>
        </w:numPr>
        <w:ind w:left="1276" w:hanging="425"/>
      </w:pPr>
      <w:r w:rsidRPr="009E4EB8">
        <w:t>The PBAC considered it was appropriate to include a criterion stating that ‘Patient must not have previously received this drug for this condition’ to prevent patients being retreated with selinexor.</w:t>
      </w:r>
    </w:p>
    <w:p w14:paraId="5F86725A" w14:textId="77777777" w:rsidR="001E788B" w:rsidRPr="009E4EB8" w:rsidRDefault="001E788B" w:rsidP="001E788B">
      <w:pPr>
        <w:pStyle w:val="3-BodyText"/>
        <w:numPr>
          <w:ilvl w:val="1"/>
          <w:numId w:val="33"/>
        </w:numPr>
        <w:ind w:left="1276" w:hanging="425"/>
      </w:pPr>
      <w:r w:rsidRPr="009E4EB8">
        <w:t>The TGA-approved Product Information states that selinexor is a Category D medicine in terms of use during pregnancy. A caution stating that selinexor should not be given to pregnant women was added to the proposed restrictions.</w:t>
      </w:r>
    </w:p>
    <w:p w14:paraId="43DDDA4F" w14:textId="77777777" w:rsidR="001E788B" w:rsidRPr="009E4EB8" w:rsidRDefault="001E788B" w:rsidP="001E788B">
      <w:pPr>
        <w:pStyle w:val="3-BodyText"/>
        <w:numPr>
          <w:ilvl w:val="1"/>
          <w:numId w:val="33"/>
        </w:numPr>
        <w:ind w:left="1276" w:hanging="425"/>
      </w:pPr>
      <w:r w:rsidRPr="009E4EB8">
        <w:t>The PBAC considered that the grandfather restriction was appropriate to allow continuing supply of selinexor to patients commencing treatment prior to PBS listing, noting that the resubmission had reported 13 such patients were receiving treatment as of October 2021.</w:t>
      </w:r>
    </w:p>
    <w:p w14:paraId="310CECF4" w14:textId="77777777" w:rsidR="001E788B" w:rsidRPr="009E4EB8" w:rsidRDefault="001E788B" w:rsidP="001E788B">
      <w:pPr>
        <w:pStyle w:val="3-BodyText"/>
        <w:widowControl w:val="0"/>
        <w:rPr>
          <w:bCs/>
        </w:rPr>
      </w:pPr>
      <w:r w:rsidRPr="009E4EB8">
        <w:rPr>
          <w:bCs/>
        </w:rPr>
        <w:t xml:space="preserve">The PBAC recommended that selinexor should not be treated as interchangeable on an individual patient basis with any other drugs. </w:t>
      </w:r>
    </w:p>
    <w:p w14:paraId="57EB27D4" w14:textId="77777777" w:rsidR="001E788B" w:rsidRPr="009E4EB8" w:rsidRDefault="001E788B" w:rsidP="001E788B">
      <w:pPr>
        <w:widowControl w:val="0"/>
        <w:numPr>
          <w:ilvl w:val="1"/>
          <w:numId w:val="1"/>
        </w:numPr>
        <w:spacing w:after="120"/>
        <w:rPr>
          <w:rFonts w:asciiTheme="minorHAnsi" w:hAnsiTheme="minorHAnsi"/>
          <w:bCs/>
          <w:snapToGrid w:val="0"/>
        </w:rPr>
      </w:pPr>
      <w:r w:rsidRPr="009E4EB8">
        <w:rPr>
          <w:rFonts w:asciiTheme="minorHAnsi" w:hAnsiTheme="minorHAnsi"/>
          <w:bCs/>
          <w:snapToGrid w:val="0"/>
        </w:rPr>
        <w:t xml:space="preserve">The PBAC advised that selinexor is not suitable for prescribing by nurse practitioners. </w:t>
      </w:r>
    </w:p>
    <w:p w14:paraId="7363CC06" w14:textId="77777777" w:rsidR="001E788B" w:rsidRPr="009E4EB8" w:rsidRDefault="001E788B" w:rsidP="001E788B">
      <w:pPr>
        <w:widowControl w:val="0"/>
        <w:numPr>
          <w:ilvl w:val="1"/>
          <w:numId w:val="1"/>
        </w:numPr>
        <w:spacing w:after="120"/>
        <w:rPr>
          <w:rFonts w:asciiTheme="minorHAnsi" w:hAnsiTheme="minorHAnsi" w:cstheme="minorHAnsi"/>
        </w:rPr>
      </w:pPr>
      <w:r w:rsidRPr="009E4EB8">
        <w:rPr>
          <w:rFonts w:asciiTheme="minorHAnsi" w:hAnsiTheme="minorHAnsi"/>
          <w:bCs/>
          <w:snapToGrid w:val="0"/>
        </w:rPr>
        <w:t xml:space="preserve">The PBAC recommended that the Early Supply Rule should not apply. </w:t>
      </w:r>
    </w:p>
    <w:p w14:paraId="5697047B" w14:textId="77777777" w:rsidR="001E788B" w:rsidRPr="009E4EB8" w:rsidRDefault="001E788B" w:rsidP="001E788B">
      <w:pPr>
        <w:widowControl w:val="0"/>
        <w:numPr>
          <w:ilvl w:val="1"/>
          <w:numId w:val="1"/>
        </w:numPr>
        <w:spacing w:after="120"/>
      </w:pPr>
      <w:r w:rsidRPr="009E4EB8">
        <w:t xml:space="preserve">The PBAC found that the criteria prescribed by the </w:t>
      </w:r>
      <w:r w:rsidRPr="00EA4973">
        <w:rPr>
          <w:i/>
          <w:iCs/>
        </w:rPr>
        <w:t>National Health (Pharmaceuticals and Vaccines – Cost Recovery) Regulations 2009</w:t>
      </w:r>
      <w:r w:rsidRPr="009E4EB8">
        <w:t xml:space="preserve"> for Pricing Pathway A were not met. </w:t>
      </w:r>
      <w:proofErr w:type="gramStart"/>
      <w:r w:rsidRPr="009E4EB8">
        <w:t>Specifically</w:t>
      </w:r>
      <w:proofErr w:type="gramEnd"/>
      <w:r w:rsidRPr="009E4EB8">
        <w:t xml:space="preserve"> the PBAC found that in the circumstances of its recommendation for selinexor:</w:t>
      </w:r>
    </w:p>
    <w:p w14:paraId="7A93B7B9" w14:textId="1F1FE54D" w:rsidR="001E788B" w:rsidRPr="009E4EB8" w:rsidRDefault="001E788B" w:rsidP="001E788B">
      <w:pPr>
        <w:pStyle w:val="ListParagraph"/>
        <w:widowControl w:val="0"/>
        <w:numPr>
          <w:ilvl w:val="0"/>
          <w:numId w:val="31"/>
        </w:numPr>
        <w:ind w:left="1054" w:hanging="357"/>
        <w:rPr>
          <w:rFonts w:cstheme="minorHAnsi"/>
          <w:b/>
        </w:rPr>
      </w:pPr>
      <w:r w:rsidRPr="009E4EB8">
        <w:rPr>
          <w:rFonts w:cstheme="minorHAnsi"/>
        </w:rPr>
        <w:t xml:space="preserve">The treatment is not expected to provide a substantial and clinically relevant improvement in efficacy over alternative therapies. The PBAC considered </w:t>
      </w:r>
      <w:proofErr w:type="gramStart"/>
      <w:r w:rsidRPr="009E4EB8">
        <w:rPr>
          <w:rFonts w:cstheme="minorHAnsi"/>
        </w:rPr>
        <w:t>this criteria</w:t>
      </w:r>
      <w:proofErr w:type="gramEnd"/>
      <w:r w:rsidRPr="009E4EB8">
        <w:rPr>
          <w:rFonts w:cstheme="minorHAnsi"/>
        </w:rPr>
        <w:t xml:space="preserve"> was not met as the available evidence showed a clinically relevant but </w:t>
      </w:r>
      <w:r w:rsidR="00100987" w:rsidRPr="009E4EB8">
        <w:rPr>
          <w:rFonts w:cstheme="minorHAnsi"/>
        </w:rPr>
        <w:t>modest</w:t>
      </w:r>
      <w:r w:rsidRPr="009E4EB8">
        <w:rPr>
          <w:rFonts w:cstheme="minorHAnsi"/>
        </w:rPr>
        <w:t xml:space="preserve"> improvement in OS for some patients;</w:t>
      </w:r>
    </w:p>
    <w:p w14:paraId="0FFC3AA2" w14:textId="77777777" w:rsidR="001E788B" w:rsidRPr="009E4EB8" w:rsidRDefault="001E788B" w:rsidP="001E788B">
      <w:pPr>
        <w:pStyle w:val="ListParagraph"/>
        <w:widowControl w:val="0"/>
        <w:numPr>
          <w:ilvl w:val="0"/>
          <w:numId w:val="31"/>
        </w:numPr>
        <w:ind w:left="1054" w:hanging="357"/>
        <w:rPr>
          <w:rFonts w:cstheme="minorHAnsi"/>
          <w:b/>
        </w:rPr>
      </w:pPr>
      <w:r w:rsidRPr="009E4EB8">
        <w:rPr>
          <w:rFonts w:cstheme="minorHAnsi"/>
        </w:rPr>
        <w:t xml:space="preserve">The treatment is not expected to address a high and urgent unmet clinical need. The PBAC considered </w:t>
      </w:r>
      <w:proofErr w:type="gramStart"/>
      <w:r w:rsidRPr="009E4EB8">
        <w:rPr>
          <w:rFonts w:cstheme="minorHAnsi"/>
        </w:rPr>
        <w:t>this criteria</w:t>
      </w:r>
      <w:proofErr w:type="gramEnd"/>
      <w:r w:rsidRPr="009E4EB8">
        <w:rPr>
          <w:rFonts w:cstheme="minorHAnsi"/>
        </w:rPr>
        <w:t xml:space="preserve"> was not met as other PBS-subsidised therapies were available;</w:t>
      </w:r>
    </w:p>
    <w:p w14:paraId="5A62073B" w14:textId="77777777" w:rsidR="001E788B" w:rsidRPr="009E4EB8" w:rsidRDefault="001E788B" w:rsidP="001E788B">
      <w:pPr>
        <w:pStyle w:val="ListParagraph"/>
        <w:widowControl w:val="0"/>
        <w:numPr>
          <w:ilvl w:val="0"/>
          <w:numId w:val="31"/>
        </w:numPr>
        <w:ind w:left="1054" w:hanging="357"/>
        <w:rPr>
          <w:rFonts w:cstheme="minorHAnsi"/>
          <w:b/>
        </w:rPr>
      </w:pPr>
      <w:r w:rsidRPr="009E4EB8">
        <w:rPr>
          <w:rFonts w:cstheme="minorHAnsi"/>
        </w:rPr>
        <w:t>It was not necessary to make a finding in relation to whether it would be in the public interest for the subsequent pricing application to be progressed under Pricing Pathway A because one or more of the preceding tests had failed.</w:t>
      </w:r>
    </w:p>
    <w:p w14:paraId="7DBC4CFA" w14:textId="77777777" w:rsidR="001E788B" w:rsidRPr="009E4EB8" w:rsidRDefault="001E788B" w:rsidP="001E788B">
      <w:pPr>
        <w:widowControl w:val="0"/>
        <w:numPr>
          <w:ilvl w:val="1"/>
          <w:numId w:val="1"/>
        </w:numPr>
        <w:spacing w:after="120"/>
        <w:rPr>
          <w:rFonts w:asciiTheme="minorHAnsi" w:hAnsiTheme="minorHAnsi"/>
          <w:bCs/>
        </w:rPr>
      </w:pPr>
      <w:r w:rsidRPr="009E4EB8">
        <w:t>The PBAC noted that this submission is not eligible for an Independent Review as it received a positive recommendation</w:t>
      </w:r>
      <w:r w:rsidRPr="009E4EB8">
        <w:rPr>
          <w:rFonts w:asciiTheme="minorHAnsi" w:hAnsiTheme="minorHAnsi"/>
          <w:bCs/>
        </w:rPr>
        <w:t>.</w:t>
      </w:r>
    </w:p>
    <w:p w14:paraId="3BE21E43" w14:textId="77777777" w:rsidR="001E788B" w:rsidRPr="009E4EB8" w:rsidRDefault="001E788B" w:rsidP="001E788B">
      <w:pPr>
        <w:widowControl w:val="0"/>
        <w:numPr>
          <w:ilvl w:val="1"/>
          <w:numId w:val="1"/>
        </w:numPr>
        <w:spacing w:after="120"/>
        <w:rPr>
          <w:rFonts w:asciiTheme="minorHAnsi" w:hAnsiTheme="minorHAnsi"/>
          <w:bCs/>
          <w:snapToGrid w:val="0"/>
        </w:rPr>
      </w:pPr>
      <w:r w:rsidRPr="009E4EB8">
        <w:rPr>
          <w:rFonts w:asciiTheme="minorHAnsi" w:hAnsiTheme="minorHAnsi"/>
          <w:bCs/>
          <w:snapToGrid w:val="0"/>
        </w:rPr>
        <w:t xml:space="preserve">The PBAC noted that this submission is not eligible for an Independent Review as it was a positive recommendation. </w:t>
      </w:r>
    </w:p>
    <w:p w14:paraId="6CAFCB86" w14:textId="77777777" w:rsidR="001E788B" w:rsidRPr="009E4EB8" w:rsidRDefault="001E788B" w:rsidP="00E9580F">
      <w:pPr>
        <w:keepNext/>
        <w:keepLines/>
        <w:spacing w:before="240"/>
        <w:rPr>
          <w:rFonts w:asciiTheme="minorHAnsi" w:hAnsiTheme="minorHAnsi"/>
          <w:b/>
          <w:bCs/>
          <w:snapToGrid w:val="0"/>
        </w:rPr>
      </w:pPr>
      <w:r w:rsidRPr="009E4EB8">
        <w:rPr>
          <w:rFonts w:asciiTheme="minorHAnsi" w:hAnsiTheme="minorHAnsi"/>
          <w:b/>
          <w:bCs/>
          <w:snapToGrid w:val="0"/>
        </w:rPr>
        <w:t>Outcome:</w:t>
      </w:r>
    </w:p>
    <w:p w14:paraId="59E8ACD7" w14:textId="5EF8E210" w:rsidR="008033CA" w:rsidRPr="00E9580F" w:rsidRDefault="00E9580F" w:rsidP="00E9580F">
      <w:pPr>
        <w:keepNext/>
        <w:keepLines/>
        <w:rPr>
          <w:rFonts w:asciiTheme="minorHAnsi" w:hAnsiTheme="minorHAnsi"/>
          <w:bCs/>
          <w:snapToGrid w:val="0"/>
        </w:rPr>
      </w:pPr>
      <w:r>
        <w:rPr>
          <w:rFonts w:asciiTheme="minorHAnsi" w:hAnsiTheme="minorHAnsi"/>
          <w:bCs/>
          <w:snapToGrid w:val="0"/>
        </w:rPr>
        <w:t>Recommended</w:t>
      </w:r>
    </w:p>
    <w:bookmarkEnd w:id="88"/>
    <w:p w14:paraId="0A22CEF6" w14:textId="77777777" w:rsidR="006756C0" w:rsidRPr="009E4EB8" w:rsidRDefault="006756C0" w:rsidP="003C5AFC">
      <w:pPr>
        <w:pStyle w:val="2-SectionHeading"/>
        <w:numPr>
          <w:ilvl w:val="0"/>
          <w:numId w:val="1"/>
        </w:numPr>
      </w:pPr>
      <w:r w:rsidRPr="009E4EB8">
        <w:t>Recommended listing</w:t>
      </w:r>
    </w:p>
    <w:p w14:paraId="746A78AC" w14:textId="7878824F" w:rsidR="006756C0" w:rsidRPr="009E4EB8" w:rsidRDefault="0088399C" w:rsidP="006756C0">
      <w:pPr>
        <w:widowControl w:val="0"/>
        <w:numPr>
          <w:ilvl w:val="1"/>
          <w:numId w:val="1"/>
        </w:numPr>
        <w:spacing w:after="120"/>
        <w:contextualSpacing/>
        <w:rPr>
          <w:rFonts w:asciiTheme="minorHAnsi" w:hAnsiTheme="minorHAnsi"/>
          <w:b/>
          <w:bCs/>
          <w:snapToGrid w:val="0"/>
        </w:rPr>
      </w:pPr>
      <w:r w:rsidRPr="009E4EB8">
        <w:rPr>
          <w:rFonts w:asciiTheme="minorHAnsi" w:hAnsiTheme="minorHAnsi"/>
          <w:bCs/>
          <w:snapToGrid w:val="0"/>
        </w:rPr>
        <w:t xml:space="preserve">Add new </w:t>
      </w:r>
      <w:r w:rsidR="00F375BC" w:rsidRPr="009E4EB8">
        <w:rPr>
          <w:rFonts w:asciiTheme="minorHAnsi" w:hAnsiTheme="minorHAnsi"/>
          <w:bCs/>
          <w:snapToGrid w:val="0"/>
        </w:rPr>
        <w:t>medicinal product as follows</w:t>
      </w:r>
      <w:r w:rsidRPr="009E4EB8">
        <w:rPr>
          <w:rFonts w:asciiTheme="minorHAnsi" w:hAnsiTheme="minorHAnsi"/>
          <w:bCs/>
          <w:snapToGrid w:val="0"/>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7"/>
        <w:gridCol w:w="1271"/>
        <w:gridCol w:w="2556"/>
        <w:gridCol w:w="850"/>
        <w:gridCol w:w="709"/>
        <w:gridCol w:w="709"/>
        <w:gridCol w:w="1559"/>
      </w:tblGrid>
      <w:tr w:rsidR="0032505A" w:rsidRPr="009E4EB8" w14:paraId="67771EE6" w14:textId="77777777" w:rsidTr="00D87FCE">
        <w:trPr>
          <w:cantSplit/>
          <w:trHeight w:val="471"/>
        </w:trPr>
        <w:tc>
          <w:tcPr>
            <w:tcW w:w="2689" w:type="dxa"/>
            <w:gridSpan w:val="3"/>
          </w:tcPr>
          <w:p w14:paraId="577BB15E" w14:textId="77777777" w:rsidR="0032505A" w:rsidRPr="009E4EB8" w:rsidRDefault="0032505A" w:rsidP="00D87FCE">
            <w:pPr>
              <w:keepNext/>
              <w:ind w:left="-57"/>
              <w:rPr>
                <w:rFonts w:ascii="Arial Narrow" w:hAnsi="Arial Narrow"/>
                <w:b/>
                <w:bCs/>
                <w:sz w:val="20"/>
                <w:szCs w:val="20"/>
              </w:rPr>
            </w:pPr>
            <w:r w:rsidRPr="009E4EB8">
              <w:rPr>
                <w:rFonts w:ascii="Arial Narrow" w:hAnsi="Arial Narrow"/>
                <w:b/>
                <w:bCs/>
                <w:sz w:val="20"/>
                <w:szCs w:val="20"/>
              </w:rPr>
              <w:t>MEDICINAL PRODUCT</w:t>
            </w:r>
          </w:p>
          <w:p w14:paraId="3F5054AA" w14:textId="77777777" w:rsidR="0032505A" w:rsidRPr="009E4EB8" w:rsidRDefault="0032505A" w:rsidP="00D87FCE">
            <w:pPr>
              <w:keepNext/>
              <w:ind w:left="-57"/>
              <w:rPr>
                <w:rFonts w:ascii="Arial Narrow" w:hAnsi="Arial Narrow"/>
                <w:b/>
                <w:sz w:val="20"/>
                <w:szCs w:val="20"/>
              </w:rPr>
            </w:pPr>
            <w:r w:rsidRPr="009E4EB8">
              <w:rPr>
                <w:rFonts w:ascii="Arial Narrow" w:hAnsi="Arial Narrow"/>
                <w:b/>
                <w:bCs/>
                <w:sz w:val="20"/>
                <w:szCs w:val="20"/>
              </w:rPr>
              <w:t>medicinal product pack</w:t>
            </w:r>
          </w:p>
        </w:tc>
        <w:tc>
          <w:tcPr>
            <w:tcW w:w="2556" w:type="dxa"/>
          </w:tcPr>
          <w:p w14:paraId="07CCDEB8" w14:textId="77777777" w:rsidR="0032505A" w:rsidRPr="009E4EB8" w:rsidRDefault="0032505A" w:rsidP="00D87FCE">
            <w:pPr>
              <w:keepNext/>
              <w:ind w:left="-108"/>
              <w:jc w:val="center"/>
              <w:rPr>
                <w:rFonts w:ascii="Arial Narrow" w:hAnsi="Arial Narrow"/>
                <w:b/>
                <w:sz w:val="20"/>
                <w:szCs w:val="20"/>
              </w:rPr>
            </w:pPr>
            <w:r w:rsidRPr="009E4EB8">
              <w:rPr>
                <w:rFonts w:ascii="Arial Narrow" w:hAnsi="Arial Narrow"/>
                <w:b/>
                <w:sz w:val="20"/>
                <w:szCs w:val="20"/>
              </w:rPr>
              <w:t>PBS item code</w:t>
            </w:r>
          </w:p>
        </w:tc>
        <w:tc>
          <w:tcPr>
            <w:tcW w:w="850" w:type="dxa"/>
          </w:tcPr>
          <w:p w14:paraId="5988EDF7" w14:textId="77777777" w:rsidR="0032505A" w:rsidRPr="009E4EB8" w:rsidRDefault="0032505A" w:rsidP="00D87FCE">
            <w:pPr>
              <w:keepNext/>
              <w:ind w:left="-108"/>
              <w:jc w:val="center"/>
              <w:rPr>
                <w:rFonts w:ascii="Arial Narrow" w:hAnsi="Arial Narrow"/>
                <w:b/>
                <w:sz w:val="20"/>
                <w:szCs w:val="20"/>
              </w:rPr>
            </w:pPr>
            <w:r w:rsidRPr="009E4EB8">
              <w:rPr>
                <w:rFonts w:ascii="Arial Narrow" w:hAnsi="Arial Narrow"/>
                <w:b/>
                <w:sz w:val="20"/>
                <w:szCs w:val="20"/>
              </w:rPr>
              <w:t>Max. qty packs</w:t>
            </w:r>
          </w:p>
        </w:tc>
        <w:tc>
          <w:tcPr>
            <w:tcW w:w="709" w:type="dxa"/>
          </w:tcPr>
          <w:p w14:paraId="751E149D" w14:textId="77777777" w:rsidR="0032505A" w:rsidRPr="009E4EB8" w:rsidRDefault="0032505A" w:rsidP="00D87FCE">
            <w:pPr>
              <w:keepNext/>
              <w:ind w:left="-108"/>
              <w:jc w:val="center"/>
              <w:rPr>
                <w:rFonts w:ascii="Arial Narrow" w:hAnsi="Arial Narrow"/>
                <w:b/>
                <w:sz w:val="20"/>
                <w:szCs w:val="20"/>
              </w:rPr>
            </w:pPr>
            <w:r w:rsidRPr="009E4EB8">
              <w:rPr>
                <w:rFonts w:ascii="Arial Narrow" w:hAnsi="Arial Narrow"/>
                <w:b/>
                <w:sz w:val="20"/>
                <w:szCs w:val="20"/>
              </w:rPr>
              <w:t>Max. qty units</w:t>
            </w:r>
          </w:p>
        </w:tc>
        <w:tc>
          <w:tcPr>
            <w:tcW w:w="709" w:type="dxa"/>
          </w:tcPr>
          <w:p w14:paraId="1E09BCDB" w14:textId="77777777" w:rsidR="0032505A" w:rsidRPr="009E4EB8" w:rsidRDefault="0032505A" w:rsidP="00D87FCE">
            <w:pPr>
              <w:keepNext/>
              <w:ind w:left="-108"/>
              <w:jc w:val="center"/>
              <w:rPr>
                <w:rFonts w:ascii="Arial Narrow" w:hAnsi="Arial Narrow"/>
                <w:b/>
                <w:sz w:val="20"/>
                <w:szCs w:val="20"/>
              </w:rPr>
            </w:pPr>
            <w:proofErr w:type="gramStart"/>
            <w:r w:rsidRPr="009E4EB8">
              <w:rPr>
                <w:rFonts w:ascii="Arial Narrow" w:hAnsi="Arial Narrow"/>
                <w:b/>
                <w:sz w:val="20"/>
                <w:szCs w:val="20"/>
              </w:rPr>
              <w:t>№.of</w:t>
            </w:r>
            <w:proofErr w:type="gramEnd"/>
          </w:p>
          <w:p w14:paraId="769ECDBC" w14:textId="77777777" w:rsidR="0032505A" w:rsidRPr="009E4EB8" w:rsidRDefault="0032505A" w:rsidP="00D87FCE">
            <w:pPr>
              <w:keepNext/>
              <w:ind w:left="-108"/>
              <w:jc w:val="center"/>
              <w:rPr>
                <w:rFonts w:ascii="Arial Narrow" w:hAnsi="Arial Narrow"/>
                <w:b/>
                <w:sz w:val="20"/>
                <w:szCs w:val="20"/>
              </w:rPr>
            </w:pPr>
            <w:proofErr w:type="spellStart"/>
            <w:r w:rsidRPr="009E4EB8">
              <w:rPr>
                <w:rFonts w:ascii="Arial Narrow" w:hAnsi="Arial Narrow"/>
                <w:b/>
                <w:sz w:val="20"/>
                <w:szCs w:val="20"/>
              </w:rPr>
              <w:t>Rpts</w:t>
            </w:r>
            <w:proofErr w:type="spellEnd"/>
          </w:p>
        </w:tc>
        <w:tc>
          <w:tcPr>
            <w:tcW w:w="1559" w:type="dxa"/>
          </w:tcPr>
          <w:p w14:paraId="45479DA2" w14:textId="77777777" w:rsidR="0032505A" w:rsidRPr="009E4EB8" w:rsidRDefault="0032505A" w:rsidP="00D87FCE">
            <w:pPr>
              <w:keepNext/>
              <w:rPr>
                <w:rFonts w:ascii="Arial Narrow" w:hAnsi="Arial Narrow"/>
                <w:b/>
                <w:sz w:val="20"/>
                <w:szCs w:val="20"/>
              </w:rPr>
            </w:pPr>
            <w:r w:rsidRPr="009E4EB8">
              <w:rPr>
                <w:rFonts w:ascii="Arial Narrow" w:hAnsi="Arial Narrow"/>
                <w:b/>
                <w:sz w:val="20"/>
                <w:szCs w:val="20"/>
              </w:rPr>
              <w:t>Available brands</w:t>
            </w:r>
          </w:p>
        </w:tc>
      </w:tr>
      <w:tr w:rsidR="0032505A" w:rsidRPr="009E4EB8" w14:paraId="149F6598" w14:textId="77777777" w:rsidTr="00D87FCE">
        <w:trPr>
          <w:cantSplit/>
          <w:trHeight w:val="224"/>
        </w:trPr>
        <w:tc>
          <w:tcPr>
            <w:tcW w:w="9072" w:type="dxa"/>
            <w:gridSpan w:val="8"/>
          </w:tcPr>
          <w:p w14:paraId="5FE94F98" w14:textId="77777777" w:rsidR="0032505A" w:rsidRPr="009E4EB8" w:rsidRDefault="0032505A" w:rsidP="00D87FCE">
            <w:pPr>
              <w:keepNext/>
              <w:ind w:left="-57"/>
              <w:rPr>
                <w:rFonts w:ascii="Arial Narrow" w:hAnsi="Arial Narrow"/>
                <w:sz w:val="20"/>
                <w:szCs w:val="20"/>
              </w:rPr>
            </w:pPr>
            <w:r w:rsidRPr="009E4EB8">
              <w:rPr>
                <w:rFonts w:ascii="Arial Narrow" w:hAnsi="Arial Narrow"/>
                <w:sz w:val="20"/>
                <w:szCs w:val="20"/>
              </w:rPr>
              <w:t>SELINEXOR</w:t>
            </w:r>
          </w:p>
        </w:tc>
      </w:tr>
      <w:tr w:rsidR="0032505A" w:rsidRPr="009E4EB8" w14:paraId="475F640C" w14:textId="77777777" w:rsidTr="00D87FCE">
        <w:trPr>
          <w:cantSplit/>
          <w:trHeight w:val="70"/>
        </w:trPr>
        <w:tc>
          <w:tcPr>
            <w:tcW w:w="2689" w:type="dxa"/>
            <w:gridSpan w:val="3"/>
          </w:tcPr>
          <w:p w14:paraId="420936DC" w14:textId="2627BAAF" w:rsidR="0032505A" w:rsidRPr="009E4EB8" w:rsidRDefault="0032505A" w:rsidP="00D87FCE">
            <w:pPr>
              <w:keepNext/>
              <w:ind w:left="-57"/>
              <w:rPr>
                <w:rFonts w:ascii="Arial Narrow" w:hAnsi="Arial Narrow"/>
                <w:sz w:val="20"/>
                <w:szCs w:val="20"/>
              </w:rPr>
            </w:pPr>
            <w:r w:rsidRPr="009E4EB8">
              <w:rPr>
                <w:rFonts w:ascii="Arial Narrow" w:hAnsi="Arial Narrow"/>
                <w:sz w:val="20"/>
                <w:szCs w:val="20"/>
              </w:rPr>
              <w:t xml:space="preserve">selinexor 20 mg tablet, </w:t>
            </w:r>
            <w:r w:rsidR="00335430" w:rsidRPr="009E4EB8">
              <w:rPr>
                <w:rFonts w:ascii="Arial Narrow" w:hAnsi="Arial Narrow"/>
                <w:sz w:val="20"/>
                <w:szCs w:val="20"/>
              </w:rPr>
              <w:t>TBA</w:t>
            </w:r>
          </w:p>
        </w:tc>
        <w:tc>
          <w:tcPr>
            <w:tcW w:w="2556" w:type="dxa"/>
          </w:tcPr>
          <w:p w14:paraId="768A6A10" w14:textId="77777777" w:rsidR="0032505A" w:rsidRPr="009E4EB8" w:rsidRDefault="0032505A" w:rsidP="00D87FCE">
            <w:pPr>
              <w:keepNext/>
              <w:jc w:val="center"/>
              <w:rPr>
                <w:rFonts w:ascii="Arial Narrow" w:hAnsi="Arial Narrow"/>
                <w:sz w:val="20"/>
                <w:szCs w:val="20"/>
              </w:rPr>
            </w:pPr>
            <w:r w:rsidRPr="009E4EB8">
              <w:rPr>
                <w:rFonts w:ascii="Arial Narrow" w:hAnsi="Arial Narrow"/>
                <w:sz w:val="20"/>
                <w:szCs w:val="20"/>
              </w:rPr>
              <w:t>NEW (Public) / NEW (Private)</w:t>
            </w:r>
          </w:p>
        </w:tc>
        <w:tc>
          <w:tcPr>
            <w:tcW w:w="850" w:type="dxa"/>
          </w:tcPr>
          <w:p w14:paraId="3713E757" w14:textId="38DE39C1" w:rsidR="0032505A" w:rsidRPr="009E4EB8" w:rsidRDefault="00335430" w:rsidP="00D87FCE">
            <w:pPr>
              <w:keepNext/>
              <w:jc w:val="center"/>
              <w:rPr>
                <w:rFonts w:ascii="Arial Narrow" w:hAnsi="Arial Narrow"/>
                <w:sz w:val="20"/>
                <w:szCs w:val="20"/>
              </w:rPr>
            </w:pPr>
            <w:r w:rsidRPr="009E4EB8">
              <w:rPr>
                <w:rFonts w:ascii="Arial Narrow" w:hAnsi="Arial Narrow"/>
                <w:sz w:val="20"/>
                <w:szCs w:val="20"/>
              </w:rPr>
              <w:t>TBA</w:t>
            </w:r>
          </w:p>
        </w:tc>
        <w:tc>
          <w:tcPr>
            <w:tcW w:w="709" w:type="dxa"/>
          </w:tcPr>
          <w:p w14:paraId="119ED471" w14:textId="77777777" w:rsidR="0032505A" w:rsidRPr="009E4EB8" w:rsidRDefault="0032505A" w:rsidP="00D87FCE">
            <w:pPr>
              <w:jc w:val="center"/>
              <w:rPr>
                <w:rFonts w:ascii="Arial Narrow" w:hAnsi="Arial Narrow"/>
                <w:sz w:val="20"/>
                <w:szCs w:val="20"/>
              </w:rPr>
            </w:pPr>
            <w:r w:rsidRPr="009E4EB8">
              <w:rPr>
                <w:rFonts w:ascii="Arial Narrow" w:hAnsi="Arial Narrow"/>
                <w:sz w:val="20"/>
                <w:szCs w:val="20"/>
              </w:rPr>
              <w:t>32</w:t>
            </w:r>
          </w:p>
        </w:tc>
        <w:tc>
          <w:tcPr>
            <w:tcW w:w="709" w:type="dxa"/>
          </w:tcPr>
          <w:p w14:paraId="1548B2BE" w14:textId="77777777" w:rsidR="0032505A" w:rsidRPr="009E4EB8" w:rsidRDefault="0032505A" w:rsidP="00D87FCE">
            <w:pPr>
              <w:keepNext/>
              <w:jc w:val="center"/>
              <w:rPr>
                <w:rFonts w:ascii="Arial Narrow" w:hAnsi="Arial Narrow"/>
                <w:sz w:val="20"/>
                <w:szCs w:val="20"/>
              </w:rPr>
            </w:pPr>
            <w:r w:rsidRPr="009E4EB8">
              <w:rPr>
                <w:rFonts w:ascii="Arial Narrow" w:hAnsi="Arial Narrow"/>
                <w:sz w:val="20"/>
                <w:szCs w:val="20"/>
              </w:rPr>
              <w:t>2</w:t>
            </w:r>
          </w:p>
        </w:tc>
        <w:tc>
          <w:tcPr>
            <w:tcW w:w="1559" w:type="dxa"/>
          </w:tcPr>
          <w:p w14:paraId="20FDE5A3" w14:textId="77777777" w:rsidR="0032505A" w:rsidRPr="009E4EB8" w:rsidRDefault="0032505A" w:rsidP="00D87FCE">
            <w:pPr>
              <w:keepNext/>
              <w:rPr>
                <w:rFonts w:ascii="Arial Narrow" w:hAnsi="Arial Narrow"/>
                <w:sz w:val="20"/>
                <w:szCs w:val="20"/>
              </w:rPr>
            </w:pPr>
            <w:r w:rsidRPr="009E4EB8">
              <w:rPr>
                <w:rFonts w:ascii="Arial Narrow" w:hAnsi="Arial Narrow"/>
                <w:sz w:val="20"/>
                <w:szCs w:val="20"/>
              </w:rPr>
              <w:t>Xpovio</w:t>
            </w:r>
          </w:p>
        </w:tc>
      </w:tr>
      <w:tr w:rsidR="0032505A" w:rsidRPr="009E4EB8" w14:paraId="7CCE7305" w14:textId="77777777" w:rsidTr="00D87FCE">
        <w:tblPrEx>
          <w:tblCellMar>
            <w:top w:w="15" w:type="dxa"/>
            <w:left w:w="15" w:type="dxa"/>
            <w:bottom w:w="15" w:type="dxa"/>
            <w:right w:w="15" w:type="dxa"/>
          </w:tblCellMar>
          <w:tblLook w:val="04A0" w:firstRow="1" w:lastRow="0" w:firstColumn="1" w:lastColumn="0" w:noHBand="0" w:noVBand="1"/>
        </w:tblPrEx>
        <w:trPr>
          <w:trHeight w:val="55"/>
        </w:trPr>
        <w:tc>
          <w:tcPr>
            <w:tcW w:w="9072" w:type="dxa"/>
            <w:gridSpan w:val="8"/>
            <w:tcBorders>
              <w:top w:val="single" w:sz="4" w:space="0" w:color="auto"/>
              <w:left w:val="single" w:sz="4" w:space="0" w:color="auto"/>
              <w:right w:val="single" w:sz="4" w:space="0" w:color="auto"/>
            </w:tcBorders>
          </w:tcPr>
          <w:p w14:paraId="3E5FD07F" w14:textId="77777777" w:rsidR="0032505A" w:rsidRPr="009E4EB8" w:rsidRDefault="0032505A" w:rsidP="00D87FCE">
            <w:pPr>
              <w:rPr>
                <w:rFonts w:ascii="Arial Narrow" w:hAnsi="Arial Narrow"/>
                <w:sz w:val="20"/>
                <w:szCs w:val="20"/>
              </w:rPr>
            </w:pPr>
          </w:p>
        </w:tc>
      </w:tr>
      <w:tr w:rsidR="0032505A" w:rsidRPr="009E4EB8" w14:paraId="317166A2" w14:textId="77777777" w:rsidTr="00D87FCE">
        <w:tblPrEx>
          <w:tblCellMar>
            <w:top w:w="15" w:type="dxa"/>
            <w:left w:w="15" w:type="dxa"/>
            <w:bottom w:w="15" w:type="dxa"/>
            <w:right w:w="15" w:type="dxa"/>
          </w:tblCellMar>
          <w:tblLook w:val="04A0" w:firstRow="1" w:lastRow="0" w:firstColumn="1" w:lastColumn="0" w:noHBand="0" w:noVBand="1"/>
        </w:tblPrEx>
        <w:tc>
          <w:tcPr>
            <w:tcW w:w="9072" w:type="dxa"/>
            <w:gridSpan w:val="8"/>
            <w:tcBorders>
              <w:top w:val="single" w:sz="4" w:space="0" w:color="auto"/>
              <w:left w:val="single" w:sz="4" w:space="0" w:color="auto"/>
              <w:right w:val="single" w:sz="4" w:space="0" w:color="auto"/>
            </w:tcBorders>
          </w:tcPr>
          <w:p w14:paraId="171F93AF" w14:textId="77777777" w:rsidR="0032505A" w:rsidRPr="009E4EB8" w:rsidRDefault="0032505A" w:rsidP="00D87FCE">
            <w:pPr>
              <w:rPr>
                <w:rFonts w:ascii="Arial Narrow" w:hAnsi="Arial Narrow"/>
                <w:b/>
                <w:sz w:val="20"/>
                <w:szCs w:val="20"/>
              </w:rPr>
            </w:pPr>
            <w:r w:rsidRPr="009E4EB8">
              <w:rPr>
                <w:rFonts w:ascii="Arial Narrow" w:hAnsi="Arial Narrow"/>
                <w:b/>
                <w:sz w:val="20"/>
                <w:szCs w:val="20"/>
              </w:rPr>
              <w:t>Restriction Summary [new] / Treatment of Concept: [new]</w:t>
            </w:r>
          </w:p>
        </w:tc>
      </w:tr>
      <w:tr w:rsidR="0032505A" w:rsidRPr="009E4EB8" w14:paraId="22220472"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vMerge w:val="restart"/>
            <w:tcBorders>
              <w:top w:val="single" w:sz="4" w:space="0" w:color="auto"/>
              <w:left w:val="single" w:sz="4" w:space="0" w:color="auto"/>
              <w:right w:val="single" w:sz="4" w:space="0" w:color="auto"/>
            </w:tcBorders>
          </w:tcPr>
          <w:p w14:paraId="6DE721E9" w14:textId="36EEB4FE" w:rsidR="0032505A" w:rsidRPr="009E4EB8" w:rsidRDefault="0032505A" w:rsidP="0032505A">
            <w:pPr>
              <w:jc w:val="center"/>
              <w:rPr>
                <w:rFonts w:ascii="Arial Narrow" w:hAnsi="Arial Narrow"/>
                <w:b/>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570CD3B1" w14:textId="77777777" w:rsidR="0032505A" w:rsidRPr="009E4EB8" w:rsidRDefault="0032505A" w:rsidP="00D87FCE">
            <w:pPr>
              <w:rPr>
                <w:rFonts w:ascii="Arial Narrow" w:hAnsi="Arial Narrow"/>
                <w:sz w:val="20"/>
                <w:szCs w:val="20"/>
              </w:rPr>
            </w:pPr>
            <w:r w:rsidRPr="009E4EB8">
              <w:rPr>
                <w:rFonts w:ascii="Arial Narrow" w:hAnsi="Arial Narrow"/>
                <w:b/>
                <w:sz w:val="20"/>
                <w:szCs w:val="20"/>
              </w:rPr>
              <w:t xml:space="preserve">Category / Program:   </w:t>
            </w:r>
            <w:r w:rsidRPr="009E4EB8">
              <w:rPr>
                <w:rFonts w:ascii="Arial Narrow" w:hAnsi="Arial Narrow"/>
                <w:sz w:val="20"/>
                <w:szCs w:val="20"/>
              </w:rPr>
              <w:t>Section 100 – Highly Specialised Drugs Program</w:t>
            </w:r>
          </w:p>
        </w:tc>
      </w:tr>
      <w:tr w:rsidR="0032505A" w:rsidRPr="009E4EB8" w14:paraId="325C3801" w14:textId="77777777" w:rsidTr="00D87FCE">
        <w:tblPrEx>
          <w:tblCellMar>
            <w:top w:w="15" w:type="dxa"/>
            <w:left w:w="15" w:type="dxa"/>
            <w:bottom w:w="15" w:type="dxa"/>
            <w:right w:w="15" w:type="dxa"/>
          </w:tblCellMar>
          <w:tblLook w:val="04A0" w:firstRow="1" w:lastRow="0" w:firstColumn="1" w:lastColumn="0" w:noHBand="0" w:noVBand="1"/>
        </w:tblPrEx>
        <w:trPr>
          <w:trHeight w:val="240"/>
        </w:trPr>
        <w:tc>
          <w:tcPr>
            <w:tcW w:w="1418" w:type="dxa"/>
            <w:gridSpan w:val="2"/>
            <w:vMerge/>
            <w:tcBorders>
              <w:left w:val="single" w:sz="4" w:space="0" w:color="auto"/>
              <w:right w:val="single" w:sz="4" w:space="0" w:color="auto"/>
            </w:tcBorders>
          </w:tcPr>
          <w:p w14:paraId="0E114669" w14:textId="77777777" w:rsidR="0032505A" w:rsidRPr="009E4EB8" w:rsidRDefault="0032505A" w:rsidP="00D87FCE">
            <w:pP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47C6D813" w14:textId="77777777" w:rsidR="0032505A" w:rsidRPr="009E4EB8" w:rsidRDefault="0032505A" w:rsidP="00D87FCE">
            <w:pPr>
              <w:rPr>
                <w:rFonts w:ascii="Arial Narrow" w:hAnsi="Arial Narrow"/>
                <w:b/>
                <w:sz w:val="20"/>
                <w:szCs w:val="20"/>
              </w:rPr>
            </w:pPr>
            <w:r w:rsidRPr="009E4EB8">
              <w:rPr>
                <w:rFonts w:ascii="Arial Narrow" w:hAnsi="Arial Narrow"/>
                <w:b/>
                <w:sz w:val="20"/>
                <w:szCs w:val="20"/>
              </w:rPr>
              <w:t xml:space="preserve">Prescriber type: </w:t>
            </w:r>
            <w:r w:rsidRPr="009E4EB8">
              <w:rPr>
                <w:rFonts w:ascii="Arial Narrow" w:hAnsi="Arial Narrow"/>
                <w:sz w:val="20"/>
                <w:szCs w:val="20"/>
              </w:rPr>
              <w:fldChar w:fldCharType="begin">
                <w:ffData>
                  <w:name w:val=""/>
                  <w:enabled/>
                  <w:calcOnExit w:val="0"/>
                  <w:checkBox>
                    <w:sizeAuto/>
                    <w:default w:val="1"/>
                  </w:checkBox>
                </w:ffData>
              </w:fldChar>
            </w:r>
            <w:r w:rsidRPr="009E4EB8">
              <w:rPr>
                <w:rFonts w:ascii="Arial Narrow" w:hAnsi="Arial Narrow"/>
                <w:sz w:val="20"/>
                <w:szCs w:val="20"/>
              </w:rPr>
              <w:instrText xml:space="preserve"> FORMCHECKBOX </w:instrText>
            </w:r>
            <w:r w:rsidR="00964E38">
              <w:rPr>
                <w:rFonts w:ascii="Arial Narrow" w:hAnsi="Arial Narrow"/>
                <w:sz w:val="20"/>
                <w:szCs w:val="20"/>
              </w:rPr>
            </w:r>
            <w:r w:rsidR="00964E38">
              <w:rPr>
                <w:rFonts w:ascii="Arial Narrow" w:hAnsi="Arial Narrow"/>
                <w:sz w:val="20"/>
                <w:szCs w:val="20"/>
              </w:rPr>
              <w:fldChar w:fldCharType="separate"/>
            </w:r>
            <w:r w:rsidRPr="009E4EB8">
              <w:rPr>
                <w:rFonts w:ascii="Arial Narrow" w:hAnsi="Arial Narrow"/>
                <w:sz w:val="20"/>
                <w:szCs w:val="20"/>
              </w:rPr>
              <w:fldChar w:fldCharType="end"/>
            </w:r>
            <w:r w:rsidRPr="009E4EB8">
              <w:rPr>
                <w:rFonts w:ascii="Arial Narrow" w:hAnsi="Arial Narrow"/>
                <w:sz w:val="20"/>
                <w:szCs w:val="20"/>
              </w:rPr>
              <w:t>Medical Practitioners</w:t>
            </w:r>
          </w:p>
        </w:tc>
      </w:tr>
      <w:tr w:rsidR="0032505A" w:rsidRPr="009E4EB8" w14:paraId="6EBA8E20"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vMerge/>
            <w:tcBorders>
              <w:left w:val="single" w:sz="4" w:space="0" w:color="auto"/>
              <w:bottom w:val="single" w:sz="4" w:space="0" w:color="auto"/>
              <w:right w:val="single" w:sz="4" w:space="0" w:color="auto"/>
            </w:tcBorders>
          </w:tcPr>
          <w:p w14:paraId="16DD55CF" w14:textId="77777777" w:rsidR="0032505A" w:rsidRPr="009E4EB8" w:rsidRDefault="0032505A" w:rsidP="00D87FCE">
            <w:pP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443198B3" w14:textId="77777777" w:rsidR="0032505A" w:rsidRPr="009E4EB8" w:rsidRDefault="0032505A" w:rsidP="00D87FCE">
            <w:pPr>
              <w:rPr>
                <w:rFonts w:ascii="Arial Narrow" w:hAnsi="Arial Narrow" w:cstheme="minorHAnsi"/>
                <w:b/>
                <w:sz w:val="20"/>
                <w:szCs w:val="20"/>
              </w:rPr>
            </w:pPr>
            <w:r w:rsidRPr="009E4EB8">
              <w:rPr>
                <w:rFonts w:ascii="Arial Narrow" w:hAnsi="Arial Narrow" w:cstheme="minorHAnsi"/>
                <w:b/>
                <w:sz w:val="20"/>
                <w:szCs w:val="20"/>
              </w:rPr>
              <w:t>Restriction type:</w:t>
            </w:r>
          </w:p>
          <w:p w14:paraId="3DBBF534" w14:textId="77777777" w:rsidR="0032505A" w:rsidRPr="009E4EB8" w:rsidRDefault="0032505A" w:rsidP="00D87FCE">
            <w:pPr>
              <w:rPr>
                <w:rFonts w:ascii="Arial Narrow" w:eastAsia="Calibri" w:hAnsi="Arial Narrow"/>
                <w:sz w:val="20"/>
                <w:szCs w:val="20"/>
              </w:rPr>
            </w:pPr>
            <w:r w:rsidRPr="009E4EB8">
              <w:rPr>
                <w:rFonts w:ascii="Arial Narrow" w:hAnsi="Arial Narrow"/>
                <w:bCs/>
                <w:sz w:val="20"/>
                <w:szCs w:val="20"/>
              </w:rPr>
              <w:fldChar w:fldCharType="begin">
                <w:ffData>
                  <w:name w:val="Check3"/>
                  <w:enabled/>
                  <w:calcOnExit w:val="0"/>
                  <w:checkBox>
                    <w:sizeAuto/>
                    <w:default w:val="1"/>
                  </w:checkBox>
                </w:ffData>
              </w:fldChar>
            </w:r>
            <w:r w:rsidRPr="009E4EB8">
              <w:rPr>
                <w:rFonts w:ascii="Arial Narrow" w:hAnsi="Arial Narrow"/>
                <w:bCs/>
                <w:sz w:val="20"/>
                <w:szCs w:val="20"/>
              </w:rPr>
              <w:instrText xml:space="preserve"> FORMCHECKBOX </w:instrText>
            </w:r>
            <w:r w:rsidR="00964E38">
              <w:rPr>
                <w:rFonts w:ascii="Arial Narrow" w:hAnsi="Arial Narrow"/>
                <w:bCs/>
                <w:sz w:val="20"/>
                <w:szCs w:val="20"/>
              </w:rPr>
            </w:r>
            <w:r w:rsidR="00964E38">
              <w:rPr>
                <w:rFonts w:ascii="Arial Narrow" w:hAnsi="Arial Narrow"/>
                <w:bCs/>
                <w:sz w:val="20"/>
                <w:szCs w:val="20"/>
              </w:rPr>
              <w:fldChar w:fldCharType="separate"/>
            </w:r>
            <w:r w:rsidRPr="009E4EB8">
              <w:rPr>
                <w:rFonts w:ascii="Arial Narrow" w:hAnsi="Arial Narrow"/>
                <w:bCs/>
                <w:sz w:val="20"/>
                <w:szCs w:val="20"/>
              </w:rPr>
              <w:fldChar w:fldCharType="end"/>
            </w:r>
            <w:r w:rsidRPr="009E4EB8">
              <w:rPr>
                <w:rFonts w:ascii="Arial Narrow" w:hAnsi="Arial Narrow"/>
                <w:bCs/>
                <w:sz w:val="20"/>
                <w:szCs w:val="20"/>
              </w:rPr>
              <w:t xml:space="preserve"> </w:t>
            </w:r>
            <w:r w:rsidRPr="009E4EB8">
              <w:rPr>
                <w:rFonts w:ascii="Arial Narrow" w:hAnsi="Arial Narrow" w:cstheme="minorHAnsi"/>
                <w:sz w:val="20"/>
                <w:szCs w:val="20"/>
              </w:rPr>
              <w:t>Authority Required – immediate/real-time assessment by Services Australia (telephone/electronic)</w:t>
            </w:r>
          </w:p>
        </w:tc>
      </w:tr>
      <w:tr w:rsidR="0032505A" w:rsidRPr="009E4EB8" w14:paraId="7F6EB3CC" w14:textId="77777777" w:rsidTr="00D87FCE">
        <w:tblPrEx>
          <w:tblCellMar>
            <w:top w:w="15" w:type="dxa"/>
            <w:left w:w="15" w:type="dxa"/>
            <w:bottom w:w="15" w:type="dxa"/>
            <w:right w:w="15" w:type="dxa"/>
          </w:tblCellMar>
          <w:tblLook w:val="04A0" w:firstRow="1" w:lastRow="0" w:firstColumn="1" w:lastColumn="0" w:noHBand="0" w:noVBand="1"/>
        </w:tblPrEx>
        <w:trPr>
          <w:trHeight w:val="262"/>
        </w:trPr>
        <w:tc>
          <w:tcPr>
            <w:tcW w:w="851" w:type="dxa"/>
            <w:vMerge w:val="restart"/>
            <w:tcBorders>
              <w:left w:val="single" w:sz="4" w:space="0" w:color="auto"/>
              <w:right w:val="single" w:sz="4" w:space="0" w:color="auto"/>
            </w:tcBorders>
            <w:textDirection w:val="btLr"/>
          </w:tcPr>
          <w:p w14:paraId="05EB5159" w14:textId="7EA2548E" w:rsidR="0032505A" w:rsidRPr="009E4EB8" w:rsidRDefault="0032505A" w:rsidP="00D87FCE">
            <w:pPr>
              <w:ind w:left="113" w:right="113"/>
              <w:rPr>
                <w:rFonts w:ascii="Arial Narrow" w:hAnsi="Arial Narrow"/>
                <w:sz w:val="20"/>
                <w:szCs w:val="20"/>
              </w:rPr>
            </w:pPr>
          </w:p>
        </w:tc>
        <w:tc>
          <w:tcPr>
            <w:tcW w:w="567" w:type="dxa"/>
            <w:vAlign w:val="center"/>
          </w:tcPr>
          <w:p w14:paraId="2F9C7037" w14:textId="1947A9FF" w:rsidR="0032505A" w:rsidRPr="009E4EB8" w:rsidRDefault="0032505A" w:rsidP="00D87FCE">
            <w:pPr>
              <w:jc w:val="center"/>
              <w:rPr>
                <w:rFonts w:ascii="Arial Narrow" w:hAnsi="Arial Narrow"/>
                <w:vanish/>
                <w:sz w:val="20"/>
                <w:szCs w:val="20"/>
              </w:rPr>
            </w:pPr>
          </w:p>
        </w:tc>
        <w:tc>
          <w:tcPr>
            <w:tcW w:w="7654" w:type="dxa"/>
            <w:gridSpan w:val="6"/>
            <w:vAlign w:val="center"/>
          </w:tcPr>
          <w:p w14:paraId="1F89C041" w14:textId="77777777" w:rsidR="0032505A" w:rsidRPr="009E4EB8" w:rsidRDefault="0032505A" w:rsidP="00D87FCE">
            <w:pPr>
              <w:pStyle w:val="NormalWeb"/>
              <w:spacing w:before="0" w:after="0"/>
              <w:rPr>
                <w:rFonts w:ascii="Arial Narrow" w:hAnsi="Arial Narrow"/>
                <w:sz w:val="20"/>
                <w:szCs w:val="20"/>
                <w:lang w:val="en-AU"/>
              </w:rPr>
            </w:pPr>
            <w:r w:rsidRPr="009E4EB8">
              <w:rPr>
                <w:rStyle w:val="Strong"/>
                <w:rFonts w:ascii="Arial Narrow" w:hAnsi="Arial Narrow"/>
                <w:sz w:val="20"/>
                <w:szCs w:val="20"/>
                <w:lang w:val="en-AU"/>
              </w:rPr>
              <w:t>Administrative Advice:</w:t>
            </w:r>
          </w:p>
          <w:p w14:paraId="02A14207"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Special Pricing Arrangements apply.</w:t>
            </w:r>
          </w:p>
        </w:tc>
      </w:tr>
      <w:tr w:rsidR="0032505A" w:rsidRPr="009E4EB8" w14:paraId="09FD5897" w14:textId="77777777" w:rsidTr="00D87FCE">
        <w:tblPrEx>
          <w:tblCellMar>
            <w:top w:w="15" w:type="dxa"/>
            <w:left w:w="15" w:type="dxa"/>
            <w:bottom w:w="15" w:type="dxa"/>
            <w:right w:w="15" w:type="dxa"/>
          </w:tblCellMar>
          <w:tblLook w:val="04A0" w:firstRow="1" w:lastRow="0" w:firstColumn="1" w:lastColumn="0" w:noHBand="0" w:noVBand="1"/>
        </w:tblPrEx>
        <w:trPr>
          <w:trHeight w:val="261"/>
        </w:trPr>
        <w:tc>
          <w:tcPr>
            <w:tcW w:w="851" w:type="dxa"/>
            <w:vMerge/>
            <w:tcBorders>
              <w:left w:val="single" w:sz="4" w:space="0" w:color="auto"/>
              <w:right w:val="single" w:sz="4" w:space="0" w:color="auto"/>
            </w:tcBorders>
            <w:textDirection w:val="btLr"/>
          </w:tcPr>
          <w:p w14:paraId="54F48E39" w14:textId="77777777" w:rsidR="0032505A" w:rsidRPr="009E4EB8" w:rsidRDefault="0032505A" w:rsidP="00D87FCE">
            <w:pPr>
              <w:ind w:left="113" w:right="113"/>
              <w:rPr>
                <w:rFonts w:ascii="Arial Narrow" w:hAnsi="Arial Narrow"/>
                <w:sz w:val="20"/>
                <w:szCs w:val="20"/>
              </w:rPr>
            </w:pPr>
          </w:p>
        </w:tc>
        <w:tc>
          <w:tcPr>
            <w:tcW w:w="567" w:type="dxa"/>
            <w:vAlign w:val="center"/>
          </w:tcPr>
          <w:p w14:paraId="45010DE1" w14:textId="6D514AD7" w:rsidR="0032505A" w:rsidRPr="009E4EB8" w:rsidRDefault="0032505A" w:rsidP="00D87FCE">
            <w:pPr>
              <w:jc w:val="center"/>
              <w:rPr>
                <w:rFonts w:ascii="Arial Narrow" w:hAnsi="Arial Narrow"/>
                <w:sz w:val="20"/>
                <w:szCs w:val="20"/>
              </w:rPr>
            </w:pPr>
          </w:p>
        </w:tc>
        <w:tc>
          <w:tcPr>
            <w:tcW w:w="7654" w:type="dxa"/>
            <w:gridSpan w:val="6"/>
            <w:vAlign w:val="center"/>
          </w:tcPr>
          <w:p w14:paraId="547E3D2A" w14:textId="77777777" w:rsidR="0032505A" w:rsidRPr="009E4EB8" w:rsidRDefault="0032505A" w:rsidP="00D87FCE">
            <w:pPr>
              <w:pStyle w:val="NormalWeb"/>
              <w:spacing w:before="0" w:after="0"/>
              <w:rPr>
                <w:rStyle w:val="Strong"/>
                <w:rFonts w:ascii="Arial Narrow" w:hAnsi="Arial Narrow"/>
                <w:sz w:val="20"/>
                <w:szCs w:val="20"/>
                <w:lang w:val="en-AU"/>
              </w:rPr>
            </w:pPr>
            <w:r w:rsidRPr="009E4EB8">
              <w:rPr>
                <w:rFonts w:ascii="Arial Narrow" w:hAnsi="Arial Narrow"/>
                <w:b/>
                <w:bCs/>
                <w:sz w:val="20"/>
                <w:szCs w:val="20"/>
                <w:lang w:val="en-AU"/>
              </w:rPr>
              <w:t xml:space="preserve">Administrative Advice: </w:t>
            </w:r>
            <w:r w:rsidRPr="009E4EB8">
              <w:rPr>
                <w:rFonts w:ascii="Arial Narrow" w:hAnsi="Arial Narrow"/>
                <w:bCs/>
                <w:sz w:val="20"/>
                <w:szCs w:val="20"/>
                <w:lang w:val="en-AU"/>
              </w:rPr>
              <w:t>No increase in the maximum quantity or number of units may be authorised.</w:t>
            </w:r>
          </w:p>
        </w:tc>
      </w:tr>
      <w:tr w:rsidR="0032505A" w:rsidRPr="009E4EB8" w14:paraId="7A22E7C4" w14:textId="77777777" w:rsidTr="00D87FCE">
        <w:tblPrEx>
          <w:tblCellMar>
            <w:top w:w="15" w:type="dxa"/>
            <w:left w:w="15" w:type="dxa"/>
            <w:bottom w:w="15" w:type="dxa"/>
            <w:right w:w="15" w:type="dxa"/>
          </w:tblCellMar>
          <w:tblLook w:val="04A0" w:firstRow="1" w:lastRow="0" w:firstColumn="1" w:lastColumn="0" w:noHBand="0" w:noVBand="1"/>
        </w:tblPrEx>
        <w:trPr>
          <w:trHeight w:val="261"/>
        </w:trPr>
        <w:tc>
          <w:tcPr>
            <w:tcW w:w="851" w:type="dxa"/>
            <w:vMerge/>
            <w:tcBorders>
              <w:left w:val="single" w:sz="4" w:space="0" w:color="auto"/>
              <w:right w:val="single" w:sz="4" w:space="0" w:color="auto"/>
            </w:tcBorders>
            <w:textDirection w:val="btLr"/>
          </w:tcPr>
          <w:p w14:paraId="573C54A6" w14:textId="77777777" w:rsidR="0032505A" w:rsidRPr="009E4EB8" w:rsidRDefault="0032505A" w:rsidP="00D87FCE">
            <w:pPr>
              <w:ind w:left="113" w:right="113"/>
              <w:rPr>
                <w:rFonts w:ascii="Arial Narrow" w:hAnsi="Arial Narrow"/>
                <w:sz w:val="20"/>
                <w:szCs w:val="20"/>
              </w:rPr>
            </w:pPr>
          </w:p>
        </w:tc>
        <w:tc>
          <w:tcPr>
            <w:tcW w:w="567" w:type="dxa"/>
            <w:vAlign w:val="center"/>
          </w:tcPr>
          <w:p w14:paraId="40883C32" w14:textId="62B10494" w:rsidR="0032505A" w:rsidRPr="009E4EB8" w:rsidRDefault="0032505A" w:rsidP="00D87FCE">
            <w:pPr>
              <w:jc w:val="center"/>
              <w:rPr>
                <w:rFonts w:ascii="Arial Narrow" w:hAnsi="Arial Narrow"/>
                <w:sz w:val="20"/>
                <w:szCs w:val="20"/>
              </w:rPr>
            </w:pPr>
          </w:p>
        </w:tc>
        <w:tc>
          <w:tcPr>
            <w:tcW w:w="7654" w:type="dxa"/>
            <w:gridSpan w:val="6"/>
            <w:vAlign w:val="center"/>
          </w:tcPr>
          <w:p w14:paraId="457A267A" w14:textId="77777777" w:rsidR="0032505A" w:rsidRPr="009E4EB8" w:rsidRDefault="0032505A" w:rsidP="00D87FCE">
            <w:pPr>
              <w:pStyle w:val="NormalWeb"/>
              <w:spacing w:before="0" w:after="0"/>
              <w:rPr>
                <w:rStyle w:val="Strong"/>
                <w:rFonts w:ascii="Arial Narrow" w:hAnsi="Arial Narrow"/>
                <w:sz w:val="20"/>
                <w:szCs w:val="20"/>
                <w:lang w:val="en-AU"/>
              </w:rPr>
            </w:pPr>
            <w:r w:rsidRPr="009E4EB8">
              <w:rPr>
                <w:rFonts w:ascii="Arial Narrow" w:hAnsi="Arial Narrow"/>
                <w:b/>
                <w:bCs/>
                <w:sz w:val="20"/>
                <w:szCs w:val="20"/>
                <w:lang w:val="en-AU"/>
              </w:rPr>
              <w:t xml:space="preserve">Administrative Advice: </w:t>
            </w:r>
            <w:r w:rsidRPr="009E4EB8">
              <w:rPr>
                <w:rFonts w:ascii="Arial Narrow" w:hAnsi="Arial Narrow"/>
                <w:bCs/>
                <w:sz w:val="20"/>
                <w:szCs w:val="20"/>
                <w:lang w:val="en-AU"/>
              </w:rPr>
              <w:t>No increase in the maximum number of repeats may be authorised.</w:t>
            </w:r>
          </w:p>
        </w:tc>
      </w:tr>
      <w:tr w:rsidR="0032505A" w:rsidRPr="009E4EB8" w14:paraId="70E99D6E"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vAlign w:val="center"/>
          </w:tcPr>
          <w:p w14:paraId="2822350D" w14:textId="77777777" w:rsidR="0032505A" w:rsidRPr="009E4EB8" w:rsidRDefault="0032505A" w:rsidP="00D87FCE">
            <w:pPr>
              <w:jc w:val="center"/>
              <w:rPr>
                <w:rFonts w:ascii="Arial Narrow" w:hAnsi="Arial Narrow"/>
                <w:sz w:val="20"/>
                <w:szCs w:val="20"/>
              </w:rPr>
            </w:pPr>
          </w:p>
        </w:tc>
        <w:tc>
          <w:tcPr>
            <w:tcW w:w="7654" w:type="dxa"/>
            <w:gridSpan w:val="6"/>
          </w:tcPr>
          <w:p w14:paraId="435A0E76" w14:textId="77777777" w:rsidR="0032505A" w:rsidRPr="009E4EB8" w:rsidRDefault="0032505A" w:rsidP="00D87FCE">
            <w:pPr>
              <w:rPr>
                <w:rFonts w:ascii="Arial Narrow" w:hAnsi="Arial Narrow"/>
                <w:b/>
                <w:bCs/>
                <w:sz w:val="20"/>
                <w:szCs w:val="20"/>
              </w:rPr>
            </w:pPr>
            <w:proofErr w:type="spellStart"/>
            <w:r w:rsidRPr="009E4EB8">
              <w:rPr>
                <w:rFonts w:ascii="Arial Narrow" w:hAnsi="Arial Narrow" w:cstheme="minorHAnsi"/>
                <w:b/>
                <w:sz w:val="20"/>
                <w:szCs w:val="20"/>
              </w:rPr>
              <w:t>Episodicity</w:t>
            </w:r>
            <w:proofErr w:type="spellEnd"/>
            <w:r w:rsidRPr="009E4EB8">
              <w:rPr>
                <w:rFonts w:ascii="Arial Narrow" w:hAnsi="Arial Narrow" w:cstheme="minorHAnsi"/>
                <w:b/>
                <w:sz w:val="20"/>
                <w:szCs w:val="20"/>
              </w:rPr>
              <w:t xml:space="preserve">: </w:t>
            </w:r>
            <w:r w:rsidRPr="009E4EB8">
              <w:rPr>
                <w:rFonts w:ascii="Arial Narrow" w:hAnsi="Arial Narrow" w:cstheme="minorHAnsi"/>
                <w:sz w:val="20"/>
                <w:szCs w:val="20"/>
              </w:rPr>
              <w:t>Relapsed and/or refractory</w:t>
            </w:r>
          </w:p>
        </w:tc>
      </w:tr>
      <w:tr w:rsidR="0032505A" w:rsidRPr="009E4EB8" w14:paraId="21DB4990"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vAlign w:val="center"/>
          </w:tcPr>
          <w:p w14:paraId="4D4979A0" w14:textId="77777777" w:rsidR="0032505A" w:rsidRPr="009E4EB8" w:rsidRDefault="0032505A" w:rsidP="00D87FCE">
            <w:pPr>
              <w:jc w:val="center"/>
              <w:rPr>
                <w:rFonts w:ascii="Arial Narrow" w:hAnsi="Arial Narrow"/>
                <w:sz w:val="20"/>
                <w:szCs w:val="20"/>
              </w:rPr>
            </w:pPr>
          </w:p>
        </w:tc>
        <w:tc>
          <w:tcPr>
            <w:tcW w:w="7654" w:type="dxa"/>
            <w:gridSpan w:val="6"/>
          </w:tcPr>
          <w:p w14:paraId="16CBC1EC" w14:textId="77777777" w:rsidR="0032505A" w:rsidRPr="009E4EB8" w:rsidRDefault="0032505A" w:rsidP="00D87FCE">
            <w:pPr>
              <w:rPr>
                <w:rFonts w:ascii="Arial Narrow" w:hAnsi="Arial Narrow"/>
                <w:b/>
                <w:bCs/>
                <w:sz w:val="20"/>
                <w:szCs w:val="20"/>
              </w:rPr>
            </w:pPr>
            <w:r w:rsidRPr="009E4EB8">
              <w:rPr>
                <w:rFonts w:ascii="Arial Narrow" w:hAnsi="Arial Narrow" w:cstheme="minorHAnsi"/>
                <w:b/>
                <w:sz w:val="20"/>
                <w:szCs w:val="20"/>
              </w:rPr>
              <w:t xml:space="preserve">Severity: </w:t>
            </w:r>
            <w:r w:rsidRPr="009E4EB8">
              <w:rPr>
                <w:rFonts w:ascii="Arial Narrow" w:hAnsi="Arial Narrow" w:cstheme="minorHAnsi"/>
                <w:sz w:val="20"/>
                <w:szCs w:val="20"/>
              </w:rPr>
              <w:t>[blank]</w:t>
            </w:r>
          </w:p>
        </w:tc>
      </w:tr>
      <w:tr w:rsidR="0032505A" w:rsidRPr="009E4EB8" w14:paraId="0DDFACD1"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vAlign w:val="center"/>
          </w:tcPr>
          <w:p w14:paraId="74A1D015" w14:textId="77777777" w:rsidR="0032505A" w:rsidRPr="009E4EB8" w:rsidRDefault="0032505A" w:rsidP="00D87FCE">
            <w:pPr>
              <w:jc w:val="center"/>
              <w:rPr>
                <w:rFonts w:ascii="Arial Narrow" w:hAnsi="Arial Narrow"/>
                <w:sz w:val="20"/>
                <w:szCs w:val="20"/>
              </w:rPr>
            </w:pPr>
          </w:p>
        </w:tc>
        <w:tc>
          <w:tcPr>
            <w:tcW w:w="7654" w:type="dxa"/>
            <w:gridSpan w:val="6"/>
          </w:tcPr>
          <w:p w14:paraId="7EB8AD5C" w14:textId="77777777" w:rsidR="0032505A" w:rsidRPr="009E4EB8" w:rsidRDefault="0032505A" w:rsidP="00D87FCE">
            <w:pPr>
              <w:rPr>
                <w:rFonts w:ascii="Arial Narrow" w:hAnsi="Arial Narrow"/>
                <w:b/>
                <w:bCs/>
                <w:sz w:val="20"/>
                <w:szCs w:val="20"/>
              </w:rPr>
            </w:pPr>
            <w:r w:rsidRPr="009E4EB8">
              <w:rPr>
                <w:rFonts w:ascii="Arial Narrow" w:hAnsi="Arial Narrow" w:cstheme="minorHAnsi"/>
                <w:b/>
                <w:sz w:val="20"/>
                <w:szCs w:val="20"/>
              </w:rPr>
              <w:t xml:space="preserve">Condition: </w:t>
            </w:r>
            <w:r w:rsidRPr="009E4EB8">
              <w:rPr>
                <w:rFonts w:ascii="Arial Narrow" w:hAnsi="Arial Narrow" w:cstheme="minorHAnsi"/>
                <w:sz w:val="20"/>
                <w:szCs w:val="20"/>
              </w:rPr>
              <w:t>Multiple myeloma</w:t>
            </w:r>
          </w:p>
        </w:tc>
      </w:tr>
      <w:tr w:rsidR="0032505A" w:rsidRPr="009E4EB8" w14:paraId="0B496E32" w14:textId="77777777" w:rsidTr="00E70651">
        <w:tblPrEx>
          <w:tblCellMar>
            <w:top w:w="15" w:type="dxa"/>
            <w:left w:w="15" w:type="dxa"/>
            <w:bottom w:w="15" w:type="dxa"/>
            <w:right w:w="15" w:type="dxa"/>
          </w:tblCellMar>
          <w:tblLook w:val="04A0" w:firstRow="1" w:lastRow="0" w:firstColumn="1" w:lastColumn="0" w:noHBand="0" w:noVBand="1"/>
        </w:tblPrEx>
        <w:tc>
          <w:tcPr>
            <w:tcW w:w="1418" w:type="dxa"/>
            <w:gridSpan w:val="2"/>
            <w:vAlign w:val="center"/>
          </w:tcPr>
          <w:p w14:paraId="58F59448" w14:textId="3C097FF3" w:rsidR="0032505A" w:rsidRPr="009E4EB8" w:rsidRDefault="0032505A" w:rsidP="00D87FCE">
            <w:pPr>
              <w:jc w:val="center"/>
              <w:rPr>
                <w:rFonts w:ascii="Arial Narrow" w:hAnsi="Arial Narrow"/>
                <w:sz w:val="20"/>
                <w:szCs w:val="20"/>
              </w:rPr>
            </w:pPr>
          </w:p>
        </w:tc>
        <w:tc>
          <w:tcPr>
            <w:tcW w:w="7654" w:type="dxa"/>
            <w:gridSpan w:val="6"/>
            <w:vAlign w:val="center"/>
            <w:hideMark/>
          </w:tcPr>
          <w:p w14:paraId="60467D7F"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Indication:</w:t>
            </w:r>
            <w:r w:rsidRPr="009E4EB8">
              <w:rPr>
                <w:rFonts w:ascii="Arial Narrow" w:hAnsi="Arial Narrow"/>
                <w:sz w:val="20"/>
                <w:szCs w:val="20"/>
              </w:rPr>
              <w:t xml:space="preserve"> Relapsed and/or refractory multiple myeloma</w:t>
            </w:r>
          </w:p>
        </w:tc>
      </w:tr>
      <w:tr w:rsidR="0032505A" w:rsidRPr="009E4EB8" w14:paraId="635841C8" w14:textId="77777777" w:rsidTr="00E70651">
        <w:tblPrEx>
          <w:tblCellMar>
            <w:top w:w="15" w:type="dxa"/>
            <w:left w:w="15" w:type="dxa"/>
            <w:bottom w:w="15" w:type="dxa"/>
            <w:right w:w="15" w:type="dxa"/>
          </w:tblCellMar>
          <w:tblLook w:val="04A0" w:firstRow="1" w:lastRow="0" w:firstColumn="1" w:lastColumn="0" w:noHBand="0" w:noVBand="1"/>
        </w:tblPrEx>
        <w:tc>
          <w:tcPr>
            <w:tcW w:w="1418" w:type="dxa"/>
            <w:gridSpan w:val="2"/>
            <w:vAlign w:val="center"/>
          </w:tcPr>
          <w:p w14:paraId="1B152DB6" w14:textId="77777777" w:rsidR="0032505A" w:rsidRPr="009E4EB8" w:rsidRDefault="0032505A" w:rsidP="00D87FCE">
            <w:pPr>
              <w:jc w:val="center"/>
              <w:rPr>
                <w:rFonts w:ascii="Arial Narrow" w:hAnsi="Arial Narrow"/>
                <w:sz w:val="20"/>
                <w:szCs w:val="20"/>
              </w:rPr>
            </w:pPr>
          </w:p>
        </w:tc>
        <w:tc>
          <w:tcPr>
            <w:tcW w:w="7654" w:type="dxa"/>
            <w:gridSpan w:val="6"/>
            <w:vAlign w:val="center"/>
            <w:hideMark/>
          </w:tcPr>
          <w:p w14:paraId="168765C7"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Treatment Phase:</w:t>
            </w:r>
            <w:r w:rsidRPr="009E4EB8">
              <w:rPr>
                <w:rFonts w:ascii="Arial Narrow" w:hAnsi="Arial Narrow"/>
                <w:sz w:val="20"/>
                <w:szCs w:val="20"/>
              </w:rPr>
              <w:t xml:space="preserve"> Initial treatment </w:t>
            </w:r>
          </w:p>
        </w:tc>
      </w:tr>
      <w:tr w:rsidR="0032505A" w:rsidRPr="009E4EB8" w14:paraId="76E14340"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BE0823A" w14:textId="537E737B"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7EF0CC79" w14:textId="77777777" w:rsidR="0032505A" w:rsidRPr="009E4EB8" w:rsidRDefault="0032505A" w:rsidP="00D87FCE">
            <w:pPr>
              <w:spacing w:before="100" w:beforeAutospacing="1" w:after="100" w:afterAutospacing="1"/>
              <w:rPr>
                <w:rFonts w:ascii="Arial Narrow" w:hAnsi="Arial Narrow"/>
                <w:sz w:val="20"/>
                <w:szCs w:val="20"/>
              </w:rPr>
            </w:pPr>
            <w:r w:rsidRPr="009E4EB8">
              <w:rPr>
                <w:rFonts w:ascii="Arial Narrow" w:hAnsi="Arial Narrow"/>
                <w:b/>
                <w:bCs/>
                <w:sz w:val="20"/>
                <w:szCs w:val="20"/>
              </w:rPr>
              <w:t>Clinical criteria:</w:t>
            </w:r>
          </w:p>
        </w:tc>
      </w:tr>
      <w:tr w:rsidR="0032505A" w:rsidRPr="009E4EB8" w14:paraId="177D11F4"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3ADDF3D9" w14:textId="3521063C"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6FE0A093"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The treatment must be in combination with dexamethasone</w:t>
            </w:r>
          </w:p>
        </w:tc>
      </w:tr>
      <w:tr w:rsidR="0032505A" w:rsidRPr="009E4EB8" w14:paraId="1EB762D0"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34267C82" w14:textId="77777777"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438349EA"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AND</w:t>
            </w:r>
          </w:p>
        </w:tc>
      </w:tr>
      <w:tr w:rsidR="0032505A" w:rsidRPr="009E4EB8" w14:paraId="5D206FA1"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7C568001" w14:textId="77777777"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1D799A48" w14:textId="77777777" w:rsidR="0032505A" w:rsidRPr="009E4EB8" w:rsidRDefault="0032505A" w:rsidP="00D87FCE">
            <w:pPr>
              <w:spacing w:before="100" w:beforeAutospacing="1" w:after="100" w:afterAutospacing="1"/>
              <w:rPr>
                <w:rFonts w:ascii="Arial Narrow" w:hAnsi="Arial Narrow"/>
                <w:sz w:val="20"/>
                <w:szCs w:val="20"/>
              </w:rPr>
            </w:pPr>
            <w:r w:rsidRPr="009E4EB8">
              <w:rPr>
                <w:rFonts w:ascii="Arial Narrow" w:hAnsi="Arial Narrow"/>
                <w:b/>
                <w:bCs/>
                <w:sz w:val="20"/>
                <w:szCs w:val="20"/>
              </w:rPr>
              <w:t>Clinical criteria:</w:t>
            </w:r>
          </w:p>
        </w:tc>
      </w:tr>
      <w:tr w:rsidR="0032505A" w:rsidRPr="009E4EB8" w14:paraId="198BF9C4"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0676B86" w14:textId="4EF8E963"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5A94CD11"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 xml:space="preserve">Patient must have progressive disease after at least four prior lines of therapy for this condition </w:t>
            </w:r>
          </w:p>
        </w:tc>
      </w:tr>
      <w:tr w:rsidR="0032505A" w:rsidRPr="009E4EB8" w14:paraId="35DB8F11"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29F99FF5" w14:textId="77777777"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687A45FB"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AND</w:t>
            </w:r>
          </w:p>
        </w:tc>
      </w:tr>
      <w:tr w:rsidR="0032505A" w:rsidRPr="009E4EB8" w14:paraId="00B306C8"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30C53B2" w14:textId="77777777"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4AF3A94F" w14:textId="77777777" w:rsidR="0032505A" w:rsidRPr="009E4EB8" w:rsidRDefault="0032505A" w:rsidP="00D87FCE">
            <w:pPr>
              <w:rPr>
                <w:rFonts w:ascii="Arial Narrow" w:hAnsi="Arial Narrow"/>
                <w:b/>
                <w:bCs/>
                <w:sz w:val="20"/>
                <w:szCs w:val="20"/>
              </w:rPr>
            </w:pPr>
            <w:r w:rsidRPr="009E4EB8">
              <w:rPr>
                <w:rFonts w:ascii="Arial Narrow" w:hAnsi="Arial Narrow"/>
                <w:b/>
                <w:bCs/>
                <w:sz w:val="20"/>
                <w:szCs w:val="20"/>
              </w:rPr>
              <w:t>Clinical criteria:</w:t>
            </w:r>
          </w:p>
        </w:tc>
      </w:tr>
      <w:tr w:rsidR="0032505A" w:rsidRPr="009E4EB8" w14:paraId="7184CAE3"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F17DA48" w14:textId="77777777"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011DDBC5" w14:textId="77777777" w:rsidR="0032505A" w:rsidRPr="009E4EB8" w:rsidRDefault="0032505A" w:rsidP="00D87FCE">
            <w:pPr>
              <w:rPr>
                <w:rFonts w:ascii="Arial Narrow" w:hAnsi="Arial Narrow"/>
                <w:bCs/>
                <w:sz w:val="20"/>
                <w:szCs w:val="20"/>
              </w:rPr>
            </w:pPr>
            <w:r w:rsidRPr="009E4EB8">
              <w:rPr>
                <w:rFonts w:ascii="Arial Narrow" w:hAnsi="Arial Narrow"/>
                <w:bCs/>
                <w:sz w:val="20"/>
                <w:szCs w:val="20"/>
              </w:rPr>
              <w:t>Patient must not have previously received this drug for this condition</w:t>
            </w:r>
          </w:p>
        </w:tc>
      </w:tr>
      <w:tr w:rsidR="0032505A" w:rsidRPr="009E4EB8" w14:paraId="2E2D4F9B"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0E685AC2" w14:textId="77777777"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546E7FE5" w14:textId="77777777" w:rsidR="0032505A" w:rsidRPr="009E4EB8" w:rsidRDefault="0032505A" w:rsidP="00D87FCE">
            <w:pPr>
              <w:rPr>
                <w:rFonts w:ascii="Arial Narrow" w:hAnsi="Arial Narrow"/>
                <w:b/>
                <w:bCs/>
                <w:sz w:val="20"/>
                <w:szCs w:val="20"/>
              </w:rPr>
            </w:pPr>
            <w:r w:rsidRPr="009E4EB8">
              <w:rPr>
                <w:rFonts w:ascii="Arial Narrow" w:hAnsi="Arial Narrow"/>
                <w:b/>
                <w:bCs/>
                <w:sz w:val="20"/>
                <w:szCs w:val="20"/>
              </w:rPr>
              <w:t>AND</w:t>
            </w:r>
          </w:p>
        </w:tc>
      </w:tr>
      <w:tr w:rsidR="0032505A" w:rsidRPr="009E4EB8" w14:paraId="17E09604"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1B53B7DD" w14:textId="77777777"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75C168DB" w14:textId="77777777" w:rsidR="0032505A" w:rsidRPr="009E4EB8" w:rsidRDefault="0032505A" w:rsidP="00D87FCE">
            <w:pPr>
              <w:rPr>
                <w:rFonts w:ascii="Arial Narrow" w:hAnsi="Arial Narrow"/>
                <w:b/>
                <w:bCs/>
                <w:sz w:val="20"/>
                <w:szCs w:val="20"/>
              </w:rPr>
            </w:pPr>
            <w:r w:rsidRPr="009E4EB8">
              <w:rPr>
                <w:rFonts w:ascii="Arial Narrow" w:hAnsi="Arial Narrow"/>
                <w:b/>
                <w:bCs/>
                <w:sz w:val="20"/>
                <w:szCs w:val="20"/>
              </w:rPr>
              <w:t>Clinical criteria:</w:t>
            </w:r>
          </w:p>
        </w:tc>
      </w:tr>
      <w:tr w:rsidR="0032505A" w:rsidRPr="009E4EB8" w14:paraId="6EC85429"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1DE7E60E" w14:textId="3E1E60A5"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64716F51" w14:textId="6D68DD33" w:rsidR="0032505A" w:rsidRPr="009E4EB8" w:rsidRDefault="0032505A" w:rsidP="00587FEC">
            <w:pPr>
              <w:rPr>
                <w:rFonts w:ascii="Arial Narrow" w:hAnsi="Arial Narrow"/>
                <w:bCs/>
                <w:sz w:val="20"/>
                <w:szCs w:val="20"/>
              </w:rPr>
            </w:pPr>
            <w:r w:rsidRPr="009E4EB8">
              <w:rPr>
                <w:rFonts w:ascii="Arial Narrow" w:hAnsi="Arial Narrow"/>
                <w:bCs/>
                <w:sz w:val="20"/>
                <w:szCs w:val="20"/>
              </w:rPr>
              <w:t>Patient must have demonstrated refractory disease to the following prior treatments for this condition, which must include: (</w:t>
            </w:r>
            <w:proofErr w:type="spellStart"/>
            <w:r w:rsidRPr="009E4EB8">
              <w:rPr>
                <w:rFonts w:ascii="Arial Narrow" w:hAnsi="Arial Narrow"/>
                <w:bCs/>
                <w:sz w:val="20"/>
                <w:szCs w:val="20"/>
              </w:rPr>
              <w:t>i</w:t>
            </w:r>
            <w:proofErr w:type="spellEnd"/>
            <w:r w:rsidRPr="009E4EB8">
              <w:rPr>
                <w:rFonts w:ascii="Arial Narrow" w:hAnsi="Arial Narrow"/>
                <w:bCs/>
                <w:sz w:val="20"/>
                <w:szCs w:val="20"/>
              </w:rPr>
              <w:t>) a minimum of two proteasome inhibitors; and (ii) a minimum of two immunomodulators; and (iii) an anti-CD38 monoclonal antibody</w:t>
            </w:r>
          </w:p>
        </w:tc>
      </w:tr>
      <w:tr w:rsidR="0032505A" w:rsidRPr="009E4EB8" w14:paraId="025DF738"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16518BA7" w14:textId="77777777"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516748BA"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AND</w:t>
            </w:r>
          </w:p>
        </w:tc>
      </w:tr>
      <w:tr w:rsidR="0032505A" w:rsidRPr="009E4EB8" w14:paraId="2F66ECA9"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9E1C52E" w14:textId="77777777"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15566B81" w14:textId="77777777" w:rsidR="0032505A" w:rsidRPr="009E4EB8" w:rsidRDefault="0032505A" w:rsidP="00D87FCE">
            <w:pPr>
              <w:spacing w:before="100" w:beforeAutospacing="1" w:after="100" w:afterAutospacing="1"/>
              <w:rPr>
                <w:rFonts w:ascii="Arial Narrow" w:hAnsi="Arial Narrow"/>
                <w:sz w:val="20"/>
                <w:szCs w:val="20"/>
              </w:rPr>
            </w:pPr>
            <w:r w:rsidRPr="009E4EB8">
              <w:rPr>
                <w:rFonts w:ascii="Arial Narrow" w:hAnsi="Arial Narrow"/>
                <w:b/>
                <w:bCs/>
                <w:sz w:val="20"/>
                <w:szCs w:val="20"/>
              </w:rPr>
              <w:t>Clinical criteria:</w:t>
            </w:r>
          </w:p>
        </w:tc>
      </w:tr>
      <w:tr w:rsidR="0032505A" w:rsidRPr="009E4EB8" w14:paraId="52CAF6B2"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1A91DD19" w14:textId="2E6E6013"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68DBC96B" w14:textId="303E5D2A" w:rsidR="0032505A" w:rsidRPr="009E4EB8" w:rsidRDefault="0032505A" w:rsidP="00587FEC">
            <w:pPr>
              <w:rPr>
                <w:rFonts w:ascii="Arial Narrow" w:hAnsi="Arial Narrow"/>
                <w:sz w:val="20"/>
                <w:szCs w:val="20"/>
              </w:rPr>
            </w:pPr>
            <w:r w:rsidRPr="009E4EB8">
              <w:rPr>
                <w:rFonts w:ascii="Arial Narrow" w:hAnsi="Arial Narrow"/>
                <w:sz w:val="20"/>
                <w:szCs w:val="20"/>
              </w:rPr>
              <w:t xml:space="preserve">Patient must not be receiving concomitant PBS-subsidised treatment </w:t>
            </w:r>
            <w:proofErr w:type="gramStart"/>
            <w:r w:rsidRPr="009E4EB8">
              <w:rPr>
                <w:rFonts w:ascii="Arial Narrow" w:hAnsi="Arial Narrow"/>
                <w:sz w:val="20"/>
                <w:szCs w:val="20"/>
              </w:rPr>
              <w:t>with  any</w:t>
            </w:r>
            <w:proofErr w:type="gramEnd"/>
            <w:r w:rsidRPr="009E4EB8">
              <w:rPr>
                <w:rFonts w:ascii="Arial Narrow" w:hAnsi="Arial Narrow"/>
                <w:sz w:val="20"/>
                <w:szCs w:val="20"/>
              </w:rPr>
              <w:t xml:space="preserve"> of the following: (</w:t>
            </w:r>
            <w:proofErr w:type="spellStart"/>
            <w:r w:rsidRPr="009E4EB8">
              <w:rPr>
                <w:rFonts w:ascii="Arial Narrow" w:hAnsi="Arial Narrow"/>
                <w:sz w:val="20"/>
                <w:szCs w:val="20"/>
              </w:rPr>
              <w:t>i</w:t>
            </w:r>
            <w:proofErr w:type="spellEnd"/>
            <w:r w:rsidRPr="009E4EB8">
              <w:rPr>
                <w:rFonts w:ascii="Arial Narrow" w:hAnsi="Arial Narrow"/>
                <w:sz w:val="20"/>
                <w:szCs w:val="20"/>
              </w:rPr>
              <w:t xml:space="preserve">) </w:t>
            </w:r>
            <w:r w:rsidRPr="009E4EB8">
              <w:rPr>
                <w:rFonts w:ascii="Arial Narrow" w:hAnsi="Arial Narrow"/>
                <w:bCs/>
                <w:sz w:val="20"/>
                <w:szCs w:val="20"/>
              </w:rPr>
              <w:t>proteasome inhibitors</w:t>
            </w:r>
            <w:r w:rsidRPr="009E4EB8">
              <w:rPr>
                <w:rFonts w:ascii="Arial Narrow" w:hAnsi="Arial Narrow"/>
                <w:sz w:val="20"/>
                <w:szCs w:val="20"/>
              </w:rPr>
              <w:t xml:space="preserve">, (ii) Immunomodulators, (iii) </w:t>
            </w:r>
            <w:r w:rsidRPr="009E4EB8">
              <w:rPr>
                <w:rFonts w:ascii="Arial Narrow" w:hAnsi="Arial Narrow"/>
                <w:bCs/>
                <w:sz w:val="20"/>
                <w:szCs w:val="20"/>
              </w:rPr>
              <w:t>anti-CD38 monoclonal antibody</w:t>
            </w:r>
          </w:p>
        </w:tc>
      </w:tr>
      <w:tr w:rsidR="0032505A" w:rsidRPr="009E4EB8" w14:paraId="052AFA1D"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F66E8EC" w14:textId="5B689357"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3A0292E8"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Prescribing Instructions:</w:t>
            </w:r>
          </w:p>
          <w:p w14:paraId="0FCA9AB6"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Progressive disease is defined as at least 1 of the following:</w:t>
            </w:r>
          </w:p>
          <w:p w14:paraId="6A9DF615"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(a) at least a 25% increase and an absolute increase of at least 5 g per L in serum M protein (monoclonal protein); or</w:t>
            </w:r>
          </w:p>
          <w:p w14:paraId="48F665C9"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(b) at least a 25% increase in 24-hour urinary light chain M protein excretion, and an absolute increase of at least 200 mg per 24 hours; or</w:t>
            </w:r>
          </w:p>
          <w:p w14:paraId="2FABA7E9"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 xml:space="preserve">(c) in oligo-secretory and non-secretory myeloma patients only, at least a 50% increase in the difference between involved free light chain and uninvolved free light </w:t>
            </w:r>
            <w:proofErr w:type="gramStart"/>
            <w:r w:rsidRPr="009E4EB8">
              <w:rPr>
                <w:rFonts w:ascii="Arial Narrow" w:hAnsi="Arial Narrow"/>
                <w:sz w:val="20"/>
                <w:szCs w:val="20"/>
              </w:rPr>
              <w:t>chain;</w:t>
            </w:r>
            <w:proofErr w:type="gramEnd"/>
            <w:r w:rsidRPr="009E4EB8">
              <w:rPr>
                <w:rFonts w:ascii="Arial Narrow" w:hAnsi="Arial Narrow"/>
                <w:sz w:val="20"/>
                <w:szCs w:val="20"/>
              </w:rPr>
              <w:t xml:space="preserve"> or</w:t>
            </w:r>
          </w:p>
          <w:p w14:paraId="675571F4"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(d) at least a 25% relative increase and at least a 10% absolute increase in plasma cells in a bone marrow aspirate or on biopsy; or</w:t>
            </w:r>
          </w:p>
          <w:p w14:paraId="54019573"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(e) an increase in the size or number of lytic bone lesions (not including compression fractures); or</w:t>
            </w:r>
          </w:p>
          <w:p w14:paraId="5BCF47A0"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(f) at least a 25% increase in the size of an existing or the development of a new soft tissue plasmacytoma (determined by clinical examination or diagnostic imaging); or</w:t>
            </w:r>
          </w:p>
          <w:p w14:paraId="39FB9FB7"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(g) development of hypercalcaemia (corrected serum calcium greater than 2.65 mmol per L not attributable to any other cause).</w:t>
            </w:r>
          </w:p>
        </w:tc>
      </w:tr>
      <w:tr w:rsidR="0032505A" w:rsidRPr="009E4EB8" w14:paraId="6AEC20BC"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5CC9DAB6" w14:textId="55E953A9"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46D87074"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Prescribing Instructions:</w:t>
            </w:r>
          </w:p>
          <w:p w14:paraId="785EE109"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Oligo-secretory and non-secretory patients are defined as having active disease with less than 10 g per L serum M protein.</w:t>
            </w:r>
          </w:p>
        </w:tc>
      </w:tr>
      <w:tr w:rsidR="0032505A" w:rsidRPr="009E4EB8" w14:paraId="4619E1CC"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7FB0BFE8" w14:textId="733B592D"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3ABF31F9"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Prescribing Instructions:</w:t>
            </w:r>
          </w:p>
          <w:p w14:paraId="53ECFFB0" w14:textId="77777777" w:rsidR="0032505A" w:rsidRPr="009E4EB8" w:rsidRDefault="0032505A" w:rsidP="00D87FCE">
            <w:pPr>
              <w:rPr>
                <w:rFonts w:ascii="Arial Narrow" w:hAnsi="Arial Narrow"/>
                <w:bCs/>
                <w:sz w:val="20"/>
                <w:szCs w:val="20"/>
              </w:rPr>
            </w:pPr>
            <w:r w:rsidRPr="009E4EB8">
              <w:rPr>
                <w:rFonts w:ascii="Arial Narrow" w:hAnsi="Arial Narrow"/>
                <w:bCs/>
                <w:sz w:val="20"/>
                <w:szCs w:val="20"/>
              </w:rPr>
              <w:t>Refractory disease is defined as ≤25% response to therapy or progression during or within 60 days after completion of therapy</w:t>
            </w:r>
          </w:p>
        </w:tc>
      </w:tr>
      <w:tr w:rsidR="0032505A" w:rsidRPr="009E4EB8" w14:paraId="73D2FBEA"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9F8274C" w14:textId="46D90AEF" w:rsidR="0032505A" w:rsidRPr="009E4EB8" w:rsidRDefault="0032505A" w:rsidP="00D87FCE">
            <w:pPr>
              <w:spacing w:before="100" w:beforeAutospacing="1" w:after="100" w:afterAutospacing="1"/>
              <w:jc w:val="center"/>
              <w:rPr>
                <w:rFonts w:ascii="Arial Narrow" w:hAnsi="Arial Narrow"/>
                <w:strike/>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700886CB"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Prescribing Instructions:</w:t>
            </w:r>
          </w:p>
          <w:p w14:paraId="12280113"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A line of therapy is defined as 1 or more cycles of a planned treatment program. This may consist of 1 or more planned cycles of single-agent therapy or combination therapy, as well as a sequence of treatments administered in a planned manner.</w:t>
            </w:r>
          </w:p>
          <w:p w14:paraId="23BDFBF6" w14:textId="77777777" w:rsidR="0032505A" w:rsidRPr="009E4EB8" w:rsidRDefault="0032505A" w:rsidP="00D87FCE">
            <w:pPr>
              <w:rPr>
                <w:rFonts w:ascii="Arial Narrow" w:hAnsi="Arial Narrow"/>
                <w:sz w:val="20"/>
                <w:szCs w:val="20"/>
              </w:rPr>
            </w:pPr>
          </w:p>
          <w:p w14:paraId="4A77DFD6" w14:textId="77777777" w:rsidR="0032505A" w:rsidRPr="009E4EB8" w:rsidRDefault="0032505A" w:rsidP="00D87FCE">
            <w:pPr>
              <w:rPr>
                <w:rFonts w:ascii="Arial Narrow" w:hAnsi="Arial Narrow"/>
                <w:strike/>
                <w:sz w:val="20"/>
                <w:szCs w:val="20"/>
              </w:rPr>
            </w:pPr>
            <w:r w:rsidRPr="009E4EB8">
              <w:rPr>
                <w:rFonts w:ascii="Arial Narrow" w:hAnsi="Arial Narrow"/>
                <w:sz w:val="20"/>
                <w:szCs w:val="20"/>
              </w:rPr>
              <w:t xml:space="preserve">A new line of therapy starts when a planned course of therapy is modified to include other treatment agents (alone or in combination) </w:t>
            </w:r>
            <w:proofErr w:type="gramStart"/>
            <w:r w:rsidRPr="009E4EB8">
              <w:rPr>
                <w:rFonts w:ascii="Arial Narrow" w:hAnsi="Arial Narrow"/>
                <w:sz w:val="20"/>
                <w:szCs w:val="20"/>
              </w:rPr>
              <w:t>as a result of</w:t>
            </w:r>
            <w:proofErr w:type="gramEnd"/>
            <w:r w:rsidRPr="009E4EB8">
              <w:rPr>
                <w:rFonts w:ascii="Arial Narrow" w:hAnsi="Arial Narrow"/>
                <w:sz w:val="20"/>
                <w:szCs w:val="20"/>
              </w:rPr>
              <w:t xml:space="preserve">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r>
      <w:tr w:rsidR="0032505A" w:rsidRPr="009E4EB8" w14:paraId="3E7CD6AE"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vAlign w:val="center"/>
          </w:tcPr>
          <w:p w14:paraId="001744C9" w14:textId="0F8548C5" w:rsidR="0032505A" w:rsidRPr="009E4EB8" w:rsidRDefault="0032505A" w:rsidP="00D87FCE">
            <w:pPr>
              <w:jc w:val="center"/>
              <w:rPr>
                <w:rFonts w:ascii="Arial Narrow" w:hAnsi="Arial Narrow"/>
                <w:sz w:val="20"/>
                <w:szCs w:val="20"/>
              </w:rPr>
            </w:pPr>
          </w:p>
        </w:tc>
        <w:tc>
          <w:tcPr>
            <w:tcW w:w="7654" w:type="dxa"/>
            <w:gridSpan w:val="6"/>
            <w:vAlign w:val="center"/>
          </w:tcPr>
          <w:p w14:paraId="17B68167" w14:textId="77777777" w:rsidR="0032505A" w:rsidRPr="009E4EB8" w:rsidRDefault="0032505A" w:rsidP="00D87FCE">
            <w:pPr>
              <w:pStyle w:val="NormalWeb"/>
              <w:spacing w:before="0" w:after="0"/>
              <w:rPr>
                <w:rFonts w:ascii="Arial Narrow" w:hAnsi="Arial Narrow"/>
                <w:sz w:val="20"/>
                <w:szCs w:val="20"/>
                <w:lang w:val="en-AU"/>
              </w:rPr>
            </w:pPr>
            <w:r w:rsidRPr="009E4EB8">
              <w:rPr>
                <w:rStyle w:val="Strong"/>
                <w:rFonts w:ascii="Arial Narrow" w:hAnsi="Arial Narrow"/>
                <w:sz w:val="20"/>
                <w:szCs w:val="20"/>
                <w:lang w:val="en-AU"/>
              </w:rPr>
              <w:t>Administrative Advice:</w:t>
            </w:r>
          </w:p>
          <w:p w14:paraId="4F8F109A" w14:textId="77777777" w:rsidR="0032505A" w:rsidRPr="009E4EB8" w:rsidRDefault="0032505A" w:rsidP="00D87FCE">
            <w:pPr>
              <w:rPr>
                <w:rFonts w:ascii="Arial Narrow" w:hAnsi="Arial Narrow"/>
                <w:bCs/>
                <w:sz w:val="20"/>
                <w:szCs w:val="20"/>
              </w:rPr>
            </w:pPr>
            <w:r w:rsidRPr="009E4EB8">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32505A" w:rsidRPr="009E4EB8" w14:paraId="27C6756D"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tcPr>
          <w:p w14:paraId="5644A6B4" w14:textId="07456E29" w:rsidR="0032505A" w:rsidRPr="009E4EB8" w:rsidRDefault="0032505A" w:rsidP="00D87FCE">
            <w:pPr>
              <w:jc w:val="center"/>
              <w:rPr>
                <w:rFonts w:ascii="Arial Narrow" w:hAnsi="Arial Narrow"/>
                <w:sz w:val="20"/>
                <w:szCs w:val="20"/>
              </w:rPr>
            </w:pPr>
          </w:p>
        </w:tc>
        <w:tc>
          <w:tcPr>
            <w:tcW w:w="7654" w:type="dxa"/>
            <w:gridSpan w:val="6"/>
          </w:tcPr>
          <w:p w14:paraId="22BC2AE6" w14:textId="25FD06FA" w:rsidR="0032505A" w:rsidRPr="009E4EB8" w:rsidRDefault="0032505A" w:rsidP="0032505A">
            <w:pPr>
              <w:pStyle w:val="NormalWeb"/>
              <w:spacing w:before="0" w:after="0"/>
              <w:rPr>
                <w:rStyle w:val="Strong"/>
                <w:rFonts w:ascii="Arial Narrow" w:hAnsi="Arial Narrow"/>
                <w:sz w:val="20"/>
                <w:szCs w:val="20"/>
                <w:lang w:val="en-AU"/>
              </w:rPr>
            </w:pPr>
            <w:r w:rsidRPr="009E4EB8">
              <w:rPr>
                <w:rFonts w:ascii="Arial Narrow" w:hAnsi="Arial Narrow" w:cstheme="minorHAnsi"/>
                <w:b/>
                <w:sz w:val="20"/>
                <w:szCs w:val="20"/>
                <w:lang w:val="en-AU"/>
              </w:rPr>
              <w:t xml:space="preserve">Caution: </w:t>
            </w:r>
            <w:r w:rsidRPr="009E4EB8">
              <w:rPr>
                <w:rFonts w:ascii="Arial Narrow" w:hAnsi="Arial Narrow" w:cstheme="minorHAnsi"/>
                <w:sz w:val="20"/>
                <w:szCs w:val="20"/>
                <w:lang w:val="en-AU"/>
              </w:rPr>
              <w:t>This drug is a category D drug and must not be given to pregnant women. If selinexor is taken during pregnancy, a teratogenic effect of selinexor in humans cannot be ruled out.</w:t>
            </w:r>
          </w:p>
        </w:tc>
      </w:tr>
      <w:tr w:rsidR="0032505A" w:rsidRPr="009E4EB8" w14:paraId="4EE563E9" w14:textId="77777777" w:rsidTr="00D87FCE">
        <w:tblPrEx>
          <w:tblCellMar>
            <w:top w:w="15" w:type="dxa"/>
            <w:left w:w="15" w:type="dxa"/>
            <w:bottom w:w="15" w:type="dxa"/>
            <w:right w:w="15" w:type="dxa"/>
          </w:tblCellMar>
          <w:tblLook w:val="04A0" w:firstRow="1" w:lastRow="0" w:firstColumn="1" w:lastColumn="0" w:noHBand="0" w:noVBand="1"/>
        </w:tblPrEx>
        <w:tc>
          <w:tcPr>
            <w:tcW w:w="9072" w:type="dxa"/>
            <w:gridSpan w:val="8"/>
            <w:vAlign w:val="center"/>
          </w:tcPr>
          <w:p w14:paraId="03938F19" w14:textId="77777777" w:rsidR="0032505A" w:rsidRPr="009E4EB8" w:rsidRDefault="0032505A" w:rsidP="00D87FCE">
            <w:pPr>
              <w:rPr>
                <w:rFonts w:ascii="Arial Narrow" w:hAnsi="Arial Narrow"/>
                <w:bCs/>
                <w:sz w:val="20"/>
                <w:szCs w:val="20"/>
              </w:rPr>
            </w:pPr>
          </w:p>
        </w:tc>
      </w:tr>
      <w:tr w:rsidR="0032505A" w:rsidRPr="009E4EB8" w14:paraId="3A8FC38F" w14:textId="77777777" w:rsidTr="00D87FCE">
        <w:tblPrEx>
          <w:tblCellMar>
            <w:top w:w="15" w:type="dxa"/>
            <w:left w:w="15" w:type="dxa"/>
            <w:bottom w:w="15" w:type="dxa"/>
            <w:right w:w="15" w:type="dxa"/>
          </w:tblCellMar>
          <w:tblLook w:val="04A0" w:firstRow="1" w:lastRow="0" w:firstColumn="1" w:lastColumn="0" w:noHBand="0" w:noVBand="1"/>
        </w:tblPrEx>
        <w:tc>
          <w:tcPr>
            <w:tcW w:w="9072" w:type="dxa"/>
            <w:gridSpan w:val="8"/>
            <w:vAlign w:val="center"/>
          </w:tcPr>
          <w:p w14:paraId="5136B377" w14:textId="77777777" w:rsidR="0032505A" w:rsidRPr="009E4EB8" w:rsidRDefault="0032505A" w:rsidP="00D87FCE">
            <w:pPr>
              <w:rPr>
                <w:rFonts w:ascii="Arial Narrow" w:hAnsi="Arial Narrow"/>
                <w:b/>
                <w:bCs/>
                <w:sz w:val="20"/>
                <w:szCs w:val="20"/>
              </w:rPr>
            </w:pPr>
            <w:r w:rsidRPr="009E4EB8">
              <w:rPr>
                <w:rFonts w:ascii="Arial Narrow" w:hAnsi="Arial Narrow"/>
                <w:b/>
                <w:bCs/>
                <w:sz w:val="20"/>
                <w:szCs w:val="20"/>
              </w:rPr>
              <w:t>Restriction Summary [new] / Treatment of Concept: [new]</w:t>
            </w:r>
          </w:p>
        </w:tc>
      </w:tr>
      <w:tr w:rsidR="0032505A" w:rsidRPr="009E4EB8" w14:paraId="21BE6BAE"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vMerge w:val="restart"/>
            <w:tcBorders>
              <w:top w:val="single" w:sz="4" w:space="0" w:color="auto"/>
              <w:left w:val="single" w:sz="4" w:space="0" w:color="auto"/>
              <w:right w:val="single" w:sz="4" w:space="0" w:color="auto"/>
            </w:tcBorders>
          </w:tcPr>
          <w:p w14:paraId="66409FCF" w14:textId="77777777" w:rsidR="0032505A" w:rsidRPr="009E4EB8" w:rsidRDefault="0032505A" w:rsidP="00730AE6">
            <w:pPr>
              <w:jc w:val="center"/>
              <w:rPr>
                <w:rFonts w:ascii="Arial Narrow" w:hAnsi="Arial Narrow"/>
                <w:b/>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583FC6E7" w14:textId="77777777" w:rsidR="0032505A" w:rsidRPr="009E4EB8" w:rsidRDefault="0032505A" w:rsidP="00D87FCE">
            <w:pPr>
              <w:rPr>
                <w:rFonts w:ascii="Arial Narrow" w:hAnsi="Arial Narrow"/>
                <w:sz w:val="20"/>
                <w:szCs w:val="20"/>
              </w:rPr>
            </w:pPr>
            <w:r w:rsidRPr="009E4EB8">
              <w:rPr>
                <w:rFonts w:ascii="Arial Narrow" w:hAnsi="Arial Narrow"/>
                <w:b/>
                <w:sz w:val="20"/>
                <w:szCs w:val="20"/>
              </w:rPr>
              <w:t xml:space="preserve">Category / Program:   </w:t>
            </w:r>
            <w:r w:rsidRPr="009E4EB8">
              <w:rPr>
                <w:rFonts w:ascii="Arial Narrow" w:hAnsi="Arial Narrow"/>
                <w:sz w:val="20"/>
                <w:szCs w:val="20"/>
              </w:rPr>
              <w:t>Section 100 – Highly Specialised Drugs Program</w:t>
            </w:r>
          </w:p>
        </w:tc>
      </w:tr>
      <w:tr w:rsidR="0032505A" w:rsidRPr="009E4EB8" w14:paraId="39D78869" w14:textId="77777777" w:rsidTr="00D87FCE">
        <w:tblPrEx>
          <w:tblCellMar>
            <w:top w:w="15" w:type="dxa"/>
            <w:left w:w="15" w:type="dxa"/>
            <w:bottom w:w="15" w:type="dxa"/>
            <w:right w:w="15" w:type="dxa"/>
          </w:tblCellMar>
          <w:tblLook w:val="04A0" w:firstRow="1" w:lastRow="0" w:firstColumn="1" w:lastColumn="0" w:noHBand="0" w:noVBand="1"/>
        </w:tblPrEx>
        <w:trPr>
          <w:trHeight w:val="240"/>
        </w:trPr>
        <w:tc>
          <w:tcPr>
            <w:tcW w:w="1418" w:type="dxa"/>
            <w:gridSpan w:val="2"/>
            <w:vMerge/>
            <w:tcBorders>
              <w:left w:val="single" w:sz="4" w:space="0" w:color="auto"/>
              <w:right w:val="single" w:sz="4" w:space="0" w:color="auto"/>
            </w:tcBorders>
          </w:tcPr>
          <w:p w14:paraId="2135AAEF" w14:textId="77777777" w:rsidR="0032505A" w:rsidRPr="009E4EB8" w:rsidRDefault="0032505A" w:rsidP="00D87FCE">
            <w:pP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22EB598F" w14:textId="77777777" w:rsidR="0032505A" w:rsidRPr="009E4EB8" w:rsidRDefault="0032505A" w:rsidP="00D87FCE">
            <w:pPr>
              <w:rPr>
                <w:rFonts w:ascii="Arial Narrow" w:hAnsi="Arial Narrow"/>
                <w:b/>
                <w:sz w:val="20"/>
                <w:szCs w:val="20"/>
              </w:rPr>
            </w:pPr>
            <w:r w:rsidRPr="009E4EB8">
              <w:rPr>
                <w:rFonts w:ascii="Arial Narrow" w:hAnsi="Arial Narrow"/>
                <w:b/>
                <w:sz w:val="20"/>
                <w:szCs w:val="20"/>
              </w:rPr>
              <w:t xml:space="preserve">Prescriber type: </w:t>
            </w:r>
            <w:r w:rsidRPr="009E4EB8">
              <w:rPr>
                <w:rFonts w:ascii="Arial Narrow" w:hAnsi="Arial Narrow"/>
                <w:sz w:val="20"/>
                <w:szCs w:val="20"/>
              </w:rPr>
              <w:fldChar w:fldCharType="begin">
                <w:ffData>
                  <w:name w:val=""/>
                  <w:enabled/>
                  <w:calcOnExit w:val="0"/>
                  <w:checkBox>
                    <w:sizeAuto/>
                    <w:default w:val="1"/>
                  </w:checkBox>
                </w:ffData>
              </w:fldChar>
            </w:r>
            <w:r w:rsidRPr="009E4EB8">
              <w:rPr>
                <w:rFonts w:ascii="Arial Narrow" w:hAnsi="Arial Narrow"/>
                <w:sz w:val="20"/>
                <w:szCs w:val="20"/>
              </w:rPr>
              <w:instrText xml:space="preserve"> FORMCHECKBOX </w:instrText>
            </w:r>
            <w:r w:rsidR="00964E38">
              <w:rPr>
                <w:rFonts w:ascii="Arial Narrow" w:hAnsi="Arial Narrow"/>
                <w:sz w:val="20"/>
                <w:szCs w:val="20"/>
              </w:rPr>
            </w:r>
            <w:r w:rsidR="00964E38">
              <w:rPr>
                <w:rFonts w:ascii="Arial Narrow" w:hAnsi="Arial Narrow"/>
                <w:sz w:val="20"/>
                <w:szCs w:val="20"/>
              </w:rPr>
              <w:fldChar w:fldCharType="separate"/>
            </w:r>
            <w:r w:rsidRPr="009E4EB8">
              <w:rPr>
                <w:rFonts w:ascii="Arial Narrow" w:hAnsi="Arial Narrow"/>
                <w:sz w:val="20"/>
                <w:szCs w:val="20"/>
              </w:rPr>
              <w:fldChar w:fldCharType="end"/>
            </w:r>
            <w:r w:rsidRPr="009E4EB8">
              <w:rPr>
                <w:rFonts w:ascii="Arial Narrow" w:hAnsi="Arial Narrow"/>
                <w:sz w:val="20"/>
                <w:szCs w:val="20"/>
              </w:rPr>
              <w:t>Medical Practitioners</w:t>
            </w:r>
          </w:p>
        </w:tc>
      </w:tr>
      <w:tr w:rsidR="0032505A" w:rsidRPr="009E4EB8" w14:paraId="7CCBC13E" w14:textId="77777777" w:rsidTr="00D87FCE">
        <w:tblPrEx>
          <w:tblCellMar>
            <w:top w:w="15" w:type="dxa"/>
            <w:left w:w="15" w:type="dxa"/>
            <w:bottom w:w="15" w:type="dxa"/>
            <w:right w:w="15" w:type="dxa"/>
          </w:tblCellMar>
          <w:tblLook w:val="04A0" w:firstRow="1" w:lastRow="0" w:firstColumn="1" w:lastColumn="0" w:noHBand="0" w:noVBand="1"/>
        </w:tblPrEx>
        <w:trPr>
          <w:trHeight w:val="439"/>
        </w:trPr>
        <w:tc>
          <w:tcPr>
            <w:tcW w:w="1418" w:type="dxa"/>
            <w:gridSpan w:val="2"/>
            <w:vMerge/>
            <w:tcBorders>
              <w:left w:val="single" w:sz="4" w:space="0" w:color="auto"/>
              <w:bottom w:val="single" w:sz="4" w:space="0" w:color="auto"/>
              <w:right w:val="single" w:sz="4" w:space="0" w:color="auto"/>
            </w:tcBorders>
          </w:tcPr>
          <w:p w14:paraId="1C98E63C" w14:textId="77777777" w:rsidR="0032505A" w:rsidRPr="009E4EB8" w:rsidRDefault="0032505A" w:rsidP="00D87FCE">
            <w:pP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30C54737" w14:textId="77777777" w:rsidR="0032505A" w:rsidRPr="009E4EB8" w:rsidRDefault="0032505A" w:rsidP="00D87FCE">
            <w:pPr>
              <w:rPr>
                <w:rFonts w:ascii="Arial Narrow" w:hAnsi="Arial Narrow" w:cstheme="minorHAnsi"/>
                <w:b/>
                <w:sz w:val="20"/>
                <w:szCs w:val="20"/>
              </w:rPr>
            </w:pPr>
            <w:r w:rsidRPr="009E4EB8">
              <w:rPr>
                <w:rFonts w:ascii="Arial Narrow" w:hAnsi="Arial Narrow" w:cstheme="minorHAnsi"/>
                <w:b/>
                <w:sz w:val="20"/>
                <w:szCs w:val="20"/>
              </w:rPr>
              <w:t>Restriction type:</w:t>
            </w:r>
          </w:p>
          <w:p w14:paraId="1B49E465" w14:textId="77777777" w:rsidR="0032505A" w:rsidRPr="009E4EB8" w:rsidRDefault="0032505A" w:rsidP="00D87FCE">
            <w:pPr>
              <w:rPr>
                <w:rFonts w:ascii="Arial Narrow" w:eastAsia="Calibri" w:hAnsi="Arial Narrow"/>
                <w:sz w:val="20"/>
                <w:szCs w:val="20"/>
              </w:rPr>
            </w:pPr>
            <w:r w:rsidRPr="009E4EB8">
              <w:rPr>
                <w:rFonts w:ascii="Arial Narrow" w:hAnsi="Arial Narrow"/>
                <w:bCs/>
                <w:sz w:val="20"/>
                <w:szCs w:val="20"/>
              </w:rPr>
              <w:fldChar w:fldCharType="begin">
                <w:ffData>
                  <w:name w:val="Check3"/>
                  <w:enabled/>
                  <w:calcOnExit w:val="0"/>
                  <w:checkBox>
                    <w:sizeAuto/>
                    <w:default w:val="1"/>
                  </w:checkBox>
                </w:ffData>
              </w:fldChar>
            </w:r>
            <w:r w:rsidRPr="009E4EB8">
              <w:rPr>
                <w:rFonts w:ascii="Arial Narrow" w:hAnsi="Arial Narrow"/>
                <w:bCs/>
                <w:sz w:val="20"/>
                <w:szCs w:val="20"/>
              </w:rPr>
              <w:instrText xml:space="preserve"> FORMCHECKBOX </w:instrText>
            </w:r>
            <w:r w:rsidR="00964E38">
              <w:rPr>
                <w:rFonts w:ascii="Arial Narrow" w:hAnsi="Arial Narrow"/>
                <w:bCs/>
                <w:sz w:val="20"/>
                <w:szCs w:val="20"/>
              </w:rPr>
            </w:r>
            <w:r w:rsidR="00964E38">
              <w:rPr>
                <w:rFonts w:ascii="Arial Narrow" w:hAnsi="Arial Narrow"/>
                <w:bCs/>
                <w:sz w:val="20"/>
                <w:szCs w:val="20"/>
              </w:rPr>
              <w:fldChar w:fldCharType="separate"/>
            </w:r>
            <w:r w:rsidRPr="009E4EB8">
              <w:rPr>
                <w:rFonts w:ascii="Arial Narrow" w:hAnsi="Arial Narrow"/>
                <w:bCs/>
                <w:sz w:val="20"/>
                <w:szCs w:val="20"/>
              </w:rPr>
              <w:fldChar w:fldCharType="end"/>
            </w:r>
            <w:r w:rsidRPr="009E4EB8">
              <w:rPr>
                <w:rFonts w:ascii="Arial Narrow" w:hAnsi="Arial Narrow"/>
                <w:bCs/>
                <w:sz w:val="20"/>
                <w:szCs w:val="20"/>
              </w:rPr>
              <w:t xml:space="preserve"> </w:t>
            </w:r>
            <w:r w:rsidRPr="009E4EB8">
              <w:rPr>
                <w:rFonts w:ascii="Arial Narrow" w:hAnsi="Arial Narrow" w:cstheme="minorHAnsi"/>
                <w:sz w:val="20"/>
                <w:szCs w:val="20"/>
              </w:rPr>
              <w:t>Authority Required – immediate/real-time assessment by Services Australia (telephone/electronic)</w:t>
            </w:r>
          </w:p>
        </w:tc>
      </w:tr>
      <w:tr w:rsidR="0032505A" w:rsidRPr="009E4EB8" w14:paraId="206064A3"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vAlign w:val="center"/>
          </w:tcPr>
          <w:p w14:paraId="2FC15D76" w14:textId="77777777" w:rsidR="0032505A" w:rsidRPr="009E4EB8" w:rsidRDefault="0032505A" w:rsidP="00D87FCE">
            <w:pPr>
              <w:jc w:val="center"/>
              <w:rPr>
                <w:rFonts w:ascii="Arial Narrow" w:hAnsi="Arial Narrow"/>
                <w:sz w:val="20"/>
                <w:szCs w:val="20"/>
              </w:rPr>
            </w:pPr>
          </w:p>
        </w:tc>
        <w:tc>
          <w:tcPr>
            <w:tcW w:w="7654" w:type="dxa"/>
            <w:gridSpan w:val="6"/>
          </w:tcPr>
          <w:p w14:paraId="282B4E1D" w14:textId="77777777" w:rsidR="0032505A" w:rsidRPr="009E4EB8" w:rsidRDefault="0032505A" w:rsidP="00D87FCE">
            <w:pPr>
              <w:rPr>
                <w:rFonts w:ascii="Arial Narrow" w:hAnsi="Arial Narrow"/>
                <w:b/>
                <w:bCs/>
                <w:sz w:val="20"/>
                <w:szCs w:val="20"/>
              </w:rPr>
            </w:pPr>
            <w:proofErr w:type="spellStart"/>
            <w:r w:rsidRPr="009E4EB8">
              <w:rPr>
                <w:rFonts w:ascii="Arial Narrow" w:hAnsi="Arial Narrow" w:cstheme="minorHAnsi"/>
                <w:b/>
                <w:sz w:val="20"/>
                <w:szCs w:val="20"/>
              </w:rPr>
              <w:t>Episodicity</w:t>
            </w:r>
            <w:proofErr w:type="spellEnd"/>
            <w:r w:rsidRPr="009E4EB8">
              <w:rPr>
                <w:rFonts w:ascii="Arial Narrow" w:hAnsi="Arial Narrow" w:cstheme="minorHAnsi"/>
                <w:b/>
                <w:sz w:val="20"/>
                <w:szCs w:val="20"/>
              </w:rPr>
              <w:t xml:space="preserve">: </w:t>
            </w:r>
            <w:r w:rsidRPr="009E4EB8">
              <w:rPr>
                <w:rFonts w:ascii="Arial Narrow" w:hAnsi="Arial Narrow" w:cstheme="minorHAnsi"/>
                <w:sz w:val="20"/>
                <w:szCs w:val="20"/>
              </w:rPr>
              <w:t>Relapsed and/or refractory</w:t>
            </w:r>
          </w:p>
        </w:tc>
      </w:tr>
      <w:tr w:rsidR="0032505A" w:rsidRPr="009E4EB8" w14:paraId="248974C2"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vAlign w:val="center"/>
          </w:tcPr>
          <w:p w14:paraId="2D017A3D" w14:textId="77777777" w:rsidR="0032505A" w:rsidRPr="009E4EB8" w:rsidRDefault="0032505A" w:rsidP="00D87FCE">
            <w:pPr>
              <w:jc w:val="center"/>
              <w:rPr>
                <w:rFonts w:ascii="Arial Narrow" w:hAnsi="Arial Narrow"/>
                <w:sz w:val="20"/>
                <w:szCs w:val="20"/>
              </w:rPr>
            </w:pPr>
          </w:p>
        </w:tc>
        <w:tc>
          <w:tcPr>
            <w:tcW w:w="7654" w:type="dxa"/>
            <w:gridSpan w:val="6"/>
          </w:tcPr>
          <w:p w14:paraId="2CBB3267" w14:textId="77777777" w:rsidR="0032505A" w:rsidRPr="009E4EB8" w:rsidRDefault="0032505A" w:rsidP="00D87FCE">
            <w:pPr>
              <w:rPr>
                <w:rFonts w:ascii="Arial Narrow" w:hAnsi="Arial Narrow"/>
                <w:b/>
                <w:bCs/>
                <w:sz w:val="20"/>
                <w:szCs w:val="20"/>
              </w:rPr>
            </w:pPr>
            <w:r w:rsidRPr="009E4EB8">
              <w:rPr>
                <w:rFonts w:ascii="Arial Narrow" w:hAnsi="Arial Narrow" w:cstheme="minorHAnsi"/>
                <w:b/>
                <w:sz w:val="20"/>
                <w:szCs w:val="20"/>
              </w:rPr>
              <w:t xml:space="preserve">Severity: </w:t>
            </w:r>
            <w:r w:rsidRPr="009E4EB8">
              <w:rPr>
                <w:rFonts w:ascii="Arial Narrow" w:hAnsi="Arial Narrow" w:cstheme="minorHAnsi"/>
                <w:sz w:val="20"/>
                <w:szCs w:val="20"/>
              </w:rPr>
              <w:t>[blank]</w:t>
            </w:r>
          </w:p>
        </w:tc>
      </w:tr>
      <w:tr w:rsidR="0032505A" w:rsidRPr="009E4EB8" w14:paraId="48444FF2"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vAlign w:val="center"/>
          </w:tcPr>
          <w:p w14:paraId="4850FA10" w14:textId="77777777" w:rsidR="0032505A" w:rsidRPr="009E4EB8" w:rsidRDefault="0032505A" w:rsidP="00D87FCE">
            <w:pPr>
              <w:jc w:val="center"/>
              <w:rPr>
                <w:rFonts w:ascii="Arial Narrow" w:hAnsi="Arial Narrow"/>
                <w:sz w:val="20"/>
                <w:szCs w:val="20"/>
              </w:rPr>
            </w:pPr>
          </w:p>
        </w:tc>
        <w:tc>
          <w:tcPr>
            <w:tcW w:w="7654" w:type="dxa"/>
            <w:gridSpan w:val="6"/>
          </w:tcPr>
          <w:p w14:paraId="65960B81" w14:textId="77777777" w:rsidR="0032505A" w:rsidRPr="009E4EB8" w:rsidRDefault="0032505A" w:rsidP="00D87FCE">
            <w:pPr>
              <w:rPr>
                <w:rFonts w:ascii="Arial Narrow" w:hAnsi="Arial Narrow"/>
                <w:b/>
                <w:bCs/>
                <w:sz w:val="20"/>
                <w:szCs w:val="20"/>
              </w:rPr>
            </w:pPr>
            <w:r w:rsidRPr="009E4EB8">
              <w:rPr>
                <w:rFonts w:ascii="Arial Narrow" w:hAnsi="Arial Narrow" w:cstheme="minorHAnsi"/>
                <w:b/>
                <w:sz w:val="20"/>
                <w:szCs w:val="20"/>
              </w:rPr>
              <w:t xml:space="preserve">Condition: </w:t>
            </w:r>
            <w:r w:rsidRPr="009E4EB8">
              <w:rPr>
                <w:rFonts w:ascii="Arial Narrow" w:hAnsi="Arial Narrow" w:cstheme="minorHAnsi"/>
                <w:sz w:val="20"/>
                <w:szCs w:val="20"/>
              </w:rPr>
              <w:t>Multiple myeloma</w:t>
            </w:r>
          </w:p>
        </w:tc>
      </w:tr>
      <w:tr w:rsidR="0032505A" w:rsidRPr="009E4EB8" w14:paraId="01CDECEF" w14:textId="77777777" w:rsidTr="00E70651">
        <w:tblPrEx>
          <w:tblCellMar>
            <w:top w:w="15" w:type="dxa"/>
            <w:left w:w="15" w:type="dxa"/>
            <w:bottom w:w="15" w:type="dxa"/>
            <w:right w:w="15" w:type="dxa"/>
          </w:tblCellMar>
          <w:tblLook w:val="04A0" w:firstRow="1" w:lastRow="0" w:firstColumn="1" w:lastColumn="0" w:noHBand="0" w:noVBand="1"/>
        </w:tblPrEx>
        <w:tc>
          <w:tcPr>
            <w:tcW w:w="1418" w:type="dxa"/>
            <w:gridSpan w:val="2"/>
            <w:vAlign w:val="center"/>
          </w:tcPr>
          <w:p w14:paraId="7FBBC8F5" w14:textId="0D9FBE0A" w:rsidR="0032505A" w:rsidRPr="009E4EB8" w:rsidRDefault="0032505A" w:rsidP="00D87FCE">
            <w:pPr>
              <w:jc w:val="center"/>
              <w:rPr>
                <w:rFonts w:ascii="Arial Narrow" w:hAnsi="Arial Narrow"/>
                <w:sz w:val="20"/>
                <w:szCs w:val="20"/>
              </w:rPr>
            </w:pPr>
          </w:p>
        </w:tc>
        <w:tc>
          <w:tcPr>
            <w:tcW w:w="7654" w:type="dxa"/>
            <w:gridSpan w:val="6"/>
            <w:vAlign w:val="center"/>
            <w:hideMark/>
          </w:tcPr>
          <w:p w14:paraId="62195B3C"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Indication:</w:t>
            </w:r>
            <w:r w:rsidRPr="009E4EB8">
              <w:rPr>
                <w:rFonts w:ascii="Arial Narrow" w:hAnsi="Arial Narrow"/>
                <w:sz w:val="20"/>
                <w:szCs w:val="20"/>
              </w:rPr>
              <w:t xml:space="preserve"> Relapsed and/or refractory multiple myeloma</w:t>
            </w:r>
          </w:p>
        </w:tc>
      </w:tr>
      <w:tr w:rsidR="0032505A" w:rsidRPr="009E4EB8" w14:paraId="0CC57CD3" w14:textId="77777777" w:rsidTr="00E70651">
        <w:tblPrEx>
          <w:tblCellMar>
            <w:top w:w="15" w:type="dxa"/>
            <w:left w:w="15" w:type="dxa"/>
            <w:bottom w:w="15" w:type="dxa"/>
            <w:right w:w="15" w:type="dxa"/>
          </w:tblCellMar>
          <w:tblLook w:val="04A0" w:firstRow="1" w:lastRow="0" w:firstColumn="1" w:lastColumn="0" w:noHBand="0" w:noVBand="1"/>
        </w:tblPrEx>
        <w:tc>
          <w:tcPr>
            <w:tcW w:w="1418" w:type="dxa"/>
            <w:gridSpan w:val="2"/>
            <w:tcBorders>
              <w:bottom w:val="single" w:sz="4" w:space="0" w:color="auto"/>
            </w:tcBorders>
            <w:vAlign w:val="center"/>
          </w:tcPr>
          <w:p w14:paraId="54074206" w14:textId="77777777" w:rsidR="0032505A" w:rsidRPr="009E4EB8" w:rsidRDefault="0032505A" w:rsidP="00D87FCE">
            <w:pPr>
              <w:jc w:val="center"/>
              <w:rPr>
                <w:rFonts w:ascii="Arial Narrow" w:hAnsi="Arial Narrow"/>
                <w:sz w:val="20"/>
                <w:szCs w:val="20"/>
              </w:rPr>
            </w:pPr>
          </w:p>
        </w:tc>
        <w:tc>
          <w:tcPr>
            <w:tcW w:w="7654" w:type="dxa"/>
            <w:gridSpan w:val="6"/>
            <w:tcBorders>
              <w:bottom w:val="single" w:sz="4" w:space="0" w:color="auto"/>
            </w:tcBorders>
            <w:vAlign w:val="center"/>
            <w:hideMark/>
          </w:tcPr>
          <w:p w14:paraId="357CB8AC"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Treatment Phase:</w:t>
            </w:r>
            <w:r w:rsidRPr="009E4EB8">
              <w:rPr>
                <w:rFonts w:ascii="Arial Narrow" w:hAnsi="Arial Narrow"/>
                <w:sz w:val="20"/>
                <w:szCs w:val="20"/>
              </w:rPr>
              <w:t xml:space="preserve"> Continuing treatment  </w:t>
            </w:r>
          </w:p>
        </w:tc>
      </w:tr>
      <w:tr w:rsidR="0032505A" w:rsidRPr="009E4EB8" w14:paraId="32553963"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0F525211" w14:textId="444A4060"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64231E7B" w14:textId="77777777" w:rsidR="0032505A" w:rsidRPr="009E4EB8" w:rsidRDefault="0032505A" w:rsidP="00D87FCE">
            <w:pPr>
              <w:spacing w:before="100" w:beforeAutospacing="1" w:after="100" w:afterAutospacing="1"/>
              <w:rPr>
                <w:rFonts w:ascii="Arial Narrow" w:hAnsi="Arial Narrow"/>
                <w:sz w:val="20"/>
                <w:szCs w:val="20"/>
              </w:rPr>
            </w:pPr>
            <w:r w:rsidRPr="009E4EB8">
              <w:rPr>
                <w:rFonts w:ascii="Arial Narrow" w:hAnsi="Arial Narrow"/>
                <w:b/>
                <w:bCs/>
                <w:sz w:val="20"/>
                <w:szCs w:val="20"/>
              </w:rPr>
              <w:t>Clinical criteria:</w:t>
            </w:r>
          </w:p>
        </w:tc>
      </w:tr>
      <w:tr w:rsidR="0032505A" w:rsidRPr="009E4EB8" w14:paraId="5CDB419E"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0A87699A" w14:textId="6F948C4C"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07EAFC3C" w14:textId="6C8E6AF6" w:rsidR="0032505A" w:rsidRPr="009E4EB8" w:rsidRDefault="0032505A" w:rsidP="00587FEC">
            <w:pPr>
              <w:rPr>
                <w:rFonts w:ascii="Arial Narrow" w:hAnsi="Arial Narrow"/>
                <w:sz w:val="20"/>
                <w:szCs w:val="20"/>
              </w:rPr>
            </w:pPr>
            <w:r w:rsidRPr="009E4EB8">
              <w:rPr>
                <w:rFonts w:ascii="Arial Narrow" w:hAnsi="Arial Narrow"/>
                <w:sz w:val="20"/>
                <w:szCs w:val="20"/>
              </w:rPr>
              <w:t>Patient must have previously received PBS-subsidised treatment with this drug for this condition</w:t>
            </w:r>
          </w:p>
        </w:tc>
      </w:tr>
      <w:tr w:rsidR="0032505A" w:rsidRPr="009E4EB8" w14:paraId="765049BA"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2713099" w14:textId="77777777"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2B62547F" w14:textId="77777777" w:rsidR="0032505A" w:rsidRPr="009E4EB8" w:rsidRDefault="0032505A" w:rsidP="00D87FCE">
            <w:pPr>
              <w:rPr>
                <w:rFonts w:ascii="Arial Narrow" w:hAnsi="Arial Narrow"/>
                <w:b/>
                <w:sz w:val="20"/>
                <w:szCs w:val="20"/>
              </w:rPr>
            </w:pPr>
            <w:r w:rsidRPr="009E4EB8">
              <w:rPr>
                <w:rFonts w:ascii="Arial Narrow" w:hAnsi="Arial Narrow"/>
                <w:b/>
                <w:sz w:val="20"/>
                <w:szCs w:val="20"/>
              </w:rPr>
              <w:t>AND</w:t>
            </w:r>
          </w:p>
        </w:tc>
      </w:tr>
      <w:tr w:rsidR="0032505A" w:rsidRPr="009E4EB8" w14:paraId="5F194CE9"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01294A41" w14:textId="30D72F41"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28123F76" w14:textId="77777777" w:rsidR="0032505A" w:rsidRPr="009E4EB8" w:rsidRDefault="0032505A" w:rsidP="00D87FCE">
            <w:pPr>
              <w:spacing w:before="100" w:beforeAutospacing="1" w:after="100" w:afterAutospacing="1"/>
              <w:rPr>
                <w:rFonts w:ascii="Arial Narrow" w:hAnsi="Arial Narrow"/>
                <w:sz w:val="20"/>
                <w:szCs w:val="20"/>
              </w:rPr>
            </w:pPr>
            <w:r w:rsidRPr="009E4EB8">
              <w:rPr>
                <w:rFonts w:ascii="Arial Narrow" w:hAnsi="Arial Narrow"/>
                <w:b/>
                <w:bCs/>
                <w:sz w:val="20"/>
                <w:szCs w:val="20"/>
              </w:rPr>
              <w:t>Clinical criteria:</w:t>
            </w:r>
          </w:p>
        </w:tc>
      </w:tr>
      <w:tr w:rsidR="0032505A" w:rsidRPr="009E4EB8" w14:paraId="23B5E8F4"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8A87114" w14:textId="4A3C9CF7"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2106FA1D"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The treatment must be in combination with dexamethasone</w:t>
            </w:r>
          </w:p>
        </w:tc>
      </w:tr>
      <w:tr w:rsidR="0032505A" w:rsidRPr="009E4EB8" w14:paraId="202BA744"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14B697E2" w14:textId="77777777"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3BED7844"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AND</w:t>
            </w:r>
          </w:p>
        </w:tc>
      </w:tr>
      <w:tr w:rsidR="0032505A" w:rsidRPr="009E4EB8" w14:paraId="5A5CBD17"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5BC9805" w14:textId="125E8D18"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6F20DA1F" w14:textId="77777777" w:rsidR="0032505A" w:rsidRPr="009E4EB8" w:rsidRDefault="0032505A" w:rsidP="00D87FCE">
            <w:pPr>
              <w:spacing w:before="100" w:beforeAutospacing="1" w:after="100" w:afterAutospacing="1"/>
              <w:rPr>
                <w:rFonts w:ascii="Arial Narrow" w:hAnsi="Arial Narrow"/>
                <w:sz w:val="20"/>
                <w:szCs w:val="20"/>
              </w:rPr>
            </w:pPr>
            <w:r w:rsidRPr="009E4EB8">
              <w:rPr>
                <w:rFonts w:ascii="Arial Narrow" w:hAnsi="Arial Narrow"/>
                <w:b/>
                <w:bCs/>
                <w:sz w:val="20"/>
                <w:szCs w:val="20"/>
              </w:rPr>
              <w:t>Clinical criteria:</w:t>
            </w:r>
          </w:p>
        </w:tc>
      </w:tr>
      <w:tr w:rsidR="0032505A" w:rsidRPr="009E4EB8" w14:paraId="32BF8B71"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32CEEF80" w14:textId="505791A2"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47C6DAAA" w14:textId="10C4BD7A" w:rsidR="0032505A" w:rsidRPr="009E4EB8" w:rsidRDefault="0032505A" w:rsidP="00587FEC">
            <w:pPr>
              <w:rPr>
                <w:rFonts w:ascii="Arial Narrow" w:hAnsi="Arial Narrow"/>
                <w:sz w:val="20"/>
                <w:szCs w:val="20"/>
              </w:rPr>
            </w:pPr>
            <w:r w:rsidRPr="009E4EB8">
              <w:rPr>
                <w:rFonts w:ascii="Arial Narrow" w:hAnsi="Arial Narrow"/>
                <w:sz w:val="20"/>
                <w:szCs w:val="20"/>
              </w:rPr>
              <w:t>Patient must not have developed disease progression while receiving treatment with this drug for this condition</w:t>
            </w:r>
          </w:p>
        </w:tc>
      </w:tr>
      <w:tr w:rsidR="0032505A" w:rsidRPr="009E4EB8" w14:paraId="3EA5CF7B"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7955462A" w14:textId="77777777"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5771AA79"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AND</w:t>
            </w:r>
          </w:p>
        </w:tc>
      </w:tr>
      <w:tr w:rsidR="0032505A" w:rsidRPr="009E4EB8" w14:paraId="152F4084"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7A156E42" w14:textId="77777777"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2333CC3F" w14:textId="77777777" w:rsidR="0032505A" w:rsidRPr="009E4EB8" w:rsidRDefault="0032505A" w:rsidP="00D87FCE">
            <w:pPr>
              <w:spacing w:before="100" w:beforeAutospacing="1" w:after="100" w:afterAutospacing="1"/>
              <w:rPr>
                <w:rFonts w:ascii="Arial Narrow" w:hAnsi="Arial Narrow"/>
                <w:sz w:val="20"/>
                <w:szCs w:val="20"/>
              </w:rPr>
            </w:pPr>
            <w:r w:rsidRPr="009E4EB8">
              <w:rPr>
                <w:rFonts w:ascii="Arial Narrow" w:hAnsi="Arial Narrow"/>
                <w:b/>
                <w:bCs/>
                <w:sz w:val="20"/>
                <w:szCs w:val="20"/>
              </w:rPr>
              <w:t>Clinical criteria:</w:t>
            </w:r>
          </w:p>
        </w:tc>
      </w:tr>
      <w:tr w:rsidR="0032505A" w:rsidRPr="009E4EB8" w14:paraId="19A1C5D3"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50CAC133" w14:textId="4A7ACB5E"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0D6292AE" w14:textId="6FE80993" w:rsidR="0032505A" w:rsidRPr="009E4EB8" w:rsidRDefault="0032505A" w:rsidP="00587FEC">
            <w:pPr>
              <w:rPr>
                <w:rFonts w:ascii="Arial Narrow" w:hAnsi="Arial Narrow"/>
                <w:sz w:val="20"/>
                <w:szCs w:val="20"/>
              </w:rPr>
            </w:pPr>
            <w:r w:rsidRPr="009E4EB8">
              <w:rPr>
                <w:rFonts w:ascii="Arial Narrow" w:hAnsi="Arial Narrow"/>
                <w:sz w:val="20"/>
                <w:szCs w:val="20"/>
              </w:rPr>
              <w:t>Patient must not be receiving concomitant PBS-subsidised treatment with any of the following: (</w:t>
            </w:r>
            <w:proofErr w:type="spellStart"/>
            <w:r w:rsidRPr="009E4EB8">
              <w:rPr>
                <w:rFonts w:ascii="Arial Narrow" w:hAnsi="Arial Narrow"/>
                <w:sz w:val="20"/>
                <w:szCs w:val="20"/>
              </w:rPr>
              <w:t>i</w:t>
            </w:r>
            <w:proofErr w:type="spellEnd"/>
            <w:r w:rsidRPr="009E4EB8">
              <w:rPr>
                <w:rFonts w:ascii="Arial Narrow" w:hAnsi="Arial Narrow"/>
                <w:sz w:val="20"/>
                <w:szCs w:val="20"/>
              </w:rPr>
              <w:t xml:space="preserve">) </w:t>
            </w:r>
            <w:r w:rsidRPr="009E4EB8">
              <w:rPr>
                <w:rFonts w:ascii="Arial Narrow" w:hAnsi="Arial Narrow"/>
                <w:bCs/>
                <w:sz w:val="20"/>
                <w:szCs w:val="20"/>
              </w:rPr>
              <w:t xml:space="preserve">proteasome </w:t>
            </w:r>
            <w:proofErr w:type="gramStart"/>
            <w:r w:rsidRPr="009E4EB8">
              <w:rPr>
                <w:rFonts w:ascii="Arial Narrow" w:hAnsi="Arial Narrow"/>
                <w:bCs/>
                <w:sz w:val="20"/>
                <w:szCs w:val="20"/>
              </w:rPr>
              <w:t xml:space="preserve">inhibitors </w:t>
            </w:r>
            <w:r w:rsidRPr="009E4EB8">
              <w:rPr>
                <w:rFonts w:ascii="Arial Narrow" w:hAnsi="Arial Narrow"/>
                <w:sz w:val="20"/>
                <w:szCs w:val="20"/>
              </w:rPr>
              <w:t>,</w:t>
            </w:r>
            <w:proofErr w:type="gramEnd"/>
            <w:r w:rsidRPr="009E4EB8">
              <w:rPr>
                <w:rFonts w:ascii="Arial Narrow" w:hAnsi="Arial Narrow"/>
                <w:sz w:val="20"/>
                <w:szCs w:val="20"/>
              </w:rPr>
              <w:t xml:space="preserve"> (ii) Immunomodulators, (iii) </w:t>
            </w:r>
            <w:r w:rsidRPr="009E4EB8">
              <w:rPr>
                <w:rFonts w:ascii="Arial Narrow" w:hAnsi="Arial Narrow"/>
                <w:bCs/>
                <w:sz w:val="20"/>
                <w:szCs w:val="20"/>
              </w:rPr>
              <w:t>anti-CD38 monocl</w:t>
            </w:r>
            <w:r w:rsidR="00587FEC" w:rsidRPr="009E4EB8">
              <w:rPr>
                <w:rFonts w:ascii="Arial Narrow" w:hAnsi="Arial Narrow"/>
                <w:bCs/>
                <w:sz w:val="20"/>
                <w:szCs w:val="20"/>
              </w:rPr>
              <w:t>onal antibody</w:t>
            </w:r>
          </w:p>
        </w:tc>
      </w:tr>
      <w:tr w:rsidR="0032505A" w:rsidRPr="009E4EB8" w14:paraId="3A30BDC9"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E2EF45C" w14:textId="63D8B4FB"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1A615CEB"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Prescribing Instructions:</w:t>
            </w:r>
          </w:p>
          <w:p w14:paraId="243661A3"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Progressive disease is defined as at least 1 of the following:</w:t>
            </w:r>
          </w:p>
          <w:p w14:paraId="554C81E1"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(a) at least a 25% increase and an absolute increase of at least 5 g per L in serum M protein (monoclonal protein); or</w:t>
            </w:r>
          </w:p>
          <w:p w14:paraId="731F8281"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(b) at least a 25% increase in 24-hour urinary light chain M protein excretion, and an absolute increase of at least 200 mg per 24 hours; or</w:t>
            </w:r>
          </w:p>
          <w:p w14:paraId="1ADE930A"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 xml:space="preserve">(c) in oligo-secretory and non-secretory myeloma patients only, at least a 50% increase in the difference between involved free light chain and uninvolved free light </w:t>
            </w:r>
            <w:proofErr w:type="gramStart"/>
            <w:r w:rsidRPr="009E4EB8">
              <w:rPr>
                <w:rFonts w:ascii="Arial Narrow" w:hAnsi="Arial Narrow"/>
                <w:sz w:val="20"/>
                <w:szCs w:val="20"/>
              </w:rPr>
              <w:t>chain;</w:t>
            </w:r>
            <w:proofErr w:type="gramEnd"/>
            <w:r w:rsidRPr="009E4EB8">
              <w:rPr>
                <w:rFonts w:ascii="Arial Narrow" w:hAnsi="Arial Narrow"/>
                <w:sz w:val="20"/>
                <w:szCs w:val="20"/>
              </w:rPr>
              <w:t xml:space="preserve"> or</w:t>
            </w:r>
          </w:p>
          <w:p w14:paraId="67BBA9FE"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(d) at least a 25% relative increase and at least a 10% absolute increase in plasma cells in a bone marrow aspirate or on biopsy; or</w:t>
            </w:r>
          </w:p>
          <w:p w14:paraId="25755A6E"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(e) an increase in the size or number of lytic bone lesions (not including compression fractures); or</w:t>
            </w:r>
          </w:p>
          <w:p w14:paraId="221AE9AE"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(f) at least a 25% increase in the size of an existing or the development of a new soft tissue plasmacytoma (determined by clinical examination or diagnostic imaging); or</w:t>
            </w:r>
          </w:p>
          <w:p w14:paraId="7D838921"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(g) development of hypercalcaemia (corrected serum calcium greater than 2.65 mmol per L not attributable to any other cause).</w:t>
            </w:r>
          </w:p>
        </w:tc>
      </w:tr>
      <w:tr w:rsidR="0032505A" w:rsidRPr="009E4EB8" w14:paraId="1D0AAD1F"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7AED992A" w14:textId="0BA3E73D"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0819D599"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Prescribing Instructions:</w:t>
            </w:r>
          </w:p>
          <w:p w14:paraId="62241370" w14:textId="77777777" w:rsidR="0032505A" w:rsidRPr="009E4EB8" w:rsidRDefault="0032505A" w:rsidP="00D87FCE">
            <w:pPr>
              <w:rPr>
                <w:rFonts w:ascii="Arial Narrow" w:hAnsi="Arial Narrow"/>
                <w:b/>
                <w:bCs/>
                <w:sz w:val="20"/>
                <w:szCs w:val="20"/>
              </w:rPr>
            </w:pPr>
            <w:r w:rsidRPr="009E4EB8">
              <w:rPr>
                <w:rFonts w:ascii="Arial Narrow" w:hAnsi="Arial Narrow"/>
                <w:sz w:val="20"/>
                <w:szCs w:val="20"/>
              </w:rPr>
              <w:t>Oligo-secretory and non-secretory patients are defined as having active disease with less than 10 g per L serum M protein.</w:t>
            </w:r>
          </w:p>
        </w:tc>
      </w:tr>
      <w:tr w:rsidR="0032505A" w:rsidRPr="009E4EB8" w14:paraId="139C8FB3"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602ACEF" w14:textId="29EAD1C6" w:rsidR="0032505A" w:rsidRPr="009E4EB8" w:rsidRDefault="0032505A" w:rsidP="00D87FCE">
            <w:pPr>
              <w:pStyle w:val="NormalWeb"/>
              <w:spacing w:before="0" w:after="0"/>
              <w:jc w:val="center"/>
              <w:rPr>
                <w:rFonts w:ascii="Arial Narrow" w:hAnsi="Arial Narrow" w:cstheme="majorHAnsi"/>
                <w:sz w:val="20"/>
                <w:szCs w:val="20"/>
                <w:lang w:val="en-AU"/>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6FB1338C" w14:textId="77777777" w:rsidR="0032505A" w:rsidRPr="009E4EB8" w:rsidRDefault="0032505A" w:rsidP="00D87FCE">
            <w:pPr>
              <w:pStyle w:val="NormalWeb"/>
              <w:spacing w:before="0" w:after="0"/>
              <w:rPr>
                <w:rFonts w:ascii="Arial Narrow" w:hAnsi="Arial Narrow" w:cstheme="majorHAnsi"/>
                <w:sz w:val="20"/>
                <w:szCs w:val="20"/>
                <w:lang w:val="en-AU"/>
              </w:rPr>
            </w:pPr>
            <w:r w:rsidRPr="009E4EB8">
              <w:rPr>
                <w:rStyle w:val="Strong"/>
                <w:rFonts w:ascii="Arial Narrow" w:hAnsi="Arial Narrow" w:cstheme="majorHAnsi"/>
                <w:sz w:val="20"/>
                <w:szCs w:val="20"/>
                <w:lang w:val="en-AU"/>
              </w:rPr>
              <w:t>Administrative Advice:</w:t>
            </w:r>
          </w:p>
          <w:p w14:paraId="7C13832F" w14:textId="77777777" w:rsidR="0032505A" w:rsidRPr="009E4EB8" w:rsidRDefault="0032505A" w:rsidP="00D87FCE">
            <w:pPr>
              <w:rPr>
                <w:rFonts w:ascii="Arial Narrow" w:hAnsi="Arial Narrow" w:cstheme="majorHAnsi"/>
                <w:b/>
                <w:bCs/>
                <w:sz w:val="20"/>
                <w:szCs w:val="20"/>
              </w:rPr>
            </w:pPr>
            <w:r w:rsidRPr="009E4EB8">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32505A" w:rsidRPr="009E4EB8" w14:paraId="67E196BD"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hidden/>
        </w:trPr>
        <w:tc>
          <w:tcPr>
            <w:tcW w:w="1418" w:type="dxa"/>
            <w:gridSpan w:val="2"/>
            <w:tcBorders>
              <w:top w:val="single" w:sz="4" w:space="0" w:color="auto"/>
              <w:left w:val="single" w:sz="4" w:space="0" w:color="auto"/>
              <w:bottom w:val="single" w:sz="4" w:space="0" w:color="auto"/>
              <w:right w:val="single" w:sz="4" w:space="0" w:color="auto"/>
            </w:tcBorders>
          </w:tcPr>
          <w:p w14:paraId="78416F9C" w14:textId="307E5EC4" w:rsidR="0032505A" w:rsidRPr="009E4EB8" w:rsidRDefault="0032505A" w:rsidP="00D87FCE">
            <w:pPr>
              <w:jc w:val="center"/>
              <w:outlineLvl w:val="4"/>
              <w:rPr>
                <w:rFonts w:ascii="Arial Narrow" w:hAnsi="Arial Narrow" w:cstheme="majorHAnsi"/>
                <w:vanish/>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0163AC9C" w14:textId="77777777" w:rsidR="0032505A" w:rsidRPr="009E4EB8" w:rsidRDefault="0032505A" w:rsidP="00D87FCE">
            <w:pPr>
              <w:rPr>
                <w:rFonts w:ascii="Arial Narrow" w:hAnsi="Arial Narrow" w:cstheme="majorHAnsi"/>
                <w:b/>
                <w:bCs/>
                <w:sz w:val="20"/>
                <w:szCs w:val="20"/>
              </w:rPr>
            </w:pPr>
            <w:r w:rsidRPr="009E4EB8">
              <w:rPr>
                <w:rFonts w:ascii="Arial Narrow" w:hAnsi="Arial Narrow" w:cstheme="minorHAnsi"/>
                <w:b/>
                <w:sz w:val="20"/>
                <w:szCs w:val="20"/>
              </w:rPr>
              <w:t xml:space="preserve">Administrative Advice: </w:t>
            </w:r>
            <w:r w:rsidRPr="009E4EB8">
              <w:rPr>
                <w:rFonts w:ascii="Arial Narrow" w:hAnsi="Arial Narrow" w:cstheme="minorHAnsi"/>
                <w:sz w:val="20"/>
                <w:szCs w:val="20"/>
              </w:rPr>
              <w:t>No increase in the maximum number of repeats may be authorised.</w:t>
            </w:r>
          </w:p>
        </w:tc>
      </w:tr>
      <w:tr w:rsidR="0032505A" w:rsidRPr="009E4EB8" w14:paraId="51781A66"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hidden/>
        </w:trPr>
        <w:tc>
          <w:tcPr>
            <w:tcW w:w="1418" w:type="dxa"/>
            <w:gridSpan w:val="2"/>
            <w:tcBorders>
              <w:top w:val="single" w:sz="4" w:space="0" w:color="auto"/>
              <w:left w:val="single" w:sz="4" w:space="0" w:color="auto"/>
              <w:bottom w:val="single" w:sz="4" w:space="0" w:color="auto"/>
              <w:right w:val="single" w:sz="4" w:space="0" w:color="auto"/>
            </w:tcBorders>
          </w:tcPr>
          <w:p w14:paraId="5460C819" w14:textId="7B0643C4" w:rsidR="0032505A" w:rsidRPr="009E4EB8" w:rsidRDefault="0032505A" w:rsidP="00D87FCE">
            <w:pPr>
              <w:jc w:val="center"/>
              <w:outlineLvl w:val="4"/>
              <w:rPr>
                <w:rFonts w:ascii="Arial Narrow" w:hAnsi="Arial Narrow" w:cstheme="majorHAnsi"/>
                <w:vanish/>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1FE93A8E" w14:textId="77777777" w:rsidR="0032505A" w:rsidRPr="009E4EB8" w:rsidRDefault="0032505A" w:rsidP="00D87FCE">
            <w:pPr>
              <w:rPr>
                <w:rFonts w:ascii="Arial Narrow" w:hAnsi="Arial Narrow" w:cstheme="majorHAnsi"/>
                <w:b/>
                <w:bCs/>
                <w:sz w:val="20"/>
                <w:szCs w:val="20"/>
              </w:rPr>
            </w:pPr>
            <w:r w:rsidRPr="009E4EB8">
              <w:rPr>
                <w:rFonts w:ascii="Arial Narrow" w:hAnsi="Arial Narrow" w:cstheme="minorHAnsi"/>
                <w:b/>
                <w:sz w:val="20"/>
                <w:szCs w:val="20"/>
              </w:rPr>
              <w:t>Administrative Advice:</w:t>
            </w:r>
            <w:r w:rsidRPr="009E4EB8">
              <w:rPr>
                <w:rFonts w:ascii="Arial Narrow" w:hAnsi="Arial Narrow" w:cstheme="minorHAnsi"/>
                <w:sz w:val="20"/>
                <w:szCs w:val="20"/>
              </w:rPr>
              <w:t xml:space="preserve"> Special Pricing Arrangements apply</w:t>
            </w:r>
          </w:p>
        </w:tc>
      </w:tr>
      <w:tr w:rsidR="0032505A" w:rsidRPr="009E4EB8" w14:paraId="06F9C102"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hidden/>
        </w:trPr>
        <w:tc>
          <w:tcPr>
            <w:tcW w:w="1418" w:type="dxa"/>
            <w:gridSpan w:val="2"/>
            <w:tcBorders>
              <w:top w:val="single" w:sz="4" w:space="0" w:color="auto"/>
              <w:left w:val="single" w:sz="4" w:space="0" w:color="auto"/>
              <w:bottom w:val="single" w:sz="4" w:space="0" w:color="auto"/>
              <w:right w:val="single" w:sz="4" w:space="0" w:color="auto"/>
            </w:tcBorders>
          </w:tcPr>
          <w:p w14:paraId="07999978" w14:textId="77777777" w:rsidR="0032505A" w:rsidRPr="009E4EB8" w:rsidRDefault="0032505A" w:rsidP="00D87FCE">
            <w:pPr>
              <w:jc w:val="center"/>
              <w:outlineLvl w:val="4"/>
              <w:rPr>
                <w:rFonts w:ascii="Arial Narrow" w:hAnsi="Arial Narrow" w:cstheme="majorHAnsi"/>
                <w:vanish/>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2AA13EFA" w14:textId="318BB806" w:rsidR="0032505A" w:rsidRPr="009E4EB8" w:rsidRDefault="0032505A" w:rsidP="0032505A">
            <w:pPr>
              <w:rPr>
                <w:rFonts w:ascii="Arial Narrow" w:hAnsi="Arial Narrow" w:cstheme="majorHAnsi"/>
                <w:b/>
                <w:bCs/>
                <w:sz w:val="20"/>
                <w:szCs w:val="20"/>
              </w:rPr>
            </w:pPr>
            <w:r w:rsidRPr="009E4EB8">
              <w:rPr>
                <w:rFonts w:ascii="Arial Narrow" w:hAnsi="Arial Narrow" w:cstheme="minorHAnsi"/>
                <w:b/>
                <w:sz w:val="20"/>
                <w:szCs w:val="20"/>
              </w:rPr>
              <w:t xml:space="preserve">Caution: </w:t>
            </w:r>
            <w:r w:rsidRPr="009E4EB8">
              <w:rPr>
                <w:rFonts w:ascii="Arial Narrow" w:hAnsi="Arial Narrow" w:cstheme="minorHAnsi"/>
                <w:sz w:val="20"/>
                <w:szCs w:val="20"/>
              </w:rPr>
              <w:t>This drug is a category D drug and must not be given to pregnant women. If selinexor is taken during pregnancy, a teratogenic effect of selinexor in humans cannot be ruled out.</w:t>
            </w:r>
          </w:p>
        </w:tc>
      </w:tr>
      <w:tr w:rsidR="0032505A" w:rsidRPr="009E4EB8" w14:paraId="3B12522A" w14:textId="77777777" w:rsidTr="00D87FCE">
        <w:tblPrEx>
          <w:tblCellMar>
            <w:top w:w="15" w:type="dxa"/>
            <w:left w:w="15" w:type="dxa"/>
            <w:bottom w:w="15" w:type="dxa"/>
            <w:right w:w="15" w:type="dxa"/>
          </w:tblCellMar>
          <w:tblLook w:val="04A0" w:firstRow="1" w:lastRow="0" w:firstColumn="1" w:lastColumn="0" w:noHBand="0" w:noVBand="1"/>
        </w:tblPrEx>
        <w:tc>
          <w:tcPr>
            <w:tcW w:w="9072" w:type="dxa"/>
            <w:gridSpan w:val="8"/>
            <w:vAlign w:val="center"/>
          </w:tcPr>
          <w:p w14:paraId="366E2871" w14:textId="77777777" w:rsidR="0032505A" w:rsidRPr="009E4EB8" w:rsidRDefault="0032505A" w:rsidP="00D87FCE">
            <w:pPr>
              <w:rPr>
                <w:rFonts w:ascii="Arial Narrow" w:hAnsi="Arial Narrow"/>
                <w:bCs/>
                <w:sz w:val="20"/>
                <w:szCs w:val="20"/>
              </w:rPr>
            </w:pPr>
          </w:p>
        </w:tc>
      </w:tr>
      <w:tr w:rsidR="0032505A" w:rsidRPr="009E4EB8" w14:paraId="5DB76C07" w14:textId="77777777" w:rsidTr="00D87FCE">
        <w:tblPrEx>
          <w:tblCellMar>
            <w:top w:w="15" w:type="dxa"/>
            <w:left w:w="15" w:type="dxa"/>
            <w:bottom w:w="15" w:type="dxa"/>
            <w:right w:w="15" w:type="dxa"/>
          </w:tblCellMar>
          <w:tblLook w:val="04A0" w:firstRow="1" w:lastRow="0" w:firstColumn="1" w:lastColumn="0" w:noHBand="0" w:noVBand="1"/>
        </w:tblPrEx>
        <w:tc>
          <w:tcPr>
            <w:tcW w:w="9072" w:type="dxa"/>
            <w:gridSpan w:val="8"/>
            <w:vAlign w:val="center"/>
          </w:tcPr>
          <w:p w14:paraId="48E6EA4D" w14:textId="77777777" w:rsidR="0032505A" w:rsidRPr="009E4EB8" w:rsidRDefault="0032505A" w:rsidP="00D87FCE">
            <w:pPr>
              <w:rPr>
                <w:rFonts w:ascii="Arial Narrow" w:hAnsi="Arial Narrow"/>
                <w:b/>
                <w:bCs/>
                <w:sz w:val="20"/>
                <w:szCs w:val="20"/>
              </w:rPr>
            </w:pPr>
            <w:r w:rsidRPr="009E4EB8">
              <w:rPr>
                <w:rFonts w:ascii="Arial Narrow" w:hAnsi="Arial Narrow"/>
                <w:b/>
                <w:bCs/>
                <w:sz w:val="20"/>
                <w:szCs w:val="20"/>
              </w:rPr>
              <w:t>Restriction Summary [new] / Treatment of Concept: [new]</w:t>
            </w:r>
          </w:p>
        </w:tc>
      </w:tr>
      <w:tr w:rsidR="0032505A" w:rsidRPr="009E4EB8" w14:paraId="623F4660"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vMerge w:val="restart"/>
            <w:tcBorders>
              <w:top w:val="single" w:sz="4" w:space="0" w:color="auto"/>
              <w:left w:val="single" w:sz="4" w:space="0" w:color="auto"/>
              <w:right w:val="single" w:sz="4" w:space="0" w:color="auto"/>
            </w:tcBorders>
          </w:tcPr>
          <w:p w14:paraId="60B84380" w14:textId="77777777" w:rsidR="0032505A" w:rsidRPr="009E4EB8" w:rsidRDefault="0032505A" w:rsidP="00D87FCE">
            <w:pPr>
              <w:jc w:val="center"/>
              <w:rPr>
                <w:rFonts w:ascii="Arial Narrow" w:hAnsi="Arial Narrow"/>
                <w:b/>
                <w:sz w:val="20"/>
                <w:szCs w:val="20"/>
              </w:rPr>
            </w:pPr>
            <w:r w:rsidRPr="009E4EB8">
              <w:rPr>
                <w:rFonts w:ascii="Arial Narrow" w:hAnsi="Arial Narrow"/>
                <w:b/>
                <w:sz w:val="20"/>
                <w:szCs w:val="20"/>
              </w:rPr>
              <w:t>Concept ID</w:t>
            </w:r>
          </w:p>
          <w:p w14:paraId="1802621D" w14:textId="77777777" w:rsidR="0032505A" w:rsidRPr="009E4EB8" w:rsidRDefault="0032505A" w:rsidP="00D87FCE">
            <w:pPr>
              <w:rPr>
                <w:rFonts w:ascii="Arial Narrow" w:hAnsi="Arial Narrow"/>
                <w:sz w:val="20"/>
                <w:szCs w:val="20"/>
              </w:rPr>
            </w:pPr>
          </w:p>
          <w:p w14:paraId="2E7AB97E" w14:textId="77777777" w:rsidR="0032505A" w:rsidRPr="009E4EB8" w:rsidRDefault="0032505A" w:rsidP="00D87FCE">
            <w:pPr>
              <w:jc w:val="center"/>
              <w:rPr>
                <w:rFonts w:ascii="Arial Narrow" w:hAnsi="Arial Narrow"/>
                <w:sz w:val="20"/>
                <w:szCs w:val="20"/>
              </w:rPr>
            </w:pPr>
            <w:r w:rsidRPr="009E4EB8">
              <w:rPr>
                <w:rFonts w:ascii="Arial Narrow" w:hAnsi="Arial Narrow"/>
                <w:sz w:val="20"/>
                <w:szCs w:val="20"/>
              </w:rPr>
              <w:t>(for internal Dept. use)</w:t>
            </w:r>
          </w:p>
          <w:p w14:paraId="352AF123" w14:textId="77777777" w:rsidR="0032505A" w:rsidRPr="009E4EB8" w:rsidRDefault="0032505A" w:rsidP="00D87FCE">
            <w:pPr>
              <w:rPr>
                <w:rFonts w:ascii="Arial Narrow" w:hAnsi="Arial Narrow"/>
                <w:b/>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4B71A7CD" w14:textId="77777777" w:rsidR="0032505A" w:rsidRPr="009E4EB8" w:rsidRDefault="0032505A" w:rsidP="00D87FCE">
            <w:pPr>
              <w:rPr>
                <w:rFonts w:ascii="Arial Narrow" w:hAnsi="Arial Narrow"/>
                <w:sz w:val="20"/>
                <w:szCs w:val="20"/>
              </w:rPr>
            </w:pPr>
            <w:r w:rsidRPr="009E4EB8">
              <w:rPr>
                <w:rFonts w:ascii="Arial Narrow" w:hAnsi="Arial Narrow"/>
                <w:b/>
                <w:sz w:val="20"/>
                <w:szCs w:val="20"/>
              </w:rPr>
              <w:t xml:space="preserve">Category / Program:   </w:t>
            </w:r>
            <w:r w:rsidRPr="009E4EB8">
              <w:rPr>
                <w:rFonts w:ascii="Arial Narrow" w:hAnsi="Arial Narrow"/>
                <w:sz w:val="20"/>
                <w:szCs w:val="20"/>
              </w:rPr>
              <w:t>Section 100 – Highly Specialised Drugs Program</w:t>
            </w:r>
          </w:p>
        </w:tc>
      </w:tr>
      <w:tr w:rsidR="0032505A" w:rsidRPr="009E4EB8" w14:paraId="0151D6B4" w14:textId="77777777" w:rsidTr="00D87FCE">
        <w:tblPrEx>
          <w:tblCellMar>
            <w:top w:w="15" w:type="dxa"/>
            <w:left w:w="15" w:type="dxa"/>
            <w:bottom w:w="15" w:type="dxa"/>
            <w:right w:w="15" w:type="dxa"/>
          </w:tblCellMar>
          <w:tblLook w:val="04A0" w:firstRow="1" w:lastRow="0" w:firstColumn="1" w:lastColumn="0" w:noHBand="0" w:noVBand="1"/>
        </w:tblPrEx>
        <w:trPr>
          <w:trHeight w:val="240"/>
        </w:trPr>
        <w:tc>
          <w:tcPr>
            <w:tcW w:w="1418" w:type="dxa"/>
            <w:gridSpan w:val="2"/>
            <w:vMerge/>
            <w:tcBorders>
              <w:left w:val="single" w:sz="4" w:space="0" w:color="auto"/>
              <w:right w:val="single" w:sz="4" w:space="0" w:color="auto"/>
            </w:tcBorders>
          </w:tcPr>
          <w:p w14:paraId="307BC816" w14:textId="77777777" w:rsidR="0032505A" w:rsidRPr="009E4EB8" w:rsidRDefault="0032505A" w:rsidP="00D87FCE">
            <w:pP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17B7CD76" w14:textId="77777777" w:rsidR="0032505A" w:rsidRPr="009E4EB8" w:rsidRDefault="0032505A" w:rsidP="00D87FCE">
            <w:pPr>
              <w:rPr>
                <w:rFonts w:ascii="Arial Narrow" w:hAnsi="Arial Narrow"/>
                <w:b/>
                <w:sz w:val="20"/>
                <w:szCs w:val="20"/>
              </w:rPr>
            </w:pPr>
            <w:r w:rsidRPr="009E4EB8">
              <w:rPr>
                <w:rFonts w:ascii="Arial Narrow" w:hAnsi="Arial Narrow"/>
                <w:b/>
                <w:sz w:val="20"/>
                <w:szCs w:val="20"/>
              </w:rPr>
              <w:t xml:space="preserve">Prescriber type: </w:t>
            </w:r>
            <w:r w:rsidRPr="009E4EB8">
              <w:rPr>
                <w:rFonts w:ascii="Arial Narrow" w:hAnsi="Arial Narrow"/>
                <w:sz w:val="20"/>
                <w:szCs w:val="20"/>
              </w:rPr>
              <w:fldChar w:fldCharType="begin">
                <w:ffData>
                  <w:name w:val=""/>
                  <w:enabled/>
                  <w:calcOnExit w:val="0"/>
                  <w:checkBox>
                    <w:sizeAuto/>
                    <w:default w:val="1"/>
                  </w:checkBox>
                </w:ffData>
              </w:fldChar>
            </w:r>
            <w:r w:rsidRPr="009E4EB8">
              <w:rPr>
                <w:rFonts w:ascii="Arial Narrow" w:hAnsi="Arial Narrow"/>
                <w:sz w:val="20"/>
                <w:szCs w:val="20"/>
              </w:rPr>
              <w:instrText xml:space="preserve"> FORMCHECKBOX </w:instrText>
            </w:r>
            <w:r w:rsidR="00964E38">
              <w:rPr>
                <w:rFonts w:ascii="Arial Narrow" w:hAnsi="Arial Narrow"/>
                <w:sz w:val="20"/>
                <w:szCs w:val="20"/>
              </w:rPr>
            </w:r>
            <w:r w:rsidR="00964E38">
              <w:rPr>
                <w:rFonts w:ascii="Arial Narrow" w:hAnsi="Arial Narrow"/>
                <w:sz w:val="20"/>
                <w:szCs w:val="20"/>
              </w:rPr>
              <w:fldChar w:fldCharType="separate"/>
            </w:r>
            <w:r w:rsidRPr="009E4EB8">
              <w:rPr>
                <w:rFonts w:ascii="Arial Narrow" w:hAnsi="Arial Narrow"/>
                <w:sz w:val="20"/>
                <w:szCs w:val="20"/>
              </w:rPr>
              <w:fldChar w:fldCharType="end"/>
            </w:r>
            <w:r w:rsidRPr="009E4EB8">
              <w:rPr>
                <w:rFonts w:ascii="Arial Narrow" w:hAnsi="Arial Narrow"/>
                <w:sz w:val="20"/>
                <w:szCs w:val="20"/>
              </w:rPr>
              <w:t>Medical Practitioners</w:t>
            </w:r>
          </w:p>
        </w:tc>
      </w:tr>
      <w:tr w:rsidR="0032505A" w:rsidRPr="009E4EB8" w14:paraId="612C6CF3" w14:textId="77777777" w:rsidTr="00D87FCE">
        <w:tblPrEx>
          <w:tblCellMar>
            <w:top w:w="15" w:type="dxa"/>
            <w:left w:w="15" w:type="dxa"/>
            <w:bottom w:w="15" w:type="dxa"/>
            <w:right w:w="15" w:type="dxa"/>
          </w:tblCellMar>
          <w:tblLook w:val="04A0" w:firstRow="1" w:lastRow="0" w:firstColumn="1" w:lastColumn="0" w:noHBand="0" w:noVBand="1"/>
        </w:tblPrEx>
        <w:trPr>
          <w:trHeight w:val="89"/>
        </w:trPr>
        <w:tc>
          <w:tcPr>
            <w:tcW w:w="1418" w:type="dxa"/>
            <w:gridSpan w:val="2"/>
            <w:vMerge/>
            <w:tcBorders>
              <w:left w:val="single" w:sz="4" w:space="0" w:color="auto"/>
              <w:bottom w:val="single" w:sz="4" w:space="0" w:color="auto"/>
              <w:right w:val="single" w:sz="4" w:space="0" w:color="auto"/>
            </w:tcBorders>
          </w:tcPr>
          <w:p w14:paraId="3BA658A9" w14:textId="77777777" w:rsidR="0032505A" w:rsidRPr="009E4EB8" w:rsidRDefault="0032505A" w:rsidP="00D87FCE">
            <w:pP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77A417BF" w14:textId="77777777" w:rsidR="0032505A" w:rsidRPr="009E4EB8" w:rsidRDefault="0032505A" w:rsidP="00D87FCE">
            <w:pPr>
              <w:rPr>
                <w:rFonts w:ascii="Arial Narrow" w:hAnsi="Arial Narrow" w:cstheme="minorHAnsi"/>
                <w:b/>
                <w:sz w:val="20"/>
                <w:szCs w:val="20"/>
              </w:rPr>
            </w:pPr>
            <w:r w:rsidRPr="009E4EB8">
              <w:rPr>
                <w:rFonts w:ascii="Arial Narrow" w:hAnsi="Arial Narrow" w:cstheme="minorHAnsi"/>
                <w:b/>
                <w:sz w:val="20"/>
                <w:szCs w:val="20"/>
              </w:rPr>
              <w:t>Restriction type:</w:t>
            </w:r>
          </w:p>
          <w:p w14:paraId="6D2FE335" w14:textId="77777777" w:rsidR="0032505A" w:rsidRPr="009E4EB8" w:rsidRDefault="0032505A" w:rsidP="00D87FCE">
            <w:pPr>
              <w:rPr>
                <w:rFonts w:ascii="Arial Narrow" w:eastAsia="Calibri" w:hAnsi="Arial Narrow"/>
                <w:sz w:val="20"/>
                <w:szCs w:val="20"/>
              </w:rPr>
            </w:pPr>
            <w:r w:rsidRPr="009E4EB8">
              <w:rPr>
                <w:rFonts w:ascii="Arial Narrow" w:hAnsi="Arial Narrow"/>
                <w:bCs/>
                <w:sz w:val="20"/>
                <w:szCs w:val="20"/>
              </w:rPr>
              <w:fldChar w:fldCharType="begin">
                <w:ffData>
                  <w:name w:val="Check3"/>
                  <w:enabled/>
                  <w:calcOnExit w:val="0"/>
                  <w:checkBox>
                    <w:sizeAuto/>
                    <w:default w:val="1"/>
                  </w:checkBox>
                </w:ffData>
              </w:fldChar>
            </w:r>
            <w:r w:rsidRPr="009E4EB8">
              <w:rPr>
                <w:rFonts w:ascii="Arial Narrow" w:hAnsi="Arial Narrow"/>
                <w:bCs/>
                <w:sz w:val="20"/>
                <w:szCs w:val="20"/>
              </w:rPr>
              <w:instrText xml:space="preserve"> FORMCHECKBOX </w:instrText>
            </w:r>
            <w:r w:rsidR="00964E38">
              <w:rPr>
                <w:rFonts w:ascii="Arial Narrow" w:hAnsi="Arial Narrow"/>
                <w:bCs/>
                <w:sz w:val="20"/>
                <w:szCs w:val="20"/>
              </w:rPr>
            </w:r>
            <w:r w:rsidR="00964E38">
              <w:rPr>
                <w:rFonts w:ascii="Arial Narrow" w:hAnsi="Arial Narrow"/>
                <w:bCs/>
                <w:sz w:val="20"/>
                <w:szCs w:val="20"/>
              </w:rPr>
              <w:fldChar w:fldCharType="separate"/>
            </w:r>
            <w:r w:rsidRPr="009E4EB8">
              <w:rPr>
                <w:rFonts w:ascii="Arial Narrow" w:hAnsi="Arial Narrow"/>
                <w:bCs/>
                <w:sz w:val="20"/>
                <w:szCs w:val="20"/>
              </w:rPr>
              <w:fldChar w:fldCharType="end"/>
            </w:r>
            <w:r w:rsidRPr="009E4EB8">
              <w:rPr>
                <w:rFonts w:ascii="Arial Narrow" w:hAnsi="Arial Narrow"/>
                <w:bCs/>
                <w:sz w:val="20"/>
                <w:szCs w:val="20"/>
              </w:rPr>
              <w:t xml:space="preserve"> </w:t>
            </w:r>
            <w:r w:rsidRPr="009E4EB8">
              <w:rPr>
                <w:rFonts w:ascii="Arial Narrow" w:hAnsi="Arial Narrow" w:cstheme="minorHAnsi"/>
                <w:sz w:val="20"/>
                <w:szCs w:val="20"/>
              </w:rPr>
              <w:t>Authority Required – immediate/real-time assessment by Services Australia (telephone/electronic)</w:t>
            </w:r>
          </w:p>
        </w:tc>
      </w:tr>
      <w:tr w:rsidR="0032505A" w:rsidRPr="009E4EB8" w14:paraId="363EE3F2"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vAlign w:val="center"/>
          </w:tcPr>
          <w:p w14:paraId="005C9A7F" w14:textId="77777777" w:rsidR="0032505A" w:rsidRPr="009E4EB8" w:rsidRDefault="0032505A" w:rsidP="00D87FCE">
            <w:pPr>
              <w:jc w:val="center"/>
              <w:rPr>
                <w:rFonts w:ascii="Arial Narrow" w:hAnsi="Arial Narrow"/>
                <w:sz w:val="20"/>
                <w:szCs w:val="20"/>
              </w:rPr>
            </w:pPr>
          </w:p>
        </w:tc>
        <w:tc>
          <w:tcPr>
            <w:tcW w:w="7654" w:type="dxa"/>
            <w:gridSpan w:val="6"/>
          </w:tcPr>
          <w:p w14:paraId="7B9FA30B" w14:textId="77777777" w:rsidR="0032505A" w:rsidRPr="009E4EB8" w:rsidRDefault="0032505A" w:rsidP="00D87FCE">
            <w:pPr>
              <w:rPr>
                <w:rFonts w:ascii="Arial Narrow" w:hAnsi="Arial Narrow"/>
                <w:b/>
                <w:bCs/>
                <w:sz w:val="20"/>
                <w:szCs w:val="20"/>
              </w:rPr>
            </w:pPr>
            <w:proofErr w:type="spellStart"/>
            <w:r w:rsidRPr="009E4EB8">
              <w:rPr>
                <w:rFonts w:ascii="Arial Narrow" w:hAnsi="Arial Narrow" w:cstheme="minorHAnsi"/>
                <w:b/>
                <w:sz w:val="20"/>
                <w:szCs w:val="20"/>
              </w:rPr>
              <w:t>Episodicity</w:t>
            </w:r>
            <w:proofErr w:type="spellEnd"/>
            <w:r w:rsidRPr="009E4EB8">
              <w:rPr>
                <w:rFonts w:ascii="Arial Narrow" w:hAnsi="Arial Narrow" w:cstheme="minorHAnsi"/>
                <w:b/>
                <w:sz w:val="20"/>
                <w:szCs w:val="20"/>
              </w:rPr>
              <w:t xml:space="preserve">: </w:t>
            </w:r>
            <w:r w:rsidRPr="009E4EB8">
              <w:rPr>
                <w:rFonts w:ascii="Arial Narrow" w:hAnsi="Arial Narrow" w:cstheme="minorHAnsi"/>
                <w:sz w:val="20"/>
                <w:szCs w:val="20"/>
              </w:rPr>
              <w:t>Relapsed and/or refractory</w:t>
            </w:r>
          </w:p>
        </w:tc>
      </w:tr>
      <w:tr w:rsidR="0032505A" w:rsidRPr="009E4EB8" w14:paraId="032A6CBF"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vAlign w:val="center"/>
          </w:tcPr>
          <w:p w14:paraId="25BB8206" w14:textId="77777777" w:rsidR="0032505A" w:rsidRPr="009E4EB8" w:rsidRDefault="0032505A" w:rsidP="00D87FCE">
            <w:pPr>
              <w:jc w:val="center"/>
              <w:rPr>
                <w:rFonts w:ascii="Arial Narrow" w:hAnsi="Arial Narrow"/>
                <w:sz w:val="20"/>
                <w:szCs w:val="20"/>
              </w:rPr>
            </w:pPr>
          </w:p>
        </w:tc>
        <w:tc>
          <w:tcPr>
            <w:tcW w:w="7654" w:type="dxa"/>
            <w:gridSpan w:val="6"/>
          </w:tcPr>
          <w:p w14:paraId="2577E21E" w14:textId="77777777" w:rsidR="0032505A" w:rsidRPr="009E4EB8" w:rsidRDefault="0032505A" w:rsidP="00D87FCE">
            <w:pPr>
              <w:rPr>
                <w:rFonts w:ascii="Arial Narrow" w:hAnsi="Arial Narrow"/>
                <w:b/>
                <w:bCs/>
                <w:sz w:val="20"/>
                <w:szCs w:val="20"/>
              </w:rPr>
            </w:pPr>
            <w:r w:rsidRPr="009E4EB8">
              <w:rPr>
                <w:rFonts w:ascii="Arial Narrow" w:hAnsi="Arial Narrow" w:cstheme="minorHAnsi"/>
                <w:b/>
                <w:sz w:val="20"/>
                <w:szCs w:val="20"/>
              </w:rPr>
              <w:t xml:space="preserve">Severity: </w:t>
            </w:r>
            <w:r w:rsidRPr="009E4EB8">
              <w:rPr>
                <w:rFonts w:ascii="Arial Narrow" w:hAnsi="Arial Narrow" w:cstheme="minorHAnsi"/>
                <w:sz w:val="20"/>
                <w:szCs w:val="20"/>
              </w:rPr>
              <w:t>[blank]</w:t>
            </w:r>
          </w:p>
        </w:tc>
      </w:tr>
      <w:tr w:rsidR="0032505A" w:rsidRPr="009E4EB8" w14:paraId="75932812"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vAlign w:val="center"/>
          </w:tcPr>
          <w:p w14:paraId="0D9A98AE" w14:textId="77777777" w:rsidR="0032505A" w:rsidRPr="009E4EB8" w:rsidRDefault="0032505A" w:rsidP="00D87FCE">
            <w:pPr>
              <w:jc w:val="center"/>
              <w:rPr>
                <w:rFonts w:ascii="Arial Narrow" w:hAnsi="Arial Narrow"/>
                <w:sz w:val="20"/>
                <w:szCs w:val="20"/>
              </w:rPr>
            </w:pPr>
          </w:p>
        </w:tc>
        <w:tc>
          <w:tcPr>
            <w:tcW w:w="7654" w:type="dxa"/>
            <w:gridSpan w:val="6"/>
          </w:tcPr>
          <w:p w14:paraId="7EE01504" w14:textId="77777777" w:rsidR="0032505A" w:rsidRPr="009E4EB8" w:rsidRDefault="0032505A" w:rsidP="00D87FCE">
            <w:pPr>
              <w:rPr>
                <w:rFonts w:ascii="Arial Narrow" w:hAnsi="Arial Narrow"/>
                <w:b/>
                <w:bCs/>
                <w:sz w:val="20"/>
                <w:szCs w:val="20"/>
              </w:rPr>
            </w:pPr>
            <w:r w:rsidRPr="009E4EB8">
              <w:rPr>
                <w:rFonts w:ascii="Arial Narrow" w:hAnsi="Arial Narrow" w:cstheme="minorHAnsi"/>
                <w:b/>
                <w:sz w:val="20"/>
                <w:szCs w:val="20"/>
              </w:rPr>
              <w:t xml:space="preserve">Condition: </w:t>
            </w:r>
            <w:r w:rsidRPr="009E4EB8">
              <w:rPr>
                <w:rFonts w:ascii="Arial Narrow" w:hAnsi="Arial Narrow" w:cstheme="minorHAnsi"/>
                <w:sz w:val="20"/>
                <w:szCs w:val="20"/>
              </w:rPr>
              <w:t>Multiple myeloma</w:t>
            </w:r>
          </w:p>
        </w:tc>
      </w:tr>
      <w:tr w:rsidR="0032505A" w:rsidRPr="009E4EB8" w14:paraId="1CB4385C"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vAlign w:val="center"/>
            <w:hideMark/>
          </w:tcPr>
          <w:p w14:paraId="297530DA" w14:textId="3A62A9BE" w:rsidR="0032505A" w:rsidRPr="009E4EB8" w:rsidRDefault="0032505A" w:rsidP="00D87FCE">
            <w:pPr>
              <w:jc w:val="center"/>
              <w:rPr>
                <w:rFonts w:ascii="Arial Narrow" w:hAnsi="Arial Narrow"/>
                <w:sz w:val="20"/>
                <w:szCs w:val="20"/>
              </w:rPr>
            </w:pPr>
          </w:p>
        </w:tc>
        <w:tc>
          <w:tcPr>
            <w:tcW w:w="7654" w:type="dxa"/>
            <w:gridSpan w:val="6"/>
            <w:vAlign w:val="center"/>
            <w:hideMark/>
          </w:tcPr>
          <w:p w14:paraId="0FDFEDD8"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Indication:</w:t>
            </w:r>
            <w:r w:rsidRPr="009E4EB8">
              <w:rPr>
                <w:rFonts w:ascii="Arial Narrow" w:hAnsi="Arial Narrow"/>
                <w:sz w:val="20"/>
                <w:szCs w:val="20"/>
              </w:rPr>
              <w:t xml:space="preserve"> Relapsed and/or refractory multiple myeloma</w:t>
            </w:r>
          </w:p>
        </w:tc>
      </w:tr>
      <w:tr w:rsidR="0032505A" w:rsidRPr="009E4EB8" w14:paraId="3311369F" w14:textId="77777777" w:rsidTr="00D87FCE">
        <w:tblPrEx>
          <w:tblCellMar>
            <w:top w:w="15" w:type="dxa"/>
            <w:left w:w="15" w:type="dxa"/>
            <w:bottom w:w="15" w:type="dxa"/>
            <w:right w:w="15" w:type="dxa"/>
          </w:tblCellMar>
          <w:tblLook w:val="04A0" w:firstRow="1" w:lastRow="0" w:firstColumn="1" w:lastColumn="0" w:noHBand="0" w:noVBand="1"/>
        </w:tblPrEx>
        <w:tc>
          <w:tcPr>
            <w:tcW w:w="1418" w:type="dxa"/>
            <w:gridSpan w:val="2"/>
            <w:tcBorders>
              <w:bottom w:val="single" w:sz="4" w:space="0" w:color="auto"/>
            </w:tcBorders>
            <w:vAlign w:val="center"/>
            <w:hideMark/>
          </w:tcPr>
          <w:p w14:paraId="48E2E070" w14:textId="77777777" w:rsidR="0032505A" w:rsidRPr="009E4EB8" w:rsidRDefault="0032505A" w:rsidP="00D87FCE">
            <w:pPr>
              <w:jc w:val="center"/>
              <w:rPr>
                <w:rFonts w:ascii="Arial Narrow" w:hAnsi="Arial Narrow"/>
                <w:sz w:val="20"/>
                <w:szCs w:val="20"/>
              </w:rPr>
            </w:pPr>
          </w:p>
        </w:tc>
        <w:tc>
          <w:tcPr>
            <w:tcW w:w="7654" w:type="dxa"/>
            <w:gridSpan w:val="6"/>
            <w:tcBorders>
              <w:bottom w:val="single" w:sz="4" w:space="0" w:color="auto"/>
            </w:tcBorders>
            <w:vAlign w:val="center"/>
            <w:hideMark/>
          </w:tcPr>
          <w:p w14:paraId="42C8F94F"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Treatment Phase:</w:t>
            </w:r>
            <w:r w:rsidRPr="009E4EB8">
              <w:rPr>
                <w:rFonts w:ascii="Arial Narrow" w:hAnsi="Arial Narrow"/>
                <w:sz w:val="20"/>
                <w:szCs w:val="20"/>
              </w:rPr>
              <w:t xml:space="preserve"> Grandfather treatment - Transitioning from non-PBS to PBS-subsidised supply</w:t>
            </w:r>
          </w:p>
        </w:tc>
      </w:tr>
      <w:tr w:rsidR="0032505A" w:rsidRPr="009E4EB8" w14:paraId="138C3587"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36695352" w14:textId="77777777"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01AE374D"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Clinical criteria:</w:t>
            </w:r>
          </w:p>
        </w:tc>
      </w:tr>
      <w:tr w:rsidR="0032505A" w:rsidRPr="009E4EB8" w14:paraId="319F6E3D"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04EE4A80" w14:textId="7616BB75"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44ACBB6F"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 xml:space="preserve">Patient must have received non-PBS-subsidised treatment with this drug for this condition prior to [date of selinexor </w:t>
            </w:r>
            <w:proofErr w:type="gramStart"/>
            <w:r w:rsidRPr="009E4EB8">
              <w:rPr>
                <w:rFonts w:ascii="Arial Narrow" w:hAnsi="Arial Narrow"/>
                <w:sz w:val="20"/>
                <w:szCs w:val="20"/>
              </w:rPr>
              <w:t>PBS  listing</w:t>
            </w:r>
            <w:proofErr w:type="gramEnd"/>
            <w:r w:rsidRPr="009E4EB8">
              <w:rPr>
                <w:rFonts w:ascii="Arial Narrow" w:hAnsi="Arial Narrow"/>
                <w:sz w:val="20"/>
                <w:szCs w:val="20"/>
              </w:rPr>
              <w:t>]</w:t>
            </w:r>
          </w:p>
        </w:tc>
      </w:tr>
      <w:tr w:rsidR="0032505A" w:rsidRPr="009E4EB8" w14:paraId="2CD9FBBC"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C54D6A0" w14:textId="77777777"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6DBAA85D"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AND</w:t>
            </w:r>
          </w:p>
        </w:tc>
      </w:tr>
      <w:tr w:rsidR="0032505A" w:rsidRPr="009E4EB8" w14:paraId="54E1CF92"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19B3031" w14:textId="77777777" w:rsidR="0032505A" w:rsidRPr="009E4EB8" w:rsidRDefault="0032505A" w:rsidP="00D87FCE">
            <w:pP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799499EB"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Clinical criteria:</w:t>
            </w:r>
          </w:p>
        </w:tc>
      </w:tr>
      <w:tr w:rsidR="0032505A" w:rsidRPr="009E4EB8" w14:paraId="59C5049F"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75E4EFF9" w14:textId="77777777" w:rsidR="0032505A" w:rsidRPr="009E4EB8" w:rsidRDefault="0032505A" w:rsidP="00D87FCE">
            <w:pP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6AD71EC9" w14:textId="77777777" w:rsidR="0032505A" w:rsidRPr="009E4EB8" w:rsidRDefault="0032505A" w:rsidP="00D87FCE">
            <w:pPr>
              <w:rPr>
                <w:rFonts w:ascii="Arial Narrow" w:hAnsi="Arial Narrow"/>
                <w:bCs/>
                <w:sz w:val="20"/>
                <w:szCs w:val="20"/>
              </w:rPr>
            </w:pPr>
            <w:r w:rsidRPr="009E4EB8">
              <w:rPr>
                <w:rFonts w:ascii="Arial Narrow" w:hAnsi="Arial Narrow"/>
                <w:bCs/>
                <w:sz w:val="20"/>
                <w:szCs w:val="20"/>
              </w:rPr>
              <w:t>The treatment must be in combination with dexamethasone</w:t>
            </w:r>
          </w:p>
        </w:tc>
      </w:tr>
      <w:tr w:rsidR="0032505A" w:rsidRPr="009E4EB8" w14:paraId="50F9C622"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764F2E7C" w14:textId="77777777" w:rsidR="0032505A" w:rsidRPr="009E4EB8" w:rsidRDefault="0032505A" w:rsidP="00D87FCE">
            <w:pP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56B74C5F" w14:textId="77777777" w:rsidR="0032505A" w:rsidRPr="009E4EB8" w:rsidRDefault="0032505A" w:rsidP="00D87FCE">
            <w:pPr>
              <w:rPr>
                <w:rFonts w:ascii="Arial Narrow" w:hAnsi="Arial Narrow"/>
                <w:b/>
                <w:bCs/>
                <w:sz w:val="20"/>
                <w:szCs w:val="20"/>
              </w:rPr>
            </w:pPr>
            <w:r w:rsidRPr="009E4EB8">
              <w:rPr>
                <w:rFonts w:ascii="Arial Narrow" w:hAnsi="Arial Narrow"/>
                <w:b/>
                <w:bCs/>
                <w:sz w:val="20"/>
                <w:szCs w:val="20"/>
              </w:rPr>
              <w:t>AND</w:t>
            </w:r>
          </w:p>
        </w:tc>
      </w:tr>
      <w:tr w:rsidR="0032505A" w:rsidRPr="009E4EB8" w14:paraId="1D44BCE4"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1932D63A" w14:textId="77777777" w:rsidR="0032505A" w:rsidRPr="009E4EB8" w:rsidRDefault="0032505A" w:rsidP="00D87FCE">
            <w:pP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4E513AAC" w14:textId="77777777" w:rsidR="0032505A" w:rsidRPr="009E4EB8" w:rsidRDefault="0032505A" w:rsidP="00D87FCE">
            <w:pPr>
              <w:rPr>
                <w:rFonts w:ascii="Arial Narrow" w:hAnsi="Arial Narrow"/>
                <w:b/>
                <w:bCs/>
                <w:sz w:val="20"/>
                <w:szCs w:val="20"/>
              </w:rPr>
            </w:pPr>
            <w:r w:rsidRPr="009E4EB8">
              <w:rPr>
                <w:rFonts w:ascii="Arial Narrow" w:hAnsi="Arial Narrow"/>
                <w:b/>
                <w:bCs/>
                <w:sz w:val="20"/>
                <w:szCs w:val="20"/>
              </w:rPr>
              <w:t>Clinical criteria</w:t>
            </w:r>
          </w:p>
        </w:tc>
      </w:tr>
      <w:tr w:rsidR="0032505A" w:rsidRPr="009E4EB8" w14:paraId="4346BBF6"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710F3996" w14:textId="77777777"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7021299F"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AND</w:t>
            </w:r>
          </w:p>
        </w:tc>
      </w:tr>
      <w:tr w:rsidR="0032505A" w:rsidRPr="009E4EB8" w14:paraId="60D7C26D"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0BA5A84F" w14:textId="77777777"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6D368D4D" w14:textId="77777777" w:rsidR="0032505A" w:rsidRPr="009E4EB8" w:rsidRDefault="0032505A" w:rsidP="00D87FCE">
            <w:pPr>
              <w:spacing w:before="100" w:beforeAutospacing="1" w:after="100" w:afterAutospacing="1"/>
              <w:rPr>
                <w:rFonts w:ascii="Arial Narrow" w:hAnsi="Arial Narrow"/>
                <w:sz w:val="20"/>
                <w:szCs w:val="20"/>
              </w:rPr>
            </w:pPr>
            <w:r w:rsidRPr="009E4EB8">
              <w:rPr>
                <w:rFonts w:ascii="Arial Narrow" w:hAnsi="Arial Narrow"/>
                <w:b/>
                <w:bCs/>
                <w:sz w:val="20"/>
                <w:szCs w:val="20"/>
              </w:rPr>
              <w:t>Clinical criteria:</w:t>
            </w:r>
          </w:p>
        </w:tc>
      </w:tr>
      <w:tr w:rsidR="0032505A" w:rsidRPr="009E4EB8" w14:paraId="12417B58"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504AA863" w14:textId="612264BF"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5B2AC12B"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Patient must have progressive disease after at least four prior lines of therapy, prior to initiating non-PBS subsidised therapy with this drug for this condition.</w:t>
            </w:r>
          </w:p>
        </w:tc>
      </w:tr>
      <w:tr w:rsidR="0032505A" w:rsidRPr="009E4EB8" w14:paraId="2B716914"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7525A7F2" w14:textId="77777777"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40A8EBF8" w14:textId="77777777" w:rsidR="0032505A" w:rsidRPr="009E4EB8" w:rsidRDefault="0032505A" w:rsidP="00D87FCE">
            <w:pPr>
              <w:rPr>
                <w:rFonts w:ascii="Arial Narrow" w:hAnsi="Arial Narrow"/>
                <w:b/>
                <w:bCs/>
                <w:sz w:val="20"/>
                <w:szCs w:val="20"/>
              </w:rPr>
            </w:pPr>
            <w:r w:rsidRPr="009E4EB8">
              <w:rPr>
                <w:rFonts w:ascii="Arial Narrow" w:hAnsi="Arial Narrow"/>
                <w:b/>
                <w:bCs/>
                <w:sz w:val="20"/>
                <w:szCs w:val="20"/>
              </w:rPr>
              <w:t>AND</w:t>
            </w:r>
          </w:p>
        </w:tc>
      </w:tr>
      <w:tr w:rsidR="0032505A" w:rsidRPr="009E4EB8" w14:paraId="121D92E6"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38D8F1E4" w14:textId="77777777"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75C4988F" w14:textId="77777777" w:rsidR="0032505A" w:rsidRPr="009E4EB8" w:rsidRDefault="0032505A" w:rsidP="00D87FCE">
            <w:pPr>
              <w:rPr>
                <w:rFonts w:ascii="Arial Narrow" w:hAnsi="Arial Narrow"/>
                <w:b/>
                <w:bCs/>
                <w:sz w:val="20"/>
                <w:szCs w:val="20"/>
              </w:rPr>
            </w:pPr>
            <w:r w:rsidRPr="009E4EB8">
              <w:rPr>
                <w:rFonts w:ascii="Arial Narrow" w:hAnsi="Arial Narrow"/>
                <w:b/>
                <w:bCs/>
                <w:sz w:val="20"/>
                <w:szCs w:val="20"/>
              </w:rPr>
              <w:t>Clinical criteria:</w:t>
            </w:r>
          </w:p>
        </w:tc>
      </w:tr>
      <w:tr w:rsidR="0032505A" w:rsidRPr="009E4EB8" w14:paraId="2DA54209"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1399393B" w14:textId="7F7FED4B"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78353E55" w14:textId="29D66675" w:rsidR="0032505A" w:rsidRPr="009E4EB8" w:rsidRDefault="0032505A" w:rsidP="00587FEC">
            <w:pPr>
              <w:rPr>
                <w:rFonts w:ascii="Arial Narrow" w:hAnsi="Arial Narrow"/>
                <w:bCs/>
                <w:sz w:val="20"/>
                <w:szCs w:val="20"/>
              </w:rPr>
            </w:pPr>
            <w:r w:rsidRPr="009E4EB8">
              <w:rPr>
                <w:rFonts w:ascii="Arial Narrow" w:hAnsi="Arial Narrow"/>
                <w:bCs/>
                <w:sz w:val="20"/>
                <w:szCs w:val="20"/>
              </w:rPr>
              <w:t>Patient must have demonstrated refractory disease to prior treatments, prior to initiating non-PBS subsidised therapy with this drug for this condition, which must include: (</w:t>
            </w:r>
            <w:proofErr w:type="spellStart"/>
            <w:r w:rsidRPr="009E4EB8">
              <w:rPr>
                <w:rFonts w:ascii="Arial Narrow" w:hAnsi="Arial Narrow"/>
                <w:bCs/>
                <w:sz w:val="20"/>
                <w:szCs w:val="20"/>
              </w:rPr>
              <w:t>i</w:t>
            </w:r>
            <w:proofErr w:type="spellEnd"/>
            <w:r w:rsidRPr="009E4EB8">
              <w:rPr>
                <w:rFonts w:ascii="Arial Narrow" w:hAnsi="Arial Narrow"/>
                <w:bCs/>
                <w:sz w:val="20"/>
                <w:szCs w:val="20"/>
              </w:rPr>
              <w:t>) a minimum of   two proteasome inhibitors; and (ii) a minimum of two immunomodulators; and (iii) an anti-CD38 monoclonal antibody</w:t>
            </w:r>
          </w:p>
        </w:tc>
      </w:tr>
      <w:tr w:rsidR="0032505A" w:rsidRPr="009E4EB8" w14:paraId="5D38FA10"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37E31030" w14:textId="77777777"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1CF0CEC4"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AND</w:t>
            </w:r>
          </w:p>
        </w:tc>
      </w:tr>
      <w:tr w:rsidR="0032505A" w:rsidRPr="009E4EB8" w14:paraId="0AA4661E"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DDE0EE0" w14:textId="77777777"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7AEDAA1F" w14:textId="77777777" w:rsidR="0032505A" w:rsidRPr="009E4EB8" w:rsidRDefault="0032505A" w:rsidP="00D87FCE">
            <w:pPr>
              <w:spacing w:before="100" w:beforeAutospacing="1" w:after="100" w:afterAutospacing="1"/>
              <w:rPr>
                <w:rFonts w:ascii="Arial Narrow" w:hAnsi="Arial Narrow"/>
                <w:sz w:val="20"/>
                <w:szCs w:val="20"/>
              </w:rPr>
            </w:pPr>
            <w:r w:rsidRPr="009E4EB8">
              <w:rPr>
                <w:rFonts w:ascii="Arial Narrow" w:hAnsi="Arial Narrow"/>
                <w:b/>
                <w:bCs/>
                <w:sz w:val="20"/>
                <w:szCs w:val="20"/>
              </w:rPr>
              <w:t>Clinical criteria:</w:t>
            </w:r>
          </w:p>
        </w:tc>
      </w:tr>
      <w:tr w:rsidR="0032505A" w:rsidRPr="009E4EB8" w14:paraId="0A35FF2B"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5FEE544E" w14:textId="69BF4463" w:rsidR="0032505A" w:rsidRPr="009E4EB8" w:rsidRDefault="0032505A" w:rsidP="00D87FCE">
            <w:pPr>
              <w:spacing w:before="100" w:beforeAutospacing="1" w:after="100" w:afterAutospacing="1"/>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55251225"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Patient must not be receiving concomitant PBS-subsidised treatment with any of the following: (</w:t>
            </w:r>
            <w:proofErr w:type="spellStart"/>
            <w:r w:rsidRPr="009E4EB8">
              <w:rPr>
                <w:rFonts w:ascii="Arial Narrow" w:hAnsi="Arial Narrow"/>
                <w:sz w:val="20"/>
                <w:szCs w:val="20"/>
              </w:rPr>
              <w:t>i</w:t>
            </w:r>
            <w:proofErr w:type="spellEnd"/>
            <w:r w:rsidRPr="009E4EB8">
              <w:rPr>
                <w:rFonts w:ascii="Arial Narrow" w:hAnsi="Arial Narrow"/>
                <w:sz w:val="20"/>
                <w:szCs w:val="20"/>
              </w:rPr>
              <w:t>) proteasome inhibitors, (ii) immunomodulators, (iii</w:t>
            </w:r>
            <w:proofErr w:type="gramStart"/>
            <w:r w:rsidRPr="009E4EB8">
              <w:rPr>
                <w:rFonts w:ascii="Arial Narrow" w:hAnsi="Arial Narrow"/>
                <w:sz w:val="20"/>
                <w:szCs w:val="20"/>
              </w:rPr>
              <w:t>)  anti</w:t>
            </w:r>
            <w:proofErr w:type="gramEnd"/>
            <w:r w:rsidRPr="009E4EB8">
              <w:rPr>
                <w:rFonts w:ascii="Arial Narrow" w:hAnsi="Arial Narrow"/>
                <w:sz w:val="20"/>
                <w:szCs w:val="20"/>
              </w:rPr>
              <w:t xml:space="preserve">-CD38 monoclonal antibody </w:t>
            </w:r>
          </w:p>
        </w:tc>
      </w:tr>
      <w:tr w:rsidR="0032505A" w:rsidRPr="009E4EB8" w14:paraId="1ECB0C8B"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0F3096F3" w14:textId="69AF8AC4"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561B9B14"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Prescribing Instructions:</w:t>
            </w:r>
          </w:p>
          <w:p w14:paraId="7C192DF2"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Progressive disease is defined as at least 1 of the following:</w:t>
            </w:r>
          </w:p>
          <w:p w14:paraId="6D049B64"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(a) at least a 25% increase and an absolute increase of at least 5 g per L in serum M protein (monoclonal protein); or</w:t>
            </w:r>
          </w:p>
          <w:p w14:paraId="64CA3C8B"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(b) at least a 25% increase in 24-hour urinary light chain M protein excretion, and an absolute increase of at least 200 mg per 24 hours; or</w:t>
            </w:r>
          </w:p>
          <w:p w14:paraId="3D818C05"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 xml:space="preserve">(c) in oligo-secretory and non-secretory myeloma patients only, at least a 50% increase in the difference between involved free light chain and uninvolved free light </w:t>
            </w:r>
            <w:proofErr w:type="gramStart"/>
            <w:r w:rsidRPr="009E4EB8">
              <w:rPr>
                <w:rFonts w:ascii="Arial Narrow" w:hAnsi="Arial Narrow"/>
                <w:sz w:val="20"/>
                <w:szCs w:val="20"/>
              </w:rPr>
              <w:t>chain;</w:t>
            </w:r>
            <w:proofErr w:type="gramEnd"/>
            <w:r w:rsidRPr="009E4EB8">
              <w:rPr>
                <w:rFonts w:ascii="Arial Narrow" w:hAnsi="Arial Narrow"/>
                <w:sz w:val="20"/>
                <w:szCs w:val="20"/>
              </w:rPr>
              <w:t xml:space="preserve"> or</w:t>
            </w:r>
          </w:p>
          <w:p w14:paraId="2DE56865"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(d) at least a 25% relative increase and at least a 10% absolute increase in plasma cells in a bone marrow aspirate or on biopsy; or</w:t>
            </w:r>
          </w:p>
          <w:p w14:paraId="54E2B698"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(e) an increase in the size or number of lytic bone lesions (not including compression fractures); or</w:t>
            </w:r>
          </w:p>
          <w:p w14:paraId="1883BF23"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(f) at least a 25% increase in the size of an existing or the development of a new soft tissue plasmacytoma (determined by clinical examination or diagnostic imaging); or</w:t>
            </w:r>
          </w:p>
          <w:p w14:paraId="114853FF"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(g) development of hypercalcaemia (corrected serum calcium greater than 2.65 mmol per L not attributable to any other cause).</w:t>
            </w:r>
          </w:p>
        </w:tc>
      </w:tr>
      <w:tr w:rsidR="0032505A" w:rsidRPr="009E4EB8" w14:paraId="4DCCA0F0" w14:textId="77777777" w:rsidTr="00E7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6EACFF18" w14:textId="48F216C3" w:rsidR="0032505A" w:rsidRPr="009E4EB8" w:rsidRDefault="0032505A" w:rsidP="00D87FCE">
            <w:pPr>
              <w:jc w:val="center"/>
              <w:rPr>
                <w:rFonts w:ascii="Arial Narrow"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14:paraId="7DC32A4F" w14:textId="77777777" w:rsidR="0032505A" w:rsidRPr="009E4EB8" w:rsidRDefault="0032505A" w:rsidP="00D87FCE">
            <w:pPr>
              <w:rPr>
                <w:rFonts w:ascii="Arial Narrow" w:hAnsi="Arial Narrow"/>
                <w:sz w:val="20"/>
                <w:szCs w:val="20"/>
              </w:rPr>
            </w:pPr>
            <w:r w:rsidRPr="009E4EB8">
              <w:rPr>
                <w:rFonts w:ascii="Arial Narrow" w:hAnsi="Arial Narrow"/>
                <w:b/>
                <w:bCs/>
                <w:sz w:val="20"/>
                <w:szCs w:val="20"/>
              </w:rPr>
              <w:t>Prescribing Instructions:</w:t>
            </w:r>
          </w:p>
          <w:p w14:paraId="433B1CCC" w14:textId="77777777" w:rsidR="0032505A" w:rsidRPr="009E4EB8" w:rsidRDefault="0032505A" w:rsidP="00D87FCE">
            <w:pPr>
              <w:rPr>
                <w:rFonts w:ascii="Arial Narrow" w:hAnsi="Arial Narrow"/>
                <w:sz w:val="20"/>
                <w:szCs w:val="20"/>
              </w:rPr>
            </w:pPr>
            <w:r w:rsidRPr="009E4EB8">
              <w:rPr>
                <w:rFonts w:ascii="Arial Narrow" w:hAnsi="Arial Narrow"/>
                <w:sz w:val="20"/>
                <w:szCs w:val="20"/>
              </w:rPr>
              <w:t>Oligo-secretory and non-secretory patients are defined as having active disease with less than 10 g per L serum M protein.</w:t>
            </w:r>
          </w:p>
        </w:tc>
      </w:tr>
      <w:tr w:rsidR="0032505A" w:rsidRPr="009E4EB8" w14:paraId="0D7471BF"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418" w:type="dxa"/>
            <w:gridSpan w:val="2"/>
            <w:tcBorders>
              <w:top w:val="single" w:sz="4" w:space="0" w:color="auto"/>
              <w:left w:val="single" w:sz="4" w:space="0" w:color="auto"/>
              <w:bottom w:val="single" w:sz="4" w:space="0" w:color="auto"/>
              <w:right w:val="single" w:sz="4" w:space="0" w:color="auto"/>
            </w:tcBorders>
            <w:vAlign w:val="center"/>
          </w:tcPr>
          <w:p w14:paraId="45F4E48C" w14:textId="212223C2" w:rsidR="0032505A" w:rsidRPr="009E4EB8" w:rsidRDefault="0032505A" w:rsidP="00D87FCE">
            <w:pPr>
              <w:pStyle w:val="NormalWeb"/>
              <w:spacing w:before="0" w:after="0"/>
              <w:jc w:val="center"/>
              <w:rPr>
                <w:rFonts w:ascii="Arial Narrow" w:hAnsi="Arial Narrow" w:cstheme="majorHAnsi"/>
                <w:sz w:val="20"/>
                <w:szCs w:val="20"/>
                <w:lang w:val="en-AU"/>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5EF0A3AD" w14:textId="77777777" w:rsidR="0032505A" w:rsidRPr="009E4EB8" w:rsidRDefault="0032505A" w:rsidP="00D87FCE">
            <w:pPr>
              <w:pStyle w:val="NormalWeb"/>
              <w:spacing w:before="0" w:after="0"/>
              <w:rPr>
                <w:rFonts w:ascii="Arial Narrow" w:hAnsi="Arial Narrow" w:cstheme="majorHAnsi"/>
                <w:sz w:val="20"/>
                <w:szCs w:val="20"/>
                <w:lang w:val="en-AU"/>
              </w:rPr>
            </w:pPr>
            <w:r w:rsidRPr="009E4EB8">
              <w:rPr>
                <w:rStyle w:val="Strong"/>
                <w:rFonts w:ascii="Arial Narrow" w:hAnsi="Arial Narrow" w:cstheme="majorHAnsi"/>
                <w:sz w:val="20"/>
                <w:szCs w:val="20"/>
                <w:lang w:val="en-AU"/>
              </w:rPr>
              <w:t>Administrative Advice:</w:t>
            </w:r>
          </w:p>
          <w:p w14:paraId="50C4155D" w14:textId="77777777" w:rsidR="0032505A" w:rsidRPr="009E4EB8" w:rsidRDefault="0032505A" w:rsidP="00D87FCE">
            <w:pPr>
              <w:rPr>
                <w:rFonts w:ascii="Arial Narrow" w:hAnsi="Arial Narrow" w:cstheme="majorHAnsi"/>
                <w:b/>
                <w:bCs/>
                <w:sz w:val="20"/>
                <w:szCs w:val="20"/>
              </w:rPr>
            </w:pPr>
            <w:r w:rsidRPr="009E4EB8">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32505A" w:rsidRPr="009E4EB8" w14:paraId="27F213FD"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hidden/>
        </w:trPr>
        <w:tc>
          <w:tcPr>
            <w:tcW w:w="1418" w:type="dxa"/>
            <w:gridSpan w:val="2"/>
            <w:tcBorders>
              <w:top w:val="single" w:sz="4" w:space="0" w:color="auto"/>
              <w:left w:val="single" w:sz="4" w:space="0" w:color="auto"/>
              <w:bottom w:val="single" w:sz="4" w:space="0" w:color="auto"/>
              <w:right w:val="single" w:sz="4" w:space="0" w:color="auto"/>
            </w:tcBorders>
          </w:tcPr>
          <w:p w14:paraId="473C6183" w14:textId="35C28A11" w:rsidR="0032505A" w:rsidRPr="009E4EB8" w:rsidRDefault="0032505A" w:rsidP="00D87FCE">
            <w:pPr>
              <w:jc w:val="center"/>
              <w:outlineLvl w:val="4"/>
              <w:rPr>
                <w:rFonts w:ascii="Arial Narrow" w:hAnsi="Arial Narrow" w:cstheme="majorHAnsi"/>
                <w:vanish/>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7275B01C" w14:textId="77777777" w:rsidR="0032505A" w:rsidRPr="009E4EB8" w:rsidRDefault="0032505A" w:rsidP="00D87FCE">
            <w:pPr>
              <w:rPr>
                <w:rFonts w:ascii="Arial Narrow" w:hAnsi="Arial Narrow" w:cstheme="majorHAnsi"/>
                <w:b/>
                <w:bCs/>
                <w:sz w:val="20"/>
                <w:szCs w:val="20"/>
              </w:rPr>
            </w:pPr>
            <w:r w:rsidRPr="009E4EB8">
              <w:rPr>
                <w:rFonts w:ascii="Arial Narrow" w:hAnsi="Arial Narrow" w:cstheme="minorHAnsi"/>
                <w:b/>
                <w:sz w:val="20"/>
                <w:szCs w:val="20"/>
              </w:rPr>
              <w:t xml:space="preserve">Administrative Advice: </w:t>
            </w:r>
            <w:r w:rsidRPr="009E4EB8">
              <w:rPr>
                <w:rFonts w:ascii="Arial Narrow" w:hAnsi="Arial Narrow" w:cstheme="minorHAnsi"/>
                <w:sz w:val="20"/>
                <w:szCs w:val="20"/>
              </w:rPr>
              <w:t>No increase in the maximum number of repeats may be authorised.</w:t>
            </w:r>
          </w:p>
        </w:tc>
      </w:tr>
      <w:tr w:rsidR="0032505A" w:rsidRPr="009E4EB8" w14:paraId="12ED2A70"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hidden/>
        </w:trPr>
        <w:tc>
          <w:tcPr>
            <w:tcW w:w="1418" w:type="dxa"/>
            <w:gridSpan w:val="2"/>
            <w:tcBorders>
              <w:top w:val="single" w:sz="4" w:space="0" w:color="auto"/>
              <w:left w:val="single" w:sz="4" w:space="0" w:color="auto"/>
              <w:bottom w:val="single" w:sz="4" w:space="0" w:color="auto"/>
              <w:right w:val="single" w:sz="4" w:space="0" w:color="auto"/>
            </w:tcBorders>
          </w:tcPr>
          <w:p w14:paraId="0CF5A775" w14:textId="033777AF" w:rsidR="0032505A" w:rsidRPr="009E4EB8" w:rsidRDefault="0032505A" w:rsidP="00D87FCE">
            <w:pPr>
              <w:jc w:val="center"/>
              <w:outlineLvl w:val="4"/>
              <w:rPr>
                <w:rFonts w:ascii="Arial Narrow" w:hAnsi="Arial Narrow" w:cstheme="majorHAnsi"/>
                <w:vanish/>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4725DF1D" w14:textId="77777777" w:rsidR="0032505A" w:rsidRPr="009E4EB8" w:rsidRDefault="0032505A" w:rsidP="00D87FCE">
            <w:pPr>
              <w:rPr>
                <w:rFonts w:ascii="Arial Narrow" w:hAnsi="Arial Narrow" w:cstheme="majorHAnsi"/>
                <w:b/>
                <w:bCs/>
                <w:sz w:val="20"/>
                <w:szCs w:val="20"/>
              </w:rPr>
            </w:pPr>
            <w:r w:rsidRPr="009E4EB8">
              <w:rPr>
                <w:rFonts w:ascii="Arial Narrow" w:hAnsi="Arial Narrow" w:cstheme="minorHAnsi"/>
                <w:b/>
                <w:sz w:val="20"/>
                <w:szCs w:val="20"/>
              </w:rPr>
              <w:t>Administrative Advice:</w:t>
            </w:r>
            <w:r w:rsidRPr="009E4EB8">
              <w:rPr>
                <w:rFonts w:ascii="Arial Narrow" w:hAnsi="Arial Narrow" w:cstheme="minorHAnsi"/>
                <w:sz w:val="20"/>
                <w:szCs w:val="20"/>
              </w:rPr>
              <w:t xml:space="preserve"> Special Pricing Arrangements apply</w:t>
            </w:r>
          </w:p>
        </w:tc>
      </w:tr>
      <w:tr w:rsidR="0032505A" w:rsidRPr="009E4EB8" w14:paraId="231C88E0" w14:textId="77777777" w:rsidTr="00D8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hidden/>
        </w:trPr>
        <w:tc>
          <w:tcPr>
            <w:tcW w:w="1418" w:type="dxa"/>
            <w:gridSpan w:val="2"/>
            <w:tcBorders>
              <w:top w:val="single" w:sz="4" w:space="0" w:color="auto"/>
              <w:left w:val="single" w:sz="4" w:space="0" w:color="auto"/>
              <w:bottom w:val="single" w:sz="4" w:space="0" w:color="auto"/>
              <w:right w:val="single" w:sz="4" w:space="0" w:color="auto"/>
            </w:tcBorders>
          </w:tcPr>
          <w:p w14:paraId="2F81C86E" w14:textId="77777777" w:rsidR="0032505A" w:rsidRPr="009E4EB8" w:rsidRDefault="0032505A" w:rsidP="00D87FCE">
            <w:pPr>
              <w:jc w:val="center"/>
              <w:outlineLvl w:val="4"/>
              <w:rPr>
                <w:rFonts w:ascii="Arial Narrow" w:hAnsi="Arial Narrow" w:cstheme="majorHAnsi"/>
                <w:vanish/>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20F2F137" w14:textId="56C44A31" w:rsidR="0032505A" w:rsidRPr="009E4EB8" w:rsidRDefault="0032505A" w:rsidP="0032505A">
            <w:pPr>
              <w:rPr>
                <w:rFonts w:ascii="Arial Narrow" w:hAnsi="Arial Narrow" w:cstheme="majorHAnsi"/>
                <w:b/>
                <w:bCs/>
                <w:sz w:val="20"/>
                <w:szCs w:val="20"/>
              </w:rPr>
            </w:pPr>
            <w:r w:rsidRPr="009E4EB8">
              <w:rPr>
                <w:rFonts w:ascii="Arial Narrow" w:hAnsi="Arial Narrow" w:cstheme="minorHAnsi"/>
                <w:b/>
                <w:sz w:val="20"/>
                <w:szCs w:val="20"/>
              </w:rPr>
              <w:t xml:space="preserve">Caution: </w:t>
            </w:r>
            <w:r w:rsidRPr="009E4EB8">
              <w:rPr>
                <w:rFonts w:ascii="Arial Narrow" w:hAnsi="Arial Narrow" w:cstheme="minorHAnsi"/>
                <w:sz w:val="20"/>
                <w:szCs w:val="20"/>
              </w:rPr>
              <w:t>This drug is a category D drug and must not be given to pregnant women. If selinexor is taken during pregnancy, a teratogenic effect of selinexor in humans cannot be ruled out.</w:t>
            </w:r>
          </w:p>
        </w:tc>
      </w:tr>
    </w:tbl>
    <w:bookmarkEnd w:id="2"/>
    <w:bookmarkEnd w:id="3"/>
    <w:bookmarkEnd w:id="4"/>
    <w:bookmarkEnd w:id="5"/>
    <w:bookmarkEnd w:id="6"/>
    <w:bookmarkEnd w:id="89"/>
    <w:p w14:paraId="5A8DC896" w14:textId="793C8F9A" w:rsidR="00E9580F" w:rsidRDefault="00E9580F" w:rsidP="0032505A">
      <w:pPr>
        <w:jc w:val="left"/>
        <w:rPr>
          <w:rFonts w:asciiTheme="minorHAnsi" w:hAnsiTheme="minorHAnsi"/>
          <w:b/>
          <w:bCs/>
          <w:i/>
          <w:szCs w:val="22"/>
        </w:rPr>
      </w:pPr>
      <w:r w:rsidRPr="00BB6D30">
        <w:rPr>
          <w:rFonts w:asciiTheme="minorHAnsi" w:hAnsiTheme="minorHAnsi"/>
          <w:b/>
          <w:bCs/>
          <w:i/>
          <w:szCs w:val="22"/>
        </w:rPr>
        <w:t>This restriction may be subject to further review. Should there be any changes made to the restriction the sponsor will be informed</w:t>
      </w:r>
    </w:p>
    <w:p w14:paraId="235DF864" w14:textId="670EC81A" w:rsidR="00EA4973" w:rsidRDefault="00EA4973" w:rsidP="0032505A">
      <w:pPr>
        <w:jc w:val="left"/>
        <w:rPr>
          <w:rFonts w:asciiTheme="minorHAnsi" w:hAnsiTheme="minorHAnsi"/>
          <w:b/>
          <w:bCs/>
          <w:i/>
          <w:szCs w:val="22"/>
        </w:rPr>
      </w:pPr>
    </w:p>
    <w:p w14:paraId="7BBE2B2D" w14:textId="4A2CFF5A" w:rsidR="00EA4973" w:rsidRDefault="00EA4973" w:rsidP="00EA4973">
      <w:pPr>
        <w:pStyle w:val="2-SectionHeading"/>
        <w:rPr>
          <w:bCs/>
          <w:lang w:val="en-GB"/>
        </w:rPr>
      </w:pPr>
      <w:r w:rsidRPr="00C07617">
        <w:t>Context for Decision</w:t>
      </w:r>
    </w:p>
    <w:p w14:paraId="498B536F" w14:textId="77777777" w:rsidR="00EA4973" w:rsidRPr="007129F2" w:rsidRDefault="00EA4973" w:rsidP="00EA4973">
      <w:pPr>
        <w:spacing w:after="120"/>
        <w:ind w:left="426"/>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10CAD5C" w14:textId="4B3087EA" w:rsidR="00EA4973" w:rsidRPr="00C07617" w:rsidRDefault="00EA4973" w:rsidP="00EA4973">
      <w:pPr>
        <w:pStyle w:val="2-SectionHeading"/>
      </w:pPr>
      <w:r>
        <w:t>Sponsor’s Comment</w:t>
      </w:r>
    </w:p>
    <w:p w14:paraId="3D1F7AFE" w14:textId="191EEF82" w:rsidR="00EA4973" w:rsidRPr="009E4EB8" w:rsidRDefault="0090725C" w:rsidP="0032505A">
      <w:pPr>
        <w:jc w:val="left"/>
      </w:pPr>
      <w:r w:rsidRPr="00885237">
        <w:t xml:space="preserve">Antengene wishes to thank </w:t>
      </w:r>
      <w:proofErr w:type="gramStart"/>
      <w:r w:rsidRPr="00885237">
        <w:t>all of</w:t>
      </w:r>
      <w:proofErr w:type="gramEnd"/>
      <w:r w:rsidRPr="00885237">
        <w:t xml:space="preserve"> the patients, patient organisations and health care professionals for their support of this submission and we are very proud</w:t>
      </w:r>
      <w:r w:rsidR="00AC0597" w:rsidRPr="00885237">
        <w:t xml:space="preserve"> to provide the first indication of XPOVIO access to patients in Australia.</w:t>
      </w:r>
    </w:p>
    <w:sectPr w:rsidR="00EA4973" w:rsidRPr="009E4EB8" w:rsidSect="00251006">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80BC7" w14:textId="77777777" w:rsidR="00F85644" w:rsidRDefault="00F85644" w:rsidP="00124A51">
      <w:r>
        <w:separator/>
      </w:r>
    </w:p>
    <w:p w14:paraId="584891CE" w14:textId="77777777" w:rsidR="00F85644" w:rsidRDefault="00F85644"/>
  </w:endnote>
  <w:endnote w:type="continuationSeparator" w:id="0">
    <w:p w14:paraId="0CA14C88" w14:textId="77777777" w:rsidR="00F85644" w:rsidRDefault="00F85644" w:rsidP="00124A51">
      <w:r>
        <w:continuationSeparator/>
      </w:r>
    </w:p>
    <w:p w14:paraId="2301B72E" w14:textId="77777777" w:rsidR="00F85644" w:rsidRDefault="00F85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UI Light">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2472C" w14:textId="77777777" w:rsidR="00992522" w:rsidRDefault="00992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B6B52" w14:textId="77777777" w:rsidR="00885237" w:rsidRPr="00D13A3E" w:rsidRDefault="00885237" w:rsidP="00015886">
    <w:pPr>
      <w:ind w:right="360"/>
      <w:jc w:val="center"/>
      <w:rPr>
        <w:b/>
        <w:sz w:val="20"/>
      </w:rPr>
    </w:pPr>
  </w:p>
  <w:bookmarkStart w:id="91" w:name="_Hlk76375156"/>
  <w:p w14:paraId="5020DBBD" w14:textId="12E8B96D" w:rsidR="00885237" w:rsidRPr="007C1CD9" w:rsidRDefault="00885237" w:rsidP="00015886">
    <w:pPr>
      <w:ind w:right="360"/>
      <w:jc w:val="center"/>
    </w:pPr>
    <w:r w:rsidRPr="00836F75">
      <w:rPr>
        <w:b/>
      </w:rPr>
      <w:fldChar w:fldCharType="begin"/>
    </w:r>
    <w:r w:rsidRPr="00836F75">
      <w:rPr>
        <w:b/>
      </w:rPr>
      <w:instrText xml:space="preserve"> PAGE   \* MERGEFORMAT </w:instrText>
    </w:r>
    <w:r w:rsidRPr="00836F75">
      <w:rPr>
        <w:b/>
      </w:rPr>
      <w:fldChar w:fldCharType="separate"/>
    </w:r>
    <w:r>
      <w:rPr>
        <w:b/>
        <w:noProof/>
      </w:rPr>
      <w:t>43</w:t>
    </w:r>
    <w:r w:rsidRPr="00836F75">
      <w:rPr>
        <w:b/>
        <w:noProof/>
      </w:rPr>
      <w:fldChar w:fldCharType="end"/>
    </w:r>
    <w:bookmarkEnd w:id="91"/>
  </w:p>
  <w:p w14:paraId="74A6822E" w14:textId="77777777" w:rsidR="00885237" w:rsidRDefault="008852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042D3" w14:textId="77777777" w:rsidR="00992522" w:rsidRDefault="0099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D01B1" w14:textId="77777777" w:rsidR="00F85644" w:rsidRDefault="00F85644" w:rsidP="00124A51">
      <w:r>
        <w:separator/>
      </w:r>
    </w:p>
    <w:p w14:paraId="4196A65D" w14:textId="77777777" w:rsidR="00F85644" w:rsidRDefault="00F85644"/>
  </w:footnote>
  <w:footnote w:type="continuationSeparator" w:id="0">
    <w:p w14:paraId="7D10E360" w14:textId="77777777" w:rsidR="00F85644" w:rsidRDefault="00F85644" w:rsidP="00124A51">
      <w:r>
        <w:continuationSeparator/>
      </w:r>
    </w:p>
    <w:p w14:paraId="0BEFCFAA" w14:textId="77777777" w:rsidR="00F85644" w:rsidRDefault="00F85644"/>
  </w:footnote>
  <w:footnote w:id="1">
    <w:p w14:paraId="40C3E858" w14:textId="12608CE3" w:rsidR="00885237" w:rsidRPr="004A0FEC" w:rsidRDefault="00885237">
      <w:pPr>
        <w:pStyle w:val="FootnoteText"/>
        <w:rPr>
          <w:rFonts w:ascii="Arial Narrow" w:hAnsi="Arial Narrow"/>
        </w:rPr>
      </w:pPr>
      <w:r w:rsidRPr="004A0FEC">
        <w:rPr>
          <w:rStyle w:val="FootnoteReference"/>
          <w:rFonts w:ascii="Arial Narrow" w:hAnsi="Arial Narrow"/>
        </w:rPr>
        <w:footnoteRef/>
      </w:r>
      <w:r w:rsidRPr="004A0FEC">
        <w:rPr>
          <w:rFonts w:ascii="Arial Narrow" w:hAnsi="Arial Narrow"/>
        </w:rPr>
        <w:t xml:space="preserve"> </w:t>
      </w:r>
      <w:r w:rsidRPr="004A0FEC">
        <w:rPr>
          <w:rFonts w:ascii="Arial Narrow" w:hAnsi="Arial Narrow"/>
          <w:color w:val="212121"/>
          <w:shd w:val="clear" w:color="auto" w:fill="FFFFFF"/>
        </w:rPr>
        <w:t>Chakraborty R, Efficace F. Importance of quality of life in early phase clinical trials: A case study of selinexor in multiple myeloma. Br J Haematol. 2020 May;189(3):e112-e113.</w:t>
      </w:r>
    </w:p>
  </w:footnote>
  <w:footnote w:id="2">
    <w:p w14:paraId="19C302EF" w14:textId="18A4C603" w:rsidR="00885237" w:rsidRPr="004A0FEC" w:rsidRDefault="00885237">
      <w:pPr>
        <w:pStyle w:val="FootnoteText"/>
        <w:rPr>
          <w:rFonts w:ascii="Arial Narrow" w:hAnsi="Arial Narrow"/>
        </w:rPr>
      </w:pPr>
      <w:r w:rsidRPr="004A0FEC">
        <w:rPr>
          <w:rStyle w:val="FootnoteReference"/>
          <w:rFonts w:ascii="Arial Narrow" w:hAnsi="Arial Narrow"/>
        </w:rPr>
        <w:footnoteRef/>
      </w:r>
      <w:r w:rsidRPr="004A0FEC">
        <w:rPr>
          <w:rFonts w:ascii="Arial Narrow" w:hAnsi="Arial Narrow"/>
        </w:rPr>
        <w:t xml:space="preserve"> </w:t>
      </w:r>
      <w:r w:rsidRPr="004A0FEC">
        <w:rPr>
          <w:rFonts w:ascii="Arial Narrow" w:hAnsi="Arial Narrow"/>
          <w:color w:val="212121"/>
          <w:shd w:val="clear" w:color="auto" w:fill="FFFFFF"/>
        </w:rPr>
        <w:t>Tremblay G, et al. Quality of life analyses in patients with multiple myeloma: results from the Selinexor (KPT-330) Treatment of Refractory Myeloma (STORM) phase 2b study. BMC Cancer. 2021 Sep 6;21(1):993.</w:t>
      </w:r>
    </w:p>
  </w:footnote>
  <w:footnote w:id="3">
    <w:p w14:paraId="4B03E293" w14:textId="77777777" w:rsidR="00885237" w:rsidRPr="004A0FEC" w:rsidRDefault="00885237" w:rsidP="002811A9">
      <w:pPr>
        <w:pStyle w:val="FootnoteText"/>
        <w:rPr>
          <w:rFonts w:ascii="Arial Narrow" w:hAnsi="Arial Narrow"/>
        </w:rPr>
      </w:pPr>
      <w:r w:rsidRPr="004A0FEC">
        <w:rPr>
          <w:rStyle w:val="FootnoteReference"/>
          <w:rFonts w:ascii="Arial Narrow" w:hAnsi="Arial Narrow"/>
        </w:rPr>
        <w:footnoteRef/>
      </w:r>
      <w:r w:rsidRPr="004A0FEC">
        <w:rPr>
          <w:rFonts w:ascii="Arial Narrow" w:hAnsi="Arial Narrow"/>
        </w:rPr>
        <w:t xml:space="preserve"> </w:t>
      </w:r>
      <w:r w:rsidRPr="004A0FEC">
        <w:rPr>
          <w:rFonts w:ascii="Arial Narrow" w:hAnsi="Arial Narrow" w:cs="Segoe UI"/>
          <w:color w:val="212121"/>
          <w:shd w:val="clear" w:color="auto" w:fill="FFFFFF"/>
        </w:rPr>
        <w:t>Grosicki S, et al. Once-per-week selinexor, bortezomib, and dexamethasone versus twice-per-week bortezomib and dexamethasone in patients with multiple myeloma (BOSTON): a randomised, open-label, phase 3 trial. Lancet. 2020 Nov 14;396(10262):1563-1573.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0493B" w14:textId="77777777" w:rsidR="00992522" w:rsidRDefault="00992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1035F" w14:textId="0A5A4A01" w:rsidR="00885237" w:rsidRPr="00056684" w:rsidRDefault="00885237" w:rsidP="00357528">
    <w:pPr>
      <w:pStyle w:val="Header"/>
      <w:ind w:left="360"/>
      <w:rPr>
        <w:rFonts w:asciiTheme="minorHAnsi" w:hAnsiTheme="minorHAnsi"/>
        <w:i/>
        <w:color w:val="808080"/>
      </w:rPr>
    </w:pPr>
    <w:bookmarkStart w:id="90" w:name="_Hlk76375146"/>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2022</w:t>
    </w:r>
    <w:r w:rsidRPr="00056684">
      <w:rPr>
        <w:rFonts w:asciiTheme="minorHAnsi" w:hAnsiTheme="minorHAnsi"/>
        <w:i/>
        <w:color w:val="808080"/>
      </w:rPr>
      <w:t xml:space="preserve"> PBAC Meeting</w:t>
    </w:r>
  </w:p>
  <w:bookmarkEnd w:id="90"/>
  <w:p w14:paraId="0326898A" w14:textId="024D3F3B" w:rsidR="00885237" w:rsidRDefault="008852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C4FEE" w14:textId="77777777" w:rsidR="00992522" w:rsidRDefault="00992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30618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B03631"/>
    <w:multiLevelType w:val="hybridMultilevel"/>
    <w:tmpl w:val="553432E8"/>
    <w:lvl w:ilvl="0" w:tplc="39FAA48C">
      <w:start w:val="1"/>
      <w:numFmt w:val="bullet"/>
      <w:lvlText w:val="•"/>
      <w:lvlJc w:val="left"/>
      <w:pPr>
        <w:tabs>
          <w:tab w:val="num" w:pos="720"/>
        </w:tabs>
        <w:ind w:left="720" w:hanging="360"/>
      </w:pPr>
      <w:rPr>
        <w:rFonts w:ascii="Arial" w:hAnsi="Arial" w:hint="default"/>
      </w:rPr>
    </w:lvl>
    <w:lvl w:ilvl="1" w:tplc="353215DE">
      <w:start w:val="1"/>
      <w:numFmt w:val="bullet"/>
      <w:lvlText w:val="•"/>
      <w:lvlJc w:val="left"/>
      <w:pPr>
        <w:tabs>
          <w:tab w:val="num" w:pos="1440"/>
        </w:tabs>
        <w:ind w:left="1440" w:hanging="360"/>
      </w:pPr>
      <w:rPr>
        <w:rFonts w:ascii="Arial" w:hAnsi="Arial" w:hint="default"/>
      </w:rPr>
    </w:lvl>
    <w:lvl w:ilvl="2" w:tplc="66FC3EA6" w:tentative="1">
      <w:start w:val="1"/>
      <w:numFmt w:val="bullet"/>
      <w:lvlText w:val="•"/>
      <w:lvlJc w:val="left"/>
      <w:pPr>
        <w:tabs>
          <w:tab w:val="num" w:pos="2160"/>
        </w:tabs>
        <w:ind w:left="2160" w:hanging="360"/>
      </w:pPr>
      <w:rPr>
        <w:rFonts w:ascii="Arial" w:hAnsi="Arial" w:hint="default"/>
      </w:rPr>
    </w:lvl>
    <w:lvl w:ilvl="3" w:tplc="C5E2E266" w:tentative="1">
      <w:start w:val="1"/>
      <w:numFmt w:val="bullet"/>
      <w:lvlText w:val="•"/>
      <w:lvlJc w:val="left"/>
      <w:pPr>
        <w:tabs>
          <w:tab w:val="num" w:pos="2880"/>
        </w:tabs>
        <w:ind w:left="2880" w:hanging="360"/>
      </w:pPr>
      <w:rPr>
        <w:rFonts w:ascii="Arial" w:hAnsi="Arial" w:hint="default"/>
      </w:rPr>
    </w:lvl>
    <w:lvl w:ilvl="4" w:tplc="F37217A6" w:tentative="1">
      <w:start w:val="1"/>
      <w:numFmt w:val="bullet"/>
      <w:lvlText w:val="•"/>
      <w:lvlJc w:val="left"/>
      <w:pPr>
        <w:tabs>
          <w:tab w:val="num" w:pos="3600"/>
        </w:tabs>
        <w:ind w:left="3600" w:hanging="360"/>
      </w:pPr>
      <w:rPr>
        <w:rFonts w:ascii="Arial" w:hAnsi="Arial" w:hint="default"/>
      </w:rPr>
    </w:lvl>
    <w:lvl w:ilvl="5" w:tplc="87AE9B56" w:tentative="1">
      <w:start w:val="1"/>
      <w:numFmt w:val="bullet"/>
      <w:lvlText w:val="•"/>
      <w:lvlJc w:val="left"/>
      <w:pPr>
        <w:tabs>
          <w:tab w:val="num" w:pos="4320"/>
        </w:tabs>
        <w:ind w:left="4320" w:hanging="360"/>
      </w:pPr>
      <w:rPr>
        <w:rFonts w:ascii="Arial" w:hAnsi="Arial" w:hint="default"/>
      </w:rPr>
    </w:lvl>
    <w:lvl w:ilvl="6" w:tplc="C4963C00" w:tentative="1">
      <w:start w:val="1"/>
      <w:numFmt w:val="bullet"/>
      <w:lvlText w:val="•"/>
      <w:lvlJc w:val="left"/>
      <w:pPr>
        <w:tabs>
          <w:tab w:val="num" w:pos="5040"/>
        </w:tabs>
        <w:ind w:left="5040" w:hanging="360"/>
      </w:pPr>
      <w:rPr>
        <w:rFonts w:ascii="Arial" w:hAnsi="Arial" w:hint="default"/>
      </w:rPr>
    </w:lvl>
    <w:lvl w:ilvl="7" w:tplc="2DD23306" w:tentative="1">
      <w:start w:val="1"/>
      <w:numFmt w:val="bullet"/>
      <w:lvlText w:val="•"/>
      <w:lvlJc w:val="left"/>
      <w:pPr>
        <w:tabs>
          <w:tab w:val="num" w:pos="5760"/>
        </w:tabs>
        <w:ind w:left="5760" w:hanging="360"/>
      </w:pPr>
      <w:rPr>
        <w:rFonts w:ascii="Arial" w:hAnsi="Arial" w:hint="default"/>
      </w:rPr>
    </w:lvl>
    <w:lvl w:ilvl="8" w:tplc="C6AE97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E6F44"/>
    <w:multiLevelType w:val="hybridMultilevel"/>
    <w:tmpl w:val="F31E510A"/>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2C7B36"/>
    <w:multiLevelType w:val="hybridMultilevel"/>
    <w:tmpl w:val="AC5AA1B6"/>
    <w:lvl w:ilvl="0" w:tplc="5E4030B8">
      <w:start w:val="1"/>
      <w:numFmt w:val="lowerLetter"/>
      <w:lvlText w:val="%1)"/>
      <w:lvlJc w:val="lef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13393443"/>
    <w:multiLevelType w:val="hybridMultilevel"/>
    <w:tmpl w:val="3F506C1E"/>
    <w:lvl w:ilvl="0" w:tplc="2168E586">
      <w:start w:val="1"/>
      <w:numFmt w:val="bullet"/>
      <w:lvlText w:val="•"/>
      <w:lvlJc w:val="left"/>
      <w:pPr>
        <w:tabs>
          <w:tab w:val="num" w:pos="720"/>
        </w:tabs>
        <w:ind w:left="720" w:hanging="360"/>
      </w:pPr>
      <w:rPr>
        <w:rFonts w:ascii="Arial" w:hAnsi="Arial" w:hint="default"/>
      </w:rPr>
    </w:lvl>
    <w:lvl w:ilvl="1" w:tplc="F4B8D7D6" w:tentative="1">
      <w:start w:val="1"/>
      <w:numFmt w:val="bullet"/>
      <w:lvlText w:val="•"/>
      <w:lvlJc w:val="left"/>
      <w:pPr>
        <w:tabs>
          <w:tab w:val="num" w:pos="1440"/>
        </w:tabs>
        <w:ind w:left="1440" w:hanging="360"/>
      </w:pPr>
      <w:rPr>
        <w:rFonts w:ascii="Arial" w:hAnsi="Arial" w:hint="default"/>
      </w:rPr>
    </w:lvl>
    <w:lvl w:ilvl="2" w:tplc="D0422396">
      <w:start w:val="1"/>
      <w:numFmt w:val="bullet"/>
      <w:lvlText w:val="•"/>
      <w:lvlJc w:val="left"/>
      <w:pPr>
        <w:tabs>
          <w:tab w:val="num" w:pos="2160"/>
        </w:tabs>
        <w:ind w:left="2160" w:hanging="360"/>
      </w:pPr>
      <w:rPr>
        <w:rFonts w:ascii="Arial" w:hAnsi="Arial" w:hint="default"/>
      </w:rPr>
    </w:lvl>
    <w:lvl w:ilvl="3" w:tplc="7FC8AB04" w:tentative="1">
      <w:start w:val="1"/>
      <w:numFmt w:val="bullet"/>
      <w:lvlText w:val="•"/>
      <w:lvlJc w:val="left"/>
      <w:pPr>
        <w:tabs>
          <w:tab w:val="num" w:pos="2880"/>
        </w:tabs>
        <w:ind w:left="2880" w:hanging="360"/>
      </w:pPr>
      <w:rPr>
        <w:rFonts w:ascii="Arial" w:hAnsi="Arial" w:hint="default"/>
      </w:rPr>
    </w:lvl>
    <w:lvl w:ilvl="4" w:tplc="3EFCAA60" w:tentative="1">
      <w:start w:val="1"/>
      <w:numFmt w:val="bullet"/>
      <w:lvlText w:val="•"/>
      <w:lvlJc w:val="left"/>
      <w:pPr>
        <w:tabs>
          <w:tab w:val="num" w:pos="3600"/>
        </w:tabs>
        <w:ind w:left="3600" w:hanging="360"/>
      </w:pPr>
      <w:rPr>
        <w:rFonts w:ascii="Arial" w:hAnsi="Arial" w:hint="default"/>
      </w:rPr>
    </w:lvl>
    <w:lvl w:ilvl="5" w:tplc="C6BE2116" w:tentative="1">
      <w:start w:val="1"/>
      <w:numFmt w:val="bullet"/>
      <w:lvlText w:val="•"/>
      <w:lvlJc w:val="left"/>
      <w:pPr>
        <w:tabs>
          <w:tab w:val="num" w:pos="4320"/>
        </w:tabs>
        <w:ind w:left="4320" w:hanging="360"/>
      </w:pPr>
      <w:rPr>
        <w:rFonts w:ascii="Arial" w:hAnsi="Arial" w:hint="default"/>
      </w:rPr>
    </w:lvl>
    <w:lvl w:ilvl="6" w:tplc="C35C2654" w:tentative="1">
      <w:start w:val="1"/>
      <w:numFmt w:val="bullet"/>
      <w:lvlText w:val="•"/>
      <w:lvlJc w:val="left"/>
      <w:pPr>
        <w:tabs>
          <w:tab w:val="num" w:pos="5040"/>
        </w:tabs>
        <w:ind w:left="5040" w:hanging="360"/>
      </w:pPr>
      <w:rPr>
        <w:rFonts w:ascii="Arial" w:hAnsi="Arial" w:hint="default"/>
      </w:rPr>
    </w:lvl>
    <w:lvl w:ilvl="7" w:tplc="BCCA2B5C" w:tentative="1">
      <w:start w:val="1"/>
      <w:numFmt w:val="bullet"/>
      <w:lvlText w:val="•"/>
      <w:lvlJc w:val="left"/>
      <w:pPr>
        <w:tabs>
          <w:tab w:val="num" w:pos="5760"/>
        </w:tabs>
        <w:ind w:left="5760" w:hanging="360"/>
      </w:pPr>
      <w:rPr>
        <w:rFonts w:ascii="Arial" w:hAnsi="Arial" w:hint="default"/>
      </w:rPr>
    </w:lvl>
    <w:lvl w:ilvl="8" w:tplc="EA4851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2274C1"/>
    <w:multiLevelType w:val="hybridMultilevel"/>
    <w:tmpl w:val="E104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BA74C6"/>
    <w:multiLevelType w:val="hybridMultilevel"/>
    <w:tmpl w:val="95C08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313F6"/>
    <w:multiLevelType w:val="hybridMultilevel"/>
    <w:tmpl w:val="E7CC05DA"/>
    <w:lvl w:ilvl="0" w:tplc="B840FD3E">
      <w:start w:val="1"/>
      <w:numFmt w:val="decimal"/>
      <w:lvlText w:val="%1."/>
      <w:lvlJc w:val="left"/>
      <w:pPr>
        <w:ind w:left="720" w:hanging="360"/>
      </w:pPr>
      <w:rPr>
        <w:rFonts w:hint="default"/>
        <w: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480150"/>
    <w:multiLevelType w:val="multilevel"/>
    <w:tmpl w:val="1086620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7D7489"/>
    <w:multiLevelType w:val="hybridMultilevel"/>
    <w:tmpl w:val="FFA273E4"/>
    <w:lvl w:ilvl="0" w:tplc="69544208">
      <w:start w:val="1"/>
      <w:numFmt w:val="bullet"/>
      <w:lvlText w:val="•"/>
      <w:lvlJc w:val="left"/>
      <w:pPr>
        <w:tabs>
          <w:tab w:val="num" w:pos="720"/>
        </w:tabs>
        <w:ind w:left="720" w:hanging="360"/>
      </w:pPr>
      <w:rPr>
        <w:rFonts w:ascii="Arial" w:hAnsi="Arial" w:hint="default"/>
      </w:rPr>
    </w:lvl>
    <w:lvl w:ilvl="1" w:tplc="AF7E123E">
      <w:start w:val="1"/>
      <w:numFmt w:val="bullet"/>
      <w:lvlText w:val="•"/>
      <w:lvlJc w:val="left"/>
      <w:pPr>
        <w:tabs>
          <w:tab w:val="num" w:pos="1440"/>
        </w:tabs>
        <w:ind w:left="1440" w:hanging="360"/>
      </w:pPr>
      <w:rPr>
        <w:rFonts w:ascii="Arial" w:hAnsi="Arial" w:hint="default"/>
      </w:rPr>
    </w:lvl>
    <w:lvl w:ilvl="2" w:tplc="5AAAB1E4" w:tentative="1">
      <w:start w:val="1"/>
      <w:numFmt w:val="bullet"/>
      <w:lvlText w:val="•"/>
      <w:lvlJc w:val="left"/>
      <w:pPr>
        <w:tabs>
          <w:tab w:val="num" w:pos="2160"/>
        </w:tabs>
        <w:ind w:left="2160" w:hanging="360"/>
      </w:pPr>
      <w:rPr>
        <w:rFonts w:ascii="Arial" w:hAnsi="Arial" w:hint="default"/>
      </w:rPr>
    </w:lvl>
    <w:lvl w:ilvl="3" w:tplc="F9E8DD48" w:tentative="1">
      <w:start w:val="1"/>
      <w:numFmt w:val="bullet"/>
      <w:lvlText w:val="•"/>
      <w:lvlJc w:val="left"/>
      <w:pPr>
        <w:tabs>
          <w:tab w:val="num" w:pos="2880"/>
        </w:tabs>
        <w:ind w:left="2880" w:hanging="360"/>
      </w:pPr>
      <w:rPr>
        <w:rFonts w:ascii="Arial" w:hAnsi="Arial" w:hint="default"/>
      </w:rPr>
    </w:lvl>
    <w:lvl w:ilvl="4" w:tplc="C2EEDB06" w:tentative="1">
      <w:start w:val="1"/>
      <w:numFmt w:val="bullet"/>
      <w:lvlText w:val="•"/>
      <w:lvlJc w:val="left"/>
      <w:pPr>
        <w:tabs>
          <w:tab w:val="num" w:pos="3600"/>
        </w:tabs>
        <w:ind w:left="3600" w:hanging="360"/>
      </w:pPr>
      <w:rPr>
        <w:rFonts w:ascii="Arial" w:hAnsi="Arial" w:hint="default"/>
      </w:rPr>
    </w:lvl>
    <w:lvl w:ilvl="5" w:tplc="23E68028" w:tentative="1">
      <w:start w:val="1"/>
      <w:numFmt w:val="bullet"/>
      <w:lvlText w:val="•"/>
      <w:lvlJc w:val="left"/>
      <w:pPr>
        <w:tabs>
          <w:tab w:val="num" w:pos="4320"/>
        </w:tabs>
        <w:ind w:left="4320" w:hanging="360"/>
      </w:pPr>
      <w:rPr>
        <w:rFonts w:ascii="Arial" w:hAnsi="Arial" w:hint="default"/>
      </w:rPr>
    </w:lvl>
    <w:lvl w:ilvl="6" w:tplc="FFA8998C" w:tentative="1">
      <w:start w:val="1"/>
      <w:numFmt w:val="bullet"/>
      <w:lvlText w:val="•"/>
      <w:lvlJc w:val="left"/>
      <w:pPr>
        <w:tabs>
          <w:tab w:val="num" w:pos="5040"/>
        </w:tabs>
        <w:ind w:left="5040" w:hanging="360"/>
      </w:pPr>
      <w:rPr>
        <w:rFonts w:ascii="Arial" w:hAnsi="Arial" w:hint="default"/>
      </w:rPr>
    </w:lvl>
    <w:lvl w:ilvl="7" w:tplc="FAC89028" w:tentative="1">
      <w:start w:val="1"/>
      <w:numFmt w:val="bullet"/>
      <w:lvlText w:val="•"/>
      <w:lvlJc w:val="left"/>
      <w:pPr>
        <w:tabs>
          <w:tab w:val="num" w:pos="5760"/>
        </w:tabs>
        <w:ind w:left="5760" w:hanging="360"/>
      </w:pPr>
      <w:rPr>
        <w:rFonts w:ascii="Arial" w:hAnsi="Arial" w:hint="default"/>
      </w:rPr>
    </w:lvl>
    <w:lvl w:ilvl="8" w:tplc="B900C4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9F4B85"/>
    <w:multiLevelType w:val="hybridMultilevel"/>
    <w:tmpl w:val="17E40E04"/>
    <w:lvl w:ilvl="0" w:tplc="EAF2E0FE">
      <w:start w:val="7"/>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B62C4"/>
    <w:multiLevelType w:val="hybridMultilevel"/>
    <w:tmpl w:val="A768AC88"/>
    <w:lvl w:ilvl="0" w:tplc="51F48DBE">
      <w:start w:val="1"/>
      <w:numFmt w:val="bullet"/>
      <w:lvlText w:val="•"/>
      <w:lvlJc w:val="left"/>
      <w:pPr>
        <w:tabs>
          <w:tab w:val="num" w:pos="720"/>
        </w:tabs>
        <w:ind w:left="720" w:hanging="360"/>
      </w:pPr>
      <w:rPr>
        <w:rFonts w:ascii="Arial" w:hAnsi="Arial" w:hint="default"/>
      </w:rPr>
    </w:lvl>
    <w:lvl w:ilvl="1" w:tplc="44C4A46C">
      <w:start w:val="1"/>
      <w:numFmt w:val="bullet"/>
      <w:lvlText w:val="•"/>
      <w:lvlJc w:val="left"/>
      <w:pPr>
        <w:tabs>
          <w:tab w:val="num" w:pos="1440"/>
        </w:tabs>
        <w:ind w:left="1440" w:hanging="360"/>
      </w:pPr>
      <w:rPr>
        <w:rFonts w:ascii="Arial" w:hAnsi="Arial" w:hint="default"/>
      </w:rPr>
    </w:lvl>
    <w:lvl w:ilvl="2" w:tplc="4308E9F0" w:tentative="1">
      <w:start w:val="1"/>
      <w:numFmt w:val="bullet"/>
      <w:lvlText w:val="•"/>
      <w:lvlJc w:val="left"/>
      <w:pPr>
        <w:tabs>
          <w:tab w:val="num" w:pos="2160"/>
        </w:tabs>
        <w:ind w:left="2160" w:hanging="360"/>
      </w:pPr>
      <w:rPr>
        <w:rFonts w:ascii="Arial" w:hAnsi="Arial" w:hint="default"/>
      </w:rPr>
    </w:lvl>
    <w:lvl w:ilvl="3" w:tplc="3A4CD0A0" w:tentative="1">
      <w:start w:val="1"/>
      <w:numFmt w:val="bullet"/>
      <w:lvlText w:val="•"/>
      <w:lvlJc w:val="left"/>
      <w:pPr>
        <w:tabs>
          <w:tab w:val="num" w:pos="2880"/>
        </w:tabs>
        <w:ind w:left="2880" w:hanging="360"/>
      </w:pPr>
      <w:rPr>
        <w:rFonts w:ascii="Arial" w:hAnsi="Arial" w:hint="default"/>
      </w:rPr>
    </w:lvl>
    <w:lvl w:ilvl="4" w:tplc="2856B024" w:tentative="1">
      <w:start w:val="1"/>
      <w:numFmt w:val="bullet"/>
      <w:lvlText w:val="•"/>
      <w:lvlJc w:val="left"/>
      <w:pPr>
        <w:tabs>
          <w:tab w:val="num" w:pos="3600"/>
        </w:tabs>
        <w:ind w:left="3600" w:hanging="360"/>
      </w:pPr>
      <w:rPr>
        <w:rFonts w:ascii="Arial" w:hAnsi="Arial" w:hint="default"/>
      </w:rPr>
    </w:lvl>
    <w:lvl w:ilvl="5" w:tplc="016C08BE" w:tentative="1">
      <w:start w:val="1"/>
      <w:numFmt w:val="bullet"/>
      <w:lvlText w:val="•"/>
      <w:lvlJc w:val="left"/>
      <w:pPr>
        <w:tabs>
          <w:tab w:val="num" w:pos="4320"/>
        </w:tabs>
        <w:ind w:left="4320" w:hanging="360"/>
      </w:pPr>
      <w:rPr>
        <w:rFonts w:ascii="Arial" w:hAnsi="Arial" w:hint="default"/>
      </w:rPr>
    </w:lvl>
    <w:lvl w:ilvl="6" w:tplc="CDF6FC6C" w:tentative="1">
      <w:start w:val="1"/>
      <w:numFmt w:val="bullet"/>
      <w:lvlText w:val="•"/>
      <w:lvlJc w:val="left"/>
      <w:pPr>
        <w:tabs>
          <w:tab w:val="num" w:pos="5040"/>
        </w:tabs>
        <w:ind w:left="5040" w:hanging="360"/>
      </w:pPr>
      <w:rPr>
        <w:rFonts w:ascii="Arial" w:hAnsi="Arial" w:hint="default"/>
      </w:rPr>
    </w:lvl>
    <w:lvl w:ilvl="7" w:tplc="77D46C62" w:tentative="1">
      <w:start w:val="1"/>
      <w:numFmt w:val="bullet"/>
      <w:lvlText w:val="•"/>
      <w:lvlJc w:val="left"/>
      <w:pPr>
        <w:tabs>
          <w:tab w:val="num" w:pos="5760"/>
        </w:tabs>
        <w:ind w:left="5760" w:hanging="360"/>
      </w:pPr>
      <w:rPr>
        <w:rFonts w:ascii="Arial" w:hAnsi="Arial" w:hint="default"/>
      </w:rPr>
    </w:lvl>
    <w:lvl w:ilvl="8" w:tplc="5BD45A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BB2369"/>
    <w:multiLevelType w:val="hybridMultilevel"/>
    <w:tmpl w:val="00D44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0E08E5"/>
    <w:multiLevelType w:val="multilevel"/>
    <w:tmpl w:val="D3201F5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0B6ECC"/>
    <w:multiLevelType w:val="hybridMultilevel"/>
    <w:tmpl w:val="C23E7B90"/>
    <w:lvl w:ilvl="0" w:tplc="ED1E5F1E">
      <w:start w:val="1"/>
      <w:numFmt w:val="bullet"/>
      <w:pStyle w:val="NormalBullets"/>
      <w:lvlText w:val=""/>
      <w:lvlJc w:val="left"/>
      <w:pPr>
        <w:ind w:left="3600" w:hanging="360"/>
      </w:pPr>
      <w:rPr>
        <w:rFonts w:ascii="Symbol" w:hAnsi="Symbol" w:hint="default"/>
      </w:rPr>
    </w:lvl>
    <w:lvl w:ilvl="1" w:tplc="9452778A" w:tentative="1">
      <w:start w:val="1"/>
      <w:numFmt w:val="bullet"/>
      <w:lvlText w:val="o"/>
      <w:lvlJc w:val="left"/>
      <w:pPr>
        <w:ind w:left="4320" w:hanging="360"/>
      </w:pPr>
      <w:rPr>
        <w:rFonts w:ascii="Courier New" w:hAnsi="Courier New" w:cs="Courier New" w:hint="default"/>
      </w:rPr>
    </w:lvl>
    <w:lvl w:ilvl="2" w:tplc="87E4D1D6" w:tentative="1">
      <w:start w:val="1"/>
      <w:numFmt w:val="bullet"/>
      <w:lvlText w:val=""/>
      <w:lvlJc w:val="left"/>
      <w:pPr>
        <w:ind w:left="5040" w:hanging="360"/>
      </w:pPr>
      <w:rPr>
        <w:rFonts w:ascii="Wingdings" w:hAnsi="Wingdings" w:hint="default"/>
      </w:rPr>
    </w:lvl>
    <w:lvl w:ilvl="3" w:tplc="B26EBE3C" w:tentative="1">
      <w:start w:val="1"/>
      <w:numFmt w:val="bullet"/>
      <w:lvlText w:val=""/>
      <w:lvlJc w:val="left"/>
      <w:pPr>
        <w:ind w:left="5760" w:hanging="360"/>
      </w:pPr>
      <w:rPr>
        <w:rFonts w:ascii="Symbol" w:hAnsi="Symbol" w:hint="default"/>
      </w:rPr>
    </w:lvl>
    <w:lvl w:ilvl="4" w:tplc="AF3E72D2" w:tentative="1">
      <w:start w:val="1"/>
      <w:numFmt w:val="bullet"/>
      <w:lvlText w:val="o"/>
      <w:lvlJc w:val="left"/>
      <w:pPr>
        <w:ind w:left="6480" w:hanging="360"/>
      </w:pPr>
      <w:rPr>
        <w:rFonts w:ascii="Courier New" w:hAnsi="Courier New" w:cs="Courier New" w:hint="default"/>
      </w:rPr>
    </w:lvl>
    <w:lvl w:ilvl="5" w:tplc="79F2BED2" w:tentative="1">
      <w:start w:val="1"/>
      <w:numFmt w:val="bullet"/>
      <w:lvlText w:val=""/>
      <w:lvlJc w:val="left"/>
      <w:pPr>
        <w:ind w:left="7200" w:hanging="360"/>
      </w:pPr>
      <w:rPr>
        <w:rFonts w:ascii="Wingdings" w:hAnsi="Wingdings" w:hint="default"/>
      </w:rPr>
    </w:lvl>
    <w:lvl w:ilvl="6" w:tplc="19321076" w:tentative="1">
      <w:start w:val="1"/>
      <w:numFmt w:val="bullet"/>
      <w:lvlText w:val=""/>
      <w:lvlJc w:val="left"/>
      <w:pPr>
        <w:ind w:left="7920" w:hanging="360"/>
      </w:pPr>
      <w:rPr>
        <w:rFonts w:ascii="Symbol" w:hAnsi="Symbol" w:hint="default"/>
      </w:rPr>
    </w:lvl>
    <w:lvl w:ilvl="7" w:tplc="C7A826BC" w:tentative="1">
      <w:start w:val="1"/>
      <w:numFmt w:val="bullet"/>
      <w:lvlText w:val="o"/>
      <w:lvlJc w:val="left"/>
      <w:pPr>
        <w:ind w:left="8640" w:hanging="360"/>
      </w:pPr>
      <w:rPr>
        <w:rFonts w:ascii="Courier New" w:hAnsi="Courier New" w:cs="Courier New" w:hint="default"/>
      </w:rPr>
    </w:lvl>
    <w:lvl w:ilvl="8" w:tplc="6F3A9138" w:tentative="1">
      <w:start w:val="1"/>
      <w:numFmt w:val="bullet"/>
      <w:lvlText w:val=""/>
      <w:lvlJc w:val="left"/>
      <w:pPr>
        <w:ind w:left="9360" w:hanging="360"/>
      </w:pPr>
      <w:rPr>
        <w:rFonts w:ascii="Wingdings" w:hAnsi="Wingdings" w:hint="default"/>
      </w:rPr>
    </w:lvl>
  </w:abstractNum>
  <w:abstractNum w:abstractNumId="21" w15:restartNumberingAfterBreak="0">
    <w:nsid w:val="42376C72"/>
    <w:multiLevelType w:val="hybridMultilevel"/>
    <w:tmpl w:val="242646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083511B"/>
    <w:multiLevelType w:val="hybridMultilevel"/>
    <w:tmpl w:val="EC1C9FB8"/>
    <w:lvl w:ilvl="0" w:tplc="5F08147A">
      <w:start w:val="1"/>
      <w:numFmt w:val="decimal"/>
      <w:lvlText w:val="%1."/>
      <w:lvlJc w:val="left"/>
      <w:pPr>
        <w:ind w:left="720" w:hanging="360"/>
      </w:pPr>
      <w:rPr>
        <w:rFonts w:hint="default"/>
        <w: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761DF8"/>
    <w:multiLevelType w:val="hybridMultilevel"/>
    <w:tmpl w:val="EBEED05A"/>
    <w:lvl w:ilvl="0" w:tplc="ACE2F82E">
      <w:start w:val="1"/>
      <w:numFmt w:val="upperLetter"/>
      <w:lvlText w:val="(%1)"/>
      <w:lvlJc w:val="left"/>
      <w:pPr>
        <w:ind w:left="72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2"/>
  </w:num>
  <w:num w:numId="3">
    <w:abstractNumId w:val="0"/>
  </w:num>
  <w:num w:numId="4">
    <w:abstractNumId w:val="29"/>
  </w:num>
  <w:num w:numId="5">
    <w:abstractNumId w:val="20"/>
  </w:num>
  <w:num w:numId="6">
    <w:abstractNumId w:val="18"/>
  </w:num>
  <w:num w:numId="7">
    <w:abstractNumId w:val="8"/>
  </w:num>
  <w:num w:numId="8">
    <w:abstractNumId w:val="5"/>
  </w:num>
  <w:num w:numId="9">
    <w:abstractNumId w:val="9"/>
  </w:num>
  <w:num w:numId="10">
    <w:abstractNumId w:val="21"/>
  </w:num>
  <w:num w:numId="11">
    <w:abstractNumId w:val="13"/>
  </w:num>
  <w:num w:numId="12">
    <w:abstractNumId w:val="27"/>
  </w:num>
  <w:num w:numId="13">
    <w:abstractNumId w:val="16"/>
  </w:num>
  <w:num w:numId="14">
    <w:abstractNumId w:val="26"/>
  </w:num>
  <w:num w:numId="15">
    <w:abstractNumId w:val="10"/>
  </w:num>
  <w:num w:numId="16">
    <w:abstractNumId w:val="3"/>
  </w:num>
  <w:num w:numId="17">
    <w:abstractNumId w:val="23"/>
  </w:num>
  <w:num w:numId="18">
    <w:abstractNumId w:val="24"/>
  </w:num>
  <w:num w:numId="19">
    <w:abstractNumId w:val="4"/>
  </w:num>
  <w:num w:numId="20">
    <w:abstractNumId w:val="1"/>
  </w:num>
  <w:num w:numId="21">
    <w:abstractNumId w:val="12"/>
  </w:num>
  <w:num w:numId="22">
    <w:abstractNumId w:val="14"/>
  </w:num>
  <w:num w:numId="23">
    <w:abstractNumId w:val="11"/>
  </w:num>
  <w:num w:numId="2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9"/>
  </w:num>
  <w:num w:numId="27">
    <w:abstractNumId w:val="29"/>
  </w:num>
  <w:num w:numId="28">
    <w:abstractNumId w:val="15"/>
  </w:num>
  <w:num w:numId="29">
    <w:abstractNumId w:val="7"/>
  </w:num>
  <w:num w:numId="30">
    <w:abstractNumId w:val="2"/>
  </w:num>
  <w:num w:numId="31">
    <w:abstractNumId w:val="6"/>
  </w:num>
  <w:num w:numId="32">
    <w:abstractNumId w:val="17"/>
  </w:num>
  <w:num w:numId="33">
    <w:abstractNumId w:val="19"/>
  </w:num>
  <w:num w:numId="34">
    <w:abstractNumId w:val="29"/>
  </w:num>
  <w:num w:numId="3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9"/>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1MDMwMzcwMTQwsjRX0lEKTi0uzszPAykwrgUA7ormfywAAAA="/>
  </w:docVars>
  <w:rsids>
    <w:rsidRoot w:val="00E65E79"/>
    <w:rsid w:val="00000419"/>
    <w:rsid w:val="00000575"/>
    <w:rsid w:val="00000583"/>
    <w:rsid w:val="00000790"/>
    <w:rsid w:val="0000110B"/>
    <w:rsid w:val="00001A5E"/>
    <w:rsid w:val="00001B3D"/>
    <w:rsid w:val="00001CF5"/>
    <w:rsid w:val="00001F4F"/>
    <w:rsid w:val="00002008"/>
    <w:rsid w:val="00002242"/>
    <w:rsid w:val="000031B0"/>
    <w:rsid w:val="00003499"/>
    <w:rsid w:val="000038EE"/>
    <w:rsid w:val="000039B7"/>
    <w:rsid w:val="000041FF"/>
    <w:rsid w:val="00004231"/>
    <w:rsid w:val="00005208"/>
    <w:rsid w:val="0000606F"/>
    <w:rsid w:val="0000639A"/>
    <w:rsid w:val="0000670C"/>
    <w:rsid w:val="00007FEE"/>
    <w:rsid w:val="000100F0"/>
    <w:rsid w:val="000103B8"/>
    <w:rsid w:val="00010D0A"/>
    <w:rsid w:val="00011885"/>
    <w:rsid w:val="0001237C"/>
    <w:rsid w:val="00012663"/>
    <w:rsid w:val="00012C60"/>
    <w:rsid w:val="00012DCE"/>
    <w:rsid w:val="0001308E"/>
    <w:rsid w:val="00013247"/>
    <w:rsid w:val="0001332D"/>
    <w:rsid w:val="00014123"/>
    <w:rsid w:val="00014897"/>
    <w:rsid w:val="00015334"/>
    <w:rsid w:val="00015670"/>
    <w:rsid w:val="00015886"/>
    <w:rsid w:val="000162EF"/>
    <w:rsid w:val="00016338"/>
    <w:rsid w:val="000165DD"/>
    <w:rsid w:val="000167DC"/>
    <w:rsid w:val="000167E6"/>
    <w:rsid w:val="00017057"/>
    <w:rsid w:val="00017168"/>
    <w:rsid w:val="000171D9"/>
    <w:rsid w:val="000207C9"/>
    <w:rsid w:val="000214DC"/>
    <w:rsid w:val="00021B6C"/>
    <w:rsid w:val="00021EB4"/>
    <w:rsid w:val="0002225F"/>
    <w:rsid w:val="00022A30"/>
    <w:rsid w:val="00022FD6"/>
    <w:rsid w:val="0002326A"/>
    <w:rsid w:val="00023763"/>
    <w:rsid w:val="00023ABF"/>
    <w:rsid w:val="00023C90"/>
    <w:rsid w:val="00023EBE"/>
    <w:rsid w:val="0002416D"/>
    <w:rsid w:val="0002469F"/>
    <w:rsid w:val="0002553B"/>
    <w:rsid w:val="00025560"/>
    <w:rsid w:val="000255CA"/>
    <w:rsid w:val="000256A3"/>
    <w:rsid w:val="00025FFA"/>
    <w:rsid w:val="00026C3D"/>
    <w:rsid w:val="000274B8"/>
    <w:rsid w:val="00027C32"/>
    <w:rsid w:val="0003029E"/>
    <w:rsid w:val="00030D57"/>
    <w:rsid w:val="00030EC2"/>
    <w:rsid w:val="0003247B"/>
    <w:rsid w:val="00032622"/>
    <w:rsid w:val="0003310B"/>
    <w:rsid w:val="00033863"/>
    <w:rsid w:val="00033989"/>
    <w:rsid w:val="00033D3F"/>
    <w:rsid w:val="0003428B"/>
    <w:rsid w:val="0003489F"/>
    <w:rsid w:val="000352C2"/>
    <w:rsid w:val="0003541D"/>
    <w:rsid w:val="00035DC0"/>
    <w:rsid w:val="0003649C"/>
    <w:rsid w:val="00036829"/>
    <w:rsid w:val="00036921"/>
    <w:rsid w:val="00036A13"/>
    <w:rsid w:val="00036DAF"/>
    <w:rsid w:val="000403AF"/>
    <w:rsid w:val="00040895"/>
    <w:rsid w:val="000418E1"/>
    <w:rsid w:val="00042F04"/>
    <w:rsid w:val="0004302A"/>
    <w:rsid w:val="0004306D"/>
    <w:rsid w:val="00043178"/>
    <w:rsid w:val="000435EE"/>
    <w:rsid w:val="000435F1"/>
    <w:rsid w:val="000438D4"/>
    <w:rsid w:val="00043B6B"/>
    <w:rsid w:val="00043C37"/>
    <w:rsid w:val="00043EA6"/>
    <w:rsid w:val="00044EE0"/>
    <w:rsid w:val="00044FF9"/>
    <w:rsid w:val="00045017"/>
    <w:rsid w:val="00045422"/>
    <w:rsid w:val="00045A2B"/>
    <w:rsid w:val="00045C29"/>
    <w:rsid w:val="00045D90"/>
    <w:rsid w:val="00045DD9"/>
    <w:rsid w:val="0004640A"/>
    <w:rsid w:val="00046694"/>
    <w:rsid w:val="00046723"/>
    <w:rsid w:val="0004698F"/>
    <w:rsid w:val="00046E54"/>
    <w:rsid w:val="00046F28"/>
    <w:rsid w:val="00047060"/>
    <w:rsid w:val="00047D59"/>
    <w:rsid w:val="000507C3"/>
    <w:rsid w:val="00050C13"/>
    <w:rsid w:val="00051878"/>
    <w:rsid w:val="00051B01"/>
    <w:rsid w:val="00051D19"/>
    <w:rsid w:val="0005225C"/>
    <w:rsid w:val="00052422"/>
    <w:rsid w:val="00052E18"/>
    <w:rsid w:val="00052F41"/>
    <w:rsid w:val="000539D0"/>
    <w:rsid w:val="00054621"/>
    <w:rsid w:val="000546D7"/>
    <w:rsid w:val="0005478E"/>
    <w:rsid w:val="000548F7"/>
    <w:rsid w:val="00055276"/>
    <w:rsid w:val="00055840"/>
    <w:rsid w:val="00055BBF"/>
    <w:rsid w:val="00055E10"/>
    <w:rsid w:val="00055EA1"/>
    <w:rsid w:val="000560E3"/>
    <w:rsid w:val="00056509"/>
    <w:rsid w:val="000565A5"/>
    <w:rsid w:val="0005664B"/>
    <w:rsid w:val="00056A63"/>
    <w:rsid w:val="00056ECF"/>
    <w:rsid w:val="00057B60"/>
    <w:rsid w:val="000604DF"/>
    <w:rsid w:val="000619D8"/>
    <w:rsid w:val="0006225C"/>
    <w:rsid w:val="00063942"/>
    <w:rsid w:val="00063D07"/>
    <w:rsid w:val="00063D37"/>
    <w:rsid w:val="00063E31"/>
    <w:rsid w:val="00064CCA"/>
    <w:rsid w:val="000653B5"/>
    <w:rsid w:val="000653C9"/>
    <w:rsid w:val="00065422"/>
    <w:rsid w:val="0006593F"/>
    <w:rsid w:val="00066360"/>
    <w:rsid w:val="00066AF8"/>
    <w:rsid w:val="00066B6D"/>
    <w:rsid w:val="0006733B"/>
    <w:rsid w:val="00067DD0"/>
    <w:rsid w:val="00070B1C"/>
    <w:rsid w:val="000710E7"/>
    <w:rsid w:val="00071248"/>
    <w:rsid w:val="00071CA2"/>
    <w:rsid w:val="000720B9"/>
    <w:rsid w:val="000723C9"/>
    <w:rsid w:val="0007266F"/>
    <w:rsid w:val="00072AF0"/>
    <w:rsid w:val="000737F7"/>
    <w:rsid w:val="000741DB"/>
    <w:rsid w:val="00074362"/>
    <w:rsid w:val="00074604"/>
    <w:rsid w:val="000747F0"/>
    <w:rsid w:val="00074E17"/>
    <w:rsid w:val="00074F9C"/>
    <w:rsid w:val="000756B8"/>
    <w:rsid w:val="0007616F"/>
    <w:rsid w:val="0007672F"/>
    <w:rsid w:val="00076869"/>
    <w:rsid w:val="00076B54"/>
    <w:rsid w:val="000774F0"/>
    <w:rsid w:val="00077B3E"/>
    <w:rsid w:val="0008034D"/>
    <w:rsid w:val="0008067B"/>
    <w:rsid w:val="00080909"/>
    <w:rsid w:val="000812CA"/>
    <w:rsid w:val="000812EC"/>
    <w:rsid w:val="00081782"/>
    <w:rsid w:val="00081C6D"/>
    <w:rsid w:val="00081E63"/>
    <w:rsid w:val="0008258D"/>
    <w:rsid w:val="00082A8A"/>
    <w:rsid w:val="0008317D"/>
    <w:rsid w:val="000832A0"/>
    <w:rsid w:val="000835AF"/>
    <w:rsid w:val="00083C70"/>
    <w:rsid w:val="00083D66"/>
    <w:rsid w:val="00083E99"/>
    <w:rsid w:val="000845F8"/>
    <w:rsid w:val="00084618"/>
    <w:rsid w:val="00084FA8"/>
    <w:rsid w:val="00085117"/>
    <w:rsid w:val="00085306"/>
    <w:rsid w:val="0008554F"/>
    <w:rsid w:val="000856C5"/>
    <w:rsid w:val="00085AF5"/>
    <w:rsid w:val="00085C31"/>
    <w:rsid w:val="00087600"/>
    <w:rsid w:val="0008793F"/>
    <w:rsid w:val="00087E3C"/>
    <w:rsid w:val="000902D9"/>
    <w:rsid w:val="00090928"/>
    <w:rsid w:val="00090AE6"/>
    <w:rsid w:val="00090C0A"/>
    <w:rsid w:val="00090C7E"/>
    <w:rsid w:val="00092600"/>
    <w:rsid w:val="0009262B"/>
    <w:rsid w:val="000931A9"/>
    <w:rsid w:val="00093310"/>
    <w:rsid w:val="0009383E"/>
    <w:rsid w:val="00093BC4"/>
    <w:rsid w:val="0009445C"/>
    <w:rsid w:val="0009463E"/>
    <w:rsid w:val="00094D4E"/>
    <w:rsid w:val="00095200"/>
    <w:rsid w:val="00095256"/>
    <w:rsid w:val="00095A2B"/>
    <w:rsid w:val="00095CA7"/>
    <w:rsid w:val="00095FE5"/>
    <w:rsid w:val="00096016"/>
    <w:rsid w:val="00096284"/>
    <w:rsid w:val="00096507"/>
    <w:rsid w:val="00096760"/>
    <w:rsid w:val="00096ECD"/>
    <w:rsid w:val="00097722"/>
    <w:rsid w:val="0009783C"/>
    <w:rsid w:val="00097897"/>
    <w:rsid w:val="00097D07"/>
    <w:rsid w:val="000A019B"/>
    <w:rsid w:val="000A1BC0"/>
    <w:rsid w:val="000A1DF2"/>
    <w:rsid w:val="000A2130"/>
    <w:rsid w:val="000A2561"/>
    <w:rsid w:val="000A29C2"/>
    <w:rsid w:val="000A31E2"/>
    <w:rsid w:val="000A36CD"/>
    <w:rsid w:val="000A3877"/>
    <w:rsid w:val="000A3940"/>
    <w:rsid w:val="000A3BAD"/>
    <w:rsid w:val="000A461C"/>
    <w:rsid w:val="000A5560"/>
    <w:rsid w:val="000A591F"/>
    <w:rsid w:val="000A6039"/>
    <w:rsid w:val="000A60DD"/>
    <w:rsid w:val="000A68EF"/>
    <w:rsid w:val="000A7204"/>
    <w:rsid w:val="000A7232"/>
    <w:rsid w:val="000A7453"/>
    <w:rsid w:val="000A7D08"/>
    <w:rsid w:val="000B0121"/>
    <w:rsid w:val="000B0132"/>
    <w:rsid w:val="000B0590"/>
    <w:rsid w:val="000B0670"/>
    <w:rsid w:val="000B0E75"/>
    <w:rsid w:val="000B2454"/>
    <w:rsid w:val="000B2DCB"/>
    <w:rsid w:val="000B4529"/>
    <w:rsid w:val="000B46FB"/>
    <w:rsid w:val="000B5CE0"/>
    <w:rsid w:val="000B6352"/>
    <w:rsid w:val="000B6CAC"/>
    <w:rsid w:val="000B6E6E"/>
    <w:rsid w:val="000B705D"/>
    <w:rsid w:val="000B7612"/>
    <w:rsid w:val="000B78AE"/>
    <w:rsid w:val="000C1B09"/>
    <w:rsid w:val="000C2554"/>
    <w:rsid w:val="000C2674"/>
    <w:rsid w:val="000C2C37"/>
    <w:rsid w:val="000C2E6A"/>
    <w:rsid w:val="000C31C3"/>
    <w:rsid w:val="000C3495"/>
    <w:rsid w:val="000C3D97"/>
    <w:rsid w:val="000C3DF9"/>
    <w:rsid w:val="000C3FF1"/>
    <w:rsid w:val="000C456E"/>
    <w:rsid w:val="000C4F3A"/>
    <w:rsid w:val="000C582C"/>
    <w:rsid w:val="000C58D2"/>
    <w:rsid w:val="000C592C"/>
    <w:rsid w:val="000C5C9D"/>
    <w:rsid w:val="000C622F"/>
    <w:rsid w:val="000C6713"/>
    <w:rsid w:val="000C70CB"/>
    <w:rsid w:val="000C79FA"/>
    <w:rsid w:val="000D05BA"/>
    <w:rsid w:val="000D0D3E"/>
    <w:rsid w:val="000D1BFC"/>
    <w:rsid w:val="000D1D5D"/>
    <w:rsid w:val="000D281A"/>
    <w:rsid w:val="000D2848"/>
    <w:rsid w:val="000D2999"/>
    <w:rsid w:val="000D326A"/>
    <w:rsid w:val="000D4368"/>
    <w:rsid w:val="000D47B6"/>
    <w:rsid w:val="000D4FB9"/>
    <w:rsid w:val="000D5114"/>
    <w:rsid w:val="000D51FB"/>
    <w:rsid w:val="000D6229"/>
    <w:rsid w:val="000D626B"/>
    <w:rsid w:val="000D6542"/>
    <w:rsid w:val="000D68F6"/>
    <w:rsid w:val="000D6911"/>
    <w:rsid w:val="000D694B"/>
    <w:rsid w:val="000D6FA9"/>
    <w:rsid w:val="000D750A"/>
    <w:rsid w:val="000D7924"/>
    <w:rsid w:val="000D7F07"/>
    <w:rsid w:val="000E016A"/>
    <w:rsid w:val="000E03BC"/>
    <w:rsid w:val="000E05BD"/>
    <w:rsid w:val="000E0640"/>
    <w:rsid w:val="000E0CA7"/>
    <w:rsid w:val="000E1128"/>
    <w:rsid w:val="000E12C9"/>
    <w:rsid w:val="000E12DA"/>
    <w:rsid w:val="000E135D"/>
    <w:rsid w:val="000E3227"/>
    <w:rsid w:val="000E3239"/>
    <w:rsid w:val="000E3714"/>
    <w:rsid w:val="000E3A80"/>
    <w:rsid w:val="000E3EBE"/>
    <w:rsid w:val="000E560A"/>
    <w:rsid w:val="000E612A"/>
    <w:rsid w:val="000E63B8"/>
    <w:rsid w:val="000E6C25"/>
    <w:rsid w:val="000F00BA"/>
    <w:rsid w:val="000F2F59"/>
    <w:rsid w:val="000F2FF9"/>
    <w:rsid w:val="000F316A"/>
    <w:rsid w:val="000F3B6E"/>
    <w:rsid w:val="000F3C74"/>
    <w:rsid w:val="000F3EBB"/>
    <w:rsid w:val="000F401B"/>
    <w:rsid w:val="000F4238"/>
    <w:rsid w:val="000F4BB8"/>
    <w:rsid w:val="000F4D82"/>
    <w:rsid w:val="000F4FA9"/>
    <w:rsid w:val="000F5279"/>
    <w:rsid w:val="000F52A7"/>
    <w:rsid w:val="000F53FB"/>
    <w:rsid w:val="000F6C28"/>
    <w:rsid w:val="000F6C77"/>
    <w:rsid w:val="000F7127"/>
    <w:rsid w:val="000F7B54"/>
    <w:rsid w:val="00100064"/>
    <w:rsid w:val="001000DD"/>
    <w:rsid w:val="001008BF"/>
    <w:rsid w:val="00100987"/>
    <w:rsid w:val="00100F8A"/>
    <w:rsid w:val="00103600"/>
    <w:rsid w:val="00103E53"/>
    <w:rsid w:val="001042F9"/>
    <w:rsid w:val="001043B1"/>
    <w:rsid w:val="0010445E"/>
    <w:rsid w:val="0010452E"/>
    <w:rsid w:val="00104A06"/>
    <w:rsid w:val="0010574F"/>
    <w:rsid w:val="00105AE2"/>
    <w:rsid w:val="00106011"/>
    <w:rsid w:val="001060C6"/>
    <w:rsid w:val="00106B80"/>
    <w:rsid w:val="0010721B"/>
    <w:rsid w:val="001078EE"/>
    <w:rsid w:val="00107DA6"/>
    <w:rsid w:val="00107FC4"/>
    <w:rsid w:val="0011032E"/>
    <w:rsid w:val="00110914"/>
    <w:rsid w:val="00111419"/>
    <w:rsid w:val="001116BA"/>
    <w:rsid w:val="00112961"/>
    <w:rsid w:val="00112C64"/>
    <w:rsid w:val="00112D70"/>
    <w:rsid w:val="00112DF2"/>
    <w:rsid w:val="0011348B"/>
    <w:rsid w:val="00113770"/>
    <w:rsid w:val="00115917"/>
    <w:rsid w:val="00115982"/>
    <w:rsid w:val="00115CBA"/>
    <w:rsid w:val="0011645E"/>
    <w:rsid w:val="00116C53"/>
    <w:rsid w:val="001172F4"/>
    <w:rsid w:val="001177F6"/>
    <w:rsid w:val="00117D1E"/>
    <w:rsid w:val="00117FA4"/>
    <w:rsid w:val="001209B2"/>
    <w:rsid w:val="00121708"/>
    <w:rsid w:val="00121799"/>
    <w:rsid w:val="00121B27"/>
    <w:rsid w:val="001222FC"/>
    <w:rsid w:val="00123902"/>
    <w:rsid w:val="00123FD2"/>
    <w:rsid w:val="00124A51"/>
    <w:rsid w:val="001253E5"/>
    <w:rsid w:val="00126621"/>
    <w:rsid w:val="00126B1D"/>
    <w:rsid w:val="00126C8F"/>
    <w:rsid w:val="0012700F"/>
    <w:rsid w:val="0012715A"/>
    <w:rsid w:val="001275CD"/>
    <w:rsid w:val="001276CA"/>
    <w:rsid w:val="00127D32"/>
    <w:rsid w:val="001301E9"/>
    <w:rsid w:val="00130666"/>
    <w:rsid w:val="00131AC3"/>
    <w:rsid w:val="00131D82"/>
    <w:rsid w:val="00131F12"/>
    <w:rsid w:val="00132B22"/>
    <w:rsid w:val="00133B1A"/>
    <w:rsid w:val="00133D36"/>
    <w:rsid w:val="00134CC8"/>
    <w:rsid w:val="00134FAD"/>
    <w:rsid w:val="00135B37"/>
    <w:rsid w:val="001370E9"/>
    <w:rsid w:val="00137131"/>
    <w:rsid w:val="00137645"/>
    <w:rsid w:val="0014015A"/>
    <w:rsid w:val="0014052F"/>
    <w:rsid w:val="0014058F"/>
    <w:rsid w:val="00140DA0"/>
    <w:rsid w:val="00140E99"/>
    <w:rsid w:val="001410DE"/>
    <w:rsid w:val="00141ACE"/>
    <w:rsid w:val="00142569"/>
    <w:rsid w:val="001426F6"/>
    <w:rsid w:val="001427E5"/>
    <w:rsid w:val="00142D05"/>
    <w:rsid w:val="00142DBD"/>
    <w:rsid w:val="0014341E"/>
    <w:rsid w:val="00143F67"/>
    <w:rsid w:val="00144283"/>
    <w:rsid w:val="00144420"/>
    <w:rsid w:val="00144949"/>
    <w:rsid w:val="001454FA"/>
    <w:rsid w:val="00145540"/>
    <w:rsid w:val="001456B0"/>
    <w:rsid w:val="00150066"/>
    <w:rsid w:val="001511C3"/>
    <w:rsid w:val="001516A0"/>
    <w:rsid w:val="001518F5"/>
    <w:rsid w:val="001522AD"/>
    <w:rsid w:val="00152C3A"/>
    <w:rsid w:val="00152D26"/>
    <w:rsid w:val="0015303E"/>
    <w:rsid w:val="00153163"/>
    <w:rsid w:val="0015358F"/>
    <w:rsid w:val="00153C3E"/>
    <w:rsid w:val="00154808"/>
    <w:rsid w:val="00155C91"/>
    <w:rsid w:val="00156F8F"/>
    <w:rsid w:val="00157130"/>
    <w:rsid w:val="0015752C"/>
    <w:rsid w:val="00157597"/>
    <w:rsid w:val="001576B1"/>
    <w:rsid w:val="00157C56"/>
    <w:rsid w:val="0016047B"/>
    <w:rsid w:val="00160A4C"/>
    <w:rsid w:val="00160E3A"/>
    <w:rsid w:val="00161136"/>
    <w:rsid w:val="00162913"/>
    <w:rsid w:val="0016340E"/>
    <w:rsid w:val="00163534"/>
    <w:rsid w:val="00163A00"/>
    <w:rsid w:val="00163EFF"/>
    <w:rsid w:val="00163F66"/>
    <w:rsid w:val="00164B1A"/>
    <w:rsid w:val="00164EA1"/>
    <w:rsid w:val="00165871"/>
    <w:rsid w:val="001661FB"/>
    <w:rsid w:val="0016674E"/>
    <w:rsid w:val="0016703A"/>
    <w:rsid w:val="001671A0"/>
    <w:rsid w:val="001671A5"/>
    <w:rsid w:val="00167201"/>
    <w:rsid w:val="00167472"/>
    <w:rsid w:val="0016767F"/>
    <w:rsid w:val="00170BC0"/>
    <w:rsid w:val="00171432"/>
    <w:rsid w:val="00173170"/>
    <w:rsid w:val="00173565"/>
    <w:rsid w:val="00173769"/>
    <w:rsid w:val="00173B07"/>
    <w:rsid w:val="001751FA"/>
    <w:rsid w:val="001764FA"/>
    <w:rsid w:val="00176E37"/>
    <w:rsid w:val="00177922"/>
    <w:rsid w:val="001819A7"/>
    <w:rsid w:val="00181A72"/>
    <w:rsid w:val="00181D9C"/>
    <w:rsid w:val="00182427"/>
    <w:rsid w:val="0018349A"/>
    <w:rsid w:val="001835A4"/>
    <w:rsid w:val="00183BF0"/>
    <w:rsid w:val="00184199"/>
    <w:rsid w:val="00184B0E"/>
    <w:rsid w:val="00185948"/>
    <w:rsid w:val="00185BA9"/>
    <w:rsid w:val="00185C69"/>
    <w:rsid w:val="00185F08"/>
    <w:rsid w:val="00186DB3"/>
    <w:rsid w:val="0018726E"/>
    <w:rsid w:val="0018740F"/>
    <w:rsid w:val="0018752F"/>
    <w:rsid w:val="001877C8"/>
    <w:rsid w:val="00190342"/>
    <w:rsid w:val="0019041D"/>
    <w:rsid w:val="001917BD"/>
    <w:rsid w:val="001918FB"/>
    <w:rsid w:val="00192427"/>
    <w:rsid w:val="00192EF8"/>
    <w:rsid w:val="00193631"/>
    <w:rsid w:val="00193838"/>
    <w:rsid w:val="00193F54"/>
    <w:rsid w:val="00194AD8"/>
    <w:rsid w:val="00194C1D"/>
    <w:rsid w:val="00194DA4"/>
    <w:rsid w:val="00195222"/>
    <w:rsid w:val="00195278"/>
    <w:rsid w:val="00195DB8"/>
    <w:rsid w:val="00196162"/>
    <w:rsid w:val="001975D8"/>
    <w:rsid w:val="00197882"/>
    <w:rsid w:val="00197AD5"/>
    <w:rsid w:val="00197DC9"/>
    <w:rsid w:val="001A0635"/>
    <w:rsid w:val="001A1323"/>
    <w:rsid w:val="001A178E"/>
    <w:rsid w:val="001A1DDB"/>
    <w:rsid w:val="001A1ED7"/>
    <w:rsid w:val="001A214C"/>
    <w:rsid w:val="001A23D3"/>
    <w:rsid w:val="001A3493"/>
    <w:rsid w:val="001A39AB"/>
    <w:rsid w:val="001A43FA"/>
    <w:rsid w:val="001A47C5"/>
    <w:rsid w:val="001A59FB"/>
    <w:rsid w:val="001A5E9E"/>
    <w:rsid w:val="001A6354"/>
    <w:rsid w:val="001A6366"/>
    <w:rsid w:val="001A67C9"/>
    <w:rsid w:val="001A7288"/>
    <w:rsid w:val="001A75FD"/>
    <w:rsid w:val="001A7AE8"/>
    <w:rsid w:val="001B0836"/>
    <w:rsid w:val="001B08C8"/>
    <w:rsid w:val="001B0B9B"/>
    <w:rsid w:val="001B10CF"/>
    <w:rsid w:val="001B18FE"/>
    <w:rsid w:val="001B204E"/>
    <w:rsid w:val="001B2372"/>
    <w:rsid w:val="001B28DF"/>
    <w:rsid w:val="001B2A42"/>
    <w:rsid w:val="001B3443"/>
    <w:rsid w:val="001B36EA"/>
    <w:rsid w:val="001B3B75"/>
    <w:rsid w:val="001B4109"/>
    <w:rsid w:val="001B46C4"/>
    <w:rsid w:val="001B4873"/>
    <w:rsid w:val="001B4BC9"/>
    <w:rsid w:val="001B4C57"/>
    <w:rsid w:val="001B4D20"/>
    <w:rsid w:val="001B5799"/>
    <w:rsid w:val="001B5D34"/>
    <w:rsid w:val="001B64AA"/>
    <w:rsid w:val="001B74FC"/>
    <w:rsid w:val="001B7B55"/>
    <w:rsid w:val="001C0629"/>
    <w:rsid w:val="001C11AF"/>
    <w:rsid w:val="001C1284"/>
    <w:rsid w:val="001C1419"/>
    <w:rsid w:val="001C2221"/>
    <w:rsid w:val="001C29C3"/>
    <w:rsid w:val="001C2A9B"/>
    <w:rsid w:val="001C37C9"/>
    <w:rsid w:val="001C4299"/>
    <w:rsid w:val="001C4874"/>
    <w:rsid w:val="001C593D"/>
    <w:rsid w:val="001C5ECF"/>
    <w:rsid w:val="001C5F94"/>
    <w:rsid w:val="001C6AE4"/>
    <w:rsid w:val="001C6D3B"/>
    <w:rsid w:val="001C6E66"/>
    <w:rsid w:val="001C7246"/>
    <w:rsid w:val="001C7ACB"/>
    <w:rsid w:val="001D0003"/>
    <w:rsid w:val="001D0254"/>
    <w:rsid w:val="001D03D6"/>
    <w:rsid w:val="001D0689"/>
    <w:rsid w:val="001D07EC"/>
    <w:rsid w:val="001D1100"/>
    <w:rsid w:val="001D1391"/>
    <w:rsid w:val="001D1452"/>
    <w:rsid w:val="001D25D7"/>
    <w:rsid w:val="001D3428"/>
    <w:rsid w:val="001D34BB"/>
    <w:rsid w:val="001D365B"/>
    <w:rsid w:val="001D3709"/>
    <w:rsid w:val="001D3DC3"/>
    <w:rsid w:val="001D4697"/>
    <w:rsid w:val="001D47F5"/>
    <w:rsid w:val="001D50B2"/>
    <w:rsid w:val="001D515F"/>
    <w:rsid w:val="001D596D"/>
    <w:rsid w:val="001D5CD7"/>
    <w:rsid w:val="001D5E4D"/>
    <w:rsid w:val="001D5F5C"/>
    <w:rsid w:val="001D6372"/>
    <w:rsid w:val="001D640F"/>
    <w:rsid w:val="001D6A37"/>
    <w:rsid w:val="001D73E6"/>
    <w:rsid w:val="001D7645"/>
    <w:rsid w:val="001E0BB6"/>
    <w:rsid w:val="001E0F0C"/>
    <w:rsid w:val="001E0FC4"/>
    <w:rsid w:val="001E1A48"/>
    <w:rsid w:val="001E1E86"/>
    <w:rsid w:val="001E238E"/>
    <w:rsid w:val="001E2483"/>
    <w:rsid w:val="001E2561"/>
    <w:rsid w:val="001E2B1E"/>
    <w:rsid w:val="001E2CFF"/>
    <w:rsid w:val="001E2F24"/>
    <w:rsid w:val="001E30D4"/>
    <w:rsid w:val="001E34DF"/>
    <w:rsid w:val="001E52EB"/>
    <w:rsid w:val="001E52F6"/>
    <w:rsid w:val="001E5AF3"/>
    <w:rsid w:val="001E5B37"/>
    <w:rsid w:val="001E61D2"/>
    <w:rsid w:val="001E6436"/>
    <w:rsid w:val="001E6A11"/>
    <w:rsid w:val="001E740C"/>
    <w:rsid w:val="001E788B"/>
    <w:rsid w:val="001E792A"/>
    <w:rsid w:val="001E7985"/>
    <w:rsid w:val="001E7B7C"/>
    <w:rsid w:val="001F08D9"/>
    <w:rsid w:val="001F1235"/>
    <w:rsid w:val="001F12E6"/>
    <w:rsid w:val="001F1CB3"/>
    <w:rsid w:val="001F22AB"/>
    <w:rsid w:val="001F2FD2"/>
    <w:rsid w:val="001F31CA"/>
    <w:rsid w:val="001F38B5"/>
    <w:rsid w:val="001F4081"/>
    <w:rsid w:val="001F434F"/>
    <w:rsid w:val="001F605B"/>
    <w:rsid w:val="001F699C"/>
    <w:rsid w:val="001F7180"/>
    <w:rsid w:val="001F7361"/>
    <w:rsid w:val="001F79B6"/>
    <w:rsid w:val="001F7C02"/>
    <w:rsid w:val="001F7F43"/>
    <w:rsid w:val="002001AC"/>
    <w:rsid w:val="002011B0"/>
    <w:rsid w:val="002016B7"/>
    <w:rsid w:val="00201A85"/>
    <w:rsid w:val="002020BE"/>
    <w:rsid w:val="00203181"/>
    <w:rsid w:val="00203783"/>
    <w:rsid w:val="0020385F"/>
    <w:rsid w:val="00203974"/>
    <w:rsid w:val="00204552"/>
    <w:rsid w:val="00204718"/>
    <w:rsid w:val="002047C3"/>
    <w:rsid w:val="00204CA7"/>
    <w:rsid w:val="00205730"/>
    <w:rsid w:val="00205866"/>
    <w:rsid w:val="002060C0"/>
    <w:rsid w:val="002061AE"/>
    <w:rsid w:val="002068A0"/>
    <w:rsid w:val="002069C5"/>
    <w:rsid w:val="00206D7D"/>
    <w:rsid w:val="00207021"/>
    <w:rsid w:val="0020709E"/>
    <w:rsid w:val="0020732F"/>
    <w:rsid w:val="002078F1"/>
    <w:rsid w:val="002079C8"/>
    <w:rsid w:val="00207D00"/>
    <w:rsid w:val="002104C9"/>
    <w:rsid w:val="002105C1"/>
    <w:rsid w:val="00210A34"/>
    <w:rsid w:val="00210E84"/>
    <w:rsid w:val="00211558"/>
    <w:rsid w:val="00211FD7"/>
    <w:rsid w:val="0021332C"/>
    <w:rsid w:val="002135E9"/>
    <w:rsid w:val="00213EF5"/>
    <w:rsid w:val="002140F0"/>
    <w:rsid w:val="0021599D"/>
    <w:rsid w:val="00215DD3"/>
    <w:rsid w:val="002161E6"/>
    <w:rsid w:val="00216BF5"/>
    <w:rsid w:val="002179F2"/>
    <w:rsid w:val="00217A38"/>
    <w:rsid w:val="0022129F"/>
    <w:rsid w:val="00222286"/>
    <w:rsid w:val="002224F7"/>
    <w:rsid w:val="002231B8"/>
    <w:rsid w:val="00223B49"/>
    <w:rsid w:val="00223C10"/>
    <w:rsid w:val="00223D5A"/>
    <w:rsid w:val="0022409F"/>
    <w:rsid w:val="00224970"/>
    <w:rsid w:val="00224DD4"/>
    <w:rsid w:val="00224E30"/>
    <w:rsid w:val="002259AC"/>
    <w:rsid w:val="00225A50"/>
    <w:rsid w:val="00225A63"/>
    <w:rsid w:val="002266F2"/>
    <w:rsid w:val="00226F6C"/>
    <w:rsid w:val="002278A0"/>
    <w:rsid w:val="00227C65"/>
    <w:rsid w:val="00227F16"/>
    <w:rsid w:val="00227F3E"/>
    <w:rsid w:val="0023004C"/>
    <w:rsid w:val="002302F5"/>
    <w:rsid w:val="00230872"/>
    <w:rsid w:val="002309CC"/>
    <w:rsid w:val="00231084"/>
    <w:rsid w:val="0023112B"/>
    <w:rsid w:val="00231E02"/>
    <w:rsid w:val="00231FEB"/>
    <w:rsid w:val="0023209F"/>
    <w:rsid w:val="002329E0"/>
    <w:rsid w:val="002333AC"/>
    <w:rsid w:val="00233C01"/>
    <w:rsid w:val="0023413C"/>
    <w:rsid w:val="002341C9"/>
    <w:rsid w:val="0023455F"/>
    <w:rsid w:val="002346F0"/>
    <w:rsid w:val="00234A75"/>
    <w:rsid w:val="00235083"/>
    <w:rsid w:val="00235361"/>
    <w:rsid w:val="0023549F"/>
    <w:rsid w:val="0023629D"/>
    <w:rsid w:val="00236AF0"/>
    <w:rsid w:val="00236CA5"/>
    <w:rsid w:val="00236D6F"/>
    <w:rsid w:val="00237255"/>
    <w:rsid w:val="0024001C"/>
    <w:rsid w:val="00240056"/>
    <w:rsid w:val="002406BB"/>
    <w:rsid w:val="00240A03"/>
    <w:rsid w:val="002424AF"/>
    <w:rsid w:val="00242EC0"/>
    <w:rsid w:val="00243781"/>
    <w:rsid w:val="002439DC"/>
    <w:rsid w:val="00244165"/>
    <w:rsid w:val="002441D2"/>
    <w:rsid w:val="002445ED"/>
    <w:rsid w:val="002449B8"/>
    <w:rsid w:val="00244DC8"/>
    <w:rsid w:val="00245049"/>
    <w:rsid w:val="002458BA"/>
    <w:rsid w:val="00245CE9"/>
    <w:rsid w:val="0024636C"/>
    <w:rsid w:val="002473E6"/>
    <w:rsid w:val="00247925"/>
    <w:rsid w:val="0025014F"/>
    <w:rsid w:val="00250196"/>
    <w:rsid w:val="0025020E"/>
    <w:rsid w:val="00250811"/>
    <w:rsid w:val="00251006"/>
    <w:rsid w:val="00252133"/>
    <w:rsid w:val="002524D5"/>
    <w:rsid w:val="00253082"/>
    <w:rsid w:val="00253B1D"/>
    <w:rsid w:val="00254674"/>
    <w:rsid w:val="00254DCF"/>
    <w:rsid w:val="00255100"/>
    <w:rsid w:val="0025534B"/>
    <w:rsid w:val="00255BB7"/>
    <w:rsid w:val="00257541"/>
    <w:rsid w:val="00257A39"/>
    <w:rsid w:val="00257AC4"/>
    <w:rsid w:val="0026048B"/>
    <w:rsid w:val="00261B4D"/>
    <w:rsid w:val="00261EEF"/>
    <w:rsid w:val="00262A1A"/>
    <w:rsid w:val="00262A87"/>
    <w:rsid w:val="00263869"/>
    <w:rsid w:val="00263DC7"/>
    <w:rsid w:val="00264C3B"/>
    <w:rsid w:val="00264D26"/>
    <w:rsid w:val="00264DB9"/>
    <w:rsid w:val="0026504F"/>
    <w:rsid w:val="00265197"/>
    <w:rsid w:val="00265380"/>
    <w:rsid w:val="002673C9"/>
    <w:rsid w:val="00267642"/>
    <w:rsid w:val="00267AEA"/>
    <w:rsid w:val="002700E6"/>
    <w:rsid w:val="002706F8"/>
    <w:rsid w:val="00270C74"/>
    <w:rsid w:val="002711B3"/>
    <w:rsid w:val="00271A57"/>
    <w:rsid w:val="00272041"/>
    <w:rsid w:val="0027244B"/>
    <w:rsid w:val="0027294B"/>
    <w:rsid w:val="00273C6B"/>
    <w:rsid w:val="00273EB4"/>
    <w:rsid w:val="00273EC5"/>
    <w:rsid w:val="00274310"/>
    <w:rsid w:val="0027456F"/>
    <w:rsid w:val="00274682"/>
    <w:rsid w:val="002758F7"/>
    <w:rsid w:val="00275BC9"/>
    <w:rsid w:val="00275C5A"/>
    <w:rsid w:val="002769A0"/>
    <w:rsid w:val="00276BE1"/>
    <w:rsid w:val="00276F9A"/>
    <w:rsid w:val="00281014"/>
    <w:rsid w:val="002811A9"/>
    <w:rsid w:val="00281C25"/>
    <w:rsid w:val="00282011"/>
    <w:rsid w:val="00283343"/>
    <w:rsid w:val="00283787"/>
    <w:rsid w:val="00284AAE"/>
    <w:rsid w:val="00284C7B"/>
    <w:rsid w:val="00284FE5"/>
    <w:rsid w:val="0028509F"/>
    <w:rsid w:val="00285171"/>
    <w:rsid w:val="00285C2E"/>
    <w:rsid w:val="0028665D"/>
    <w:rsid w:val="0028707A"/>
    <w:rsid w:val="00290A6C"/>
    <w:rsid w:val="00291418"/>
    <w:rsid w:val="00291473"/>
    <w:rsid w:val="002915F6"/>
    <w:rsid w:val="00291671"/>
    <w:rsid w:val="002931C6"/>
    <w:rsid w:val="00293644"/>
    <w:rsid w:val="00293B26"/>
    <w:rsid w:val="00294723"/>
    <w:rsid w:val="0029531A"/>
    <w:rsid w:val="00296569"/>
    <w:rsid w:val="002965FC"/>
    <w:rsid w:val="00296A7A"/>
    <w:rsid w:val="0029774D"/>
    <w:rsid w:val="002A062D"/>
    <w:rsid w:val="002A0C2F"/>
    <w:rsid w:val="002A14AB"/>
    <w:rsid w:val="002A2ADE"/>
    <w:rsid w:val="002A2C0D"/>
    <w:rsid w:val="002A2F50"/>
    <w:rsid w:val="002A409F"/>
    <w:rsid w:val="002A4367"/>
    <w:rsid w:val="002A4787"/>
    <w:rsid w:val="002A48C4"/>
    <w:rsid w:val="002A492C"/>
    <w:rsid w:val="002A5316"/>
    <w:rsid w:val="002A566E"/>
    <w:rsid w:val="002A6147"/>
    <w:rsid w:val="002A640E"/>
    <w:rsid w:val="002A64B6"/>
    <w:rsid w:val="002A65B0"/>
    <w:rsid w:val="002A7114"/>
    <w:rsid w:val="002B05A1"/>
    <w:rsid w:val="002B09A4"/>
    <w:rsid w:val="002B0E59"/>
    <w:rsid w:val="002B158D"/>
    <w:rsid w:val="002B1597"/>
    <w:rsid w:val="002B16A3"/>
    <w:rsid w:val="002B1C1F"/>
    <w:rsid w:val="002B228A"/>
    <w:rsid w:val="002B2FFE"/>
    <w:rsid w:val="002B39BA"/>
    <w:rsid w:val="002B3B3C"/>
    <w:rsid w:val="002B432F"/>
    <w:rsid w:val="002B4B51"/>
    <w:rsid w:val="002B62B3"/>
    <w:rsid w:val="002B6754"/>
    <w:rsid w:val="002B67BF"/>
    <w:rsid w:val="002B6CCE"/>
    <w:rsid w:val="002B7D13"/>
    <w:rsid w:val="002C0A0C"/>
    <w:rsid w:val="002C10A4"/>
    <w:rsid w:val="002C2510"/>
    <w:rsid w:val="002C2658"/>
    <w:rsid w:val="002C2775"/>
    <w:rsid w:val="002C27C1"/>
    <w:rsid w:val="002C2974"/>
    <w:rsid w:val="002C2E24"/>
    <w:rsid w:val="002C316C"/>
    <w:rsid w:val="002C322E"/>
    <w:rsid w:val="002C3290"/>
    <w:rsid w:val="002C3386"/>
    <w:rsid w:val="002C35FA"/>
    <w:rsid w:val="002C4481"/>
    <w:rsid w:val="002C4519"/>
    <w:rsid w:val="002C4ABC"/>
    <w:rsid w:val="002C4DD9"/>
    <w:rsid w:val="002C5099"/>
    <w:rsid w:val="002C563E"/>
    <w:rsid w:val="002C5889"/>
    <w:rsid w:val="002C5AD8"/>
    <w:rsid w:val="002C5AF2"/>
    <w:rsid w:val="002C5F75"/>
    <w:rsid w:val="002C66A1"/>
    <w:rsid w:val="002C71CE"/>
    <w:rsid w:val="002C731D"/>
    <w:rsid w:val="002C7964"/>
    <w:rsid w:val="002C7B8B"/>
    <w:rsid w:val="002C7C4F"/>
    <w:rsid w:val="002D049D"/>
    <w:rsid w:val="002D08F8"/>
    <w:rsid w:val="002D0A6F"/>
    <w:rsid w:val="002D1415"/>
    <w:rsid w:val="002D2E73"/>
    <w:rsid w:val="002D4209"/>
    <w:rsid w:val="002D44CE"/>
    <w:rsid w:val="002D4688"/>
    <w:rsid w:val="002D4FAF"/>
    <w:rsid w:val="002D5375"/>
    <w:rsid w:val="002D55E8"/>
    <w:rsid w:val="002D5769"/>
    <w:rsid w:val="002D577C"/>
    <w:rsid w:val="002D5DD6"/>
    <w:rsid w:val="002D5E33"/>
    <w:rsid w:val="002D5E62"/>
    <w:rsid w:val="002D648D"/>
    <w:rsid w:val="002D6927"/>
    <w:rsid w:val="002D75A0"/>
    <w:rsid w:val="002D7E8C"/>
    <w:rsid w:val="002D7FEB"/>
    <w:rsid w:val="002E09F3"/>
    <w:rsid w:val="002E0B1D"/>
    <w:rsid w:val="002E1071"/>
    <w:rsid w:val="002E135F"/>
    <w:rsid w:val="002E150C"/>
    <w:rsid w:val="002E15B9"/>
    <w:rsid w:val="002E2158"/>
    <w:rsid w:val="002E26A6"/>
    <w:rsid w:val="002E395B"/>
    <w:rsid w:val="002E4027"/>
    <w:rsid w:val="002E43F7"/>
    <w:rsid w:val="002E4F02"/>
    <w:rsid w:val="002E5079"/>
    <w:rsid w:val="002E5283"/>
    <w:rsid w:val="002E6E36"/>
    <w:rsid w:val="002E6FFA"/>
    <w:rsid w:val="002E70D2"/>
    <w:rsid w:val="002E7722"/>
    <w:rsid w:val="002E7D34"/>
    <w:rsid w:val="002E7E76"/>
    <w:rsid w:val="002F07BA"/>
    <w:rsid w:val="002F0DA9"/>
    <w:rsid w:val="002F1014"/>
    <w:rsid w:val="002F1206"/>
    <w:rsid w:val="002F1524"/>
    <w:rsid w:val="002F2983"/>
    <w:rsid w:val="002F2B11"/>
    <w:rsid w:val="002F422F"/>
    <w:rsid w:val="002F50B3"/>
    <w:rsid w:val="002F559E"/>
    <w:rsid w:val="002F5A5A"/>
    <w:rsid w:val="002F61FD"/>
    <w:rsid w:val="002F643C"/>
    <w:rsid w:val="002F6F20"/>
    <w:rsid w:val="002F71C0"/>
    <w:rsid w:val="002F74F1"/>
    <w:rsid w:val="002F7AE0"/>
    <w:rsid w:val="0030043C"/>
    <w:rsid w:val="00300DFE"/>
    <w:rsid w:val="00300FA4"/>
    <w:rsid w:val="00301017"/>
    <w:rsid w:val="0030155F"/>
    <w:rsid w:val="00301C43"/>
    <w:rsid w:val="00302EB6"/>
    <w:rsid w:val="003031AE"/>
    <w:rsid w:val="003041EB"/>
    <w:rsid w:val="003043BC"/>
    <w:rsid w:val="00304665"/>
    <w:rsid w:val="00304886"/>
    <w:rsid w:val="00304EF5"/>
    <w:rsid w:val="0030587B"/>
    <w:rsid w:val="00306D98"/>
    <w:rsid w:val="0030786C"/>
    <w:rsid w:val="0031002A"/>
    <w:rsid w:val="00310112"/>
    <w:rsid w:val="0031031A"/>
    <w:rsid w:val="00310981"/>
    <w:rsid w:val="00310FDA"/>
    <w:rsid w:val="003124D9"/>
    <w:rsid w:val="00312594"/>
    <w:rsid w:val="00312670"/>
    <w:rsid w:val="00312CEB"/>
    <w:rsid w:val="00313207"/>
    <w:rsid w:val="0031321B"/>
    <w:rsid w:val="00313476"/>
    <w:rsid w:val="00313E97"/>
    <w:rsid w:val="0031433B"/>
    <w:rsid w:val="00314533"/>
    <w:rsid w:val="00314598"/>
    <w:rsid w:val="00314B77"/>
    <w:rsid w:val="00314CAA"/>
    <w:rsid w:val="00315498"/>
    <w:rsid w:val="003155D0"/>
    <w:rsid w:val="00316474"/>
    <w:rsid w:val="0031749C"/>
    <w:rsid w:val="003177C3"/>
    <w:rsid w:val="00321A31"/>
    <w:rsid w:val="00321E39"/>
    <w:rsid w:val="00321F17"/>
    <w:rsid w:val="0032209F"/>
    <w:rsid w:val="00322107"/>
    <w:rsid w:val="00322304"/>
    <w:rsid w:val="00322355"/>
    <w:rsid w:val="00322846"/>
    <w:rsid w:val="00322C9B"/>
    <w:rsid w:val="00323651"/>
    <w:rsid w:val="00323A02"/>
    <w:rsid w:val="00323DD6"/>
    <w:rsid w:val="00324628"/>
    <w:rsid w:val="00324E90"/>
    <w:rsid w:val="0032505A"/>
    <w:rsid w:val="003258D8"/>
    <w:rsid w:val="003268D8"/>
    <w:rsid w:val="00326DA7"/>
    <w:rsid w:val="003270E4"/>
    <w:rsid w:val="00327487"/>
    <w:rsid w:val="003303FF"/>
    <w:rsid w:val="00330DAA"/>
    <w:rsid w:val="00330F5C"/>
    <w:rsid w:val="003324D0"/>
    <w:rsid w:val="00332605"/>
    <w:rsid w:val="003329B5"/>
    <w:rsid w:val="00334E91"/>
    <w:rsid w:val="00335430"/>
    <w:rsid w:val="00335741"/>
    <w:rsid w:val="00336193"/>
    <w:rsid w:val="003366C9"/>
    <w:rsid w:val="003371B0"/>
    <w:rsid w:val="0034054F"/>
    <w:rsid w:val="003409EA"/>
    <w:rsid w:val="00340DF1"/>
    <w:rsid w:val="00340F21"/>
    <w:rsid w:val="00341B43"/>
    <w:rsid w:val="00341E67"/>
    <w:rsid w:val="00342472"/>
    <w:rsid w:val="00343040"/>
    <w:rsid w:val="0034338C"/>
    <w:rsid w:val="00343E44"/>
    <w:rsid w:val="00344278"/>
    <w:rsid w:val="003443EE"/>
    <w:rsid w:val="00344502"/>
    <w:rsid w:val="003450FB"/>
    <w:rsid w:val="00345585"/>
    <w:rsid w:val="003457AD"/>
    <w:rsid w:val="00346E39"/>
    <w:rsid w:val="0034767E"/>
    <w:rsid w:val="003502AE"/>
    <w:rsid w:val="00351152"/>
    <w:rsid w:val="00351496"/>
    <w:rsid w:val="0035162D"/>
    <w:rsid w:val="003517F9"/>
    <w:rsid w:val="003518CA"/>
    <w:rsid w:val="00351BA9"/>
    <w:rsid w:val="003521BD"/>
    <w:rsid w:val="00352282"/>
    <w:rsid w:val="00352388"/>
    <w:rsid w:val="003526CE"/>
    <w:rsid w:val="003529E2"/>
    <w:rsid w:val="00352AF9"/>
    <w:rsid w:val="00354A19"/>
    <w:rsid w:val="00354A91"/>
    <w:rsid w:val="00354EB6"/>
    <w:rsid w:val="00354F64"/>
    <w:rsid w:val="00355099"/>
    <w:rsid w:val="00355780"/>
    <w:rsid w:val="003557CC"/>
    <w:rsid w:val="003560C2"/>
    <w:rsid w:val="0035620E"/>
    <w:rsid w:val="00356E5E"/>
    <w:rsid w:val="00357068"/>
    <w:rsid w:val="00357104"/>
    <w:rsid w:val="003573AC"/>
    <w:rsid w:val="00357528"/>
    <w:rsid w:val="00357953"/>
    <w:rsid w:val="00360153"/>
    <w:rsid w:val="00360345"/>
    <w:rsid w:val="00360710"/>
    <w:rsid w:val="003609FA"/>
    <w:rsid w:val="00361A05"/>
    <w:rsid w:val="003624C4"/>
    <w:rsid w:val="00363B00"/>
    <w:rsid w:val="00363E14"/>
    <w:rsid w:val="0036428A"/>
    <w:rsid w:val="00365002"/>
    <w:rsid w:val="003654AC"/>
    <w:rsid w:val="003654F3"/>
    <w:rsid w:val="00365670"/>
    <w:rsid w:val="003658CB"/>
    <w:rsid w:val="00366668"/>
    <w:rsid w:val="00366B66"/>
    <w:rsid w:val="00366DA7"/>
    <w:rsid w:val="00367346"/>
    <w:rsid w:val="0037085C"/>
    <w:rsid w:val="00370BAB"/>
    <w:rsid w:val="00370E42"/>
    <w:rsid w:val="003710CF"/>
    <w:rsid w:val="00372701"/>
    <w:rsid w:val="00373363"/>
    <w:rsid w:val="0037358A"/>
    <w:rsid w:val="00373EF1"/>
    <w:rsid w:val="003745FB"/>
    <w:rsid w:val="003746FA"/>
    <w:rsid w:val="00374803"/>
    <w:rsid w:val="00374CAB"/>
    <w:rsid w:val="00374DA6"/>
    <w:rsid w:val="003750F6"/>
    <w:rsid w:val="00375CE7"/>
    <w:rsid w:val="003760FC"/>
    <w:rsid w:val="0037623B"/>
    <w:rsid w:val="003779AF"/>
    <w:rsid w:val="00377A9A"/>
    <w:rsid w:val="00377DAE"/>
    <w:rsid w:val="0038089F"/>
    <w:rsid w:val="0038212F"/>
    <w:rsid w:val="00382D5A"/>
    <w:rsid w:val="00383419"/>
    <w:rsid w:val="0038365C"/>
    <w:rsid w:val="0038369B"/>
    <w:rsid w:val="0038390E"/>
    <w:rsid w:val="00383B78"/>
    <w:rsid w:val="0038497E"/>
    <w:rsid w:val="00384D4F"/>
    <w:rsid w:val="003853A3"/>
    <w:rsid w:val="003853AB"/>
    <w:rsid w:val="00385A9D"/>
    <w:rsid w:val="00385B10"/>
    <w:rsid w:val="0038695E"/>
    <w:rsid w:val="003872DC"/>
    <w:rsid w:val="00387580"/>
    <w:rsid w:val="00387681"/>
    <w:rsid w:val="003902B1"/>
    <w:rsid w:val="00390A6F"/>
    <w:rsid w:val="00391719"/>
    <w:rsid w:val="0039179C"/>
    <w:rsid w:val="003918BE"/>
    <w:rsid w:val="0039256E"/>
    <w:rsid w:val="003943FE"/>
    <w:rsid w:val="003949DB"/>
    <w:rsid w:val="003953C3"/>
    <w:rsid w:val="003957DE"/>
    <w:rsid w:val="00396896"/>
    <w:rsid w:val="00396FD0"/>
    <w:rsid w:val="00397272"/>
    <w:rsid w:val="0039773B"/>
    <w:rsid w:val="00397C9F"/>
    <w:rsid w:val="00397FF5"/>
    <w:rsid w:val="003A06C7"/>
    <w:rsid w:val="003A1A7A"/>
    <w:rsid w:val="003A1AEF"/>
    <w:rsid w:val="003A224C"/>
    <w:rsid w:val="003A2392"/>
    <w:rsid w:val="003A2435"/>
    <w:rsid w:val="003A27EF"/>
    <w:rsid w:val="003A2831"/>
    <w:rsid w:val="003A291A"/>
    <w:rsid w:val="003A3419"/>
    <w:rsid w:val="003A3599"/>
    <w:rsid w:val="003A3CB6"/>
    <w:rsid w:val="003A3ED1"/>
    <w:rsid w:val="003A44DB"/>
    <w:rsid w:val="003A46A2"/>
    <w:rsid w:val="003A4A09"/>
    <w:rsid w:val="003A5035"/>
    <w:rsid w:val="003A5D9D"/>
    <w:rsid w:val="003A6A37"/>
    <w:rsid w:val="003A786F"/>
    <w:rsid w:val="003A7BFC"/>
    <w:rsid w:val="003A7E21"/>
    <w:rsid w:val="003B0018"/>
    <w:rsid w:val="003B0669"/>
    <w:rsid w:val="003B0737"/>
    <w:rsid w:val="003B08D1"/>
    <w:rsid w:val="003B23DF"/>
    <w:rsid w:val="003B3971"/>
    <w:rsid w:val="003B3C1F"/>
    <w:rsid w:val="003B434E"/>
    <w:rsid w:val="003B4505"/>
    <w:rsid w:val="003B4552"/>
    <w:rsid w:val="003B489B"/>
    <w:rsid w:val="003B490C"/>
    <w:rsid w:val="003B5069"/>
    <w:rsid w:val="003B50B2"/>
    <w:rsid w:val="003B55D1"/>
    <w:rsid w:val="003B5B61"/>
    <w:rsid w:val="003B5FCB"/>
    <w:rsid w:val="003B649C"/>
    <w:rsid w:val="003B6626"/>
    <w:rsid w:val="003B6F7B"/>
    <w:rsid w:val="003B7186"/>
    <w:rsid w:val="003B7786"/>
    <w:rsid w:val="003B7D08"/>
    <w:rsid w:val="003C1654"/>
    <w:rsid w:val="003C17C1"/>
    <w:rsid w:val="003C1886"/>
    <w:rsid w:val="003C24CC"/>
    <w:rsid w:val="003C2F9A"/>
    <w:rsid w:val="003C3395"/>
    <w:rsid w:val="003C3C11"/>
    <w:rsid w:val="003C3D14"/>
    <w:rsid w:val="003C5106"/>
    <w:rsid w:val="003C5542"/>
    <w:rsid w:val="003C5AFC"/>
    <w:rsid w:val="003C79DA"/>
    <w:rsid w:val="003C7BF5"/>
    <w:rsid w:val="003C7D19"/>
    <w:rsid w:val="003C7D2F"/>
    <w:rsid w:val="003D0363"/>
    <w:rsid w:val="003D1309"/>
    <w:rsid w:val="003D1828"/>
    <w:rsid w:val="003D1DA3"/>
    <w:rsid w:val="003D1DA6"/>
    <w:rsid w:val="003D1DE4"/>
    <w:rsid w:val="003D1E9A"/>
    <w:rsid w:val="003D2422"/>
    <w:rsid w:val="003D2E2A"/>
    <w:rsid w:val="003D2EF4"/>
    <w:rsid w:val="003D39A1"/>
    <w:rsid w:val="003D3FBF"/>
    <w:rsid w:val="003D4716"/>
    <w:rsid w:val="003D48A3"/>
    <w:rsid w:val="003D4A30"/>
    <w:rsid w:val="003D7452"/>
    <w:rsid w:val="003D7931"/>
    <w:rsid w:val="003D7957"/>
    <w:rsid w:val="003D79BB"/>
    <w:rsid w:val="003D7A1D"/>
    <w:rsid w:val="003D7C98"/>
    <w:rsid w:val="003D7D9D"/>
    <w:rsid w:val="003E01A0"/>
    <w:rsid w:val="003E0543"/>
    <w:rsid w:val="003E0D1E"/>
    <w:rsid w:val="003E2255"/>
    <w:rsid w:val="003E40A8"/>
    <w:rsid w:val="003E568D"/>
    <w:rsid w:val="003E56AA"/>
    <w:rsid w:val="003E65A0"/>
    <w:rsid w:val="003E749E"/>
    <w:rsid w:val="003E7D1A"/>
    <w:rsid w:val="003F2369"/>
    <w:rsid w:val="003F3256"/>
    <w:rsid w:val="003F386D"/>
    <w:rsid w:val="003F3EBA"/>
    <w:rsid w:val="003F400E"/>
    <w:rsid w:val="003F4156"/>
    <w:rsid w:val="003F4829"/>
    <w:rsid w:val="003F5A69"/>
    <w:rsid w:val="003F5ADF"/>
    <w:rsid w:val="003F6781"/>
    <w:rsid w:val="003F678F"/>
    <w:rsid w:val="003F67D4"/>
    <w:rsid w:val="003F698E"/>
    <w:rsid w:val="003F69E1"/>
    <w:rsid w:val="003F71FD"/>
    <w:rsid w:val="003F754E"/>
    <w:rsid w:val="004007E6"/>
    <w:rsid w:val="0040081D"/>
    <w:rsid w:val="00400B29"/>
    <w:rsid w:val="004022B2"/>
    <w:rsid w:val="00402F08"/>
    <w:rsid w:val="00403A89"/>
    <w:rsid w:val="00404599"/>
    <w:rsid w:val="0040472E"/>
    <w:rsid w:val="00404926"/>
    <w:rsid w:val="00404B0D"/>
    <w:rsid w:val="0040504B"/>
    <w:rsid w:val="004059F4"/>
    <w:rsid w:val="00406770"/>
    <w:rsid w:val="00406805"/>
    <w:rsid w:val="00406934"/>
    <w:rsid w:val="00407C6B"/>
    <w:rsid w:val="00407FE5"/>
    <w:rsid w:val="004101B0"/>
    <w:rsid w:val="00410326"/>
    <w:rsid w:val="00410708"/>
    <w:rsid w:val="00410742"/>
    <w:rsid w:val="00410EC7"/>
    <w:rsid w:val="00411676"/>
    <w:rsid w:val="00411694"/>
    <w:rsid w:val="004118E6"/>
    <w:rsid w:val="00411B39"/>
    <w:rsid w:val="004121C5"/>
    <w:rsid w:val="004127A7"/>
    <w:rsid w:val="00413A1E"/>
    <w:rsid w:val="00413C15"/>
    <w:rsid w:val="00413DA2"/>
    <w:rsid w:val="00414476"/>
    <w:rsid w:val="00414A00"/>
    <w:rsid w:val="00414C2E"/>
    <w:rsid w:val="00415033"/>
    <w:rsid w:val="004151CF"/>
    <w:rsid w:val="004153A2"/>
    <w:rsid w:val="00415823"/>
    <w:rsid w:val="00415DAA"/>
    <w:rsid w:val="00416364"/>
    <w:rsid w:val="004170F3"/>
    <w:rsid w:val="00417226"/>
    <w:rsid w:val="004200A7"/>
    <w:rsid w:val="0042047F"/>
    <w:rsid w:val="00420688"/>
    <w:rsid w:val="00420AA6"/>
    <w:rsid w:val="00420B9F"/>
    <w:rsid w:val="00420D26"/>
    <w:rsid w:val="00420D30"/>
    <w:rsid w:val="0042115D"/>
    <w:rsid w:val="00421263"/>
    <w:rsid w:val="0042192C"/>
    <w:rsid w:val="00422260"/>
    <w:rsid w:val="00422C1A"/>
    <w:rsid w:val="0042303B"/>
    <w:rsid w:val="00423789"/>
    <w:rsid w:val="0042413F"/>
    <w:rsid w:val="00424B8D"/>
    <w:rsid w:val="00424F26"/>
    <w:rsid w:val="00424FFD"/>
    <w:rsid w:val="00425E4D"/>
    <w:rsid w:val="00425E82"/>
    <w:rsid w:val="00426414"/>
    <w:rsid w:val="00426880"/>
    <w:rsid w:val="00426EFB"/>
    <w:rsid w:val="00427099"/>
    <w:rsid w:val="0042719B"/>
    <w:rsid w:val="0042747D"/>
    <w:rsid w:val="004278E5"/>
    <w:rsid w:val="00427A89"/>
    <w:rsid w:val="0043030D"/>
    <w:rsid w:val="0043087B"/>
    <w:rsid w:val="00430B6E"/>
    <w:rsid w:val="00430D5D"/>
    <w:rsid w:val="0043114B"/>
    <w:rsid w:val="004319F8"/>
    <w:rsid w:val="00431ABD"/>
    <w:rsid w:val="00431E55"/>
    <w:rsid w:val="00431F04"/>
    <w:rsid w:val="00431F44"/>
    <w:rsid w:val="00431F66"/>
    <w:rsid w:val="004321F6"/>
    <w:rsid w:val="004325C9"/>
    <w:rsid w:val="004325D8"/>
    <w:rsid w:val="0043283D"/>
    <w:rsid w:val="00433044"/>
    <w:rsid w:val="00433E01"/>
    <w:rsid w:val="00434088"/>
    <w:rsid w:val="004345B2"/>
    <w:rsid w:val="004355FA"/>
    <w:rsid w:val="00436AB5"/>
    <w:rsid w:val="004373FF"/>
    <w:rsid w:val="00437464"/>
    <w:rsid w:val="004375B9"/>
    <w:rsid w:val="00437A8B"/>
    <w:rsid w:val="00437B25"/>
    <w:rsid w:val="00437E2D"/>
    <w:rsid w:val="00440363"/>
    <w:rsid w:val="00440D69"/>
    <w:rsid w:val="00441EE3"/>
    <w:rsid w:val="00441F1C"/>
    <w:rsid w:val="004421E4"/>
    <w:rsid w:val="00442589"/>
    <w:rsid w:val="004428D0"/>
    <w:rsid w:val="00443825"/>
    <w:rsid w:val="00444185"/>
    <w:rsid w:val="004443A7"/>
    <w:rsid w:val="0044442C"/>
    <w:rsid w:val="00444580"/>
    <w:rsid w:val="00444A3F"/>
    <w:rsid w:val="00444A92"/>
    <w:rsid w:val="004452EF"/>
    <w:rsid w:val="00445941"/>
    <w:rsid w:val="00445B72"/>
    <w:rsid w:val="004460C0"/>
    <w:rsid w:val="0044627A"/>
    <w:rsid w:val="004464EB"/>
    <w:rsid w:val="004476D4"/>
    <w:rsid w:val="00447D26"/>
    <w:rsid w:val="00447DFC"/>
    <w:rsid w:val="00450BAB"/>
    <w:rsid w:val="00450D17"/>
    <w:rsid w:val="00451C66"/>
    <w:rsid w:val="00452E21"/>
    <w:rsid w:val="00453079"/>
    <w:rsid w:val="00453629"/>
    <w:rsid w:val="004542DD"/>
    <w:rsid w:val="00455609"/>
    <w:rsid w:val="00455D45"/>
    <w:rsid w:val="00455D90"/>
    <w:rsid w:val="004565C6"/>
    <w:rsid w:val="004565C8"/>
    <w:rsid w:val="004569A5"/>
    <w:rsid w:val="00457160"/>
    <w:rsid w:val="004572DD"/>
    <w:rsid w:val="004578CF"/>
    <w:rsid w:val="004579A7"/>
    <w:rsid w:val="00457FBE"/>
    <w:rsid w:val="00460E3F"/>
    <w:rsid w:val="004611AA"/>
    <w:rsid w:val="00461BD2"/>
    <w:rsid w:val="00462130"/>
    <w:rsid w:val="00462234"/>
    <w:rsid w:val="0046232A"/>
    <w:rsid w:val="004628B3"/>
    <w:rsid w:val="004635D7"/>
    <w:rsid w:val="00463E98"/>
    <w:rsid w:val="00463FAD"/>
    <w:rsid w:val="00464153"/>
    <w:rsid w:val="00464595"/>
    <w:rsid w:val="00464BCB"/>
    <w:rsid w:val="004658B5"/>
    <w:rsid w:val="00465F43"/>
    <w:rsid w:val="00465FB4"/>
    <w:rsid w:val="0046643D"/>
    <w:rsid w:val="00466677"/>
    <w:rsid w:val="004677B2"/>
    <w:rsid w:val="00470D59"/>
    <w:rsid w:val="00471EA5"/>
    <w:rsid w:val="00472A79"/>
    <w:rsid w:val="00472B6F"/>
    <w:rsid w:val="00473D85"/>
    <w:rsid w:val="00473F19"/>
    <w:rsid w:val="00473F72"/>
    <w:rsid w:val="0047497B"/>
    <w:rsid w:val="0047585D"/>
    <w:rsid w:val="00475E22"/>
    <w:rsid w:val="0047666F"/>
    <w:rsid w:val="004768EF"/>
    <w:rsid w:val="004776A1"/>
    <w:rsid w:val="0048088E"/>
    <w:rsid w:val="00480A3D"/>
    <w:rsid w:val="00480D74"/>
    <w:rsid w:val="00480F2B"/>
    <w:rsid w:val="0048188E"/>
    <w:rsid w:val="00481D3F"/>
    <w:rsid w:val="00482720"/>
    <w:rsid w:val="00482E81"/>
    <w:rsid w:val="00483150"/>
    <w:rsid w:val="004835E7"/>
    <w:rsid w:val="0048369B"/>
    <w:rsid w:val="00483D8A"/>
    <w:rsid w:val="00484A12"/>
    <w:rsid w:val="00485195"/>
    <w:rsid w:val="004858D3"/>
    <w:rsid w:val="00485E39"/>
    <w:rsid w:val="0048649E"/>
    <w:rsid w:val="004867E2"/>
    <w:rsid w:val="00486F3F"/>
    <w:rsid w:val="00490B00"/>
    <w:rsid w:val="00490B17"/>
    <w:rsid w:val="00490FBA"/>
    <w:rsid w:val="004913CA"/>
    <w:rsid w:val="00491B3A"/>
    <w:rsid w:val="00491BB3"/>
    <w:rsid w:val="00491BE8"/>
    <w:rsid w:val="00491D7F"/>
    <w:rsid w:val="00491D81"/>
    <w:rsid w:val="00492CFD"/>
    <w:rsid w:val="00493B2A"/>
    <w:rsid w:val="00494207"/>
    <w:rsid w:val="00494DD5"/>
    <w:rsid w:val="00495656"/>
    <w:rsid w:val="00495684"/>
    <w:rsid w:val="004962D2"/>
    <w:rsid w:val="00496917"/>
    <w:rsid w:val="00496925"/>
    <w:rsid w:val="00496AA2"/>
    <w:rsid w:val="00496BC9"/>
    <w:rsid w:val="004974A8"/>
    <w:rsid w:val="00497D7B"/>
    <w:rsid w:val="004A02A7"/>
    <w:rsid w:val="004A0689"/>
    <w:rsid w:val="004A0DA1"/>
    <w:rsid w:val="004A0EBF"/>
    <w:rsid w:val="004A0FEC"/>
    <w:rsid w:val="004A1058"/>
    <w:rsid w:val="004A13D6"/>
    <w:rsid w:val="004A1492"/>
    <w:rsid w:val="004A1923"/>
    <w:rsid w:val="004A20E6"/>
    <w:rsid w:val="004A2211"/>
    <w:rsid w:val="004A23A7"/>
    <w:rsid w:val="004A35D3"/>
    <w:rsid w:val="004A39CA"/>
    <w:rsid w:val="004A3F38"/>
    <w:rsid w:val="004A4506"/>
    <w:rsid w:val="004A4CB6"/>
    <w:rsid w:val="004A52E9"/>
    <w:rsid w:val="004A6040"/>
    <w:rsid w:val="004A604A"/>
    <w:rsid w:val="004A6597"/>
    <w:rsid w:val="004A6810"/>
    <w:rsid w:val="004A75C4"/>
    <w:rsid w:val="004A7848"/>
    <w:rsid w:val="004A7AFE"/>
    <w:rsid w:val="004B027A"/>
    <w:rsid w:val="004B05DD"/>
    <w:rsid w:val="004B097F"/>
    <w:rsid w:val="004B0EC5"/>
    <w:rsid w:val="004B0FF8"/>
    <w:rsid w:val="004B1612"/>
    <w:rsid w:val="004B16DB"/>
    <w:rsid w:val="004B1CB4"/>
    <w:rsid w:val="004B2F18"/>
    <w:rsid w:val="004B3C5B"/>
    <w:rsid w:val="004B3DDB"/>
    <w:rsid w:val="004B44FD"/>
    <w:rsid w:val="004B5727"/>
    <w:rsid w:val="004B5CFC"/>
    <w:rsid w:val="004B6B7F"/>
    <w:rsid w:val="004B6EE0"/>
    <w:rsid w:val="004B6F79"/>
    <w:rsid w:val="004B744B"/>
    <w:rsid w:val="004B774D"/>
    <w:rsid w:val="004B7A3D"/>
    <w:rsid w:val="004B7E9A"/>
    <w:rsid w:val="004C1095"/>
    <w:rsid w:val="004C2312"/>
    <w:rsid w:val="004C26B6"/>
    <w:rsid w:val="004C3A6F"/>
    <w:rsid w:val="004C3C16"/>
    <w:rsid w:val="004C484B"/>
    <w:rsid w:val="004C4AED"/>
    <w:rsid w:val="004C613E"/>
    <w:rsid w:val="004C684B"/>
    <w:rsid w:val="004C6DF9"/>
    <w:rsid w:val="004C7CAC"/>
    <w:rsid w:val="004C7E6C"/>
    <w:rsid w:val="004C7F49"/>
    <w:rsid w:val="004D01A6"/>
    <w:rsid w:val="004D1EE7"/>
    <w:rsid w:val="004D2C2D"/>
    <w:rsid w:val="004D2DC0"/>
    <w:rsid w:val="004D3286"/>
    <w:rsid w:val="004D350A"/>
    <w:rsid w:val="004D3547"/>
    <w:rsid w:val="004D370E"/>
    <w:rsid w:val="004D3A70"/>
    <w:rsid w:val="004D59AC"/>
    <w:rsid w:val="004D69B5"/>
    <w:rsid w:val="004D703E"/>
    <w:rsid w:val="004D7227"/>
    <w:rsid w:val="004D7753"/>
    <w:rsid w:val="004E0D00"/>
    <w:rsid w:val="004E0E7F"/>
    <w:rsid w:val="004E0EB8"/>
    <w:rsid w:val="004E18A0"/>
    <w:rsid w:val="004E18E9"/>
    <w:rsid w:val="004E2ADC"/>
    <w:rsid w:val="004E2ED9"/>
    <w:rsid w:val="004E3F55"/>
    <w:rsid w:val="004E43B2"/>
    <w:rsid w:val="004E481D"/>
    <w:rsid w:val="004E4B5F"/>
    <w:rsid w:val="004E4DA2"/>
    <w:rsid w:val="004E4DDD"/>
    <w:rsid w:val="004E62D7"/>
    <w:rsid w:val="004E68FF"/>
    <w:rsid w:val="004E73D8"/>
    <w:rsid w:val="004E7CD5"/>
    <w:rsid w:val="004F13DF"/>
    <w:rsid w:val="004F1BE2"/>
    <w:rsid w:val="004F1D02"/>
    <w:rsid w:val="004F1E4B"/>
    <w:rsid w:val="004F2679"/>
    <w:rsid w:val="004F2C5F"/>
    <w:rsid w:val="004F2E5D"/>
    <w:rsid w:val="004F2F21"/>
    <w:rsid w:val="004F3DE5"/>
    <w:rsid w:val="004F55E5"/>
    <w:rsid w:val="004F5689"/>
    <w:rsid w:val="004F5744"/>
    <w:rsid w:val="004F647F"/>
    <w:rsid w:val="004F65BE"/>
    <w:rsid w:val="004F65D6"/>
    <w:rsid w:val="004F6913"/>
    <w:rsid w:val="004F708A"/>
    <w:rsid w:val="004F7865"/>
    <w:rsid w:val="00500BA1"/>
    <w:rsid w:val="0050174E"/>
    <w:rsid w:val="00501854"/>
    <w:rsid w:val="0050219B"/>
    <w:rsid w:val="0050228A"/>
    <w:rsid w:val="00503F17"/>
    <w:rsid w:val="0050529D"/>
    <w:rsid w:val="00505807"/>
    <w:rsid w:val="00505CEC"/>
    <w:rsid w:val="00506928"/>
    <w:rsid w:val="00506E03"/>
    <w:rsid w:val="005077EF"/>
    <w:rsid w:val="00507D95"/>
    <w:rsid w:val="005102AA"/>
    <w:rsid w:val="00510A7C"/>
    <w:rsid w:val="00510CD2"/>
    <w:rsid w:val="00510D44"/>
    <w:rsid w:val="005114AF"/>
    <w:rsid w:val="00511AD5"/>
    <w:rsid w:val="00511C5E"/>
    <w:rsid w:val="00511DC7"/>
    <w:rsid w:val="00511F28"/>
    <w:rsid w:val="005132A1"/>
    <w:rsid w:val="0051369A"/>
    <w:rsid w:val="00513709"/>
    <w:rsid w:val="005142C5"/>
    <w:rsid w:val="00514C16"/>
    <w:rsid w:val="0051501B"/>
    <w:rsid w:val="005152B5"/>
    <w:rsid w:val="005152B8"/>
    <w:rsid w:val="0051660B"/>
    <w:rsid w:val="00516F58"/>
    <w:rsid w:val="005202D2"/>
    <w:rsid w:val="00520E83"/>
    <w:rsid w:val="00520E96"/>
    <w:rsid w:val="0052123C"/>
    <w:rsid w:val="00521319"/>
    <w:rsid w:val="005214C0"/>
    <w:rsid w:val="00522151"/>
    <w:rsid w:val="005229EE"/>
    <w:rsid w:val="00522BC8"/>
    <w:rsid w:val="0052360B"/>
    <w:rsid w:val="0052373F"/>
    <w:rsid w:val="00523765"/>
    <w:rsid w:val="00523C28"/>
    <w:rsid w:val="00524571"/>
    <w:rsid w:val="00524588"/>
    <w:rsid w:val="00524944"/>
    <w:rsid w:val="00525A3E"/>
    <w:rsid w:val="00525C97"/>
    <w:rsid w:val="00527138"/>
    <w:rsid w:val="0052737D"/>
    <w:rsid w:val="00527ED6"/>
    <w:rsid w:val="005304FD"/>
    <w:rsid w:val="00530A34"/>
    <w:rsid w:val="00530DBA"/>
    <w:rsid w:val="00530FEF"/>
    <w:rsid w:val="00531471"/>
    <w:rsid w:val="00531523"/>
    <w:rsid w:val="00531657"/>
    <w:rsid w:val="00531677"/>
    <w:rsid w:val="0053176B"/>
    <w:rsid w:val="005326A6"/>
    <w:rsid w:val="00532D02"/>
    <w:rsid w:val="00533178"/>
    <w:rsid w:val="0053324E"/>
    <w:rsid w:val="005333C0"/>
    <w:rsid w:val="00533663"/>
    <w:rsid w:val="00533AF4"/>
    <w:rsid w:val="0053443D"/>
    <w:rsid w:val="00534778"/>
    <w:rsid w:val="00534ACE"/>
    <w:rsid w:val="00534C14"/>
    <w:rsid w:val="005365B7"/>
    <w:rsid w:val="005367FA"/>
    <w:rsid w:val="00536F42"/>
    <w:rsid w:val="005370D6"/>
    <w:rsid w:val="00537182"/>
    <w:rsid w:val="005371E8"/>
    <w:rsid w:val="00537289"/>
    <w:rsid w:val="00537B51"/>
    <w:rsid w:val="00537C17"/>
    <w:rsid w:val="00537F2D"/>
    <w:rsid w:val="00540A29"/>
    <w:rsid w:val="00541432"/>
    <w:rsid w:val="00541EDD"/>
    <w:rsid w:val="00542021"/>
    <w:rsid w:val="00542743"/>
    <w:rsid w:val="00542771"/>
    <w:rsid w:val="00542C2D"/>
    <w:rsid w:val="00542EB0"/>
    <w:rsid w:val="00543E41"/>
    <w:rsid w:val="00543F93"/>
    <w:rsid w:val="00544518"/>
    <w:rsid w:val="0054489F"/>
    <w:rsid w:val="00545458"/>
    <w:rsid w:val="0054551D"/>
    <w:rsid w:val="00545743"/>
    <w:rsid w:val="005461AE"/>
    <w:rsid w:val="005464C3"/>
    <w:rsid w:val="00546607"/>
    <w:rsid w:val="00547635"/>
    <w:rsid w:val="005478BD"/>
    <w:rsid w:val="005479E3"/>
    <w:rsid w:val="00550911"/>
    <w:rsid w:val="00550947"/>
    <w:rsid w:val="005510E0"/>
    <w:rsid w:val="00551985"/>
    <w:rsid w:val="005521DD"/>
    <w:rsid w:val="00552288"/>
    <w:rsid w:val="005529FF"/>
    <w:rsid w:val="00552BD3"/>
    <w:rsid w:val="00552D33"/>
    <w:rsid w:val="005531E7"/>
    <w:rsid w:val="005532A0"/>
    <w:rsid w:val="00553550"/>
    <w:rsid w:val="00554589"/>
    <w:rsid w:val="00555109"/>
    <w:rsid w:val="00555885"/>
    <w:rsid w:val="00556699"/>
    <w:rsid w:val="005568B9"/>
    <w:rsid w:val="005569D6"/>
    <w:rsid w:val="00556B35"/>
    <w:rsid w:val="0055734C"/>
    <w:rsid w:val="0055741A"/>
    <w:rsid w:val="00557CC9"/>
    <w:rsid w:val="00560675"/>
    <w:rsid w:val="0056098C"/>
    <w:rsid w:val="005611B7"/>
    <w:rsid w:val="0056151E"/>
    <w:rsid w:val="005618D4"/>
    <w:rsid w:val="00561CCD"/>
    <w:rsid w:val="00562656"/>
    <w:rsid w:val="00564F15"/>
    <w:rsid w:val="00565DF0"/>
    <w:rsid w:val="0056696F"/>
    <w:rsid w:val="00567D34"/>
    <w:rsid w:val="005701D0"/>
    <w:rsid w:val="005708BA"/>
    <w:rsid w:val="00571F0C"/>
    <w:rsid w:val="00572269"/>
    <w:rsid w:val="0057244A"/>
    <w:rsid w:val="005728BF"/>
    <w:rsid w:val="00572F26"/>
    <w:rsid w:val="00573095"/>
    <w:rsid w:val="00573156"/>
    <w:rsid w:val="00573D84"/>
    <w:rsid w:val="00573E57"/>
    <w:rsid w:val="00573E96"/>
    <w:rsid w:val="005741A7"/>
    <w:rsid w:val="00574238"/>
    <w:rsid w:val="00574462"/>
    <w:rsid w:val="00574F2F"/>
    <w:rsid w:val="005750C5"/>
    <w:rsid w:val="005752DE"/>
    <w:rsid w:val="00575D8D"/>
    <w:rsid w:val="00576972"/>
    <w:rsid w:val="00577198"/>
    <w:rsid w:val="00577E44"/>
    <w:rsid w:val="00577E90"/>
    <w:rsid w:val="00580314"/>
    <w:rsid w:val="00581C9D"/>
    <w:rsid w:val="0058263F"/>
    <w:rsid w:val="0058297B"/>
    <w:rsid w:val="0058297E"/>
    <w:rsid w:val="00582DDB"/>
    <w:rsid w:val="00583699"/>
    <w:rsid w:val="00584949"/>
    <w:rsid w:val="00585980"/>
    <w:rsid w:val="005859B3"/>
    <w:rsid w:val="00585B47"/>
    <w:rsid w:val="00585CDD"/>
    <w:rsid w:val="00585CFC"/>
    <w:rsid w:val="005862FE"/>
    <w:rsid w:val="00586C57"/>
    <w:rsid w:val="00587058"/>
    <w:rsid w:val="00587E93"/>
    <w:rsid w:val="00587FEC"/>
    <w:rsid w:val="0059168B"/>
    <w:rsid w:val="00591957"/>
    <w:rsid w:val="00591DB3"/>
    <w:rsid w:val="00591F2E"/>
    <w:rsid w:val="00592809"/>
    <w:rsid w:val="00592E6A"/>
    <w:rsid w:val="0059397A"/>
    <w:rsid w:val="00595C8F"/>
    <w:rsid w:val="0059611A"/>
    <w:rsid w:val="00596BE1"/>
    <w:rsid w:val="00597BF9"/>
    <w:rsid w:val="005A1BD7"/>
    <w:rsid w:val="005A2320"/>
    <w:rsid w:val="005A309A"/>
    <w:rsid w:val="005A373D"/>
    <w:rsid w:val="005A3E5F"/>
    <w:rsid w:val="005A43B9"/>
    <w:rsid w:val="005A4536"/>
    <w:rsid w:val="005A461C"/>
    <w:rsid w:val="005A4F3F"/>
    <w:rsid w:val="005A504A"/>
    <w:rsid w:val="005A51FB"/>
    <w:rsid w:val="005A61E6"/>
    <w:rsid w:val="005A6604"/>
    <w:rsid w:val="005B02C1"/>
    <w:rsid w:val="005B09DB"/>
    <w:rsid w:val="005B0B58"/>
    <w:rsid w:val="005B0C3A"/>
    <w:rsid w:val="005B16CE"/>
    <w:rsid w:val="005B20E5"/>
    <w:rsid w:val="005B25E5"/>
    <w:rsid w:val="005B2AA8"/>
    <w:rsid w:val="005B2C65"/>
    <w:rsid w:val="005B34C9"/>
    <w:rsid w:val="005B3CFB"/>
    <w:rsid w:val="005B4890"/>
    <w:rsid w:val="005B4E53"/>
    <w:rsid w:val="005B5523"/>
    <w:rsid w:val="005B5857"/>
    <w:rsid w:val="005B5D62"/>
    <w:rsid w:val="005B5D92"/>
    <w:rsid w:val="005B6F12"/>
    <w:rsid w:val="005B7AD3"/>
    <w:rsid w:val="005B7E9C"/>
    <w:rsid w:val="005C0C29"/>
    <w:rsid w:val="005C15FC"/>
    <w:rsid w:val="005C1B83"/>
    <w:rsid w:val="005C1F90"/>
    <w:rsid w:val="005C259E"/>
    <w:rsid w:val="005C25AA"/>
    <w:rsid w:val="005C25FF"/>
    <w:rsid w:val="005C2D55"/>
    <w:rsid w:val="005C342F"/>
    <w:rsid w:val="005C346B"/>
    <w:rsid w:val="005C3F83"/>
    <w:rsid w:val="005C3FE7"/>
    <w:rsid w:val="005C52A5"/>
    <w:rsid w:val="005C6D7A"/>
    <w:rsid w:val="005C7437"/>
    <w:rsid w:val="005C79B7"/>
    <w:rsid w:val="005C7E82"/>
    <w:rsid w:val="005C7E8A"/>
    <w:rsid w:val="005C7F63"/>
    <w:rsid w:val="005D044D"/>
    <w:rsid w:val="005D0ABD"/>
    <w:rsid w:val="005D18AD"/>
    <w:rsid w:val="005D2362"/>
    <w:rsid w:val="005D2522"/>
    <w:rsid w:val="005D26B4"/>
    <w:rsid w:val="005D2749"/>
    <w:rsid w:val="005D2B5A"/>
    <w:rsid w:val="005D306E"/>
    <w:rsid w:val="005D3D12"/>
    <w:rsid w:val="005D4475"/>
    <w:rsid w:val="005D5D31"/>
    <w:rsid w:val="005D696E"/>
    <w:rsid w:val="005D6BD2"/>
    <w:rsid w:val="005D718D"/>
    <w:rsid w:val="005E0276"/>
    <w:rsid w:val="005E0317"/>
    <w:rsid w:val="005E1087"/>
    <w:rsid w:val="005E1667"/>
    <w:rsid w:val="005E1CD0"/>
    <w:rsid w:val="005E1E17"/>
    <w:rsid w:val="005E1EB0"/>
    <w:rsid w:val="005E20AD"/>
    <w:rsid w:val="005E2382"/>
    <w:rsid w:val="005E2D91"/>
    <w:rsid w:val="005E302D"/>
    <w:rsid w:val="005E3D8C"/>
    <w:rsid w:val="005E583C"/>
    <w:rsid w:val="005E5AD8"/>
    <w:rsid w:val="005E5DE1"/>
    <w:rsid w:val="005E637D"/>
    <w:rsid w:val="005E686C"/>
    <w:rsid w:val="005E6CBC"/>
    <w:rsid w:val="005E723B"/>
    <w:rsid w:val="005E72FF"/>
    <w:rsid w:val="005E73C0"/>
    <w:rsid w:val="005E7C20"/>
    <w:rsid w:val="005E7EB2"/>
    <w:rsid w:val="005F11A2"/>
    <w:rsid w:val="005F12E5"/>
    <w:rsid w:val="005F2706"/>
    <w:rsid w:val="005F31E8"/>
    <w:rsid w:val="005F5295"/>
    <w:rsid w:val="005F5B47"/>
    <w:rsid w:val="005F5FBB"/>
    <w:rsid w:val="005F6927"/>
    <w:rsid w:val="005F6A8F"/>
    <w:rsid w:val="005F6BB7"/>
    <w:rsid w:val="005F71A4"/>
    <w:rsid w:val="005F7361"/>
    <w:rsid w:val="005F7588"/>
    <w:rsid w:val="00600AEC"/>
    <w:rsid w:val="00601570"/>
    <w:rsid w:val="00602ED5"/>
    <w:rsid w:val="00602F49"/>
    <w:rsid w:val="0060347F"/>
    <w:rsid w:val="00603DB9"/>
    <w:rsid w:val="00603E6D"/>
    <w:rsid w:val="00604243"/>
    <w:rsid w:val="006059A2"/>
    <w:rsid w:val="00605DC0"/>
    <w:rsid w:val="0060622E"/>
    <w:rsid w:val="00606FBA"/>
    <w:rsid w:val="00607138"/>
    <w:rsid w:val="00607669"/>
    <w:rsid w:val="006076F4"/>
    <w:rsid w:val="0060775C"/>
    <w:rsid w:val="00607A57"/>
    <w:rsid w:val="00607AFD"/>
    <w:rsid w:val="00607C07"/>
    <w:rsid w:val="00607DD4"/>
    <w:rsid w:val="00607FFE"/>
    <w:rsid w:val="006109B1"/>
    <w:rsid w:val="006113AB"/>
    <w:rsid w:val="00611C11"/>
    <w:rsid w:val="00612376"/>
    <w:rsid w:val="0061256D"/>
    <w:rsid w:val="00612F97"/>
    <w:rsid w:val="00612FF6"/>
    <w:rsid w:val="006130C8"/>
    <w:rsid w:val="0061345D"/>
    <w:rsid w:val="00614464"/>
    <w:rsid w:val="0061549B"/>
    <w:rsid w:val="00615583"/>
    <w:rsid w:val="006156AF"/>
    <w:rsid w:val="00616802"/>
    <w:rsid w:val="00616BEA"/>
    <w:rsid w:val="00617858"/>
    <w:rsid w:val="00617BD0"/>
    <w:rsid w:val="00617E12"/>
    <w:rsid w:val="006200DD"/>
    <w:rsid w:val="00620C25"/>
    <w:rsid w:val="00620E63"/>
    <w:rsid w:val="00620F7A"/>
    <w:rsid w:val="00621477"/>
    <w:rsid w:val="006215A8"/>
    <w:rsid w:val="00621ADA"/>
    <w:rsid w:val="00621CDF"/>
    <w:rsid w:val="0062249C"/>
    <w:rsid w:val="006226E0"/>
    <w:rsid w:val="00622894"/>
    <w:rsid w:val="00622D7B"/>
    <w:rsid w:val="0062373F"/>
    <w:rsid w:val="00623B01"/>
    <w:rsid w:val="00623F7B"/>
    <w:rsid w:val="00624145"/>
    <w:rsid w:val="006250F4"/>
    <w:rsid w:val="0062521B"/>
    <w:rsid w:val="00625BD0"/>
    <w:rsid w:val="00625EF7"/>
    <w:rsid w:val="0062636A"/>
    <w:rsid w:val="006278BD"/>
    <w:rsid w:val="00627D07"/>
    <w:rsid w:val="00630F66"/>
    <w:rsid w:val="0063158F"/>
    <w:rsid w:val="006315AB"/>
    <w:rsid w:val="006319E4"/>
    <w:rsid w:val="00631D6B"/>
    <w:rsid w:val="00632183"/>
    <w:rsid w:val="00632770"/>
    <w:rsid w:val="00632EEE"/>
    <w:rsid w:val="0063307E"/>
    <w:rsid w:val="006330A1"/>
    <w:rsid w:val="0063357B"/>
    <w:rsid w:val="00633788"/>
    <w:rsid w:val="0063479F"/>
    <w:rsid w:val="006353F0"/>
    <w:rsid w:val="006356BB"/>
    <w:rsid w:val="006357B5"/>
    <w:rsid w:val="00635915"/>
    <w:rsid w:val="006364A1"/>
    <w:rsid w:val="0063678E"/>
    <w:rsid w:val="00636A1C"/>
    <w:rsid w:val="00636B9B"/>
    <w:rsid w:val="00636E87"/>
    <w:rsid w:val="00637BFD"/>
    <w:rsid w:val="00637FC0"/>
    <w:rsid w:val="006406D8"/>
    <w:rsid w:val="00640A47"/>
    <w:rsid w:val="0064108C"/>
    <w:rsid w:val="00641C4E"/>
    <w:rsid w:val="00641FB3"/>
    <w:rsid w:val="00642B16"/>
    <w:rsid w:val="006436A8"/>
    <w:rsid w:val="00643A63"/>
    <w:rsid w:val="0064434C"/>
    <w:rsid w:val="006444AB"/>
    <w:rsid w:val="00644A83"/>
    <w:rsid w:val="00644D40"/>
    <w:rsid w:val="00645415"/>
    <w:rsid w:val="0064614C"/>
    <w:rsid w:val="0064670C"/>
    <w:rsid w:val="00646D50"/>
    <w:rsid w:val="006471CC"/>
    <w:rsid w:val="006473DB"/>
    <w:rsid w:val="00647A29"/>
    <w:rsid w:val="006503C6"/>
    <w:rsid w:val="00650710"/>
    <w:rsid w:val="0065079F"/>
    <w:rsid w:val="00650AFC"/>
    <w:rsid w:val="00651AE5"/>
    <w:rsid w:val="00652589"/>
    <w:rsid w:val="00652A28"/>
    <w:rsid w:val="00653586"/>
    <w:rsid w:val="0065379F"/>
    <w:rsid w:val="006552FE"/>
    <w:rsid w:val="006556FB"/>
    <w:rsid w:val="00655B5B"/>
    <w:rsid w:val="00655BAF"/>
    <w:rsid w:val="00656188"/>
    <w:rsid w:val="0065629F"/>
    <w:rsid w:val="00656350"/>
    <w:rsid w:val="0065715A"/>
    <w:rsid w:val="006575B5"/>
    <w:rsid w:val="006577E6"/>
    <w:rsid w:val="006610F1"/>
    <w:rsid w:val="006615BD"/>
    <w:rsid w:val="006616C1"/>
    <w:rsid w:val="00661C6B"/>
    <w:rsid w:val="0066235E"/>
    <w:rsid w:val="00662717"/>
    <w:rsid w:val="006630E2"/>
    <w:rsid w:val="00663458"/>
    <w:rsid w:val="00663623"/>
    <w:rsid w:val="00663C83"/>
    <w:rsid w:val="00664233"/>
    <w:rsid w:val="006647C1"/>
    <w:rsid w:val="00665D87"/>
    <w:rsid w:val="00665FEA"/>
    <w:rsid w:val="00666E74"/>
    <w:rsid w:val="006673AA"/>
    <w:rsid w:val="006704E3"/>
    <w:rsid w:val="00670F8C"/>
    <w:rsid w:val="00671004"/>
    <w:rsid w:val="006711CE"/>
    <w:rsid w:val="006715FE"/>
    <w:rsid w:val="00672646"/>
    <w:rsid w:val="0067312F"/>
    <w:rsid w:val="006738ED"/>
    <w:rsid w:val="006741E0"/>
    <w:rsid w:val="00674867"/>
    <w:rsid w:val="00674E42"/>
    <w:rsid w:val="006756C0"/>
    <w:rsid w:val="0067571E"/>
    <w:rsid w:val="00675FDB"/>
    <w:rsid w:val="006769D3"/>
    <w:rsid w:val="00676CBF"/>
    <w:rsid w:val="0067786B"/>
    <w:rsid w:val="0068060C"/>
    <w:rsid w:val="006813F8"/>
    <w:rsid w:val="006817C4"/>
    <w:rsid w:val="00681A12"/>
    <w:rsid w:val="0068209D"/>
    <w:rsid w:val="00682112"/>
    <w:rsid w:val="006823EB"/>
    <w:rsid w:val="00682BA6"/>
    <w:rsid w:val="00682CC9"/>
    <w:rsid w:val="00682D6A"/>
    <w:rsid w:val="006835B3"/>
    <w:rsid w:val="00683BDC"/>
    <w:rsid w:val="00684BF8"/>
    <w:rsid w:val="0068531B"/>
    <w:rsid w:val="00685545"/>
    <w:rsid w:val="0068620E"/>
    <w:rsid w:val="006867BD"/>
    <w:rsid w:val="00686957"/>
    <w:rsid w:val="00686E54"/>
    <w:rsid w:val="00687227"/>
    <w:rsid w:val="006872BA"/>
    <w:rsid w:val="00687B3B"/>
    <w:rsid w:val="00690138"/>
    <w:rsid w:val="00690795"/>
    <w:rsid w:val="00690E89"/>
    <w:rsid w:val="00690F07"/>
    <w:rsid w:val="00691460"/>
    <w:rsid w:val="00691648"/>
    <w:rsid w:val="006917D7"/>
    <w:rsid w:val="0069246A"/>
    <w:rsid w:val="00692BEF"/>
    <w:rsid w:val="00692E7A"/>
    <w:rsid w:val="00692FE1"/>
    <w:rsid w:val="006942EC"/>
    <w:rsid w:val="0069434C"/>
    <w:rsid w:val="006947FA"/>
    <w:rsid w:val="006949C4"/>
    <w:rsid w:val="006949FB"/>
    <w:rsid w:val="00694F44"/>
    <w:rsid w:val="00695D30"/>
    <w:rsid w:val="00695E2C"/>
    <w:rsid w:val="006966B3"/>
    <w:rsid w:val="00696D06"/>
    <w:rsid w:val="00696F51"/>
    <w:rsid w:val="00697026"/>
    <w:rsid w:val="006979A5"/>
    <w:rsid w:val="006A095E"/>
    <w:rsid w:val="006A120B"/>
    <w:rsid w:val="006A1AB4"/>
    <w:rsid w:val="006A264F"/>
    <w:rsid w:val="006A309B"/>
    <w:rsid w:val="006A35A7"/>
    <w:rsid w:val="006A3D7B"/>
    <w:rsid w:val="006A4745"/>
    <w:rsid w:val="006A5551"/>
    <w:rsid w:val="006A55AC"/>
    <w:rsid w:val="006A55B3"/>
    <w:rsid w:val="006A65E9"/>
    <w:rsid w:val="006A6AFF"/>
    <w:rsid w:val="006A6B99"/>
    <w:rsid w:val="006A725C"/>
    <w:rsid w:val="006A76E9"/>
    <w:rsid w:val="006A7929"/>
    <w:rsid w:val="006A7E5F"/>
    <w:rsid w:val="006B02F9"/>
    <w:rsid w:val="006B04D6"/>
    <w:rsid w:val="006B1FB6"/>
    <w:rsid w:val="006B261B"/>
    <w:rsid w:val="006B2C90"/>
    <w:rsid w:val="006B323A"/>
    <w:rsid w:val="006B35E6"/>
    <w:rsid w:val="006B3F73"/>
    <w:rsid w:val="006B465A"/>
    <w:rsid w:val="006B4C5B"/>
    <w:rsid w:val="006B4D3C"/>
    <w:rsid w:val="006B4EC0"/>
    <w:rsid w:val="006B50A1"/>
    <w:rsid w:val="006B5915"/>
    <w:rsid w:val="006B5935"/>
    <w:rsid w:val="006B5B50"/>
    <w:rsid w:val="006B608B"/>
    <w:rsid w:val="006B6651"/>
    <w:rsid w:val="006B6DD0"/>
    <w:rsid w:val="006B71A7"/>
    <w:rsid w:val="006B755D"/>
    <w:rsid w:val="006B774D"/>
    <w:rsid w:val="006B7B54"/>
    <w:rsid w:val="006C0399"/>
    <w:rsid w:val="006C0AEE"/>
    <w:rsid w:val="006C1208"/>
    <w:rsid w:val="006C160F"/>
    <w:rsid w:val="006C1A0B"/>
    <w:rsid w:val="006C1CA5"/>
    <w:rsid w:val="006C238E"/>
    <w:rsid w:val="006C2840"/>
    <w:rsid w:val="006C2945"/>
    <w:rsid w:val="006C2A8E"/>
    <w:rsid w:val="006C2BCA"/>
    <w:rsid w:val="006C3255"/>
    <w:rsid w:val="006C3F26"/>
    <w:rsid w:val="006C3FD5"/>
    <w:rsid w:val="006C40BC"/>
    <w:rsid w:val="006C4177"/>
    <w:rsid w:val="006C4518"/>
    <w:rsid w:val="006C4554"/>
    <w:rsid w:val="006C49FA"/>
    <w:rsid w:val="006C4A14"/>
    <w:rsid w:val="006C4C9A"/>
    <w:rsid w:val="006C4F26"/>
    <w:rsid w:val="006C52D6"/>
    <w:rsid w:val="006C63C0"/>
    <w:rsid w:val="006C6553"/>
    <w:rsid w:val="006C663B"/>
    <w:rsid w:val="006C701A"/>
    <w:rsid w:val="006C75C7"/>
    <w:rsid w:val="006C75E8"/>
    <w:rsid w:val="006C78BB"/>
    <w:rsid w:val="006C78C9"/>
    <w:rsid w:val="006D055A"/>
    <w:rsid w:val="006D0D17"/>
    <w:rsid w:val="006D1BCF"/>
    <w:rsid w:val="006D2C49"/>
    <w:rsid w:val="006D35F3"/>
    <w:rsid w:val="006D3C7D"/>
    <w:rsid w:val="006D4028"/>
    <w:rsid w:val="006D4659"/>
    <w:rsid w:val="006D4FE0"/>
    <w:rsid w:val="006D573E"/>
    <w:rsid w:val="006D58B4"/>
    <w:rsid w:val="006D5C2B"/>
    <w:rsid w:val="006D5D5F"/>
    <w:rsid w:val="006D6550"/>
    <w:rsid w:val="006D68FB"/>
    <w:rsid w:val="006D73A7"/>
    <w:rsid w:val="006D7C53"/>
    <w:rsid w:val="006D7C8C"/>
    <w:rsid w:val="006D7E77"/>
    <w:rsid w:val="006E01C6"/>
    <w:rsid w:val="006E0C73"/>
    <w:rsid w:val="006E0CE5"/>
    <w:rsid w:val="006E0ED0"/>
    <w:rsid w:val="006E0FE9"/>
    <w:rsid w:val="006E11D1"/>
    <w:rsid w:val="006E12F6"/>
    <w:rsid w:val="006E2665"/>
    <w:rsid w:val="006E2868"/>
    <w:rsid w:val="006E34BD"/>
    <w:rsid w:val="006E4703"/>
    <w:rsid w:val="006E49EF"/>
    <w:rsid w:val="006E55AA"/>
    <w:rsid w:val="006E5755"/>
    <w:rsid w:val="006E59F2"/>
    <w:rsid w:val="006E5DDF"/>
    <w:rsid w:val="006E5EB1"/>
    <w:rsid w:val="006E68BF"/>
    <w:rsid w:val="006E76E4"/>
    <w:rsid w:val="006E7CFE"/>
    <w:rsid w:val="006E7D30"/>
    <w:rsid w:val="006F09A1"/>
    <w:rsid w:val="006F16AB"/>
    <w:rsid w:val="006F2725"/>
    <w:rsid w:val="006F274E"/>
    <w:rsid w:val="006F306C"/>
    <w:rsid w:val="006F54CB"/>
    <w:rsid w:val="006F6174"/>
    <w:rsid w:val="006F63A5"/>
    <w:rsid w:val="006F798F"/>
    <w:rsid w:val="006F7A73"/>
    <w:rsid w:val="006F7BBB"/>
    <w:rsid w:val="006F7D66"/>
    <w:rsid w:val="00701097"/>
    <w:rsid w:val="00701126"/>
    <w:rsid w:val="0070142B"/>
    <w:rsid w:val="0070169B"/>
    <w:rsid w:val="007018ED"/>
    <w:rsid w:val="0070276E"/>
    <w:rsid w:val="00702825"/>
    <w:rsid w:val="00702A4A"/>
    <w:rsid w:val="00702EDF"/>
    <w:rsid w:val="00702F8F"/>
    <w:rsid w:val="007032BB"/>
    <w:rsid w:val="00705B54"/>
    <w:rsid w:val="00706978"/>
    <w:rsid w:val="007079FC"/>
    <w:rsid w:val="007102B6"/>
    <w:rsid w:val="00710553"/>
    <w:rsid w:val="00711617"/>
    <w:rsid w:val="0071184B"/>
    <w:rsid w:val="00711A36"/>
    <w:rsid w:val="00714001"/>
    <w:rsid w:val="00714619"/>
    <w:rsid w:val="007146D5"/>
    <w:rsid w:val="00714818"/>
    <w:rsid w:val="00714BB8"/>
    <w:rsid w:val="00714C26"/>
    <w:rsid w:val="00714D27"/>
    <w:rsid w:val="0071529C"/>
    <w:rsid w:val="007159D8"/>
    <w:rsid w:val="00715F93"/>
    <w:rsid w:val="00716C2F"/>
    <w:rsid w:val="007170DA"/>
    <w:rsid w:val="007172AD"/>
    <w:rsid w:val="007177EC"/>
    <w:rsid w:val="007178F6"/>
    <w:rsid w:val="00717CDD"/>
    <w:rsid w:val="00720801"/>
    <w:rsid w:val="00720997"/>
    <w:rsid w:val="0072206A"/>
    <w:rsid w:val="00722761"/>
    <w:rsid w:val="00722B1B"/>
    <w:rsid w:val="00722D27"/>
    <w:rsid w:val="00723DAD"/>
    <w:rsid w:val="00723DED"/>
    <w:rsid w:val="0072416F"/>
    <w:rsid w:val="00724274"/>
    <w:rsid w:val="00724436"/>
    <w:rsid w:val="00724EF0"/>
    <w:rsid w:val="00725808"/>
    <w:rsid w:val="00725924"/>
    <w:rsid w:val="00725976"/>
    <w:rsid w:val="00725B6C"/>
    <w:rsid w:val="00726CB0"/>
    <w:rsid w:val="0072731C"/>
    <w:rsid w:val="00727C94"/>
    <w:rsid w:val="00727EEC"/>
    <w:rsid w:val="0073033E"/>
    <w:rsid w:val="00730AE6"/>
    <w:rsid w:val="00731B0A"/>
    <w:rsid w:val="00731CFD"/>
    <w:rsid w:val="00731DA9"/>
    <w:rsid w:val="00731EAE"/>
    <w:rsid w:val="00732558"/>
    <w:rsid w:val="007327FF"/>
    <w:rsid w:val="00732E07"/>
    <w:rsid w:val="00732FA9"/>
    <w:rsid w:val="00733073"/>
    <w:rsid w:val="00733180"/>
    <w:rsid w:val="00733552"/>
    <w:rsid w:val="00734754"/>
    <w:rsid w:val="00735033"/>
    <w:rsid w:val="00735328"/>
    <w:rsid w:val="0073627C"/>
    <w:rsid w:val="007364C7"/>
    <w:rsid w:val="00736786"/>
    <w:rsid w:val="0073685B"/>
    <w:rsid w:val="00737A4A"/>
    <w:rsid w:val="00742431"/>
    <w:rsid w:val="00742773"/>
    <w:rsid w:val="00742C7F"/>
    <w:rsid w:val="00743FEA"/>
    <w:rsid w:val="0074418F"/>
    <w:rsid w:val="007448F2"/>
    <w:rsid w:val="007449BF"/>
    <w:rsid w:val="00744AFA"/>
    <w:rsid w:val="00744B63"/>
    <w:rsid w:val="00744EDD"/>
    <w:rsid w:val="0074649A"/>
    <w:rsid w:val="007468F7"/>
    <w:rsid w:val="00746B18"/>
    <w:rsid w:val="00746BC0"/>
    <w:rsid w:val="00746F3C"/>
    <w:rsid w:val="00746FFE"/>
    <w:rsid w:val="007471A1"/>
    <w:rsid w:val="00747A05"/>
    <w:rsid w:val="00750E86"/>
    <w:rsid w:val="007510B4"/>
    <w:rsid w:val="00751C94"/>
    <w:rsid w:val="00751E8F"/>
    <w:rsid w:val="00752142"/>
    <w:rsid w:val="007523F9"/>
    <w:rsid w:val="0075357E"/>
    <w:rsid w:val="00753D75"/>
    <w:rsid w:val="007541E0"/>
    <w:rsid w:val="007542C6"/>
    <w:rsid w:val="007545E7"/>
    <w:rsid w:val="007550FC"/>
    <w:rsid w:val="0075632E"/>
    <w:rsid w:val="00756993"/>
    <w:rsid w:val="00756A53"/>
    <w:rsid w:val="00756C83"/>
    <w:rsid w:val="00756CD4"/>
    <w:rsid w:val="00756DE4"/>
    <w:rsid w:val="00757386"/>
    <w:rsid w:val="007573E8"/>
    <w:rsid w:val="0076058D"/>
    <w:rsid w:val="00760C4E"/>
    <w:rsid w:val="00760EBA"/>
    <w:rsid w:val="00760F9E"/>
    <w:rsid w:val="007617BB"/>
    <w:rsid w:val="00761930"/>
    <w:rsid w:val="007627BE"/>
    <w:rsid w:val="0076337B"/>
    <w:rsid w:val="007638F2"/>
    <w:rsid w:val="007644D9"/>
    <w:rsid w:val="00764F03"/>
    <w:rsid w:val="007653B9"/>
    <w:rsid w:val="00765B1A"/>
    <w:rsid w:val="0076634E"/>
    <w:rsid w:val="007670F7"/>
    <w:rsid w:val="007676D6"/>
    <w:rsid w:val="00767816"/>
    <w:rsid w:val="00767F54"/>
    <w:rsid w:val="00770AE0"/>
    <w:rsid w:val="00770CC7"/>
    <w:rsid w:val="007715B9"/>
    <w:rsid w:val="00772C60"/>
    <w:rsid w:val="00773314"/>
    <w:rsid w:val="0077508B"/>
    <w:rsid w:val="00775EFB"/>
    <w:rsid w:val="007765CF"/>
    <w:rsid w:val="00776A32"/>
    <w:rsid w:val="00776A6D"/>
    <w:rsid w:val="00776EA6"/>
    <w:rsid w:val="00777335"/>
    <w:rsid w:val="007774F2"/>
    <w:rsid w:val="0078041C"/>
    <w:rsid w:val="00780D9F"/>
    <w:rsid w:val="00781036"/>
    <w:rsid w:val="00781071"/>
    <w:rsid w:val="0078165C"/>
    <w:rsid w:val="00782352"/>
    <w:rsid w:val="007823EF"/>
    <w:rsid w:val="0078320F"/>
    <w:rsid w:val="00783A2C"/>
    <w:rsid w:val="00783AEB"/>
    <w:rsid w:val="00783AF3"/>
    <w:rsid w:val="007843F2"/>
    <w:rsid w:val="00784BB8"/>
    <w:rsid w:val="00784C67"/>
    <w:rsid w:val="00785168"/>
    <w:rsid w:val="0078532E"/>
    <w:rsid w:val="00785597"/>
    <w:rsid w:val="00785A9F"/>
    <w:rsid w:val="00785EA3"/>
    <w:rsid w:val="00787657"/>
    <w:rsid w:val="00787991"/>
    <w:rsid w:val="00787E02"/>
    <w:rsid w:val="0079041B"/>
    <w:rsid w:val="00790759"/>
    <w:rsid w:val="00790DD0"/>
    <w:rsid w:val="00791256"/>
    <w:rsid w:val="007912D8"/>
    <w:rsid w:val="007924F9"/>
    <w:rsid w:val="007924FF"/>
    <w:rsid w:val="007925B6"/>
    <w:rsid w:val="007925DF"/>
    <w:rsid w:val="00793A10"/>
    <w:rsid w:val="00793DF2"/>
    <w:rsid w:val="00793FD4"/>
    <w:rsid w:val="00794246"/>
    <w:rsid w:val="007950FE"/>
    <w:rsid w:val="007954E8"/>
    <w:rsid w:val="007959B8"/>
    <w:rsid w:val="00795CA4"/>
    <w:rsid w:val="00795F2A"/>
    <w:rsid w:val="007962F2"/>
    <w:rsid w:val="00796554"/>
    <w:rsid w:val="0079671E"/>
    <w:rsid w:val="007975C9"/>
    <w:rsid w:val="00797CE1"/>
    <w:rsid w:val="007A055A"/>
    <w:rsid w:val="007A08AA"/>
    <w:rsid w:val="007A09F0"/>
    <w:rsid w:val="007A0A12"/>
    <w:rsid w:val="007A0C6D"/>
    <w:rsid w:val="007A132D"/>
    <w:rsid w:val="007A1345"/>
    <w:rsid w:val="007A170A"/>
    <w:rsid w:val="007A1A5E"/>
    <w:rsid w:val="007A1A7A"/>
    <w:rsid w:val="007A25B7"/>
    <w:rsid w:val="007A25FB"/>
    <w:rsid w:val="007A27F9"/>
    <w:rsid w:val="007A2DDB"/>
    <w:rsid w:val="007A3079"/>
    <w:rsid w:val="007A3217"/>
    <w:rsid w:val="007A326C"/>
    <w:rsid w:val="007A340D"/>
    <w:rsid w:val="007A3EFB"/>
    <w:rsid w:val="007A4DCD"/>
    <w:rsid w:val="007A70BA"/>
    <w:rsid w:val="007B046A"/>
    <w:rsid w:val="007B0D68"/>
    <w:rsid w:val="007B213D"/>
    <w:rsid w:val="007B251D"/>
    <w:rsid w:val="007B2B50"/>
    <w:rsid w:val="007B306C"/>
    <w:rsid w:val="007B3D34"/>
    <w:rsid w:val="007B3F31"/>
    <w:rsid w:val="007B4F58"/>
    <w:rsid w:val="007B5215"/>
    <w:rsid w:val="007B528D"/>
    <w:rsid w:val="007B63CA"/>
    <w:rsid w:val="007B77D1"/>
    <w:rsid w:val="007C07C7"/>
    <w:rsid w:val="007C0BF6"/>
    <w:rsid w:val="007C1CD9"/>
    <w:rsid w:val="007C220E"/>
    <w:rsid w:val="007C29B8"/>
    <w:rsid w:val="007C2CD4"/>
    <w:rsid w:val="007C2DB4"/>
    <w:rsid w:val="007C30A9"/>
    <w:rsid w:val="007C32EF"/>
    <w:rsid w:val="007C361D"/>
    <w:rsid w:val="007C4068"/>
    <w:rsid w:val="007C43C2"/>
    <w:rsid w:val="007C4595"/>
    <w:rsid w:val="007C4B84"/>
    <w:rsid w:val="007C4F60"/>
    <w:rsid w:val="007C5016"/>
    <w:rsid w:val="007C5211"/>
    <w:rsid w:val="007C56DA"/>
    <w:rsid w:val="007C5AF1"/>
    <w:rsid w:val="007C6621"/>
    <w:rsid w:val="007C6A86"/>
    <w:rsid w:val="007C6DC8"/>
    <w:rsid w:val="007C70FF"/>
    <w:rsid w:val="007C7B04"/>
    <w:rsid w:val="007C7C25"/>
    <w:rsid w:val="007C7F23"/>
    <w:rsid w:val="007D004F"/>
    <w:rsid w:val="007D0104"/>
    <w:rsid w:val="007D0B38"/>
    <w:rsid w:val="007D120F"/>
    <w:rsid w:val="007D193D"/>
    <w:rsid w:val="007D26CB"/>
    <w:rsid w:val="007D34D8"/>
    <w:rsid w:val="007D358F"/>
    <w:rsid w:val="007D38D9"/>
    <w:rsid w:val="007D4632"/>
    <w:rsid w:val="007D4A8F"/>
    <w:rsid w:val="007D4D28"/>
    <w:rsid w:val="007D5440"/>
    <w:rsid w:val="007D54E4"/>
    <w:rsid w:val="007D5816"/>
    <w:rsid w:val="007D5A5C"/>
    <w:rsid w:val="007D69EB"/>
    <w:rsid w:val="007D707E"/>
    <w:rsid w:val="007D77B8"/>
    <w:rsid w:val="007E06D3"/>
    <w:rsid w:val="007E10E7"/>
    <w:rsid w:val="007E128F"/>
    <w:rsid w:val="007E1666"/>
    <w:rsid w:val="007E1F20"/>
    <w:rsid w:val="007E1F51"/>
    <w:rsid w:val="007E2F33"/>
    <w:rsid w:val="007E34ED"/>
    <w:rsid w:val="007E352D"/>
    <w:rsid w:val="007E35C1"/>
    <w:rsid w:val="007E35D3"/>
    <w:rsid w:val="007E3A80"/>
    <w:rsid w:val="007E3D86"/>
    <w:rsid w:val="007E3DDE"/>
    <w:rsid w:val="007E4219"/>
    <w:rsid w:val="007E4323"/>
    <w:rsid w:val="007E437D"/>
    <w:rsid w:val="007E47CE"/>
    <w:rsid w:val="007E4A97"/>
    <w:rsid w:val="007E4AB2"/>
    <w:rsid w:val="007E5FEA"/>
    <w:rsid w:val="007E6C6B"/>
    <w:rsid w:val="007E6C76"/>
    <w:rsid w:val="007E732F"/>
    <w:rsid w:val="007E79E1"/>
    <w:rsid w:val="007E7BF7"/>
    <w:rsid w:val="007F01D6"/>
    <w:rsid w:val="007F0D56"/>
    <w:rsid w:val="007F1017"/>
    <w:rsid w:val="007F1E55"/>
    <w:rsid w:val="007F2400"/>
    <w:rsid w:val="007F396F"/>
    <w:rsid w:val="007F3BCB"/>
    <w:rsid w:val="007F4A3F"/>
    <w:rsid w:val="007F4A61"/>
    <w:rsid w:val="007F4BF7"/>
    <w:rsid w:val="007F5255"/>
    <w:rsid w:val="007F5427"/>
    <w:rsid w:val="007F5647"/>
    <w:rsid w:val="007F56C7"/>
    <w:rsid w:val="007F56CC"/>
    <w:rsid w:val="007F61C2"/>
    <w:rsid w:val="007F67F4"/>
    <w:rsid w:val="007F7FBB"/>
    <w:rsid w:val="0080000D"/>
    <w:rsid w:val="008008B9"/>
    <w:rsid w:val="00800F59"/>
    <w:rsid w:val="008012EE"/>
    <w:rsid w:val="008017C3"/>
    <w:rsid w:val="00802A50"/>
    <w:rsid w:val="00802DFD"/>
    <w:rsid w:val="00802E88"/>
    <w:rsid w:val="008033CA"/>
    <w:rsid w:val="00803868"/>
    <w:rsid w:val="00803C97"/>
    <w:rsid w:val="00805142"/>
    <w:rsid w:val="008058EA"/>
    <w:rsid w:val="00805FCE"/>
    <w:rsid w:val="008061A7"/>
    <w:rsid w:val="00807A8B"/>
    <w:rsid w:val="00810B96"/>
    <w:rsid w:val="00811383"/>
    <w:rsid w:val="00811AEE"/>
    <w:rsid w:val="0081202B"/>
    <w:rsid w:val="00812149"/>
    <w:rsid w:val="008126A5"/>
    <w:rsid w:val="008128F0"/>
    <w:rsid w:val="00812CAC"/>
    <w:rsid w:val="00813A6E"/>
    <w:rsid w:val="00813EF5"/>
    <w:rsid w:val="0081406C"/>
    <w:rsid w:val="008152BA"/>
    <w:rsid w:val="008154EF"/>
    <w:rsid w:val="00816361"/>
    <w:rsid w:val="008166EF"/>
    <w:rsid w:val="00816B39"/>
    <w:rsid w:val="00816FEF"/>
    <w:rsid w:val="00820844"/>
    <w:rsid w:val="00820A15"/>
    <w:rsid w:val="00820A8C"/>
    <w:rsid w:val="00820BCD"/>
    <w:rsid w:val="00820DF7"/>
    <w:rsid w:val="008215FB"/>
    <w:rsid w:val="00821B3C"/>
    <w:rsid w:val="00823174"/>
    <w:rsid w:val="0082535F"/>
    <w:rsid w:val="008254A5"/>
    <w:rsid w:val="00825751"/>
    <w:rsid w:val="00825E1A"/>
    <w:rsid w:val="0082604D"/>
    <w:rsid w:val="0082606A"/>
    <w:rsid w:val="008263AE"/>
    <w:rsid w:val="008264EB"/>
    <w:rsid w:val="008269FF"/>
    <w:rsid w:val="00827079"/>
    <w:rsid w:val="0082774D"/>
    <w:rsid w:val="0083080E"/>
    <w:rsid w:val="008309A3"/>
    <w:rsid w:val="00831611"/>
    <w:rsid w:val="00831BFF"/>
    <w:rsid w:val="00832E7E"/>
    <w:rsid w:val="00833B05"/>
    <w:rsid w:val="0083442E"/>
    <w:rsid w:val="00834F12"/>
    <w:rsid w:val="008362B4"/>
    <w:rsid w:val="008364C0"/>
    <w:rsid w:val="00836A66"/>
    <w:rsid w:val="00836C2E"/>
    <w:rsid w:val="00836EF9"/>
    <w:rsid w:val="008373E7"/>
    <w:rsid w:val="00837889"/>
    <w:rsid w:val="008403BE"/>
    <w:rsid w:val="0084058E"/>
    <w:rsid w:val="00840CA2"/>
    <w:rsid w:val="00841CBC"/>
    <w:rsid w:val="00842313"/>
    <w:rsid w:val="00842949"/>
    <w:rsid w:val="00843490"/>
    <w:rsid w:val="0084353C"/>
    <w:rsid w:val="0084369D"/>
    <w:rsid w:val="0084374F"/>
    <w:rsid w:val="00843E42"/>
    <w:rsid w:val="00844269"/>
    <w:rsid w:val="0084441B"/>
    <w:rsid w:val="00844458"/>
    <w:rsid w:val="00844573"/>
    <w:rsid w:val="00844A22"/>
    <w:rsid w:val="00846C02"/>
    <w:rsid w:val="00846CF7"/>
    <w:rsid w:val="0084705D"/>
    <w:rsid w:val="008473F5"/>
    <w:rsid w:val="008475A1"/>
    <w:rsid w:val="00847703"/>
    <w:rsid w:val="00847DF5"/>
    <w:rsid w:val="0085124B"/>
    <w:rsid w:val="00851A60"/>
    <w:rsid w:val="00851D0C"/>
    <w:rsid w:val="00853079"/>
    <w:rsid w:val="0085309D"/>
    <w:rsid w:val="008536FE"/>
    <w:rsid w:val="008543B9"/>
    <w:rsid w:val="00854AD4"/>
    <w:rsid w:val="00854C83"/>
    <w:rsid w:val="00855551"/>
    <w:rsid w:val="008557F3"/>
    <w:rsid w:val="00855C52"/>
    <w:rsid w:val="00855DA5"/>
    <w:rsid w:val="00855E97"/>
    <w:rsid w:val="008560B8"/>
    <w:rsid w:val="0085613F"/>
    <w:rsid w:val="00856897"/>
    <w:rsid w:val="00856E9A"/>
    <w:rsid w:val="008602AD"/>
    <w:rsid w:val="0086075D"/>
    <w:rsid w:val="00860F20"/>
    <w:rsid w:val="00860F59"/>
    <w:rsid w:val="00861A8B"/>
    <w:rsid w:val="00862502"/>
    <w:rsid w:val="008629C6"/>
    <w:rsid w:val="00862A36"/>
    <w:rsid w:val="00862CC1"/>
    <w:rsid w:val="00864BBB"/>
    <w:rsid w:val="00864BC6"/>
    <w:rsid w:val="00864BE9"/>
    <w:rsid w:val="0086540C"/>
    <w:rsid w:val="008654E7"/>
    <w:rsid w:val="008660D4"/>
    <w:rsid w:val="00866722"/>
    <w:rsid w:val="00866DC6"/>
    <w:rsid w:val="00867491"/>
    <w:rsid w:val="008715A1"/>
    <w:rsid w:val="00871FA9"/>
    <w:rsid w:val="0087215D"/>
    <w:rsid w:val="0087274A"/>
    <w:rsid w:val="008727FC"/>
    <w:rsid w:val="008728E9"/>
    <w:rsid w:val="008732C7"/>
    <w:rsid w:val="00873697"/>
    <w:rsid w:val="00873910"/>
    <w:rsid w:val="008739DA"/>
    <w:rsid w:val="00873E28"/>
    <w:rsid w:val="00874E50"/>
    <w:rsid w:val="00875248"/>
    <w:rsid w:val="00875B56"/>
    <w:rsid w:val="00875F04"/>
    <w:rsid w:val="00876286"/>
    <w:rsid w:val="00876381"/>
    <w:rsid w:val="0087674F"/>
    <w:rsid w:val="0087711E"/>
    <w:rsid w:val="008779D7"/>
    <w:rsid w:val="00877AEA"/>
    <w:rsid w:val="00880CA5"/>
    <w:rsid w:val="00880DF6"/>
    <w:rsid w:val="008810F8"/>
    <w:rsid w:val="008814EA"/>
    <w:rsid w:val="00881C85"/>
    <w:rsid w:val="00882874"/>
    <w:rsid w:val="00882E3C"/>
    <w:rsid w:val="00882E80"/>
    <w:rsid w:val="00883787"/>
    <w:rsid w:val="0088395B"/>
    <w:rsid w:val="00883967"/>
    <w:rsid w:val="0088399C"/>
    <w:rsid w:val="00883BFB"/>
    <w:rsid w:val="00883FCC"/>
    <w:rsid w:val="0088420D"/>
    <w:rsid w:val="0088432A"/>
    <w:rsid w:val="00884846"/>
    <w:rsid w:val="00885237"/>
    <w:rsid w:val="008852D2"/>
    <w:rsid w:val="008855E4"/>
    <w:rsid w:val="00885B5B"/>
    <w:rsid w:val="008866D5"/>
    <w:rsid w:val="00886A34"/>
    <w:rsid w:val="00886C3A"/>
    <w:rsid w:val="00886CD2"/>
    <w:rsid w:val="00886CEA"/>
    <w:rsid w:val="008902DC"/>
    <w:rsid w:val="0089044E"/>
    <w:rsid w:val="00890A66"/>
    <w:rsid w:val="00890F58"/>
    <w:rsid w:val="0089107B"/>
    <w:rsid w:val="00891690"/>
    <w:rsid w:val="00891E14"/>
    <w:rsid w:val="00891E6F"/>
    <w:rsid w:val="0089275D"/>
    <w:rsid w:val="00892A36"/>
    <w:rsid w:val="00892AA3"/>
    <w:rsid w:val="00893239"/>
    <w:rsid w:val="008939ED"/>
    <w:rsid w:val="00894132"/>
    <w:rsid w:val="00894326"/>
    <w:rsid w:val="008943D2"/>
    <w:rsid w:val="00894489"/>
    <w:rsid w:val="0089465D"/>
    <w:rsid w:val="0089480D"/>
    <w:rsid w:val="00895503"/>
    <w:rsid w:val="00895785"/>
    <w:rsid w:val="008961FC"/>
    <w:rsid w:val="008963A5"/>
    <w:rsid w:val="00896781"/>
    <w:rsid w:val="00896D5D"/>
    <w:rsid w:val="008976D8"/>
    <w:rsid w:val="008A0814"/>
    <w:rsid w:val="008A0F25"/>
    <w:rsid w:val="008A140A"/>
    <w:rsid w:val="008A2785"/>
    <w:rsid w:val="008A3363"/>
    <w:rsid w:val="008A3371"/>
    <w:rsid w:val="008A36B9"/>
    <w:rsid w:val="008A37B5"/>
    <w:rsid w:val="008A3A09"/>
    <w:rsid w:val="008A3C3E"/>
    <w:rsid w:val="008A49B8"/>
    <w:rsid w:val="008A4A0D"/>
    <w:rsid w:val="008A5EDF"/>
    <w:rsid w:val="008A6166"/>
    <w:rsid w:val="008A6233"/>
    <w:rsid w:val="008A638F"/>
    <w:rsid w:val="008A6C10"/>
    <w:rsid w:val="008A725E"/>
    <w:rsid w:val="008A79DE"/>
    <w:rsid w:val="008B028C"/>
    <w:rsid w:val="008B0FC3"/>
    <w:rsid w:val="008B1757"/>
    <w:rsid w:val="008B1815"/>
    <w:rsid w:val="008B2302"/>
    <w:rsid w:val="008B370B"/>
    <w:rsid w:val="008B38ED"/>
    <w:rsid w:val="008B3CB8"/>
    <w:rsid w:val="008B3EAD"/>
    <w:rsid w:val="008B41F4"/>
    <w:rsid w:val="008B4B9B"/>
    <w:rsid w:val="008B4D62"/>
    <w:rsid w:val="008B574D"/>
    <w:rsid w:val="008B5A14"/>
    <w:rsid w:val="008B6388"/>
    <w:rsid w:val="008B6CD7"/>
    <w:rsid w:val="008B74A7"/>
    <w:rsid w:val="008B7992"/>
    <w:rsid w:val="008B7D7E"/>
    <w:rsid w:val="008B7F6C"/>
    <w:rsid w:val="008C222B"/>
    <w:rsid w:val="008C288D"/>
    <w:rsid w:val="008C3397"/>
    <w:rsid w:val="008C3686"/>
    <w:rsid w:val="008C4307"/>
    <w:rsid w:val="008C47E9"/>
    <w:rsid w:val="008C5197"/>
    <w:rsid w:val="008C5462"/>
    <w:rsid w:val="008C5610"/>
    <w:rsid w:val="008C5739"/>
    <w:rsid w:val="008C5B55"/>
    <w:rsid w:val="008C5EDF"/>
    <w:rsid w:val="008C5FDE"/>
    <w:rsid w:val="008C60E0"/>
    <w:rsid w:val="008C6249"/>
    <w:rsid w:val="008C6A45"/>
    <w:rsid w:val="008C702C"/>
    <w:rsid w:val="008C74FA"/>
    <w:rsid w:val="008C7DAA"/>
    <w:rsid w:val="008C7ECB"/>
    <w:rsid w:val="008D01E6"/>
    <w:rsid w:val="008D0CEF"/>
    <w:rsid w:val="008D17E4"/>
    <w:rsid w:val="008D2859"/>
    <w:rsid w:val="008D35B0"/>
    <w:rsid w:val="008D3A0E"/>
    <w:rsid w:val="008D3B86"/>
    <w:rsid w:val="008D4532"/>
    <w:rsid w:val="008D4755"/>
    <w:rsid w:val="008D4787"/>
    <w:rsid w:val="008D4C3D"/>
    <w:rsid w:val="008D4D9B"/>
    <w:rsid w:val="008D4FDE"/>
    <w:rsid w:val="008D5969"/>
    <w:rsid w:val="008D5A96"/>
    <w:rsid w:val="008D66BF"/>
    <w:rsid w:val="008D6E59"/>
    <w:rsid w:val="008D743C"/>
    <w:rsid w:val="008D74A7"/>
    <w:rsid w:val="008D7663"/>
    <w:rsid w:val="008D7814"/>
    <w:rsid w:val="008D7A46"/>
    <w:rsid w:val="008D7B17"/>
    <w:rsid w:val="008D7E9C"/>
    <w:rsid w:val="008D7F10"/>
    <w:rsid w:val="008E02C6"/>
    <w:rsid w:val="008E074B"/>
    <w:rsid w:val="008E0D3C"/>
    <w:rsid w:val="008E0ECD"/>
    <w:rsid w:val="008E1B9E"/>
    <w:rsid w:val="008E1BB6"/>
    <w:rsid w:val="008E4100"/>
    <w:rsid w:val="008E55AB"/>
    <w:rsid w:val="008E5ABD"/>
    <w:rsid w:val="008E6DA6"/>
    <w:rsid w:val="008E6EA2"/>
    <w:rsid w:val="008E73A8"/>
    <w:rsid w:val="008E7550"/>
    <w:rsid w:val="008E76B6"/>
    <w:rsid w:val="008E78EF"/>
    <w:rsid w:val="008E7AC0"/>
    <w:rsid w:val="008F0045"/>
    <w:rsid w:val="008F0377"/>
    <w:rsid w:val="008F0948"/>
    <w:rsid w:val="008F120A"/>
    <w:rsid w:val="008F1479"/>
    <w:rsid w:val="008F17E4"/>
    <w:rsid w:val="008F27E0"/>
    <w:rsid w:val="008F3631"/>
    <w:rsid w:val="008F3901"/>
    <w:rsid w:val="008F4097"/>
    <w:rsid w:val="008F4683"/>
    <w:rsid w:val="008F48EB"/>
    <w:rsid w:val="008F4AD6"/>
    <w:rsid w:val="008F4CDD"/>
    <w:rsid w:val="008F4F0B"/>
    <w:rsid w:val="008F53AD"/>
    <w:rsid w:val="008F54F0"/>
    <w:rsid w:val="008F5F4C"/>
    <w:rsid w:val="008F6782"/>
    <w:rsid w:val="008F70E9"/>
    <w:rsid w:val="008F74F0"/>
    <w:rsid w:val="00900B63"/>
    <w:rsid w:val="00900CE5"/>
    <w:rsid w:val="009012E2"/>
    <w:rsid w:val="00901769"/>
    <w:rsid w:val="00901DE4"/>
    <w:rsid w:val="00902331"/>
    <w:rsid w:val="009025D3"/>
    <w:rsid w:val="00902C91"/>
    <w:rsid w:val="00902DD8"/>
    <w:rsid w:val="00903570"/>
    <w:rsid w:val="0090371E"/>
    <w:rsid w:val="00903EF8"/>
    <w:rsid w:val="00903F8B"/>
    <w:rsid w:val="009040A1"/>
    <w:rsid w:val="00904680"/>
    <w:rsid w:val="009046C4"/>
    <w:rsid w:val="00904B87"/>
    <w:rsid w:val="00904EF5"/>
    <w:rsid w:val="0090509F"/>
    <w:rsid w:val="009050CD"/>
    <w:rsid w:val="009062A5"/>
    <w:rsid w:val="009064D6"/>
    <w:rsid w:val="00906D4F"/>
    <w:rsid w:val="00907103"/>
    <w:rsid w:val="0090725C"/>
    <w:rsid w:val="009076E6"/>
    <w:rsid w:val="00910010"/>
    <w:rsid w:val="00910E0E"/>
    <w:rsid w:val="00910FA7"/>
    <w:rsid w:val="0091107E"/>
    <w:rsid w:val="00911272"/>
    <w:rsid w:val="009115CE"/>
    <w:rsid w:val="009119ED"/>
    <w:rsid w:val="00911D95"/>
    <w:rsid w:val="0091256E"/>
    <w:rsid w:val="00912928"/>
    <w:rsid w:val="009135D6"/>
    <w:rsid w:val="00913E9E"/>
    <w:rsid w:val="00914C77"/>
    <w:rsid w:val="00915952"/>
    <w:rsid w:val="009167BD"/>
    <w:rsid w:val="0091778D"/>
    <w:rsid w:val="00920651"/>
    <w:rsid w:val="00921A2D"/>
    <w:rsid w:val="00921ACB"/>
    <w:rsid w:val="00921B72"/>
    <w:rsid w:val="00921E3E"/>
    <w:rsid w:val="00922A17"/>
    <w:rsid w:val="0092369B"/>
    <w:rsid w:val="00923C82"/>
    <w:rsid w:val="00924241"/>
    <w:rsid w:val="0092481E"/>
    <w:rsid w:val="009257C2"/>
    <w:rsid w:val="00925E1C"/>
    <w:rsid w:val="00925E3A"/>
    <w:rsid w:val="009260E6"/>
    <w:rsid w:val="00926653"/>
    <w:rsid w:val="00926782"/>
    <w:rsid w:val="009267C4"/>
    <w:rsid w:val="00927A27"/>
    <w:rsid w:val="009300A2"/>
    <w:rsid w:val="0093060D"/>
    <w:rsid w:val="009311B4"/>
    <w:rsid w:val="009313EE"/>
    <w:rsid w:val="0093151A"/>
    <w:rsid w:val="009329AE"/>
    <w:rsid w:val="00932F46"/>
    <w:rsid w:val="0093372C"/>
    <w:rsid w:val="00933D98"/>
    <w:rsid w:val="00934988"/>
    <w:rsid w:val="00934C85"/>
    <w:rsid w:val="00934D73"/>
    <w:rsid w:val="00935BD2"/>
    <w:rsid w:val="00935F00"/>
    <w:rsid w:val="00935F3A"/>
    <w:rsid w:val="009365DF"/>
    <w:rsid w:val="009368DA"/>
    <w:rsid w:val="00937089"/>
    <w:rsid w:val="00941506"/>
    <w:rsid w:val="00943B6D"/>
    <w:rsid w:val="00944470"/>
    <w:rsid w:val="00944B5D"/>
    <w:rsid w:val="00944E8E"/>
    <w:rsid w:val="00944F8A"/>
    <w:rsid w:val="00945D8A"/>
    <w:rsid w:val="009468EB"/>
    <w:rsid w:val="00947B55"/>
    <w:rsid w:val="0095017C"/>
    <w:rsid w:val="00950C3B"/>
    <w:rsid w:val="009510A2"/>
    <w:rsid w:val="009513B5"/>
    <w:rsid w:val="0095199C"/>
    <w:rsid w:val="00951A11"/>
    <w:rsid w:val="00951B04"/>
    <w:rsid w:val="00952820"/>
    <w:rsid w:val="00953257"/>
    <w:rsid w:val="00953D9D"/>
    <w:rsid w:val="0095474C"/>
    <w:rsid w:val="009557F4"/>
    <w:rsid w:val="0095612C"/>
    <w:rsid w:val="00957457"/>
    <w:rsid w:val="009577E2"/>
    <w:rsid w:val="009604D0"/>
    <w:rsid w:val="00960C2E"/>
    <w:rsid w:val="00960E93"/>
    <w:rsid w:val="00961078"/>
    <w:rsid w:val="009611DF"/>
    <w:rsid w:val="00961B6B"/>
    <w:rsid w:val="00962CB9"/>
    <w:rsid w:val="00963B5E"/>
    <w:rsid w:val="00963DD6"/>
    <w:rsid w:val="00963F45"/>
    <w:rsid w:val="00964312"/>
    <w:rsid w:val="009648FE"/>
    <w:rsid w:val="00964B5B"/>
    <w:rsid w:val="00964BC7"/>
    <w:rsid w:val="00964E38"/>
    <w:rsid w:val="00965B8A"/>
    <w:rsid w:val="0096616A"/>
    <w:rsid w:val="009662B2"/>
    <w:rsid w:val="0096632D"/>
    <w:rsid w:val="00966553"/>
    <w:rsid w:val="0096723C"/>
    <w:rsid w:val="00967601"/>
    <w:rsid w:val="0097071F"/>
    <w:rsid w:val="009711AC"/>
    <w:rsid w:val="009717AC"/>
    <w:rsid w:val="0097490A"/>
    <w:rsid w:val="00975003"/>
    <w:rsid w:val="009751C1"/>
    <w:rsid w:val="00975815"/>
    <w:rsid w:val="009764DE"/>
    <w:rsid w:val="0097686A"/>
    <w:rsid w:val="00977A4F"/>
    <w:rsid w:val="009809F1"/>
    <w:rsid w:val="009811F1"/>
    <w:rsid w:val="00982460"/>
    <w:rsid w:val="00982E33"/>
    <w:rsid w:val="0098348B"/>
    <w:rsid w:val="0098372F"/>
    <w:rsid w:val="00983B19"/>
    <w:rsid w:val="00983E57"/>
    <w:rsid w:val="00984567"/>
    <w:rsid w:val="0098524D"/>
    <w:rsid w:val="009852F3"/>
    <w:rsid w:val="00985DE2"/>
    <w:rsid w:val="0098640E"/>
    <w:rsid w:val="00986728"/>
    <w:rsid w:val="0098675D"/>
    <w:rsid w:val="00986D5E"/>
    <w:rsid w:val="00987CBC"/>
    <w:rsid w:val="00990081"/>
    <w:rsid w:val="00990313"/>
    <w:rsid w:val="00990463"/>
    <w:rsid w:val="0099083A"/>
    <w:rsid w:val="009914E0"/>
    <w:rsid w:val="00992522"/>
    <w:rsid w:val="009926E0"/>
    <w:rsid w:val="00992DD4"/>
    <w:rsid w:val="00992F81"/>
    <w:rsid w:val="009935FA"/>
    <w:rsid w:val="00993C21"/>
    <w:rsid w:val="00993E11"/>
    <w:rsid w:val="00993E7A"/>
    <w:rsid w:val="00994110"/>
    <w:rsid w:val="0099451E"/>
    <w:rsid w:val="00994BE9"/>
    <w:rsid w:val="009952D9"/>
    <w:rsid w:val="009961F6"/>
    <w:rsid w:val="00996542"/>
    <w:rsid w:val="00996B1A"/>
    <w:rsid w:val="00997602"/>
    <w:rsid w:val="00997D39"/>
    <w:rsid w:val="009A00AD"/>
    <w:rsid w:val="009A01A8"/>
    <w:rsid w:val="009A0E1B"/>
    <w:rsid w:val="009A10E9"/>
    <w:rsid w:val="009A16E2"/>
    <w:rsid w:val="009A1A03"/>
    <w:rsid w:val="009A2585"/>
    <w:rsid w:val="009A29BF"/>
    <w:rsid w:val="009A2DCC"/>
    <w:rsid w:val="009A34CC"/>
    <w:rsid w:val="009A36A6"/>
    <w:rsid w:val="009A43F9"/>
    <w:rsid w:val="009A50FD"/>
    <w:rsid w:val="009A5ABC"/>
    <w:rsid w:val="009A62C2"/>
    <w:rsid w:val="009A6611"/>
    <w:rsid w:val="009A6849"/>
    <w:rsid w:val="009A78D7"/>
    <w:rsid w:val="009A7ADD"/>
    <w:rsid w:val="009A7F10"/>
    <w:rsid w:val="009B0A58"/>
    <w:rsid w:val="009B14FB"/>
    <w:rsid w:val="009B2408"/>
    <w:rsid w:val="009B24CB"/>
    <w:rsid w:val="009B2665"/>
    <w:rsid w:val="009B2E01"/>
    <w:rsid w:val="009B3E26"/>
    <w:rsid w:val="009B43F5"/>
    <w:rsid w:val="009B4EDA"/>
    <w:rsid w:val="009B5D86"/>
    <w:rsid w:val="009B5F14"/>
    <w:rsid w:val="009B623B"/>
    <w:rsid w:val="009B6D17"/>
    <w:rsid w:val="009B7189"/>
    <w:rsid w:val="009B786C"/>
    <w:rsid w:val="009C0566"/>
    <w:rsid w:val="009C0C66"/>
    <w:rsid w:val="009C0CA5"/>
    <w:rsid w:val="009C1CDB"/>
    <w:rsid w:val="009C31AF"/>
    <w:rsid w:val="009C3706"/>
    <w:rsid w:val="009C3A3A"/>
    <w:rsid w:val="009C40F5"/>
    <w:rsid w:val="009C47B8"/>
    <w:rsid w:val="009C4EBE"/>
    <w:rsid w:val="009C518D"/>
    <w:rsid w:val="009C54C5"/>
    <w:rsid w:val="009C556E"/>
    <w:rsid w:val="009C579C"/>
    <w:rsid w:val="009C6809"/>
    <w:rsid w:val="009C687D"/>
    <w:rsid w:val="009C6CEA"/>
    <w:rsid w:val="009C6E46"/>
    <w:rsid w:val="009C7B85"/>
    <w:rsid w:val="009C7F23"/>
    <w:rsid w:val="009D01FC"/>
    <w:rsid w:val="009D0254"/>
    <w:rsid w:val="009D03EA"/>
    <w:rsid w:val="009D0647"/>
    <w:rsid w:val="009D15AC"/>
    <w:rsid w:val="009D16E5"/>
    <w:rsid w:val="009D1A64"/>
    <w:rsid w:val="009D205C"/>
    <w:rsid w:val="009D2D7B"/>
    <w:rsid w:val="009D36D6"/>
    <w:rsid w:val="009D4431"/>
    <w:rsid w:val="009D45AE"/>
    <w:rsid w:val="009D4FE1"/>
    <w:rsid w:val="009D50AD"/>
    <w:rsid w:val="009D5B91"/>
    <w:rsid w:val="009D619B"/>
    <w:rsid w:val="009D619F"/>
    <w:rsid w:val="009D792E"/>
    <w:rsid w:val="009D7D03"/>
    <w:rsid w:val="009D7E46"/>
    <w:rsid w:val="009D7F4A"/>
    <w:rsid w:val="009E08AF"/>
    <w:rsid w:val="009E0DFE"/>
    <w:rsid w:val="009E0EA0"/>
    <w:rsid w:val="009E1D3D"/>
    <w:rsid w:val="009E2CFB"/>
    <w:rsid w:val="009E2D8A"/>
    <w:rsid w:val="009E31F6"/>
    <w:rsid w:val="009E35C3"/>
    <w:rsid w:val="009E3FA6"/>
    <w:rsid w:val="009E43FC"/>
    <w:rsid w:val="009E48BC"/>
    <w:rsid w:val="009E4B55"/>
    <w:rsid w:val="009E4C07"/>
    <w:rsid w:val="009E4EB8"/>
    <w:rsid w:val="009E6500"/>
    <w:rsid w:val="009E6854"/>
    <w:rsid w:val="009E6CED"/>
    <w:rsid w:val="009E7C78"/>
    <w:rsid w:val="009F0121"/>
    <w:rsid w:val="009F1BC4"/>
    <w:rsid w:val="009F209F"/>
    <w:rsid w:val="009F3814"/>
    <w:rsid w:val="009F3CB0"/>
    <w:rsid w:val="009F3F6F"/>
    <w:rsid w:val="009F40BE"/>
    <w:rsid w:val="009F4B4D"/>
    <w:rsid w:val="009F4FE3"/>
    <w:rsid w:val="009F5235"/>
    <w:rsid w:val="009F5AA0"/>
    <w:rsid w:val="009F63C4"/>
    <w:rsid w:val="00A003E9"/>
    <w:rsid w:val="00A00A55"/>
    <w:rsid w:val="00A00D63"/>
    <w:rsid w:val="00A01184"/>
    <w:rsid w:val="00A015D7"/>
    <w:rsid w:val="00A03225"/>
    <w:rsid w:val="00A037C2"/>
    <w:rsid w:val="00A0383A"/>
    <w:rsid w:val="00A03D43"/>
    <w:rsid w:val="00A04380"/>
    <w:rsid w:val="00A0447D"/>
    <w:rsid w:val="00A04CC1"/>
    <w:rsid w:val="00A05061"/>
    <w:rsid w:val="00A05472"/>
    <w:rsid w:val="00A058EE"/>
    <w:rsid w:val="00A05C32"/>
    <w:rsid w:val="00A0653F"/>
    <w:rsid w:val="00A067F7"/>
    <w:rsid w:val="00A07629"/>
    <w:rsid w:val="00A10222"/>
    <w:rsid w:val="00A106FE"/>
    <w:rsid w:val="00A107B4"/>
    <w:rsid w:val="00A1128B"/>
    <w:rsid w:val="00A113F6"/>
    <w:rsid w:val="00A11CD0"/>
    <w:rsid w:val="00A11FD0"/>
    <w:rsid w:val="00A125DB"/>
    <w:rsid w:val="00A12676"/>
    <w:rsid w:val="00A12917"/>
    <w:rsid w:val="00A12B2A"/>
    <w:rsid w:val="00A1361F"/>
    <w:rsid w:val="00A13860"/>
    <w:rsid w:val="00A13948"/>
    <w:rsid w:val="00A13D5A"/>
    <w:rsid w:val="00A13EBE"/>
    <w:rsid w:val="00A14185"/>
    <w:rsid w:val="00A143F8"/>
    <w:rsid w:val="00A14A58"/>
    <w:rsid w:val="00A14F3E"/>
    <w:rsid w:val="00A15177"/>
    <w:rsid w:val="00A1555B"/>
    <w:rsid w:val="00A155C5"/>
    <w:rsid w:val="00A15EC4"/>
    <w:rsid w:val="00A16AD8"/>
    <w:rsid w:val="00A17384"/>
    <w:rsid w:val="00A17E8B"/>
    <w:rsid w:val="00A17F18"/>
    <w:rsid w:val="00A20173"/>
    <w:rsid w:val="00A204F8"/>
    <w:rsid w:val="00A21180"/>
    <w:rsid w:val="00A211EF"/>
    <w:rsid w:val="00A21338"/>
    <w:rsid w:val="00A21C95"/>
    <w:rsid w:val="00A21CF3"/>
    <w:rsid w:val="00A22282"/>
    <w:rsid w:val="00A22F40"/>
    <w:rsid w:val="00A2348D"/>
    <w:rsid w:val="00A23C93"/>
    <w:rsid w:val="00A23DDA"/>
    <w:rsid w:val="00A240D9"/>
    <w:rsid w:val="00A24198"/>
    <w:rsid w:val="00A24813"/>
    <w:rsid w:val="00A24A70"/>
    <w:rsid w:val="00A24B57"/>
    <w:rsid w:val="00A24C2D"/>
    <w:rsid w:val="00A24FCC"/>
    <w:rsid w:val="00A25952"/>
    <w:rsid w:val="00A25D17"/>
    <w:rsid w:val="00A2661F"/>
    <w:rsid w:val="00A26719"/>
    <w:rsid w:val="00A27467"/>
    <w:rsid w:val="00A277BD"/>
    <w:rsid w:val="00A27AEC"/>
    <w:rsid w:val="00A27E45"/>
    <w:rsid w:val="00A27FEB"/>
    <w:rsid w:val="00A30C06"/>
    <w:rsid w:val="00A31157"/>
    <w:rsid w:val="00A3187F"/>
    <w:rsid w:val="00A320DB"/>
    <w:rsid w:val="00A3253F"/>
    <w:rsid w:val="00A32BFF"/>
    <w:rsid w:val="00A334FB"/>
    <w:rsid w:val="00A3480E"/>
    <w:rsid w:val="00A3508A"/>
    <w:rsid w:val="00A35A1E"/>
    <w:rsid w:val="00A35D16"/>
    <w:rsid w:val="00A35F57"/>
    <w:rsid w:val="00A3619F"/>
    <w:rsid w:val="00A361C2"/>
    <w:rsid w:val="00A373B7"/>
    <w:rsid w:val="00A37BCD"/>
    <w:rsid w:val="00A401E1"/>
    <w:rsid w:val="00A4040B"/>
    <w:rsid w:val="00A40DAF"/>
    <w:rsid w:val="00A41689"/>
    <w:rsid w:val="00A416ED"/>
    <w:rsid w:val="00A41CBD"/>
    <w:rsid w:val="00A41CEB"/>
    <w:rsid w:val="00A42592"/>
    <w:rsid w:val="00A42C09"/>
    <w:rsid w:val="00A4340D"/>
    <w:rsid w:val="00A43538"/>
    <w:rsid w:val="00A43C59"/>
    <w:rsid w:val="00A44491"/>
    <w:rsid w:val="00A4495D"/>
    <w:rsid w:val="00A44985"/>
    <w:rsid w:val="00A44C57"/>
    <w:rsid w:val="00A451A0"/>
    <w:rsid w:val="00A454E7"/>
    <w:rsid w:val="00A45B86"/>
    <w:rsid w:val="00A46AA4"/>
    <w:rsid w:val="00A46C75"/>
    <w:rsid w:val="00A47543"/>
    <w:rsid w:val="00A50475"/>
    <w:rsid w:val="00A50ECD"/>
    <w:rsid w:val="00A5188A"/>
    <w:rsid w:val="00A518F0"/>
    <w:rsid w:val="00A518F3"/>
    <w:rsid w:val="00A51F8D"/>
    <w:rsid w:val="00A521FE"/>
    <w:rsid w:val="00A5234F"/>
    <w:rsid w:val="00A52729"/>
    <w:rsid w:val="00A52A7C"/>
    <w:rsid w:val="00A5348D"/>
    <w:rsid w:val="00A53675"/>
    <w:rsid w:val="00A536B3"/>
    <w:rsid w:val="00A53BAA"/>
    <w:rsid w:val="00A53C64"/>
    <w:rsid w:val="00A55357"/>
    <w:rsid w:val="00A56224"/>
    <w:rsid w:val="00A56427"/>
    <w:rsid w:val="00A564D7"/>
    <w:rsid w:val="00A56B04"/>
    <w:rsid w:val="00A56B6A"/>
    <w:rsid w:val="00A5723B"/>
    <w:rsid w:val="00A5778B"/>
    <w:rsid w:val="00A5786F"/>
    <w:rsid w:val="00A578DC"/>
    <w:rsid w:val="00A61208"/>
    <w:rsid w:val="00A617B3"/>
    <w:rsid w:val="00A617F1"/>
    <w:rsid w:val="00A61914"/>
    <w:rsid w:val="00A61C89"/>
    <w:rsid w:val="00A626DF"/>
    <w:rsid w:val="00A62E1A"/>
    <w:rsid w:val="00A630B7"/>
    <w:rsid w:val="00A6324B"/>
    <w:rsid w:val="00A640E2"/>
    <w:rsid w:val="00A64190"/>
    <w:rsid w:val="00A64622"/>
    <w:rsid w:val="00A64D65"/>
    <w:rsid w:val="00A65A7C"/>
    <w:rsid w:val="00A66355"/>
    <w:rsid w:val="00A66385"/>
    <w:rsid w:val="00A66563"/>
    <w:rsid w:val="00A6725B"/>
    <w:rsid w:val="00A674EE"/>
    <w:rsid w:val="00A677BC"/>
    <w:rsid w:val="00A70393"/>
    <w:rsid w:val="00A70605"/>
    <w:rsid w:val="00A70DF3"/>
    <w:rsid w:val="00A71C01"/>
    <w:rsid w:val="00A7202B"/>
    <w:rsid w:val="00A723CE"/>
    <w:rsid w:val="00A72ED4"/>
    <w:rsid w:val="00A72F33"/>
    <w:rsid w:val="00A72FC1"/>
    <w:rsid w:val="00A73134"/>
    <w:rsid w:val="00A733DB"/>
    <w:rsid w:val="00A73465"/>
    <w:rsid w:val="00A73A4D"/>
    <w:rsid w:val="00A74304"/>
    <w:rsid w:val="00A75263"/>
    <w:rsid w:val="00A753AE"/>
    <w:rsid w:val="00A75609"/>
    <w:rsid w:val="00A75797"/>
    <w:rsid w:val="00A76001"/>
    <w:rsid w:val="00A776BB"/>
    <w:rsid w:val="00A777B2"/>
    <w:rsid w:val="00A7792A"/>
    <w:rsid w:val="00A77C2D"/>
    <w:rsid w:val="00A80BD3"/>
    <w:rsid w:val="00A80C5E"/>
    <w:rsid w:val="00A81654"/>
    <w:rsid w:val="00A8170B"/>
    <w:rsid w:val="00A81D6B"/>
    <w:rsid w:val="00A825D4"/>
    <w:rsid w:val="00A828F6"/>
    <w:rsid w:val="00A82B73"/>
    <w:rsid w:val="00A844D8"/>
    <w:rsid w:val="00A851AB"/>
    <w:rsid w:val="00A865A8"/>
    <w:rsid w:val="00A8661B"/>
    <w:rsid w:val="00A867BC"/>
    <w:rsid w:val="00A86978"/>
    <w:rsid w:val="00A86E8B"/>
    <w:rsid w:val="00A87164"/>
    <w:rsid w:val="00A875C7"/>
    <w:rsid w:val="00A87723"/>
    <w:rsid w:val="00A901B3"/>
    <w:rsid w:val="00A9028D"/>
    <w:rsid w:val="00A91846"/>
    <w:rsid w:val="00A92F88"/>
    <w:rsid w:val="00A93072"/>
    <w:rsid w:val="00A93185"/>
    <w:rsid w:val="00A93563"/>
    <w:rsid w:val="00A938BD"/>
    <w:rsid w:val="00A938CF"/>
    <w:rsid w:val="00A938E4"/>
    <w:rsid w:val="00A93953"/>
    <w:rsid w:val="00A939EE"/>
    <w:rsid w:val="00A95192"/>
    <w:rsid w:val="00A959D8"/>
    <w:rsid w:val="00A95EE2"/>
    <w:rsid w:val="00A96157"/>
    <w:rsid w:val="00A96258"/>
    <w:rsid w:val="00A973D9"/>
    <w:rsid w:val="00A97755"/>
    <w:rsid w:val="00A97CB1"/>
    <w:rsid w:val="00A97F9C"/>
    <w:rsid w:val="00AA06C6"/>
    <w:rsid w:val="00AA113D"/>
    <w:rsid w:val="00AA1AE3"/>
    <w:rsid w:val="00AA2A62"/>
    <w:rsid w:val="00AA3EDC"/>
    <w:rsid w:val="00AA401B"/>
    <w:rsid w:val="00AA482A"/>
    <w:rsid w:val="00AA4BDB"/>
    <w:rsid w:val="00AA5FFE"/>
    <w:rsid w:val="00AA6498"/>
    <w:rsid w:val="00AA68E5"/>
    <w:rsid w:val="00AA6BD0"/>
    <w:rsid w:val="00AA6BD5"/>
    <w:rsid w:val="00AA6BD8"/>
    <w:rsid w:val="00AA6C7D"/>
    <w:rsid w:val="00AA74F5"/>
    <w:rsid w:val="00AA7FD6"/>
    <w:rsid w:val="00AB042A"/>
    <w:rsid w:val="00AB1774"/>
    <w:rsid w:val="00AB19EF"/>
    <w:rsid w:val="00AB1C42"/>
    <w:rsid w:val="00AB27BA"/>
    <w:rsid w:val="00AB2D34"/>
    <w:rsid w:val="00AB2FDA"/>
    <w:rsid w:val="00AB3430"/>
    <w:rsid w:val="00AB37B9"/>
    <w:rsid w:val="00AB49EB"/>
    <w:rsid w:val="00AB4AD1"/>
    <w:rsid w:val="00AB4D63"/>
    <w:rsid w:val="00AB4D95"/>
    <w:rsid w:val="00AB4DDA"/>
    <w:rsid w:val="00AB5019"/>
    <w:rsid w:val="00AB5A95"/>
    <w:rsid w:val="00AB5E07"/>
    <w:rsid w:val="00AB60D6"/>
    <w:rsid w:val="00AB7A89"/>
    <w:rsid w:val="00AB7CFA"/>
    <w:rsid w:val="00AC0283"/>
    <w:rsid w:val="00AC0597"/>
    <w:rsid w:val="00AC0EBC"/>
    <w:rsid w:val="00AC2172"/>
    <w:rsid w:val="00AC2F5D"/>
    <w:rsid w:val="00AC36DC"/>
    <w:rsid w:val="00AC41E1"/>
    <w:rsid w:val="00AC46C8"/>
    <w:rsid w:val="00AC4E88"/>
    <w:rsid w:val="00AC547D"/>
    <w:rsid w:val="00AC5B48"/>
    <w:rsid w:val="00AC6337"/>
    <w:rsid w:val="00AC69E2"/>
    <w:rsid w:val="00AC7301"/>
    <w:rsid w:val="00AC761A"/>
    <w:rsid w:val="00AC7D7F"/>
    <w:rsid w:val="00AC7E65"/>
    <w:rsid w:val="00AC7E67"/>
    <w:rsid w:val="00AD061F"/>
    <w:rsid w:val="00AD070F"/>
    <w:rsid w:val="00AD0B58"/>
    <w:rsid w:val="00AD1450"/>
    <w:rsid w:val="00AD1B07"/>
    <w:rsid w:val="00AD1BE6"/>
    <w:rsid w:val="00AD1D03"/>
    <w:rsid w:val="00AD1FF5"/>
    <w:rsid w:val="00AD2139"/>
    <w:rsid w:val="00AD2357"/>
    <w:rsid w:val="00AD2ACB"/>
    <w:rsid w:val="00AD2DB0"/>
    <w:rsid w:val="00AD2EDE"/>
    <w:rsid w:val="00AD2EEC"/>
    <w:rsid w:val="00AD350C"/>
    <w:rsid w:val="00AD3ED0"/>
    <w:rsid w:val="00AD5686"/>
    <w:rsid w:val="00AD64A5"/>
    <w:rsid w:val="00AD6502"/>
    <w:rsid w:val="00AD65D0"/>
    <w:rsid w:val="00AD6AD5"/>
    <w:rsid w:val="00AD74DE"/>
    <w:rsid w:val="00AD7955"/>
    <w:rsid w:val="00AD7A34"/>
    <w:rsid w:val="00AE0695"/>
    <w:rsid w:val="00AE1A58"/>
    <w:rsid w:val="00AE1AD9"/>
    <w:rsid w:val="00AE1E80"/>
    <w:rsid w:val="00AE1F3C"/>
    <w:rsid w:val="00AE250F"/>
    <w:rsid w:val="00AE2A58"/>
    <w:rsid w:val="00AE2CB6"/>
    <w:rsid w:val="00AE3BDA"/>
    <w:rsid w:val="00AE3E7E"/>
    <w:rsid w:val="00AE4F9D"/>
    <w:rsid w:val="00AE52BD"/>
    <w:rsid w:val="00AE597D"/>
    <w:rsid w:val="00AE5F45"/>
    <w:rsid w:val="00AE66BC"/>
    <w:rsid w:val="00AE683E"/>
    <w:rsid w:val="00AE6C83"/>
    <w:rsid w:val="00AE71E4"/>
    <w:rsid w:val="00AF1315"/>
    <w:rsid w:val="00AF19BF"/>
    <w:rsid w:val="00AF1AAE"/>
    <w:rsid w:val="00AF1F95"/>
    <w:rsid w:val="00AF259E"/>
    <w:rsid w:val="00AF26A1"/>
    <w:rsid w:val="00AF2CEB"/>
    <w:rsid w:val="00AF2DC3"/>
    <w:rsid w:val="00AF3209"/>
    <w:rsid w:val="00AF4C0D"/>
    <w:rsid w:val="00AF560E"/>
    <w:rsid w:val="00AF64B0"/>
    <w:rsid w:val="00AF6755"/>
    <w:rsid w:val="00AF67E0"/>
    <w:rsid w:val="00AF69B4"/>
    <w:rsid w:val="00AF6AB5"/>
    <w:rsid w:val="00AF6D59"/>
    <w:rsid w:val="00AF77F9"/>
    <w:rsid w:val="00AF7A2D"/>
    <w:rsid w:val="00B00AA3"/>
    <w:rsid w:val="00B01E4D"/>
    <w:rsid w:val="00B0234D"/>
    <w:rsid w:val="00B02741"/>
    <w:rsid w:val="00B0282C"/>
    <w:rsid w:val="00B02CDA"/>
    <w:rsid w:val="00B033E5"/>
    <w:rsid w:val="00B036AF"/>
    <w:rsid w:val="00B03A63"/>
    <w:rsid w:val="00B03EAE"/>
    <w:rsid w:val="00B0447A"/>
    <w:rsid w:val="00B057D7"/>
    <w:rsid w:val="00B057EC"/>
    <w:rsid w:val="00B06BB3"/>
    <w:rsid w:val="00B078AB"/>
    <w:rsid w:val="00B1071E"/>
    <w:rsid w:val="00B10A09"/>
    <w:rsid w:val="00B11D3A"/>
    <w:rsid w:val="00B11F37"/>
    <w:rsid w:val="00B11FD4"/>
    <w:rsid w:val="00B12568"/>
    <w:rsid w:val="00B12C92"/>
    <w:rsid w:val="00B12DCB"/>
    <w:rsid w:val="00B1426F"/>
    <w:rsid w:val="00B14778"/>
    <w:rsid w:val="00B147EF"/>
    <w:rsid w:val="00B15DEF"/>
    <w:rsid w:val="00B1667D"/>
    <w:rsid w:val="00B17EAA"/>
    <w:rsid w:val="00B2013B"/>
    <w:rsid w:val="00B201A4"/>
    <w:rsid w:val="00B201D1"/>
    <w:rsid w:val="00B203B0"/>
    <w:rsid w:val="00B203FD"/>
    <w:rsid w:val="00B20E31"/>
    <w:rsid w:val="00B20F49"/>
    <w:rsid w:val="00B213A6"/>
    <w:rsid w:val="00B21CED"/>
    <w:rsid w:val="00B21DCE"/>
    <w:rsid w:val="00B2209D"/>
    <w:rsid w:val="00B22139"/>
    <w:rsid w:val="00B22317"/>
    <w:rsid w:val="00B22913"/>
    <w:rsid w:val="00B22BD3"/>
    <w:rsid w:val="00B235B0"/>
    <w:rsid w:val="00B24DF6"/>
    <w:rsid w:val="00B24FF3"/>
    <w:rsid w:val="00B256C0"/>
    <w:rsid w:val="00B26120"/>
    <w:rsid w:val="00B278D0"/>
    <w:rsid w:val="00B3006C"/>
    <w:rsid w:val="00B30EC1"/>
    <w:rsid w:val="00B323B5"/>
    <w:rsid w:val="00B32563"/>
    <w:rsid w:val="00B328C3"/>
    <w:rsid w:val="00B32C2C"/>
    <w:rsid w:val="00B330A5"/>
    <w:rsid w:val="00B33C42"/>
    <w:rsid w:val="00B346C0"/>
    <w:rsid w:val="00B34FE2"/>
    <w:rsid w:val="00B35109"/>
    <w:rsid w:val="00B35166"/>
    <w:rsid w:val="00B35572"/>
    <w:rsid w:val="00B357D8"/>
    <w:rsid w:val="00B360F4"/>
    <w:rsid w:val="00B3631F"/>
    <w:rsid w:val="00B36A00"/>
    <w:rsid w:val="00B36DB4"/>
    <w:rsid w:val="00B37120"/>
    <w:rsid w:val="00B37BFC"/>
    <w:rsid w:val="00B37C23"/>
    <w:rsid w:val="00B40358"/>
    <w:rsid w:val="00B40A81"/>
    <w:rsid w:val="00B40EA5"/>
    <w:rsid w:val="00B41614"/>
    <w:rsid w:val="00B41B35"/>
    <w:rsid w:val="00B41C53"/>
    <w:rsid w:val="00B42442"/>
    <w:rsid w:val="00B426A1"/>
    <w:rsid w:val="00B42851"/>
    <w:rsid w:val="00B42F80"/>
    <w:rsid w:val="00B43043"/>
    <w:rsid w:val="00B435CB"/>
    <w:rsid w:val="00B442B3"/>
    <w:rsid w:val="00B450AB"/>
    <w:rsid w:val="00B45D9D"/>
    <w:rsid w:val="00B4641D"/>
    <w:rsid w:val="00B46527"/>
    <w:rsid w:val="00B46778"/>
    <w:rsid w:val="00B467A2"/>
    <w:rsid w:val="00B4696F"/>
    <w:rsid w:val="00B469E8"/>
    <w:rsid w:val="00B46FC2"/>
    <w:rsid w:val="00B47926"/>
    <w:rsid w:val="00B47B7E"/>
    <w:rsid w:val="00B47BCA"/>
    <w:rsid w:val="00B47EDF"/>
    <w:rsid w:val="00B505C8"/>
    <w:rsid w:val="00B50DB8"/>
    <w:rsid w:val="00B50F5D"/>
    <w:rsid w:val="00B514B0"/>
    <w:rsid w:val="00B51C3A"/>
    <w:rsid w:val="00B53654"/>
    <w:rsid w:val="00B53905"/>
    <w:rsid w:val="00B53E12"/>
    <w:rsid w:val="00B54682"/>
    <w:rsid w:val="00B54B5B"/>
    <w:rsid w:val="00B54F44"/>
    <w:rsid w:val="00B5562E"/>
    <w:rsid w:val="00B55B9F"/>
    <w:rsid w:val="00B55D65"/>
    <w:rsid w:val="00B55DEB"/>
    <w:rsid w:val="00B561F3"/>
    <w:rsid w:val="00B5685F"/>
    <w:rsid w:val="00B56D71"/>
    <w:rsid w:val="00B56DB0"/>
    <w:rsid w:val="00B56DEF"/>
    <w:rsid w:val="00B57000"/>
    <w:rsid w:val="00B57503"/>
    <w:rsid w:val="00B6028E"/>
    <w:rsid w:val="00B604A8"/>
    <w:rsid w:val="00B60939"/>
    <w:rsid w:val="00B60954"/>
    <w:rsid w:val="00B60AFD"/>
    <w:rsid w:val="00B60F0E"/>
    <w:rsid w:val="00B61469"/>
    <w:rsid w:val="00B618E8"/>
    <w:rsid w:val="00B61C44"/>
    <w:rsid w:val="00B62469"/>
    <w:rsid w:val="00B62715"/>
    <w:rsid w:val="00B6360D"/>
    <w:rsid w:val="00B63B5A"/>
    <w:rsid w:val="00B645CF"/>
    <w:rsid w:val="00B649CF"/>
    <w:rsid w:val="00B64E3B"/>
    <w:rsid w:val="00B65611"/>
    <w:rsid w:val="00B67567"/>
    <w:rsid w:val="00B70172"/>
    <w:rsid w:val="00B70E8E"/>
    <w:rsid w:val="00B7231B"/>
    <w:rsid w:val="00B73B1E"/>
    <w:rsid w:val="00B7454F"/>
    <w:rsid w:val="00B74825"/>
    <w:rsid w:val="00B74E23"/>
    <w:rsid w:val="00B750A0"/>
    <w:rsid w:val="00B75ABB"/>
    <w:rsid w:val="00B76C92"/>
    <w:rsid w:val="00B77139"/>
    <w:rsid w:val="00B7771D"/>
    <w:rsid w:val="00B801F1"/>
    <w:rsid w:val="00B8087B"/>
    <w:rsid w:val="00B80A4E"/>
    <w:rsid w:val="00B80C05"/>
    <w:rsid w:val="00B8116E"/>
    <w:rsid w:val="00B81802"/>
    <w:rsid w:val="00B818A4"/>
    <w:rsid w:val="00B82131"/>
    <w:rsid w:val="00B82466"/>
    <w:rsid w:val="00B83459"/>
    <w:rsid w:val="00B83EE0"/>
    <w:rsid w:val="00B84117"/>
    <w:rsid w:val="00B858F0"/>
    <w:rsid w:val="00B859AC"/>
    <w:rsid w:val="00B85AA2"/>
    <w:rsid w:val="00B85BCB"/>
    <w:rsid w:val="00B85F34"/>
    <w:rsid w:val="00B86122"/>
    <w:rsid w:val="00B86254"/>
    <w:rsid w:val="00B8649C"/>
    <w:rsid w:val="00B8695D"/>
    <w:rsid w:val="00B86F71"/>
    <w:rsid w:val="00B87294"/>
    <w:rsid w:val="00B87D3C"/>
    <w:rsid w:val="00B87F0A"/>
    <w:rsid w:val="00B9002A"/>
    <w:rsid w:val="00B90177"/>
    <w:rsid w:val="00B9030D"/>
    <w:rsid w:val="00B90398"/>
    <w:rsid w:val="00B906AF"/>
    <w:rsid w:val="00B90EDE"/>
    <w:rsid w:val="00B911A1"/>
    <w:rsid w:val="00B916C0"/>
    <w:rsid w:val="00B91C4A"/>
    <w:rsid w:val="00B91FF5"/>
    <w:rsid w:val="00B920DB"/>
    <w:rsid w:val="00B926CF"/>
    <w:rsid w:val="00B92D0B"/>
    <w:rsid w:val="00B93340"/>
    <w:rsid w:val="00B935A7"/>
    <w:rsid w:val="00B93691"/>
    <w:rsid w:val="00B93D3B"/>
    <w:rsid w:val="00B93E10"/>
    <w:rsid w:val="00B94449"/>
    <w:rsid w:val="00B94576"/>
    <w:rsid w:val="00B94945"/>
    <w:rsid w:val="00B94DD6"/>
    <w:rsid w:val="00B9551C"/>
    <w:rsid w:val="00B95B6C"/>
    <w:rsid w:val="00B9657A"/>
    <w:rsid w:val="00B96888"/>
    <w:rsid w:val="00B96B8F"/>
    <w:rsid w:val="00B96DD5"/>
    <w:rsid w:val="00B97303"/>
    <w:rsid w:val="00BA040E"/>
    <w:rsid w:val="00BA18E3"/>
    <w:rsid w:val="00BA2F90"/>
    <w:rsid w:val="00BA322D"/>
    <w:rsid w:val="00BA34B6"/>
    <w:rsid w:val="00BA3FE4"/>
    <w:rsid w:val="00BA41DC"/>
    <w:rsid w:val="00BA4CBF"/>
    <w:rsid w:val="00BA5147"/>
    <w:rsid w:val="00BA5D65"/>
    <w:rsid w:val="00BA5FF1"/>
    <w:rsid w:val="00BA63FA"/>
    <w:rsid w:val="00BA678B"/>
    <w:rsid w:val="00BA76B5"/>
    <w:rsid w:val="00BB00B3"/>
    <w:rsid w:val="00BB021B"/>
    <w:rsid w:val="00BB0373"/>
    <w:rsid w:val="00BB041B"/>
    <w:rsid w:val="00BB0BDD"/>
    <w:rsid w:val="00BB176C"/>
    <w:rsid w:val="00BB22A2"/>
    <w:rsid w:val="00BB23CB"/>
    <w:rsid w:val="00BB26BD"/>
    <w:rsid w:val="00BB2A1A"/>
    <w:rsid w:val="00BB2A60"/>
    <w:rsid w:val="00BB2A73"/>
    <w:rsid w:val="00BB3280"/>
    <w:rsid w:val="00BB3A45"/>
    <w:rsid w:val="00BB3AF1"/>
    <w:rsid w:val="00BB3E22"/>
    <w:rsid w:val="00BB4ACC"/>
    <w:rsid w:val="00BB4BD3"/>
    <w:rsid w:val="00BB5B16"/>
    <w:rsid w:val="00BB5D0E"/>
    <w:rsid w:val="00BB5E53"/>
    <w:rsid w:val="00BB5FED"/>
    <w:rsid w:val="00BB61B0"/>
    <w:rsid w:val="00BB7022"/>
    <w:rsid w:val="00BB703E"/>
    <w:rsid w:val="00BB7295"/>
    <w:rsid w:val="00BB72A4"/>
    <w:rsid w:val="00BB732D"/>
    <w:rsid w:val="00BB7405"/>
    <w:rsid w:val="00BB7478"/>
    <w:rsid w:val="00BB76F1"/>
    <w:rsid w:val="00BB7FF3"/>
    <w:rsid w:val="00BC04E6"/>
    <w:rsid w:val="00BC071C"/>
    <w:rsid w:val="00BC0B5E"/>
    <w:rsid w:val="00BC14B7"/>
    <w:rsid w:val="00BC2268"/>
    <w:rsid w:val="00BC2A83"/>
    <w:rsid w:val="00BC2CF8"/>
    <w:rsid w:val="00BC2F68"/>
    <w:rsid w:val="00BC2FB0"/>
    <w:rsid w:val="00BC3631"/>
    <w:rsid w:val="00BC3A69"/>
    <w:rsid w:val="00BC4512"/>
    <w:rsid w:val="00BC4A08"/>
    <w:rsid w:val="00BC532C"/>
    <w:rsid w:val="00BC55A2"/>
    <w:rsid w:val="00BC591F"/>
    <w:rsid w:val="00BC5B24"/>
    <w:rsid w:val="00BC5D90"/>
    <w:rsid w:val="00BC70B0"/>
    <w:rsid w:val="00BC7BE0"/>
    <w:rsid w:val="00BC7D6D"/>
    <w:rsid w:val="00BC7D99"/>
    <w:rsid w:val="00BD0038"/>
    <w:rsid w:val="00BD06F2"/>
    <w:rsid w:val="00BD0E60"/>
    <w:rsid w:val="00BD14BE"/>
    <w:rsid w:val="00BD203A"/>
    <w:rsid w:val="00BD2108"/>
    <w:rsid w:val="00BD2DB9"/>
    <w:rsid w:val="00BD3680"/>
    <w:rsid w:val="00BD3C83"/>
    <w:rsid w:val="00BD432C"/>
    <w:rsid w:val="00BD44D0"/>
    <w:rsid w:val="00BD45F9"/>
    <w:rsid w:val="00BD58D6"/>
    <w:rsid w:val="00BD6652"/>
    <w:rsid w:val="00BD68A3"/>
    <w:rsid w:val="00BD6938"/>
    <w:rsid w:val="00BD6CF3"/>
    <w:rsid w:val="00BE0141"/>
    <w:rsid w:val="00BE066F"/>
    <w:rsid w:val="00BE0ECA"/>
    <w:rsid w:val="00BE0FD9"/>
    <w:rsid w:val="00BE11FD"/>
    <w:rsid w:val="00BE1593"/>
    <w:rsid w:val="00BE167E"/>
    <w:rsid w:val="00BE1F0F"/>
    <w:rsid w:val="00BE2180"/>
    <w:rsid w:val="00BE21F2"/>
    <w:rsid w:val="00BE2E1F"/>
    <w:rsid w:val="00BE37AD"/>
    <w:rsid w:val="00BE3CDD"/>
    <w:rsid w:val="00BE4275"/>
    <w:rsid w:val="00BE4794"/>
    <w:rsid w:val="00BE4878"/>
    <w:rsid w:val="00BE5079"/>
    <w:rsid w:val="00BE5495"/>
    <w:rsid w:val="00BE6594"/>
    <w:rsid w:val="00BE6BA4"/>
    <w:rsid w:val="00BE748D"/>
    <w:rsid w:val="00BE77D9"/>
    <w:rsid w:val="00BE7D17"/>
    <w:rsid w:val="00BF016A"/>
    <w:rsid w:val="00BF0296"/>
    <w:rsid w:val="00BF04B5"/>
    <w:rsid w:val="00BF06AE"/>
    <w:rsid w:val="00BF08EE"/>
    <w:rsid w:val="00BF0B0E"/>
    <w:rsid w:val="00BF0B39"/>
    <w:rsid w:val="00BF0F95"/>
    <w:rsid w:val="00BF1614"/>
    <w:rsid w:val="00BF1ABB"/>
    <w:rsid w:val="00BF2433"/>
    <w:rsid w:val="00BF2966"/>
    <w:rsid w:val="00BF2B50"/>
    <w:rsid w:val="00BF2CE7"/>
    <w:rsid w:val="00BF313F"/>
    <w:rsid w:val="00BF3F44"/>
    <w:rsid w:val="00BF429D"/>
    <w:rsid w:val="00BF463C"/>
    <w:rsid w:val="00BF485A"/>
    <w:rsid w:val="00BF5330"/>
    <w:rsid w:val="00BF553E"/>
    <w:rsid w:val="00BF5C27"/>
    <w:rsid w:val="00BF61C9"/>
    <w:rsid w:val="00BF61D1"/>
    <w:rsid w:val="00BF6342"/>
    <w:rsid w:val="00BF66BB"/>
    <w:rsid w:val="00BF6C94"/>
    <w:rsid w:val="00BF7AB3"/>
    <w:rsid w:val="00C00424"/>
    <w:rsid w:val="00C0168C"/>
    <w:rsid w:val="00C01809"/>
    <w:rsid w:val="00C01973"/>
    <w:rsid w:val="00C01A46"/>
    <w:rsid w:val="00C01B75"/>
    <w:rsid w:val="00C01BAF"/>
    <w:rsid w:val="00C01F0A"/>
    <w:rsid w:val="00C028D3"/>
    <w:rsid w:val="00C04165"/>
    <w:rsid w:val="00C04566"/>
    <w:rsid w:val="00C04EFF"/>
    <w:rsid w:val="00C04F1C"/>
    <w:rsid w:val="00C05092"/>
    <w:rsid w:val="00C05733"/>
    <w:rsid w:val="00C05EEA"/>
    <w:rsid w:val="00C07622"/>
    <w:rsid w:val="00C07F05"/>
    <w:rsid w:val="00C105E2"/>
    <w:rsid w:val="00C1070E"/>
    <w:rsid w:val="00C10A75"/>
    <w:rsid w:val="00C111B4"/>
    <w:rsid w:val="00C114AC"/>
    <w:rsid w:val="00C1179F"/>
    <w:rsid w:val="00C11ECD"/>
    <w:rsid w:val="00C12307"/>
    <w:rsid w:val="00C129C7"/>
    <w:rsid w:val="00C12A86"/>
    <w:rsid w:val="00C12C14"/>
    <w:rsid w:val="00C1310E"/>
    <w:rsid w:val="00C1355D"/>
    <w:rsid w:val="00C135E9"/>
    <w:rsid w:val="00C13820"/>
    <w:rsid w:val="00C1455E"/>
    <w:rsid w:val="00C15261"/>
    <w:rsid w:val="00C15740"/>
    <w:rsid w:val="00C159A3"/>
    <w:rsid w:val="00C15E04"/>
    <w:rsid w:val="00C15F04"/>
    <w:rsid w:val="00C16981"/>
    <w:rsid w:val="00C16B2A"/>
    <w:rsid w:val="00C173AF"/>
    <w:rsid w:val="00C1784D"/>
    <w:rsid w:val="00C178B6"/>
    <w:rsid w:val="00C179B3"/>
    <w:rsid w:val="00C17D8A"/>
    <w:rsid w:val="00C17E3F"/>
    <w:rsid w:val="00C2002F"/>
    <w:rsid w:val="00C200AA"/>
    <w:rsid w:val="00C2039D"/>
    <w:rsid w:val="00C20711"/>
    <w:rsid w:val="00C2124D"/>
    <w:rsid w:val="00C21505"/>
    <w:rsid w:val="00C223CD"/>
    <w:rsid w:val="00C23389"/>
    <w:rsid w:val="00C237ED"/>
    <w:rsid w:val="00C23E61"/>
    <w:rsid w:val="00C24224"/>
    <w:rsid w:val="00C24632"/>
    <w:rsid w:val="00C24734"/>
    <w:rsid w:val="00C24F81"/>
    <w:rsid w:val="00C25418"/>
    <w:rsid w:val="00C25508"/>
    <w:rsid w:val="00C2552C"/>
    <w:rsid w:val="00C25796"/>
    <w:rsid w:val="00C2582E"/>
    <w:rsid w:val="00C25C0D"/>
    <w:rsid w:val="00C25D9C"/>
    <w:rsid w:val="00C2605F"/>
    <w:rsid w:val="00C261DB"/>
    <w:rsid w:val="00C268B4"/>
    <w:rsid w:val="00C26A95"/>
    <w:rsid w:val="00C26E79"/>
    <w:rsid w:val="00C27521"/>
    <w:rsid w:val="00C27655"/>
    <w:rsid w:val="00C2778B"/>
    <w:rsid w:val="00C3016E"/>
    <w:rsid w:val="00C311AC"/>
    <w:rsid w:val="00C31649"/>
    <w:rsid w:val="00C31C5A"/>
    <w:rsid w:val="00C31CEF"/>
    <w:rsid w:val="00C31F13"/>
    <w:rsid w:val="00C33274"/>
    <w:rsid w:val="00C33803"/>
    <w:rsid w:val="00C3434C"/>
    <w:rsid w:val="00C349C2"/>
    <w:rsid w:val="00C37B8B"/>
    <w:rsid w:val="00C401B1"/>
    <w:rsid w:val="00C40385"/>
    <w:rsid w:val="00C403DA"/>
    <w:rsid w:val="00C41768"/>
    <w:rsid w:val="00C41BDD"/>
    <w:rsid w:val="00C41D04"/>
    <w:rsid w:val="00C421CC"/>
    <w:rsid w:val="00C42552"/>
    <w:rsid w:val="00C4321D"/>
    <w:rsid w:val="00C4407C"/>
    <w:rsid w:val="00C4438F"/>
    <w:rsid w:val="00C44F89"/>
    <w:rsid w:val="00C461D6"/>
    <w:rsid w:val="00C463CA"/>
    <w:rsid w:val="00C475AA"/>
    <w:rsid w:val="00C47774"/>
    <w:rsid w:val="00C51B9C"/>
    <w:rsid w:val="00C51C6D"/>
    <w:rsid w:val="00C51E48"/>
    <w:rsid w:val="00C52C2E"/>
    <w:rsid w:val="00C53C98"/>
    <w:rsid w:val="00C53EA0"/>
    <w:rsid w:val="00C53F33"/>
    <w:rsid w:val="00C545AE"/>
    <w:rsid w:val="00C54F2D"/>
    <w:rsid w:val="00C5533E"/>
    <w:rsid w:val="00C561A3"/>
    <w:rsid w:val="00C56856"/>
    <w:rsid w:val="00C56FCF"/>
    <w:rsid w:val="00C57B6C"/>
    <w:rsid w:val="00C57C5C"/>
    <w:rsid w:val="00C609FB"/>
    <w:rsid w:val="00C60B10"/>
    <w:rsid w:val="00C61D5D"/>
    <w:rsid w:val="00C62399"/>
    <w:rsid w:val="00C623DC"/>
    <w:rsid w:val="00C62411"/>
    <w:rsid w:val="00C6244B"/>
    <w:rsid w:val="00C624EA"/>
    <w:rsid w:val="00C628A6"/>
    <w:rsid w:val="00C633B9"/>
    <w:rsid w:val="00C63EDC"/>
    <w:rsid w:val="00C64277"/>
    <w:rsid w:val="00C64344"/>
    <w:rsid w:val="00C64912"/>
    <w:rsid w:val="00C64A2F"/>
    <w:rsid w:val="00C64E6C"/>
    <w:rsid w:val="00C65108"/>
    <w:rsid w:val="00C65203"/>
    <w:rsid w:val="00C65576"/>
    <w:rsid w:val="00C655DD"/>
    <w:rsid w:val="00C66165"/>
    <w:rsid w:val="00C661AB"/>
    <w:rsid w:val="00C662E1"/>
    <w:rsid w:val="00C66EBB"/>
    <w:rsid w:val="00C671B8"/>
    <w:rsid w:val="00C67457"/>
    <w:rsid w:val="00C67636"/>
    <w:rsid w:val="00C67BB3"/>
    <w:rsid w:val="00C67F1D"/>
    <w:rsid w:val="00C703BF"/>
    <w:rsid w:val="00C7060A"/>
    <w:rsid w:val="00C7067F"/>
    <w:rsid w:val="00C7151A"/>
    <w:rsid w:val="00C71715"/>
    <w:rsid w:val="00C717E3"/>
    <w:rsid w:val="00C71F60"/>
    <w:rsid w:val="00C72241"/>
    <w:rsid w:val="00C725A1"/>
    <w:rsid w:val="00C72C37"/>
    <w:rsid w:val="00C73087"/>
    <w:rsid w:val="00C73F36"/>
    <w:rsid w:val="00C73F43"/>
    <w:rsid w:val="00C750C8"/>
    <w:rsid w:val="00C75441"/>
    <w:rsid w:val="00C7560F"/>
    <w:rsid w:val="00C75845"/>
    <w:rsid w:val="00C7671C"/>
    <w:rsid w:val="00C80132"/>
    <w:rsid w:val="00C80A0E"/>
    <w:rsid w:val="00C81036"/>
    <w:rsid w:val="00C8171C"/>
    <w:rsid w:val="00C8213F"/>
    <w:rsid w:val="00C82C84"/>
    <w:rsid w:val="00C83069"/>
    <w:rsid w:val="00C83ECA"/>
    <w:rsid w:val="00C85154"/>
    <w:rsid w:val="00C856F7"/>
    <w:rsid w:val="00C85B9F"/>
    <w:rsid w:val="00C863B3"/>
    <w:rsid w:val="00C8797A"/>
    <w:rsid w:val="00C9003E"/>
    <w:rsid w:val="00C900B8"/>
    <w:rsid w:val="00C9039C"/>
    <w:rsid w:val="00C906A4"/>
    <w:rsid w:val="00C90C71"/>
    <w:rsid w:val="00C91BA1"/>
    <w:rsid w:val="00C91FD1"/>
    <w:rsid w:val="00C92081"/>
    <w:rsid w:val="00C924B7"/>
    <w:rsid w:val="00C92F69"/>
    <w:rsid w:val="00C931CF"/>
    <w:rsid w:val="00C9350C"/>
    <w:rsid w:val="00C938CF"/>
    <w:rsid w:val="00C94053"/>
    <w:rsid w:val="00C9420B"/>
    <w:rsid w:val="00C947AE"/>
    <w:rsid w:val="00C94E38"/>
    <w:rsid w:val="00C94F8B"/>
    <w:rsid w:val="00C957E3"/>
    <w:rsid w:val="00C9598A"/>
    <w:rsid w:val="00C9624D"/>
    <w:rsid w:val="00C969DA"/>
    <w:rsid w:val="00C97D7A"/>
    <w:rsid w:val="00CA058D"/>
    <w:rsid w:val="00CA077B"/>
    <w:rsid w:val="00CA0C2F"/>
    <w:rsid w:val="00CA2C77"/>
    <w:rsid w:val="00CA34EE"/>
    <w:rsid w:val="00CA3A4D"/>
    <w:rsid w:val="00CA42E5"/>
    <w:rsid w:val="00CA444F"/>
    <w:rsid w:val="00CA44D3"/>
    <w:rsid w:val="00CA4A99"/>
    <w:rsid w:val="00CA4BDB"/>
    <w:rsid w:val="00CA4D0A"/>
    <w:rsid w:val="00CA51B3"/>
    <w:rsid w:val="00CA5245"/>
    <w:rsid w:val="00CA545D"/>
    <w:rsid w:val="00CA6B1F"/>
    <w:rsid w:val="00CA6F2A"/>
    <w:rsid w:val="00CA71F4"/>
    <w:rsid w:val="00CA7B09"/>
    <w:rsid w:val="00CA7EAA"/>
    <w:rsid w:val="00CB12A5"/>
    <w:rsid w:val="00CB1429"/>
    <w:rsid w:val="00CB14B9"/>
    <w:rsid w:val="00CB1CAC"/>
    <w:rsid w:val="00CB2F2A"/>
    <w:rsid w:val="00CB339D"/>
    <w:rsid w:val="00CB3B60"/>
    <w:rsid w:val="00CB3B87"/>
    <w:rsid w:val="00CB3D4C"/>
    <w:rsid w:val="00CB43C5"/>
    <w:rsid w:val="00CB53D7"/>
    <w:rsid w:val="00CB58A0"/>
    <w:rsid w:val="00CB5B1A"/>
    <w:rsid w:val="00CB5E7F"/>
    <w:rsid w:val="00CB6388"/>
    <w:rsid w:val="00CB6B22"/>
    <w:rsid w:val="00CB73C2"/>
    <w:rsid w:val="00CB7E2A"/>
    <w:rsid w:val="00CB7F5F"/>
    <w:rsid w:val="00CC1B39"/>
    <w:rsid w:val="00CC2B9C"/>
    <w:rsid w:val="00CC2E84"/>
    <w:rsid w:val="00CC35EA"/>
    <w:rsid w:val="00CC3848"/>
    <w:rsid w:val="00CC3F1E"/>
    <w:rsid w:val="00CC40BD"/>
    <w:rsid w:val="00CC4B7B"/>
    <w:rsid w:val="00CC4D54"/>
    <w:rsid w:val="00CC5013"/>
    <w:rsid w:val="00CC5346"/>
    <w:rsid w:val="00CC5F5B"/>
    <w:rsid w:val="00CC633E"/>
    <w:rsid w:val="00CC68C7"/>
    <w:rsid w:val="00CC7048"/>
    <w:rsid w:val="00CC74A4"/>
    <w:rsid w:val="00CC7D32"/>
    <w:rsid w:val="00CD0468"/>
    <w:rsid w:val="00CD0DD9"/>
    <w:rsid w:val="00CD1A65"/>
    <w:rsid w:val="00CD1E92"/>
    <w:rsid w:val="00CD20D1"/>
    <w:rsid w:val="00CD23A3"/>
    <w:rsid w:val="00CD2520"/>
    <w:rsid w:val="00CD3AF8"/>
    <w:rsid w:val="00CD3F77"/>
    <w:rsid w:val="00CD44C7"/>
    <w:rsid w:val="00CD63FC"/>
    <w:rsid w:val="00CD6ADC"/>
    <w:rsid w:val="00CD6E04"/>
    <w:rsid w:val="00CD7193"/>
    <w:rsid w:val="00CD736B"/>
    <w:rsid w:val="00CE0E51"/>
    <w:rsid w:val="00CE19F0"/>
    <w:rsid w:val="00CE1D7D"/>
    <w:rsid w:val="00CE21F7"/>
    <w:rsid w:val="00CE2D4D"/>
    <w:rsid w:val="00CE3111"/>
    <w:rsid w:val="00CE38C8"/>
    <w:rsid w:val="00CE3CFE"/>
    <w:rsid w:val="00CE3D3F"/>
    <w:rsid w:val="00CE5215"/>
    <w:rsid w:val="00CE553D"/>
    <w:rsid w:val="00CE5877"/>
    <w:rsid w:val="00CE58FA"/>
    <w:rsid w:val="00CE5918"/>
    <w:rsid w:val="00CE596C"/>
    <w:rsid w:val="00CE6274"/>
    <w:rsid w:val="00CE65D7"/>
    <w:rsid w:val="00CE6DC3"/>
    <w:rsid w:val="00CE7478"/>
    <w:rsid w:val="00CE77B6"/>
    <w:rsid w:val="00CE7C8C"/>
    <w:rsid w:val="00CF0139"/>
    <w:rsid w:val="00CF079C"/>
    <w:rsid w:val="00CF10D4"/>
    <w:rsid w:val="00CF11F7"/>
    <w:rsid w:val="00CF135A"/>
    <w:rsid w:val="00CF2268"/>
    <w:rsid w:val="00CF2B8D"/>
    <w:rsid w:val="00CF2BB1"/>
    <w:rsid w:val="00CF32BB"/>
    <w:rsid w:val="00CF3F35"/>
    <w:rsid w:val="00CF41C2"/>
    <w:rsid w:val="00CF456B"/>
    <w:rsid w:val="00CF474C"/>
    <w:rsid w:val="00CF4774"/>
    <w:rsid w:val="00CF53E0"/>
    <w:rsid w:val="00CF5459"/>
    <w:rsid w:val="00CF5544"/>
    <w:rsid w:val="00CF5A22"/>
    <w:rsid w:val="00CF5EFC"/>
    <w:rsid w:val="00CF5F8F"/>
    <w:rsid w:val="00CF71C0"/>
    <w:rsid w:val="00CF7554"/>
    <w:rsid w:val="00CF787C"/>
    <w:rsid w:val="00D01084"/>
    <w:rsid w:val="00D013FE"/>
    <w:rsid w:val="00D01BD2"/>
    <w:rsid w:val="00D01CB2"/>
    <w:rsid w:val="00D0262A"/>
    <w:rsid w:val="00D0262E"/>
    <w:rsid w:val="00D02C9F"/>
    <w:rsid w:val="00D035AA"/>
    <w:rsid w:val="00D041EE"/>
    <w:rsid w:val="00D043A6"/>
    <w:rsid w:val="00D05D7A"/>
    <w:rsid w:val="00D05E3D"/>
    <w:rsid w:val="00D06139"/>
    <w:rsid w:val="00D063BD"/>
    <w:rsid w:val="00D1030C"/>
    <w:rsid w:val="00D10614"/>
    <w:rsid w:val="00D10D05"/>
    <w:rsid w:val="00D10FDE"/>
    <w:rsid w:val="00D110BD"/>
    <w:rsid w:val="00D110D9"/>
    <w:rsid w:val="00D11AAB"/>
    <w:rsid w:val="00D12243"/>
    <w:rsid w:val="00D12430"/>
    <w:rsid w:val="00D12FB9"/>
    <w:rsid w:val="00D13146"/>
    <w:rsid w:val="00D13675"/>
    <w:rsid w:val="00D141E1"/>
    <w:rsid w:val="00D1463D"/>
    <w:rsid w:val="00D1501B"/>
    <w:rsid w:val="00D15314"/>
    <w:rsid w:val="00D15A07"/>
    <w:rsid w:val="00D16138"/>
    <w:rsid w:val="00D16959"/>
    <w:rsid w:val="00D16D2F"/>
    <w:rsid w:val="00D173F1"/>
    <w:rsid w:val="00D176AD"/>
    <w:rsid w:val="00D17D6C"/>
    <w:rsid w:val="00D20F3A"/>
    <w:rsid w:val="00D2155B"/>
    <w:rsid w:val="00D21879"/>
    <w:rsid w:val="00D21C96"/>
    <w:rsid w:val="00D22004"/>
    <w:rsid w:val="00D22134"/>
    <w:rsid w:val="00D22214"/>
    <w:rsid w:val="00D2234B"/>
    <w:rsid w:val="00D22FEC"/>
    <w:rsid w:val="00D23D11"/>
    <w:rsid w:val="00D23D9A"/>
    <w:rsid w:val="00D24223"/>
    <w:rsid w:val="00D242CA"/>
    <w:rsid w:val="00D244B6"/>
    <w:rsid w:val="00D24A97"/>
    <w:rsid w:val="00D24C22"/>
    <w:rsid w:val="00D24F56"/>
    <w:rsid w:val="00D250A0"/>
    <w:rsid w:val="00D25E18"/>
    <w:rsid w:val="00D2754D"/>
    <w:rsid w:val="00D27B27"/>
    <w:rsid w:val="00D314CB"/>
    <w:rsid w:val="00D316F4"/>
    <w:rsid w:val="00D31904"/>
    <w:rsid w:val="00D31A76"/>
    <w:rsid w:val="00D31F58"/>
    <w:rsid w:val="00D327A8"/>
    <w:rsid w:val="00D32928"/>
    <w:rsid w:val="00D32DA5"/>
    <w:rsid w:val="00D330D4"/>
    <w:rsid w:val="00D3347A"/>
    <w:rsid w:val="00D33BE9"/>
    <w:rsid w:val="00D33F93"/>
    <w:rsid w:val="00D357FF"/>
    <w:rsid w:val="00D35947"/>
    <w:rsid w:val="00D36132"/>
    <w:rsid w:val="00D364E5"/>
    <w:rsid w:val="00D36D57"/>
    <w:rsid w:val="00D36F47"/>
    <w:rsid w:val="00D374D3"/>
    <w:rsid w:val="00D376BC"/>
    <w:rsid w:val="00D3773F"/>
    <w:rsid w:val="00D37DC4"/>
    <w:rsid w:val="00D401B5"/>
    <w:rsid w:val="00D401C8"/>
    <w:rsid w:val="00D402D4"/>
    <w:rsid w:val="00D41F1E"/>
    <w:rsid w:val="00D424C7"/>
    <w:rsid w:val="00D43B2A"/>
    <w:rsid w:val="00D43D23"/>
    <w:rsid w:val="00D43D83"/>
    <w:rsid w:val="00D458A1"/>
    <w:rsid w:val="00D45B36"/>
    <w:rsid w:val="00D45FE3"/>
    <w:rsid w:val="00D463F6"/>
    <w:rsid w:val="00D47575"/>
    <w:rsid w:val="00D4796D"/>
    <w:rsid w:val="00D504D0"/>
    <w:rsid w:val="00D50EFA"/>
    <w:rsid w:val="00D513E0"/>
    <w:rsid w:val="00D51523"/>
    <w:rsid w:val="00D51641"/>
    <w:rsid w:val="00D51F29"/>
    <w:rsid w:val="00D5243B"/>
    <w:rsid w:val="00D5319C"/>
    <w:rsid w:val="00D533EC"/>
    <w:rsid w:val="00D542B5"/>
    <w:rsid w:val="00D5475F"/>
    <w:rsid w:val="00D54E21"/>
    <w:rsid w:val="00D5558A"/>
    <w:rsid w:val="00D5644E"/>
    <w:rsid w:val="00D5673D"/>
    <w:rsid w:val="00D56A95"/>
    <w:rsid w:val="00D57536"/>
    <w:rsid w:val="00D57E6E"/>
    <w:rsid w:val="00D57F09"/>
    <w:rsid w:val="00D60271"/>
    <w:rsid w:val="00D60895"/>
    <w:rsid w:val="00D616EB"/>
    <w:rsid w:val="00D61912"/>
    <w:rsid w:val="00D61FD7"/>
    <w:rsid w:val="00D638B9"/>
    <w:rsid w:val="00D64358"/>
    <w:rsid w:val="00D6451C"/>
    <w:rsid w:val="00D6477D"/>
    <w:rsid w:val="00D64C82"/>
    <w:rsid w:val="00D657C3"/>
    <w:rsid w:val="00D65985"/>
    <w:rsid w:val="00D659D9"/>
    <w:rsid w:val="00D65A0B"/>
    <w:rsid w:val="00D66407"/>
    <w:rsid w:val="00D665E8"/>
    <w:rsid w:val="00D66FEE"/>
    <w:rsid w:val="00D70093"/>
    <w:rsid w:val="00D7014E"/>
    <w:rsid w:val="00D70669"/>
    <w:rsid w:val="00D70E25"/>
    <w:rsid w:val="00D70F16"/>
    <w:rsid w:val="00D716ED"/>
    <w:rsid w:val="00D717B4"/>
    <w:rsid w:val="00D71B1E"/>
    <w:rsid w:val="00D72D64"/>
    <w:rsid w:val="00D72F57"/>
    <w:rsid w:val="00D735D0"/>
    <w:rsid w:val="00D73702"/>
    <w:rsid w:val="00D73934"/>
    <w:rsid w:val="00D74B44"/>
    <w:rsid w:val="00D75018"/>
    <w:rsid w:val="00D75587"/>
    <w:rsid w:val="00D75732"/>
    <w:rsid w:val="00D76552"/>
    <w:rsid w:val="00D7665A"/>
    <w:rsid w:val="00D769F1"/>
    <w:rsid w:val="00D76A44"/>
    <w:rsid w:val="00D804C7"/>
    <w:rsid w:val="00D80C1D"/>
    <w:rsid w:val="00D80C84"/>
    <w:rsid w:val="00D815EF"/>
    <w:rsid w:val="00D8171D"/>
    <w:rsid w:val="00D81D8F"/>
    <w:rsid w:val="00D81F26"/>
    <w:rsid w:val="00D82004"/>
    <w:rsid w:val="00D8245A"/>
    <w:rsid w:val="00D8308F"/>
    <w:rsid w:val="00D83398"/>
    <w:rsid w:val="00D8370D"/>
    <w:rsid w:val="00D83DAE"/>
    <w:rsid w:val="00D844F8"/>
    <w:rsid w:val="00D85A73"/>
    <w:rsid w:val="00D85B2A"/>
    <w:rsid w:val="00D85C30"/>
    <w:rsid w:val="00D86231"/>
    <w:rsid w:val="00D86AF5"/>
    <w:rsid w:val="00D8730A"/>
    <w:rsid w:val="00D87EFB"/>
    <w:rsid w:val="00D87FCE"/>
    <w:rsid w:val="00D900DE"/>
    <w:rsid w:val="00D9027B"/>
    <w:rsid w:val="00D906AE"/>
    <w:rsid w:val="00D90BE7"/>
    <w:rsid w:val="00D90EB2"/>
    <w:rsid w:val="00D91923"/>
    <w:rsid w:val="00D91AB5"/>
    <w:rsid w:val="00D920B1"/>
    <w:rsid w:val="00D92FEF"/>
    <w:rsid w:val="00D93298"/>
    <w:rsid w:val="00D936C7"/>
    <w:rsid w:val="00D93753"/>
    <w:rsid w:val="00D937CF"/>
    <w:rsid w:val="00D9422E"/>
    <w:rsid w:val="00D950B0"/>
    <w:rsid w:val="00D954F8"/>
    <w:rsid w:val="00D9656B"/>
    <w:rsid w:val="00D96ACE"/>
    <w:rsid w:val="00D96FF9"/>
    <w:rsid w:val="00D97849"/>
    <w:rsid w:val="00D97CAE"/>
    <w:rsid w:val="00DA02A9"/>
    <w:rsid w:val="00DA02EC"/>
    <w:rsid w:val="00DA0AC2"/>
    <w:rsid w:val="00DA266B"/>
    <w:rsid w:val="00DA2865"/>
    <w:rsid w:val="00DA2A92"/>
    <w:rsid w:val="00DA2D2F"/>
    <w:rsid w:val="00DA3167"/>
    <w:rsid w:val="00DA334E"/>
    <w:rsid w:val="00DA3A04"/>
    <w:rsid w:val="00DA3C04"/>
    <w:rsid w:val="00DA3E6A"/>
    <w:rsid w:val="00DA4DC3"/>
    <w:rsid w:val="00DA50EA"/>
    <w:rsid w:val="00DA52B5"/>
    <w:rsid w:val="00DA52CB"/>
    <w:rsid w:val="00DA6200"/>
    <w:rsid w:val="00DA62F3"/>
    <w:rsid w:val="00DA6DC5"/>
    <w:rsid w:val="00DA77A5"/>
    <w:rsid w:val="00DA788C"/>
    <w:rsid w:val="00DA7FE8"/>
    <w:rsid w:val="00DB1CC5"/>
    <w:rsid w:val="00DB225F"/>
    <w:rsid w:val="00DB285C"/>
    <w:rsid w:val="00DB2997"/>
    <w:rsid w:val="00DB2B50"/>
    <w:rsid w:val="00DB2EF5"/>
    <w:rsid w:val="00DB3121"/>
    <w:rsid w:val="00DB330D"/>
    <w:rsid w:val="00DB3680"/>
    <w:rsid w:val="00DB3A20"/>
    <w:rsid w:val="00DB3DBF"/>
    <w:rsid w:val="00DB465D"/>
    <w:rsid w:val="00DB484F"/>
    <w:rsid w:val="00DB585E"/>
    <w:rsid w:val="00DB5BA4"/>
    <w:rsid w:val="00DB6068"/>
    <w:rsid w:val="00DB64A0"/>
    <w:rsid w:val="00DB66B7"/>
    <w:rsid w:val="00DB6B67"/>
    <w:rsid w:val="00DB6B6F"/>
    <w:rsid w:val="00DB7A88"/>
    <w:rsid w:val="00DB7E5D"/>
    <w:rsid w:val="00DB7E66"/>
    <w:rsid w:val="00DB7F54"/>
    <w:rsid w:val="00DC04F6"/>
    <w:rsid w:val="00DC0690"/>
    <w:rsid w:val="00DC08F0"/>
    <w:rsid w:val="00DC18EE"/>
    <w:rsid w:val="00DC1D65"/>
    <w:rsid w:val="00DC21B7"/>
    <w:rsid w:val="00DC22D5"/>
    <w:rsid w:val="00DC26DD"/>
    <w:rsid w:val="00DC26E2"/>
    <w:rsid w:val="00DC2B11"/>
    <w:rsid w:val="00DC2CD5"/>
    <w:rsid w:val="00DC2D46"/>
    <w:rsid w:val="00DC3C57"/>
    <w:rsid w:val="00DC3CAB"/>
    <w:rsid w:val="00DC402B"/>
    <w:rsid w:val="00DC4C9B"/>
    <w:rsid w:val="00DC511A"/>
    <w:rsid w:val="00DC5501"/>
    <w:rsid w:val="00DC6035"/>
    <w:rsid w:val="00DC62C1"/>
    <w:rsid w:val="00DC62D7"/>
    <w:rsid w:val="00DC6A7E"/>
    <w:rsid w:val="00DC7041"/>
    <w:rsid w:val="00DC7154"/>
    <w:rsid w:val="00DC73E7"/>
    <w:rsid w:val="00DC7C04"/>
    <w:rsid w:val="00DC7E8A"/>
    <w:rsid w:val="00DD0220"/>
    <w:rsid w:val="00DD03E5"/>
    <w:rsid w:val="00DD06DE"/>
    <w:rsid w:val="00DD07F0"/>
    <w:rsid w:val="00DD096D"/>
    <w:rsid w:val="00DD0C04"/>
    <w:rsid w:val="00DD0F78"/>
    <w:rsid w:val="00DD14EB"/>
    <w:rsid w:val="00DD183A"/>
    <w:rsid w:val="00DD273C"/>
    <w:rsid w:val="00DD2C53"/>
    <w:rsid w:val="00DD2E6E"/>
    <w:rsid w:val="00DD3F28"/>
    <w:rsid w:val="00DD4537"/>
    <w:rsid w:val="00DD4CDD"/>
    <w:rsid w:val="00DD4E15"/>
    <w:rsid w:val="00DD511B"/>
    <w:rsid w:val="00DD6E56"/>
    <w:rsid w:val="00DD7837"/>
    <w:rsid w:val="00DE0086"/>
    <w:rsid w:val="00DE0315"/>
    <w:rsid w:val="00DE09D7"/>
    <w:rsid w:val="00DE0DA7"/>
    <w:rsid w:val="00DE108C"/>
    <w:rsid w:val="00DE2304"/>
    <w:rsid w:val="00DE24DC"/>
    <w:rsid w:val="00DE2E1A"/>
    <w:rsid w:val="00DE3138"/>
    <w:rsid w:val="00DE3316"/>
    <w:rsid w:val="00DE3554"/>
    <w:rsid w:val="00DE37F8"/>
    <w:rsid w:val="00DE3C53"/>
    <w:rsid w:val="00DE3EF0"/>
    <w:rsid w:val="00DE4679"/>
    <w:rsid w:val="00DE4FCB"/>
    <w:rsid w:val="00DE536A"/>
    <w:rsid w:val="00DE5BA0"/>
    <w:rsid w:val="00DE5D07"/>
    <w:rsid w:val="00DE727C"/>
    <w:rsid w:val="00DE72A7"/>
    <w:rsid w:val="00DE7349"/>
    <w:rsid w:val="00DE7832"/>
    <w:rsid w:val="00DF0E7C"/>
    <w:rsid w:val="00DF18FC"/>
    <w:rsid w:val="00DF201F"/>
    <w:rsid w:val="00DF2D77"/>
    <w:rsid w:val="00DF3A6E"/>
    <w:rsid w:val="00DF4918"/>
    <w:rsid w:val="00DF58FD"/>
    <w:rsid w:val="00DF5D2B"/>
    <w:rsid w:val="00DF6F49"/>
    <w:rsid w:val="00DF7117"/>
    <w:rsid w:val="00E00162"/>
    <w:rsid w:val="00E00923"/>
    <w:rsid w:val="00E00E8E"/>
    <w:rsid w:val="00E01068"/>
    <w:rsid w:val="00E0187C"/>
    <w:rsid w:val="00E01E73"/>
    <w:rsid w:val="00E02231"/>
    <w:rsid w:val="00E022FF"/>
    <w:rsid w:val="00E03C35"/>
    <w:rsid w:val="00E03F50"/>
    <w:rsid w:val="00E05630"/>
    <w:rsid w:val="00E059D9"/>
    <w:rsid w:val="00E0656D"/>
    <w:rsid w:val="00E06CFA"/>
    <w:rsid w:val="00E06DBB"/>
    <w:rsid w:val="00E06F74"/>
    <w:rsid w:val="00E07933"/>
    <w:rsid w:val="00E07957"/>
    <w:rsid w:val="00E07A73"/>
    <w:rsid w:val="00E1007E"/>
    <w:rsid w:val="00E10149"/>
    <w:rsid w:val="00E10F48"/>
    <w:rsid w:val="00E11340"/>
    <w:rsid w:val="00E11384"/>
    <w:rsid w:val="00E11617"/>
    <w:rsid w:val="00E12275"/>
    <w:rsid w:val="00E122A1"/>
    <w:rsid w:val="00E122F1"/>
    <w:rsid w:val="00E1241B"/>
    <w:rsid w:val="00E12736"/>
    <w:rsid w:val="00E12B7D"/>
    <w:rsid w:val="00E12F7F"/>
    <w:rsid w:val="00E12F95"/>
    <w:rsid w:val="00E13408"/>
    <w:rsid w:val="00E13448"/>
    <w:rsid w:val="00E137A9"/>
    <w:rsid w:val="00E154F7"/>
    <w:rsid w:val="00E15ED0"/>
    <w:rsid w:val="00E16372"/>
    <w:rsid w:val="00E167FD"/>
    <w:rsid w:val="00E17F3C"/>
    <w:rsid w:val="00E20E4D"/>
    <w:rsid w:val="00E20ED6"/>
    <w:rsid w:val="00E210AB"/>
    <w:rsid w:val="00E211F0"/>
    <w:rsid w:val="00E21273"/>
    <w:rsid w:val="00E21358"/>
    <w:rsid w:val="00E222E0"/>
    <w:rsid w:val="00E2249B"/>
    <w:rsid w:val="00E22683"/>
    <w:rsid w:val="00E22A0D"/>
    <w:rsid w:val="00E22D38"/>
    <w:rsid w:val="00E237D0"/>
    <w:rsid w:val="00E239F4"/>
    <w:rsid w:val="00E23C87"/>
    <w:rsid w:val="00E244F6"/>
    <w:rsid w:val="00E2452A"/>
    <w:rsid w:val="00E2478C"/>
    <w:rsid w:val="00E25195"/>
    <w:rsid w:val="00E2540D"/>
    <w:rsid w:val="00E2592A"/>
    <w:rsid w:val="00E25A60"/>
    <w:rsid w:val="00E25C74"/>
    <w:rsid w:val="00E27503"/>
    <w:rsid w:val="00E2771E"/>
    <w:rsid w:val="00E307DC"/>
    <w:rsid w:val="00E311EF"/>
    <w:rsid w:val="00E32180"/>
    <w:rsid w:val="00E32472"/>
    <w:rsid w:val="00E32687"/>
    <w:rsid w:val="00E32D0A"/>
    <w:rsid w:val="00E33068"/>
    <w:rsid w:val="00E333A1"/>
    <w:rsid w:val="00E3344E"/>
    <w:rsid w:val="00E33B3C"/>
    <w:rsid w:val="00E33D44"/>
    <w:rsid w:val="00E345B7"/>
    <w:rsid w:val="00E34948"/>
    <w:rsid w:val="00E34A9A"/>
    <w:rsid w:val="00E36C25"/>
    <w:rsid w:val="00E37569"/>
    <w:rsid w:val="00E400ED"/>
    <w:rsid w:val="00E401B2"/>
    <w:rsid w:val="00E403BE"/>
    <w:rsid w:val="00E40532"/>
    <w:rsid w:val="00E41B72"/>
    <w:rsid w:val="00E41BA8"/>
    <w:rsid w:val="00E41E30"/>
    <w:rsid w:val="00E427A2"/>
    <w:rsid w:val="00E42F1F"/>
    <w:rsid w:val="00E42F73"/>
    <w:rsid w:val="00E43D70"/>
    <w:rsid w:val="00E43EB8"/>
    <w:rsid w:val="00E44392"/>
    <w:rsid w:val="00E452EE"/>
    <w:rsid w:val="00E4566D"/>
    <w:rsid w:val="00E45FFA"/>
    <w:rsid w:val="00E4618D"/>
    <w:rsid w:val="00E466F3"/>
    <w:rsid w:val="00E46B71"/>
    <w:rsid w:val="00E470CE"/>
    <w:rsid w:val="00E476F8"/>
    <w:rsid w:val="00E47B03"/>
    <w:rsid w:val="00E47B2C"/>
    <w:rsid w:val="00E50424"/>
    <w:rsid w:val="00E50450"/>
    <w:rsid w:val="00E50545"/>
    <w:rsid w:val="00E50FF3"/>
    <w:rsid w:val="00E51070"/>
    <w:rsid w:val="00E5111C"/>
    <w:rsid w:val="00E51560"/>
    <w:rsid w:val="00E52A30"/>
    <w:rsid w:val="00E52E3E"/>
    <w:rsid w:val="00E533B9"/>
    <w:rsid w:val="00E537DB"/>
    <w:rsid w:val="00E53E37"/>
    <w:rsid w:val="00E53FC8"/>
    <w:rsid w:val="00E54347"/>
    <w:rsid w:val="00E549A4"/>
    <w:rsid w:val="00E54DA9"/>
    <w:rsid w:val="00E553DE"/>
    <w:rsid w:val="00E55424"/>
    <w:rsid w:val="00E55872"/>
    <w:rsid w:val="00E55915"/>
    <w:rsid w:val="00E55B1D"/>
    <w:rsid w:val="00E55BB5"/>
    <w:rsid w:val="00E55FE8"/>
    <w:rsid w:val="00E56030"/>
    <w:rsid w:val="00E57E82"/>
    <w:rsid w:val="00E60B62"/>
    <w:rsid w:val="00E61B91"/>
    <w:rsid w:val="00E61FF4"/>
    <w:rsid w:val="00E62374"/>
    <w:rsid w:val="00E6318C"/>
    <w:rsid w:val="00E63A12"/>
    <w:rsid w:val="00E6507A"/>
    <w:rsid w:val="00E65351"/>
    <w:rsid w:val="00E65E79"/>
    <w:rsid w:val="00E65EEE"/>
    <w:rsid w:val="00E66081"/>
    <w:rsid w:val="00E66BA2"/>
    <w:rsid w:val="00E66E3F"/>
    <w:rsid w:val="00E66EC2"/>
    <w:rsid w:val="00E67416"/>
    <w:rsid w:val="00E6742A"/>
    <w:rsid w:val="00E678AF"/>
    <w:rsid w:val="00E70651"/>
    <w:rsid w:val="00E70EBC"/>
    <w:rsid w:val="00E7186B"/>
    <w:rsid w:val="00E718B6"/>
    <w:rsid w:val="00E71BEB"/>
    <w:rsid w:val="00E7227D"/>
    <w:rsid w:val="00E723BA"/>
    <w:rsid w:val="00E72580"/>
    <w:rsid w:val="00E72D9F"/>
    <w:rsid w:val="00E732F0"/>
    <w:rsid w:val="00E73581"/>
    <w:rsid w:val="00E74BBA"/>
    <w:rsid w:val="00E74C66"/>
    <w:rsid w:val="00E74DD0"/>
    <w:rsid w:val="00E77D63"/>
    <w:rsid w:val="00E77F47"/>
    <w:rsid w:val="00E803AF"/>
    <w:rsid w:val="00E80D42"/>
    <w:rsid w:val="00E80D87"/>
    <w:rsid w:val="00E8266A"/>
    <w:rsid w:val="00E8288A"/>
    <w:rsid w:val="00E82D18"/>
    <w:rsid w:val="00E82D51"/>
    <w:rsid w:val="00E83123"/>
    <w:rsid w:val="00E831AA"/>
    <w:rsid w:val="00E832BB"/>
    <w:rsid w:val="00E833F7"/>
    <w:rsid w:val="00E83899"/>
    <w:rsid w:val="00E839B4"/>
    <w:rsid w:val="00E83BDF"/>
    <w:rsid w:val="00E84328"/>
    <w:rsid w:val="00E84499"/>
    <w:rsid w:val="00E844B9"/>
    <w:rsid w:val="00E84674"/>
    <w:rsid w:val="00E84A17"/>
    <w:rsid w:val="00E84CD0"/>
    <w:rsid w:val="00E85457"/>
    <w:rsid w:val="00E8599C"/>
    <w:rsid w:val="00E86420"/>
    <w:rsid w:val="00E86BDC"/>
    <w:rsid w:val="00E87A1D"/>
    <w:rsid w:val="00E9021E"/>
    <w:rsid w:val="00E9094A"/>
    <w:rsid w:val="00E912C1"/>
    <w:rsid w:val="00E915FC"/>
    <w:rsid w:val="00E91D35"/>
    <w:rsid w:val="00E91F93"/>
    <w:rsid w:val="00E9268D"/>
    <w:rsid w:val="00E926A5"/>
    <w:rsid w:val="00E9276E"/>
    <w:rsid w:val="00E92F79"/>
    <w:rsid w:val="00E935EB"/>
    <w:rsid w:val="00E94928"/>
    <w:rsid w:val="00E957DF"/>
    <w:rsid w:val="00E9580F"/>
    <w:rsid w:val="00E95BE2"/>
    <w:rsid w:val="00E9610B"/>
    <w:rsid w:val="00E96275"/>
    <w:rsid w:val="00E9646B"/>
    <w:rsid w:val="00E9698A"/>
    <w:rsid w:val="00E96C23"/>
    <w:rsid w:val="00E9710E"/>
    <w:rsid w:val="00E97325"/>
    <w:rsid w:val="00E9790F"/>
    <w:rsid w:val="00E9796E"/>
    <w:rsid w:val="00E9797E"/>
    <w:rsid w:val="00E97A61"/>
    <w:rsid w:val="00E97E1D"/>
    <w:rsid w:val="00EA0B99"/>
    <w:rsid w:val="00EA17C3"/>
    <w:rsid w:val="00EA25C7"/>
    <w:rsid w:val="00EA2CAA"/>
    <w:rsid w:val="00EA3132"/>
    <w:rsid w:val="00EA3864"/>
    <w:rsid w:val="00EA3DA9"/>
    <w:rsid w:val="00EA4973"/>
    <w:rsid w:val="00EA4AA8"/>
    <w:rsid w:val="00EA5BB5"/>
    <w:rsid w:val="00EA5F60"/>
    <w:rsid w:val="00EA5F9D"/>
    <w:rsid w:val="00EA64C6"/>
    <w:rsid w:val="00EA7A01"/>
    <w:rsid w:val="00EA7E5E"/>
    <w:rsid w:val="00EA7F1C"/>
    <w:rsid w:val="00EB036D"/>
    <w:rsid w:val="00EB0C7E"/>
    <w:rsid w:val="00EB119A"/>
    <w:rsid w:val="00EB15B6"/>
    <w:rsid w:val="00EB2567"/>
    <w:rsid w:val="00EB2B9D"/>
    <w:rsid w:val="00EB33A8"/>
    <w:rsid w:val="00EB375A"/>
    <w:rsid w:val="00EB3D06"/>
    <w:rsid w:val="00EB3E14"/>
    <w:rsid w:val="00EB3E26"/>
    <w:rsid w:val="00EB4916"/>
    <w:rsid w:val="00EB52B4"/>
    <w:rsid w:val="00EB541B"/>
    <w:rsid w:val="00EB5AEF"/>
    <w:rsid w:val="00EB5B9C"/>
    <w:rsid w:val="00EB6842"/>
    <w:rsid w:val="00EB7199"/>
    <w:rsid w:val="00EB7603"/>
    <w:rsid w:val="00EB7986"/>
    <w:rsid w:val="00EC00C9"/>
    <w:rsid w:val="00EC0DD9"/>
    <w:rsid w:val="00EC166B"/>
    <w:rsid w:val="00EC1791"/>
    <w:rsid w:val="00EC194B"/>
    <w:rsid w:val="00EC196C"/>
    <w:rsid w:val="00EC1E94"/>
    <w:rsid w:val="00EC2323"/>
    <w:rsid w:val="00EC2649"/>
    <w:rsid w:val="00EC29C7"/>
    <w:rsid w:val="00EC2BF3"/>
    <w:rsid w:val="00EC31ED"/>
    <w:rsid w:val="00EC437D"/>
    <w:rsid w:val="00EC4CFF"/>
    <w:rsid w:val="00EC524A"/>
    <w:rsid w:val="00EC5349"/>
    <w:rsid w:val="00EC5836"/>
    <w:rsid w:val="00EC688C"/>
    <w:rsid w:val="00EC6A8C"/>
    <w:rsid w:val="00EC6A94"/>
    <w:rsid w:val="00EC71AC"/>
    <w:rsid w:val="00EC7330"/>
    <w:rsid w:val="00EC77DD"/>
    <w:rsid w:val="00ED06C5"/>
    <w:rsid w:val="00ED0A02"/>
    <w:rsid w:val="00ED2842"/>
    <w:rsid w:val="00ED3512"/>
    <w:rsid w:val="00ED3833"/>
    <w:rsid w:val="00ED48AB"/>
    <w:rsid w:val="00ED4E3F"/>
    <w:rsid w:val="00ED560D"/>
    <w:rsid w:val="00ED57EA"/>
    <w:rsid w:val="00ED58C4"/>
    <w:rsid w:val="00ED5BD4"/>
    <w:rsid w:val="00ED64DD"/>
    <w:rsid w:val="00ED68C0"/>
    <w:rsid w:val="00ED703A"/>
    <w:rsid w:val="00ED71FF"/>
    <w:rsid w:val="00EE0182"/>
    <w:rsid w:val="00EE056C"/>
    <w:rsid w:val="00EE07D3"/>
    <w:rsid w:val="00EE11AA"/>
    <w:rsid w:val="00EE1996"/>
    <w:rsid w:val="00EE1C01"/>
    <w:rsid w:val="00EE22AF"/>
    <w:rsid w:val="00EE243B"/>
    <w:rsid w:val="00EE3C33"/>
    <w:rsid w:val="00EE4C0C"/>
    <w:rsid w:val="00EE5216"/>
    <w:rsid w:val="00EE5CCD"/>
    <w:rsid w:val="00EE619C"/>
    <w:rsid w:val="00EE6865"/>
    <w:rsid w:val="00EE7279"/>
    <w:rsid w:val="00EE74F9"/>
    <w:rsid w:val="00EE76C5"/>
    <w:rsid w:val="00EE7B82"/>
    <w:rsid w:val="00EE7C47"/>
    <w:rsid w:val="00EF0171"/>
    <w:rsid w:val="00EF139E"/>
    <w:rsid w:val="00EF1748"/>
    <w:rsid w:val="00EF1B25"/>
    <w:rsid w:val="00EF1C30"/>
    <w:rsid w:val="00EF1DA0"/>
    <w:rsid w:val="00EF21F8"/>
    <w:rsid w:val="00EF413B"/>
    <w:rsid w:val="00EF459F"/>
    <w:rsid w:val="00EF4747"/>
    <w:rsid w:val="00EF4BF8"/>
    <w:rsid w:val="00EF5CED"/>
    <w:rsid w:val="00EF6608"/>
    <w:rsid w:val="00EF727F"/>
    <w:rsid w:val="00EF79CD"/>
    <w:rsid w:val="00EF7D70"/>
    <w:rsid w:val="00F00686"/>
    <w:rsid w:val="00F015E7"/>
    <w:rsid w:val="00F0221D"/>
    <w:rsid w:val="00F02253"/>
    <w:rsid w:val="00F02487"/>
    <w:rsid w:val="00F025BF"/>
    <w:rsid w:val="00F03961"/>
    <w:rsid w:val="00F03A58"/>
    <w:rsid w:val="00F03C2E"/>
    <w:rsid w:val="00F04458"/>
    <w:rsid w:val="00F04A66"/>
    <w:rsid w:val="00F04B4B"/>
    <w:rsid w:val="00F0515A"/>
    <w:rsid w:val="00F0516C"/>
    <w:rsid w:val="00F05353"/>
    <w:rsid w:val="00F0577C"/>
    <w:rsid w:val="00F0585F"/>
    <w:rsid w:val="00F0590B"/>
    <w:rsid w:val="00F067A2"/>
    <w:rsid w:val="00F073F4"/>
    <w:rsid w:val="00F07B9E"/>
    <w:rsid w:val="00F1116F"/>
    <w:rsid w:val="00F11B91"/>
    <w:rsid w:val="00F11C74"/>
    <w:rsid w:val="00F11F43"/>
    <w:rsid w:val="00F12052"/>
    <w:rsid w:val="00F1263A"/>
    <w:rsid w:val="00F1276C"/>
    <w:rsid w:val="00F12BD4"/>
    <w:rsid w:val="00F12E71"/>
    <w:rsid w:val="00F1532D"/>
    <w:rsid w:val="00F157A5"/>
    <w:rsid w:val="00F158F2"/>
    <w:rsid w:val="00F15B77"/>
    <w:rsid w:val="00F15CF2"/>
    <w:rsid w:val="00F16CEB"/>
    <w:rsid w:val="00F17EA5"/>
    <w:rsid w:val="00F205AD"/>
    <w:rsid w:val="00F20F71"/>
    <w:rsid w:val="00F21666"/>
    <w:rsid w:val="00F216F2"/>
    <w:rsid w:val="00F216F8"/>
    <w:rsid w:val="00F221DA"/>
    <w:rsid w:val="00F22C5A"/>
    <w:rsid w:val="00F2335C"/>
    <w:rsid w:val="00F2384B"/>
    <w:rsid w:val="00F23A67"/>
    <w:rsid w:val="00F23AEE"/>
    <w:rsid w:val="00F2426C"/>
    <w:rsid w:val="00F24837"/>
    <w:rsid w:val="00F248F9"/>
    <w:rsid w:val="00F249BE"/>
    <w:rsid w:val="00F2575F"/>
    <w:rsid w:val="00F25B51"/>
    <w:rsid w:val="00F25BFE"/>
    <w:rsid w:val="00F2629A"/>
    <w:rsid w:val="00F268DE"/>
    <w:rsid w:val="00F269E0"/>
    <w:rsid w:val="00F26F71"/>
    <w:rsid w:val="00F2703E"/>
    <w:rsid w:val="00F27565"/>
    <w:rsid w:val="00F3066E"/>
    <w:rsid w:val="00F31099"/>
    <w:rsid w:val="00F310D4"/>
    <w:rsid w:val="00F31D5A"/>
    <w:rsid w:val="00F31E74"/>
    <w:rsid w:val="00F3287F"/>
    <w:rsid w:val="00F3291C"/>
    <w:rsid w:val="00F3345D"/>
    <w:rsid w:val="00F33795"/>
    <w:rsid w:val="00F33975"/>
    <w:rsid w:val="00F33DE9"/>
    <w:rsid w:val="00F33EC4"/>
    <w:rsid w:val="00F34283"/>
    <w:rsid w:val="00F34471"/>
    <w:rsid w:val="00F35E6D"/>
    <w:rsid w:val="00F3619A"/>
    <w:rsid w:val="00F375BC"/>
    <w:rsid w:val="00F375F9"/>
    <w:rsid w:val="00F37FC8"/>
    <w:rsid w:val="00F40297"/>
    <w:rsid w:val="00F40AAA"/>
    <w:rsid w:val="00F40BA7"/>
    <w:rsid w:val="00F40F9D"/>
    <w:rsid w:val="00F4114C"/>
    <w:rsid w:val="00F411CA"/>
    <w:rsid w:val="00F41ACD"/>
    <w:rsid w:val="00F42198"/>
    <w:rsid w:val="00F421DE"/>
    <w:rsid w:val="00F4234B"/>
    <w:rsid w:val="00F45643"/>
    <w:rsid w:val="00F46CB6"/>
    <w:rsid w:val="00F4756D"/>
    <w:rsid w:val="00F47DE8"/>
    <w:rsid w:val="00F5003B"/>
    <w:rsid w:val="00F505CF"/>
    <w:rsid w:val="00F508C6"/>
    <w:rsid w:val="00F51B47"/>
    <w:rsid w:val="00F51EE6"/>
    <w:rsid w:val="00F52174"/>
    <w:rsid w:val="00F526B0"/>
    <w:rsid w:val="00F52E46"/>
    <w:rsid w:val="00F54250"/>
    <w:rsid w:val="00F542C1"/>
    <w:rsid w:val="00F549A3"/>
    <w:rsid w:val="00F54F82"/>
    <w:rsid w:val="00F55E73"/>
    <w:rsid w:val="00F55EDA"/>
    <w:rsid w:val="00F56513"/>
    <w:rsid w:val="00F56C80"/>
    <w:rsid w:val="00F572F2"/>
    <w:rsid w:val="00F57A04"/>
    <w:rsid w:val="00F60092"/>
    <w:rsid w:val="00F60C57"/>
    <w:rsid w:val="00F60F2D"/>
    <w:rsid w:val="00F61451"/>
    <w:rsid w:val="00F61530"/>
    <w:rsid w:val="00F61C18"/>
    <w:rsid w:val="00F62372"/>
    <w:rsid w:val="00F646A8"/>
    <w:rsid w:val="00F64AB1"/>
    <w:rsid w:val="00F64CCF"/>
    <w:rsid w:val="00F64DC8"/>
    <w:rsid w:val="00F65173"/>
    <w:rsid w:val="00F65F4B"/>
    <w:rsid w:val="00F6653B"/>
    <w:rsid w:val="00F667C9"/>
    <w:rsid w:val="00F6783A"/>
    <w:rsid w:val="00F67A69"/>
    <w:rsid w:val="00F67F3C"/>
    <w:rsid w:val="00F70BFF"/>
    <w:rsid w:val="00F70C9D"/>
    <w:rsid w:val="00F7172F"/>
    <w:rsid w:val="00F7280C"/>
    <w:rsid w:val="00F72BBC"/>
    <w:rsid w:val="00F737C9"/>
    <w:rsid w:val="00F74CD9"/>
    <w:rsid w:val="00F765CC"/>
    <w:rsid w:val="00F80016"/>
    <w:rsid w:val="00F807E7"/>
    <w:rsid w:val="00F80A7B"/>
    <w:rsid w:val="00F80E5D"/>
    <w:rsid w:val="00F80E8B"/>
    <w:rsid w:val="00F816EC"/>
    <w:rsid w:val="00F818DE"/>
    <w:rsid w:val="00F81CAF"/>
    <w:rsid w:val="00F81DEE"/>
    <w:rsid w:val="00F81E78"/>
    <w:rsid w:val="00F82E3B"/>
    <w:rsid w:val="00F836CE"/>
    <w:rsid w:val="00F85013"/>
    <w:rsid w:val="00F851CE"/>
    <w:rsid w:val="00F85614"/>
    <w:rsid w:val="00F85644"/>
    <w:rsid w:val="00F85BF5"/>
    <w:rsid w:val="00F863F1"/>
    <w:rsid w:val="00F875E8"/>
    <w:rsid w:val="00F8766D"/>
    <w:rsid w:val="00F87676"/>
    <w:rsid w:val="00F90B0D"/>
    <w:rsid w:val="00F91219"/>
    <w:rsid w:val="00F91F6A"/>
    <w:rsid w:val="00F92444"/>
    <w:rsid w:val="00F927B2"/>
    <w:rsid w:val="00F92982"/>
    <w:rsid w:val="00F9354F"/>
    <w:rsid w:val="00F9393E"/>
    <w:rsid w:val="00F93A8E"/>
    <w:rsid w:val="00F948AF"/>
    <w:rsid w:val="00F94A37"/>
    <w:rsid w:val="00F9549F"/>
    <w:rsid w:val="00F95BAD"/>
    <w:rsid w:val="00F96432"/>
    <w:rsid w:val="00F96434"/>
    <w:rsid w:val="00F96A5D"/>
    <w:rsid w:val="00F96FD0"/>
    <w:rsid w:val="00F973DE"/>
    <w:rsid w:val="00F97A78"/>
    <w:rsid w:val="00F97C32"/>
    <w:rsid w:val="00FA0B20"/>
    <w:rsid w:val="00FA19DE"/>
    <w:rsid w:val="00FA22F0"/>
    <w:rsid w:val="00FA24E7"/>
    <w:rsid w:val="00FA4448"/>
    <w:rsid w:val="00FA464C"/>
    <w:rsid w:val="00FA493C"/>
    <w:rsid w:val="00FA4951"/>
    <w:rsid w:val="00FA5EE6"/>
    <w:rsid w:val="00FA6362"/>
    <w:rsid w:val="00FA6690"/>
    <w:rsid w:val="00FA67DE"/>
    <w:rsid w:val="00FA76AA"/>
    <w:rsid w:val="00FA7956"/>
    <w:rsid w:val="00FA7BDC"/>
    <w:rsid w:val="00FA7D77"/>
    <w:rsid w:val="00FB0022"/>
    <w:rsid w:val="00FB13C2"/>
    <w:rsid w:val="00FB14C2"/>
    <w:rsid w:val="00FB18E3"/>
    <w:rsid w:val="00FB2DAF"/>
    <w:rsid w:val="00FB2FCB"/>
    <w:rsid w:val="00FB3015"/>
    <w:rsid w:val="00FB42B2"/>
    <w:rsid w:val="00FB4D04"/>
    <w:rsid w:val="00FB5330"/>
    <w:rsid w:val="00FB6531"/>
    <w:rsid w:val="00FB68ED"/>
    <w:rsid w:val="00FB7689"/>
    <w:rsid w:val="00FB79EE"/>
    <w:rsid w:val="00FB7C55"/>
    <w:rsid w:val="00FC0A49"/>
    <w:rsid w:val="00FC1074"/>
    <w:rsid w:val="00FC122D"/>
    <w:rsid w:val="00FC168F"/>
    <w:rsid w:val="00FC1884"/>
    <w:rsid w:val="00FC20E9"/>
    <w:rsid w:val="00FC2658"/>
    <w:rsid w:val="00FC29A9"/>
    <w:rsid w:val="00FC2AF4"/>
    <w:rsid w:val="00FC34BC"/>
    <w:rsid w:val="00FC351A"/>
    <w:rsid w:val="00FC371D"/>
    <w:rsid w:val="00FC3DAB"/>
    <w:rsid w:val="00FC462E"/>
    <w:rsid w:val="00FC533F"/>
    <w:rsid w:val="00FC5731"/>
    <w:rsid w:val="00FC5F0B"/>
    <w:rsid w:val="00FC6820"/>
    <w:rsid w:val="00FC70B4"/>
    <w:rsid w:val="00FD01EB"/>
    <w:rsid w:val="00FD1751"/>
    <w:rsid w:val="00FD1AB5"/>
    <w:rsid w:val="00FD2100"/>
    <w:rsid w:val="00FD288F"/>
    <w:rsid w:val="00FD2B00"/>
    <w:rsid w:val="00FD31A0"/>
    <w:rsid w:val="00FD3E8A"/>
    <w:rsid w:val="00FD436C"/>
    <w:rsid w:val="00FD446D"/>
    <w:rsid w:val="00FD4F2C"/>
    <w:rsid w:val="00FD4FFE"/>
    <w:rsid w:val="00FD5ABC"/>
    <w:rsid w:val="00FD5DB3"/>
    <w:rsid w:val="00FD6394"/>
    <w:rsid w:val="00FD7C1D"/>
    <w:rsid w:val="00FE0B48"/>
    <w:rsid w:val="00FE0BAF"/>
    <w:rsid w:val="00FE0C21"/>
    <w:rsid w:val="00FE0E6C"/>
    <w:rsid w:val="00FE155F"/>
    <w:rsid w:val="00FE1CA9"/>
    <w:rsid w:val="00FE1CDC"/>
    <w:rsid w:val="00FE1F4F"/>
    <w:rsid w:val="00FE25A8"/>
    <w:rsid w:val="00FE2C10"/>
    <w:rsid w:val="00FE50F8"/>
    <w:rsid w:val="00FE5447"/>
    <w:rsid w:val="00FE5736"/>
    <w:rsid w:val="00FE5E3B"/>
    <w:rsid w:val="00FE655D"/>
    <w:rsid w:val="00FE70BF"/>
    <w:rsid w:val="00FE70C3"/>
    <w:rsid w:val="00FE77FB"/>
    <w:rsid w:val="00FE7A19"/>
    <w:rsid w:val="00FF097B"/>
    <w:rsid w:val="00FF0B22"/>
    <w:rsid w:val="00FF1223"/>
    <w:rsid w:val="00FF1BD1"/>
    <w:rsid w:val="00FF1C47"/>
    <w:rsid w:val="00FF24F8"/>
    <w:rsid w:val="00FF2ABB"/>
    <w:rsid w:val="00FF2AD9"/>
    <w:rsid w:val="00FF359F"/>
    <w:rsid w:val="00FF362E"/>
    <w:rsid w:val="00FF3D7B"/>
    <w:rsid w:val="00FF3DCF"/>
    <w:rsid w:val="00FF492C"/>
    <w:rsid w:val="00FF4A21"/>
    <w:rsid w:val="00FF4EC6"/>
    <w:rsid w:val="00FF5530"/>
    <w:rsid w:val="00FF5AA3"/>
    <w:rsid w:val="00FF5AD8"/>
    <w:rsid w:val="00FF5C06"/>
    <w:rsid w:val="00FF662C"/>
    <w:rsid w:val="00FF66FB"/>
    <w:rsid w:val="00FF6DAA"/>
    <w:rsid w:val="00FF79B3"/>
    <w:rsid w:val="00FF7C1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SR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SR 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_CC_Bullet,Bullet1,Bullet List,Section 5,Bullets Points,BulletList 1,Bulletlist1,BulletList1,L"/>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Char,_CC_Bullet Char,Bullet1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qFormat/>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eader Table,NICE instructions,Source table_"/>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6D1BCF"/>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8C47E9"/>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Annotationtext,Char, Char,Char1,Char2,Comment Text Char1 Char,Comment Text Char Char Char,list paragraph 2,Comment Text ZS"/>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Annotationtext Char,Char Char, Char Char,Char1 Char,Char2 Char,Comment Text Char1 Char Char,Comment Text Char Char Char Char,list paragraph 2 Char,Comment Text ZS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uiPriority w:val="99"/>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character" w:customStyle="1" w:styleId="CaptionFootnoteChar">
    <w:name w:val="Caption Footnote Char"/>
    <w:basedOn w:val="DefaultParagraphFont"/>
    <w:link w:val="CaptionFootnote"/>
    <w:rsid w:val="001917BD"/>
    <w:rPr>
      <w:rFonts w:asciiTheme="minorHAnsi" w:hAnsiTheme="minorHAnsi"/>
      <w:kern w:val="28"/>
      <w:sz w:val="16"/>
      <w:szCs w:val="24"/>
    </w:rPr>
  </w:style>
  <w:style w:type="paragraph" w:customStyle="1" w:styleId="CaptionFootnote">
    <w:name w:val="Caption Footnote"/>
    <w:basedOn w:val="Normal"/>
    <w:link w:val="CaptionFootnoteChar"/>
    <w:qFormat/>
    <w:rsid w:val="001917BD"/>
    <w:rPr>
      <w:rFonts w:asciiTheme="minorHAnsi" w:hAnsiTheme="minorHAnsi" w:cs="Times New Roman"/>
      <w:kern w:val="28"/>
      <w:sz w:val="16"/>
    </w:rPr>
  </w:style>
  <w:style w:type="table" w:customStyle="1" w:styleId="HTATableshaded">
    <w:name w:val="HTA Table shaded"/>
    <w:basedOn w:val="TableNormal"/>
    <w:rsid w:val="00BA040E"/>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
    <w:name w:val="Table Grid1"/>
    <w:basedOn w:val="TableNormal"/>
    <w:next w:val="TableGrid"/>
    <w:uiPriority w:val="59"/>
    <w:rsid w:val="0093151A"/>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Highlight">
    <w:name w:val="Small Highlight"/>
    <w:basedOn w:val="DefaultParagraphFont"/>
    <w:uiPriority w:val="1"/>
    <w:qFormat/>
    <w:rsid w:val="00495656"/>
    <w:rPr>
      <w:rFonts w:ascii="Calibri" w:hAnsi="Calibri"/>
      <w:sz w:val="20"/>
      <w:bdr w:val="none" w:sz="0" w:space="0" w:color="auto"/>
      <w:shd w:val="clear" w:color="auto" w:fill="FFFF00"/>
    </w:rPr>
  </w:style>
  <w:style w:type="paragraph" w:customStyle="1" w:styleId="NormalBullets">
    <w:name w:val="Normal Bullets"/>
    <w:basedOn w:val="Normal"/>
    <w:uiPriority w:val="3"/>
    <w:qFormat/>
    <w:rsid w:val="009D7D03"/>
    <w:pPr>
      <w:numPr>
        <w:numId w:val="5"/>
      </w:numPr>
      <w:spacing w:after="240" w:line="276" w:lineRule="auto"/>
      <w:contextualSpacing/>
    </w:pPr>
    <w:rPr>
      <w:rFonts w:eastAsiaTheme="majorEastAsia" w:cstheme="majorBidi"/>
      <w:sz w:val="22"/>
      <w:szCs w:val="22"/>
      <w:lang w:eastAsia="en-US" w:bidi="en-US"/>
    </w:rPr>
  </w:style>
  <w:style w:type="paragraph" w:customStyle="1" w:styleId="TableParagraph">
    <w:name w:val="Table Paragraph"/>
    <w:basedOn w:val="Normal"/>
    <w:uiPriority w:val="1"/>
    <w:qFormat/>
    <w:rsid w:val="009D7D03"/>
    <w:pPr>
      <w:widowControl w:val="0"/>
      <w:autoSpaceDE w:val="0"/>
      <w:autoSpaceDN w:val="0"/>
      <w:spacing w:before="1"/>
      <w:ind w:left="110"/>
      <w:jc w:val="left"/>
    </w:pPr>
    <w:rPr>
      <w:rFonts w:eastAsia="Calibri" w:cs="Calibri"/>
      <w:sz w:val="22"/>
      <w:szCs w:val="22"/>
      <w:lang w:bidi="en-AU"/>
    </w:rPr>
  </w:style>
  <w:style w:type="character" w:customStyle="1" w:styleId="Small">
    <w:name w:val="Small"/>
    <w:basedOn w:val="DefaultParagraphFont"/>
    <w:uiPriority w:val="4"/>
    <w:qFormat/>
    <w:rsid w:val="00282011"/>
    <w:rPr>
      <w:rFonts w:ascii="Calibri" w:hAnsi="Calibri"/>
      <w:sz w:val="20"/>
    </w:rPr>
  </w:style>
  <w:style w:type="paragraph" w:customStyle="1" w:styleId="Resubtext">
    <w:name w:val="Resub text"/>
    <w:basedOn w:val="Normal"/>
    <w:link w:val="ResubtextChar"/>
    <w:qFormat/>
    <w:rsid w:val="00282011"/>
    <w:pPr>
      <w:spacing w:after="200" w:line="276" w:lineRule="auto"/>
    </w:pPr>
    <w:rPr>
      <w:rFonts w:eastAsiaTheme="majorEastAsia" w:cstheme="majorBidi"/>
      <w:color w:val="1F497D" w:themeColor="text2"/>
      <w:sz w:val="22"/>
      <w:szCs w:val="22"/>
      <w:lang w:eastAsia="en-US" w:bidi="en-US"/>
    </w:rPr>
  </w:style>
  <w:style w:type="character" w:customStyle="1" w:styleId="ResubtextChar">
    <w:name w:val="Resub text Char"/>
    <w:basedOn w:val="DefaultParagraphFont"/>
    <w:link w:val="Resubtext"/>
    <w:rsid w:val="00282011"/>
    <w:rPr>
      <w:rFonts w:ascii="Calibri" w:eastAsiaTheme="majorEastAsia" w:hAnsi="Calibri" w:cstheme="majorBidi"/>
      <w:color w:val="1F497D" w:themeColor="text2"/>
      <w:sz w:val="22"/>
      <w:szCs w:val="22"/>
      <w:lang w:eastAsia="en-US" w:bidi="en-US"/>
    </w:rPr>
  </w:style>
  <w:style w:type="paragraph" w:customStyle="1" w:styleId="V50Instructions">
    <w:name w:val="V5.0 Instructions"/>
    <w:basedOn w:val="Normal"/>
    <w:link w:val="V50InstructionsChar"/>
    <w:qFormat/>
    <w:rsid w:val="00282011"/>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282011"/>
    <w:rPr>
      <w:rFonts w:asciiTheme="minorHAnsi" w:eastAsiaTheme="minorHAnsi" w:hAnsiTheme="minorHAnsi" w:cstheme="minorBidi"/>
      <w:color w:val="4BACC6" w:themeColor="accent5"/>
      <w:sz w:val="24"/>
      <w:szCs w:val="22"/>
      <w:lang w:eastAsia="en-US"/>
    </w:rPr>
  </w:style>
  <w:style w:type="paragraph" w:styleId="FootnoteText">
    <w:name w:val="footnote text"/>
    <w:basedOn w:val="Normal"/>
    <w:link w:val="FootnoteTextChar"/>
    <w:unhideWhenUsed/>
    <w:rsid w:val="00282011"/>
    <w:rPr>
      <w:sz w:val="20"/>
      <w:szCs w:val="20"/>
    </w:rPr>
  </w:style>
  <w:style w:type="character" w:customStyle="1" w:styleId="FootnoteTextChar">
    <w:name w:val="Footnote Text Char"/>
    <w:basedOn w:val="DefaultParagraphFont"/>
    <w:link w:val="FootnoteText"/>
    <w:rsid w:val="00282011"/>
    <w:rPr>
      <w:rFonts w:ascii="Calibri" w:hAnsi="Calibri" w:cs="Arial"/>
    </w:rPr>
  </w:style>
  <w:style w:type="character" w:styleId="FootnoteReference">
    <w:name w:val="footnote reference"/>
    <w:basedOn w:val="DefaultParagraphFont"/>
    <w:semiHidden/>
    <w:unhideWhenUsed/>
    <w:rsid w:val="00282011"/>
    <w:rPr>
      <w:vertAlign w:val="superscript"/>
    </w:rPr>
  </w:style>
  <w:style w:type="character" w:customStyle="1" w:styleId="SmallItalics">
    <w:name w:val="Small Italics"/>
    <w:basedOn w:val="DefaultParagraphFont"/>
    <w:uiPriority w:val="4"/>
    <w:qFormat/>
    <w:rsid w:val="00282011"/>
    <w:rPr>
      <w:rFonts w:ascii="Calibri" w:hAnsi="Calibri"/>
      <w:i/>
      <w:sz w:val="20"/>
    </w:rPr>
  </w:style>
  <w:style w:type="paragraph" w:customStyle="1" w:styleId="TableH1">
    <w:name w:val="Table H1"/>
    <w:basedOn w:val="BodyText"/>
    <w:uiPriority w:val="4"/>
    <w:qFormat/>
    <w:rsid w:val="00282011"/>
    <w:pPr>
      <w:keepNext/>
      <w:tabs>
        <w:tab w:val="left" w:pos="416"/>
        <w:tab w:val="left" w:pos="582"/>
        <w:tab w:val="left" w:pos="1134"/>
      </w:tabs>
      <w:spacing w:before="40" w:after="40"/>
    </w:pPr>
    <w:rPr>
      <w:rFonts w:asciiTheme="minorHAnsi" w:eastAsiaTheme="minorHAnsi" w:hAnsiTheme="minorHAnsi" w:cs="Tahoma"/>
      <w:b/>
      <w:spacing w:val="-1"/>
      <w:sz w:val="18"/>
      <w:szCs w:val="18"/>
      <w:lang w:val="en-US" w:eastAsia="en-US"/>
    </w:rPr>
  </w:style>
  <w:style w:type="paragraph" w:customStyle="1" w:styleId="TableHeadingleft">
    <w:name w:val="Table Heading left"/>
    <w:basedOn w:val="Normal"/>
    <w:next w:val="Normal"/>
    <w:qFormat/>
    <w:rsid w:val="00282011"/>
    <w:pPr>
      <w:spacing w:before="40" w:after="40"/>
      <w:jc w:val="left"/>
    </w:pPr>
    <w:rPr>
      <w:rFonts w:asciiTheme="minorHAnsi" w:eastAsiaTheme="minorHAnsi" w:hAnsiTheme="minorHAnsi" w:cs="Tahoma"/>
      <w:b/>
      <w:sz w:val="18"/>
      <w:szCs w:val="18"/>
      <w:lang w:val="de-DE" w:eastAsia="en-US"/>
    </w:rPr>
  </w:style>
  <w:style w:type="paragraph" w:customStyle="1" w:styleId="TableBullets">
    <w:name w:val="Table Bullets"/>
    <w:basedOn w:val="TableLeft"/>
    <w:uiPriority w:val="5"/>
    <w:qFormat/>
    <w:rsid w:val="00282011"/>
    <w:pPr>
      <w:numPr>
        <w:numId w:val="8"/>
      </w:numPr>
      <w:jc w:val="both"/>
    </w:pPr>
    <w:rPr>
      <w:rFonts w:eastAsiaTheme="majorEastAsia" w:cstheme="majorBidi"/>
      <w:sz w:val="18"/>
      <w:lang w:bidi="en-US"/>
    </w:rPr>
  </w:style>
  <w:style w:type="character" w:customStyle="1" w:styleId="FontBold">
    <w:name w:val="Font Bold"/>
    <w:basedOn w:val="DefaultParagraphFont"/>
    <w:uiPriority w:val="1"/>
    <w:qFormat/>
    <w:rsid w:val="00282011"/>
    <w:rPr>
      <w:rFonts w:ascii="Calibri" w:hAnsi="Calibri"/>
      <w:b/>
      <w:i w:val="0"/>
      <w:sz w:val="24"/>
    </w:rPr>
  </w:style>
  <w:style w:type="table" w:customStyle="1" w:styleId="Submissionstandard4">
    <w:name w:val="Submission standard4"/>
    <w:basedOn w:val="TableNormal"/>
    <w:uiPriority w:val="99"/>
    <w:qFormat/>
    <w:rsid w:val="00282011"/>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Yu Gothic UI Light" w:hAnsi="@Yu Gothic UI Light"/>
        <w:b/>
        <w:sz w:val="20"/>
      </w:rPr>
      <w:tblPr/>
      <w:tcPr>
        <w:shd w:val="clear" w:color="auto" w:fill="BFBFBF" w:themeFill="background1" w:themeFillShade="BF"/>
      </w:tcPr>
    </w:tblStylePr>
  </w:style>
  <w:style w:type="table" w:customStyle="1" w:styleId="Style3">
    <w:name w:val="Style3"/>
    <w:basedOn w:val="TableGrid10"/>
    <w:uiPriority w:val="99"/>
    <w:rsid w:val="00282011"/>
    <w:rPr>
      <w:rFonts w:ascii="Arial" w:eastAsia="SimSun" w:hAnsi="Arial"/>
      <w:sz w:val="21"/>
      <w:szCs w:val="21"/>
      <w:lang w:val="en-US" w:eastAsia="en-US"/>
    </w:rPr>
    <w:tblPr/>
    <w:tcPr>
      <w:shd w:val="clear" w:color="auto" w:fill="auto"/>
    </w:tcPr>
    <w:tblStylePr w:type="firstRow">
      <w:pPr>
        <w:jc w:val="center"/>
      </w:pPr>
      <w:rPr>
        <w:b/>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ossierFooter">
    <w:name w:val="Dossier Footer"/>
    <w:basedOn w:val="Normal"/>
    <w:qFormat/>
    <w:rsid w:val="00282011"/>
    <w:pPr>
      <w:jc w:val="left"/>
    </w:pPr>
    <w:rPr>
      <w:rFonts w:ascii="Arial" w:eastAsia="SimSun" w:hAnsi="Arial" w:cs="Times New Roman"/>
      <w:sz w:val="16"/>
      <w:szCs w:val="14"/>
      <w:lang w:val="en-GB" w:eastAsia="en-GB"/>
    </w:rPr>
  </w:style>
  <w:style w:type="table" w:styleId="TableGrid10">
    <w:name w:val="Table Grid 1"/>
    <w:basedOn w:val="TableNormal"/>
    <w:semiHidden/>
    <w:unhideWhenUsed/>
    <w:rsid w:val="0028201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282011"/>
    <w:pPr>
      <w:autoSpaceDE w:val="0"/>
      <w:autoSpaceDN w:val="0"/>
      <w:adjustRightInd w:val="0"/>
    </w:pPr>
    <w:rPr>
      <w:rFonts w:eastAsiaTheme="majorEastAsia"/>
      <w:color w:val="000000"/>
      <w:sz w:val="24"/>
      <w:szCs w:val="24"/>
      <w:lang w:val="en-US" w:eastAsia="en-US"/>
    </w:rPr>
  </w:style>
  <w:style w:type="character" w:customStyle="1" w:styleId="UnresolvedMention1">
    <w:name w:val="Unresolved Mention1"/>
    <w:basedOn w:val="DefaultParagraphFont"/>
    <w:uiPriority w:val="99"/>
    <w:semiHidden/>
    <w:unhideWhenUsed/>
    <w:rsid w:val="00282011"/>
    <w:rPr>
      <w:color w:val="605E5C"/>
      <w:shd w:val="clear" w:color="auto" w:fill="E1DFDD"/>
    </w:rPr>
  </w:style>
  <w:style w:type="character" w:styleId="PlaceholderText">
    <w:name w:val="Placeholder Text"/>
    <w:basedOn w:val="DefaultParagraphFont"/>
    <w:uiPriority w:val="99"/>
    <w:semiHidden/>
    <w:rsid w:val="00282011"/>
    <w:rPr>
      <w:color w:val="808080"/>
    </w:rPr>
  </w:style>
  <w:style w:type="character" w:customStyle="1" w:styleId="normaltextrun">
    <w:name w:val="normaltextrun"/>
    <w:basedOn w:val="DefaultParagraphFont"/>
    <w:rsid w:val="00282011"/>
  </w:style>
  <w:style w:type="character" w:customStyle="1" w:styleId="eop">
    <w:name w:val="eop"/>
    <w:basedOn w:val="DefaultParagraphFont"/>
    <w:rsid w:val="00282011"/>
  </w:style>
  <w:style w:type="character" w:customStyle="1" w:styleId="scxw52328610">
    <w:name w:val="scxw52328610"/>
    <w:basedOn w:val="DefaultParagraphFont"/>
    <w:rsid w:val="00282011"/>
  </w:style>
  <w:style w:type="table" w:styleId="PlainTable1">
    <w:name w:val="Plain Table 1"/>
    <w:basedOn w:val="TableNormal"/>
    <w:uiPriority w:val="41"/>
    <w:rsid w:val="002820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RKDossierTable">
    <w:name w:val="MRK Dossier Table"/>
    <w:basedOn w:val="TableGrid10"/>
    <w:uiPriority w:val="99"/>
    <w:rsid w:val="00F96432"/>
    <w:rPr>
      <w:rFonts w:eastAsia="SimSun"/>
      <w:szCs w:val="21"/>
      <w:lang w:val="en-GB" w:eastAsia="en-GB" w:bidi="en-US"/>
    </w:rPr>
    <w:tblPr>
      <w:tblInd w:w="0" w:type="nil"/>
    </w:tblPr>
    <w:tcPr>
      <w:shd w:val="clear" w:color="auto" w:fill="auto"/>
    </w:tcPr>
    <w:tblStylePr w:type="firstRow">
      <w:pPr>
        <w:wordWrap/>
        <w:spacing w:beforeLines="0" w:before="100" w:beforeAutospacing="1" w:afterLines="0" w:after="100" w:afterAutospacing="1" w:line="240" w:lineRule="auto"/>
        <w:jc w:val="center"/>
      </w:pPr>
      <w:rPr>
        <w:rFonts w:ascii="Times New Roman" w:hAnsi="Times New Roman" w:cs="Times New Roman" w:hint="default"/>
        <w:b/>
        <w:i w:val="0"/>
        <w:color w:val="auto"/>
        <w:sz w:val="20"/>
        <w:szCs w:val="20"/>
      </w:rPr>
      <w:tblPr/>
      <w:tcPr>
        <w:shd w:val="clear" w:color="auto" w:fill="BFBFBF"/>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2">
    <w:name w:val="Unresolved Mention2"/>
    <w:basedOn w:val="DefaultParagraphFont"/>
    <w:uiPriority w:val="99"/>
    <w:semiHidden/>
    <w:unhideWhenUsed/>
    <w:rsid w:val="00C41D04"/>
    <w:rPr>
      <w:color w:val="605E5C"/>
      <w:shd w:val="clear" w:color="auto" w:fill="E1DFDD"/>
    </w:rPr>
  </w:style>
  <w:style w:type="table" w:customStyle="1" w:styleId="Submissionstandard22">
    <w:name w:val="Submission standard22"/>
    <w:basedOn w:val="TableNormal"/>
    <w:uiPriority w:val="99"/>
    <w:qFormat/>
    <w:rsid w:val="00495684"/>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Yu Gothic UI Light" w:hAnsi="@Yu Gothic UI Light"/>
        <w:b/>
        <w:sz w:val="20"/>
      </w:rPr>
      <w:tblPr/>
      <w:tcPr>
        <w:shd w:val="clear" w:color="auto" w:fill="BFBFBF" w:themeFill="background1" w:themeFillShade="BF"/>
      </w:tcPr>
    </w:tblStylePr>
  </w:style>
  <w:style w:type="paragraph" w:customStyle="1" w:styleId="ResubUpdateText">
    <w:name w:val="ResubUpdate_Text"/>
    <w:basedOn w:val="Normal"/>
    <w:qFormat/>
    <w:rsid w:val="006552FE"/>
    <w:pPr>
      <w:spacing w:after="200" w:line="276" w:lineRule="auto"/>
      <w:jc w:val="left"/>
    </w:pPr>
    <w:rPr>
      <w:rFonts w:eastAsiaTheme="majorEastAsia" w:cstheme="majorBidi"/>
      <w:color w:val="548DD4" w:themeColor="text2" w:themeTint="99"/>
      <w:sz w:val="22"/>
      <w:szCs w:val="22"/>
      <w:lang w:eastAsia="en-US" w:bidi="en-US"/>
    </w:rPr>
  </w:style>
  <w:style w:type="paragraph" w:customStyle="1" w:styleId="TableNotes">
    <w:name w:val="TableNotes"/>
    <w:basedOn w:val="Normal"/>
    <w:link w:val="TableNotesChar"/>
    <w:qFormat/>
    <w:rsid w:val="002047C3"/>
    <w:pPr>
      <w:keepLines/>
      <w:spacing w:after="360"/>
      <w:contextualSpacing/>
      <w:jc w:val="left"/>
    </w:pPr>
    <w:rPr>
      <w:rFonts w:eastAsiaTheme="majorEastAsia" w:cstheme="majorBidi"/>
      <w:noProof/>
      <w:sz w:val="16"/>
      <w:szCs w:val="22"/>
      <w:lang w:eastAsia="en-US" w:bidi="en-US"/>
    </w:rPr>
  </w:style>
  <w:style w:type="character" w:customStyle="1" w:styleId="TableNotesChar">
    <w:name w:val="TableNotes Char"/>
    <w:link w:val="TableNotes"/>
    <w:rsid w:val="002047C3"/>
    <w:rPr>
      <w:rFonts w:ascii="Calibri" w:eastAsiaTheme="majorEastAsia" w:hAnsi="Calibri" w:cstheme="majorBidi"/>
      <w:noProof/>
      <w:sz w:val="16"/>
      <w:szCs w:val="22"/>
      <w:lang w:eastAsia="en-US" w:bidi="en-US"/>
    </w:rPr>
  </w:style>
  <w:style w:type="character" w:styleId="Strong">
    <w:name w:val="Strong"/>
    <w:basedOn w:val="DefaultParagraphFont"/>
    <w:uiPriority w:val="22"/>
    <w:qFormat/>
    <w:rsid w:val="004D350A"/>
    <w:rPr>
      <w:b/>
      <w:bCs/>
    </w:rPr>
  </w:style>
  <w:style w:type="paragraph" w:customStyle="1" w:styleId="3-SubsectionHeading">
    <w:name w:val="3-Subsection Heading"/>
    <w:basedOn w:val="Heading2"/>
    <w:next w:val="Normal"/>
    <w:link w:val="3-SubsectionHeadingChar"/>
    <w:qFormat/>
    <w:rsid w:val="002C3290"/>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2C3290"/>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5944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1139480">
      <w:bodyDiv w:val="1"/>
      <w:marLeft w:val="0"/>
      <w:marRight w:val="0"/>
      <w:marTop w:val="0"/>
      <w:marBottom w:val="0"/>
      <w:divBdr>
        <w:top w:val="none" w:sz="0" w:space="0" w:color="auto"/>
        <w:left w:val="none" w:sz="0" w:space="0" w:color="auto"/>
        <w:bottom w:val="none" w:sz="0" w:space="0" w:color="auto"/>
        <w:right w:val="none" w:sz="0" w:space="0" w:color="auto"/>
      </w:divBdr>
    </w:div>
    <w:div w:id="31530166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3851651">
      <w:bodyDiv w:val="1"/>
      <w:marLeft w:val="0"/>
      <w:marRight w:val="0"/>
      <w:marTop w:val="0"/>
      <w:marBottom w:val="0"/>
      <w:divBdr>
        <w:top w:val="none" w:sz="0" w:space="0" w:color="auto"/>
        <w:left w:val="none" w:sz="0" w:space="0" w:color="auto"/>
        <w:bottom w:val="none" w:sz="0" w:space="0" w:color="auto"/>
        <w:right w:val="none" w:sz="0" w:space="0" w:color="auto"/>
      </w:divBdr>
    </w:div>
    <w:div w:id="358899851">
      <w:bodyDiv w:val="1"/>
      <w:marLeft w:val="0"/>
      <w:marRight w:val="0"/>
      <w:marTop w:val="0"/>
      <w:marBottom w:val="0"/>
      <w:divBdr>
        <w:top w:val="none" w:sz="0" w:space="0" w:color="auto"/>
        <w:left w:val="none" w:sz="0" w:space="0" w:color="auto"/>
        <w:bottom w:val="none" w:sz="0" w:space="0" w:color="auto"/>
        <w:right w:val="none" w:sz="0" w:space="0" w:color="auto"/>
      </w:divBdr>
    </w:div>
    <w:div w:id="362751350">
      <w:bodyDiv w:val="1"/>
      <w:marLeft w:val="0"/>
      <w:marRight w:val="0"/>
      <w:marTop w:val="0"/>
      <w:marBottom w:val="0"/>
      <w:divBdr>
        <w:top w:val="none" w:sz="0" w:space="0" w:color="auto"/>
        <w:left w:val="none" w:sz="0" w:space="0" w:color="auto"/>
        <w:bottom w:val="none" w:sz="0" w:space="0" w:color="auto"/>
        <w:right w:val="none" w:sz="0" w:space="0" w:color="auto"/>
      </w:divBdr>
    </w:div>
    <w:div w:id="411507642">
      <w:bodyDiv w:val="1"/>
      <w:marLeft w:val="0"/>
      <w:marRight w:val="0"/>
      <w:marTop w:val="0"/>
      <w:marBottom w:val="0"/>
      <w:divBdr>
        <w:top w:val="none" w:sz="0" w:space="0" w:color="auto"/>
        <w:left w:val="none" w:sz="0" w:space="0" w:color="auto"/>
        <w:bottom w:val="none" w:sz="0" w:space="0" w:color="auto"/>
        <w:right w:val="none" w:sz="0" w:space="0" w:color="auto"/>
      </w:divBdr>
    </w:div>
    <w:div w:id="493107628">
      <w:bodyDiv w:val="1"/>
      <w:marLeft w:val="0"/>
      <w:marRight w:val="0"/>
      <w:marTop w:val="0"/>
      <w:marBottom w:val="0"/>
      <w:divBdr>
        <w:top w:val="none" w:sz="0" w:space="0" w:color="auto"/>
        <w:left w:val="none" w:sz="0" w:space="0" w:color="auto"/>
        <w:bottom w:val="none" w:sz="0" w:space="0" w:color="auto"/>
        <w:right w:val="none" w:sz="0" w:space="0" w:color="auto"/>
      </w:divBdr>
      <w:divsChild>
        <w:div w:id="570505771">
          <w:marLeft w:val="360"/>
          <w:marRight w:val="0"/>
          <w:marTop w:val="200"/>
          <w:marBottom w:val="0"/>
          <w:divBdr>
            <w:top w:val="none" w:sz="0" w:space="0" w:color="auto"/>
            <w:left w:val="none" w:sz="0" w:space="0" w:color="auto"/>
            <w:bottom w:val="none" w:sz="0" w:space="0" w:color="auto"/>
            <w:right w:val="none" w:sz="0" w:space="0" w:color="auto"/>
          </w:divBdr>
        </w:div>
      </w:divsChild>
    </w:div>
    <w:div w:id="523977277">
      <w:bodyDiv w:val="1"/>
      <w:marLeft w:val="0"/>
      <w:marRight w:val="0"/>
      <w:marTop w:val="0"/>
      <w:marBottom w:val="0"/>
      <w:divBdr>
        <w:top w:val="none" w:sz="0" w:space="0" w:color="auto"/>
        <w:left w:val="none" w:sz="0" w:space="0" w:color="auto"/>
        <w:bottom w:val="none" w:sz="0" w:space="0" w:color="auto"/>
        <w:right w:val="none" w:sz="0" w:space="0" w:color="auto"/>
      </w:divBdr>
    </w:div>
    <w:div w:id="567690962">
      <w:bodyDiv w:val="1"/>
      <w:marLeft w:val="0"/>
      <w:marRight w:val="0"/>
      <w:marTop w:val="0"/>
      <w:marBottom w:val="0"/>
      <w:divBdr>
        <w:top w:val="none" w:sz="0" w:space="0" w:color="auto"/>
        <w:left w:val="none" w:sz="0" w:space="0" w:color="auto"/>
        <w:bottom w:val="none" w:sz="0" w:space="0" w:color="auto"/>
        <w:right w:val="none" w:sz="0" w:space="0" w:color="auto"/>
      </w:divBdr>
      <w:divsChild>
        <w:div w:id="322585359">
          <w:marLeft w:val="1080"/>
          <w:marRight w:val="0"/>
          <w:marTop w:val="100"/>
          <w:marBottom w:val="0"/>
          <w:divBdr>
            <w:top w:val="none" w:sz="0" w:space="0" w:color="auto"/>
            <w:left w:val="none" w:sz="0" w:space="0" w:color="auto"/>
            <w:bottom w:val="none" w:sz="0" w:space="0" w:color="auto"/>
            <w:right w:val="none" w:sz="0" w:space="0" w:color="auto"/>
          </w:divBdr>
        </w:div>
      </w:divsChild>
    </w:div>
    <w:div w:id="751316474">
      <w:bodyDiv w:val="1"/>
      <w:marLeft w:val="0"/>
      <w:marRight w:val="0"/>
      <w:marTop w:val="0"/>
      <w:marBottom w:val="0"/>
      <w:divBdr>
        <w:top w:val="none" w:sz="0" w:space="0" w:color="auto"/>
        <w:left w:val="none" w:sz="0" w:space="0" w:color="auto"/>
        <w:bottom w:val="none" w:sz="0" w:space="0" w:color="auto"/>
        <w:right w:val="none" w:sz="0" w:space="0" w:color="auto"/>
      </w:divBdr>
    </w:div>
    <w:div w:id="859855261">
      <w:bodyDiv w:val="1"/>
      <w:marLeft w:val="0"/>
      <w:marRight w:val="0"/>
      <w:marTop w:val="0"/>
      <w:marBottom w:val="0"/>
      <w:divBdr>
        <w:top w:val="none" w:sz="0" w:space="0" w:color="auto"/>
        <w:left w:val="none" w:sz="0" w:space="0" w:color="auto"/>
        <w:bottom w:val="none" w:sz="0" w:space="0" w:color="auto"/>
        <w:right w:val="none" w:sz="0" w:space="0" w:color="auto"/>
      </w:divBdr>
      <w:divsChild>
        <w:div w:id="520583081">
          <w:marLeft w:val="1080"/>
          <w:marRight w:val="0"/>
          <w:marTop w:val="100"/>
          <w:marBottom w:val="0"/>
          <w:divBdr>
            <w:top w:val="none" w:sz="0" w:space="0" w:color="auto"/>
            <w:left w:val="none" w:sz="0" w:space="0" w:color="auto"/>
            <w:bottom w:val="none" w:sz="0" w:space="0" w:color="auto"/>
            <w:right w:val="none" w:sz="0" w:space="0" w:color="auto"/>
          </w:divBdr>
        </w:div>
      </w:divsChild>
    </w:div>
    <w:div w:id="115410926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8">
          <w:marLeft w:val="360"/>
          <w:marRight w:val="0"/>
          <w:marTop w:val="200"/>
          <w:marBottom w:val="0"/>
          <w:divBdr>
            <w:top w:val="none" w:sz="0" w:space="0" w:color="auto"/>
            <w:left w:val="none" w:sz="0" w:space="0" w:color="auto"/>
            <w:bottom w:val="none" w:sz="0" w:space="0" w:color="auto"/>
            <w:right w:val="none" w:sz="0" w:space="0" w:color="auto"/>
          </w:divBdr>
        </w:div>
      </w:divsChild>
    </w:div>
    <w:div w:id="116412828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0701">
      <w:bodyDiv w:val="1"/>
      <w:marLeft w:val="0"/>
      <w:marRight w:val="0"/>
      <w:marTop w:val="0"/>
      <w:marBottom w:val="0"/>
      <w:divBdr>
        <w:top w:val="none" w:sz="0" w:space="0" w:color="auto"/>
        <w:left w:val="none" w:sz="0" w:space="0" w:color="auto"/>
        <w:bottom w:val="none" w:sz="0" w:space="0" w:color="auto"/>
        <w:right w:val="none" w:sz="0" w:space="0" w:color="auto"/>
      </w:divBdr>
      <w:divsChild>
        <w:div w:id="1162703001">
          <w:marLeft w:val="1080"/>
          <w:marRight w:val="0"/>
          <w:marTop w:val="100"/>
          <w:marBottom w:val="0"/>
          <w:divBdr>
            <w:top w:val="none" w:sz="0" w:space="0" w:color="auto"/>
            <w:left w:val="none" w:sz="0" w:space="0" w:color="auto"/>
            <w:bottom w:val="none" w:sz="0" w:space="0" w:color="auto"/>
            <w:right w:val="none" w:sz="0" w:space="0" w:color="auto"/>
          </w:divBdr>
        </w:div>
      </w:divsChild>
    </w:div>
    <w:div w:id="1292784645">
      <w:bodyDiv w:val="1"/>
      <w:marLeft w:val="0"/>
      <w:marRight w:val="0"/>
      <w:marTop w:val="0"/>
      <w:marBottom w:val="0"/>
      <w:divBdr>
        <w:top w:val="none" w:sz="0" w:space="0" w:color="auto"/>
        <w:left w:val="none" w:sz="0" w:space="0" w:color="auto"/>
        <w:bottom w:val="none" w:sz="0" w:space="0" w:color="auto"/>
        <w:right w:val="none" w:sz="0" w:space="0" w:color="auto"/>
      </w:divBdr>
      <w:divsChild>
        <w:div w:id="929509328">
          <w:marLeft w:val="360"/>
          <w:marRight w:val="0"/>
          <w:marTop w:val="200"/>
          <w:marBottom w:val="0"/>
          <w:divBdr>
            <w:top w:val="none" w:sz="0" w:space="0" w:color="auto"/>
            <w:left w:val="none" w:sz="0" w:space="0" w:color="auto"/>
            <w:bottom w:val="none" w:sz="0" w:space="0" w:color="auto"/>
            <w:right w:val="none" w:sz="0" w:space="0" w:color="auto"/>
          </w:divBdr>
        </w:div>
      </w:divsChild>
    </w:div>
    <w:div w:id="1414349541">
      <w:bodyDiv w:val="1"/>
      <w:marLeft w:val="0"/>
      <w:marRight w:val="0"/>
      <w:marTop w:val="0"/>
      <w:marBottom w:val="0"/>
      <w:divBdr>
        <w:top w:val="none" w:sz="0" w:space="0" w:color="auto"/>
        <w:left w:val="none" w:sz="0" w:space="0" w:color="auto"/>
        <w:bottom w:val="none" w:sz="0" w:space="0" w:color="auto"/>
        <w:right w:val="none" w:sz="0" w:space="0" w:color="auto"/>
      </w:divBdr>
    </w:div>
    <w:div w:id="1460952231">
      <w:bodyDiv w:val="1"/>
      <w:marLeft w:val="0"/>
      <w:marRight w:val="0"/>
      <w:marTop w:val="0"/>
      <w:marBottom w:val="0"/>
      <w:divBdr>
        <w:top w:val="none" w:sz="0" w:space="0" w:color="auto"/>
        <w:left w:val="none" w:sz="0" w:space="0" w:color="auto"/>
        <w:bottom w:val="none" w:sz="0" w:space="0" w:color="auto"/>
        <w:right w:val="none" w:sz="0" w:space="0" w:color="auto"/>
      </w:divBdr>
    </w:div>
    <w:div w:id="1530411565">
      <w:bodyDiv w:val="1"/>
      <w:marLeft w:val="0"/>
      <w:marRight w:val="0"/>
      <w:marTop w:val="0"/>
      <w:marBottom w:val="0"/>
      <w:divBdr>
        <w:top w:val="none" w:sz="0" w:space="0" w:color="auto"/>
        <w:left w:val="none" w:sz="0" w:space="0" w:color="auto"/>
        <w:bottom w:val="none" w:sz="0" w:space="0" w:color="auto"/>
        <w:right w:val="none" w:sz="0" w:space="0" w:color="auto"/>
      </w:divBdr>
      <w:divsChild>
        <w:div w:id="1379359422">
          <w:marLeft w:val="1080"/>
          <w:marRight w:val="0"/>
          <w:marTop w:val="100"/>
          <w:marBottom w:val="0"/>
          <w:divBdr>
            <w:top w:val="none" w:sz="0" w:space="0" w:color="auto"/>
            <w:left w:val="none" w:sz="0" w:space="0" w:color="auto"/>
            <w:bottom w:val="none" w:sz="0" w:space="0" w:color="auto"/>
            <w:right w:val="none" w:sz="0" w:space="0" w:color="auto"/>
          </w:divBdr>
        </w:div>
      </w:divsChild>
    </w:div>
    <w:div w:id="1563253722">
      <w:bodyDiv w:val="1"/>
      <w:marLeft w:val="0"/>
      <w:marRight w:val="0"/>
      <w:marTop w:val="0"/>
      <w:marBottom w:val="0"/>
      <w:divBdr>
        <w:top w:val="none" w:sz="0" w:space="0" w:color="auto"/>
        <w:left w:val="none" w:sz="0" w:space="0" w:color="auto"/>
        <w:bottom w:val="none" w:sz="0" w:space="0" w:color="auto"/>
        <w:right w:val="none" w:sz="0" w:space="0" w:color="auto"/>
      </w:divBdr>
    </w:div>
    <w:div w:id="1657878336">
      <w:bodyDiv w:val="1"/>
      <w:marLeft w:val="0"/>
      <w:marRight w:val="0"/>
      <w:marTop w:val="0"/>
      <w:marBottom w:val="0"/>
      <w:divBdr>
        <w:top w:val="none" w:sz="0" w:space="0" w:color="auto"/>
        <w:left w:val="none" w:sz="0" w:space="0" w:color="auto"/>
        <w:bottom w:val="none" w:sz="0" w:space="0" w:color="auto"/>
        <w:right w:val="none" w:sz="0" w:space="0" w:color="auto"/>
      </w:divBdr>
    </w:div>
    <w:div w:id="1730226388">
      <w:bodyDiv w:val="1"/>
      <w:marLeft w:val="0"/>
      <w:marRight w:val="0"/>
      <w:marTop w:val="0"/>
      <w:marBottom w:val="0"/>
      <w:divBdr>
        <w:top w:val="none" w:sz="0" w:space="0" w:color="auto"/>
        <w:left w:val="none" w:sz="0" w:space="0" w:color="auto"/>
        <w:bottom w:val="none" w:sz="0" w:space="0" w:color="auto"/>
        <w:right w:val="none" w:sz="0" w:space="0" w:color="auto"/>
      </w:divBdr>
    </w:div>
    <w:div w:id="1732464194">
      <w:bodyDiv w:val="1"/>
      <w:marLeft w:val="0"/>
      <w:marRight w:val="0"/>
      <w:marTop w:val="0"/>
      <w:marBottom w:val="0"/>
      <w:divBdr>
        <w:top w:val="none" w:sz="0" w:space="0" w:color="auto"/>
        <w:left w:val="none" w:sz="0" w:space="0" w:color="auto"/>
        <w:bottom w:val="none" w:sz="0" w:space="0" w:color="auto"/>
        <w:right w:val="none" w:sz="0" w:space="0" w:color="auto"/>
      </w:divBdr>
      <w:divsChild>
        <w:div w:id="723405303">
          <w:marLeft w:val="360"/>
          <w:marRight w:val="0"/>
          <w:marTop w:val="200"/>
          <w:marBottom w:val="0"/>
          <w:divBdr>
            <w:top w:val="none" w:sz="0" w:space="0" w:color="auto"/>
            <w:left w:val="none" w:sz="0" w:space="0" w:color="auto"/>
            <w:bottom w:val="none" w:sz="0" w:space="0" w:color="auto"/>
            <w:right w:val="none" w:sz="0" w:space="0" w:color="auto"/>
          </w:divBdr>
        </w:div>
        <w:div w:id="523248290">
          <w:marLeft w:val="360"/>
          <w:marRight w:val="0"/>
          <w:marTop w:val="200"/>
          <w:marBottom w:val="0"/>
          <w:divBdr>
            <w:top w:val="none" w:sz="0" w:space="0" w:color="auto"/>
            <w:left w:val="none" w:sz="0" w:space="0" w:color="auto"/>
            <w:bottom w:val="none" w:sz="0" w:space="0" w:color="auto"/>
            <w:right w:val="none" w:sz="0" w:space="0" w:color="auto"/>
          </w:divBdr>
        </w:div>
        <w:div w:id="307634521">
          <w:marLeft w:val="360"/>
          <w:marRight w:val="0"/>
          <w:marTop w:val="200"/>
          <w:marBottom w:val="0"/>
          <w:divBdr>
            <w:top w:val="none" w:sz="0" w:space="0" w:color="auto"/>
            <w:left w:val="none" w:sz="0" w:space="0" w:color="auto"/>
            <w:bottom w:val="none" w:sz="0" w:space="0" w:color="auto"/>
            <w:right w:val="none" w:sz="0" w:space="0" w:color="auto"/>
          </w:divBdr>
        </w:div>
        <w:div w:id="888758283">
          <w:marLeft w:val="360"/>
          <w:marRight w:val="0"/>
          <w:marTop w:val="200"/>
          <w:marBottom w:val="0"/>
          <w:divBdr>
            <w:top w:val="none" w:sz="0" w:space="0" w:color="auto"/>
            <w:left w:val="none" w:sz="0" w:space="0" w:color="auto"/>
            <w:bottom w:val="none" w:sz="0" w:space="0" w:color="auto"/>
            <w:right w:val="none" w:sz="0" w:space="0" w:color="auto"/>
          </w:divBdr>
        </w:div>
        <w:div w:id="510485851">
          <w:marLeft w:val="360"/>
          <w:marRight w:val="0"/>
          <w:marTop w:val="200"/>
          <w:marBottom w:val="0"/>
          <w:divBdr>
            <w:top w:val="none" w:sz="0" w:space="0" w:color="auto"/>
            <w:left w:val="none" w:sz="0" w:space="0" w:color="auto"/>
            <w:bottom w:val="none" w:sz="0" w:space="0" w:color="auto"/>
            <w:right w:val="none" w:sz="0" w:space="0" w:color="auto"/>
          </w:divBdr>
        </w:div>
        <w:div w:id="1249078393">
          <w:marLeft w:val="360"/>
          <w:marRight w:val="0"/>
          <w:marTop w:val="200"/>
          <w:marBottom w:val="0"/>
          <w:divBdr>
            <w:top w:val="none" w:sz="0" w:space="0" w:color="auto"/>
            <w:left w:val="none" w:sz="0" w:space="0" w:color="auto"/>
            <w:bottom w:val="none" w:sz="0" w:space="0" w:color="auto"/>
            <w:right w:val="none" w:sz="0" w:space="0" w:color="auto"/>
          </w:divBdr>
        </w:div>
        <w:div w:id="1508599961">
          <w:marLeft w:val="360"/>
          <w:marRight w:val="0"/>
          <w:marTop w:val="200"/>
          <w:marBottom w:val="0"/>
          <w:divBdr>
            <w:top w:val="none" w:sz="0" w:space="0" w:color="auto"/>
            <w:left w:val="none" w:sz="0" w:space="0" w:color="auto"/>
            <w:bottom w:val="none" w:sz="0" w:space="0" w:color="auto"/>
            <w:right w:val="none" w:sz="0" w:space="0" w:color="auto"/>
          </w:divBdr>
        </w:div>
      </w:divsChild>
    </w:div>
    <w:div w:id="1774862432">
      <w:bodyDiv w:val="1"/>
      <w:marLeft w:val="0"/>
      <w:marRight w:val="0"/>
      <w:marTop w:val="0"/>
      <w:marBottom w:val="0"/>
      <w:divBdr>
        <w:top w:val="none" w:sz="0" w:space="0" w:color="auto"/>
        <w:left w:val="none" w:sz="0" w:space="0" w:color="auto"/>
        <w:bottom w:val="none" w:sz="0" w:space="0" w:color="auto"/>
        <w:right w:val="none" w:sz="0" w:space="0" w:color="auto"/>
      </w:divBdr>
      <w:divsChild>
        <w:div w:id="2014457605">
          <w:marLeft w:val="1080"/>
          <w:marRight w:val="0"/>
          <w:marTop w:val="100"/>
          <w:marBottom w:val="0"/>
          <w:divBdr>
            <w:top w:val="none" w:sz="0" w:space="0" w:color="auto"/>
            <w:left w:val="none" w:sz="0" w:space="0" w:color="auto"/>
            <w:bottom w:val="none" w:sz="0" w:space="0" w:color="auto"/>
            <w:right w:val="none" w:sz="0" w:space="0" w:color="auto"/>
          </w:divBdr>
        </w:div>
      </w:divsChild>
    </w:div>
    <w:div w:id="1886287455">
      <w:bodyDiv w:val="1"/>
      <w:marLeft w:val="0"/>
      <w:marRight w:val="0"/>
      <w:marTop w:val="0"/>
      <w:marBottom w:val="0"/>
      <w:divBdr>
        <w:top w:val="none" w:sz="0" w:space="0" w:color="auto"/>
        <w:left w:val="none" w:sz="0" w:space="0" w:color="auto"/>
        <w:bottom w:val="none" w:sz="0" w:space="0" w:color="auto"/>
        <w:right w:val="none" w:sz="0" w:space="0" w:color="auto"/>
      </w:divBdr>
    </w:div>
    <w:div w:id="195123400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8392265">
      <w:bodyDiv w:val="1"/>
      <w:marLeft w:val="0"/>
      <w:marRight w:val="0"/>
      <w:marTop w:val="0"/>
      <w:marBottom w:val="0"/>
      <w:divBdr>
        <w:top w:val="none" w:sz="0" w:space="0" w:color="auto"/>
        <w:left w:val="none" w:sz="0" w:space="0" w:color="auto"/>
        <w:bottom w:val="none" w:sz="0" w:space="0" w:color="auto"/>
        <w:right w:val="none" w:sz="0" w:space="0" w:color="auto"/>
      </w:divBdr>
      <w:divsChild>
        <w:div w:id="41757051">
          <w:marLeft w:val="360"/>
          <w:marRight w:val="0"/>
          <w:marTop w:val="200"/>
          <w:marBottom w:val="0"/>
          <w:divBdr>
            <w:top w:val="none" w:sz="0" w:space="0" w:color="auto"/>
            <w:left w:val="none" w:sz="0" w:space="0" w:color="auto"/>
            <w:bottom w:val="none" w:sz="0" w:space="0" w:color="auto"/>
            <w:right w:val="none" w:sz="0" w:space="0" w:color="auto"/>
          </w:divBdr>
        </w:div>
      </w:divsChild>
    </w:div>
    <w:div w:id="1998149616">
      <w:bodyDiv w:val="1"/>
      <w:marLeft w:val="0"/>
      <w:marRight w:val="0"/>
      <w:marTop w:val="0"/>
      <w:marBottom w:val="0"/>
      <w:divBdr>
        <w:top w:val="none" w:sz="0" w:space="0" w:color="auto"/>
        <w:left w:val="none" w:sz="0" w:space="0" w:color="auto"/>
        <w:bottom w:val="none" w:sz="0" w:space="0" w:color="auto"/>
        <w:right w:val="none" w:sz="0" w:space="0" w:color="auto"/>
      </w:divBdr>
      <w:divsChild>
        <w:div w:id="1442991873">
          <w:marLeft w:val="1800"/>
          <w:marRight w:val="0"/>
          <w:marTop w:val="100"/>
          <w:marBottom w:val="0"/>
          <w:divBdr>
            <w:top w:val="none" w:sz="0" w:space="0" w:color="auto"/>
            <w:left w:val="none" w:sz="0" w:space="0" w:color="auto"/>
            <w:bottom w:val="none" w:sz="0" w:space="0" w:color="auto"/>
            <w:right w:val="none" w:sz="0" w:space="0" w:color="auto"/>
          </w:divBdr>
        </w:div>
        <w:div w:id="2045597769">
          <w:marLeft w:val="1800"/>
          <w:marRight w:val="0"/>
          <w:marTop w:val="100"/>
          <w:marBottom w:val="0"/>
          <w:divBdr>
            <w:top w:val="none" w:sz="0" w:space="0" w:color="auto"/>
            <w:left w:val="none" w:sz="0" w:space="0" w:color="auto"/>
            <w:bottom w:val="none" w:sz="0" w:space="0" w:color="auto"/>
            <w:right w:val="none" w:sz="0" w:space="0" w:color="auto"/>
          </w:divBdr>
        </w:div>
        <w:div w:id="2012904152">
          <w:marLeft w:val="1800"/>
          <w:marRight w:val="0"/>
          <w:marTop w:val="100"/>
          <w:marBottom w:val="0"/>
          <w:divBdr>
            <w:top w:val="none" w:sz="0" w:space="0" w:color="auto"/>
            <w:left w:val="none" w:sz="0" w:space="0" w:color="auto"/>
            <w:bottom w:val="none" w:sz="0" w:space="0" w:color="auto"/>
            <w:right w:val="none" w:sz="0" w:space="0" w:color="auto"/>
          </w:divBdr>
        </w:div>
        <w:div w:id="248079967">
          <w:marLeft w:val="1800"/>
          <w:marRight w:val="0"/>
          <w:marTop w:val="100"/>
          <w:marBottom w:val="0"/>
          <w:divBdr>
            <w:top w:val="none" w:sz="0" w:space="0" w:color="auto"/>
            <w:left w:val="none" w:sz="0" w:space="0" w:color="auto"/>
            <w:bottom w:val="none" w:sz="0" w:space="0" w:color="auto"/>
            <w:right w:val="none" w:sz="0" w:space="0" w:color="auto"/>
          </w:divBdr>
        </w:div>
      </w:divsChild>
    </w:div>
    <w:div w:id="202882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C649-2107-484F-BF92-62A1031E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16815</Words>
  <Characters>92287</Characters>
  <Application>Microsoft Office Word</Application>
  <DocSecurity>0</DocSecurity>
  <Lines>769</Lines>
  <Paragraphs>217</Paragraphs>
  <ScaleCrop>false</ScaleCrop>
  <Company/>
  <LinksUpToDate>false</LinksUpToDate>
  <CharactersWithSpaces>108885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2022-06-26T02:50:00Z</dcterms:created>
  <dcterms:modified xsi:type="dcterms:W3CDTF">2022-06-26T02:51:00Z</dcterms:modified>
</cp:coreProperties>
</file>