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701A" w14:textId="0EFE8C53" w:rsidR="00B60939" w:rsidRPr="0084495F" w:rsidRDefault="002B0E29" w:rsidP="00497EB6">
      <w:pPr>
        <w:pStyle w:val="1-MainHeading"/>
      </w:pPr>
      <w:r w:rsidRPr="0084495F">
        <w:t>5</w:t>
      </w:r>
      <w:r w:rsidR="00433044" w:rsidRPr="0084495F">
        <w:t>.</w:t>
      </w:r>
      <w:r w:rsidRPr="0084495F">
        <w:t>20</w:t>
      </w:r>
      <w:r w:rsidR="00163F66" w:rsidRPr="0084495F">
        <w:tab/>
      </w:r>
      <w:r w:rsidR="00264435" w:rsidRPr="0084495F">
        <w:t>VERICIGUAT</w:t>
      </w:r>
      <w:r w:rsidR="00163F66" w:rsidRPr="0084495F">
        <w:t>,</w:t>
      </w:r>
      <w:r w:rsidR="00163F66" w:rsidRPr="0084495F">
        <w:br/>
      </w:r>
      <w:r w:rsidR="00497EB6" w:rsidRPr="0084495F">
        <w:t>Tablet 2.5 mg, Tablet 5 mg, Tablet 10 mg,</w:t>
      </w:r>
      <w:r w:rsidR="00497EB6" w:rsidRPr="0084495F">
        <w:br/>
      </w:r>
      <w:proofErr w:type="spellStart"/>
      <w:r w:rsidR="00264435" w:rsidRPr="0084495F">
        <w:t>Verquvo</w:t>
      </w:r>
      <w:proofErr w:type="spellEnd"/>
      <w:r w:rsidR="00B60939" w:rsidRPr="0084495F">
        <w:rPr>
          <w:vertAlign w:val="superscript"/>
        </w:rPr>
        <w:t>®</w:t>
      </w:r>
      <w:r w:rsidR="004A6040" w:rsidRPr="0084495F">
        <w:t>,</w:t>
      </w:r>
      <w:r w:rsidR="004A6040" w:rsidRPr="0084495F">
        <w:br/>
      </w:r>
      <w:r w:rsidR="00264435" w:rsidRPr="0084495F">
        <w:t>Bayer Australia Limited</w:t>
      </w:r>
      <w:r w:rsidR="00B60939" w:rsidRPr="0084495F">
        <w:t>.</w:t>
      </w:r>
    </w:p>
    <w:p w14:paraId="0EDF47BE" w14:textId="3D3DAF52" w:rsidR="00E95D18" w:rsidRPr="0084495F" w:rsidRDefault="00E95D18" w:rsidP="00E95D18">
      <w:pPr>
        <w:pStyle w:val="2-SectionHeading"/>
      </w:pPr>
      <w:bookmarkStart w:id="0" w:name="_Toc92732969"/>
      <w:bookmarkStart w:id="1" w:name="_Toc22897638"/>
      <w:bookmarkStart w:id="2" w:name="_Toc92732971"/>
      <w:r w:rsidRPr="0084495F">
        <w:t>Purpose of submission</w:t>
      </w:r>
      <w:bookmarkEnd w:id="0"/>
    </w:p>
    <w:p w14:paraId="26CFECDC" w14:textId="77777777" w:rsidR="00E95D18" w:rsidRPr="0084495F" w:rsidRDefault="00E95D18" w:rsidP="00E95D18">
      <w:pPr>
        <w:pStyle w:val="ExecSumBodyText"/>
      </w:pPr>
      <w:r w:rsidRPr="0084495F">
        <w:t xml:space="preserve">The Category 2 submission requested an Authority Required (Streamlined) listing of vericiguat for </w:t>
      </w:r>
      <w:r w:rsidRPr="0084495F">
        <w:rPr>
          <w:rFonts w:cs="Calibri"/>
        </w:rPr>
        <w:t>the treatment of patients with symptomatic chronic heart failure (NYHA class II, III and IV) with reduced ejection fraction (LVEF &lt;45%) who are stabilised after a recent decompensation event requiring hospitalisation and/or intravenous diuretic therapy and are on concomitant standard of care (SoC) therapies</w:t>
      </w:r>
      <w:r w:rsidRPr="0084495F">
        <w:t>.</w:t>
      </w:r>
    </w:p>
    <w:p w14:paraId="11BE8D8A" w14:textId="77777777" w:rsidR="00E95D18" w:rsidRPr="0084495F" w:rsidRDefault="00E95D18" w:rsidP="00E95D18">
      <w:pPr>
        <w:pStyle w:val="ExecSumBodyText"/>
      </w:pPr>
      <w:r w:rsidRPr="0084495F">
        <w:t xml:space="preserve">Listing was requested </w:t>
      </w:r>
      <w:proofErr w:type="gramStart"/>
      <w:r w:rsidRPr="0084495F">
        <w:t>on the basis of</w:t>
      </w:r>
      <w:proofErr w:type="gramEnd"/>
      <w:r w:rsidRPr="0084495F">
        <w:t xml:space="preserve"> a cost-effectiveness analysis for vericiguat plus SoC versus placebo plus </w:t>
      </w:r>
      <w:proofErr w:type="spellStart"/>
      <w:r w:rsidRPr="0084495F">
        <w:t>SoC.</w:t>
      </w:r>
      <w:proofErr w:type="spellEnd"/>
    </w:p>
    <w:p w14:paraId="5648A3E6" w14:textId="73ADD10C" w:rsidR="00E95D18" w:rsidRPr="0084495F" w:rsidRDefault="00E95D18" w:rsidP="00E95D18">
      <w:pPr>
        <w:pStyle w:val="TableHeading"/>
      </w:pPr>
      <w:r w:rsidRPr="0084495F">
        <w:t xml:space="preserve">Table </w:t>
      </w:r>
      <w:r w:rsidR="00C16DA1">
        <w:fldChar w:fldCharType="begin"/>
      </w:r>
      <w:r w:rsidR="00C16DA1">
        <w:instrText xml:space="preserve"> SEQ Table \* ARABIC </w:instrText>
      </w:r>
      <w:r w:rsidR="00C16DA1">
        <w:fldChar w:fldCharType="separate"/>
      </w:r>
      <w:r w:rsidR="0084495F" w:rsidRPr="0084495F">
        <w:t>1</w:t>
      </w:r>
      <w:r w:rsidR="00C16DA1">
        <w:fldChar w:fldCharType="end"/>
      </w:r>
      <w:r w:rsidRPr="0084495F">
        <w:t xml:space="preserve">: Key components of the clinical issue addressed by the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E95D18" w:rsidRPr="0084495F" w14:paraId="15ECF9CB" w14:textId="77777777" w:rsidTr="00FE2DF0">
        <w:trPr>
          <w:cantSplit/>
          <w:tblHeader/>
        </w:trPr>
        <w:tc>
          <w:tcPr>
            <w:tcW w:w="705" w:type="pct"/>
            <w:shd w:val="clear" w:color="auto" w:fill="auto"/>
          </w:tcPr>
          <w:p w14:paraId="3BC4944F" w14:textId="77777777" w:rsidR="00E95D18" w:rsidRPr="0084495F" w:rsidRDefault="00E95D18" w:rsidP="00FE2DF0">
            <w:pPr>
              <w:pStyle w:val="Tableheadingrow"/>
              <w:rPr>
                <w:szCs w:val="20"/>
                <w:lang w:val="en-AU"/>
              </w:rPr>
            </w:pPr>
            <w:r w:rsidRPr="0084495F">
              <w:rPr>
                <w:lang w:val="en-AU"/>
              </w:rPr>
              <w:t>Component</w:t>
            </w:r>
          </w:p>
        </w:tc>
        <w:tc>
          <w:tcPr>
            <w:tcW w:w="4295" w:type="pct"/>
            <w:shd w:val="clear" w:color="auto" w:fill="auto"/>
          </w:tcPr>
          <w:p w14:paraId="7F7A67CC" w14:textId="77777777" w:rsidR="00E95D18" w:rsidRPr="0084495F" w:rsidRDefault="00E95D18" w:rsidP="00FE2DF0">
            <w:pPr>
              <w:pStyle w:val="Tableheadingrow"/>
              <w:rPr>
                <w:lang w:val="en-AU"/>
              </w:rPr>
            </w:pPr>
            <w:r w:rsidRPr="0084495F">
              <w:rPr>
                <w:lang w:val="en-AU"/>
              </w:rPr>
              <w:t>Description</w:t>
            </w:r>
          </w:p>
        </w:tc>
      </w:tr>
      <w:tr w:rsidR="00E95D18" w:rsidRPr="0084495F" w14:paraId="57A1F4A2" w14:textId="77777777" w:rsidTr="00FE2DF0">
        <w:trPr>
          <w:cantSplit/>
        </w:trPr>
        <w:tc>
          <w:tcPr>
            <w:tcW w:w="705" w:type="pct"/>
            <w:shd w:val="clear" w:color="auto" w:fill="auto"/>
          </w:tcPr>
          <w:p w14:paraId="3F379DD0" w14:textId="77777777" w:rsidR="00E95D18" w:rsidRPr="0084495F" w:rsidRDefault="00E95D18" w:rsidP="00FE2DF0">
            <w:pPr>
              <w:pStyle w:val="TableText"/>
            </w:pPr>
            <w:r w:rsidRPr="0084495F">
              <w:t>Population</w:t>
            </w:r>
          </w:p>
        </w:tc>
        <w:tc>
          <w:tcPr>
            <w:tcW w:w="4295" w:type="pct"/>
            <w:shd w:val="clear" w:color="auto" w:fill="auto"/>
          </w:tcPr>
          <w:p w14:paraId="53AE0FD3" w14:textId="77777777" w:rsidR="00E95D18" w:rsidRPr="0084495F" w:rsidRDefault="00E95D18" w:rsidP="00FE2DF0">
            <w:pPr>
              <w:pStyle w:val="TableText"/>
              <w:rPr>
                <w:szCs w:val="20"/>
              </w:rPr>
            </w:pPr>
            <w:r w:rsidRPr="0084495F">
              <w:rPr>
                <w:rFonts w:eastAsia="MS Gothic" w:cs="Times New Roman"/>
                <w:szCs w:val="20"/>
              </w:rPr>
              <w:t>Adult patients with symptomatic (NYHA class II, III or IV) chronic heart failure with reduced ejection fraction (</w:t>
            </w:r>
            <w:proofErr w:type="spellStart"/>
            <w:r w:rsidRPr="0084495F">
              <w:rPr>
                <w:rFonts w:eastAsia="MS Gothic" w:cs="Times New Roman"/>
                <w:szCs w:val="20"/>
              </w:rPr>
              <w:t>HFrEF</w:t>
            </w:r>
            <w:proofErr w:type="spellEnd"/>
            <w:r w:rsidRPr="0084495F">
              <w:rPr>
                <w:rFonts w:eastAsia="MS Gothic" w:cs="Times New Roman"/>
                <w:szCs w:val="20"/>
              </w:rPr>
              <w:t>, LVEF &lt;45%) who are stabilised after a recent decompensation event requiring hospitalisation and/or intravenous diuretic therapy</w:t>
            </w:r>
          </w:p>
        </w:tc>
      </w:tr>
      <w:tr w:rsidR="00E95D18" w:rsidRPr="0084495F" w14:paraId="1F897DE0" w14:textId="77777777" w:rsidTr="00FE2DF0">
        <w:trPr>
          <w:cantSplit/>
        </w:trPr>
        <w:tc>
          <w:tcPr>
            <w:tcW w:w="705" w:type="pct"/>
            <w:shd w:val="clear" w:color="auto" w:fill="auto"/>
          </w:tcPr>
          <w:p w14:paraId="7B32C2AA" w14:textId="77777777" w:rsidR="00E95D18" w:rsidRPr="0084495F" w:rsidRDefault="00E95D18" w:rsidP="00FE2DF0">
            <w:pPr>
              <w:pStyle w:val="TableText"/>
            </w:pPr>
            <w:r w:rsidRPr="0084495F">
              <w:t>Intervention</w:t>
            </w:r>
          </w:p>
        </w:tc>
        <w:tc>
          <w:tcPr>
            <w:tcW w:w="4295" w:type="pct"/>
            <w:shd w:val="clear" w:color="auto" w:fill="auto"/>
            <w:vAlign w:val="center"/>
          </w:tcPr>
          <w:p w14:paraId="6562EF76" w14:textId="77777777" w:rsidR="00E95D18" w:rsidRPr="0084495F" w:rsidRDefault="00E95D18" w:rsidP="00FE2DF0">
            <w:pPr>
              <w:pStyle w:val="TableText"/>
            </w:pPr>
            <w:r w:rsidRPr="0084495F">
              <w:rPr>
                <w:rFonts w:eastAsia="MS Gothic" w:cs="Times New Roman"/>
                <w:szCs w:val="20"/>
              </w:rPr>
              <w:t xml:space="preserve">Vericiguat 2.5 mg </w:t>
            </w:r>
            <w:proofErr w:type="gramStart"/>
            <w:r w:rsidRPr="0084495F">
              <w:rPr>
                <w:rFonts w:eastAsia="MS Gothic" w:cs="Times New Roman"/>
                <w:szCs w:val="20"/>
              </w:rPr>
              <w:t>up-titrated</w:t>
            </w:r>
            <w:proofErr w:type="gramEnd"/>
            <w:r w:rsidRPr="0084495F">
              <w:rPr>
                <w:rFonts w:eastAsia="MS Gothic" w:cs="Times New Roman"/>
                <w:szCs w:val="20"/>
              </w:rPr>
              <w:t xml:space="preserve"> to 10 mg once daily, with concomitant use of standard of care therapies</w:t>
            </w:r>
          </w:p>
        </w:tc>
      </w:tr>
      <w:tr w:rsidR="00E95D18" w:rsidRPr="0084495F" w14:paraId="3B00809A" w14:textId="77777777" w:rsidTr="00FE2DF0">
        <w:trPr>
          <w:cantSplit/>
        </w:trPr>
        <w:tc>
          <w:tcPr>
            <w:tcW w:w="705" w:type="pct"/>
            <w:shd w:val="clear" w:color="auto" w:fill="auto"/>
          </w:tcPr>
          <w:p w14:paraId="78AEC573" w14:textId="77777777" w:rsidR="00E95D18" w:rsidRPr="0084495F" w:rsidRDefault="00E95D18" w:rsidP="00FE2DF0">
            <w:pPr>
              <w:pStyle w:val="TableText"/>
            </w:pPr>
            <w:r w:rsidRPr="0084495F">
              <w:t>Comparator</w:t>
            </w:r>
          </w:p>
        </w:tc>
        <w:tc>
          <w:tcPr>
            <w:tcW w:w="4295" w:type="pct"/>
            <w:shd w:val="clear" w:color="auto" w:fill="auto"/>
          </w:tcPr>
          <w:p w14:paraId="63D9CD21" w14:textId="77777777" w:rsidR="00E95D18" w:rsidRPr="0084495F" w:rsidRDefault="00E95D18" w:rsidP="00FE2DF0">
            <w:pPr>
              <w:keepNext/>
              <w:rPr>
                <w:rFonts w:ascii="Arial Narrow" w:eastAsia="MS Gothic" w:hAnsi="Arial Narrow" w:cs="Times New Roman"/>
                <w:bCs/>
                <w:sz w:val="20"/>
                <w:szCs w:val="20"/>
              </w:rPr>
            </w:pPr>
            <w:r w:rsidRPr="0084495F">
              <w:rPr>
                <w:rFonts w:ascii="Arial Narrow" w:eastAsia="MS Gothic" w:hAnsi="Arial Narrow" w:cs="Times New Roman"/>
                <w:bCs/>
                <w:sz w:val="20"/>
                <w:szCs w:val="20"/>
              </w:rPr>
              <w:t xml:space="preserve">Placebo plus standard of care (SoC). </w:t>
            </w:r>
          </w:p>
          <w:p w14:paraId="359F4AAC" w14:textId="77777777" w:rsidR="00E95D18" w:rsidRPr="0084495F" w:rsidRDefault="00E95D18" w:rsidP="00FE2DF0">
            <w:pPr>
              <w:pStyle w:val="TableText"/>
            </w:pPr>
            <w:r w:rsidRPr="0084495F">
              <w:rPr>
                <w:rFonts w:eastAsia="MS Gothic" w:cs="Times New Roman"/>
                <w:szCs w:val="20"/>
              </w:rPr>
              <w:t xml:space="preserve">SoC therapies include </w:t>
            </w:r>
            <w:proofErr w:type="spellStart"/>
            <w:r w:rsidRPr="0084495F">
              <w:rPr>
                <w:rFonts w:eastAsia="MS Gothic" w:cs="Times New Roman"/>
                <w:szCs w:val="20"/>
              </w:rPr>
              <w:t>ACEi</w:t>
            </w:r>
            <w:proofErr w:type="spellEnd"/>
            <w:r w:rsidRPr="0084495F">
              <w:rPr>
                <w:rFonts w:eastAsia="MS Gothic" w:cs="Times New Roman"/>
                <w:szCs w:val="20"/>
              </w:rPr>
              <w:t xml:space="preserve">/ARB or </w:t>
            </w:r>
            <w:proofErr w:type="spellStart"/>
            <w:r w:rsidRPr="0084495F">
              <w:rPr>
                <w:rFonts w:eastAsia="MS Gothic" w:cs="Times New Roman"/>
                <w:szCs w:val="20"/>
              </w:rPr>
              <w:t>ARNi</w:t>
            </w:r>
            <w:proofErr w:type="spellEnd"/>
            <w:r w:rsidRPr="0084495F">
              <w:rPr>
                <w:rFonts w:eastAsia="MS Gothic" w:cs="Times New Roman"/>
                <w:szCs w:val="20"/>
              </w:rPr>
              <w:t>, beta-blocker, MRA, diuretics</w:t>
            </w:r>
          </w:p>
        </w:tc>
      </w:tr>
      <w:tr w:rsidR="00E95D18" w:rsidRPr="0084495F" w14:paraId="658E6A8E" w14:textId="77777777" w:rsidTr="00FE2DF0">
        <w:trPr>
          <w:cantSplit/>
        </w:trPr>
        <w:tc>
          <w:tcPr>
            <w:tcW w:w="705" w:type="pct"/>
            <w:shd w:val="clear" w:color="auto" w:fill="auto"/>
          </w:tcPr>
          <w:p w14:paraId="1D525ECD" w14:textId="77777777" w:rsidR="00E95D18" w:rsidRPr="0084495F" w:rsidRDefault="00E95D18" w:rsidP="00FE2DF0">
            <w:pPr>
              <w:pStyle w:val="TableText"/>
            </w:pPr>
            <w:r w:rsidRPr="0084495F">
              <w:t>Outcomes</w:t>
            </w:r>
          </w:p>
        </w:tc>
        <w:tc>
          <w:tcPr>
            <w:tcW w:w="4295" w:type="pct"/>
            <w:shd w:val="clear" w:color="auto" w:fill="auto"/>
          </w:tcPr>
          <w:p w14:paraId="7C0BA38E" w14:textId="77777777" w:rsidR="00E95D18" w:rsidRPr="0084495F" w:rsidRDefault="00E95D18" w:rsidP="00FE2DF0">
            <w:pPr>
              <w:pStyle w:val="TableText"/>
              <w:rPr>
                <w:rFonts w:eastAsia="Times New Roman" w:cs="Arial"/>
                <w:bCs w:val="0"/>
                <w:snapToGrid w:val="0"/>
                <w:szCs w:val="20"/>
              </w:rPr>
            </w:pPr>
            <w:r w:rsidRPr="0084495F">
              <w:rPr>
                <w:rFonts w:eastAsia="MS Gothic" w:cs="Calibri"/>
                <w:szCs w:val="20"/>
              </w:rPr>
              <w:t>Primary composite outcome of cardiovascular death and hospitalisation for heart failure, and secondary or exploratory outcomes of time to cardiovascular death, time to first and subsequent heart failure hospitalisation, quality of life outcomes, and safety</w:t>
            </w:r>
          </w:p>
        </w:tc>
      </w:tr>
      <w:tr w:rsidR="00E95D18" w:rsidRPr="0084495F" w14:paraId="114B58B1" w14:textId="77777777" w:rsidTr="00FE2DF0">
        <w:trPr>
          <w:cantSplit/>
        </w:trPr>
        <w:tc>
          <w:tcPr>
            <w:tcW w:w="705" w:type="pct"/>
            <w:shd w:val="clear" w:color="auto" w:fill="auto"/>
          </w:tcPr>
          <w:p w14:paraId="239AC00D" w14:textId="77777777" w:rsidR="00E95D18" w:rsidRPr="0084495F" w:rsidRDefault="00E95D18" w:rsidP="00FE2DF0">
            <w:pPr>
              <w:pStyle w:val="TableText"/>
            </w:pPr>
            <w:r w:rsidRPr="0084495F">
              <w:t>Clinical claim</w:t>
            </w:r>
          </w:p>
        </w:tc>
        <w:tc>
          <w:tcPr>
            <w:tcW w:w="4295" w:type="pct"/>
            <w:shd w:val="clear" w:color="auto" w:fill="auto"/>
          </w:tcPr>
          <w:p w14:paraId="02C66CDF" w14:textId="77777777" w:rsidR="00E95D18" w:rsidRPr="0084495F" w:rsidRDefault="00E95D18" w:rsidP="00FE2DF0">
            <w:pPr>
              <w:pStyle w:val="TableText"/>
              <w:rPr>
                <w:rFonts w:eastAsia="Times New Roman" w:cs="Arial"/>
                <w:bCs w:val="0"/>
                <w:snapToGrid w:val="0"/>
                <w:szCs w:val="20"/>
              </w:rPr>
            </w:pPr>
            <w:r w:rsidRPr="0084495F">
              <w:rPr>
                <w:rFonts w:eastAsia="MS Gothic" w:cs="Calibri"/>
                <w:szCs w:val="20"/>
              </w:rPr>
              <w:t>Vericiguat plus standard of care is superior in terms of efficacy and comparable in terms of safety compared to placebo plus standard of care</w:t>
            </w:r>
          </w:p>
        </w:tc>
      </w:tr>
    </w:tbl>
    <w:p w14:paraId="12964231" w14:textId="77777777" w:rsidR="00E95D18" w:rsidRPr="0084495F" w:rsidRDefault="00E95D18" w:rsidP="00E95D18">
      <w:pPr>
        <w:pStyle w:val="TableFigureFooter"/>
        <w:rPr>
          <w:sz w:val="20"/>
        </w:rPr>
      </w:pPr>
      <w:r w:rsidRPr="0084495F">
        <w:t>Source: Table 1-1, p31 of the submission</w:t>
      </w:r>
    </w:p>
    <w:p w14:paraId="799B7F75" w14:textId="2EB7F96D" w:rsidR="002E116B" w:rsidRPr="0084495F" w:rsidRDefault="002E116B" w:rsidP="002E116B">
      <w:pPr>
        <w:pStyle w:val="2-SectionHeading"/>
      </w:pPr>
      <w:r w:rsidRPr="0084495F">
        <w:t>Background</w:t>
      </w:r>
    </w:p>
    <w:p w14:paraId="2C521D6D" w14:textId="2DA04C4A" w:rsidR="005C25FF" w:rsidRPr="0084495F" w:rsidRDefault="005C25FF" w:rsidP="004A6040">
      <w:pPr>
        <w:pStyle w:val="3-SubsectionHeading"/>
      </w:pPr>
      <w:r w:rsidRPr="0084495F">
        <w:t>Registration status</w:t>
      </w:r>
      <w:bookmarkEnd w:id="1"/>
      <w:bookmarkEnd w:id="2"/>
    </w:p>
    <w:p w14:paraId="0D29EF7A" w14:textId="7F72365E" w:rsidR="00C37555" w:rsidRPr="0084495F" w:rsidRDefault="00C37555" w:rsidP="00C37555">
      <w:pPr>
        <w:pStyle w:val="ExecSumBodyText"/>
      </w:pPr>
      <w:r w:rsidRPr="0084495F">
        <w:t xml:space="preserve">Vericiguat was submitted under the TGA/PBAC parallel process, via the Access Consortium New Active Substance work-sharing initiative, divided across three regulatory agencies (TGA Australia, </w:t>
      </w:r>
      <w:proofErr w:type="spellStart"/>
      <w:r w:rsidRPr="0084495F">
        <w:t>Swissmedic</w:t>
      </w:r>
      <w:proofErr w:type="spellEnd"/>
      <w:r w:rsidRPr="0084495F">
        <w:t xml:space="preserve"> Switzerland, Singapore Health Sciences Authority Singapore). </w:t>
      </w:r>
    </w:p>
    <w:p w14:paraId="1CD4E367" w14:textId="77777777" w:rsidR="00C37555" w:rsidRPr="0084495F" w:rsidRDefault="00C37555" w:rsidP="00C37555">
      <w:pPr>
        <w:pStyle w:val="ExecSumBodyText"/>
      </w:pPr>
      <w:r w:rsidRPr="0084495F">
        <w:t>Vericiguat was listed on the Australian Register of Therapeutic Goods (15 November 2021) for the following indication:</w:t>
      </w:r>
    </w:p>
    <w:p w14:paraId="2E24B638" w14:textId="77777777" w:rsidR="00C37555" w:rsidRPr="0084495F" w:rsidRDefault="00C37555" w:rsidP="00C37555">
      <w:pPr>
        <w:pStyle w:val="ExecSumBodyText"/>
        <w:numPr>
          <w:ilvl w:val="0"/>
          <w:numId w:val="0"/>
        </w:numPr>
        <w:ind w:left="720"/>
      </w:pPr>
      <w:r w:rsidRPr="0084495F">
        <w:t xml:space="preserve">In addition to standard of care therapy for the treatment of symptomatic chronic heart failure in adult patients with reduced ejection fraction less than 45% who are stabilised </w:t>
      </w:r>
      <w:r w:rsidRPr="0084495F">
        <w:lastRenderedPageBreak/>
        <w:t>after a recent heart failure decompensation event requiring admission and/or IV diuretic therapy.</w:t>
      </w:r>
    </w:p>
    <w:p w14:paraId="516F46FA" w14:textId="77777777" w:rsidR="00C37555" w:rsidRPr="0084495F" w:rsidRDefault="00C37555" w:rsidP="00C37555">
      <w:pPr>
        <w:pStyle w:val="ExecSumBodyText"/>
      </w:pPr>
      <w:r w:rsidRPr="0084495F">
        <w:t>Vericiguat has not previously been considered by the PBAC.</w:t>
      </w:r>
    </w:p>
    <w:p w14:paraId="76E4EF3C" w14:textId="1294CECD" w:rsidR="00B60939" w:rsidRPr="0084495F" w:rsidRDefault="00B50DB8" w:rsidP="004E18E9">
      <w:pPr>
        <w:pStyle w:val="2-SectionHeading"/>
      </w:pPr>
      <w:bookmarkStart w:id="3" w:name="_Toc92732972"/>
      <w:r w:rsidRPr="0084495F">
        <w:t>Requested listing</w:t>
      </w:r>
      <w:bookmarkEnd w:id="3"/>
    </w:p>
    <w:p w14:paraId="71CE5C18" w14:textId="53CE6ABF" w:rsidR="00456ED1" w:rsidRPr="0084495F" w:rsidRDefault="00456ED1" w:rsidP="00456ED1">
      <w:pPr>
        <w:pStyle w:val="ExecSumBodyText"/>
        <w:spacing w:after="240"/>
      </w:pPr>
      <w:r w:rsidRPr="0084495F">
        <w:t xml:space="preserve">The restriction proposed in the submission is outlined below with the amendments advised by the PBAC in italics (additions) and strikethrough (deletions). </w:t>
      </w:r>
    </w:p>
    <w:tbl>
      <w:tblPr>
        <w:tblW w:w="4977" w:type="pct"/>
        <w:tblInd w:w="28" w:type="dxa"/>
        <w:tblCellMar>
          <w:left w:w="28" w:type="dxa"/>
          <w:right w:w="28" w:type="dxa"/>
        </w:tblCellMar>
        <w:tblLook w:val="0000" w:firstRow="0" w:lastRow="0" w:firstColumn="0" w:lastColumn="0" w:noHBand="0" w:noVBand="0"/>
      </w:tblPr>
      <w:tblGrid>
        <w:gridCol w:w="2805"/>
        <w:gridCol w:w="1278"/>
        <w:gridCol w:w="1145"/>
        <w:gridCol w:w="1495"/>
        <w:gridCol w:w="2262"/>
      </w:tblGrid>
      <w:tr w:rsidR="00714938" w:rsidRPr="0084495F" w14:paraId="25DB15CF" w14:textId="77777777" w:rsidTr="002B0E29">
        <w:trPr>
          <w:cantSplit/>
          <w:trHeight w:val="463"/>
        </w:trPr>
        <w:tc>
          <w:tcPr>
            <w:tcW w:w="1561" w:type="pct"/>
            <w:tcBorders>
              <w:top w:val="single" w:sz="4" w:space="0" w:color="auto"/>
              <w:bottom w:val="single" w:sz="4" w:space="0" w:color="auto"/>
            </w:tcBorders>
            <w:vAlign w:val="center"/>
          </w:tcPr>
          <w:p w14:paraId="1F7704E5" w14:textId="77777777" w:rsidR="00714938" w:rsidRPr="0084495F" w:rsidRDefault="00714938" w:rsidP="002B0E29">
            <w:pPr>
              <w:keepNext/>
              <w:jc w:val="left"/>
              <w:rPr>
                <w:rFonts w:ascii="Arial Narrow" w:hAnsi="Arial Narrow"/>
                <w:b/>
                <w:sz w:val="20"/>
              </w:rPr>
            </w:pPr>
            <w:r w:rsidRPr="0084495F">
              <w:rPr>
                <w:rFonts w:ascii="Arial Narrow" w:hAnsi="Arial Narrow"/>
                <w:b/>
                <w:sz w:val="20"/>
              </w:rPr>
              <w:t>Name, Restriction,</w:t>
            </w:r>
          </w:p>
          <w:p w14:paraId="34038EB2" w14:textId="77777777" w:rsidR="00714938" w:rsidRPr="0084495F" w:rsidRDefault="00714938" w:rsidP="002B0E29">
            <w:pPr>
              <w:keepNext/>
              <w:jc w:val="left"/>
              <w:rPr>
                <w:rFonts w:ascii="Arial Narrow" w:hAnsi="Arial Narrow"/>
                <w:b/>
                <w:sz w:val="20"/>
              </w:rPr>
            </w:pPr>
            <w:r w:rsidRPr="0084495F">
              <w:rPr>
                <w:rFonts w:ascii="Arial Narrow" w:hAnsi="Arial Narrow"/>
                <w:b/>
                <w:sz w:val="20"/>
              </w:rPr>
              <w:t>Manner of administration and form</w:t>
            </w:r>
          </w:p>
        </w:tc>
        <w:tc>
          <w:tcPr>
            <w:tcW w:w="711" w:type="pct"/>
            <w:tcBorders>
              <w:top w:val="single" w:sz="4" w:space="0" w:color="auto"/>
              <w:bottom w:val="single" w:sz="4" w:space="0" w:color="auto"/>
            </w:tcBorders>
            <w:vAlign w:val="center"/>
          </w:tcPr>
          <w:p w14:paraId="078623C6" w14:textId="77777777" w:rsidR="00714938" w:rsidRPr="0084495F" w:rsidRDefault="00714938" w:rsidP="002B0E29">
            <w:pPr>
              <w:keepNext/>
              <w:jc w:val="center"/>
              <w:rPr>
                <w:rFonts w:ascii="Arial Narrow" w:hAnsi="Arial Narrow"/>
                <w:b/>
                <w:sz w:val="20"/>
              </w:rPr>
            </w:pPr>
            <w:r w:rsidRPr="0084495F">
              <w:rPr>
                <w:rFonts w:ascii="Arial Narrow" w:hAnsi="Arial Narrow"/>
                <w:b/>
                <w:sz w:val="20"/>
              </w:rPr>
              <w:t xml:space="preserve">Max. Qty </w:t>
            </w:r>
          </w:p>
        </w:tc>
        <w:tc>
          <w:tcPr>
            <w:tcW w:w="637" w:type="pct"/>
            <w:tcBorders>
              <w:top w:val="single" w:sz="4" w:space="0" w:color="auto"/>
              <w:bottom w:val="single" w:sz="4" w:space="0" w:color="auto"/>
            </w:tcBorders>
            <w:vAlign w:val="center"/>
          </w:tcPr>
          <w:p w14:paraId="401725FE" w14:textId="77777777" w:rsidR="00714938" w:rsidRPr="0084495F" w:rsidRDefault="00714938" w:rsidP="002B0E29">
            <w:pPr>
              <w:keepNext/>
              <w:jc w:val="center"/>
              <w:rPr>
                <w:rFonts w:ascii="Arial Narrow" w:hAnsi="Arial Narrow"/>
                <w:b/>
                <w:sz w:val="20"/>
              </w:rPr>
            </w:pPr>
            <w:proofErr w:type="gramStart"/>
            <w:r w:rsidRPr="0084495F">
              <w:rPr>
                <w:rFonts w:ascii="Arial Narrow" w:hAnsi="Arial Narrow" w:cs="Times New Roman"/>
                <w:b/>
                <w:sz w:val="20"/>
              </w:rPr>
              <w:t>№</w:t>
            </w:r>
            <w:r w:rsidRPr="0084495F">
              <w:rPr>
                <w:rFonts w:ascii="Arial Narrow" w:hAnsi="Arial Narrow"/>
                <w:b/>
                <w:sz w:val="20"/>
              </w:rPr>
              <w:t>.of</w:t>
            </w:r>
            <w:proofErr w:type="gramEnd"/>
            <w:r w:rsidRPr="0084495F">
              <w:rPr>
                <w:rFonts w:ascii="Arial Narrow" w:hAnsi="Arial Narrow"/>
                <w:b/>
                <w:sz w:val="20"/>
              </w:rPr>
              <w:t xml:space="preserve"> </w:t>
            </w:r>
            <w:proofErr w:type="spellStart"/>
            <w:r w:rsidRPr="0084495F">
              <w:rPr>
                <w:rFonts w:ascii="Arial Narrow" w:hAnsi="Arial Narrow"/>
                <w:b/>
                <w:sz w:val="20"/>
              </w:rPr>
              <w:t>Rpts</w:t>
            </w:r>
            <w:proofErr w:type="spellEnd"/>
          </w:p>
        </w:tc>
        <w:tc>
          <w:tcPr>
            <w:tcW w:w="832" w:type="pct"/>
            <w:tcBorders>
              <w:top w:val="single" w:sz="4" w:space="0" w:color="auto"/>
              <w:bottom w:val="single" w:sz="4" w:space="0" w:color="auto"/>
            </w:tcBorders>
            <w:vAlign w:val="center"/>
          </w:tcPr>
          <w:p w14:paraId="53194A8D" w14:textId="77777777" w:rsidR="00714938" w:rsidRPr="0084495F" w:rsidRDefault="00714938" w:rsidP="002B0E29">
            <w:pPr>
              <w:keepNext/>
              <w:jc w:val="center"/>
              <w:rPr>
                <w:rFonts w:ascii="Arial Narrow" w:hAnsi="Arial Narrow"/>
                <w:b/>
                <w:sz w:val="20"/>
              </w:rPr>
            </w:pPr>
            <w:r w:rsidRPr="0084495F">
              <w:rPr>
                <w:rFonts w:ascii="Arial Narrow" w:hAnsi="Arial Narrow"/>
                <w:b/>
                <w:sz w:val="20"/>
              </w:rPr>
              <w:t>Dispensed Price for Max. Qty</w:t>
            </w:r>
          </w:p>
        </w:tc>
        <w:tc>
          <w:tcPr>
            <w:tcW w:w="1259" w:type="pct"/>
            <w:tcBorders>
              <w:top w:val="single" w:sz="4" w:space="0" w:color="auto"/>
              <w:bottom w:val="single" w:sz="4" w:space="0" w:color="auto"/>
            </w:tcBorders>
            <w:vAlign w:val="center"/>
          </w:tcPr>
          <w:p w14:paraId="0C4DF5CB" w14:textId="77777777" w:rsidR="00714938" w:rsidRPr="0084495F" w:rsidRDefault="00714938" w:rsidP="002B0E29">
            <w:pPr>
              <w:keepNext/>
              <w:jc w:val="center"/>
              <w:rPr>
                <w:rFonts w:ascii="Arial Narrow" w:hAnsi="Arial Narrow"/>
                <w:b/>
                <w:sz w:val="20"/>
              </w:rPr>
            </w:pPr>
            <w:r w:rsidRPr="0084495F">
              <w:rPr>
                <w:rFonts w:ascii="Arial Narrow" w:hAnsi="Arial Narrow"/>
                <w:b/>
                <w:sz w:val="20"/>
              </w:rPr>
              <w:t>Proprietary Name and Manufacturer</w:t>
            </w:r>
          </w:p>
        </w:tc>
      </w:tr>
      <w:tr w:rsidR="00714938" w:rsidRPr="0084495F" w14:paraId="7225AC25" w14:textId="77777777" w:rsidTr="002B0E29">
        <w:trPr>
          <w:cantSplit/>
          <w:trHeight w:val="567"/>
        </w:trPr>
        <w:tc>
          <w:tcPr>
            <w:tcW w:w="1561" w:type="pct"/>
            <w:tcBorders>
              <w:top w:val="single" w:sz="4" w:space="0" w:color="auto"/>
              <w:bottom w:val="single" w:sz="4" w:space="0" w:color="auto"/>
            </w:tcBorders>
            <w:vAlign w:val="center"/>
          </w:tcPr>
          <w:p w14:paraId="60E06E5A" w14:textId="77777777" w:rsidR="00714938" w:rsidRPr="0084495F" w:rsidRDefault="00714938" w:rsidP="002B0E29">
            <w:pPr>
              <w:keepNext/>
              <w:rPr>
                <w:rFonts w:ascii="Arial Narrow" w:eastAsia="MS Gothic" w:hAnsi="Arial Narrow" w:cs="Times New Roman"/>
                <w:bCs/>
                <w:sz w:val="20"/>
              </w:rPr>
            </w:pPr>
            <w:r w:rsidRPr="0084495F">
              <w:rPr>
                <w:rFonts w:ascii="Arial Narrow" w:eastAsia="MS Gothic" w:hAnsi="Arial Narrow" w:cs="Times New Roman"/>
                <w:bCs/>
                <w:sz w:val="20"/>
              </w:rPr>
              <w:t>VERICIGUAT</w:t>
            </w:r>
          </w:p>
          <w:p w14:paraId="1CF66FD4" w14:textId="77777777" w:rsidR="00714938" w:rsidRPr="0084495F" w:rsidRDefault="00714938" w:rsidP="002B0E29">
            <w:pPr>
              <w:keepNext/>
              <w:rPr>
                <w:rFonts w:ascii="Arial Narrow" w:eastAsia="MS Gothic" w:hAnsi="Arial Narrow" w:cs="Times New Roman"/>
                <w:bCs/>
                <w:sz w:val="20"/>
              </w:rPr>
            </w:pPr>
            <w:r w:rsidRPr="0084495F">
              <w:rPr>
                <w:rFonts w:ascii="Arial Narrow" w:eastAsia="MS Gothic" w:hAnsi="Arial Narrow" w:cs="Calibri"/>
                <w:bCs/>
                <w:sz w:val="20"/>
                <w:szCs w:val="20"/>
              </w:rPr>
              <w:t>Film-coated tablets</w:t>
            </w:r>
            <w:r w:rsidRPr="0084495F">
              <w:rPr>
                <w:rFonts w:ascii="Arial Narrow" w:eastAsia="MS Gothic" w:hAnsi="Arial Narrow" w:cs="Times New Roman"/>
                <w:bCs/>
                <w:sz w:val="20"/>
              </w:rPr>
              <w:t xml:space="preserve"> </w:t>
            </w:r>
          </w:p>
          <w:p w14:paraId="352CD888" w14:textId="77777777" w:rsidR="00714938" w:rsidRPr="0084495F" w:rsidRDefault="00714938" w:rsidP="002B0E29">
            <w:pPr>
              <w:keepNext/>
              <w:rPr>
                <w:rFonts w:ascii="Arial Narrow" w:eastAsia="MS Gothic" w:hAnsi="Arial Narrow" w:cs="Times New Roman"/>
                <w:bCs/>
                <w:sz w:val="20"/>
              </w:rPr>
            </w:pPr>
            <w:r w:rsidRPr="0084495F">
              <w:rPr>
                <w:rFonts w:ascii="Arial Narrow" w:eastAsia="MS Gothic" w:hAnsi="Arial Narrow" w:cs="Times New Roman"/>
                <w:bCs/>
                <w:sz w:val="20"/>
              </w:rPr>
              <w:t xml:space="preserve">2.5 mg </w:t>
            </w:r>
          </w:p>
          <w:p w14:paraId="147B9BF2" w14:textId="77777777" w:rsidR="00714938" w:rsidRPr="0084495F" w:rsidRDefault="00714938" w:rsidP="002B0E29">
            <w:pPr>
              <w:keepNext/>
              <w:rPr>
                <w:rFonts w:ascii="Arial Narrow" w:eastAsia="MS Gothic" w:hAnsi="Arial Narrow" w:cs="Times New Roman"/>
                <w:bCs/>
                <w:sz w:val="20"/>
              </w:rPr>
            </w:pPr>
            <w:r w:rsidRPr="0084495F">
              <w:rPr>
                <w:rFonts w:ascii="Arial Narrow" w:eastAsia="MS Gothic" w:hAnsi="Arial Narrow" w:cs="Times New Roman"/>
                <w:bCs/>
                <w:sz w:val="20"/>
              </w:rPr>
              <w:t xml:space="preserve">5 mg </w:t>
            </w:r>
          </w:p>
          <w:p w14:paraId="651A51C7" w14:textId="77777777" w:rsidR="00714938" w:rsidRPr="0084495F" w:rsidRDefault="00714938" w:rsidP="002B0E29">
            <w:pPr>
              <w:keepNext/>
              <w:jc w:val="left"/>
              <w:rPr>
                <w:rFonts w:ascii="Arial Narrow" w:hAnsi="Arial Narrow"/>
                <w:sz w:val="20"/>
              </w:rPr>
            </w:pPr>
            <w:r w:rsidRPr="0084495F">
              <w:rPr>
                <w:rFonts w:ascii="Arial Narrow" w:eastAsia="MS Gothic" w:hAnsi="Arial Narrow" w:cs="Times New Roman"/>
                <w:bCs/>
                <w:sz w:val="20"/>
              </w:rPr>
              <w:t xml:space="preserve">10 mg </w:t>
            </w:r>
          </w:p>
        </w:tc>
        <w:tc>
          <w:tcPr>
            <w:tcW w:w="711" w:type="pct"/>
            <w:tcBorders>
              <w:top w:val="single" w:sz="4" w:space="0" w:color="auto"/>
              <w:bottom w:val="single" w:sz="4" w:space="0" w:color="auto"/>
            </w:tcBorders>
            <w:vAlign w:val="center"/>
          </w:tcPr>
          <w:p w14:paraId="3DC02858" w14:textId="77777777" w:rsidR="00714938" w:rsidRPr="0084495F" w:rsidRDefault="00714938" w:rsidP="002B0E29">
            <w:pPr>
              <w:keepNext/>
              <w:jc w:val="center"/>
              <w:rPr>
                <w:rFonts w:ascii="Arial Narrow" w:eastAsia="MS Gothic" w:hAnsi="Arial Narrow" w:cs="Times New Roman"/>
                <w:bCs/>
                <w:sz w:val="20"/>
              </w:rPr>
            </w:pPr>
          </w:p>
          <w:p w14:paraId="0FD884C6" w14:textId="77777777" w:rsidR="00714938" w:rsidRPr="0084495F" w:rsidRDefault="00714938" w:rsidP="002B0E29">
            <w:pPr>
              <w:keepNext/>
              <w:jc w:val="center"/>
              <w:rPr>
                <w:rFonts w:ascii="Arial Narrow" w:eastAsia="MS Gothic" w:hAnsi="Arial Narrow" w:cs="Times New Roman"/>
                <w:bCs/>
                <w:sz w:val="20"/>
              </w:rPr>
            </w:pPr>
          </w:p>
          <w:p w14:paraId="006A5A61" w14:textId="77777777" w:rsidR="00714938" w:rsidRPr="0084495F" w:rsidRDefault="00714938" w:rsidP="002B0E29">
            <w:pPr>
              <w:keepNext/>
              <w:jc w:val="center"/>
              <w:rPr>
                <w:rFonts w:ascii="Arial Narrow" w:eastAsia="MS Gothic" w:hAnsi="Arial Narrow" w:cs="Times New Roman"/>
                <w:bCs/>
                <w:sz w:val="20"/>
              </w:rPr>
            </w:pPr>
            <w:r w:rsidRPr="0084495F">
              <w:rPr>
                <w:rFonts w:ascii="Arial Narrow" w:eastAsia="MS Gothic" w:hAnsi="Arial Narrow" w:cs="Times New Roman"/>
                <w:bCs/>
                <w:sz w:val="20"/>
              </w:rPr>
              <w:t>28</w:t>
            </w:r>
          </w:p>
          <w:p w14:paraId="0B19E26E" w14:textId="77777777" w:rsidR="00714938" w:rsidRPr="0084495F" w:rsidRDefault="00714938" w:rsidP="002B0E29">
            <w:pPr>
              <w:keepNext/>
              <w:jc w:val="center"/>
              <w:rPr>
                <w:rFonts w:ascii="Arial Narrow" w:hAnsi="Arial Narrow"/>
                <w:sz w:val="20"/>
              </w:rPr>
            </w:pPr>
            <w:r w:rsidRPr="0084495F">
              <w:rPr>
                <w:rFonts w:ascii="Arial Narrow" w:eastAsia="MS Gothic" w:hAnsi="Arial Narrow" w:cs="Times New Roman"/>
                <w:bCs/>
                <w:sz w:val="20"/>
              </w:rPr>
              <w:t>28</w:t>
            </w:r>
            <w:r w:rsidRPr="0084495F">
              <w:rPr>
                <w:rFonts w:ascii="Arial Narrow" w:eastAsia="MS Gothic" w:hAnsi="Arial Narrow" w:cs="Times New Roman"/>
                <w:bCs/>
                <w:sz w:val="20"/>
              </w:rPr>
              <w:br/>
              <w:t>28</w:t>
            </w:r>
          </w:p>
        </w:tc>
        <w:tc>
          <w:tcPr>
            <w:tcW w:w="637" w:type="pct"/>
            <w:tcBorders>
              <w:top w:val="single" w:sz="4" w:space="0" w:color="auto"/>
              <w:bottom w:val="single" w:sz="4" w:space="0" w:color="auto"/>
            </w:tcBorders>
            <w:vAlign w:val="center"/>
          </w:tcPr>
          <w:p w14:paraId="7B10495C" w14:textId="77777777" w:rsidR="00714938" w:rsidRPr="0084495F" w:rsidRDefault="00714938" w:rsidP="002B0E29">
            <w:pPr>
              <w:keepNext/>
              <w:jc w:val="center"/>
              <w:rPr>
                <w:rFonts w:ascii="Arial Narrow" w:eastAsia="MS Gothic" w:hAnsi="Arial Narrow" w:cs="Times New Roman"/>
                <w:bCs/>
                <w:sz w:val="20"/>
              </w:rPr>
            </w:pPr>
          </w:p>
          <w:p w14:paraId="3ADB4AFE" w14:textId="77777777" w:rsidR="00714938" w:rsidRPr="0084495F" w:rsidRDefault="00714938" w:rsidP="002B0E29">
            <w:pPr>
              <w:keepNext/>
              <w:jc w:val="center"/>
              <w:rPr>
                <w:rFonts w:ascii="Arial Narrow" w:eastAsia="MS Gothic" w:hAnsi="Arial Narrow" w:cs="Times New Roman"/>
                <w:bCs/>
                <w:sz w:val="20"/>
              </w:rPr>
            </w:pPr>
          </w:p>
          <w:p w14:paraId="09D8B82F" w14:textId="77777777" w:rsidR="00714938" w:rsidRPr="0084495F" w:rsidRDefault="00714938" w:rsidP="002B0E29">
            <w:pPr>
              <w:keepNext/>
              <w:jc w:val="center"/>
              <w:rPr>
                <w:rFonts w:ascii="Arial Narrow" w:eastAsia="MS Gothic" w:hAnsi="Arial Narrow" w:cs="Times New Roman"/>
                <w:bCs/>
                <w:sz w:val="20"/>
              </w:rPr>
            </w:pPr>
            <w:r w:rsidRPr="0084495F">
              <w:rPr>
                <w:rFonts w:ascii="Arial Narrow" w:eastAsia="MS Gothic" w:hAnsi="Arial Narrow" w:cs="Times New Roman"/>
                <w:bCs/>
                <w:sz w:val="20"/>
              </w:rPr>
              <w:t>5</w:t>
            </w:r>
          </w:p>
          <w:p w14:paraId="5A1EA89B" w14:textId="77777777" w:rsidR="00714938" w:rsidRPr="0084495F" w:rsidRDefault="00714938" w:rsidP="002B0E29">
            <w:pPr>
              <w:keepNext/>
              <w:jc w:val="center"/>
              <w:rPr>
                <w:rFonts w:ascii="Arial Narrow" w:eastAsia="MS Gothic" w:hAnsi="Arial Narrow" w:cs="Times New Roman"/>
                <w:bCs/>
                <w:sz w:val="20"/>
              </w:rPr>
            </w:pPr>
            <w:r w:rsidRPr="0084495F">
              <w:rPr>
                <w:rFonts w:ascii="Arial Narrow" w:eastAsia="MS Gothic" w:hAnsi="Arial Narrow" w:cs="Times New Roman"/>
                <w:bCs/>
                <w:sz w:val="20"/>
              </w:rPr>
              <w:t>5</w:t>
            </w:r>
          </w:p>
          <w:p w14:paraId="653731BA" w14:textId="77777777" w:rsidR="00714938" w:rsidRPr="0084495F" w:rsidRDefault="00714938" w:rsidP="002B0E29">
            <w:pPr>
              <w:keepNext/>
              <w:jc w:val="center"/>
              <w:rPr>
                <w:rFonts w:ascii="Arial Narrow" w:hAnsi="Arial Narrow"/>
                <w:sz w:val="20"/>
              </w:rPr>
            </w:pPr>
            <w:r w:rsidRPr="0084495F">
              <w:rPr>
                <w:rFonts w:ascii="Arial Narrow" w:eastAsia="MS Gothic" w:hAnsi="Arial Narrow" w:cs="Times New Roman"/>
                <w:bCs/>
                <w:sz w:val="20"/>
              </w:rPr>
              <w:t>5</w:t>
            </w:r>
          </w:p>
        </w:tc>
        <w:tc>
          <w:tcPr>
            <w:tcW w:w="832" w:type="pct"/>
            <w:tcBorders>
              <w:top w:val="single" w:sz="4" w:space="0" w:color="auto"/>
              <w:bottom w:val="single" w:sz="4" w:space="0" w:color="auto"/>
            </w:tcBorders>
            <w:vAlign w:val="center"/>
          </w:tcPr>
          <w:p w14:paraId="117B8A3C" w14:textId="77777777" w:rsidR="00714938" w:rsidRPr="0084495F" w:rsidRDefault="00714938" w:rsidP="002B0E29">
            <w:pPr>
              <w:keepNext/>
              <w:jc w:val="center"/>
              <w:rPr>
                <w:rFonts w:ascii="Arial Narrow" w:eastAsia="MS Gothic" w:hAnsi="Arial Narrow" w:cs="Times New Roman"/>
                <w:bCs/>
                <w:sz w:val="20"/>
              </w:rPr>
            </w:pPr>
          </w:p>
          <w:p w14:paraId="4B72D538" w14:textId="77777777" w:rsidR="00714938" w:rsidRPr="0084495F" w:rsidRDefault="00714938" w:rsidP="002B0E29">
            <w:pPr>
              <w:keepNext/>
              <w:jc w:val="center"/>
              <w:rPr>
                <w:rFonts w:ascii="Arial Narrow" w:eastAsia="MS Gothic" w:hAnsi="Arial Narrow" w:cs="Times New Roman"/>
                <w:bCs/>
                <w:sz w:val="20"/>
              </w:rPr>
            </w:pPr>
          </w:p>
          <w:p w14:paraId="0F6AB2BE" w14:textId="11B9BCBB" w:rsidR="00714938" w:rsidRPr="0084495F" w:rsidRDefault="00714938" w:rsidP="002B0E29">
            <w:pPr>
              <w:keepNext/>
              <w:jc w:val="center"/>
              <w:rPr>
                <w:rFonts w:ascii="Arial Narrow" w:hAnsi="Arial Narrow"/>
                <w:sz w:val="20"/>
              </w:rPr>
            </w:pPr>
            <w:r w:rsidRPr="000606A1">
              <w:rPr>
                <w:rFonts w:ascii="Arial Narrow" w:eastAsia="MS Gothic" w:hAnsi="Arial Narrow" w:cs="Times New Roman"/>
                <w:bCs/>
                <w:sz w:val="20"/>
              </w:rPr>
              <w:t>$</w:t>
            </w:r>
            <w:r w:rsidR="009C6175" w:rsidRPr="009C6175">
              <w:rPr>
                <w:rFonts w:ascii="Arial Narrow" w:eastAsia="MS Gothic" w:hAnsi="Arial Narrow" w:cs="Times New Roman"/>
                <w:bCs/>
                <w:color w:val="000000"/>
                <w:sz w:val="20"/>
                <w:shd w:val="solid" w:color="000000" w:fill="000000"/>
                <w14:textFill>
                  <w14:solidFill>
                    <w14:srgbClr w14:val="000000">
                      <w14:alpha w14:val="100000"/>
                    </w14:srgbClr>
                  </w14:solidFill>
                </w14:textFill>
              </w:rPr>
              <w:t>|</w:t>
            </w:r>
          </w:p>
        </w:tc>
        <w:tc>
          <w:tcPr>
            <w:tcW w:w="1259" w:type="pct"/>
            <w:tcBorders>
              <w:top w:val="single" w:sz="4" w:space="0" w:color="auto"/>
              <w:bottom w:val="single" w:sz="4" w:space="0" w:color="auto"/>
            </w:tcBorders>
            <w:vAlign w:val="center"/>
          </w:tcPr>
          <w:p w14:paraId="0B57DDFF" w14:textId="77777777" w:rsidR="00714938" w:rsidRPr="0084495F" w:rsidRDefault="00714938" w:rsidP="002B0E29">
            <w:pPr>
              <w:keepNext/>
              <w:jc w:val="center"/>
              <w:rPr>
                <w:rFonts w:ascii="Arial Narrow" w:eastAsia="MS Gothic" w:hAnsi="Arial Narrow" w:cs="Times New Roman"/>
                <w:bCs/>
                <w:sz w:val="20"/>
              </w:rPr>
            </w:pPr>
          </w:p>
          <w:p w14:paraId="44EC313D" w14:textId="77777777" w:rsidR="00714938" w:rsidRPr="0084495F" w:rsidRDefault="00714938" w:rsidP="002B0E29">
            <w:pPr>
              <w:keepNext/>
              <w:jc w:val="center"/>
              <w:rPr>
                <w:rFonts w:ascii="Arial Narrow" w:eastAsia="MS Gothic" w:hAnsi="Arial Narrow" w:cs="Times New Roman"/>
                <w:bCs/>
                <w:sz w:val="20"/>
              </w:rPr>
            </w:pPr>
          </w:p>
          <w:p w14:paraId="3429D471" w14:textId="77777777" w:rsidR="00714938" w:rsidRPr="0084495F" w:rsidRDefault="00714938" w:rsidP="002B0E29">
            <w:pPr>
              <w:keepNext/>
              <w:jc w:val="center"/>
              <w:rPr>
                <w:rFonts w:ascii="Arial Narrow" w:eastAsia="MS Gothic" w:hAnsi="Arial Narrow" w:cs="Times New Roman"/>
                <w:bCs/>
                <w:sz w:val="20"/>
              </w:rPr>
            </w:pPr>
            <w:proofErr w:type="spellStart"/>
            <w:r w:rsidRPr="0084495F">
              <w:rPr>
                <w:rFonts w:ascii="Arial Narrow" w:eastAsia="MS Gothic" w:hAnsi="Arial Narrow" w:cs="Times New Roman"/>
                <w:bCs/>
                <w:sz w:val="20"/>
              </w:rPr>
              <w:t>Verquvo</w:t>
            </w:r>
            <w:proofErr w:type="spellEnd"/>
            <w:r w:rsidRPr="0084495F">
              <w:rPr>
                <w:rFonts w:ascii="Arial Narrow" w:eastAsia="MS Gothic" w:hAnsi="Arial Narrow" w:cs="Times New Roman"/>
                <w:bCs/>
                <w:sz w:val="20"/>
                <w:vertAlign w:val="superscript"/>
              </w:rPr>
              <w:t>®</w:t>
            </w:r>
            <w:r w:rsidRPr="0084495F">
              <w:rPr>
                <w:rFonts w:ascii="Arial Narrow" w:eastAsia="MS Gothic" w:hAnsi="Arial Narrow" w:cs="Times New Roman"/>
                <w:bCs/>
                <w:sz w:val="20"/>
              </w:rPr>
              <w:t>,</w:t>
            </w:r>
          </w:p>
          <w:p w14:paraId="43C7C060" w14:textId="77777777" w:rsidR="00714938" w:rsidRPr="0084495F" w:rsidRDefault="00714938" w:rsidP="002B0E29">
            <w:pPr>
              <w:keepNext/>
              <w:jc w:val="center"/>
              <w:rPr>
                <w:rFonts w:ascii="Arial Narrow" w:hAnsi="Arial Narrow"/>
                <w:sz w:val="20"/>
              </w:rPr>
            </w:pPr>
            <w:r w:rsidRPr="0084495F">
              <w:rPr>
                <w:rFonts w:ascii="Arial Narrow" w:eastAsia="MS Gothic" w:hAnsi="Arial Narrow" w:cs="Times New Roman"/>
                <w:bCs/>
                <w:sz w:val="20"/>
              </w:rPr>
              <w:t>Bayer Australia Limited</w:t>
            </w:r>
          </w:p>
          <w:p w14:paraId="612C0E18" w14:textId="77777777" w:rsidR="00714938" w:rsidRPr="0084495F" w:rsidRDefault="00714938" w:rsidP="002B0E29">
            <w:pPr>
              <w:keepNext/>
              <w:jc w:val="center"/>
              <w:rPr>
                <w:rFonts w:ascii="Arial Narrow" w:hAnsi="Arial Narrow"/>
                <w:sz w:val="20"/>
              </w:rPr>
            </w:pPr>
            <w:r w:rsidRPr="0084495F">
              <w:rPr>
                <w:rFonts w:ascii="Arial Narrow" w:eastAsia="MS Gothic" w:hAnsi="Arial Narrow" w:cs="Times New Roman"/>
                <w:bCs/>
                <w:sz w:val="20"/>
              </w:rPr>
              <w:t xml:space="preserve"> </w:t>
            </w:r>
          </w:p>
        </w:tc>
      </w:tr>
    </w:tbl>
    <w:p w14:paraId="7E87BD52" w14:textId="663C3E5D" w:rsidR="00591957" w:rsidRPr="0084495F" w:rsidRDefault="00714938" w:rsidP="009D082C">
      <w:pPr>
        <w:pStyle w:val="ExecSumBodyText"/>
        <w:numPr>
          <w:ilvl w:val="0"/>
          <w:numId w:val="0"/>
        </w:numPr>
        <w:spacing w:after="0"/>
        <w:rPr>
          <w:color w:val="0066FF"/>
        </w:rPr>
      </w:pPr>
      <w:r w:rsidRPr="0084495F">
        <w:rPr>
          <w:color w:val="0066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7"/>
      </w:tblGrid>
      <w:tr w:rsidR="00294A1E" w:rsidRPr="0084495F" w14:paraId="1852A884" w14:textId="77777777" w:rsidTr="00294A1E">
        <w:trPr>
          <w:trHeight w:val="20"/>
        </w:trPr>
        <w:tc>
          <w:tcPr>
            <w:tcW w:w="5000" w:type="pct"/>
            <w:tcBorders>
              <w:top w:val="single" w:sz="4" w:space="0" w:color="auto"/>
              <w:left w:val="single" w:sz="4" w:space="0" w:color="auto"/>
              <w:right w:val="single" w:sz="4" w:space="0" w:color="auto"/>
            </w:tcBorders>
            <w:vAlign w:val="center"/>
          </w:tcPr>
          <w:p w14:paraId="2F20CC84" w14:textId="0BA4C298" w:rsidR="00294A1E" w:rsidRPr="0084495F" w:rsidRDefault="00294A1E" w:rsidP="00224686">
            <w:pPr>
              <w:keepLines/>
              <w:rPr>
                <w:rFonts w:ascii="Arial Narrow" w:hAnsi="Arial Narrow"/>
                <w:b/>
                <w:sz w:val="20"/>
                <w:szCs w:val="20"/>
              </w:rPr>
            </w:pPr>
            <w:r w:rsidRPr="0084495F">
              <w:rPr>
                <w:rFonts w:ascii="Arial Narrow" w:hAnsi="Arial Narrow"/>
                <w:b/>
                <w:sz w:val="20"/>
                <w:szCs w:val="20"/>
              </w:rPr>
              <w:t xml:space="preserve">Restriction Summary / Treatment of Concept: </w:t>
            </w:r>
          </w:p>
        </w:tc>
      </w:tr>
      <w:tr w:rsidR="00294A1E" w:rsidRPr="0084495F" w14:paraId="3DB98EFB" w14:textId="77777777" w:rsidTr="00294A1E">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041F750" w14:textId="77777777" w:rsidR="00294A1E" w:rsidRPr="0084495F" w:rsidRDefault="00294A1E" w:rsidP="00224686">
            <w:pPr>
              <w:keepLines/>
              <w:jc w:val="left"/>
              <w:rPr>
                <w:rFonts w:ascii="Arial Narrow" w:hAnsi="Arial Narrow"/>
                <w:sz w:val="20"/>
                <w:szCs w:val="20"/>
              </w:rPr>
            </w:pPr>
            <w:r w:rsidRPr="0084495F">
              <w:rPr>
                <w:rFonts w:ascii="Arial Narrow" w:hAnsi="Arial Narrow"/>
                <w:b/>
                <w:sz w:val="20"/>
                <w:szCs w:val="20"/>
              </w:rPr>
              <w:t xml:space="preserve">Category / Program: </w:t>
            </w:r>
            <w:r w:rsidRPr="0084495F">
              <w:rPr>
                <w:rFonts w:ascii="Arial Narrow" w:hAnsi="Arial Narrow"/>
                <w:sz w:val="20"/>
                <w:szCs w:val="20"/>
              </w:rPr>
              <w:t>GENERAL – General Schedule (Code GE)</w:t>
            </w:r>
          </w:p>
        </w:tc>
      </w:tr>
      <w:tr w:rsidR="00294A1E" w:rsidRPr="0084495F" w14:paraId="198E5535" w14:textId="77777777" w:rsidTr="00294A1E">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EDE8482" w14:textId="77777777" w:rsidR="00294A1E" w:rsidRPr="0084495F" w:rsidRDefault="00294A1E" w:rsidP="00224686">
            <w:pPr>
              <w:keepLines/>
              <w:jc w:val="left"/>
              <w:rPr>
                <w:rFonts w:ascii="Arial Narrow" w:hAnsi="Arial Narrow"/>
                <w:b/>
                <w:sz w:val="20"/>
                <w:szCs w:val="20"/>
              </w:rPr>
            </w:pPr>
            <w:r w:rsidRPr="0084495F">
              <w:rPr>
                <w:rFonts w:ascii="Arial Narrow" w:hAnsi="Arial Narrow"/>
                <w:b/>
                <w:sz w:val="20"/>
                <w:szCs w:val="20"/>
              </w:rPr>
              <w:t xml:space="preserve">Prescriber type: </w:t>
            </w:r>
            <w:r w:rsidRPr="0084495F">
              <w:rPr>
                <w:rFonts w:ascii="Arial Narrow" w:hAnsi="Arial Narrow"/>
                <w:sz w:val="20"/>
                <w:szCs w:val="20"/>
              </w:rPr>
              <w:fldChar w:fldCharType="begin">
                <w:ffData>
                  <w:name w:val=""/>
                  <w:enabled/>
                  <w:calcOnExit w:val="0"/>
                  <w:checkBox>
                    <w:sizeAuto/>
                    <w:default w:val="1"/>
                  </w:checkBox>
                </w:ffData>
              </w:fldChar>
            </w:r>
            <w:r w:rsidRPr="0084495F">
              <w:rPr>
                <w:rFonts w:ascii="Arial Narrow" w:hAnsi="Arial Narrow"/>
                <w:sz w:val="20"/>
                <w:szCs w:val="20"/>
              </w:rPr>
              <w:instrText xml:space="preserve"> FORMCHECKBOX </w:instrText>
            </w:r>
            <w:r w:rsidR="00C16DA1">
              <w:rPr>
                <w:rFonts w:ascii="Arial Narrow" w:hAnsi="Arial Narrow"/>
                <w:sz w:val="20"/>
                <w:szCs w:val="20"/>
              </w:rPr>
            </w:r>
            <w:r w:rsidR="00C16DA1">
              <w:rPr>
                <w:rFonts w:ascii="Arial Narrow" w:hAnsi="Arial Narrow"/>
                <w:sz w:val="20"/>
                <w:szCs w:val="20"/>
              </w:rPr>
              <w:fldChar w:fldCharType="separate"/>
            </w:r>
            <w:r w:rsidRPr="0084495F">
              <w:rPr>
                <w:rFonts w:ascii="Arial Narrow" w:hAnsi="Arial Narrow"/>
                <w:sz w:val="20"/>
                <w:szCs w:val="20"/>
              </w:rPr>
              <w:fldChar w:fldCharType="end"/>
            </w:r>
            <w:r w:rsidRPr="0084495F">
              <w:rPr>
                <w:rFonts w:ascii="Arial Narrow" w:hAnsi="Arial Narrow"/>
                <w:sz w:val="20"/>
                <w:szCs w:val="20"/>
              </w:rPr>
              <w:t>Medical Practitioners</w:t>
            </w:r>
          </w:p>
        </w:tc>
      </w:tr>
      <w:tr w:rsidR="00294A1E" w:rsidRPr="0084495F" w14:paraId="314C165B" w14:textId="77777777" w:rsidTr="00294A1E">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3BB7A83" w14:textId="77777777" w:rsidR="00294A1E" w:rsidRPr="0084495F" w:rsidRDefault="00294A1E" w:rsidP="00224686">
            <w:pPr>
              <w:keepLines/>
              <w:jc w:val="left"/>
              <w:rPr>
                <w:rFonts w:ascii="Arial Narrow" w:eastAsia="Calibri" w:hAnsi="Arial Narrow"/>
                <w:sz w:val="20"/>
                <w:szCs w:val="20"/>
              </w:rPr>
            </w:pPr>
            <w:r w:rsidRPr="0084495F">
              <w:rPr>
                <w:rFonts w:ascii="Arial Narrow" w:hAnsi="Arial Narrow"/>
                <w:b/>
                <w:sz w:val="20"/>
                <w:szCs w:val="20"/>
              </w:rPr>
              <w:t>Restriction type</w:t>
            </w:r>
            <w:r w:rsidRPr="0084495F">
              <w:rPr>
                <w:rFonts w:ascii="Arial Narrow" w:hAnsi="Arial Narrow"/>
                <w:b/>
                <w:strike/>
                <w:sz w:val="20"/>
                <w:szCs w:val="20"/>
              </w:rPr>
              <w:t xml:space="preserve">: </w:t>
            </w:r>
            <w:r w:rsidRPr="0084495F">
              <w:rPr>
                <w:rFonts w:ascii="Arial Narrow" w:eastAsia="Calibri" w:hAnsi="Arial Narrow"/>
                <w:strike/>
                <w:sz w:val="20"/>
                <w:szCs w:val="20"/>
              </w:rPr>
              <w:fldChar w:fldCharType="begin">
                <w:ffData>
                  <w:name w:val=""/>
                  <w:enabled/>
                  <w:calcOnExit w:val="0"/>
                  <w:checkBox>
                    <w:sizeAuto/>
                    <w:default w:val="1"/>
                  </w:checkBox>
                </w:ffData>
              </w:fldChar>
            </w:r>
            <w:r w:rsidRPr="0084495F">
              <w:rPr>
                <w:rFonts w:ascii="Arial Narrow" w:eastAsia="Calibri" w:hAnsi="Arial Narrow"/>
                <w:strike/>
                <w:sz w:val="20"/>
                <w:szCs w:val="20"/>
              </w:rPr>
              <w:instrText xml:space="preserve"> FORMCHECKBOX </w:instrText>
            </w:r>
            <w:r w:rsidR="00C16DA1">
              <w:rPr>
                <w:rFonts w:ascii="Arial Narrow" w:eastAsia="Calibri" w:hAnsi="Arial Narrow"/>
                <w:strike/>
                <w:sz w:val="20"/>
                <w:szCs w:val="20"/>
              </w:rPr>
            </w:r>
            <w:r w:rsidR="00C16DA1">
              <w:rPr>
                <w:rFonts w:ascii="Arial Narrow" w:eastAsia="Calibri" w:hAnsi="Arial Narrow"/>
                <w:strike/>
                <w:sz w:val="20"/>
                <w:szCs w:val="20"/>
              </w:rPr>
              <w:fldChar w:fldCharType="separate"/>
            </w:r>
            <w:r w:rsidRPr="0084495F">
              <w:rPr>
                <w:rFonts w:ascii="Arial Narrow" w:eastAsia="Calibri" w:hAnsi="Arial Narrow"/>
                <w:strike/>
                <w:sz w:val="20"/>
                <w:szCs w:val="20"/>
              </w:rPr>
              <w:fldChar w:fldCharType="end"/>
            </w:r>
            <w:r w:rsidRPr="0084495F">
              <w:rPr>
                <w:rFonts w:ascii="Arial Narrow" w:eastAsia="Calibri" w:hAnsi="Arial Narrow"/>
                <w:strike/>
                <w:sz w:val="20"/>
                <w:szCs w:val="20"/>
              </w:rPr>
              <w:t>Authority Required (Streamlined) [new code]</w:t>
            </w:r>
          </w:p>
          <w:p w14:paraId="1A57B1C8" w14:textId="77777777" w:rsidR="00294A1E" w:rsidRPr="0084495F" w:rsidRDefault="00294A1E" w:rsidP="00224686">
            <w:pPr>
              <w:keepLines/>
              <w:jc w:val="left"/>
              <w:rPr>
                <w:rFonts w:ascii="Arial Narrow" w:eastAsia="Calibri" w:hAnsi="Arial Narrow"/>
                <w:i/>
                <w:color w:val="FF0000"/>
                <w:sz w:val="20"/>
                <w:szCs w:val="20"/>
              </w:rPr>
            </w:pPr>
            <w:r w:rsidRPr="0084495F">
              <w:rPr>
                <w:rFonts w:ascii="Arial Narrow" w:eastAsia="Calibri" w:hAnsi="Arial Narrow"/>
                <w:i/>
                <w:sz w:val="20"/>
                <w:szCs w:val="20"/>
              </w:rPr>
              <w:fldChar w:fldCharType="begin">
                <w:ffData>
                  <w:name w:val="Check3"/>
                  <w:enabled/>
                  <w:calcOnExit w:val="0"/>
                  <w:checkBox>
                    <w:sizeAuto/>
                    <w:default w:val="1"/>
                  </w:checkBox>
                </w:ffData>
              </w:fldChar>
            </w:r>
            <w:r w:rsidRPr="0084495F">
              <w:rPr>
                <w:rFonts w:ascii="Arial Narrow" w:eastAsia="Calibri" w:hAnsi="Arial Narrow"/>
                <w:i/>
                <w:sz w:val="20"/>
                <w:szCs w:val="20"/>
              </w:rPr>
              <w:instrText xml:space="preserve"> FORMCHECKBOX </w:instrText>
            </w:r>
            <w:r w:rsidR="00C16DA1">
              <w:rPr>
                <w:rFonts w:ascii="Arial Narrow" w:eastAsia="Calibri" w:hAnsi="Arial Narrow"/>
                <w:i/>
                <w:sz w:val="20"/>
                <w:szCs w:val="20"/>
              </w:rPr>
            </w:r>
            <w:r w:rsidR="00C16DA1">
              <w:rPr>
                <w:rFonts w:ascii="Arial Narrow" w:eastAsia="Calibri" w:hAnsi="Arial Narrow"/>
                <w:i/>
                <w:sz w:val="20"/>
                <w:szCs w:val="20"/>
              </w:rPr>
              <w:fldChar w:fldCharType="separate"/>
            </w:r>
            <w:r w:rsidRPr="0084495F">
              <w:rPr>
                <w:rFonts w:ascii="Arial Narrow" w:eastAsia="Calibri" w:hAnsi="Arial Narrow"/>
                <w:i/>
                <w:sz w:val="20"/>
                <w:szCs w:val="20"/>
              </w:rPr>
              <w:fldChar w:fldCharType="end"/>
            </w:r>
            <w:r w:rsidRPr="0084495F">
              <w:rPr>
                <w:rFonts w:ascii="Arial Narrow" w:eastAsia="Calibri" w:hAnsi="Arial Narrow"/>
                <w:i/>
                <w:sz w:val="20"/>
                <w:szCs w:val="20"/>
              </w:rPr>
              <w:t>Authority Required (telephone/online PBS Authorities system)</w:t>
            </w:r>
          </w:p>
        </w:tc>
      </w:tr>
      <w:tr w:rsidR="00294A1E" w:rsidRPr="0084495F" w14:paraId="1C93D858" w14:textId="77777777" w:rsidTr="00294A1E">
        <w:trPr>
          <w:trHeight w:val="20"/>
        </w:trPr>
        <w:tc>
          <w:tcPr>
            <w:tcW w:w="5000" w:type="pct"/>
            <w:vAlign w:val="center"/>
          </w:tcPr>
          <w:p w14:paraId="2B0C93EE" w14:textId="77777777" w:rsidR="00294A1E" w:rsidRPr="0084495F" w:rsidRDefault="00294A1E" w:rsidP="00224686">
            <w:pPr>
              <w:keepLines/>
              <w:jc w:val="left"/>
              <w:rPr>
                <w:rFonts w:ascii="Arial Narrow" w:hAnsi="Arial Narrow"/>
                <w:b/>
                <w:bCs/>
                <w:color w:val="333333"/>
                <w:sz w:val="20"/>
                <w:szCs w:val="20"/>
              </w:rPr>
            </w:pPr>
            <w:r w:rsidRPr="0084495F">
              <w:rPr>
                <w:rFonts w:ascii="Arial Narrow" w:hAnsi="Arial Narrow"/>
                <w:b/>
                <w:bCs/>
                <w:color w:val="333333"/>
                <w:sz w:val="20"/>
                <w:szCs w:val="20"/>
              </w:rPr>
              <w:t xml:space="preserve">Severity: </w:t>
            </w:r>
            <w:r w:rsidRPr="0084495F">
              <w:rPr>
                <w:rFonts w:ascii="Arial Narrow" w:hAnsi="Arial Narrow"/>
                <w:bCs/>
                <w:sz w:val="20"/>
                <w:szCs w:val="20"/>
              </w:rPr>
              <w:t>Chronic</w:t>
            </w:r>
          </w:p>
        </w:tc>
      </w:tr>
      <w:tr w:rsidR="00294A1E" w:rsidRPr="0084495F" w14:paraId="3EF0B8CE" w14:textId="77777777" w:rsidTr="00294A1E">
        <w:trPr>
          <w:trHeight w:val="20"/>
        </w:trPr>
        <w:tc>
          <w:tcPr>
            <w:tcW w:w="5000" w:type="pct"/>
            <w:vAlign w:val="center"/>
          </w:tcPr>
          <w:p w14:paraId="0E8C7EFF" w14:textId="77777777" w:rsidR="00294A1E" w:rsidRPr="0084495F" w:rsidRDefault="00294A1E" w:rsidP="00224686">
            <w:pPr>
              <w:keepLines/>
              <w:jc w:val="left"/>
              <w:rPr>
                <w:rFonts w:ascii="Arial Narrow" w:hAnsi="Arial Narrow"/>
                <w:b/>
                <w:bCs/>
                <w:color w:val="333333"/>
                <w:sz w:val="20"/>
                <w:szCs w:val="20"/>
              </w:rPr>
            </w:pPr>
            <w:r w:rsidRPr="0084495F">
              <w:rPr>
                <w:rFonts w:ascii="Arial Narrow" w:hAnsi="Arial Narrow"/>
                <w:b/>
                <w:bCs/>
                <w:color w:val="333333"/>
                <w:sz w:val="20"/>
                <w:szCs w:val="20"/>
              </w:rPr>
              <w:t xml:space="preserve">Condition: </w:t>
            </w:r>
            <w:r w:rsidRPr="0084495F">
              <w:rPr>
                <w:rFonts w:ascii="Arial Narrow" w:hAnsi="Arial Narrow"/>
                <w:bCs/>
                <w:strike/>
                <w:color w:val="333333"/>
                <w:sz w:val="20"/>
                <w:szCs w:val="20"/>
              </w:rPr>
              <w:t>Chronic</w:t>
            </w:r>
            <w:r w:rsidRPr="0084495F">
              <w:rPr>
                <w:rFonts w:ascii="Arial Narrow" w:hAnsi="Arial Narrow"/>
                <w:bCs/>
                <w:color w:val="333333"/>
                <w:sz w:val="20"/>
                <w:szCs w:val="20"/>
              </w:rPr>
              <w:t xml:space="preserve"> heart failure</w:t>
            </w:r>
          </w:p>
        </w:tc>
      </w:tr>
      <w:tr w:rsidR="00294A1E" w:rsidRPr="0084495F" w14:paraId="1CF2ABB1" w14:textId="77777777" w:rsidTr="00294A1E">
        <w:trPr>
          <w:trHeight w:val="20"/>
        </w:trPr>
        <w:tc>
          <w:tcPr>
            <w:tcW w:w="5000" w:type="pct"/>
            <w:vAlign w:val="center"/>
            <w:hideMark/>
          </w:tcPr>
          <w:p w14:paraId="615F37F5" w14:textId="77777777" w:rsidR="00294A1E" w:rsidRPr="0084495F" w:rsidRDefault="00294A1E" w:rsidP="00224686">
            <w:pPr>
              <w:keepLines/>
              <w:jc w:val="left"/>
              <w:rPr>
                <w:rFonts w:ascii="Arial Narrow" w:hAnsi="Arial Narrow"/>
                <w:color w:val="333333"/>
                <w:sz w:val="20"/>
                <w:szCs w:val="20"/>
              </w:rPr>
            </w:pPr>
            <w:r w:rsidRPr="0084495F">
              <w:rPr>
                <w:rFonts w:ascii="Arial Narrow" w:hAnsi="Arial Narrow"/>
                <w:b/>
                <w:bCs/>
                <w:color w:val="333333"/>
                <w:sz w:val="20"/>
                <w:szCs w:val="20"/>
              </w:rPr>
              <w:t>Indication:</w:t>
            </w:r>
            <w:r w:rsidRPr="0084495F">
              <w:rPr>
                <w:rFonts w:ascii="Arial Narrow" w:hAnsi="Arial Narrow"/>
                <w:color w:val="333333"/>
                <w:sz w:val="20"/>
                <w:szCs w:val="20"/>
              </w:rPr>
              <w:t xml:space="preserve"> Chronic heart </w:t>
            </w:r>
            <w:r w:rsidRPr="0084495F">
              <w:rPr>
                <w:rFonts w:ascii="Arial Narrow" w:hAnsi="Arial Narrow"/>
                <w:sz w:val="20"/>
                <w:szCs w:val="20"/>
              </w:rPr>
              <w:t>failure</w:t>
            </w:r>
          </w:p>
        </w:tc>
      </w:tr>
      <w:tr w:rsidR="009302C3" w:rsidRPr="0084495F" w14:paraId="47985DE5" w14:textId="77777777" w:rsidTr="009302C3">
        <w:trPr>
          <w:trHeight w:val="20"/>
        </w:trPr>
        <w:tc>
          <w:tcPr>
            <w:tcW w:w="5000" w:type="pct"/>
            <w:shd w:val="clear" w:color="auto" w:fill="D9D9D9" w:themeFill="background1" w:themeFillShade="D9"/>
            <w:vAlign w:val="center"/>
          </w:tcPr>
          <w:p w14:paraId="78C20DCD" w14:textId="61DFF591" w:rsidR="009302C3" w:rsidRPr="0084495F" w:rsidRDefault="009302C3" w:rsidP="00224686">
            <w:pPr>
              <w:keepLines/>
              <w:jc w:val="left"/>
              <w:rPr>
                <w:rFonts w:ascii="Arial Narrow" w:hAnsi="Arial Narrow"/>
                <w:b/>
                <w:bCs/>
                <w:i/>
                <w:color w:val="333333"/>
                <w:sz w:val="20"/>
                <w:szCs w:val="20"/>
              </w:rPr>
            </w:pPr>
            <w:r w:rsidRPr="0084495F">
              <w:rPr>
                <w:rFonts w:ascii="Arial Narrow" w:hAnsi="Arial Narrow" w:cs="Times New Roman"/>
                <w:b/>
                <w:bCs/>
                <w:i/>
                <w:sz w:val="20"/>
                <w:szCs w:val="20"/>
              </w:rPr>
              <w:t>Treatment Phase:</w:t>
            </w:r>
            <w:r w:rsidRPr="0084495F">
              <w:rPr>
                <w:rFonts w:ascii="Arial Narrow" w:hAnsi="Arial Narrow" w:cs="Times New Roman"/>
                <w:i/>
                <w:sz w:val="20"/>
                <w:szCs w:val="20"/>
              </w:rPr>
              <w:t xml:space="preserve"> Initial treatment</w:t>
            </w:r>
          </w:p>
        </w:tc>
      </w:tr>
      <w:tr w:rsidR="00294A1E" w:rsidRPr="0084495F" w14:paraId="40E3DCFF" w14:textId="77777777" w:rsidTr="00294A1E">
        <w:trPr>
          <w:trHeight w:val="20"/>
        </w:trPr>
        <w:tc>
          <w:tcPr>
            <w:tcW w:w="5000" w:type="pct"/>
            <w:vAlign w:val="center"/>
          </w:tcPr>
          <w:p w14:paraId="42909D00" w14:textId="77777777" w:rsidR="00294A1E" w:rsidRPr="0084495F" w:rsidRDefault="00294A1E" w:rsidP="00224686">
            <w:pPr>
              <w:jc w:val="left"/>
              <w:rPr>
                <w:rFonts w:ascii="Arial Narrow" w:hAnsi="Arial Narrow"/>
                <w:b/>
                <w:bCs/>
                <w:i/>
                <w:color w:val="333333"/>
                <w:sz w:val="20"/>
                <w:szCs w:val="20"/>
              </w:rPr>
            </w:pPr>
            <w:r w:rsidRPr="0084495F">
              <w:rPr>
                <w:rFonts w:ascii="Arial Narrow" w:hAnsi="Arial Narrow"/>
                <w:b/>
                <w:bCs/>
                <w:i/>
                <w:color w:val="333333"/>
                <w:sz w:val="20"/>
                <w:szCs w:val="20"/>
              </w:rPr>
              <w:t>Treatment criteria</w:t>
            </w:r>
          </w:p>
        </w:tc>
      </w:tr>
      <w:tr w:rsidR="00294A1E" w:rsidRPr="0084495F" w14:paraId="2DCD31FC" w14:textId="77777777" w:rsidTr="00294A1E">
        <w:trPr>
          <w:trHeight w:val="20"/>
        </w:trPr>
        <w:tc>
          <w:tcPr>
            <w:tcW w:w="5000" w:type="pct"/>
            <w:vAlign w:val="center"/>
          </w:tcPr>
          <w:p w14:paraId="5F2F1F36" w14:textId="77777777" w:rsidR="00294A1E" w:rsidRPr="0084495F" w:rsidRDefault="00294A1E" w:rsidP="00224686">
            <w:pPr>
              <w:jc w:val="left"/>
              <w:rPr>
                <w:rFonts w:ascii="Arial Narrow" w:hAnsi="Arial Narrow"/>
                <w:bCs/>
                <w:i/>
                <w:color w:val="333333"/>
                <w:sz w:val="20"/>
                <w:szCs w:val="20"/>
              </w:rPr>
            </w:pPr>
            <w:r w:rsidRPr="0084495F">
              <w:rPr>
                <w:rFonts w:ascii="Arial Narrow" w:hAnsi="Arial Narrow"/>
                <w:bCs/>
                <w:i/>
                <w:color w:val="333333"/>
                <w:sz w:val="20"/>
                <w:szCs w:val="20"/>
              </w:rPr>
              <w:t>Must be initiated under the supervision of a specialist cardiologist</w:t>
            </w:r>
          </w:p>
        </w:tc>
      </w:tr>
      <w:tr w:rsidR="00294A1E" w:rsidRPr="0084495F" w14:paraId="3FD89C77" w14:textId="77777777" w:rsidTr="00294A1E">
        <w:trPr>
          <w:trHeight w:val="20"/>
        </w:trPr>
        <w:tc>
          <w:tcPr>
            <w:tcW w:w="5000" w:type="pct"/>
            <w:vAlign w:val="center"/>
            <w:hideMark/>
          </w:tcPr>
          <w:p w14:paraId="029C4390" w14:textId="77777777" w:rsidR="00294A1E" w:rsidRPr="0084495F" w:rsidRDefault="00294A1E" w:rsidP="00224686">
            <w:pPr>
              <w:jc w:val="left"/>
              <w:rPr>
                <w:rFonts w:ascii="Arial Narrow" w:hAnsi="Arial Narrow"/>
                <w:sz w:val="20"/>
                <w:szCs w:val="20"/>
              </w:rPr>
            </w:pPr>
            <w:r w:rsidRPr="0084495F">
              <w:rPr>
                <w:rFonts w:ascii="Arial Narrow" w:hAnsi="Arial Narrow"/>
                <w:b/>
                <w:bCs/>
                <w:color w:val="333333"/>
                <w:sz w:val="20"/>
                <w:szCs w:val="20"/>
              </w:rPr>
              <w:t xml:space="preserve">Clinical criteria: </w:t>
            </w:r>
          </w:p>
        </w:tc>
      </w:tr>
      <w:tr w:rsidR="00294A1E" w:rsidRPr="0084495F" w14:paraId="4728E7A2" w14:textId="77777777" w:rsidTr="00294A1E">
        <w:trPr>
          <w:trHeight w:val="113"/>
        </w:trPr>
        <w:tc>
          <w:tcPr>
            <w:tcW w:w="5000" w:type="pct"/>
            <w:vAlign w:val="center"/>
            <w:hideMark/>
          </w:tcPr>
          <w:p w14:paraId="74539FDD" w14:textId="77777777" w:rsidR="00294A1E" w:rsidRPr="0084495F" w:rsidRDefault="00294A1E" w:rsidP="00224686">
            <w:pPr>
              <w:jc w:val="left"/>
              <w:rPr>
                <w:rFonts w:ascii="Arial Narrow" w:hAnsi="Arial Narrow"/>
                <w:color w:val="333333"/>
                <w:sz w:val="20"/>
                <w:szCs w:val="20"/>
              </w:rPr>
            </w:pPr>
            <w:r w:rsidRPr="0084495F">
              <w:rPr>
                <w:rFonts w:ascii="Arial Narrow" w:hAnsi="Arial Narrow"/>
                <w:color w:val="333333"/>
                <w:sz w:val="20"/>
                <w:szCs w:val="20"/>
              </w:rPr>
              <w:t>Patient must be symptomatic with NYHA classes II, III or IV</w:t>
            </w:r>
          </w:p>
        </w:tc>
      </w:tr>
      <w:tr w:rsidR="00294A1E" w:rsidRPr="0084495F" w14:paraId="5CE2658F" w14:textId="77777777" w:rsidTr="00294A1E">
        <w:trPr>
          <w:trHeight w:val="20"/>
        </w:trPr>
        <w:tc>
          <w:tcPr>
            <w:tcW w:w="5000" w:type="pct"/>
            <w:vAlign w:val="center"/>
            <w:hideMark/>
          </w:tcPr>
          <w:p w14:paraId="633AABEC" w14:textId="77777777" w:rsidR="00294A1E" w:rsidRPr="0084495F" w:rsidRDefault="00294A1E" w:rsidP="00224686">
            <w:pPr>
              <w:jc w:val="left"/>
              <w:rPr>
                <w:rFonts w:ascii="Arial Narrow" w:hAnsi="Arial Narrow"/>
                <w:color w:val="333333"/>
                <w:sz w:val="20"/>
                <w:szCs w:val="20"/>
              </w:rPr>
            </w:pPr>
            <w:r w:rsidRPr="0084495F">
              <w:rPr>
                <w:rFonts w:ascii="Arial Narrow" w:hAnsi="Arial Narrow"/>
                <w:b/>
                <w:bCs/>
                <w:color w:val="333333"/>
                <w:sz w:val="20"/>
                <w:szCs w:val="20"/>
              </w:rPr>
              <w:t>AND</w:t>
            </w:r>
          </w:p>
        </w:tc>
      </w:tr>
      <w:tr w:rsidR="00294A1E" w:rsidRPr="0084495F" w14:paraId="4D036D19" w14:textId="77777777" w:rsidTr="00294A1E">
        <w:trPr>
          <w:trHeight w:val="20"/>
        </w:trPr>
        <w:tc>
          <w:tcPr>
            <w:tcW w:w="5000" w:type="pct"/>
            <w:vAlign w:val="center"/>
            <w:hideMark/>
          </w:tcPr>
          <w:p w14:paraId="7B24C76C" w14:textId="77777777" w:rsidR="00294A1E" w:rsidRPr="0084495F" w:rsidRDefault="00294A1E" w:rsidP="00224686">
            <w:pPr>
              <w:jc w:val="left"/>
              <w:rPr>
                <w:rFonts w:ascii="Arial Narrow" w:hAnsi="Arial Narrow"/>
                <w:color w:val="333333"/>
                <w:sz w:val="20"/>
                <w:szCs w:val="20"/>
              </w:rPr>
            </w:pPr>
            <w:r w:rsidRPr="0084495F">
              <w:rPr>
                <w:rFonts w:ascii="Arial Narrow" w:hAnsi="Arial Narrow"/>
                <w:b/>
                <w:bCs/>
                <w:color w:val="333333"/>
                <w:sz w:val="20"/>
                <w:szCs w:val="20"/>
              </w:rPr>
              <w:t>Clinical criteria:</w:t>
            </w:r>
          </w:p>
        </w:tc>
      </w:tr>
      <w:tr w:rsidR="00294A1E" w:rsidRPr="0084495F" w14:paraId="5C6CC596" w14:textId="77777777" w:rsidTr="00294A1E">
        <w:trPr>
          <w:trHeight w:val="20"/>
        </w:trPr>
        <w:tc>
          <w:tcPr>
            <w:tcW w:w="5000" w:type="pct"/>
            <w:vAlign w:val="center"/>
            <w:hideMark/>
          </w:tcPr>
          <w:p w14:paraId="3B919E25" w14:textId="2581745D" w:rsidR="00294A1E" w:rsidRPr="0084495F" w:rsidRDefault="00294A1E" w:rsidP="009A1260">
            <w:pPr>
              <w:jc w:val="left"/>
              <w:rPr>
                <w:rFonts w:ascii="Arial Narrow" w:hAnsi="Arial Narrow"/>
                <w:i/>
                <w:iCs/>
                <w:color w:val="FF0000"/>
                <w:sz w:val="20"/>
                <w:szCs w:val="20"/>
              </w:rPr>
            </w:pPr>
            <w:r w:rsidRPr="0084495F">
              <w:rPr>
                <w:rFonts w:ascii="Arial Narrow" w:hAnsi="Arial Narrow"/>
                <w:sz w:val="20"/>
                <w:szCs w:val="20"/>
              </w:rPr>
              <w:t xml:space="preserve">Patient must have a documented left ventricular ejection fraction (LVEF) of less than </w:t>
            </w:r>
            <w:r w:rsidRPr="0084495F">
              <w:rPr>
                <w:rFonts w:ascii="Arial Narrow" w:hAnsi="Arial Narrow"/>
                <w:iCs/>
                <w:sz w:val="20"/>
                <w:szCs w:val="20"/>
              </w:rPr>
              <w:t>45%</w:t>
            </w:r>
          </w:p>
        </w:tc>
      </w:tr>
      <w:tr w:rsidR="00294A1E" w:rsidRPr="0084495F" w14:paraId="14CDA499" w14:textId="77777777" w:rsidTr="00294A1E">
        <w:trPr>
          <w:trHeight w:val="20"/>
        </w:trPr>
        <w:tc>
          <w:tcPr>
            <w:tcW w:w="5000" w:type="pct"/>
            <w:vAlign w:val="center"/>
            <w:hideMark/>
          </w:tcPr>
          <w:p w14:paraId="0F24E0B8" w14:textId="77777777" w:rsidR="00294A1E" w:rsidRPr="0084495F" w:rsidRDefault="00294A1E" w:rsidP="00224686">
            <w:pPr>
              <w:jc w:val="left"/>
              <w:rPr>
                <w:rFonts w:ascii="Arial Narrow" w:hAnsi="Arial Narrow"/>
                <w:color w:val="333333"/>
                <w:sz w:val="20"/>
                <w:szCs w:val="20"/>
              </w:rPr>
            </w:pPr>
            <w:r w:rsidRPr="0084495F">
              <w:rPr>
                <w:rFonts w:ascii="Arial Narrow" w:hAnsi="Arial Narrow"/>
                <w:b/>
                <w:bCs/>
                <w:color w:val="333333"/>
                <w:sz w:val="20"/>
                <w:szCs w:val="20"/>
              </w:rPr>
              <w:t>AND</w:t>
            </w:r>
          </w:p>
        </w:tc>
      </w:tr>
      <w:tr w:rsidR="00294A1E" w:rsidRPr="0084495F" w14:paraId="09DC568B" w14:textId="77777777" w:rsidTr="00294A1E">
        <w:trPr>
          <w:trHeight w:val="20"/>
        </w:trPr>
        <w:tc>
          <w:tcPr>
            <w:tcW w:w="5000" w:type="pct"/>
            <w:vAlign w:val="center"/>
            <w:hideMark/>
          </w:tcPr>
          <w:p w14:paraId="47F129C5" w14:textId="77777777" w:rsidR="00294A1E" w:rsidRPr="0084495F" w:rsidRDefault="00294A1E" w:rsidP="00224686">
            <w:pPr>
              <w:jc w:val="left"/>
              <w:rPr>
                <w:rFonts w:ascii="Arial Narrow" w:hAnsi="Arial Narrow"/>
                <w:color w:val="333333"/>
                <w:sz w:val="20"/>
                <w:szCs w:val="20"/>
              </w:rPr>
            </w:pPr>
            <w:r w:rsidRPr="0084495F">
              <w:rPr>
                <w:rFonts w:ascii="Arial Narrow" w:hAnsi="Arial Narrow"/>
                <w:b/>
                <w:bCs/>
                <w:color w:val="333333"/>
                <w:sz w:val="20"/>
                <w:szCs w:val="20"/>
              </w:rPr>
              <w:t>Clinical criteria:</w:t>
            </w:r>
          </w:p>
        </w:tc>
      </w:tr>
      <w:tr w:rsidR="00294A1E" w:rsidRPr="0084495F" w14:paraId="7CC7A2B3" w14:textId="77777777" w:rsidTr="00294A1E">
        <w:trPr>
          <w:trHeight w:val="20"/>
        </w:trPr>
        <w:tc>
          <w:tcPr>
            <w:tcW w:w="5000" w:type="pct"/>
            <w:vAlign w:val="center"/>
            <w:hideMark/>
          </w:tcPr>
          <w:p w14:paraId="026F2413" w14:textId="3A24C339" w:rsidR="00D152F3" w:rsidRPr="0084495F" w:rsidRDefault="00294A1E" w:rsidP="00D152F3">
            <w:pPr>
              <w:jc w:val="left"/>
              <w:rPr>
                <w:rFonts w:ascii="Arial Narrow" w:hAnsi="Arial Narrow"/>
                <w:color w:val="333333"/>
                <w:sz w:val="20"/>
                <w:szCs w:val="20"/>
              </w:rPr>
            </w:pPr>
            <w:r w:rsidRPr="0084495F">
              <w:rPr>
                <w:rFonts w:ascii="Arial Narrow" w:hAnsi="Arial Narrow"/>
                <w:strike/>
                <w:color w:val="333333"/>
                <w:sz w:val="20"/>
                <w:szCs w:val="20"/>
              </w:rPr>
              <w:t>Patient</w:t>
            </w:r>
            <w:r w:rsidRPr="0084495F">
              <w:rPr>
                <w:rFonts w:ascii="Arial Narrow" w:hAnsi="Arial Narrow"/>
                <w:color w:val="333333"/>
                <w:sz w:val="20"/>
                <w:szCs w:val="20"/>
              </w:rPr>
              <w:t xml:space="preserve"> </w:t>
            </w:r>
            <w:r w:rsidR="00D152F3" w:rsidRPr="0084495F">
              <w:rPr>
                <w:rFonts w:ascii="Arial Narrow" w:hAnsi="Arial Narrow"/>
                <w:i/>
                <w:color w:val="333333"/>
                <w:sz w:val="20"/>
                <w:szCs w:val="20"/>
              </w:rPr>
              <w:t xml:space="preserve">The condition </w:t>
            </w:r>
            <w:r w:rsidRPr="0084495F">
              <w:rPr>
                <w:rFonts w:ascii="Arial Narrow" w:hAnsi="Arial Narrow"/>
                <w:color w:val="333333"/>
                <w:sz w:val="20"/>
                <w:szCs w:val="20"/>
              </w:rPr>
              <w:t xml:space="preserve">must be stabilised </w:t>
            </w:r>
            <w:r w:rsidRPr="0084495F">
              <w:rPr>
                <w:rFonts w:ascii="Arial Narrow" w:hAnsi="Arial Narrow"/>
                <w:strike/>
                <w:color w:val="333333"/>
                <w:sz w:val="20"/>
                <w:szCs w:val="20"/>
              </w:rPr>
              <w:t>after recent</w:t>
            </w:r>
            <w:r w:rsidRPr="0084495F">
              <w:rPr>
                <w:rFonts w:ascii="Arial Narrow" w:hAnsi="Arial Narrow"/>
                <w:color w:val="333333"/>
                <w:sz w:val="20"/>
                <w:szCs w:val="20"/>
              </w:rPr>
              <w:t xml:space="preserve"> </w:t>
            </w:r>
            <w:r w:rsidR="00D152F3" w:rsidRPr="0084495F">
              <w:rPr>
                <w:rFonts w:ascii="Arial Narrow" w:hAnsi="Arial Narrow"/>
                <w:i/>
                <w:color w:val="333333"/>
                <w:sz w:val="20"/>
                <w:szCs w:val="20"/>
              </w:rPr>
              <w:t xml:space="preserve">following </w:t>
            </w:r>
            <w:r w:rsidRPr="0084495F">
              <w:rPr>
                <w:rFonts w:ascii="Arial Narrow" w:hAnsi="Arial Narrow"/>
                <w:i/>
                <w:color w:val="333333"/>
                <w:sz w:val="20"/>
                <w:szCs w:val="20"/>
              </w:rPr>
              <w:t>a</w:t>
            </w:r>
            <w:r w:rsidRPr="0084495F">
              <w:rPr>
                <w:rFonts w:ascii="Arial Narrow" w:hAnsi="Arial Narrow"/>
                <w:color w:val="333333"/>
                <w:sz w:val="20"/>
                <w:szCs w:val="20"/>
              </w:rPr>
              <w:t xml:space="preserve"> decompensation event </w:t>
            </w:r>
            <w:r w:rsidR="00D152F3" w:rsidRPr="0084495F">
              <w:rPr>
                <w:rFonts w:ascii="Arial Narrow" w:hAnsi="Arial Narrow"/>
                <w:i/>
                <w:color w:val="333333"/>
                <w:sz w:val="20"/>
                <w:szCs w:val="20"/>
              </w:rPr>
              <w:t xml:space="preserve">that required </w:t>
            </w:r>
            <w:r w:rsidR="00D152F3" w:rsidRPr="0084495F">
              <w:rPr>
                <w:rFonts w:ascii="Arial Narrow" w:hAnsi="Arial Narrow"/>
                <w:strike/>
                <w:color w:val="333333"/>
                <w:sz w:val="20"/>
                <w:szCs w:val="20"/>
              </w:rPr>
              <w:t xml:space="preserve">requiring </w:t>
            </w:r>
            <w:r w:rsidR="00D152F3" w:rsidRPr="0084495F">
              <w:rPr>
                <w:rFonts w:ascii="Arial Narrow" w:hAnsi="Arial Narrow"/>
                <w:i/>
                <w:color w:val="333333"/>
                <w:sz w:val="20"/>
                <w:szCs w:val="20"/>
              </w:rPr>
              <w:t>either (</w:t>
            </w:r>
            <w:proofErr w:type="spellStart"/>
            <w:r w:rsidR="00D152F3" w:rsidRPr="0084495F">
              <w:rPr>
                <w:rFonts w:ascii="Arial Narrow" w:hAnsi="Arial Narrow"/>
                <w:i/>
                <w:color w:val="333333"/>
                <w:sz w:val="20"/>
                <w:szCs w:val="20"/>
              </w:rPr>
              <w:t>i</w:t>
            </w:r>
            <w:proofErr w:type="spellEnd"/>
            <w:r w:rsidR="00D152F3" w:rsidRPr="0084495F">
              <w:rPr>
                <w:rFonts w:ascii="Arial Narrow" w:hAnsi="Arial Narrow"/>
                <w:i/>
                <w:color w:val="333333"/>
                <w:sz w:val="20"/>
                <w:szCs w:val="20"/>
              </w:rPr>
              <w:t xml:space="preserve">) </w:t>
            </w:r>
            <w:r w:rsidRPr="0084495F">
              <w:rPr>
                <w:rFonts w:ascii="Arial Narrow" w:hAnsi="Arial Narrow"/>
                <w:color w:val="333333"/>
                <w:sz w:val="20"/>
                <w:szCs w:val="20"/>
              </w:rPr>
              <w:t xml:space="preserve">hospitalisation </w:t>
            </w:r>
            <w:r w:rsidR="00D152F3" w:rsidRPr="0084495F">
              <w:rPr>
                <w:rFonts w:ascii="Arial Narrow" w:hAnsi="Arial Narrow"/>
                <w:i/>
                <w:color w:val="333333"/>
                <w:sz w:val="20"/>
                <w:szCs w:val="20"/>
              </w:rPr>
              <w:t xml:space="preserve">in the past 6 months, (ii) </w:t>
            </w:r>
            <w:r w:rsidRPr="0084495F">
              <w:rPr>
                <w:rFonts w:ascii="Arial Narrow" w:hAnsi="Arial Narrow"/>
                <w:strike/>
                <w:color w:val="333333"/>
                <w:sz w:val="20"/>
                <w:szCs w:val="20"/>
              </w:rPr>
              <w:t>and/or IV</w:t>
            </w:r>
            <w:r w:rsidRPr="0084495F">
              <w:rPr>
                <w:rFonts w:ascii="Arial Narrow" w:hAnsi="Arial Narrow"/>
                <w:color w:val="333333"/>
                <w:sz w:val="20"/>
                <w:szCs w:val="20"/>
              </w:rPr>
              <w:t xml:space="preserve"> </w:t>
            </w:r>
            <w:r w:rsidRPr="0084495F">
              <w:rPr>
                <w:rFonts w:ascii="Arial Narrow" w:hAnsi="Arial Narrow"/>
                <w:i/>
                <w:iCs/>
                <w:color w:val="333333"/>
                <w:sz w:val="20"/>
                <w:szCs w:val="20"/>
              </w:rPr>
              <w:t xml:space="preserve">intravenous </w:t>
            </w:r>
            <w:r w:rsidRPr="0084495F">
              <w:rPr>
                <w:rFonts w:ascii="Arial Narrow" w:hAnsi="Arial Narrow"/>
                <w:color w:val="333333"/>
                <w:sz w:val="20"/>
                <w:szCs w:val="20"/>
              </w:rPr>
              <w:t>diuretic therapy</w:t>
            </w:r>
            <w:r w:rsidRPr="0084495F">
              <w:rPr>
                <w:rFonts w:ascii="Arial Narrow" w:hAnsi="Arial Narrow"/>
                <w:i/>
                <w:color w:val="333333"/>
                <w:sz w:val="20"/>
                <w:szCs w:val="20"/>
              </w:rPr>
              <w:t xml:space="preserve"> </w:t>
            </w:r>
            <w:r w:rsidR="00D152F3" w:rsidRPr="0084495F">
              <w:rPr>
                <w:rFonts w:ascii="Arial Narrow" w:hAnsi="Arial Narrow"/>
                <w:i/>
                <w:color w:val="333333"/>
                <w:sz w:val="20"/>
                <w:szCs w:val="20"/>
              </w:rPr>
              <w:t>i</w:t>
            </w:r>
            <w:r w:rsidRPr="0084495F">
              <w:rPr>
                <w:rFonts w:ascii="Arial Narrow" w:hAnsi="Arial Narrow"/>
                <w:i/>
                <w:color w:val="333333"/>
                <w:sz w:val="20"/>
                <w:szCs w:val="20"/>
              </w:rPr>
              <w:t xml:space="preserve">n the </w:t>
            </w:r>
            <w:r w:rsidR="00D152F3" w:rsidRPr="0084495F">
              <w:rPr>
                <w:rFonts w:ascii="Arial Narrow" w:hAnsi="Arial Narrow"/>
                <w:i/>
                <w:color w:val="333333"/>
                <w:sz w:val="20"/>
                <w:szCs w:val="20"/>
              </w:rPr>
              <w:t>past three</w:t>
            </w:r>
            <w:r w:rsidRPr="0084495F">
              <w:rPr>
                <w:rFonts w:ascii="Arial Narrow" w:hAnsi="Arial Narrow"/>
                <w:i/>
                <w:color w:val="333333"/>
                <w:sz w:val="20"/>
                <w:szCs w:val="20"/>
              </w:rPr>
              <w:t xml:space="preserve"> months</w:t>
            </w:r>
          </w:p>
        </w:tc>
      </w:tr>
      <w:tr w:rsidR="009302C3" w:rsidRPr="0084495F" w14:paraId="1D535F2D" w14:textId="77777777" w:rsidTr="00294A1E">
        <w:trPr>
          <w:trHeight w:val="20"/>
        </w:trPr>
        <w:tc>
          <w:tcPr>
            <w:tcW w:w="5000" w:type="pct"/>
            <w:vAlign w:val="center"/>
          </w:tcPr>
          <w:p w14:paraId="259D4456" w14:textId="28680164" w:rsidR="009302C3" w:rsidRPr="0084495F" w:rsidRDefault="009302C3" w:rsidP="009302C3">
            <w:pPr>
              <w:jc w:val="left"/>
              <w:rPr>
                <w:rFonts w:ascii="Arial Narrow" w:hAnsi="Arial Narrow"/>
                <w:strike/>
                <w:color w:val="333333"/>
                <w:sz w:val="20"/>
                <w:szCs w:val="20"/>
              </w:rPr>
            </w:pPr>
            <w:r w:rsidRPr="0084495F">
              <w:rPr>
                <w:rFonts w:ascii="Arial Narrow" w:hAnsi="Arial Narrow"/>
                <w:b/>
                <w:bCs/>
                <w:color w:val="333333"/>
                <w:sz w:val="20"/>
                <w:szCs w:val="20"/>
              </w:rPr>
              <w:t>AND</w:t>
            </w:r>
          </w:p>
        </w:tc>
      </w:tr>
      <w:tr w:rsidR="009302C3" w:rsidRPr="0084495F" w14:paraId="65A48730" w14:textId="77777777" w:rsidTr="00294A1E">
        <w:trPr>
          <w:trHeight w:val="20"/>
        </w:trPr>
        <w:tc>
          <w:tcPr>
            <w:tcW w:w="5000" w:type="pct"/>
            <w:vAlign w:val="center"/>
          </w:tcPr>
          <w:p w14:paraId="5B4AF4F7" w14:textId="390A2E99" w:rsidR="009302C3" w:rsidRPr="0084495F" w:rsidRDefault="009302C3" w:rsidP="009302C3">
            <w:pPr>
              <w:jc w:val="left"/>
              <w:rPr>
                <w:rFonts w:ascii="Arial Narrow" w:hAnsi="Arial Narrow"/>
                <w:strike/>
                <w:color w:val="333333"/>
                <w:sz w:val="20"/>
                <w:szCs w:val="20"/>
              </w:rPr>
            </w:pPr>
            <w:r w:rsidRPr="0084495F">
              <w:rPr>
                <w:rFonts w:ascii="Arial Narrow" w:hAnsi="Arial Narrow"/>
                <w:b/>
                <w:bCs/>
                <w:color w:val="333333"/>
                <w:sz w:val="20"/>
                <w:szCs w:val="20"/>
              </w:rPr>
              <w:t>Clinical criteria:</w:t>
            </w:r>
          </w:p>
        </w:tc>
      </w:tr>
      <w:tr w:rsidR="009302C3" w:rsidRPr="0084495F" w14:paraId="226307BB" w14:textId="77777777" w:rsidTr="00294A1E">
        <w:trPr>
          <w:trHeight w:val="20"/>
        </w:trPr>
        <w:tc>
          <w:tcPr>
            <w:tcW w:w="5000" w:type="pct"/>
            <w:vAlign w:val="center"/>
          </w:tcPr>
          <w:p w14:paraId="25B4C129" w14:textId="0C6E11D7" w:rsidR="009302C3" w:rsidRPr="0084495F" w:rsidRDefault="001D1855" w:rsidP="002F3378">
            <w:pPr>
              <w:jc w:val="left"/>
              <w:rPr>
                <w:rFonts w:ascii="Arial Narrow" w:hAnsi="Arial Narrow"/>
                <w:i/>
                <w:color w:val="333333"/>
                <w:sz w:val="20"/>
                <w:szCs w:val="20"/>
              </w:rPr>
            </w:pPr>
            <w:r w:rsidRPr="0084495F">
              <w:rPr>
                <w:rFonts w:ascii="Arial Narrow" w:hAnsi="Arial Narrow"/>
                <w:i/>
                <w:iCs/>
                <w:color w:val="333333"/>
                <w:sz w:val="20"/>
                <w:szCs w:val="20"/>
              </w:rPr>
              <w:t xml:space="preserve">Patient must not have clinical signs of fluid overload </w:t>
            </w:r>
          </w:p>
        </w:tc>
      </w:tr>
      <w:tr w:rsidR="001D1855" w:rsidRPr="0084495F" w14:paraId="6A2DF5E5" w14:textId="77777777" w:rsidTr="00294A1E">
        <w:trPr>
          <w:trHeight w:val="20"/>
        </w:trPr>
        <w:tc>
          <w:tcPr>
            <w:tcW w:w="5000" w:type="pct"/>
            <w:vAlign w:val="center"/>
          </w:tcPr>
          <w:p w14:paraId="3744EC67" w14:textId="5F29257E" w:rsidR="001D1855" w:rsidRPr="0084495F" w:rsidRDefault="001D1855" w:rsidP="001D1855">
            <w:pPr>
              <w:jc w:val="left"/>
              <w:rPr>
                <w:rFonts w:ascii="Arial Narrow" w:hAnsi="Arial Narrow"/>
                <w:i/>
                <w:iCs/>
                <w:color w:val="333333"/>
                <w:sz w:val="20"/>
                <w:szCs w:val="20"/>
              </w:rPr>
            </w:pPr>
            <w:r w:rsidRPr="0084495F">
              <w:rPr>
                <w:rFonts w:ascii="Arial Narrow" w:hAnsi="Arial Narrow"/>
                <w:b/>
                <w:bCs/>
                <w:i/>
                <w:color w:val="333333"/>
                <w:sz w:val="20"/>
                <w:szCs w:val="20"/>
              </w:rPr>
              <w:t>AND</w:t>
            </w:r>
          </w:p>
        </w:tc>
      </w:tr>
      <w:tr w:rsidR="001D1855" w:rsidRPr="0084495F" w14:paraId="6B347E95" w14:textId="77777777" w:rsidTr="00294A1E">
        <w:trPr>
          <w:trHeight w:val="20"/>
        </w:trPr>
        <w:tc>
          <w:tcPr>
            <w:tcW w:w="5000" w:type="pct"/>
            <w:vAlign w:val="center"/>
          </w:tcPr>
          <w:p w14:paraId="4CD38F7D" w14:textId="4890439E" w:rsidR="001D1855" w:rsidRPr="0084495F" w:rsidRDefault="001D1855" w:rsidP="001D1855">
            <w:pPr>
              <w:jc w:val="left"/>
              <w:rPr>
                <w:rFonts w:ascii="Arial Narrow" w:hAnsi="Arial Narrow"/>
                <w:i/>
                <w:iCs/>
                <w:color w:val="333333"/>
                <w:sz w:val="20"/>
                <w:szCs w:val="20"/>
              </w:rPr>
            </w:pPr>
            <w:r w:rsidRPr="0084495F">
              <w:rPr>
                <w:rFonts w:ascii="Arial Narrow" w:hAnsi="Arial Narrow"/>
                <w:b/>
                <w:bCs/>
                <w:i/>
                <w:color w:val="333333"/>
                <w:sz w:val="20"/>
                <w:szCs w:val="20"/>
              </w:rPr>
              <w:t>Clinical criteria:</w:t>
            </w:r>
          </w:p>
        </w:tc>
      </w:tr>
      <w:tr w:rsidR="001D1855" w:rsidRPr="0084495F" w14:paraId="2D0111CF" w14:textId="77777777" w:rsidTr="00294A1E">
        <w:trPr>
          <w:trHeight w:val="20"/>
        </w:trPr>
        <w:tc>
          <w:tcPr>
            <w:tcW w:w="5000" w:type="pct"/>
            <w:vAlign w:val="center"/>
          </w:tcPr>
          <w:p w14:paraId="58AAD6D8" w14:textId="5051566F" w:rsidR="001D1855" w:rsidRPr="0084495F" w:rsidRDefault="001D1855" w:rsidP="003D0886">
            <w:pPr>
              <w:jc w:val="left"/>
              <w:rPr>
                <w:rFonts w:ascii="Arial Narrow" w:hAnsi="Arial Narrow"/>
                <w:i/>
                <w:iCs/>
                <w:color w:val="333333"/>
                <w:sz w:val="20"/>
                <w:szCs w:val="20"/>
              </w:rPr>
            </w:pPr>
            <w:r w:rsidRPr="0084495F">
              <w:rPr>
                <w:rFonts w:ascii="Arial Narrow" w:hAnsi="Arial Narrow"/>
                <w:i/>
                <w:iCs/>
                <w:color w:val="333333"/>
                <w:sz w:val="20"/>
                <w:szCs w:val="20"/>
              </w:rPr>
              <w:t>Patient must not have received intravenous</w:t>
            </w:r>
            <w:r w:rsidR="00520BB2" w:rsidRPr="0084495F">
              <w:rPr>
                <w:rFonts w:ascii="Arial Narrow" w:hAnsi="Arial Narrow"/>
                <w:i/>
                <w:iCs/>
                <w:color w:val="333333"/>
                <w:sz w:val="20"/>
                <w:szCs w:val="20"/>
              </w:rPr>
              <w:t xml:space="preserve"> </w:t>
            </w:r>
            <w:r w:rsidR="003D0886" w:rsidRPr="0084495F">
              <w:rPr>
                <w:rFonts w:ascii="Arial Narrow" w:hAnsi="Arial Narrow"/>
                <w:i/>
                <w:iCs/>
                <w:color w:val="333333"/>
                <w:sz w:val="20"/>
                <w:szCs w:val="20"/>
              </w:rPr>
              <w:t>treatment</w:t>
            </w:r>
            <w:r w:rsidRPr="0084495F">
              <w:rPr>
                <w:rFonts w:ascii="Arial Narrow" w:hAnsi="Arial Narrow"/>
                <w:i/>
                <w:iCs/>
                <w:color w:val="333333"/>
                <w:sz w:val="20"/>
                <w:szCs w:val="20"/>
              </w:rPr>
              <w:t xml:space="preserve"> in the previous 24 hours </w:t>
            </w:r>
          </w:p>
        </w:tc>
      </w:tr>
      <w:tr w:rsidR="001D1855" w:rsidRPr="0084495F" w14:paraId="0379F963" w14:textId="77777777" w:rsidTr="00294A1E">
        <w:trPr>
          <w:trHeight w:val="20"/>
        </w:trPr>
        <w:tc>
          <w:tcPr>
            <w:tcW w:w="5000" w:type="pct"/>
            <w:vAlign w:val="center"/>
          </w:tcPr>
          <w:p w14:paraId="4CD7879A" w14:textId="3D32A05E" w:rsidR="001D1855" w:rsidRPr="0084495F" w:rsidRDefault="001D1855" w:rsidP="001D1855">
            <w:pPr>
              <w:jc w:val="left"/>
              <w:rPr>
                <w:rFonts w:ascii="Arial Narrow" w:hAnsi="Arial Narrow"/>
                <w:i/>
                <w:iCs/>
                <w:color w:val="333333"/>
                <w:sz w:val="20"/>
                <w:szCs w:val="20"/>
              </w:rPr>
            </w:pPr>
            <w:r w:rsidRPr="0084495F">
              <w:rPr>
                <w:rFonts w:ascii="Arial Narrow" w:hAnsi="Arial Narrow"/>
                <w:b/>
                <w:bCs/>
                <w:i/>
                <w:color w:val="333333"/>
                <w:sz w:val="20"/>
                <w:szCs w:val="20"/>
              </w:rPr>
              <w:t>AND</w:t>
            </w:r>
          </w:p>
        </w:tc>
      </w:tr>
      <w:tr w:rsidR="001D1855" w:rsidRPr="0084495F" w14:paraId="49D42D73" w14:textId="77777777" w:rsidTr="00294A1E">
        <w:trPr>
          <w:trHeight w:val="20"/>
        </w:trPr>
        <w:tc>
          <w:tcPr>
            <w:tcW w:w="5000" w:type="pct"/>
            <w:vAlign w:val="center"/>
          </w:tcPr>
          <w:p w14:paraId="2724CCDE" w14:textId="5A3F1C46" w:rsidR="001D1855" w:rsidRPr="0084495F" w:rsidRDefault="001D1855" w:rsidP="001D1855">
            <w:pPr>
              <w:jc w:val="left"/>
              <w:rPr>
                <w:rFonts w:ascii="Arial Narrow" w:hAnsi="Arial Narrow"/>
                <w:i/>
                <w:iCs/>
                <w:color w:val="333333"/>
                <w:sz w:val="20"/>
                <w:szCs w:val="20"/>
              </w:rPr>
            </w:pPr>
            <w:r w:rsidRPr="0084495F">
              <w:rPr>
                <w:rFonts w:ascii="Arial Narrow" w:hAnsi="Arial Narrow"/>
                <w:b/>
                <w:bCs/>
                <w:i/>
                <w:color w:val="333333"/>
                <w:sz w:val="20"/>
                <w:szCs w:val="20"/>
              </w:rPr>
              <w:t>Clinical criteria:</w:t>
            </w:r>
          </w:p>
        </w:tc>
      </w:tr>
      <w:tr w:rsidR="001D1855" w:rsidRPr="0084495F" w14:paraId="12254B8B" w14:textId="77777777" w:rsidTr="00294A1E">
        <w:trPr>
          <w:trHeight w:val="20"/>
        </w:trPr>
        <w:tc>
          <w:tcPr>
            <w:tcW w:w="5000" w:type="pct"/>
            <w:vAlign w:val="center"/>
          </w:tcPr>
          <w:p w14:paraId="4D96180B" w14:textId="78F859A5" w:rsidR="001D1855" w:rsidRPr="0084495F" w:rsidRDefault="001D1855" w:rsidP="002F3378">
            <w:pPr>
              <w:jc w:val="left"/>
              <w:rPr>
                <w:rFonts w:ascii="Arial Narrow" w:hAnsi="Arial Narrow"/>
                <w:i/>
                <w:iCs/>
                <w:color w:val="333333"/>
                <w:sz w:val="20"/>
                <w:szCs w:val="20"/>
              </w:rPr>
            </w:pPr>
            <w:r w:rsidRPr="0084495F">
              <w:rPr>
                <w:rFonts w:ascii="Arial Narrow" w:hAnsi="Arial Narrow"/>
                <w:i/>
                <w:iCs/>
                <w:color w:val="333333"/>
                <w:sz w:val="20"/>
                <w:szCs w:val="20"/>
              </w:rPr>
              <w:t>Patient must</w:t>
            </w:r>
            <w:r w:rsidR="00520BB2" w:rsidRPr="0084495F">
              <w:rPr>
                <w:rFonts w:ascii="Arial Narrow" w:hAnsi="Arial Narrow"/>
                <w:i/>
                <w:iCs/>
                <w:color w:val="333333"/>
                <w:sz w:val="20"/>
                <w:szCs w:val="20"/>
              </w:rPr>
              <w:t xml:space="preserve"> </w:t>
            </w:r>
            <w:r w:rsidR="002F3378" w:rsidRPr="0084495F">
              <w:rPr>
                <w:rFonts w:ascii="Arial Narrow" w:hAnsi="Arial Narrow"/>
                <w:i/>
                <w:iCs/>
                <w:color w:val="333333"/>
                <w:sz w:val="20"/>
                <w:szCs w:val="20"/>
              </w:rPr>
              <w:t xml:space="preserve">not </w:t>
            </w:r>
            <w:r w:rsidRPr="0084495F">
              <w:rPr>
                <w:rFonts w:ascii="Arial Narrow" w:hAnsi="Arial Narrow"/>
                <w:i/>
                <w:iCs/>
                <w:color w:val="333333"/>
                <w:sz w:val="20"/>
                <w:szCs w:val="20"/>
              </w:rPr>
              <w:t xml:space="preserve">have a systolic blood pressure less than 100 mmHg  </w:t>
            </w:r>
          </w:p>
        </w:tc>
      </w:tr>
      <w:tr w:rsidR="00294A1E" w:rsidRPr="0084495F" w14:paraId="61025413" w14:textId="77777777" w:rsidTr="00294A1E">
        <w:trPr>
          <w:trHeight w:val="20"/>
        </w:trPr>
        <w:tc>
          <w:tcPr>
            <w:tcW w:w="5000" w:type="pct"/>
            <w:vAlign w:val="center"/>
            <w:hideMark/>
          </w:tcPr>
          <w:p w14:paraId="17DEFFA6" w14:textId="77777777" w:rsidR="00294A1E" w:rsidRPr="0084495F" w:rsidRDefault="00294A1E" w:rsidP="00224686">
            <w:pPr>
              <w:jc w:val="left"/>
              <w:rPr>
                <w:rFonts w:ascii="Arial Narrow" w:hAnsi="Arial Narrow"/>
                <w:color w:val="333333"/>
                <w:sz w:val="20"/>
                <w:szCs w:val="20"/>
              </w:rPr>
            </w:pPr>
            <w:r w:rsidRPr="0084495F">
              <w:rPr>
                <w:rFonts w:ascii="Arial Narrow" w:hAnsi="Arial Narrow"/>
                <w:b/>
                <w:bCs/>
                <w:color w:val="333333"/>
                <w:sz w:val="20"/>
                <w:szCs w:val="20"/>
              </w:rPr>
              <w:lastRenderedPageBreak/>
              <w:t>AND</w:t>
            </w:r>
          </w:p>
        </w:tc>
      </w:tr>
      <w:tr w:rsidR="00294A1E" w:rsidRPr="0084495F" w14:paraId="066B0CCB" w14:textId="77777777" w:rsidTr="00294A1E">
        <w:trPr>
          <w:trHeight w:val="20"/>
        </w:trPr>
        <w:tc>
          <w:tcPr>
            <w:tcW w:w="5000" w:type="pct"/>
            <w:vAlign w:val="center"/>
            <w:hideMark/>
          </w:tcPr>
          <w:p w14:paraId="57C6F327" w14:textId="77777777" w:rsidR="00294A1E" w:rsidRPr="0084495F" w:rsidRDefault="00294A1E" w:rsidP="00224686">
            <w:pPr>
              <w:jc w:val="left"/>
              <w:rPr>
                <w:rFonts w:ascii="Arial Narrow" w:hAnsi="Arial Narrow"/>
                <w:color w:val="333333"/>
                <w:sz w:val="20"/>
                <w:szCs w:val="20"/>
              </w:rPr>
            </w:pPr>
            <w:r w:rsidRPr="0084495F">
              <w:rPr>
                <w:rFonts w:ascii="Arial Narrow" w:hAnsi="Arial Narrow"/>
                <w:b/>
                <w:bCs/>
                <w:color w:val="333333"/>
                <w:sz w:val="20"/>
                <w:szCs w:val="20"/>
              </w:rPr>
              <w:t>Clinical criteria:</w:t>
            </w:r>
          </w:p>
        </w:tc>
      </w:tr>
      <w:tr w:rsidR="00294A1E" w:rsidRPr="0084495F" w14:paraId="0EF780C0" w14:textId="77777777" w:rsidTr="00294A1E">
        <w:trPr>
          <w:trHeight w:val="20"/>
        </w:trPr>
        <w:tc>
          <w:tcPr>
            <w:tcW w:w="5000" w:type="pct"/>
            <w:vAlign w:val="center"/>
            <w:hideMark/>
          </w:tcPr>
          <w:p w14:paraId="64C3BC94" w14:textId="77777777" w:rsidR="00294A1E" w:rsidRPr="0084495F" w:rsidRDefault="00294A1E" w:rsidP="00224686">
            <w:pPr>
              <w:jc w:val="left"/>
              <w:rPr>
                <w:rFonts w:ascii="Arial Narrow" w:hAnsi="Arial Narrow"/>
                <w:strike/>
                <w:color w:val="333333"/>
                <w:sz w:val="20"/>
                <w:szCs w:val="20"/>
              </w:rPr>
            </w:pPr>
            <w:r w:rsidRPr="0084495F">
              <w:rPr>
                <w:rFonts w:ascii="Arial Narrow" w:hAnsi="Arial Narrow"/>
                <w:strike/>
                <w:color w:val="333333"/>
                <w:sz w:val="20"/>
                <w:szCs w:val="20"/>
              </w:rPr>
              <w:t xml:space="preserve">Patient must receive concomitant standard chronic heart failure treatment, which must include: the maximum tolerated dose of a beta-blocker; AND </w:t>
            </w:r>
            <w:proofErr w:type="spellStart"/>
            <w:r w:rsidRPr="0084495F">
              <w:rPr>
                <w:rFonts w:ascii="Arial Narrow" w:hAnsi="Arial Narrow"/>
                <w:strike/>
                <w:color w:val="333333"/>
                <w:sz w:val="20"/>
                <w:szCs w:val="20"/>
              </w:rPr>
              <w:t>mineralcorticoid</w:t>
            </w:r>
            <w:proofErr w:type="spellEnd"/>
            <w:r w:rsidRPr="0084495F">
              <w:rPr>
                <w:rFonts w:ascii="Arial Narrow" w:hAnsi="Arial Narrow"/>
                <w:strike/>
                <w:color w:val="333333"/>
                <w:sz w:val="20"/>
                <w:szCs w:val="20"/>
              </w:rPr>
              <w:t xml:space="preserve"> receptor antagonist, unless contraindicated or not tolerated.</w:t>
            </w:r>
          </w:p>
          <w:p w14:paraId="44265E2B" w14:textId="2036B0A8" w:rsidR="007F0913" w:rsidRPr="0084495F" w:rsidRDefault="007F0913" w:rsidP="007F0913">
            <w:pPr>
              <w:jc w:val="left"/>
              <w:rPr>
                <w:rFonts w:ascii="Arial Narrow" w:hAnsi="Arial Narrow"/>
                <w:i/>
                <w:iCs/>
                <w:color w:val="333333"/>
                <w:sz w:val="20"/>
                <w:szCs w:val="20"/>
              </w:rPr>
            </w:pPr>
            <w:r w:rsidRPr="0084495F">
              <w:rPr>
                <w:rFonts w:ascii="Arial Narrow" w:hAnsi="Arial Narrow"/>
                <w:i/>
                <w:iCs/>
                <w:color w:val="333333"/>
                <w:sz w:val="20"/>
                <w:szCs w:val="20"/>
              </w:rPr>
              <w:t>The treatment must be an add-on therapy to optimal standard chronic heart failure treatment, which must include a beta-blocker, unless contraindicated according to the TGA-approved Product Information or cannot be tolerated</w:t>
            </w:r>
          </w:p>
        </w:tc>
      </w:tr>
      <w:tr w:rsidR="00294A1E" w:rsidRPr="0084495F" w14:paraId="1EB88C46" w14:textId="77777777" w:rsidTr="00294A1E">
        <w:trPr>
          <w:trHeight w:val="20"/>
        </w:trPr>
        <w:tc>
          <w:tcPr>
            <w:tcW w:w="5000" w:type="pct"/>
            <w:vAlign w:val="center"/>
            <w:hideMark/>
          </w:tcPr>
          <w:p w14:paraId="1A072238" w14:textId="77777777" w:rsidR="00294A1E" w:rsidRPr="0084495F" w:rsidRDefault="00294A1E" w:rsidP="00224686">
            <w:pPr>
              <w:jc w:val="left"/>
              <w:rPr>
                <w:rFonts w:ascii="Arial Narrow" w:hAnsi="Arial Narrow"/>
                <w:color w:val="333333"/>
                <w:sz w:val="20"/>
                <w:szCs w:val="20"/>
              </w:rPr>
            </w:pPr>
            <w:r w:rsidRPr="0084495F">
              <w:rPr>
                <w:rFonts w:ascii="Arial Narrow" w:hAnsi="Arial Narrow"/>
                <w:b/>
                <w:bCs/>
                <w:color w:val="333333"/>
                <w:sz w:val="20"/>
                <w:szCs w:val="20"/>
              </w:rPr>
              <w:t>AND</w:t>
            </w:r>
          </w:p>
        </w:tc>
      </w:tr>
      <w:tr w:rsidR="00294A1E" w:rsidRPr="0084495F" w14:paraId="3D041C47" w14:textId="77777777" w:rsidTr="00294A1E">
        <w:trPr>
          <w:trHeight w:val="20"/>
        </w:trPr>
        <w:tc>
          <w:tcPr>
            <w:tcW w:w="5000" w:type="pct"/>
            <w:vAlign w:val="center"/>
            <w:hideMark/>
          </w:tcPr>
          <w:p w14:paraId="3573F829" w14:textId="77777777" w:rsidR="00294A1E" w:rsidRPr="0084495F" w:rsidRDefault="00294A1E" w:rsidP="00224686">
            <w:pPr>
              <w:jc w:val="left"/>
              <w:rPr>
                <w:rFonts w:ascii="Arial Narrow" w:hAnsi="Arial Narrow"/>
                <w:color w:val="333333"/>
                <w:sz w:val="20"/>
                <w:szCs w:val="20"/>
              </w:rPr>
            </w:pPr>
            <w:r w:rsidRPr="0084495F">
              <w:rPr>
                <w:rFonts w:ascii="Arial Narrow" w:hAnsi="Arial Narrow"/>
                <w:b/>
                <w:bCs/>
                <w:color w:val="333333"/>
                <w:sz w:val="20"/>
                <w:szCs w:val="20"/>
              </w:rPr>
              <w:t>Clinical criteria:</w:t>
            </w:r>
          </w:p>
        </w:tc>
      </w:tr>
      <w:tr w:rsidR="00294A1E" w:rsidRPr="0084495F" w14:paraId="782E6820" w14:textId="77777777" w:rsidTr="00294A1E">
        <w:trPr>
          <w:trHeight w:val="20"/>
        </w:trPr>
        <w:tc>
          <w:tcPr>
            <w:tcW w:w="5000" w:type="pct"/>
            <w:vAlign w:val="center"/>
            <w:hideMark/>
          </w:tcPr>
          <w:p w14:paraId="4571CE64" w14:textId="77777777" w:rsidR="00294A1E" w:rsidRPr="0084495F" w:rsidRDefault="00294A1E" w:rsidP="00224686">
            <w:pPr>
              <w:jc w:val="left"/>
              <w:rPr>
                <w:rFonts w:ascii="Arial Narrow" w:hAnsi="Arial Narrow"/>
                <w:strike/>
                <w:color w:val="333333"/>
                <w:sz w:val="20"/>
                <w:szCs w:val="20"/>
              </w:rPr>
            </w:pPr>
            <w:r w:rsidRPr="0084495F">
              <w:rPr>
                <w:rFonts w:ascii="Arial Narrow" w:hAnsi="Arial Narrow"/>
                <w:strike/>
                <w:color w:val="333333"/>
                <w:sz w:val="20"/>
                <w:szCs w:val="20"/>
              </w:rPr>
              <w:t>Patient must be receiving treatment with an ACE inhibitor,</w:t>
            </w:r>
            <w:r w:rsidRPr="0084495F">
              <w:rPr>
                <w:rFonts w:ascii="Arial Narrow" w:hAnsi="Arial Narrow"/>
                <w:strike/>
                <w:color w:val="333333"/>
                <w:sz w:val="20"/>
                <w:szCs w:val="20"/>
              </w:rPr>
              <w:br/>
              <w:t xml:space="preserve">OR </w:t>
            </w:r>
          </w:p>
          <w:p w14:paraId="55CEC37D" w14:textId="3B69D769" w:rsidR="00294A1E" w:rsidRPr="0084495F" w:rsidRDefault="00294A1E" w:rsidP="007F0913">
            <w:pPr>
              <w:jc w:val="left"/>
              <w:rPr>
                <w:rFonts w:ascii="Arial Narrow" w:hAnsi="Arial Narrow"/>
                <w:color w:val="333333"/>
                <w:sz w:val="20"/>
                <w:szCs w:val="20"/>
              </w:rPr>
            </w:pPr>
            <w:r w:rsidRPr="0084495F">
              <w:rPr>
                <w:rFonts w:ascii="Arial Narrow" w:hAnsi="Arial Narrow"/>
                <w:strike/>
                <w:color w:val="333333"/>
                <w:sz w:val="20"/>
                <w:szCs w:val="20"/>
              </w:rPr>
              <w:t>an angiotensin II antagonist (ARB),</w:t>
            </w:r>
            <w:r w:rsidRPr="0084495F">
              <w:rPr>
                <w:rFonts w:ascii="Arial Narrow" w:hAnsi="Arial Narrow"/>
                <w:strike/>
                <w:color w:val="333333"/>
                <w:sz w:val="20"/>
                <w:szCs w:val="20"/>
              </w:rPr>
              <w:br/>
              <w:t xml:space="preserve">OR </w:t>
            </w:r>
            <w:r w:rsidRPr="0084495F">
              <w:rPr>
                <w:rFonts w:ascii="Arial Narrow" w:hAnsi="Arial Narrow"/>
                <w:strike/>
                <w:color w:val="333333"/>
                <w:sz w:val="20"/>
                <w:szCs w:val="20"/>
              </w:rPr>
              <w:br/>
              <w:t xml:space="preserve">angiotensin receptor with </w:t>
            </w:r>
            <w:proofErr w:type="spellStart"/>
            <w:r w:rsidRPr="0084495F">
              <w:rPr>
                <w:rFonts w:ascii="Arial Narrow" w:hAnsi="Arial Narrow"/>
                <w:strike/>
                <w:color w:val="333333"/>
                <w:sz w:val="20"/>
                <w:szCs w:val="20"/>
              </w:rPr>
              <w:t>neprilysin</w:t>
            </w:r>
            <w:proofErr w:type="spellEnd"/>
            <w:r w:rsidRPr="0084495F">
              <w:rPr>
                <w:rFonts w:ascii="Arial Narrow" w:hAnsi="Arial Narrow"/>
                <w:strike/>
                <w:color w:val="333333"/>
                <w:sz w:val="20"/>
                <w:szCs w:val="20"/>
              </w:rPr>
              <w:t xml:space="preserve"> inhibitor (</w:t>
            </w:r>
            <w:proofErr w:type="spellStart"/>
            <w:r w:rsidRPr="0084495F">
              <w:rPr>
                <w:rFonts w:ascii="Arial Narrow" w:hAnsi="Arial Narrow"/>
                <w:strike/>
                <w:color w:val="333333"/>
                <w:sz w:val="20"/>
                <w:szCs w:val="20"/>
              </w:rPr>
              <w:t>ARNi</w:t>
            </w:r>
            <w:proofErr w:type="spellEnd"/>
            <w:r w:rsidRPr="0084495F">
              <w:rPr>
                <w:rFonts w:ascii="Arial Narrow" w:hAnsi="Arial Narrow"/>
                <w:strike/>
                <w:color w:val="333333"/>
                <w:sz w:val="20"/>
                <w:szCs w:val="20"/>
              </w:rPr>
              <w:t>) combination therapy unless cont</w:t>
            </w:r>
            <w:r w:rsidR="007F0913" w:rsidRPr="0084495F">
              <w:rPr>
                <w:rFonts w:ascii="Arial Narrow" w:hAnsi="Arial Narrow"/>
                <w:strike/>
                <w:color w:val="333333"/>
                <w:sz w:val="20"/>
                <w:szCs w:val="20"/>
              </w:rPr>
              <w:t>raindicated or not be tolerated</w:t>
            </w:r>
          </w:p>
        </w:tc>
      </w:tr>
      <w:tr w:rsidR="00294A1E" w:rsidRPr="0084495F" w14:paraId="7704FD91" w14:textId="77777777" w:rsidTr="00294A1E">
        <w:trPr>
          <w:trHeight w:val="20"/>
        </w:trPr>
        <w:tc>
          <w:tcPr>
            <w:tcW w:w="5000" w:type="pct"/>
            <w:vAlign w:val="center"/>
          </w:tcPr>
          <w:p w14:paraId="4AD20B36" w14:textId="77777777" w:rsidR="00294A1E" w:rsidRPr="0084495F" w:rsidRDefault="00294A1E" w:rsidP="00224686">
            <w:pPr>
              <w:jc w:val="left"/>
              <w:rPr>
                <w:rFonts w:ascii="Arial Narrow" w:hAnsi="Arial Narrow"/>
                <w:i/>
                <w:iCs/>
                <w:strike/>
                <w:color w:val="333333"/>
                <w:sz w:val="20"/>
                <w:szCs w:val="20"/>
              </w:rPr>
            </w:pPr>
            <w:r w:rsidRPr="0084495F">
              <w:rPr>
                <w:rFonts w:ascii="Arial Narrow" w:hAnsi="Arial Narrow"/>
                <w:i/>
                <w:iCs/>
                <w:sz w:val="20"/>
                <w:szCs w:val="20"/>
              </w:rPr>
              <w:t>The treatment must be an add-on therapy to optimal standard chronic heart failure treatment, which must include an ACE inhibitor, unless contraindicated according to the TGA-approved Product Information or cannot be tolerated; or</w:t>
            </w:r>
          </w:p>
        </w:tc>
      </w:tr>
      <w:tr w:rsidR="00294A1E" w:rsidRPr="0084495F" w14:paraId="72BE093D" w14:textId="77777777" w:rsidTr="00294A1E">
        <w:trPr>
          <w:trHeight w:val="20"/>
        </w:trPr>
        <w:tc>
          <w:tcPr>
            <w:tcW w:w="5000" w:type="pct"/>
            <w:vAlign w:val="center"/>
          </w:tcPr>
          <w:p w14:paraId="00A91CAF" w14:textId="77777777" w:rsidR="00294A1E" w:rsidRPr="0084495F" w:rsidRDefault="00294A1E" w:rsidP="00224686">
            <w:pPr>
              <w:jc w:val="left"/>
              <w:rPr>
                <w:rFonts w:ascii="Arial Narrow" w:hAnsi="Arial Narrow"/>
                <w:b/>
                <w:bCs/>
                <w:i/>
                <w:iCs/>
                <w:color w:val="333333"/>
                <w:sz w:val="20"/>
                <w:szCs w:val="20"/>
              </w:rPr>
            </w:pPr>
            <w:r w:rsidRPr="0084495F">
              <w:rPr>
                <w:rFonts w:ascii="Arial Narrow" w:hAnsi="Arial Narrow"/>
                <w:i/>
                <w:iCs/>
                <w:sz w:val="20"/>
                <w:szCs w:val="20"/>
              </w:rPr>
              <w:t xml:space="preserve">The treatment must be an add-on therapy to optimal standard chronic heart failure treatment, which must include an angiotensin II antagonist, unless contraindicated according to the TGA-approved Product Information or cannot be </w:t>
            </w:r>
            <w:proofErr w:type="gramStart"/>
            <w:r w:rsidRPr="0084495F">
              <w:rPr>
                <w:rFonts w:ascii="Arial Narrow" w:hAnsi="Arial Narrow"/>
                <w:i/>
                <w:iCs/>
                <w:sz w:val="20"/>
                <w:szCs w:val="20"/>
              </w:rPr>
              <w:t>tolerated;</w:t>
            </w:r>
            <w:proofErr w:type="gramEnd"/>
            <w:r w:rsidRPr="0084495F">
              <w:rPr>
                <w:rFonts w:ascii="Arial Narrow" w:hAnsi="Arial Narrow"/>
                <w:i/>
                <w:iCs/>
                <w:sz w:val="20"/>
                <w:szCs w:val="20"/>
              </w:rPr>
              <w:t xml:space="preserve"> or</w:t>
            </w:r>
          </w:p>
        </w:tc>
      </w:tr>
      <w:tr w:rsidR="00294A1E" w:rsidRPr="0084495F" w14:paraId="2304521A" w14:textId="77777777" w:rsidTr="00294A1E">
        <w:trPr>
          <w:trHeight w:val="20"/>
        </w:trPr>
        <w:tc>
          <w:tcPr>
            <w:tcW w:w="5000" w:type="pct"/>
            <w:vAlign w:val="center"/>
          </w:tcPr>
          <w:p w14:paraId="533E95C4" w14:textId="77777777" w:rsidR="00294A1E" w:rsidRPr="0084495F" w:rsidRDefault="00294A1E" w:rsidP="00224686">
            <w:pPr>
              <w:jc w:val="left"/>
              <w:rPr>
                <w:rFonts w:ascii="Arial Narrow" w:hAnsi="Arial Narrow"/>
                <w:b/>
                <w:bCs/>
                <w:i/>
                <w:iCs/>
                <w:color w:val="333333"/>
                <w:sz w:val="20"/>
                <w:szCs w:val="20"/>
              </w:rPr>
            </w:pPr>
            <w:r w:rsidRPr="0084495F">
              <w:rPr>
                <w:rFonts w:ascii="Arial Narrow" w:hAnsi="Arial Narrow"/>
                <w:i/>
                <w:iCs/>
                <w:sz w:val="20"/>
                <w:szCs w:val="20"/>
              </w:rPr>
              <w:t xml:space="preserve">The treatment must be an add-on therapy to optimal standard chronic heart failure treatment, which must include an angiotensin receptor with </w:t>
            </w:r>
            <w:proofErr w:type="spellStart"/>
            <w:r w:rsidRPr="0084495F">
              <w:rPr>
                <w:rFonts w:ascii="Arial Narrow" w:hAnsi="Arial Narrow"/>
                <w:i/>
                <w:iCs/>
                <w:sz w:val="20"/>
                <w:szCs w:val="20"/>
              </w:rPr>
              <w:t>neprilysin</w:t>
            </w:r>
            <w:proofErr w:type="spellEnd"/>
            <w:r w:rsidRPr="0084495F">
              <w:rPr>
                <w:rFonts w:ascii="Arial Narrow" w:hAnsi="Arial Narrow"/>
                <w:i/>
                <w:iCs/>
                <w:sz w:val="20"/>
                <w:szCs w:val="20"/>
              </w:rPr>
              <w:t xml:space="preserve"> inhibitor combination therapy unless contraindicated according to the TGA-approved Product Information or cannot be tolerated,</w:t>
            </w:r>
          </w:p>
        </w:tc>
      </w:tr>
      <w:tr w:rsidR="00294A1E" w:rsidRPr="0084495F" w14:paraId="49136065" w14:textId="77777777" w:rsidTr="00294A1E">
        <w:trPr>
          <w:trHeight w:val="20"/>
        </w:trPr>
        <w:tc>
          <w:tcPr>
            <w:tcW w:w="5000" w:type="pct"/>
            <w:vAlign w:val="center"/>
            <w:hideMark/>
          </w:tcPr>
          <w:p w14:paraId="46C6861A" w14:textId="77777777" w:rsidR="00294A1E" w:rsidRPr="0084495F" w:rsidRDefault="00294A1E" w:rsidP="00224686">
            <w:pPr>
              <w:jc w:val="left"/>
              <w:rPr>
                <w:rFonts w:ascii="Arial Narrow" w:hAnsi="Arial Narrow"/>
                <w:strike/>
                <w:color w:val="333333"/>
                <w:sz w:val="20"/>
                <w:szCs w:val="20"/>
              </w:rPr>
            </w:pPr>
            <w:r w:rsidRPr="0084495F">
              <w:rPr>
                <w:rFonts w:ascii="Arial Narrow" w:hAnsi="Arial Narrow"/>
                <w:b/>
                <w:bCs/>
                <w:strike/>
                <w:color w:val="333333"/>
                <w:sz w:val="20"/>
                <w:szCs w:val="20"/>
              </w:rPr>
              <w:t>AND</w:t>
            </w:r>
          </w:p>
        </w:tc>
      </w:tr>
      <w:tr w:rsidR="00294A1E" w:rsidRPr="0084495F" w14:paraId="38D48327" w14:textId="77777777" w:rsidTr="00294A1E">
        <w:trPr>
          <w:trHeight w:val="20"/>
        </w:trPr>
        <w:tc>
          <w:tcPr>
            <w:tcW w:w="5000" w:type="pct"/>
            <w:vAlign w:val="center"/>
            <w:hideMark/>
          </w:tcPr>
          <w:p w14:paraId="6CEC1AFE" w14:textId="77777777" w:rsidR="00294A1E" w:rsidRPr="0084495F" w:rsidRDefault="00294A1E" w:rsidP="00224686">
            <w:pPr>
              <w:jc w:val="left"/>
              <w:rPr>
                <w:rFonts w:ascii="Arial Narrow" w:hAnsi="Arial Narrow"/>
                <w:strike/>
                <w:color w:val="333333"/>
                <w:sz w:val="20"/>
                <w:szCs w:val="20"/>
              </w:rPr>
            </w:pPr>
            <w:r w:rsidRPr="0084495F">
              <w:rPr>
                <w:rFonts w:ascii="Arial Narrow" w:hAnsi="Arial Narrow"/>
                <w:b/>
                <w:bCs/>
                <w:strike/>
                <w:color w:val="333333"/>
                <w:sz w:val="20"/>
                <w:szCs w:val="20"/>
              </w:rPr>
              <w:t>Population criteria:</w:t>
            </w:r>
          </w:p>
        </w:tc>
      </w:tr>
      <w:tr w:rsidR="00294A1E" w:rsidRPr="0084495F" w14:paraId="587FE9CF" w14:textId="77777777" w:rsidTr="00294A1E">
        <w:trPr>
          <w:trHeight w:val="20"/>
        </w:trPr>
        <w:tc>
          <w:tcPr>
            <w:tcW w:w="5000" w:type="pct"/>
            <w:vAlign w:val="center"/>
            <w:hideMark/>
          </w:tcPr>
          <w:p w14:paraId="7482C9AD" w14:textId="77777777" w:rsidR="00294A1E" w:rsidRPr="0084495F" w:rsidRDefault="00294A1E" w:rsidP="00224686">
            <w:pPr>
              <w:jc w:val="left"/>
              <w:rPr>
                <w:rFonts w:ascii="Arial Narrow" w:hAnsi="Arial Narrow"/>
                <w:strike/>
                <w:sz w:val="20"/>
                <w:szCs w:val="20"/>
              </w:rPr>
            </w:pPr>
            <w:r w:rsidRPr="0084495F">
              <w:rPr>
                <w:rFonts w:ascii="Arial Narrow" w:hAnsi="Arial Narrow"/>
                <w:strike/>
                <w:sz w:val="20"/>
                <w:szCs w:val="20"/>
              </w:rPr>
              <w:t>Patient must be aged 18 years or older.</w:t>
            </w:r>
          </w:p>
        </w:tc>
      </w:tr>
      <w:tr w:rsidR="00294A1E" w:rsidRPr="0084495F" w14:paraId="25FA1171" w14:textId="77777777" w:rsidTr="00294A1E">
        <w:trPr>
          <w:trHeight w:val="20"/>
        </w:trPr>
        <w:tc>
          <w:tcPr>
            <w:tcW w:w="5000" w:type="pct"/>
            <w:vAlign w:val="center"/>
            <w:hideMark/>
          </w:tcPr>
          <w:p w14:paraId="3E7191FB" w14:textId="77777777" w:rsidR="00294A1E" w:rsidRPr="0084495F" w:rsidRDefault="00294A1E" w:rsidP="00224686">
            <w:pPr>
              <w:jc w:val="left"/>
              <w:rPr>
                <w:rFonts w:ascii="Arial Narrow" w:hAnsi="Arial Narrow"/>
                <w:i/>
                <w:iCs/>
                <w:sz w:val="20"/>
                <w:szCs w:val="20"/>
              </w:rPr>
            </w:pPr>
            <w:r w:rsidRPr="0084495F">
              <w:rPr>
                <w:rFonts w:ascii="Arial Narrow" w:hAnsi="Arial Narrow"/>
                <w:b/>
                <w:bCs/>
                <w:i/>
                <w:iCs/>
                <w:sz w:val="20"/>
                <w:szCs w:val="20"/>
              </w:rPr>
              <w:t xml:space="preserve">Administrative Advice: </w:t>
            </w:r>
            <w:r w:rsidRPr="0084495F">
              <w:rPr>
                <w:rFonts w:ascii="Arial Narrow" w:hAnsi="Arial Narrow"/>
                <w:bCs/>
                <w:i/>
                <w:iCs/>
                <w:sz w:val="20"/>
                <w:szCs w:val="20"/>
              </w:rPr>
              <w:t>No increase in the maximum quantity or number of units may be authorised.</w:t>
            </w:r>
          </w:p>
        </w:tc>
      </w:tr>
      <w:tr w:rsidR="00294A1E" w:rsidRPr="0084495F" w14:paraId="4738ED6E" w14:textId="77777777" w:rsidTr="00294A1E">
        <w:trPr>
          <w:trHeight w:val="20"/>
        </w:trPr>
        <w:tc>
          <w:tcPr>
            <w:tcW w:w="5000" w:type="pct"/>
            <w:vAlign w:val="center"/>
          </w:tcPr>
          <w:p w14:paraId="7E16AEB2" w14:textId="77777777" w:rsidR="00294A1E" w:rsidRPr="0084495F" w:rsidRDefault="00294A1E" w:rsidP="00224686">
            <w:pPr>
              <w:jc w:val="left"/>
              <w:rPr>
                <w:rFonts w:ascii="Arial Narrow" w:hAnsi="Arial Narrow"/>
                <w:b/>
                <w:bCs/>
                <w:i/>
                <w:iCs/>
                <w:sz w:val="20"/>
                <w:szCs w:val="20"/>
              </w:rPr>
            </w:pPr>
            <w:r w:rsidRPr="0084495F">
              <w:rPr>
                <w:rFonts w:ascii="Arial Narrow" w:hAnsi="Arial Narrow"/>
                <w:b/>
                <w:bCs/>
                <w:i/>
                <w:iCs/>
                <w:sz w:val="20"/>
                <w:szCs w:val="20"/>
              </w:rPr>
              <w:t xml:space="preserve">Administrative Advice: </w:t>
            </w:r>
            <w:r w:rsidRPr="0084495F">
              <w:rPr>
                <w:rFonts w:ascii="Arial Narrow" w:hAnsi="Arial Narrow"/>
                <w:bCs/>
                <w:i/>
                <w:iCs/>
                <w:sz w:val="20"/>
                <w:szCs w:val="20"/>
              </w:rPr>
              <w:t>No increase in the maximum number of repeats may be authorised.</w:t>
            </w:r>
          </w:p>
        </w:tc>
      </w:tr>
      <w:tr w:rsidR="00294A1E" w:rsidRPr="0084495F" w14:paraId="618946AD" w14:textId="77777777" w:rsidTr="00294A1E">
        <w:trPr>
          <w:trHeight w:val="20"/>
        </w:trPr>
        <w:tc>
          <w:tcPr>
            <w:tcW w:w="5000" w:type="pct"/>
            <w:vAlign w:val="center"/>
          </w:tcPr>
          <w:p w14:paraId="1766E5C4" w14:textId="2E0E32AD" w:rsidR="00294A1E" w:rsidRPr="0084495F" w:rsidRDefault="00294A1E" w:rsidP="00224686">
            <w:pPr>
              <w:jc w:val="left"/>
              <w:rPr>
                <w:rFonts w:ascii="Arial Narrow" w:hAnsi="Arial Narrow"/>
                <w:b/>
                <w:bCs/>
                <w:i/>
                <w:iCs/>
                <w:sz w:val="20"/>
                <w:szCs w:val="20"/>
              </w:rPr>
            </w:pPr>
            <w:r w:rsidRPr="0084495F">
              <w:rPr>
                <w:rFonts w:ascii="Arial Narrow" w:hAnsi="Arial Narrow"/>
                <w:b/>
                <w:bCs/>
                <w:i/>
                <w:iCs/>
                <w:sz w:val="20"/>
                <w:szCs w:val="20"/>
              </w:rPr>
              <w:t xml:space="preserve">Administrative Advice: </w:t>
            </w:r>
            <w:r w:rsidRPr="0084495F">
              <w:rPr>
                <w:rFonts w:ascii="Arial Narrow" w:hAnsi="Arial Narrow"/>
                <w:bCs/>
                <w:i/>
                <w:iCs/>
                <w:sz w:val="20"/>
                <w:szCs w:val="20"/>
              </w:rPr>
              <w:t xml:space="preserve">The date of the decompensation event and date of initiation of treatment with this drug must be </w:t>
            </w:r>
            <w:r w:rsidR="00393AE3" w:rsidRPr="0084495F">
              <w:rPr>
                <w:rFonts w:ascii="Arial Narrow" w:hAnsi="Arial Narrow"/>
                <w:bCs/>
                <w:i/>
                <w:iCs/>
                <w:sz w:val="20"/>
                <w:szCs w:val="20"/>
              </w:rPr>
              <w:t xml:space="preserve">documented </w:t>
            </w:r>
            <w:r w:rsidRPr="0084495F">
              <w:rPr>
                <w:rFonts w:ascii="Arial Narrow" w:hAnsi="Arial Narrow"/>
                <w:bCs/>
                <w:i/>
                <w:iCs/>
                <w:sz w:val="20"/>
                <w:szCs w:val="20"/>
              </w:rPr>
              <w:t>in the patient’s medical records when PBS-subsidised treatment is initiated.</w:t>
            </w:r>
          </w:p>
        </w:tc>
      </w:tr>
      <w:tr w:rsidR="009302C3" w:rsidRPr="0084495F" w14:paraId="0B07B4E1"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59F93" w14:textId="77777777" w:rsidR="009302C3" w:rsidRPr="0084495F" w:rsidRDefault="009302C3" w:rsidP="009302C3">
            <w:pPr>
              <w:jc w:val="left"/>
              <w:rPr>
                <w:rFonts w:ascii="Arial Narrow" w:hAnsi="Arial Narrow"/>
                <w:b/>
                <w:bCs/>
                <w:i/>
                <w:iCs/>
                <w:sz w:val="20"/>
                <w:szCs w:val="20"/>
              </w:rPr>
            </w:pPr>
            <w:r w:rsidRPr="0084495F">
              <w:rPr>
                <w:rFonts w:ascii="Arial Narrow" w:hAnsi="Arial Narrow"/>
                <w:b/>
                <w:bCs/>
                <w:i/>
                <w:iCs/>
                <w:sz w:val="20"/>
                <w:szCs w:val="20"/>
              </w:rPr>
              <w:t>Treatment Phase: Continuing treatment</w:t>
            </w:r>
          </w:p>
        </w:tc>
      </w:tr>
      <w:tr w:rsidR="00A62D65" w:rsidRPr="0084495F" w14:paraId="24A3AE1F"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239F61E" w14:textId="631159E6" w:rsidR="00A62D65" w:rsidRPr="0084495F" w:rsidRDefault="00A62D65" w:rsidP="00A62D65">
            <w:pPr>
              <w:keepLines/>
              <w:jc w:val="left"/>
              <w:rPr>
                <w:rFonts w:ascii="Arial Narrow" w:hAnsi="Arial Narrow"/>
                <w:b/>
                <w:bCs/>
                <w:i/>
                <w:iCs/>
                <w:sz w:val="20"/>
                <w:szCs w:val="20"/>
              </w:rPr>
            </w:pPr>
            <w:r w:rsidRPr="0084495F">
              <w:rPr>
                <w:rFonts w:ascii="Arial Narrow" w:hAnsi="Arial Narrow"/>
                <w:b/>
                <w:sz w:val="20"/>
                <w:szCs w:val="20"/>
              </w:rPr>
              <w:t xml:space="preserve">Restriction type: </w:t>
            </w:r>
            <w:r w:rsidRPr="0084495F">
              <w:rPr>
                <w:rFonts w:ascii="Arial Narrow" w:eastAsia="Calibri" w:hAnsi="Arial Narrow"/>
                <w:sz w:val="20"/>
                <w:szCs w:val="20"/>
              </w:rPr>
              <w:fldChar w:fldCharType="begin">
                <w:ffData>
                  <w:name w:val=""/>
                  <w:enabled/>
                  <w:calcOnExit w:val="0"/>
                  <w:checkBox>
                    <w:sizeAuto/>
                    <w:default w:val="1"/>
                  </w:checkBox>
                </w:ffData>
              </w:fldChar>
            </w:r>
            <w:r w:rsidRPr="0084495F">
              <w:rPr>
                <w:rFonts w:ascii="Arial Narrow" w:eastAsia="Calibri" w:hAnsi="Arial Narrow"/>
                <w:sz w:val="20"/>
                <w:szCs w:val="20"/>
              </w:rPr>
              <w:instrText xml:space="preserve"> FORMCHECKBOX </w:instrText>
            </w:r>
            <w:r w:rsidR="00C16DA1">
              <w:rPr>
                <w:rFonts w:ascii="Arial Narrow" w:eastAsia="Calibri" w:hAnsi="Arial Narrow"/>
                <w:sz w:val="20"/>
                <w:szCs w:val="20"/>
              </w:rPr>
            </w:r>
            <w:r w:rsidR="00C16DA1">
              <w:rPr>
                <w:rFonts w:ascii="Arial Narrow" w:eastAsia="Calibri" w:hAnsi="Arial Narrow"/>
                <w:sz w:val="20"/>
                <w:szCs w:val="20"/>
              </w:rPr>
              <w:fldChar w:fldCharType="separate"/>
            </w:r>
            <w:r w:rsidRPr="0084495F">
              <w:rPr>
                <w:rFonts w:ascii="Arial Narrow" w:eastAsia="Calibri" w:hAnsi="Arial Narrow"/>
                <w:sz w:val="20"/>
                <w:szCs w:val="20"/>
              </w:rPr>
              <w:fldChar w:fldCharType="end"/>
            </w:r>
            <w:r w:rsidRPr="0084495F">
              <w:rPr>
                <w:rFonts w:ascii="Arial Narrow" w:eastAsia="Calibri" w:hAnsi="Arial Narrow"/>
                <w:sz w:val="20"/>
                <w:szCs w:val="20"/>
              </w:rPr>
              <w:t>Authority Required (Streamlined) [new code]</w:t>
            </w:r>
          </w:p>
        </w:tc>
      </w:tr>
      <w:tr w:rsidR="009302C3" w:rsidRPr="0084495F" w14:paraId="046AFB28"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1B2D38F" w14:textId="77777777" w:rsidR="009302C3" w:rsidRPr="0084495F" w:rsidRDefault="009302C3" w:rsidP="009302C3">
            <w:pPr>
              <w:jc w:val="left"/>
              <w:rPr>
                <w:rFonts w:ascii="Arial Narrow" w:hAnsi="Arial Narrow"/>
                <w:b/>
                <w:bCs/>
                <w:i/>
                <w:iCs/>
                <w:sz w:val="20"/>
                <w:szCs w:val="20"/>
              </w:rPr>
            </w:pPr>
            <w:r w:rsidRPr="0084495F">
              <w:rPr>
                <w:rFonts w:ascii="Arial Narrow" w:hAnsi="Arial Narrow"/>
                <w:b/>
                <w:bCs/>
                <w:i/>
                <w:iCs/>
                <w:sz w:val="20"/>
                <w:szCs w:val="20"/>
              </w:rPr>
              <w:t>Clinical criteria:</w:t>
            </w:r>
          </w:p>
        </w:tc>
      </w:tr>
      <w:tr w:rsidR="009302C3" w:rsidRPr="0084495F" w14:paraId="6E2D6B6F"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731D7B8" w14:textId="2A1F63EA" w:rsidR="009302C3" w:rsidRPr="0084495F" w:rsidRDefault="009302C3" w:rsidP="009302C3">
            <w:pPr>
              <w:jc w:val="left"/>
              <w:rPr>
                <w:rFonts w:ascii="Arial Narrow" w:hAnsi="Arial Narrow"/>
                <w:b/>
                <w:bCs/>
                <w:i/>
                <w:iCs/>
                <w:sz w:val="20"/>
                <w:szCs w:val="20"/>
              </w:rPr>
            </w:pPr>
            <w:r w:rsidRPr="0084495F">
              <w:rPr>
                <w:rFonts w:ascii="Arial Narrow" w:hAnsi="Arial Narrow"/>
                <w:i/>
                <w:sz w:val="20"/>
                <w:szCs w:val="20"/>
              </w:rPr>
              <w:t>Patient must have previously received PBS-subsidised treatment with this drug for this condition</w:t>
            </w:r>
          </w:p>
        </w:tc>
      </w:tr>
      <w:tr w:rsidR="009302C3" w:rsidRPr="0084495F" w14:paraId="621B878E"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7E54882" w14:textId="733FD958" w:rsidR="009302C3" w:rsidRPr="0084495F" w:rsidRDefault="009302C3" w:rsidP="009302C3">
            <w:pPr>
              <w:jc w:val="left"/>
              <w:rPr>
                <w:rFonts w:ascii="Arial Narrow" w:hAnsi="Arial Narrow"/>
                <w:b/>
                <w:bCs/>
                <w:i/>
                <w:iCs/>
                <w:sz w:val="20"/>
                <w:szCs w:val="20"/>
              </w:rPr>
            </w:pPr>
            <w:r w:rsidRPr="0084495F">
              <w:rPr>
                <w:rFonts w:ascii="Arial Narrow" w:hAnsi="Arial Narrow"/>
                <w:b/>
                <w:bCs/>
                <w:i/>
                <w:color w:val="333333"/>
                <w:sz w:val="20"/>
                <w:szCs w:val="20"/>
              </w:rPr>
              <w:t>AND</w:t>
            </w:r>
          </w:p>
        </w:tc>
      </w:tr>
      <w:tr w:rsidR="009302C3" w:rsidRPr="0084495F" w14:paraId="1D938839"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D8CCCA3" w14:textId="7381EA45" w:rsidR="009302C3" w:rsidRPr="0084495F" w:rsidRDefault="009302C3" w:rsidP="009302C3">
            <w:pPr>
              <w:jc w:val="left"/>
              <w:rPr>
                <w:rFonts w:ascii="Arial Narrow" w:hAnsi="Arial Narrow"/>
                <w:b/>
                <w:bCs/>
                <w:i/>
                <w:iCs/>
                <w:sz w:val="20"/>
                <w:szCs w:val="20"/>
              </w:rPr>
            </w:pPr>
            <w:r w:rsidRPr="0084495F">
              <w:rPr>
                <w:rFonts w:ascii="Arial Narrow" w:hAnsi="Arial Narrow"/>
                <w:b/>
                <w:bCs/>
                <w:i/>
                <w:color w:val="333333"/>
                <w:sz w:val="20"/>
                <w:szCs w:val="20"/>
              </w:rPr>
              <w:t>Clinical criteria:</w:t>
            </w:r>
          </w:p>
        </w:tc>
      </w:tr>
      <w:tr w:rsidR="009302C3" w:rsidRPr="0084495F" w14:paraId="2F4FEDE5"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3EC679E" w14:textId="6BD6F240" w:rsidR="009302C3" w:rsidRPr="0084495F" w:rsidRDefault="007F0913" w:rsidP="009302C3">
            <w:pPr>
              <w:jc w:val="left"/>
              <w:rPr>
                <w:rFonts w:ascii="Arial Narrow" w:hAnsi="Arial Narrow"/>
                <w:b/>
                <w:bCs/>
                <w:i/>
                <w:iCs/>
                <w:sz w:val="20"/>
                <w:szCs w:val="20"/>
              </w:rPr>
            </w:pPr>
            <w:r w:rsidRPr="0084495F">
              <w:rPr>
                <w:rFonts w:ascii="Arial Narrow" w:hAnsi="Arial Narrow"/>
                <w:i/>
                <w:iCs/>
                <w:color w:val="333333"/>
                <w:sz w:val="20"/>
                <w:szCs w:val="20"/>
              </w:rPr>
              <w:t>The treatment must be an add-on therapy to optimal standard chronic heart failure treatment, which must include a beta-blocker, unless contraindicated according to the TGA-approved Product Information or cannot be tolerated</w:t>
            </w:r>
          </w:p>
        </w:tc>
      </w:tr>
      <w:tr w:rsidR="009302C3" w:rsidRPr="0084495F" w14:paraId="430BAA10"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E2B0280" w14:textId="267294F1" w:rsidR="009302C3" w:rsidRPr="0084495F" w:rsidRDefault="009302C3" w:rsidP="009302C3">
            <w:pPr>
              <w:jc w:val="left"/>
              <w:rPr>
                <w:rFonts w:ascii="Arial Narrow" w:hAnsi="Arial Narrow"/>
                <w:i/>
                <w:iCs/>
                <w:color w:val="333333"/>
                <w:sz w:val="20"/>
                <w:szCs w:val="20"/>
              </w:rPr>
            </w:pPr>
            <w:r w:rsidRPr="0084495F">
              <w:rPr>
                <w:rFonts w:ascii="Arial Narrow" w:hAnsi="Arial Narrow"/>
                <w:b/>
                <w:bCs/>
                <w:i/>
                <w:color w:val="333333"/>
                <w:sz w:val="20"/>
                <w:szCs w:val="20"/>
              </w:rPr>
              <w:t>AND</w:t>
            </w:r>
          </w:p>
        </w:tc>
      </w:tr>
      <w:tr w:rsidR="009302C3" w:rsidRPr="0084495F" w14:paraId="5B4A94A3"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D96BFD8" w14:textId="14C8AEE1" w:rsidR="009302C3" w:rsidRPr="0084495F" w:rsidRDefault="009302C3" w:rsidP="009302C3">
            <w:pPr>
              <w:jc w:val="left"/>
              <w:rPr>
                <w:rFonts w:ascii="Arial Narrow" w:hAnsi="Arial Narrow"/>
                <w:i/>
                <w:iCs/>
                <w:color w:val="333333"/>
                <w:sz w:val="20"/>
                <w:szCs w:val="20"/>
              </w:rPr>
            </w:pPr>
            <w:r w:rsidRPr="0084495F">
              <w:rPr>
                <w:rFonts w:ascii="Arial Narrow" w:hAnsi="Arial Narrow"/>
                <w:b/>
                <w:bCs/>
                <w:i/>
                <w:color w:val="333333"/>
                <w:sz w:val="20"/>
                <w:szCs w:val="20"/>
              </w:rPr>
              <w:t>Clinical criteria:</w:t>
            </w:r>
          </w:p>
        </w:tc>
      </w:tr>
      <w:tr w:rsidR="009302C3" w:rsidRPr="0084495F" w14:paraId="3798A221"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3D182EE" w14:textId="4041310C" w:rsidR="009302C3" w:rsidRPr="0084495F" w:rsidRDefault="009302C3" w:rsidP="009302C3">
            <w:pPr>
              <w:jc w:val="left"/>
              <w:rPr>
                <w:rFonts w:ascii="Arial Narrow" w:hAnsi="Arial Narrow"/>
                <w:b/>
                <w:bCs/>
                <w:i/>
                <w:iCs/>
                <w:sz w:val="20"/>
                <w:szCs w:val="20"/>
              </w:rPr>
            </w:pPr>
            <w:r w:rsidRPr="0084495F">
              <w:rPr>
                <w:rFonts w:ascii="Arial Narrow" w:hAnsi="Arial Narrow"/>
                <w:i/>
                <w:iCs/>
                <w:sz w:val="20"/>
                <w:szCs w:val="20"/>
              </w:rPr>
              <w:t>The treatment must be an add-on therapy to optimal standard chronic heart failure treatment, which must include an ACE inhibitor, unless contraindicated according to the TGA-approved Product Information or cannot be tolerated; or</w:t>
            </w:r>
          </w:p>
        </w:tc>
      </w:tr>
      <w:tr w:rsidR="009302C3" w:rsidRPr="0084495F" w14:paraId="727F5685"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94977A2" w14:textId="20038050" w:rsidR="009302C3" w:rsidRPr="0084495F" w:rsidRDefault="009302C3" w:rsidP="009302C3">
            <w:pPr>
              <w:jc w:val="left"/>
              <w:rPr>
                <w:rFonts w:ascii="Arial Narrow" w:hAnsi="Arial Narrow"/>
                <w:b/>
                <w:bCs/>
                <w:i/>
                <w:iCs/>
                <w:sz w:val="20"/>
                <w:szCs w:val="20"/>
              </w:rPr>
            </w:pPr>
            <w:r w:rsidRPr="0084495F">
              <w:rPr>
                <w:rFonts w:ascii="Arial Narrow" w:hAnsi="Arial Narrow"/>
                <w:i/>
                <w:iCs/>
                <w:sz w:val="20"/>
                <w:szCs w:val="20"/>
              </w:rPr>
              <w:t xml:space="preserve">The treatment must be an add-on therapy to optimal standard chronic heart failure treatment, which must include an angiotensin II antagonist, unless contraindicated according to the TGA-approved Product Information or cannot be </w:t>
            </w:r>
            <w:proofErr w:type="gramStart"/>
            <w:r w:rsidRPr="0084495F">
              <w:rPr>
                <w:rFonts w:ascii="Arial Narrow" w:hAnsi="Arial Narrow"/>
                <w:i/>
                <w:iCs/>
                <w:sz w:val="20"/>
                <w:szCs w:val="20"/>
              </w:rPr>
              <w:t>tolerated;</w:t>
            </w:r>
            <w:proofErr w:type="gramEnd"/>
            <w:r w:rsidRPr="0084495F">
              <w:rPr>
                <w:rFonts w:ascii="Arial Narrow" w:hAnsi="Arial Narrow"/>
                <w:i/>
                <w:iCs/>
                <w:sz w:val="20"/>
                <w:szCs w:val="20"/>
              </w:rPr>
              <w:t xml:space="preserve"> or</w:t>
            </w:r>
          </w:p>
        </w:tc>
      </w:tr>
      <w:tr w:rsidR="009302C3" w:rsidRPr="0084495F" w14:paraId="5F3F5536"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D592076" w14:textId="415E4691" w:rsidR="009302C3" w:rsidRPr="0084495F" w:rsidRDefault="009302C3" w:rsidP="009302C3">
            <w:pPr>
              <w:jc w:val="left"/>
              <w:rPr>
                <w:rFonts w:ascii="Arial Narrow" w:hAnsi="Arial Narrow"/>
                <w:b/>
                <w:bCs/>
                <w:i/>
                <w:iCs/>
                <w:sz w:val="20"/>
                <w:szCs w:val="20"/>
              </w:rPr>
            </w:pPr>
            <w:r w:rsidRPr="0084495F">
              <w:rPr>
                <w:rFonts w:ascii="Arial Narrow" w:hAnsi="Arial Narrow"/>
                <w:i/>
                <w:iCs/>
                <w:sz w:val="20"/>
                <w:szCs w:val="20"/>
              </w:rPr>
              <w:t xml:space="preserve">The treatment must be an add-on therapy to optimal standard chronic heart failure treatment, which must include an angiotensin receptor with </w:t>
            </w:r>
            <w:proofErr w:type="spellStart"/>
            <w:r w:rsidRPr="0084495F">
              <w:rPr>
                <w:rFonts w:ascii="Arial Narrow" w:hAnsi="Arial Narrow"/>
                <w:i/>
                <w:iCs/>
                <w:sz w:val="20"/>
                <w:szCs w:val="20"/>
              </w:rPr>
              <w:t>neprilysin</w:t>
            </w:r>
            <w:proofErr w:type="spellEnd"/>
            <w:r w:rsidRPr="0084495F">
              <w:rPr>
                <w:rFonts w:ascii="Arial Narrow" w:hAnsi="Arial Narrow"/>
                <w:i/>
                <w:iCs/>
                <w:sz w:val="20"/>
                <w:szCs w:val="20"/>
              </w:rPr>
              <w:t xml:space="preserve"> inhibitor combination therapy unless contraindicated according to the TGA-approved Product Information or cannot be tolerated,</w:t>
            </w:r>
          </w:p>
        </w:tc>
      </w:tr>
      <w:tr w:rsidR="009302C3" w:rsidRPr="0084495F" w14:paraId="0B05A7A6"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6B2F8F5" w14:textId="7F78CD54" w:rsidR="009302C3" w:rsidRPr="0084495F" w:rsidRDefault="009302C3" w:rsidP="009302C3">
            <w:pPr>
              <w:jc w:val="left"/>
              <w:rPr>
                <w:rFonts w:ascii="Arial Narrow" w:hAnsi="Arial Narrow"/>
                <w:b/>
                <w:bCs/>
                <w:i/>
                <w:iCs/>
                <w:sz w:val="20"/>
                <w:szCs w:val="20"/>
              </w:rPr>
            </w:pPr>
            <w:r w:rsidRPr="0084495F">
              <w:rPr>
                <w:rFonts w:ascii="Arial Narrow" w:hAnsi="Arial Narrow"/>
                <w:b/>
                <w:bCs/>
                <w:i/>
                <w:iCs/>
                <w:sz w:val="20"/>
                <w:szCs w:val="20"/>
              </w:rPr>
              <w:t xml:space="preserve">Administrative Advice: </w:t>
            </w:r>
            <w:r w:rsidRPr="0084495F">
              <w:rPr>
                <w:rFonts w:ascii="Arial Narrow" w:hAnsi="Arial Narrow"/>
                <w:bCs/>
                <w:i/>
                <w:iCs/>
                <w:sz w:val="20"/>
                <w:szCs w:val="20"/>
              </w:rPr>
              <w:t>No increase in the maximum quantity or number of units may be authorised.</w:t>
            </w:r>
          </w:p>
        </w:tc>
      </w:tr>
      <w:tr w:rsidR="009302C3" w:rsidRPr="0084495F" w14:paraId="3E79A1DB" w14:textId="77777777" w:rsidTr="009302C3">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592DECA" w14:textId="5869FD22" w:rsidR="009302C3" w:rsidRPr="0084495F" w:rsidRDefault="009302C3" w:rsidP="009302C3">
            <w:pPr>
              <w:jc w:val="left"/>
              <w:rPr>
                <w:rFonts w:ascii="Arial Narrow" w:hAnsi="Arial Narrow"/>
                <w:b/>
                <w:bCs/>
                <w:i/>
                <w:iCs/>
                <w:sz w:val="20"/>
                <w:szCs w:val="20"/>
              </w:rPr>
            </w:pPr>
            <w:r w:rsidRPr="0084495F">
              <w:rPr>
                <w:rFonts w:ascii="Arial Narrow" w:hAnsi="Arial Narrow"/>
                <w:b/>
                <w:bCs/>
                <w:i/>
                <w:iCs/>
                <w:sz w:val="20"/>
                <w:szCs w:val="20"/>
              </w:rPr>
              <w:t xml:space="preserve">Administrative Advice: </w:t>
            </w:r>
            <w:r w:rsidRPr="0084495F">
              <w:rPr>
                <w:rFonts w:ascii="Arial Narrow" w:hAnsi="Arial Narrow"/>
                <w:bCs/>
                <w:i/>
                <w:iCs/>
                <w:sz w:val="20"/>
                <w:szCs w:val="20"/>
              </w:rPr>
              <w:t>No increase in the maximum number of repeats may be authorised.</w:t>
            </w:r>
          </w:p>
        </w:tc>
      </w:tr>
    </w:tbl>
    <w:p w14:paraId="30315E50" w14:textId="77777777" w:rsidR="00294A1E" w:rsidRPr="0084495F" w:rsidRDefault="00294A1E" w:rsidP="009D082C">
      <w:pPr>
        <w:pStyle w:val="ExecSumBodyText"/>
        <w:numPr>
          <w:ilvl w:val="0"/>
          <w:numId w:val="0"/>
        </w:numPr>
        <w:spacing w:after="0"/>
        <w:rPr>
          <w:b/>
          <w:color w:val="0066FF"/>
        </w:rPr>
      </w:pPr>
    </w:p>
    <w:p w14:paraId="38FEC9CA" w14:textId="0D51AF59" w:rsidR="00E046EF" w:rsidRPr="0084495F" w:rsidRDefault="003A00E2" w:rsidP="00E34446">
      <w:pPr>
        <w:pStyle w:val="ExecSumBodyText"/>
        <w:contextualSpacing/>
        <w:rPr>
          <w:iCs/>
        </w:rPr>
      </w:pPr>
      <w:r w:rsidRPr="0084495F">
        <w:rPr>
          <w:iCs/>
        </w:rPr>
        <w:lastRenderedPageBreak/>
        <w:t>The proposed clinical criteria are less specific than the VICTORIA trial eligibility criteria:</w:t>
      </w:r>
      <w:r w:rsidR="00E046EF" w:rsidRPr="0084495F">
        <w:rPr>
          <w:iCs/>
        </w:rPr>
        <w:t xml:space="preserve"> </w:t>
      </w:r>
    </w:p>
    <w:p w14:paraId="01ED42CB" w14:textId="5FB0221C" w:rsidR="009873B5" w:rsidRPr="0084495F" w:rsidRDefault="009873B5" w:rsidP="009A1260">
      <w:pPr>
        <w:pStyle w:val="ListParagraph"/>
        <w:numPr>
          <w:ilvl w:val="1"/>
          <w:numId w:val="9"/>
        </w:numPr>
        <w:ind w:left="1077" w:hanging="357"/>
        <w:rPr>
          <w:iCs/>
        </w:rPr>
      </w:pPr>
      <w:r w:rsidRPr="0084495F">
        <w:rPr>
          <w:iCs/>
        </w:rPr>
        <w:t xml:space="preserve">A time frame for identifying </w:t>
      </w:r>
      <w:r w:rsidR="00CD7463" w:rsidRPr="0084495F">
        <w:rPr>
          <w:iCs/>
        </w:rPr>
        <w:t xml:space="preserve">the </w:t>
      </w:r>
      <w:r w:rsidRPr="0084495F">
        <w:rPr>
          <w:iCs/>
        </w:rPr>
        <w:t>recent</w:t>
      </w:r>
      <w:r w:rsidR="00CD7463" w:rsidRPr="0084495F">
        <w:rPr>
          <w:iCs/>
        </w:rPr>
        <w:t xml:space="preserve"> decompensation</w:t>
      </w:r>
      <w:r w:rsidRPr="0084495F">
        <w:rPr>
          <w:iCs/>
        </w:rPr>
        <w:t xml:space="preserve"> event was not identified. </w:t>
      </w:r>
      <w:r w:rsidR="005B72C1" w:rsidRPr="0084495F">
        <w:rPr>
          <w:iCs/>
        </w:rPr>
        <w:t>The ESC</w:t>
      </w:r>
      <w:r w:rsidR="00CD7463" w:rsidRPr="0084495F">
        <w:rPr>
          <w:iCs/>
        </w:rPr>
        <w:t xml:space="preserve"> and PBAC</w:t>
      </w:r>
      <w:r w:rsidR="005B72C1" w:rsidRPr="0084495F">
        <w:rPr>
          <w:iCs/>
        </w:rPr>
        <w:t xml:space="preserve"> considered that a time frame should be specified in the restriction</w:t>
      </w:r>
      <w:r w:rsidR="009A1260" w:rsidRPr="0084495F">
        <w:rPr>
          <w:iCs/>
        </w:rPr>
        <w:t xml:space="preserve"> consistent with</w:t>
      </w:r>
      <w:r w:rsidR="005B72C1" w:rsidRPr="0084495F">
        <w:rPr>
          <w:iCs/>
        </w:rPr>
        <w:t xml:space="preserve"> t</w:t>
      </w:r>
      <w:r w:rsidRPr="0084495F">
        <w:rPr>
          <w:iCs/>
        </w:rPr>
        <w:t>he VICTORIA trial</w:t>
      </w:r>
      <w:r w:rsidR="009A1260" w:rsidRPr="0084495F">
        <w:rPr>
          <w:iCs/>
        </w:rPr>
        <w:t>, which</w:t>
      </w:r>
      <w:r w:rsidRPr="0084495F">
        <w:rPr>
          <w:iCs/>
        </w:rPr>
        <w:t xml:space="preserve"> required patients to have had a heart failure hospitalisation in the past 6 months or intravenous diuretic therapy </w:t>
      </w:r>
      <w:r w:rsidR="00CD7463" w:rsidRPr="0084495F">
        <w:rPr>
          <w:rFonts w:asciiTheme="minorHAnsi" w:hAnsiTheme="minorHAnsi" w:cstheme="minorHAnsi"/>
        </w:rPr>
        <w:t>for heart failure (without hospitalisation)</w:t>
      </w:r>
      <w:r w:rsidR="00CD7463" w:rsidRPr="0084495F">
        <w:rPr>
          <w:rFonts w:cstheme="minorHAnsi"/>
        </w:rPr>
        <w:t xml:space="preserve"> </w:t>
      </w:r>
      <w:r w:rsidRPr="0084495F">
        <w:rPr>
          <w:iCs/>
        </w:rPr>
        <w:t xml:space="preserve">in the past 3 months. </w:t>
      </w:r>
      <w:r w:rsidR="00CD7463" w:rsidRPr="0084495F">
        <w:rPr>
          <w:iCs/>
        </w:rPr>
        <w:t xml:space="preserve">Further, the ESC </w:t>
      </w:r>
      <w:r w:rsidR="00CD7463" w:rsidRPr="0084495F">
        <w:rPr>
          <w:rFonts w:asciiTheme="minorHAnsi" w:hAnsiTheme="minorHAnsi" w:cstheme="minorHAnsi"/>
        </w:rPr>
        <w:t>and the PBAC considered that a prescribing instruction should be included specifying that the date of the decompensation event and date of initiation of treatment be recorded in</w:t>
      </w:r>
      <w:r w:rsidR="009A1260" w:rsidRPr="0084495F">
        <w:rPr>
          <w:rFonts w:asciiTheme="minorHAnsi" w:hAnsiTheme="minorHAnsi" w:cstheme="minorHAnsi"/>
        </w:rPr>
        <w:t xml:space="preserve"> the patient’s medical records</w:t>
      </w:r>
      <w:r w:rsidR="00CD7463" w:rsidRPr="0084495F">
        <w:rPr>
          <w:rFonts w:asciiTheme="minorHAnsi" w:hAnsiTheme="minorHAnsi" w:cstheme="minorHAnsi"/>
        </w:rPr>
        <w:t>.</w:t>
      </w:r>
    </w:p>
    <w:p w14:paraId="245B6F31" w14:textId="005501E3" w:rsidR="00B15A3B" w:rsidRPr="0084495F" w:rsidRDefault="00B15A3B" w:rsidP="00624423">
      <w:pPr>
        <w:pStyle w:val="ExecSumBodyText"/>
        <w:numPr>
          <w:ilvl w:val="1"/>
          <w:numId w:val="9"/>
        </w:numPr>
        <w:ind w:left="1077" w:hanging="357"/>
        <w:contextualSpacing/>
        <w:rPr>
          <w:iCs/>
        </w:rPr>
      </w:pPr>
      <w:r w:rsidRPr="0084495F">
        <w:rPr>
          <w:iCs/>
        </w:rPr>
        <w:t>Assessment of NT-</w:t>
      </w:r>
      <w:proofErr w:type="spellStart"/>
      <w:r w:rsidRPr="0084495F">
        <w:rPr>
          <w:iCs/>
        </w:rPr>
        <w:t>proBNP</w:t>
      </w:r>
      <w:proofErr w:type="spellEnd"/>
      <w:r w:rsidRPr="0084495F">
        <w:rPr>
          <w:iCs/>
        </w:rPr>
        <w:t xml:space="preserve"> levels as a proxy for stabilisation following hospitalisation and prior to initiation of vericiguat was not specified. The VICTORIA trial required patients in sinus rhythm to have NT-</w:t>
      </w:r>
      <w:proofErr w:type="spellStart"/>
      <w:r w:rsidRPr="0084495F">
        <w:rPr>
          <w:iCs/>
        </w:rPr>
        <w:t>proBNP</w:t>
      </w:r>
      <w:proofErr w:type="spellEnd"/>
      <w:r w:rsidRPr="0084495F">
        <w:rPr>
          <w:iCs/>
        </w:rPr>
        <w:t xml:space="preserve"> ≥1000 </w:t>
      </w:r>
      <w:proofErr w:type="spellStart"/>
      <w:r w:rsidRPr="0084495F">
        <w:rPr>
          <w:iCs/>
        </w:rPr>
        <w:t>pg</w:t>
      </w:r>
      <w:proofErr w:type="spellEnd"/>
      <w:r w:rsidRPr="0084495F">
        <w:rPr>
          <w:iCs/>
        </w:rPr>
        <w:t xml:space="preserve">/mL or BNP ≥300 </w:t>
      </w:r>
      <w:proofErr w:type="spellStart"/>
      <w:r w:rsidRPr="0084495F">
        <w:rPr>
          <w:iCs/>
        </w:rPr>
        <w:t>pg</w:t>
      </w:r>
      <w:proofErr w:type="spellEnd"/>
      <w:r w:rsidRPr="0084495F">
        <w:rPr>
          <w:iCs/>
        </w:rPr>
        <w:t>/mL; and patients in atrial fibrillation to have NT-</w:t>
      </w:r>
      <w:proofErr w:type="spellStart"/>
      <w:r w:rsidRPr="0084495F">
        <w:rPr>
          <w:iCs/>
        </w:rPr>
        <w:t>proBNP</w:t>
      </w:r>
      <w:proofErr w:type="spellEnd"/>
      <w:r w:rsidRPr="0084495F">
        <w:rPr>
          <w:iCs/>
        </w:rPr>
        <w:t xml:space="preserve"> ≥1600 </w:t>
      </w:r>
      <w:proofErr w:type="spellStart"/>
      <w:r w:rsidRPr="0084495F">
        <w:rPr>
          <w:iCs/>
        </w:rPr>
        <w:t>pg</w:t>
      </w:r>
      <w:proofErr w:type="spellEnd"/>
      <w:r w:rsidRPr="0084495F">
        <w:rPr>
          <w:iCs/>
        </w:rPr>
        <w:t xml:space="preserve">/mL or BNP ≥500 </w:t>
      </w:r>
      <w:proofErr w:type="spellStart"/>
      <w:r w:rsidRPr="0084495F">
        <w:rPr>
          <w:iCs/>
        </w:rPr>
        <w:t>pg</w:t>
      </w:r>
      <w:proofErr w:type="spellEnd"/>
      <w:r w:rsidRPr="0084495F">
        <w:rPr>
          <w:iCs/>
        </w:rPr>
        <w:t>/</w:t>
      </w:r>
      <w:proofErr w:type="spellStart"/>
      <w:r w:rsidRPr="0084495F">
        <w:rPr>
          <w:iCs/>
        </w:rPr>
        <w:t>mL.</w:t>
      </w:r>
      <w:proofErr w:type="spellEnd"/>
    </w:p>
    <w:p w14:paraId="37A9B73B" w14:textId="34DED5F9" w:rsidR="00D152F3" w:rsidRPr="0084495F" w:rsidRDefault="007E7E91" w:rsidP="005D5B7B">
      <w:pPr>
        <w:pStyle w:val="ExecSumBodyText"/>
        <w:numPr>
          <w:ilvl w:val="1"/>
          <w:numId w:val="9"/>
        </w:numPr>
        <w:ind w:left="1077" w:hanging="357"/>
        <w:rPr>
          <w:iCs/>
        </w:rPr>
      </w:pPr>
      <w:r w:rsidRPr="0084495F">
        <w:rPr>
          <w:iCs/>
        </w:rPr>
        <w:t xml:space="preserve">Criteria to identify stabilised patients were not included. The VICTORIA trial excluded patients who were unstable, defined as patients receiving IV </w:t>
      </w:r>
      <w:r w:rsidR="003D0886" w:rsidRPr="0084495F">
        <w:rPr>
          <w:iCs/>
        </w:rPr>
        <w:t>treatment</w:t>
      </w:r>
      <w:r w:rsidRPr="0084495F">
        <w:rPr>
          <w:iCs/>
        </w:rPr>
        <w:t xml:space="preserve"> in the 24 hours prior to randomisation; and/or a systolic blood pressure &lt;100 mmHg. </w:t>
      </w:r>
      <w:r w:rsidR="005B72C1" w:rsidRPr="0084495F">
        <w:rPr>
          <w:iCs/>
        </w:rPr>
        <w:t xml:space="preserve">The ESC considered that criteria around recent use of IV therapy or </w:t>
      </w:r>
      <w:r w:rsidR="00BB1F1F" w:rsidRPr="0084495F">
        <w:rPr>
          <w:iCs/>
        </w:rPr>
        <w:t xml:space="preserve">recent </w:t>
      </w:r>
      <w:r w:rsidR="005B72C1" w:rsidRPr="0084495F">
        <w:rPr>
          <w:iCs/>
        </w:rPr>
        <w:t xml:space="preserve">blood pressure </w:t>
      </w:r>
      <w:r w:rsidR="00BB1F1F" w:rsidRPr="0084495F">
        <w:rPr>
          <w:iCs/>
        </w:rPr>
        <w:t>stability</w:t>
      </w:r>
      <w:r w:rsidR="005B72C1" w:rsidRPr="0084495F">
        <w:rPr>
          <w:iCs/>
        </w:rPr>
        <w:t xml:space="preserve"> </w:t>
      </w:r>
      <w:r w:rsidR="00772428" w:rsidRPr="0084495F">
        <w:rPr>
          <w:iCs/>
        </w:rPr>
        <w:t xml:space="preserve">may </w:t>
      </w:r>
      <w:r w:rsidR="005B72C1" w:rsidRPr="0084495F">
        <w:rPr>
          <w:iCs/>
        </w:rPr>
        <w:t xml:space="preserve">not be required </w:t>
      </w:r>
      <w:r w:rsidR="00BB1F1F" w:rsidRPr="0084495F">
        <w:rPr>
          <w:iCs/>
        </w:rPr>
        <w:t>if initiation of vericiguat were limited to cardiologists</w:t>
      </w:r>
      <w:r w:rsidR="00677DC7" w:rsidRPr="0084495F">
        <w:rPr>
          <w:iCs/>
        </w:rPr>
        <w:t xml:space="preserve"> (or </w:t>
      </w:r>
      <w:r w:rsidR="00677DC7" w:rsidRPr="0084495F">
        <w:t>under the supervision of a cardiologist)</w:t>
      </w:r>
      <w:r w:rsidR="00772428" w:rsidRPr="0084495F">
        <w:t xml:space="preserve">. However, the PBAC </w:t>
      </w:r>
      <w:r w:rsidR="001D1855" w:rsidRPr="0084495F">
        <w:t>considered</w:t>
      </w:r>
      <w:r w:rsidR="00772428" w:rsidRPr="0084495F">
        <w:t xml:space="preserve"> that </w:t>
      </w:r>
      <w:r w:rsidR="001D1855" w:rsidRPr="0084495F">
        <w:t xml:space="preserve">it would be appropriate for the restriction to </w:t>
      </w:r>
      <w:r w:rsidR="00772428" w:rsidRPr="0084495F">
        <w:t xml:space="preserve">specify that </w:t>
      </w:r>
      <w:r w:rsidR="001D1855" w:rsidRPr="0084495F">
        <w:t xml:space="preserve">the </w:t>
      </w:r>
      <w:r w:rsidR="00772428" w:rsidRPr="0084495F">
        <w:t>patient</w:t>
      </w:r>
      <w:r w:rsidR="001D1855" w:rsidRPr="0084495F">
        <w:t>:</w:t>
      </w:r>
      <w:r w:rsidR="00772428" w:rsidRPr="0084495F">
        <w:t xml:space="preserve"> </w:t>
      </w:r>
      <w:r w:rsidR="001D1855" w:rsidRPr="0084495F">
        <w:t>must</w:t>
      </w:r>
      <w:r w:rsidR="00772428" w:rsidRPr="0084495F">
        <w:t xml:space="preserve"> not have required IV </w:t>
      </w:r>
      <w:r w:rsidR="003D0886" w:rsidRPr="0084495F">
        <w:t>treatment</w:t>
      </w:r>
      <w:r w:rsidR="00772428" w:rsidRPr="0084495F">
        <w:t xml:space="preserve"> within the </w:t>
      </w:r>
      <w:r w:rsidR="001D1855" w:rsidRPr="0084495F">
        <w:t>previous</w:t>
      </w:r>
      <w:r w:rsidR="00772428" w:rsidRPr="0084495F">
        <w:t xml:space="preserve"> 24 hours</w:t>
      </w:r>
      <w:r w:rsidR="001D1855" w:rsidRPr="0084495F">
        <w:t>;</w:t>
      </w:r>
      <w:r w:rsidR="00772428" w:rsidRPr="0084495F">
        <w:t xml:space="preserve"> should not be </w:t>
      </w:r>
      <w:proofErr w:type="spellStart"/>
      <w:r w:rsidR="00772428" w:rsidRPr="0084495F">
        <w:t>haemodynamically</w:t>
      </w:r>
      <w:proofErr w:type="spellEnd"/>
      <w:r w:rsidR="00772428" w:rsidRPr="0084495F">
        <w:t xml:space="preserve"> unstable</w:t>
      </w:r>
      <w:r w:rsidR="005D5B7B" w:rsidRPr="0084495F">
        <w:t xml:space="preserve"> (</w:t>
      </w:r>
      <w:proofErr w:type="gramStart"/>
      <w:r w:rsidR="002F3378" w:rsidRPr="0084495F">
        <w:t>e.g</w:t>
      </w:r>
      <w:r w:rsidR="005D5B7B" w:rsidRPr="0084495F">
        <w:t>.</w:t>
      </w:r>
      <w:proofErr w:type="gramEnd"/>
      <w:r w:rsidR="005D5B7B" w:rsidRPr="0084495F">
        <w:t xml:space="preserve"> must </w:t>
      </w:r>
      <w:r w:rsidR="002F3378" w:rsidRPr="0084495F">
        <w:t xml:space="preserve">not </w:t>
      </w:r>
      <w:r w:rsidR="005D5B7B" w:rsidRPr="0084495F">
        <w:t>have a systolic blood pressure less than 100 mmHg)</w:t>
      </w:r>
      <w:r w:rsidR="001D1855" w:rsidRPr="0084495F">
        <w:t>;</w:t>
      </w:r>
      <w:r w:rsidR="00772428" w:rsidRPr="0084495F">
        <w:t xml:space="preserve"> </w:t>
      </w:r>
      <w:r w:rsidR="00D561DA" w:rsidRPr="0084495F">
        <w:t xml:space="preserve">and </w:t>
      </w:r>
      <w:r w:rsidR="005D5B7B" w:rsidRPr="0084495F">
        <w:t>must</w:t>
      </w:r>
      <w:r w:rsidR="00772428" w:rsidRPr="0084495F">
        <w:t xml:space="preserve"> not have evidence of fluid overload</w:t>
      </w:r>
      <w:r w:rsidR="00BB1F1F" w:rsidRPr="0084495F">
        <w:rPr>
          <w:iCs/>
        </w:rPr>
        <w:t>.</w:t>
      </w:r>
      <w:r w:rsidR="005B72C1" w:rsidRPr="0084495F">
        <w:rPr>
          <w:iCs/>
        </w:rPr>
        <w:t xml:space="preserve"> </w:t>
      </w:r>
    </w:p>
    <w:p w14:paraId="5611AC40" w14:textId="01468DC2" w:rsidR="00E046EF" w:rsidRPr="0084495F" w:rsidRDefault="00E046EF" w:rsidP="00E046EF">
      <w:pPr>
        <w:pStyle w:val="ExecSumBodyText"/>
        <w:rPr>
          <w:iCs/>
        </w:rPr>
      </w:pPr>
      <w:r w:rsidRPr="0084495F">
        <w:rPr>
          <w:iCs/>
        </w:rPr>
        <w:t xml:space="preserve">The proposed PBS </w:t>
      </w:r>
      <w:r w:rsidR="00EF58C0" w:rsidRPr="0084495F">
        <w:rPr>
          <w:iCs/>
        </w:rPr>
        <w:t>restriction</w:t>
      </w:r>
      <w:r w:rsidRPr="0084495F">
        <w:rPr>
          <w:iCs/>
        </w:rPr>
        <w:t xml:space="preserve"> does not </w:t>
      </w:r>
      <w:r w:rsidR="00EF58C0" w:rsidRPr="0084495F">
        <w:rPr>
          <w:iCs/>
        </w:rPr>
        <w:t xml:space="preserve">align </w:t>
      </w:r>
      <w:r w:rsidRPr="0084495F">
        <w:rPr>
          <w:iCs/>
        </w:rPr>
        <w:t>with the population modelled in the economic</w:t>
      </w:r>
      <w:r w:rsidR="00980541" w:rsidRPr="0084495F">
        <w:rPr>
          <w:iCs/>
        </w:rPr>
        <w:t xml:space="preserve"> evaluation</w:t>
      </w:r>
      <w:r w:rsidRPr="0084495F">
        <w:rPr>
          <w:iCs/>
        </w:rPr>
        <w:t>, which excluded patients in the highest quartile of NT-</w:t>
      </w:r>
      <w:proofErr w:type="spellStart"/>
      <w:r w:rsidRPr="0084495F">
        <w:rPr>
          <w:iCs/>
        </w:rPr>
        <w:t>proBNP</w:t>
      </w:r>
      <w:proofErr w:type="spellEnd"/>
      <w:r w:rsidRPr="0084495F">
        <w:rPr>
          <w:iCs/>
        </w:rPr>
        <w:t xml:space="preserve"> from the VICTORIA trial (NT-</w:t>
      </w:r>
      <w:proofErr w:type="spellStart"/>
      <w:r w:rsidRPr="0084495F">
        <w:rPr>
          <w:iCs/>
        </w:rPr>
        <w:t>proBNP</w:t>
      </w:r>
      <w:proofErr w:type="spellEnd"/>
      <w:r w:rsidRPr="0084495F">
        <w:rPr>
          <w:iCs/>
        </w:rPr>
        <w:t xml:space="preserve"> &gt;5314 </w:t>
      </w:r>
      <w:proofErr w:type="spellStart"/>
      <w:r w:rsidRPr="0084495F">
        <w:rPr>
          <w:iCs/>
        </w:rPr>
        <w:t>pg</w:t>
      </w:r>
      <w:proofErr w:type="spellEnd"/>
      <w:r w:rsidRPr="0084495F">
        <w:rPr>
          <w:iCs/>
        </w:rPr>
        <w:t>/mL). The submission claimed that an NT-</w:t>
      </w:r>
      <w:proofErr w:type="spellStart"/>
      <w:r w:rsidRPr="0084495F">
        <w:rPr>
          <w:iCs/>
        </w:rPr>
        <w:t>proBNP</w:t>
      </w:r>
      <w:proofErr w:type="spellEnd"/>
      <w:r w:rsidRPr="0084495F">
        <w:rPr>
          <w:iCs/>
        </w:rPr>
        <w:t xml:space="preserve"> requirement in the proposed restriction may inappropriately restrict access to vericiguat treatment due to the limited </w:t>
      </w:r>
      <w:r w:rsidR="00281884" w:rsidRPr="0084495F">
        <w:rPr>
          <w:iCs/>
        </w:rPr>
        <w:t>use of NT-</w:t>
      </w:r>
      <w:proofErr w:type="spellStart"/>
      <w:r w:rsidR="00281884" w:rsidRPr="0084495F">
        <w:rPr>
          <w:iCs/>
        </w:rPr>
        <w:t>proBNP</w:t>
      </w:r>
      <w:proofErr w:type="spellEnd"/>
      <w:r w:rsidR="00281884" w:rsidRPr="0084495F">
        <w:rPr>
          <w:iCs/>
        </w:rPr>
        <w:t xml:space="preserve"> testing and lack of MBS reimbursement</w:t>
      </w:r>
      <w:r w:rsidRPr="0084495F">
        <w:rPr>
          <w:iCs/>
        </w:rPr>
        <w:t>.</w:t>
      </w:r>
      <w:r w:rsidR="00BB1F1F" w:rsidRPr="0084495F">
        <w:rPr>
          <w:iCs/>
        </w:rPr>
        <w:t xml:space="preserve"> </w:t>
      </w:r>
      <w:r w:rsidR="004E0B76" w:rsidRPr="0084495F">
        <w:t xml:space="preserve">See section 4 below for </w:t>
      </w:r>
      <w:r w:rsidR="009624D7" w:rsidRPr="0084495F">
        <w:t>further discussion regarding this</w:t>
      </w:r>
      <w:r w:rsidR="004E0B76" w:rsidRPr="0084495F">
        <w:t>.</w:t>
      </w:r>
    </w:p>
    <w:p w14:paraId="090A50EB" w14:textId="50C8F250" w:rsidR="009A1260" w:rsidRPr="0084495F" w:rsidRDefault="00E046EF" w:rsidP="00224686">
      <w:pPr>
        <w:pStyle w:val="ExecSumBodyText"/>
      </w:pPr>
      <w:r w:rsidRPr="0084495F">
        <w:t xml:space="preserve">The submission </w:t>
      </w:r>
      <w:r w:rsidR="00357E3F" w:rsidRPr="0084495F">
        <w:t>suggest</w:t>
      </w:r>
      <w:r w:rsidRPr="0084495F">
        <w:t xml:space="preserve">ed that the </w:t>
      </w:r>
      <w:r w:rsidR="00357E3F" w:rsidRPr="0084495F">
        <w:t>assessment</w:t>
      </w:r>
      <w:r w:rsidRPr="0084495F">
        <w:t xml:space="preserve"> of stability should be considered in its entirety through clinical assessment of optimised diuretic therapy, volume status and other heart failure therapies. </w:t>
      </w:r>
      <w:r w:rsidR="009D04E2" w:rsidRPr="0084495F">
        <w:t xml:space="preserve">The </w:t>
      </w:r>
      <w:r w:rsidR="00F03A5C">
        <w:t>Pre-Sub-Committee Response (</w:t>
      </w:r>
      <w:r w:rsidR="009D04E2" w:rsidRPr="0084495F">
        <w:t>PSCR</w:t>
      </w:r>
      <w:r w:rsidR="00F03A5C">
        <w:t>)</w:t>
      </w:r>
      <w:r w:rsidR="009D04E2" w:rsidRPr="0084495F">
        <w:t xml:space="preserve"> argued that the NT-</w:t>
      </w:r>
      <w:proofErr w:type="spellStart"/>
      <w:r w:rsidR="009D04E2" w:rsidRPr="0084495F">
        <w:t>proBNP</w:t>
      </w:r>
      <w:proofErr w:type="spellEnd"/>
      <w:r w:rsidR="009D04E2" w:rsidRPr="0084495F">
        <w:t xml:space="preserve"> Q1-Q3 subgroup is a proxy for </w:t>
      </w:r>
      <w:r w:rsidR="00411E9B" w:rsidRPr="0084495F">
        <w:t xml:space="preserve">identifying </w:t>
      </w:r>
      <w:r w:rsidR="009D04E2" w:rsidRPr="0084495F">
        <w:t>stabilised patients.</w:t>
      </w:r>
      <w:r w:rsidR="0043771D" w:rsidRPr="0084495F">
        <w:t xml:space="preserve"> </w:t>
      </w:r>
      <w:r w:rsidRPr="0084495F">
        <w:rPr>
          <w:iCs/>
        </w:rPr>
        <w:t xml:space="preserve">However, </w:t>
      </w:r>
      <w:r w:rsidR="000B6905" w:rsidRPr="0084495F">
        <w:rPr>
          <w:iCs/>
        </w:rPr>
        <w:t xml:space="preserve">the ESC noted that the VICTORIA trial excluded patients </w:t>
      </w:r>
      <w:r w:rsidR="00411E9B" w:rsidRPr="0084495F">
        <w:rPr>
          <w:iCs/>
        </w:rPr>
        <w:t xml:space="preserve">who were </w:t>
      </w:r>
      <w:r w:rsidR="000B6905" w:rsidRPr="0084495F">
        <w:rPr>
          <w:iCs/>
        </w:rPr>
        <w:t>considered clinically unstable at baseline (</w:t>
      </w:r>
      <w:proofErr w:type="gramStart"/>
      <w:r w:rsidR="000B6905" w:rsidRPr="0084495F">
        <w:rPr>
          <w:iCs/>
        </w:rPr>
        <w:t>i.e.</w:t>
      </w:r>
      <w:proofErr w:type="gramEnd"/>
      <w:r w:rsidR="000B6905" w:rsidRPr="0084495F">
        <w:rPr>
          <w:iCs/>
        </w:rPr>
        <w:t xml:space="preserve"> received IV therapy in the 24 hours prior to randomisation and/or had a systolic blood pressure &lt;100 mmHg), but still included 1,201/5,050 patients (24%) with a NT-</w:t>
      </w:r>
      <w:proofErr w:type="spellStart"/>
      <w:r w:rsidR="000B6905" w:rsidRPr="0084495F">
        <w:rPr>
          <w:iCs/>
        </w:rPr>
        <w:t>proBNP</w:t>
      </w:r>
      <w:proofErr w:type="spellEnd"/>
      <w:r w:rsidR="000B6905" w:rsidRPr="0084495F">
        <w:rPr>
          <w:iCs/>
        </w:rPr>
        <w:t xml:space="preserve"> &gt;5,314 </w:t>
      </w:r>
      <w:proofErr w:type="spellStart"/>
      <w:r w:rsidR="000B6905" w:rsidRPr="0084495F">
        <w:rPr>
          <w:iCs/>
        </w:rPr>
        <w:t>pg</w:t>
      </w:r>
      <w:proofErr w:type="spellEnd"/>
      <w:r w:rsidR="000B6905" w:rsidRPr="0084495F">
        <w:rPr>
          <w:iCs/>
        </w:rPr>
        <w:t>/mL, and 672/4,805 (14%) with a NT-</w:t>
      </w:r>
      <w:proofErr w:type="spellStart"/>
      <w:r w:rsidR="000B6905" w:rsidRPr="0084495F">
        <w:rPr>
          <w:iCs/>
        </w:rPr>
        <w:t>proBNP</w:t>
      </w:r>
      <w:proofErr w:type="spellEnd"/>
      <w:r w:rsidR="000B6905" w:rsidRPr="0084495F">
        <w:rPr>
          <w:iCs/>
        </w:rPr>
        <w:t xml:space="preserve"> &gt;8,000 </w:t>
      </w:r>
      <w:proofErr w:type="spellStart"/>
      <w:r w:rsidR="000B6905" w:rsidRPr="0084495F">
        <w:rPr>
          <w:iCs/>
        </w:rPr>
        <w:t>pg</w:t>
      </w:r>
      <w:proofErr w:type="spellEnd"/>
      <w:r w:rsidR="000B6905" w:rsidRPr="0084495F">
        <w:rPr>
          <w:iCs/>
        </w:rPr>
        <w:t>/</w:t>
      </w:r>
      <w:proofErr w:type="spellStart"/>
      <w:r w:rsidR="000B6905" w:rsidRPr="0084495F">
        <w:rPr>
          <w:iCs/>
        </w:rPr>
        <w:t>mL.</w:t>
      </w:r>
      <w:proofErr w:type="spellEnd"/>
      <w:r w:rsidR="000B6905" w:rsidRPr="0084495F">
        <w:rPr>
          <w:iCs/>
        </w:rPr>
        <w:t xml:space="preserve"> </w:t>
      </w:r>
      <w:r w:rsidR="0043771D" w:rsidRPr="0084495F">
        <w:rPr>
          <w:iCs/>
        </w:rPr>
        <w:t xml:space="preserve">The ESC considered that </w:t>
      </w:r>
      <w:r w:rsidRPr="0084495F">
        <w:rPr>
          <w:iCs/>
        </w:rPr>
        <w:t>the proposed restriction is likely to include patients with very high NT-</w:t>
      </w:r>
      <w:proofErr w:type="spellStart"/>
      <w:r w:rsidRPr="0084495F">
        <w:rPr>
          <w:iCs/>
        </w:rPr>
        <w:t>proBNP</w:t>
      </w:r>
      <w:proofErr w:type="spellEnd"/>
      <w:r w:rsidRPr="0084495F">
        <w:rPr>
          <w:iCs/>
        </w:rPr>
        <w:t xml:space="preserve"> levels who </w:t>
      </w:r>
      <w:r w:rsidR="0031509F" w:rsidRPr="0084495F">
        <w:rPr>
          <w:iCs/>
        </w:rPr>
        <w:t xml:space="preserve">are likely to </w:t>
      </w:r>
      <w:r w:rsidRPr="0084495F">
        <w:rPr>
          <w:iCs/>
        </w:rPr>
        <w:t xml:space="preserve">experience poorer </w:t>
      </w:r>
      <w:r w:rsidRPr="0084495F">
        <w:rPr>
          <w:iCs/>
        </w:rPr>
        <w:lastRenderedPageBreak/>
        <w:t>outcomes compared to patients treated with SoC alone (see S</w:t>
      </w:r>
      <w:r w:rsidR="00161857" w:rsidRPr="0084495F">
        <w:rPr>
          <w:iCs/>
        </w:rPr>
        <w:t>ubgroup analyses section below</w:t>
      </w:r>
      <w:r w:rsidRPr="0084495F">
        <w:rPr>
          <w:iCs/>
        </w:rPr>
        <w:t xml:space="preserve">).   </w:t>
      </w:r>
    </w:p>
    <w:p w14:paraId="7BF28BD5" w14:textId="1E93B482" w:rsidR="009A1260" w:rsidRPr="0084495F" w:rsidRDefault="009A1260" w:rsidP="00224686">
      <w:pPr>
        <w:pStyle w:val="ExecSumBodyText"/>
        <w:rPr>
          <w:iCs/>
        </w:rPr>
      </w:pPr>
      <w:r w:rsidRPr="0084495F">
        <w:rPr>
          <w:rFonts w:cstheme="minorHAnsi"/>
        </w:rPr>
        <w:t xml:space="preserve">The restriction positioned vericiguat as an add-on therapy to the following </w:t>
      </w:r>
      <w:r w:rsidR="00F94DF7" w:rsidRPr="0084495F">
        <w:rPr>
          <w:rFonts w:cstheme="minorHAnsi"/>
        </w:rPr>
        <w:t xml:space="preserve">therapies </w:t>
      </w:r>
      <w:r w:rsidRPr="0084495F">
        <w:rPr>
          <w:rFonts w:cstheme="minorHAnsi"/>
        </w:rPr>
        <w:t>unless contraindicated or not tolerated: (</w:t>
      </w:r>
      <w:r w:rsidR="00F94DF7" w:rsidRPr="0084495F">
        <w:rPr>
          <w:rFonts w:cstheme="minorHAnsi"/>
        </w:rPr>
        <w:t>a</w:t>
      </w:r>
      <w:r w:rsidRPr="0084495F">
        <w:rPr>
          <w:rFonts w:cstheme="minorHAnsi"/>
        </w:rPr>
        <w:t>) an ACE inhibitor</w:t>
      </w:r>
      <w:r w:rsidR="00355D01" w:rsidRPr="0084495F">
        <w:rPr>
          <w:rFonts w:cstheme="minorHAnsi"/>
        </w:rPr>
        <w:t xml:space="preserve"> (</w:t>
      </w:r>
      <w:proofErr w:type="spellStart"/>
      <w:r w:rsidR="00355D01" w:rsidRPr="0084495F">
        <w:rPr>
          <w:rFonts w:cstheme="minorHAnsi"/>
        </w:rPr>
        <w:t>ACEi</w:t>
      </w:r>
      <w:proofErr w:type="spellEnd"/>
      <w:r w:rsidR="00355D01" w:rsidRPr="0084495F">
        <w:rPr>
          <w:rFonts w:cstheme="minorHAnsi"/>
        </w:rPr>
        <w:t>)</w:t>
      </w:r>
      <w:r w:rsidRPr="0084495F">
        <w:rPr>
          <w:rFonts w:cstheme="minorHAnsi"/>
        </w:rPr>
        <w:t xml:space="preserve">, an angiotensin II </w:t>
      </w:r>
      <w:r w:rsidR="00F94DF7" w:rsidRPr="0084495F">
        <w:rPr>
          <w:rFonts w:cstheme="minorHAnsi"/>
        </w:rPr>
        <w:t>receptor blocker</w:t>
      </w:r>
      <w:r w:rsidRPr="0084495F">
        <w:rPr>
          <w:rFonts w:cstheme="minorHAnsi"/>
        </w:rPr>
        <w:t xml:space="preserve"> (ARB)</w:t>
      </w:r>
      <w:r w:rsidR="00F94DF7" w:rsidRPr="0084495F">
        <w:rPr>
          <w:rFonts w:cstheme="minorHAnsi"/>
        </w:rPr>
        <w:t>,</w:t>
      </w:r>
      <w:r w:rsidRPr="0084495F">
        <w:rPr>
          <w:rFonts w:cstheme="minorHAnsi"/>
        </w:rPr>
        <w:t xml:space="preserve"> or an angiotensin receptor with </w:t>
      </w:r>
      <w:proofErr w:type="spellStart"/>
      <w:r w:rsidRPr="0084495F">
        <w:rPr>
          <w:rFonts w:cstheme="minorHAnsi"/>
        </w:rPr>
        <w:t>neprilysin</w:t>
      </w:r>
      <w:proofErr w:type="spellEnd"/>
      <w:r w:rsidRPr="0084495F">
        <w:rPr>
          <w:rFonts w:cstheme="minorHAnsi"/>
        </w:rPr>
        <w:t xml:space="preserve"> inhibitor (</w:t>
      </w:r>
      <w:proofErr w:type="spellStart"/>
      <w:r w:rsidRPr="0084495F">
        <w:rPr>
          <w:rFonts w:cstheme="minorHAnsi"/>
        </w:rPr>
        <w:t>ARNi</w:t>
      </w:r>
      <w:proofErr w:type="spellEnd"/>
      <w:r w:rsidRPr="0084495F">
        <w:rPr>
          <w:rFonts w:cstheme="minorHAnsi"/>
        </w:rPr>
        <w:t xml:space="preserve">) combination therapy; and </w:t>
      </w:r>
      <w:r w:rsidR="00F94DF7" w:rsidRPr="0084495F">
        <w:rPr>
          <w:rFonts w:cstheme="minorHAnsi"/>
        </w:rPr>
        <w:t xml:space="preserve">(b) </w:t>
      </w:r>
      <w:r w:rsidRPr="0084495F">
        <w:rPr>
          <w:rFonts w:cstheme="minorHAnsi"/>
        </w:rPr>
        <w:t xml:space="preserve">maximum tolerated doses of a beta-blocker; and </w:t>
      </w:r>
      <w:r w:rsidR="00F94DF7" w:rsidRPr="0084495F">
        <w:rPr>
          <w:rFonts w:cstheme="minorHAnsi"/>
        </w:rPr>
        <w:t xml:space="preserve">(c) </w:t>
      </w:r>
      <w:r w:rsidRPr="0084495F">
        <w:rPr>
          <w:rFonts w:cstheme="minorHAnsi"/>
        </w:rPr>
        <w:t>a mineralocorticoid receptor antagonist (MRA). However, the ESC and PBAC considered that the requirement f</w:t>
      </w:r>
      <w:r w:rsidR="00F94DF7" w:rsidRPr="0084495F">
        <w:rPr>
          <w:rFonts w:cstheme="minorHAnsi"/>
        </w:rPr>
        <w:t>or concomitant treatment with a</w:t>
      </w:r>
      <w:r w:rsidRPr="0084495F">
        <w:rPr>
          <w:rFonts w:cstheme="minorHAnsi"/>
        </w:rPr>
        <w:t xml:space="preserve"> MRA should be removed, along with the titration requirements for beta-blocker therapy</w:t>
      </w:r>
      <w:r w:rsidR="00355D01" w:rsidRPr="0084495F">
        <w:rPr>
          <w:rFonts w:cstheme="minorHAnsi"/>
        </w:rPr>
        <w:t>. This was consistent with the Committee’s previous advice</w:t>
      </w:r>
      <w:r w:rsidRPr="0084495F">
        <w:rPr>
          <w:rFonts w:cstheme="minorHAnsi"/>
        </w:rPr>
        <w:t>, in the context of sacubitril + valsartan</w:t>
      </w:r>
      <w:r w:rsidR="00355D01" w:rsidRPr="0084495F">
        <w:rPr>
          <w:rFonts w:cstheme="minorHAnsi"/>
        </w:rPr>
        <w:t xml:space="preserve"> that</w:t>
      </w:r>
      <w:r w:rsidRPr="0084495F">
        <w:rPr>
          <w:rFonts w:cstheme="minorHAnsi"/>
        </w:rPr>
        <w:t xml:space="preserve"> the requirement to be on a ‘maximum tolerated dose’ of a beta-blocker may complicate the management of patients and may not be consistent with current guidelines (para 7.6, sacubitril + valsartan, </w:t>
      </w:r>
      <w:r w:rsidR="00F03A5C">
        <w:rPr>
          <w:rFonts w:cstheme="minorHAnsi"/>
        </w:rPr>
        <w:t>Public Summary Document (</w:t>
      </w:r>
      <w:r w:rsidRPr="0084495F">
        <w:rPr>
          <w:rFonts w:cstheme="minorHAnsi"/>
        </w:rPr>
        <w:t>PSD</w:t>
      </w:r>
      <w:r w:rsidR="00F03A5C">
        <w:rPr>
          <w:rFonts w:cstheme="minorHAnsi"/>
        </w:rPr>
        <w:t>)</w:t>
      </w:r>
      <w:r w:rsidRPr="0084495F">
        <w:rPr>
          <w:rFonts w:cstheme="minorHAnsi"/>
        </w:rPr>
        <w:t xml:space="preserve">, November 2020 PBAC meeting). </w:t>
      </w:r>
    </w:p>
    <w:p w14:paraId="39EAC7C3" w14:textId="29071A18" w:rsidR="00E046EF" w:rsidRPr="0084495F" w:rsidRDefault="00E046EF" w:rsidP="0099454A">
      <w:pPr>
        <w:pStyle w:val="ExecSumBodyText"/>
        <w:rPr>
          <w:iCs/>
        </w:rPr>
      </w:pPr>
      <w:r w:rsidRPr="0084495F">
        <w:t xml:space="preserve">The requested restriction provides for vericiguat to be used with or without prior or concurrent </w:t>
      </w:r>
      <w:r w:rsidR="0099454A" w:rsidRPr="0084495F">
        <w:t>sodium-glucose cotransporter-2 inhibitor (</w:t>
      </w:r>
      <w:r w:rsidRPr="0084495F">
        <w:t>SGLT2i</w:t>
      </w:r>
      <w:r w:rsidR="0099454A" w:rsidRPr="0084495F">
        <w:t>)</w:t>
      </w:r>
      <w:r w:rsidRPr="0084495F">
        <w:t xml:space="preserve"> heart failure medicines. </w:t>
      </w:r>
      <w:r w:rsidRPr="0084495F">
        <w:rPr>
          <w:iCs/>
        </w:rPr>
        <w:t xml:space="preserve">No guidance was provided for the use of vericiguat in combination with SGLT2i medicines (use in the VICTORIA trial was &lt;5%, and </w:t>
      </w:r>
      <w:r w:rsidR="005652D6" w:rsidRPr="0084495F">
        <w:rPr>
          <w:iCs/>
        </w:rPr>
        <w:t xml:space="preserve">this usage </w:t>
      </w:r>
      <w:r w:rsidRPr="0084495F">
        <w:rPr>
          <w:iCs/>
        </w:rPr>
        <w:t>was associated with the treatment of type 2 diabetes).</w:t>
      </w:r>
      <w:r w:rsidR="00294A1E" w:rsidRPr="0084495F">
        <w:rPr>
          <w:iCs/>
        </w:rPr>
        <w:t xml:space="preserve"> </w:t>
      </w:r>
      <w:r w:rsidR="00294A1E" w:rsidRPr="0084495F">
        <w:rPr>
          <w:rFonts w:cstheme="minorHAnsi"/>
        </w:rPr>
        <w:t>However, the ESC and PBAC considered that the restriction should not specifically prohibit this combination given its advice that initiation of vericiguat should be limited to specialist cardiologists.</w:t>
      </w:r>
    </w:p>
    <w:p w14:paraId="44452798" w14:textId="31BDBBBF" w:rsidR="00334ED3" w:rsidRPr="0084495F" w:rsidRDefault="00FC5FD1" w:rsidP="00334ED3">
      <w:pPr>
        <w:pStyle w:val="ExecSumBodyText"/>
        <w:rPr>
          <w:iCs/>
        </w:rPr>
      </w:pPr>
      <w:r w:rsidRPr="0084495F">
        <w:rPr>
          <w:rFonts w:cstheme="minorHAnsi"/>
        </w:rPr>
        <w:t>The sponsor requested an Authority Required (Streamlined) listing, however t</w:t>
      </w:r>
      <w:r w:rsidRPr="0084495F">
        <w:t xml:space="preserve">he </w:t>
      </w:r>
      <w:r w:rsidR="00AB18E5" w:rsidRPr="0084495F">
        <w:t xml:space="preserve">PBAC </w:t>
      </w:r>
      <w:r w:rsidRPr="0084495F">
        <w:t xml:space="preserve">considered that an Authority Required (telephone/online PBS Authorities system) listing would be more appropriate </w:t>
      </w:r>
      <w:r w:rsidR="00AB18E5" w:rsidRPr="0084495F">
        <w:t xml:space="preserve">for the initial listing </w:t>
      </w:r>
      <w:r w:rsidRPr="0084495F">
        <w:t>given the relatively high</w:t>
      </w:r>
      <w:r w:rsidR="00DB5318" w:rsidRPr="0084495F">
        <w:t>-</w:t>
      </w:r>
      <w:r w:rsidRPr="0084495F">
        <w:t>risk population (who are required to have had a recent acute decompensation event and be on multiple concomitant medicines) and noting the Product Information states that vericiguat should be initiated under the supervision of a cardiologist.</w:t>
      </w:r>
      <w:r w:rsidR="00334ED3" w:rsidRPr="0084495F">
        <w:t xml:space="preserve"> </w:t>
      </w:r>
      <w:r w:rsidR="00A40A8E" w:rsidRPr="0084495F">
        <w:t xml:space="preserve">The sponsor accepted this </w:t>
      </w:r>
      <w:r w:rsidR="005D5B7B" w:rsidRPr="0084495F">
        <w:t>change</w:t>
      </w:r>
      <w:r w:rsidR="00A40A8E" w:rsidRPr="0084495F">
        <w:t xml:space="preserve"> in the pre-PBAC response.</w:t>
      </w:r>
    </w:p>
    <w:p w14:paraId="5ED7C234" w14:textId="1D9341EC" w:rsidR="00334ED3" w:rsidRPr="0084495F" w:rsidRDefault="00334ED3" w:rsidP="00A40A8E">
      <w:pPr>
        <w:pStyle w:val="ExecSumBodyText"/>
        <w:rPr>
          <w:iCs/>
        </w:rPr>
      </w:pPr>
      <w:r w:rsidRPr="0084495F">
        <w:t>The ESC</w:t>
      </w:r>
      <w:r w:rsidR="00AB18E5" w:rsidRPr="0084495F">
        <w:t xml:space="preserve"> and PBAC</w:t>
      </w:r>
      <w:r w:rsidRPr="0084495F">
        <w:t xml:space="preserve"> considered that </w:t>
      </w:r>
      <w:r w:rsidRPr="0084495F">
        <w:rPr>
          <w:iCs/>
        </w:rPr>
        <w:t xml:space="preserve">the restriction should require initiation </w:t>
      </w:r>
      <w:r w:rsidR="00AB18E5" w:rsidRPr="0084495F">
        <w:rPr>
          <w:iCs/>
        </w:rPr>
        <w:t xml:space="preserve">under the supervision of </w:t>
      </w:r>
      <w:r w:rsidRPr="0084495F">
        <w:rPr>
          <w:iCs/>
        </w:rPr>
        <w:t>specialist cardiologists</w:t>
      </w:r>
      <w:r w:rsidRPr="0084495F">
        <w:t>.</w:t>
      </w:r>
      <w:r w:rsidRPr="0084495F">
        <w:rPr>
          <w:iCs/>
        </w:rPr>
        <w:t xml:space="preserve"> </w:t>
      </w:r>
      <w:r w:rsidR="00A40A8E" w:rsidRPr="0084495F">
        <w:t xml:space="preserve">The sponsor accepted this </w:t>
      </w:r>
      <w:r w:rsidR="005D5B7B" w:rsidRPr="0084495F">
        <w:t>change</w:t>
      </w:r>
      <w:r w:rsidR="00A40A8E" w:rsidRPr="0084495F">
        <w:t xml:space="preserve"> in the pre-PBAC response.</w:t>
      </w:r>
    </w:p>
    <w:p w14:paraId="017AB318" w14:textId="20FB76E4" w:rsidR="00294A1E" w:rsidRPr="0084495F" w:rsidRDefault="00294A1E" w:rsidP="00224686">
      <w:pPr>
        <w:pStyle w:val="ExecSumBodyText"/>
        <w:rPr>
          <w:iCs/>
        </w:rPr>
      </w:pPr>
      <w:r w:rsidRPr="0084495F">
        <w:rPr>
          <w:iCs/>
        </w:rPr>
        <w:t>The s</w:t>
      </w:r>
      <w:r w:rsidR="009624D7" w:rsidRPr="0084495F">
        <w:rPr>
          <w:iCs/>
        </w:rPr>
        <w:t xml:space="preserve">ubmission </w:t>
      </w:r>
      <w:r w:rsidRPr="0084495F">
        <w:rPr>
          <w:iCs/>
        </w:rPr>
        <w:t xml:space="preserve">stated that </w:t>
      </w:r>
      <w:r w:rsidR="009624D7" w:rsidRPr="0084495F">
        <w:rPr>
          <w:iCs/>
        </w:rPr>
        <w:t xml:space="preserve">a </w:t>
      </w:r>
      <w:r w:rsidRPr="0084495F">
        <w:rPr>
          <w:iCs/>
        </w:rPr>
        <w:t>patient access program</w:t>
      </w:r>
      <w:r w:rsidR="009624D7" w:rsidRPr="0084495F">
        <w:rPr>
          <w:iCs/>
        </w:rPr>
        <w:t xml:space="preserve"> was planned, but that a </w:t>
      </w:r>
      <w:r w:rsidRPr="0084495F">
        <w:rPr>
          <w:iCs/>
        </w:rPr>
        <w:t xml:space="preserve">grandfathering </w:t>
      </w:r>
      <w:r w:rsidR="009624D7" w:rsidRPr="0084495F">
        <w:rPr>
          <w:iCs/>
        </w:rPr>
        <w:t>restriction (</w:t>
      </w:r>
      <w:r w:rsidRPr="0084495F">
        <w:rPr>
          <w:iCs/>
        </w:rPr>
        <w:t>to allow transition to PBS subsidy</w:t>
      </w:r>
      <w:r w:rsidR="009624D7" w:rsidRPr="0084495F">
        <w:rPr>
          <w:iCs/>
        </w:rPr>
        <w:t>)</w:t>
      </w:r>
      <w:r w:rsidRPr="0084495F">
        <w:rPr>
          <w:iCs/>
        </w:rPr>
        <w:t xml:space="preserve"> </w:t>
      </w:r>
      <w:r w:rsidR="009624D7" w:rsidRPr="0084495F">
        <w:rPr>
          <w:iCs/>
        </w:rPr>
        <w:t>was not required as the program criteria would be</w:t>
      </w:r>
      <w:r w:rsidRPr="0084495F">
        <w:rPr>
          <w:iCs/>
        </w:rPr>
        <w:t xml:space="preserve"> expected to align with the proposed PBS restriction. </w:t>
      </w:r>
      <w:r w:rsidR="009624D7" w:rsidRPr="0084495F">
        <w:rPr>
          <w:iCs/>
        </w:rPr>
        <w:t xml:space="preserve">However, the PBAC considered that a grandfather restriction would be required to ensure that, at initiation of therapy, patients met the PBS criteria around experiencing a recent decompensation event and being </w:t>
      </w:r>
      <w:proofErr w:type="spellStart"/>
      <w:r w:rsidR="009624D7" w:rsidRPr="0084495F">
        <w:rPr>
          <w:iCs/>
        </w:rPr>
        <w:t>euvolaemic</w:t>
      </w:r>
      <w:proofErr w:type="spellEnd"/>
      <w:r w:rsidRPr="0084495F">
        <w:rPr>
          <w:iCs/>
        </w:rPr>
        <w:t>.</w:t>
      </w:r>
    </w:p>
    <w:p w14:paraId="1F878E60" w14:textId="57BB5F0E" w:rsidR="00D55519" w:rsidRPr="0084495F" w:rsidRDefault="00D55519" w:rsidP="00294A1E">
      <w:pPr>
        <w:pStyle w:val="2-SectionHeading"/>
        <w:numPr>
          <w:ilvl w:val="0"/>
          <w:numId w:val="0"/>
        </w:numPr>
        <w:ind w:left="720"/>
        <w:outlineLvl w:val="9"/>
        <w:rPr>
          <w:b w:val="0"/>
          <w:i/>
          <w:iCs/>
          <w:sz w:val="24"/>
          <w:szCs w:val="24"/>
        </w:rPr>
      </w:pPr>
      <w:r w:rsidRPr="0084495F">
        <w:rPr>
          <w:b w:val="0"/>
          <w:i/>
          <w:iCs/>
          <w:sz w:val="24"/>
          <w:szCs w:val="24"/>
        </w:rPr>
        <w:lastRenderedPageBreak/>
        <w:t>For more detail on PBAC’s view, see section 7 PBAC outcome.</w:t>
      </w:r>
    </w:p>
    <w:p w14:paraId="7075B85C" w14:textId="1655A25A" w:rsidR="00B50DB8" w:rsidRPr="0084495F" w:rsidRDefault="00203181" w:rsidP="004E18E9">
      <w:pPr>
        <w:pStyle w:val="2-SectionHeading"/>
      </w:pPr>
      <w:bookmarkStart w:id="4" w:name="_Toc92732973"/>
      <w:r w:rsidRPr="0084495F">
        <w:t xml:space="preserve">Population and </w:t>
      </w:r>
      <w:r w:rsidR="008E0D3C" w:rsidRPr="0084495F">
        <w:t>d</w:t>
      </w:r>
      <w:r w:rsidRPr="0084495F">
        <w:t>isease</w:t>
      </w:r>
      <w:bookmarkEnd w:id="4"/>
    </w:p>
    <w:p w14:paraId="5644EDBB" w14:textId="77777777" w:rsidR="000452FB" w:rsidRPr="0084495F" w:rsidRDefault="000452FB" w:rsidP="000452FB">
      <w:pPr>
        <w:pStyle w:val="ExecSumBodyText"/>
      </w:pPr>
      <w:r w:rsidRPr="0084495F">
        <w:t xml:space="preserve">Chronic heart failure is a complex clinical syndrome characterised by symptoms such as dyspnoea, peripheral </w:t>
      </w:r>
      <w:proofErr w:type="gramStart"/>
      <w:r w:rsidRPr="0084495F">
        <w:t>oedema</w:t>
      </w:r>
      <w:proofErr w:type="gramEnd"/>
      <w:r w:rsidRPr="0084495F">
        <w:t xml:space="preserve"> and fatigue, caused by an underlying structural and/or functional cardiac abnormality that impairs the ability of the heart ventricle to fill with or eject blood. Common causes of heart failure include ischaemic heart disease, valvular heart disease, cardiomyopathies, hypertension, arrhythmias, and diabetes.</w:t>
      </w:r>
    </w:p>
    <w:p w14:paraId="2D60FE52" w14:textId="4547AAA3" w:rsidR="000452FB" w:rsidRPr="0084495F" w:rsidRDefault="000452FB" w:rsidP="000452FB">
      <w:pPr>
        <w:pStyle w:val="ExecSumBodyText"/>
      </w:pPr>
      <w:r w:rsidRPr="0084495F">
        <w:t>Heart failure is commonly classified based on the left ventricular ejection fraction (LVEF). Heart failure with reduced ejection fraction (</w:t>
      </w:r>
      <w:proofErr w:type="spellStart"/>
      <w:r w:rsidRPr="0084495F">
        <w:t>HFrEF</w:t>
      </w:r>
      <w:proofErr w:type="spellEnd"/>
      <w:r w:rsidRPr="0084495F">
        <w:t xml:space="preserve">) refers to symptoms with or without signs of heart failure and a left ventricular ejection fraction ≤40%. If LVEF is mildly reduced (41-49%), </w:t>
      </w:r>
      <w:r w:rsidR="00832C9E" w:rsidRPr="0084495F">
        <w:t xml:space="preserve">often called </w:t>
      </w:r>
      <w:r w:rsidR="00027AE0" w:rsidRPr="0084495F">
        <w:t>h</w:t>
      </w:r>
      <w:r w:rsidR="00832C9E" w:rsidRPr="0084495F">
        <w:t xml:space="preserve">eart </w:t>
      </w:r>
      <w:r w:rsidR="00113EFB" w:rsidRPr="0084495F">
        <w:t>f</w:t>
      </w:r>
      <w:r w:rsidR="00832C9E" w:rsidRPr="0084495F">
        <w:t xml:space="preserve">ailure with mildly reduced </w:t>
      </w:r>
      <w:r w:rsidR="00113EFB" w:rsidRPr="0084495F">
        <w:t>e</w:t>
      </w:r>
      <w:r w:rsidR="00832C9E" w:rsidRPr="0084495F">
        <w:t xml:space="preserve">jection </w:t>
      </w:r>
      <w:r w:rsidR="00113EFB" w:rsidRPr="0084495F">
        <w:t>f</w:t>
      </w:r>
      <w:r w:rsidR="00832C9E" w:rsidRPr="0084495F">
        <w:t>raction (</w:t>
      </w:r>
      <w:proofErr w:type="spellStart"/>
      <w:r w:rsidR="00832C9E" w:rsidRPr="0084495F">
        <w:t>HFm</w:t>
      </w:r>
      <w:r w:rsidR="00141F6F" w:rsidRPr="0084495F">
        <w:t>r</w:t>
      </w:r>
      <w:r w:rsidR="00832C9E" w:rsidRPr="0084495F">
        <w:t>EF</w:t>
      </w:r>
      <w:proofErr w:type="spellEnd"/>
      <w:r w:rsidR="00832C9E" w:rsidRPr="0084495F">
        <w:t xml:space="preserve">), </w:t>
      </w:r>
      <w:r w:rsidRPr="0084495F">
        <w:t xml:space="preserve">additional criteria are required for diagnosis (signs of heart failure, diastolic dysfunction with high filling pressure demonstrated by invasive means or echocardiography or biomarker testing). </w:t>
      </w:r>
    </w:p>
    <w:p w14:paraId="3CE9D79B" w14:textId="77777777" w:rsidR="00D5643B" w:rsidRPr="0084495F" w:rsidRDefault="00D5643B" w:rsidP="00D5643B">
      <w:pPr>
        <w:pStyle w:val="ExecSumBodyText"/>
      </w:pPr>
      <w:r w:rsidRPr="0084495F">
        <w:t>Vericiguat is a novel, orally administered, soluble guanylate cyclase stimulator which enhances the cyclic guanosine monophosphate (GMP) pathway important for both myocardial and vascular function.</w:t>
      </w:r>
    </w:p>
    <w:p w14:paraId="7D094C07" w14:textId="055CA648" w:rsidR="000452FB" w:rsidRPr="0084495F" w:rsidRDefault="000452FB" w:rsidP="000452FB">
      <w:pPr>
        <w:pStyle w:val="ExecSumBodyText"/>
      </w:pPr>
      <w:r w:rsidRPr="0084495F">
        <w:t>Acute decompensated heart failure (ADHF) results from a variety of etiological pathways (</w:t>
      </w:r>
      <w:proofErr w:type="gramStart"/>
      <w:r w:rsidRPr="0084495F">
        <w:t>e.g.</w:t>
      </w:r>
      <w:proofErr w:type="gramEnd"/>
      <w:r w:rsidRPr="0084495F">
        <w:t xml:space="preserve"> coronary artery disease, cardiac arrythmias including atrial fibrillation, myocarditis, acute or progressive valve disease, cardiomyopathy, hypertension), and precipitant factors (infection, non</w:t>
      </w:r>
      <w:r w:rsidR="00747723" w:rsidRPr="0084495F">
        <w:t>-</w:t>
      </w:r>
      <w:r w:rsidRPr="0084495F">
        <w:t>adherence to treatment regimens, diet and lifestyle changes), or with no identified precipitating cause. Monitoring changes in cardiac congestion following treatment for ADHF reduces the risk of re</w:t>
      </w:r>
      <w:r w:rsidR="001D1855" w:rsidRPr="0084495F">
        <w:t>-</w:t>
      </w:r>
      <w:r w:rsidRPr="0084495F">
        <w:t>hospitalisation related to residual congestion at discharge (</w:t>
      </w:r>
      <w:proofErr w:type="spellStart"/>
      <w:r w:rsidRPr="0084495F">
        <w:t>Girerd</w:t>
      </w:r>
      <w:proofErr w:type="spellEnd"/>
      <w:r w:rsidRPr="0084495F">
        <w:t xml:space="preserve"> et al. 2018), and </w:t>
      </w:r>
      <w:r w:rsidR="00E25260" w:rsidRPr="0084495F">
        <w:t xml:space="preserve">should </w:t>
      </w:r>
      <w:r w:rsidRPr="0084495F">
        <w:t>include monitoring of clinical symptoms, biological biomarkers (</w:t>
      </w:r>
      <w:proofErr w:type="gramStart"/>
      <w:r w:rsidRPr="0084495F">
        <w:t>e.g.</w:t>
      </w:r>
      <w:proofErr w:type="gramEnd"/>
      <w:r w:rsidRPr="0084495F">
        <w:t xml:space="preserve"> BNP and NT-</w:t>
      </w:r>
      <w:proofErr w:type="spellStart"/>
      <w:r w:rsidRPr="0084495F">
        <w:t>proBNP</w:t>
      </w:r>
      <w:proofErr w:type="spellEnd"/>
      <w:r w:rsidRPr="0084495F">
        <w:t xml:space="preserve">), </w:t>
      </w:r>
      <w:r w:rsidR="00E25260" w:rsidRPr="0084495F">
        <w:t>echocardiography</w:t>
      </w:r>
      <w:r w:rsidRPr="0084495F">
        <w:t xml:space="preserve"> and other radiological investigations. </w:t>
      </w:r>
    </w:p>
    <w:p w14:paraId="68B6AA3E" w14:textId="4C3259A5" w:rsidR="000452FB" w:rsidRPr="0084495F" w:rsidRDefault="000452FB" w:rsidP="000452FB">
      <w:pPr>
        <w:pStyle w:val="ExecSumBodyText"/>
      </w:pPr>
      <w:r w:rsidRPr="0084495F">
        <w:t>BNP and NT-</w:t>
      </w:r>
      <w:proofErr w:type="spellStart"/>
      <w:r w:rsidRPr="0084495F">
        <w:t>proBNP</w:t>
      </w:r>
      <w:proofErr w:type="spellEnd"/>
      <w:r w:rsidRPr="0084495F">
        <w:t xml:space="preserve"> are useful diagnostic tool</w:t>
      </w:r>
      <w:r w:rsidR="003D432C" w:rsidRPr="0084495F">
        <w:t>s</w:t>
      </w:r>
      <w:r w:rsidRPr="0084495F">
        <w:t xml:space="preserve"> to rule out heart failure in patients with undifferentiated dyspnoea (</w:t>
      </w:r>
      <w:proofErr w:type="spellStart"/>
      <w:r w:rsidRPr="0084495F">
        <w:t>Girerd</w:t>
      </w:r>
      <w:proofErr w:type="spellEnd"/>
      <w:r w:rsidRPr="0084495F">
        <w:t xml:space="preserve"> et a. 2018; Atherton et al. 2018), have demonstrated strong prognostic predictive value in heart failure and are powerful independent predictors of mortality and adverse cardiovascular events including hospitalisation (</w:t>
      </w:r>
      <w:proofErr w:type="spellStart"/>
      <w:r w:rsidRPr="0084495F">
        <w:t>Januzzi</w:t>
      </w:r>
      <w:proofErr w:type="spellEnd"/>
      <w:r w:rsidRPr="0084495F">
        <w:t xml:space="preserve"> et al. 2006; Lam et al. 2010). However, BNP and NT-</w:t>
      </w:r>
      <w:proofErr w:type="spellStart"/>
      <w:r w:rsidRPr="0084495F">
        <w:t>proBNP</w:t>
      </w:r>
      <w:proofErr w:type="spellEnd"/>
      <w:r w:rsidRPr="0084495F">
        <w:t xml:space="preserve"> peptide levels generally increase with age, renal impairment, cardiac arrythmias (atrial fibrillation), may be reduced in obesity (Atherton et al. 2018; Das et al. 2005), may be impacted by the use and titration of heart failure medicines (</w:t>
      </w:r>
      <w:proofErr w:type="gramStart"/>
      <w:r w:rsidRPr="0084495F">
        <w:t>e.g.</w:t>
      </w:r>
      <w:proofErr w:type="gramEnd"/>
      <w:r w:rsidRPr="0084495F">
        <w:t xml:space="preserve"> beta blockers, </w:t>
      </w:r>
      <w:proofErr w:type="spellStart"/>
      <w:r w:rsidRPr="0084495F">
        <w:t>ARNi</w:t>
      </w:r>
      <w:proofErr w:type="spellEnd"/>
      <w:r w:rsidRPr="0084495F">
        <w:t>; Atherton et al. 2018)</w:t>
      </w:r>
      <w:r w:rsidR="00E25260" w:rsidRPr="0084495F">
        <w:t xml:space="preserve"> and</w:t>
      </w:r>
      <w:r w:rsidRPr="0084495F">
        <w:t xml:space="preserve"> have shown uncertain predictive value in assessing stabilisation after a ADHF events.</w:t>
      </w:r>
    </w:p>
    <w:p w14:paraId="42ADF68C" w14:textId="2350A66E" w:rsidR="000452FB" w:rsidRPr="0084495F" w:rsidRDefault="000452FB" w:rsidP="000452FB">
      <w:pPr>
        <w:pStyle w:val="ExecSumBodyText"/>
      </w:pPr>
      <w:r w:rsidRPr="0084495F">
        <w:t xml:space="preserve">The European Society of Cardiology (ESC) 2021 Guidelines for the diagnosis and treatment of acute and chronic heart failure (McDonagh et al., 2021) suggest that a </w:t>
      </w:r>
      <w:r w:rsidRPr="0084495F">
        <w:lastRenderedPageBreak/>
        <w:t>pre-discharge NT-</w:t>
      </w:r>
      <w:proofErr w:type="spellStart"/>
      <w:r w:rsidRPr="0084495F">
        <w:t>proBNP</w:t>
      </w:r>
      <w:proofErr w:type="spellEnd"/>
      <w:r w:rsidRPr="0084495F">
        <w:t xml:space="preserve"> be considered in patients with suspected residual congestion after an ADHF event. However, given the cost of BNP and NT-</w:t>
      </w:r>
      <w:proofErr w:type="spellStart"/>
      <w:r w:rsidRPr="0084495F">
        <w:t>proBNP</w:t>
      </w:r>
      <w:proofErr w:type="spellEnd"/>
      <w:r w:rsidRPr="0084495F">
        <w:t xml:space="preserve"> peptide assays, the prolonged half-life of NT-</w:t>
      </w:r>
      <w:proofErr w:type="spellStart"/>
      <w:r w:rsidRPr="0084495F">
        <w:t>proBNP</w:t>
      </w:r>
      <w:proofErr w:type="spellEnd"/>
      <w:r w:rsidRPr="0084495F">
        <w:t xml:space="preserve">, and the uncertainty of its predictive value in assessing patient stabilisation after ADHF events, the use </w:t>
      </w:r>
      <w:r w:rsidR="004C6CEF" w:rsidRPr="0084495F">
        <w:t xml:space="preserve">of </w:t>
      </w:r>
      <w:r w:rsidRPr="0084495F">
        <w:t>NT-</w:t>
      </w:r>
      <w:proofErr w:type="spellStart"/>
      <w:r w:rsidRPr="0084495F">
        <w:t>proBNP</w:t>
      </w:r>
      <w:proofErr w:type="spellEnd"/>
      <w:r w:rsidRPr="0084495F">
        <w:t xml:space="preserve"> in patient management is not recommended in the current NHFA/CSANZ 2018 heart failure management guidelines (Atherton et al. 2018). </w:t>
      </w:r>
      <w:r w:rsidR="004C6CEF" w:rsidRPr="0084495F">
        <w:t>The</w:t>
      </w:r>
      <w:r w:rsidRPr="0084495F">
        <w:t xml:space="preserve"> South Australian retrospective virtual registry study (Chew et al. 2021) </w:t>
      </w:r>
      <w:r w:rsidR="004C6CEF" w:rsidRPr="0084495F">
        <w:t>confirmed</w:t>
      </w:r>
      <w:r w:rsidRPr="0084495F">
        <w:t xml:space="preserve"> that NT-</w:t>
      </w:r>
      <w:proofErr w:type="spellStart"/>
      <w:r w:rsidRPr="0084495F">
        <w:t>proBNP</w:t>
      </w:r>
      <w:proofErr w:type="spellEnd"/>
      <w:r w:rsidRPr="0084495F">
        <w:t xml:space="preserve"> testing is not routinely used in Australian clinical practice.</w:t>
      </w:r>
    </w:p>
    <w:p w14:paraId="26D83386" w14:textId="4EEEA90C" w:rsidR="000452FB" w:rsidRPr="0084495F" w:rsidRDefault="005B4A6C" w:rsidP="000452FB">
      <w:pPr>
        <w:pStyle w:val="ExecSumBodyText"/>
      </w:pPr>
      <w:r w:rsidRPr="0084495F">
        <w:t>The commentary and the ESC considered that s</w:t>
      </w:r>
      <w:r w:rsidR="000452FB" w:rsidRPr="0084495F">
        <w:t>tabilisation or instability after a</w:t>
      </w:r>
      <w:r w:rsidR="00FF1130" w:rsidRPr="0084495F">
        <w:t>n</w:t>
      </w:r>
      <w:r w:rsidR="000452FB" w:rsidRPr="0084495F">
        <w:t xml:space="preserve"> ADHF event </w:t>
      </w:r>
      <w:r w:rsidR="00113EFB" w:rsidRPr="0084495F">
        <w:t>wa</w:t>
      </w:r>
      <w:r w:rsidR="000452FB" w:rsidRPr="0084495F">
        <w:t>s not adequately defined in the submission. Notwithstanding the exclusion of patients showing haemodynamic instability at randomisation in the VICTORIA trial, the submission use</w:t>
      </w:r>
      <w:r w:rsidR="00141F6F" w:rsidRPr="0084495F">
        <w:t>d</w:t>
      </w:r>
      <w:r w:rsidR="000452FB" w:rsidRPr="0084495F">
        <w:t xml:space="preserve"> the threshold of the baseline NT-</w:t>
      </w:r>
      <w:proofErr w:type="spellStart"/>
      <w:r w:rsidR="000452FB" w:rsidRPr="0084495F">
        <w:t>proBNP</w:t>
      </w:r>
      <w:proofErr w:type="spellEnd"/>
      <w:r w:rsidR="000452FB" w:rsidRPr="0084495F">
        <w:t xml:space="preserve"> quartile 4 (</w:t>
      </w:r>
      <w:proofErr w:type="gramStart"/>
      <w:r w:rsidR="000452FB" w:rsidRPr="0084495F">
        <w:t>i.e.</w:t>
      </w:r>
      <w:proofErr w:type="gramEnd"/>
      <w:r w:rsidR="000452FB" w:rsidRPr="0084495F">
        <w:t xml:space="preserve"> NT-</w:t>
      </w:r>
      <w:proofErr w:type="spellStart"/>
      <w:r w:rsidR="000452FB" w:rsidRPr="0084495F">
        <w:t>proBNP</w:t>
      </w:r>
      <w:proofErr w:type="spellEnd"/>
      <w:r w:rsidR="000452FB" w:rsidRPr="0084495F">
        <w:t xml:space="preserve"> Q1-Q3 or NT-</w:t>
      </w:r>
      <w:proofErr w:type="spellStart"/>
      <w:r w:rsidR="000452FB" w:rsidRPr="0084495F">
        <w:t>proBNP</w:t>
      </w:r>
      <w:proofErr w:type="spellEnd"/>
      <w:r w:rsidR="000452FB" w:rsidRPr="0084495F">
        <w:t xml:space="preserve"> ≤5314 </w:t>
      </w:r>
      <w:proofErr w:type="spellStart"/>
      <w:r w:rsidR="000452FB" w:rsidRPr="0084495F">
        <w:t>pg</w:t>
      </w:r>
      <w:proofErr w:type="spellEnd"/>
      <w:r w:rsidR="000452FB" w:rsidRPr="0084495F">
        <w:t xml:space="preserve">/mL) from the VICTORIA trial as a proxy for ‘stabilised’ patients. </w:t>
      </w:r>
      <w:r w:rsidR="000452FB" w:rsidRPr="0084495F">
        <w:rPr>
          <w:iCs/>
        </w:rPr>
        <w:t>While NT-</w:t>
      </w:r>
      <w:proofErr w:type="spellStart"/>
      <w:r w:rsidR="000452FB" w:rsidRPr="0084495F">
        <w:rPr>
          <w:iCs/>
        </w:rPr>
        <w:t>proBNP</w:t>
      </w:r>
      <w:proofErr w:type="spellEnd"/>
      <w:r w:rsidR="000452FB" w:rsidRPr="0084495F">
        <w:rPr>
          <w:iCs/>
        </w:rPr>
        <w:t xml:space="preserve"> is a valuable diagnostic and risk assessment tool in heart failure management, its use as an indicator of heart failure stabilisation after a decompensation event requiring hospitalisation or intravenous diuretic therapy has not been validated.</w:t>
      </w:r>
    </w:p>
    <w:p w14:paraId="5E8D5FC7" w14:textId="06137DB8" w:rsidR="00113EFB" w:rsidRPr="0084495F" w:rsidRDefault="00113EFB" w:rsidP="00FF0C6B">
      <w:pPr>
        <w:pStyle w:val="ExecSumBodyText"/>
      </w:pPr>
      <w:bookmarkStart w:id="5" w:name="_Hlk96070315"/>
      <w:r w:rsidRPr="0084495F">
        <w:t xml:space="preserve">The ESC noted that </w:t>
      </w:r>
      <w:r w:rsidR="00C63F16" w:rsidRPr="0084495F">
        <w:t xml:space="preserve">while </w:t>
      </w:r>
      <w:r w:rsidRPr="0084495F">
        <w:t>NT-</w:t>
      </w:r>
      <w:proofErr w:type="spellStart"/>
      <w:r w:rsidRPr="0084495F">
        <w:t>proBNP</w:t>
      </w:r>
      <w:proofErr w:type="spellEnd"/>
      <w:r w:rsidRPr="0084495F">
        <w:t xml:space="preserve"> is currently MBS listed (</w:t>
      </w:r>
      <w:r w:rsidR="00C63F16" w:rsidRPr="0084495F">
        <w:t xml:space="preserve">Item </w:t>
      </w:r>
      <w:r w:rsidRPr="0084495F">
        <w:t>66830</w:t>
      </w:r>
      <w:r w:rsidR="00C63F16" w:rsidRPr="0084495F">
        <w:t xml:space="preserve">, which is </w:t>
      </w:r>
      <w:r w:rsidR="00677DC7" w:rsidRPr="0084495F">
        <w:t xml:space="preserve">for </w:t>
      </w:r>
      <w:r w:rsidR="00C63F16" w:rsidRPr="0084495F">
        <w:t>‘quantitation of BNP or NT-</w:t>
      </w:r>
      <w:proofErr w:type="spellStart"/>
      <w:r w:rsidR="00C63F16" w:rsidRPr="0084495F">
        <w:t>proBNP</w:t>
      </w:r>
      <w:proofErr w:type="spellEnd"/>
      <w:r w:rsidR="00C63F16" w:rsidRPr="0084495F">
        <w:t xml:space="preserve"> for the diagnosis of heart failure in patients presenting with dyspnoea to a hospital Emergency Department’</w:t>
      </w:r>
      <w:r w:rsidRPr="0084495F">
        <w:t>)</w:t>
      </w:r>
      <w:r w:rsidR="00C63F16" w:rsidRPr="0084495F">
        <w:t xml:space="preserve">, this listing is for a purpose unrelated to the context of the VICTORIA study population for vericiguat. </w:t>
      </w:r>
      <w:r w:rsidRPr="0084495F">
        <w:t xml:space="preserve">The ESC further noted that MSAC application 1689, considered by PASC in December 2021, </w:t>
      </w:r>
      <w:r w:rsidR="00C63F16" w:rsidRPr="0084495F">
        <w:t>wa</w:t>
      </w:r>
      <w:r w:rsidRPr="0084495F">
        <w:t>s also for unrelated purposes</w:t>
      </w:r>
      <w:r w:rsidR="00C63F16" w:rsidRPr="0084495F">
        <w:t xml:space="preserve"> (application </w:t>
      </w:r>
      <w:r w:rsidRPr="0084495F">
        <w:t>1689 is for patients with either systemic sclerosis (scleroderma) or previously diagnosed with pulmonary arterial hypertension</w:t>
      </w:r>
      <w:r w:rsidR="00C63F16" w:rsidRPr="0084495F">
        <w:t>)</w:t>
      </w:r>
      <w:r w:rsidR="00C63F16" w:rsidRPr="0084495F">
        <w:rPr>
          <w:rStyle w:val="FootnoteReference"/>
        </w:rPr>
        <w:footnoteReference w:id="1"/>
      </w:r>
      <w:r w:rsidRPr="0084495F">
        <w:t>.</w:t>
      </w:r>
    </w:p>
    <w:p w14:paraId="4D95ED81" w14:textId="1D561D01" w:rsidR="00113EFB" w:rsidRPr="0084495F" w:rsidRDefault="00C63F16" w:rsidP="005B4A6C">
      <w:pPr>
        <w:pStyle w:val="ExecSumBodyText"/>
      </w:pPr>
      <w:r w:rsidRPr="0084495F">
        <w:t>The ESC considered that a</w:t>
      </w:r>
      <w:r w:rsidR="00113EFB" w:rsidRPr="0084495F">
        <w:t xml:space="preserve"> new integrated </w:t>
      </w:r>
      <w:proofErr w:type="spellStart"/>
      <w:r w:rsidR="00113EFB" w:rsidRPr="0084495F">
        <w:t>codependent</w:t>
      </w:r>
      <w:proofErr w:type="spellEnd"/>
      <w:r w:rsidR="00113EFB" w:rsidRPr="0084495F">
        <w:t xml:space="preserve"> submission would be required </w:t>
      </w:r>
      <w:proofErr w:type="gramStart"/>
      <w:r w:rsidRPr="0084495F">
        <w:t>in order to</w:t>
      </w:r>
      <w:proofErr w:type="gramEnd"/>
      <w:r w:rsidRPr="0084495F">
        <w:t xml:space="preserve"> assess</w:t>
      </w:r>
      <w:r w:rsidR="00113EFB" w:rsidRPr="0084495F">
        <w:t xml:space="preserve"> vericiguat for the proposed post hoc subgroup </w:t>
      </w:r>
      <w:r w:rsidRPr="0084495F">
        <w:t>and</w:t>
      </w:r>
      <w:r w:rsidR="00113EFB" w:rsidRPr="0084495F">
        <w:t xml:space="preserve"> to have the prerequisite NT-</w:t>
      </w:r>
      <w:proofErr w:type="spellStart"/>
      <w:r w:rsidR="00113EFB" w:rsidRPr="0084495F">
        <w:t>proBNP</w:t>
      </w:r>
      <w:proofErr w:type="spellEnd"/>
      <w:r w:rsidR="00113EFB" w:rsidRPr="0084495F">
        <w:t xml:space="preserve"> test funded via the MBS.</w:t>
      </w:r>
      <w:r w:rsidR="005B4A6C" w:rsidRPr="0084495F">
        <w:t xml:space="preserve"> The ESC proposed that an alternative may be to </w:t>
      </w:r>
      <w:r w:rsidR="00602243" w:rsidRPr="0084495F">
        <w:t xml:space="preserve">use </w:t>
      </w:r>
      <w:r w:rsidR="005B4A6C" w:rsidRPr="0084495F">
        <w:t>the results from the ITT population (rather than the NT-</w:t>
      </w:r>
      <w:proofErr w:type="spellStart"/>
      <w:r w:rsidR="005B4A6C" w:rsidRPr="0084495F">
        <w:t>proBNP</w:t>
      </w:r>
      <w:proofErr w:type="spellEnd"/>
      <w:r w:rsidR="005B4A6C" w:rsidRPr="0084495F">
        <w:t xml:space="preserve"> Q1-Q3 subgroup) in the economic model.</w:t>
      </w:r>
    </w:p>
    <w:bookmarkEnd w:id="5"/>
    <w:p w14:paraId="11FCAAEE" w14:textId="5EF9686A" w:rsidR="007627BE" w:rsidRPr="0084495F" w:rsidRDefault="000452FB" w:rsidP="002B0E29">
      <w:pPr>
        <w:pStyle w:val="ExecSumBodyText"/>
        <w:rPr>
          <w:color w:val="0066FF"/>
        </w:rPr>
      </w:pPr>
      <w:r w:rsidRPr="0084495F">
        <w:t xml:space="preserve">The recommended starting dose of vericiguat is 2.5 mg orally once daily, </w:t>
      </w:r>
      <w:proofErr w:type="gramStart"/>
      <w:r w:rsidRPr="0084495F">
        <w:t>up-titrated</w:t>
      </w:r>
      <w:proofErr w:type="gramEnd"/>
      <w:r w:rsidRPr="0084495F">
        <w:t xml:space="preserve"> at 14 day intervals to 5 mg and then 10 mg once daily (maximum target dose) as tolerated. Vericiguat </w:t>
      </w:r>
      <w:r w:rsidR="00B57052" w:rsidRPr="0084495F">
        <w:t xml:space="preserve">would be </w:t>
      </w:r>
      <w:r w:rsidRPr="0084495F">
        <w:t>administered as</w:t>
      </w:r>
      <w:r w:rsidR="00B57052" w:rsidRPr="0084495F">
        <w:t xml:space="preserve"> </w:t>
      </w:r>
      <w:r w:rsidRPr="0084495F">
        <w:t>an</w:t>
      </w:r>
      <w:r w:rsidR="00FF1130" w:rsidRPr="0084495F">
        <w:t xml:space="preserve"> </w:t>
      </w:r>
      <w:r w:rsidRPr="0084495F">
        <w:t>add-on to standard of care (SoC) heart failure therapies after stabilisation of the patient’s condition following a decompensation heart failure event.</w:t>
      </w:r>
    </w:p>
    <w:p w14:paraId="3A39DBC4" w14:textId="7819C3B1" w:rsidR="00FF1130" w:rsidRPr="0084495F" w:rsidRDefault="00FF1130" w:rsidP="002B0E29">
      <w:pPr>
        <w:pStyle w:val="ExecSumBodyText"/>
        <w:rPr>
          <w:color w:val="0066FF"/>
        </w:rPr>
      </w:pPr>
      <w:r w:rsidRPr="0084495F">
        <w:fldChar w:fldCharType="begin"/>
      </w:r>
      <w:r w:rsidRPr="0084495F">
        <w:instrText xml:space="preserve"> REF _Ref99360328 \h </w:instrText>
      </w:r>
      <w:r w:rsidRPr="0084495F">
        <w:fldChar w:fldCharType="separate"/>
      </w:r>
      <w:r w:rsidR="0084495F" w:rsidRPr="0084495F">
        <w:t>Figure 1</w:t>
      </w:r>
      <w:r w:rsidRPr="0084495F">
        <w:fldChar w:fldCharType="end"/>
      </w:r>
      <w:r w:rsidRPr="0084495F">
        <w:t xml:space="preserve"> outlines the clinical management algorithm proposed in the submission.</w:t>
      </w:r>
    </w:p>
    <w:p w14:paraId="283076F6" w14:textId="04233C5B" w:rsidR="00FF1130" w:rsidRPr="0084495F" w:rsidRDefault="00FF1130" w:rsidP="00FF1130">
      <w:pPr>
        <w:pStyle w:val="Caption"/>
        <w:jc w:val="left"/>
      </w:pPr>
      <w:bookmarkStart w:id="6" w:name="_Ref99360328"/>
      <w:r w:rsidRPr="0084495F">
        <w:lastRenderedPageBreak/>
        <w:t xml:space="preserve">Figure </w:t>
      </w:r>
      <w:r w:rsidR="00C16DA1">
        <w:fldChar w:fldCharType="begin"/>
      </w:r>
      <w:r w:rsidR="00C16DA1">
        <w:instrText xml:space="preserve"> SEQ Figure \* ARABIC </w:instrText>
      </w:r>
      <w:r w:rsidR="00C16DA1">
        <w:fldChar w:fldCharType="separate"/>
      </w:r>
      <w:r w:rsidR="0084495F" w:rsidRPr="0084495F">
        <w:t>1</w:t>
      </w:r>
      <w:r w:rsidR="00C16DA1">
        <w:fldChar w:fldCharType="end"/>
      </w:r>
      <w:bookmarkEnd w:id="6"/>
      <w:r w:rsidRPr="0084495F">
        <w:t>: Clinical management algorithm indicating positioning of vericiguat if listed on the PBS</w:t>
      </w:r>
    </w:p>
    <w:p w14:paraId="66507D14" w14:textId="77777777" w:rsidR="00FF1130" w:rsidRPr="0084495F" w:rsidRDefault="00FF1130" w:rsidP="00FF1130">
      <w:pPr>
        <w:keepNext/>
        <w:keepLines/>
      </w:pPr>
      <w:r w:rsidRPr="0084495F">
        <w:rPr>
          <w:rFonts w:cstheme="minorHAnsi"/>
          <w:noProof/>
        </w:rPr>
        <w:drawing>
          <wp:inline distT="0" distB="0" distL="0" distR="0" wp14:anchorId="76F78D26" wp14:editId="28C7F86C">
            <wp:extent cx="5533321" cy="4629150"/>
            <wp:effectExtent l="0" t="0" r="0" b="0"/>
            <wp:docPr id="9" name="Picture 9" descr="Figure 1: Clinical management algorithm indicating positioning of vericiguat if listed on the P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1: Clinical management algorithm indicating positioning of vericiguat if listed on the PBS"/>
                    <pic:cNvPicPr>
                      <a:picLocks noChangeAspect="1" noChangeArrowheads="1"/>
                    </pic:cNvPicPr>
                  </pic:nvPicPr>
                  <pic:blipFill rotWithShape="1">
                    <a:blip r:embed="rId8">
                      <a:extLst>
                        <a:ext uri="{28A0092B-C50C-407E-A947-70E740481C1C}">
                          <a14:useLocalDpi xmlns:a14="http://schemas.microsoft.com/office/drawing/2010/main" val="0"/>
                        </a:ext>
                      </a:extLst>
                    </a:blip>
                    <a:srcRect t="-1054" b="-984"/>
                    <a:stretch/>
                  </pic:blipFill>
                  <pic:spPr bwMode="auto">
                    <a:xfrm>
                      <a:off x="0" y="0"/>
                      <a:ext cx="5533321" cy="4629150"/>
                    </a:xfrm>
                    <a:prstGeom prst="rect">
                      <a:avLst/>
                    </a:prstGeom>
                    <a:noFill/>
                    <a:ln>
                      <a:noFill/>
                    </a:ln>
                    <a:extLst>
                      <a:ext uri="{53640926-AAD7-44D8-BBD7-CCE9431645EC}">
                        <a14:shadowObscured xmlns:a14="http://schemas.microsoft.com/office/drawing/2010/main"/>
                      </a:ext>
                    </a:extLst>
                  </pic:spPr>
                </pic:pic>
              </a:graphicData>
            </a:graphic>
          </wp:inline>
        </w:drawing>
      </w:r>
    </w:p>
    <w:p w14:paraId="38DB4D92" w14:textId="77777777" w:rsidR="00FF1130" w:rsidRPr="0084495F" w:rsidRDefault="00FF1130" w:rsidP="00FF1130">
      <w:pPr>
        <w:pStyle w:val="TableFigureFooter"/>
      </w:pPr>
      <w:r w:rsidRPr="0084495F">
        <w:t>Source: Figure 1-8, p47 of the submission</w:t>
      </w:r>
    </w:p>
    <w:p w14:paraId="503BA3B1" w14:textId="77777777" w:rsidR="00FF1130" w:rsidRPr="0084495F" w:rsidRDefault="00FF1130" w:rsidP="00FF1130">
      <w:pPr>
        <w:pStyle w:val="TableFigureFooter"/>
      </w:pPr>
      <w:r w:rsidRPr="0084495F">
        <w:t xml:space="preserve">Abbreviations: </w:t>
      </w:r>
      <w:proofErr w:type="spellStart"/>
      <w:r w:rsidRPr="0084495F">
        <w:t>ACEi</w:t>
      </w:r>
      <w:proofErr w:type="spellEnd"/>
      <w:r w:rsidRPr="0084495F">
        <w:t xml:space="preserve">, angiotensin-converting enzyme inhibitor; ARB, angiotensin receptor blocker; </w:t>
      </w:r>
      <w:proofErr w:type="spellStart"/>
      <w:r w:rsidRPr="0084495F">
        <w:t>ARNi</w:t>
      </w:r>
      <w:proofErr w:type="spellEnd"/>
      <w:r w:rsidRPr="0084495F">
        <w:t>, angiotensin receptor-</w:t>
      </w:r>
      <w:proofErr w:type="spellStart"/>
      <w:r w:rsidRPr="0084495F">
        <w:t>neprilysin</w:t>
      </w:r>
      <w:proofErr w:type="spellEnd"/>
      <w:r w:rsidRPr="0084495F">
        <w:t xml:space="preserve"> inhibitor; LVEF, left ventricular ejection fraction; MRA, mineralocorticoid receptor antagonist; NYHA, New York Heart Association classification; SGLT2i, sodium-glucose transport protein 2 inhibitor</w:t>
      </w:r>
    </w:p>
    <w:p w14:paraId="1B03AC59" w14:textId="77777777" w:rsidR="00FF1130" w:rsidRPr="0084495F" w:rsidRDefault="00FF1130" w:rsidP="00FF1130">
      <w:pPr>
        <w:pStyle w:val="TableFigureFooter"/>
      </w:pPr>
      <w:r w:rsidRPr="0084495F">
        <w:t>* SGLT2i therapies not currently PBS listed</w:t>
      </w:r>
    </w:p>
    <w:p w14:paraId="621E6E39" w14:textId="6E70017A" w:rsidR="00FF1130" w:rsidRPr="0084495F" w:rsidRDefault="00FF1130" w:rsidP="002B0E29">
      <w:pPr>
        <w:pStyle w:val="ExecSumBodyText"/>
      </w:pPr>
      <w:r w:rsidRPr="0084495F">
        <w:t xml:space="preserve">The submission proposed that vericiguat would be positioned after four other therapies </w:t>
      </w:r>
      <w:r w:rsidR="00355D01" w:rsidRPr="0084495F">
        <w:t>(</w:t>
      </w:r>
      <w:proofErr w:type="spellStart"/>
      <w:r w:rsidR="00355D01" w:rsidRPr="0084495F">
        <w:t>ACEi</w:t>
      </w:r>
      <w:proofErr w:type="spellEnd"/>
      <w:r w:rsidR="00355D01" w:rsidRPr="0084495F">
        <w:t>/ARB</w:t>
      </w:r>
      <w:r w:rsidR="00647B9A" w:rsidRPr="0084495F">
        <w:t>/ARNI</w:t>
      </w:r>
      <w:r w:rsidR="00355D01" w:rsidRPr="0084495F">
        <w:t xml:space="preserve">, beta-blocker, potentially </w:t>
      </w:r>
      <w:proofErr w:type="gramStart"/>
      <w:r w:rsidR="00355D01" w:rsidRPr="0084495F">
        <w:t>a</w:t>
      </w:r>
      <w:proofErr w:type="gramEnd"/>
      <w:r w:rsidR="00355D01" w:rsidRPr="0084495F">
        <w:t xml:space="preserve"> MRA, and SGLT2</w:t>
      </w:r>
      <w:r w:rsidR="00CB26D0" w:rsidRPr="0084495F">
        <w:t xml:space="preserve"> </w:t>
      </w:r>
      <w:r w:rsidR="00CB26D0" w:rsidRPr="0084495F">
        <w:rPr>
          <w:rFonts w:cs="Calibri"/>
        </w:rPr>
        <w:t>inhibitors</w:t>
      </w:r>
      <w:r w:rsidR="00355D01" w:rsidRPr="0084495F">
        <w:t xml:space="preserve">) </w:t>
      </w:r>
      <w:r w:rsidRPr="0084495F">
        <w:t xml:space="preserve">and </w:t>
      </w:r>
      <w:r w:rsidR="0093508E" w:rsidRPr="0084495F">
        <w:t xml:space="preserve">also </w:t>
      </w:r>
      <w:r w:rsidRPr="0084495F">
        <w:t xml:space="preserve">after diuretics. </w:t>
      </w:r>
    </w:p>
    <w:p w14:paraId="05E8405C" w14:textId="3112AA43" w:rsidR="00D55519" w:rsidRPr="0084495F" w:rsidRDefault="00D55519" w:rsidP="00D55519">
      <w:pPr>
        <w:pStyle w:val="ExecSumBodyText"/>
        <w:numPr>
          <w:ilvl w:val="0"/>
          <w:numId w:val="0"/>
        </w:numPr>
        <w:ind w:left="720"/>
        <w:rPr>
          <w:i/>
        </w:rPr>
      </w:pPr>
      <w:r w:rsidRPr="0084495F">
        <w:rPr>
          <w:i/>
        </w:rPr>
        <w:t>For more detail on PBAC’s view, see section 7 PBAC outcome.</w:t>
      </w:r>
    </w:p>
    <w:p w14:paraId="51E5AE96" w14:textId="136A63B1" w:rsidR="00B50DB8" w:rsidRPr="0084495F" w:rsidRDefault="00B50DB8" w:rsidP="004E18E9">
      <w:pPr>
        <w:pStyle w:val="2-SectionHeading"/>
      </w:pPr>
      <w:bookmarkStart w:id="7" w:name="_Toc92732974"/>
      <w:r w:rsidRPr="0084495F">
        <w:t>Comparator</w:t>
      </w:r>
      <w:bookmarkEnd w:id="7"/>
    </w:p>
    <w:p w14:paraId="4B047F7E" w14:textId="2F8B0AEE" w:rsidR="00181259" w:rsidRPr="0084495F" w:rsidRDefault="00181259" w:rsidP="00181259">
      <w:pPr>
        <w:pStyle w:val="ExecSumBodyText"/>
      </w:pPr>
      <w:r w:rsidRPr="0084495F">
        <w:t xml:space="preserve">The submission nominated placebo plus SoC (including </w:t>
      </w:r>
      <w:proofErr w:type="spellStart"/>
      <w:r w:rsidRPr="0084495F">
        <w:t>ACEi</w:t>
      </w:r>
      <w:proofErr w:type="spellEnd"/>
      <w:r w:rsidRPr="0084495F">
        <w:t xml:space="preserve">/ARBs or </w:t>
      </w:r>
      <w:proofErr w:type="spellStart"/>
      <w:r w:rsidRPr="0084495F">
        <w:t>ARNis</w:t>
      </w:r>
      <w:proofErr w:type="spellEnd"/>
      <w:r w:rsidRPr="0084495F">
        <w:t xml:space="preserve">, beta-blockers, MRAs, and diuretics) as the main comparator, consistent with clinical guidelines and expert opinion provided to the sponsor. </w:t>
      </w:r>
      <w:r w:rsidR="00141F6F" w:rsidRPr="0084495F">
        <w:t>The ESC considered this was appropriate.</w:t>
      </w:r>
    </w:p>
    <w:p w14:paraId="30A067BB" w14:textId="0DFC135D" w:rsidR="00B50DB8" w:rsidRPr="0084495F" w:rsidRDefault="00181259" w:rsidP="00971208">
      <w:pPr>
        <w:pStyle w:val="ExecSumBodyText"/>
        <w:rPr>
          <w:snapToGrid/>
        </w:rPr>
      </w:pPr>
      <w:r w:rsidRPr="0084495F">
        <w:lastRenderedPageBreak/>
        <w:t>The submission acknowledged that the SGLT2</w:t>
      </w:r>
      <w:r w:rsidR="00CB26D0" w:rsidRPr="0084495F">
        <w:t xml:space="preserve"> </w:t>
      </w:r>
      <w:r w:rsidR="00CB26D0" w:rsidRPr="0084495F">
        <w:rPr>
          <w:rFonts w:cs="Calibri"/>
        </w:rPr>
        <w:t>inhibitors</w:t>
      </w:r>
      <w:r w:rsidR="00CB26D0" w:rsidRPr="0084495F">
        <w:t xml:space="preserve"> </w:t>
      </w:r>
      <w:r w:rsidRPr="0084495F">
        <w:t xml:space="preserve">dapagliflozin and empagliflozin were recently considered </w:t>
      </w:r>
      <w:r w:rsidR="00765DF3" w:rsidRPr="0084495F">
        <w:rPr>
          <w:iCs/>
        </w:rPr>
        <w:t xml:space="preserve">and recommended </w:t>
      </w:r>
      <w:r w:rsidRPr="0084495F">
        <w:t xml:space="preserve">by the PBAC for the treatment of </w:t>
      </w:r>
      <w:proofErr w:type="spellStart"/>
      <w:r w:rsidRPr="0084495F">
        <w:t>HFrEF</w:t>
      </w:r>
      <w:proofErr w:type="spellEnd"/>
      <w:r w:rsidRPr="0084495F">
        <w:t>. The clinical management algorithm positioned vericiguat as an add-on to SoC heart failure therapies (including SGLT2</w:t>
      </w:r>
      <w:r w:rsidR="00CB26D0" w:rsidRPr="0084495F">
        <w:rPr>
          <w:rFonts w:cs="Calibri"/>
        </w:rPr>
        <w:t xml:space="preserve"> inhibitors</w:t>
      </w:r>
      <w:r w:rsidRPr="0084495F">
        <w:t xml:space="preserve">), </w:t>
      </w:r>
      <w:r w:rsidRPr="0084495F">
        <w:rPr>
          <w:iCs/>
        </w:rPr>
        <w:t>but it is unclear whether vericiguat will be used as an add-on or alternative to SGLT2</w:t>
      </w:r>
      <w:r w:rsidR="00CB26D0" w:rsidRPr="0084495F">
        <w:rPr>
          <w:rFonts w:cs="Calibri"/>
        </w:rPr>
        <w:t xml:space="preserve"> inhibitors</w:t>
      </w:r>
      <w:r w:rsidRPr="0084495F">
        <w:rPr>
          <w:iCs/>
        </w:rPr>
        <w:t>.</w:t>
      </w:r>
      <w:r w:rsidR="00765DF3" w:rsidRPr="0084495F">
        <w:rPr>
          <w:iCs/>
        </w:rPr>
        <w:t xml:space="preserve"> </w:t>
      </w:r>
      <w:r w:rsidR="00765DF3" w:rsidRPr="0084495F">
        <w:t xml:space="preserve">The ESC advised the role of vericiguat </w:t>
      </w:r>
      <w:r w:rsidR="00DA33B4" w:rsidRPr="0084495F">
        <w:t>alongside</w:t>
      </w:r>
      <w:r w:rsidR="00765DF3" w:rsidRPr="0084495F">
        <w:t xml:space="preserve"> SGLT2</w:t>
      </w:r>
      <w:r w:rsidR="00CB26D0" w:rsidRPr="0084495F">
        <w:rPr>
          <w:rFonts w:cs="Calibri"/>
        </w:rPr>
        <w:t xml:space="preserve"> inhibitors</w:t>
      </w:r>
      <w:r w:rsidR="00765DF3" w:rsidRPr="0084495F">
        <w:t xml:space="preserve"> was not clear, but it was likely SGLT2</w:t>
      </w:r>
      <w:r w:rsidR="00CB26D0" w:rsidRPr="0084495F">
        <w:rPr>
          <w:rFonts w:cs="Calibri"/>
        </w:rPr>
        <w:t xml:space="preserve"> inhibitors</w:t>
      </w:r>
      <w:r w:rsidR="00765DF3" w:rsidRPr="0084495F">
        <w:t xml:space="preserve"> will be used </w:t>
      </w:r>
      <w:r w:rsidR="00086083" w:rsidRPr="0084495F">
        <w:t xml:space="preserve">as SoC, </w:t>
      </w:r>
      <w:r w:rsidR="00765DF3" w:rsidRPr="0084495F">
        <w:t>prior to vericiguat.</w:t>
      </w:r>
    </w:p>
    <w:p w14:paraId="095657B8" w14:textId="4B61FD96" w:rsidR="00D55519" w:rsidRPr="0084495F" w:rsidRDefault="00D55519" w:rsidP="00D55519">
      <w:pPr>
        <w:pStyle w:val="ExecSumBodyText"/>
        <w:numPr>
          <w:ilvl w:val="0"/>
          <w:numId w:val="0"/>
        </w:numPr>
        <w:ind w:left="720"/>
        <w:rPr>
          <w:i/>
          <w:snapToGrid/>
        </w:rPr>
      </w:pPr>
      <w:r w:rsidRPr="0084495F">
        <w:rPr>
          <w:i/>
          <w:snapToGrid/>
        </w:rPr>
        <w:t>For more detail on PBAC’s view, see section 7 PBAC outcome.</w:t>
      </w:r>
    </w:p>
    <w:p w14:paraId="7F9C27C8" w14:textId="77777777" w:rsidR="00223D5A" w:rsidRPr="0084495F" w:rsidRDefault="00223D5A" w:rsidP="009A0CCB">
      <w:pPr>
        <w:pStyle w:val="2-SectionHeading"/>
      </w:pPr>
      <w:bookmarkStart w:id="8" w:name="_Toc92732975"/>
      <w:bookmarkStart w:id="9" w:name="_Toc22897640"/>
      <w:r w:rsidRPr="0084495F">
        <w:t>Consideration of the evidence</w:t>
      </w:r>
      <w:bookmarkEnd w:id="8"/>
    </w:p>
    <w:p w14:paraId="7B2AB9DF" w14:textId="77777777" w:rsidR="00D55519" w:rsidRPr="0084495F" w:rsidRDefault="00D55519" w:rsidP="00D55519">
      <w:pPr>
        <w:pStyle w:val="3-SubsectionHeading"/>
      </w:pPr>
      <w:bookmarkStart w:id="10" w:name="_Toc92732976"/>
      <w:r w:rsidRPr="0084495F">
        <w:t>Sponsor hearing</w:t>
      </w:r>
    </w:p>
    <w:p w14:paraId="3129AD1A" w14:textId="1150085E" w:rsidR="00D55519" w:rsidRPr="0084495F" w:rsidRDefault="00D55519" w:rsidP="00D55519">
      <w:pPr>
        <w:pStyle w:val="ExecSumBodyText"/>
      </w:pPr>
      <w:r w:rsidRPr="0084495F">
        <w:t xml:space="preserve">The sponsor requested a hearing for this item. </w:t>
      </w:r>
      <w:r w:rsidR="00930059" w:rsidRPr="0084495F">
        <w:t xml:space="preserve">The clinician described the clinical need for vericiguat given it has a different mechanism of action to current therapies and has neutral renal and haemodynamic effects. The clinician considered that the </w:t>
      </w:r>
      <w:r w:rsidR="00231397" w:rsidRPr="0084495F">
        <w:t xml:space="preserve">most appropriate </w:t>
      </w:r>
      <w:r w:rsidR="00930059" w:rsidRPr="0084495F">
        <w:t xml:space="preserve">place in therapy </w:t>
      </w:r>
      <w:r w:rsidR="00231397" w:rsidRPr="0084495F">
        <w:t xml:space="preserve">for vericiguat </w:t>
      </w:r>
      <w:r w:rsidR="00930059" w:rsidRPr="0084495F">
        <w:t xml:space="preserve">would be in patients: with a recent hospitalisation for heart failure or recent use of IV diuretics; </w:t>
      </w:r>
      <w:r w:rsidR="00231397" w:rsidRPr="0084495F">
        <w:t xml:space="preserve">who remain symptomatic despite being </w:t>
      </w:r>
      <w:r w:rsidR="00930059" w:rsidRPr="0084495F">
        <w:t>on guideline-directed therapy with ACE/ARB/</w:t>
      </w:r>
      <w:proofErr w:type="spellStart"/>
      <w:r w:rsidR="00930059" w:rsidRPr="0084495F">
        <w:t>ARN</w:t>
      </w:r>
      <w:r w:rsidR="00231397" w:rsidRPr="0084495F">
        <w:t>i</w:t>
      </w:r>
      <w:proofErr w:type="spellEnd"/>
      <w:r w:rsidR="00930059" w:rsidRPr="0084495F">
        <w:t>, beta-blocker, MRA and SGLT2</w:t>
      </w:r>
      <w:r w:rsidR="00CB26D0" w:rsidRPr="0084495F">
        <w:t xml:space="preserve"> </w:t>
      </w:r>
      <w:r w:rsidR="00CB26D0" w:rsidRPr="0084495F">
        <w:rPr>
          <w:rFonts w:cs="Calibri"/>
        </w:rPr>
        <w:t>inhibitors</w:t>
      </w:r>
      <w:r w:rsidR="00930059" w:rsidRPr="0084495F">
        <w:t xml:space="preserve">; </w:t>
      </w:r>
      <w:r w:rsidR="00231397" w:rsidRPr="0084495F">
        <w:t>with systolic blood pressure greater</w:t>
      </w:r>
      <w:r w:rsidR="00930059" w:rsidRPr="0084495F">
        <w:t xml:space="preserve"> than 100 mm Hg; NYHA class II/I</w:t>
      </w:r>
      <w:r w:rsidR="00355D01" w:rsidRPr="0084495F">
        <w:t>I</w:t>
      </w:r>
      <w:r w:rsidR="00930059" w:rsidRPr="0084495F">
        <w:t xml:space="preserve">I heart failure; who </w:t>
      </w:r>
      <w:r w:rsidR="00231397" w:rsidRPr="0084495F">
        <w:t xml:space="preserve">are </w:t>
      </w:r>
      <w:r w:rsidR="0093508E" w:rsidRPr="0084495F">
        <w:t xml:space="preserve">mobile but </w:t>
      </w:r>
      <w:r w:rsidR="00691C80" w:rsidRPr="0084495F">
        <w:t>have problems with usual activities</w:t>
      </w:r>
      <w:r w:rsidR="00930059" w:rsidRPr="0084495F">
        <w:t>; and who have shortness of breath with mild to moderate exertion. The clinician outlined that vericiguat would be of little clinical value in patients</w:t>
      </w:r>
      <w:r w:rsidR="00231397" w:rsidRPr="0084495F">
        <w:t xml:space="preserve"> who are unstable, for example those: with systolic blood pressure less than 100 mm Hg; who have had recurrent admissions to hospital in a short period of time despite guideline-directed treatment; and/or who remain tachycardic with significant renal impairment and dyspnoea. </w:t>
      </w:r>
    </w:p>
    <w:p w14:paraId="1809A172" w14:textId="77777777" w:rsidR="00D55519" w:rsidRPr="0084495F" w:rsidRDefault="00D55519" w:rsidP="00D55519">
      <w:pPr>
        <w:pStyle w:val="3-SubsectionHeading"/>
      </w:pPr>
      <w:r w:rsidRPr="0084495F">
        <w:t>Consumer comments</w:t>
      </w:r>
    </w:p>
    <w:p w14:paraId="44834045" w14:textId="3AA7C8A7" w:rsidR="00D55519" w:rsidRPr="0084495F" w:rsidRDefault="00D55519" w:rsidP="00624423">
      <w:pPr>
        <w:pStyle w:val="ExecSumBodyText"/>
      </w:pPr>
      <w:r w:rsidRPr="0084495F">
        <w:t xml:space="preserve">The PBAC noted and welcomed the input from </w:t>
      </w:r>
      <w:r w:rsidR="00624423" w:rsidRPr="0084495F">
        <w:t xml:space="preserve">an </w:t>
      </w:r>
      <w:r w:rsidRPr="0084495F">
        <w:t>individual</w:t>
      </w:r>
      <w:r w:rsidR="00355D01" w:rsidRPr="0084495F">
        <w:t xml:space="preserve"> whose</w:t>
      </w:r>
      <w:r w:rsidRPr="0084495F">
        <w:t xml:space="preserve"> comments described </w:t>
      </w:r>
      <w:r w:rsidR="00490587" w:rsidRPr="0084495F">
        <w:t xml:space="preserve">the importance, to patients and their families, of access </w:t>
      </w:r>
      <w:r w:rsidR="00355D01" w:rsidRPr="0084495F">
        <w:t xml:space="preserve">to </w:t>
      </w:r>
      <w:r w:rsidR="00490587" w:rsidRPr="0084495F">
        <w:t xml:space="preserve">therapies that may reduce the risk of re-hospitalisation. </w:t>
      </w:r>
    </w:p>
    <w:p w14:paraId="609C0765" w14:textId="62D2E34A" w:rsidR="00B60939" w:rsidRPr="0084495F" w:rsidRDefault="00B60939" w:rsidP="002E4F02">
      <w:pPr>
        <w:pStyle w:val="3-SubsectionHeading"/>
      </w:pPr>
      <w:r w:rsidRPr="0084495F">
        <w:t>Clinical trials</w:t>
      </w:r>
      <w:bookmarkEnd w:id="9"/>
      <w:bookmarkEnd w:id="10"/>
    </w:p>
    <w:p w14:paraId="072F5FD9" w14:textId="77777777" w:rsidR="002842F9" w:rsidRPr="0084495F" w:rsidRDefault="002842F9" w:rsidP="002842F9">
      <w:pPr>
        <w:pStyle w:val="ExecSumBodyText"/>
        <w:rPr>
          <w:color w:val="0066FF"/>
        </w:rPr>
      </w:pPr>
      <w:r w:rsidRPr="0084495F">
        <w:t xml:space="preserve">The submission was based on one head-to-head phase 3 randomised trial (VICTORIA) comparing vericiguat plus SoC to placebo plus SoC, and one supporting phase 2 dosing study (SOCRATES-Reduced) comparing three vericiguat dose strengths plus SoC to placebo plus </w:t>
      </w:r>
      <w:proofErr w:type="spellStart"/>
      <w:r w:rsidRPr="0084495F">
        <w:t>SoC.</w:t>
      </w:r>
      <w:proofErr w:type="spellEnd"/>
      <w:r w:rsidRPr="0084495F">
        <w:t xml:space="preserve"> </w:t>
      </w:r>
    </w:p>
    <w:p w14:paraId="3F7CA940" w14:textId="78D7A64E" w:rsidR="002842F9" w:rsidRPr="0084495F" w:rsidRDefault="002842F9" w:rsidP="002842F9">
      <w:pPr>
        <w:pStyle w:val="ExecSumBodyText"/>
        <w:rPr>
          <w:color w:val="0066FF"/>
        </w:rPr>
      </w:pPr>
      <w:r w:rsidRPr="0084495F">
        <w:t xml:space="preserve">The economic evaluation was based on a </w:t>
      </w:r>
      <w:r w:rsidR="00374D1D" w:rsidRPr="0084495F">
        <w:t xml:space="preserve">post-hoc </w:t>
      </w:r>
      <w:r w:rsidRPr="0084495F">
        <w:t>subgroup analysis of the VICTORIA trial primary and key secondary outcomes, including patients with baseline NT-</w:t>
      </w:r>
      <w:proofErr w:type="spellStart"/>
      <w:r w:rsidRPr="0084495F">
        <w:t>proBNP</w:t>
      </w:r>
      <w:proofErr w:type="spellEnd"/>
      <w:r w:rsidRPr="0084495F">
        <w:t xml:space="preserve"> levels in quartiles 1-3 (NT-</w:t>
      </w:r>
      <w:proofErr w:type="spellStart"/>
      <w:r w:rsidRPr="0084495F">
        <w:t>proBNP</w:t>
      </w:r>
      <w:proofErr w:type="spellEnd"/>
      <w:r w:rsidRPr="0084495F">
        <w:t xml:space="preserve"> Q1-Q3), as a proxy for stabilised patients.</w:t>
      </w:r>
    </w:p>
    <w:p w14:paraId="1CDD1BCA" w14:textId="77777777" w:rsidR="002842F9" w:rsidRPr="0084495F" w:rsidRDefault="002842F9" w:rsidP="002842F9">
      <w:pPr>
        <w:pStyle w:val="ExecSumBodyText"/>
        <w:rPr>
          <w:color w:val="0066FF"/>
        </w:rPr>
      </w:pPr>
      <w:r w:rsidRPr="0084495F">
        <w:rPr>
          <w:snapToGrid/>
        </w:rPr>
        <w:t>Details of the trials presented in the submission are provided in the table below.</w:t>
      </w:r>
    </w:p>
    <w:p w14:paraId="673EED9F" w14:textId="27217811" w:rsidR="009F1C63" w:rsidRPr="0084495F" w:rsidRDefault="009F1C63" w:rsidP="00B0574E">
      <w:pPr>
        <w:pStyle w:val="TableHeading"/>
      </w:pPr>
      <w:r w:rsidRPr="0084495F">
        <w:lastRenderedPageBreak/>
        <w:t xml:space="preserve">Table </w:t>
      </w:r>
      <w:r w:rsidR="00C16DA1">
        <w:fldChar w:fldCharType="begin"/>
      </w:r>
      <w:r w:rsidR="00C16DA1">
        <w:instrText xml:space="preserve"> SEQ Table \* ARABIC </w:instrText>
      </w:r>
      <w:r w:rsidR="00C16DA1">
        <w:fldChar w:fldCharType="separate"/>
      </w:r>
      <w:r w:rsidR="0084495F" w:rsidRPr="0084495F">
        <w:t>2</w:t>
      </w:r>
      <w:r w:rsidR="00C16DA1">
        <w:fldChar w:fldCharType="end"/>
      </w:r>
      <w:r w:rsidRPr="0084495F">
        <w:t>: Trials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2: Trials presented in the submission"/>
      </w:tblPr>
      <w:tblGrid>
        <w:gridCol w:w="1271"/>
        <w:gridCol w:w="5387"/>
        <w:gridCol w:w="2359"/>
      </w:tblGrid>
      <w:tr w:rsidR="009F1C63" w:rsidRPr="0084495F" w14:paraId="62B958B3" w14:textId="77777777" w:rsidTr="00131E04">
        <w:trPr>
          <w:tblHeader/>
        </w:trPr>
        <w:tc>
          <w:tcPr>
            <w:tcW w:w="705" w:type="pct"/>
          </w:tcPr>
          <w:p w14:paraId="742EDCDA" w14:textId="77777777" w:rsidR="009F1C63" w:rsidRPr="0084495F" w:rsidRDefault="009F1C63" w:rsidP="00B0574E">
            <w:pPr>
              <w:pStyle w:val="Tableheadingrow"/>
              <w:keepLines/>
              <w:rPr>
                <w:szCs w:val="20"/>
                <w:lang w:val="en-AU"/>
              </w:rPr>
            </w:pPr>
            <w:r w:rsidRPr="0084495F">
              <w:rPr>
                <w:szCs w:val="20"/>
                <w:lang w:val="en-AU"/>
              </w:rPr>
              <w:t>Trial ID</w:t>
            </w:r>
          </w:p>
        </w:tc>
        <w:tc>
          <w:tcPr>
            <w:tcW w:w="2987" w:type="pct"/>
          </w:tcPr>
          <w:p w14:paraId="44DB8D35" w14:textId="77777777" w:rsidR="009F1C63" w:rsidRPr="0084495F" w:rsidRDefault="009F1C63" w:rsidP="00B0574E">
            <w:pPr>
              <w:pStyle w:val="Tableheadingrow"/>
              <w:keepLines/>
              <w:rPr>
                <w:szCs w:val="20"/>
                <w:lang w:val="en-AU"/>
              </w:rPr>
            </w:pPr>
            <w:r w:rsidRPr="0084495F">
              <w:rPr>
                <w:szCs w:val="20"/>
                <w:lang w:val="en-AU"/>
              </w:rPr>
              <w:t>Protocol title/ Publication title</w:t>
            </w:r>
          </w:p>
        </w:tc>
        <w:tc>
          <w:tcPr>
            <w:tcW w:w="1308" w:type="pct"/>
          </w:tcPr>
          <w:p w14:paraId="35C50764" w14:textId="77777777" w:rsidR="009F1C63" w:rsidRPr="0084495F" w:rsidRDefault="009F1C63" w:rsidP="00B0574E">
            <w:pPr>
              <w:pStyle w:val="Tableheadingrow"/>
              <w:keepLines/>
              <w:rPr>
                <w:szCs w:val="20"/>
                <w:lang w:val="en-AU"/>
              </w:rPr>
            </w:pPr>
            <w:r w:rsidRPr="0084495F">
              <w:rPr>
                <w:szCs w:val="20"/>
                <w:lang w:val="en-AU"/>
              </w:rPr>
              <w:t>Publication citation</w:t>
            </w:r>
          </w:p>
        </w:tc>
      </w:tr>
      <w:tr w:rsidR="009F1C63" w:rsidRPr="0084495F" w14:paraId="676CF562" w14:textId="77777777" w:rsidTr="00131E04">
        <w:tc>
          <w:tcPr>
            <w:tcW w:w="705" w:type="pct"/>
            <w:tcBorders>
              <w:bottom w:val="nil"/>
            </w:tcBorders>
          </w:tcPr>
          <w:p w14:paraId="7B8CAEE7" w14:textId="77777777" w:rsidR="009F1C63" w:rsidRPr="0084495F" w:rsidRDefault="009F1C63" w:rsidP="00B0574E">
            <w:pPr>
              <w:pStyle w:val="TableText"/>
              <w:keepLines/>
              <w:rPr>
                <w:szCs w:val="20"/>
              </w:rPr>
            </w:pPr>
            <w:r w:rsidRPr="0084495F">
              <w:rPr>
                <w:szCs w:val="20"/>
              </w:rPr>
              <w:t>VICTORIA</w:t>
            </w:r>
          </w:p>
          <w:p w14:paraId="5F1ED8FD" w14:textId="77777777" w:rsidR="009F1C63" w:rsidRPr="0084495F" w:rsidRDefault="009F1C63" w:rsidP="00B0574E">
            <w:pPr>
              <w:pStyle w:val="TableText"/>
              <w:keepLines/>
              <w:rPr>
                <w:szCs w:val="20"/>
              </w:rPr>
            </w:pPr>
            <w:r w:rsidRPr="0084495F">
              <w:rPr>
                <w:szCs w:val="20"/>
              </w:rPr>
              <w:t>(MK-1242-001)</w:t>
            </w:r>
          </w:p>
        </w:tc>
        <w:tc>
          <w:tcPr>
            <w:tcW w:w="2987" w:type="pct"/>
            <w:tcBorders>
              <w:bottom w:val="nil"/>
            </w:tcBorders>
          </w:tcPr>
          <w:p w14:paraId="3D775287" w14:textId="77777777" w:rsidR="009F1C63" w:rsidRPr="0084495F" w:rsidRDefault="009F1C63" w:rsidP="00B0574E">
            <w:pPr>
              <w:pStyle w:val="TableText"/>
              <w:keepLines/>
              <w:rPr>
                <w:szCs w:val="20"/>
              </w:rPr>
            </w:pPr>
            <w:r w:rsidRPr="0084495F">
              <w:rPr>
                <w:szCs w:val="20"/>
              </w:rPr>
              <w:t>A randomized parallel-group, placebo-controlled, double-blind, event-driven, multi-</w:t>
            </w:r>
            <w:proofErr w:type="spellStart"/>
            <w:r w:rsidRPr="0084495F">
              <w:rPr>
                <w:szCs w:val="20"/>
              </w:rPr>
              <w:t>center</w:t>
            </w:r>
            <w:proofErr w:type="spellEnd"/>
            <w:r w:rsidRPr="0084495F">
              <w:rPr>
                <w:szCs w:val="20"/>
              </w:rPr>
              <w:t xml:space="preserve"> pivotal phase III clinical outcome trial of efficacy and safety of the oral </w:t>
            </w:r>
            <w:proofErr w:type="spellStart"/>
            <w:r w:rsidRPr="0084495F">
              <w:rPr>
                <w:szCs w:val="20"/>
              </w:rPr>
              <w:t>sGC</w:t>
            </w:r>
            <w:proofErr w:type="spellEnd"/>
            <w:r w:rsidRPr="0084495F">
              <w:rPr>
                <w:szCs w:val="20"/>
              </w:rPr>
              <w:t xml:space="preserve"> stimulator vericiguat in patients with heart failure with reduced ejection fraction (</w:t>
            </w:r>
            <w:proofErr w:type="spellStart"/>
            <w:r w:rsidRPr="0084495F">
              <w:rPr>
                <w:szCs w:val="20"/>
              </w:rPr>
              <w:t>HFrEF</w:t>
            </w:r>
            <w:proofErr w:type="spellEnd"/>
            <w:r w:rsidRPr="0084495F">
              <w:rPr>
                <w:szCs w:val="20"/>
              </w:rPr>
              <w:t>) - Vericiguat global study in patients with heart failure with reduced ejection fraction (VICTORIA)</w:t>
            </w:r>
          </w:p>
        </w:tc>
        <w:tc>
          <w:tcPr>
            <w:tcW w:w="1308" w:type="pct"/>
            <w:tcBorders>
              <w:bottom w:val="nil"/>
            </w:tcBorders>
          </w:tcPr>
          <w:p w14:paraId="25A5DF1C" w14:textId="77777777" w:rsidR="009F1C63" w:rsidRPr="0084495F" w:rsidRDefault="009F1C63" w:rsidP="00B0574E">
            <w:pPr>
              <w:pStyle w:val="TableText"/>
              <w:keepLines/>
              <w:rPr>
                <w:szCs w:val="20"/>
              </w:rPr>
            </w:pPr>
            <w:r w:rsidRPr="0084495F">
              <w:rPr>
                <w:szCs w:val="20"/>
              </w:rPr>
              <w:t>Clinical Study Report</w:t>
            </w:r>
            <w:r w:rsidRPr="0084495F">
              <w:rPr>
                <w:szCs w:val="20"/>
              </w:rPr>
              <w:br/>
              <w:t>4 March 2020</w:t>
            </w:r>
          </w:p>
        </w:tc>
      </w:tr>
      <w:tr w:rsidR="009F1C63" w:rsidRPr="0084495F" w14:paraId="40680D1A" w14:textId="77777777" w:rsidTr="00131E04">
        <w:tc>
          <w:tcPr>
            <w:tcW w:w="705" w:type="pct"/>
            <w:tcBorders>
              <w:top w:val="nil"/>
              <w:bottom w:val="nil"/>
            </w:tcBorders>
          </w:tcPr>
          <w:p w14:paraId="5A0EA3FD" w14:textId="77777777" w:rsidR="009F1C63" w:rsidRPr="0084495F" w:rsidRDefault="009F1C63" w:rsidP="00B0574E">
            <w:pPr>
              <w:pStyle w:val="TableText"/>
              <w:keepLines/>
              <w:spacing w:after="60"/>
              <w:rPr>
                <w:szCs w:val="20"/>
              </w:rPr>
            </w:pPr>
          </w:p>
        </w:tc>
        <w:tc>
          <w:tcPr>
            <w:tcW w:w="2987" w:type="pct"/>
            <w:tcBorders>
              <w:top w:val="nil"/>
              <w:bottom w:val="nil"/>
            </w:tcBorders>
          </w:tcPr>
          <w:p w14:paraId="7EB6169E" w14:textId="77777777" w:rsidR="009F1C63" w:rsidRPr="0084495F" w:rsidRDefault="009F1C63" w:rsidP="00B0574E">
            <w:pPr>
              <w:pStyle w:val="TableText"/>
              <w:keepLines/>
              <w:rPr>
                <w:szCs w:val="20"/>
              </w:rPr>
            </w:pPr>
            <w:r w:rsidRPr="0084495F">
              <w:rPr>
                <w:szCs w:val="20"/>
              </w:rPr>
              <w:t xml:space="preserve">Armstrong PW, </w:t>
            </w:r>
            <w:proofErr w:type="spellStart"/>
            <w:r w:rsidRPr="0084495F">
              <w:rPr>
                <w:szCs w:val="20"/>
              </w:rPr>
              <w:t>Pieske</w:t>
            </w:r>
            <w:proofErr w:type="spellEnd"/>
            <w:r w:rsidRPr="0084495F">
              <w:rPr>
                <w:szCs w:val="20"/>
              </w:rPr>
              <w:t xml:space="preserve"> B, </w:t>
            </w:r>
            <w:proofErr w:type="spellStart"/>
            <w:r w:rsidRPr="0084495F">
              <w:rPr>
                <w:szCs w:val="20"/>
              </w:rPr>
              <w:t>Anstrom</w:t>
            </w:r>
            <w:proofErr w:type="spellEnd"/>
            <w:r w:rsidRPr="0084495F">
              <w:rPr>
                <w:szCs w:val="20"/>
              </w:rPr>
              <w:t xml:space="preserve"> KJ, et al. Vericiguat in patients with heart failure and reduced ejection fraction; VICTORIA Study Group</w:t>
            </w:r>
          </w:p>
        </w:tc>
        <w:tc>
          <w:tcPr>
            <w:tcW w:w="1308" w:type="pct"/>
            <w:tcBorders>
              <w:top w:val="nil"/>
              <w:bottom w:val="nil"/>
            </w:tcBorders>
          </w:tcPr>
          <w:p w14:paraId="2A8EB950" w14:textId="5C0C1DC1" w:rsidR="009F1C63" w:rsidRPr="0084495F" w:rsidRDefault="009F1C63" w:rsidP="00B0574E">
            <w:pPr>
              <w:pStyle w:val="TableText"/>
              <w:keepLines/>
              <w:rPr>
                <w:szCs w:val="20"/>
              </w:rPr>
            </w:pPr>
            <w:r w:rsidRPr="0084495F">
              <w:rPr>
                <w:iCs/>
                <w:szCs w:val="20"/>
              </w:rPr>
              <w:t>New England Journal of Medicine</w:t>
            </w:r>
            <w:r w:rsidRPr="0084495F">
              <w:rPr>
                <w:szCs w:val="20"/>
              </w:rPr>
              <w:t xml:space="preserve"> 2020</w:t>
            </w:r>
            <w:r w:rsidR="00953A22" w:rsidRPr="0084495F">
              <w:rPr>
                <w:szCs w:val="20"/>
              </w:rPr>
              <w:t>;</w:t>
            </w:r>
            <w:r w:rsidRPr="0084495F">
              <w:rPr>
                <w:szCs w:val="20"/>
              </w:rPr>
              <w:t xml:space="preserve"> 382:1883-1893</w:t>
            </w:r>
          </w:p>
        </w:tc>
      </w:tr>
      <w:tr w:rsidR="009F1C63" w:rsidRPr="0084495F" w14:paraId="14804D11" w14:textId="77777777" w:rsidTr="00131E04">
        <w:tc>
          <w:tcPr>
            <w:tcW w:w="705" w:type="pct"/>
            <w:tcBorders>
              <w:top w:val="nil"/>
              <w:bottom w:val="nil"/>
            </w:tcBorders>
          </w:tcPr>
          <w:p w14:paraId="72CB6C85" w14:textId="77777777" w:rsidR="009F1C63" w:rsidRPr="0084495F" w:rsidRDefault="009F1C63" w:rsidP="00B0574E">
            <w:pPr>
              <w:pStyle w:val="TableText"/>
              <w:keepLines/>
              <w:spacing w:after="60"/>
              <w:rPr>
                <w:szCs w:val="20"/>
              </w:rPr>
            </w:pPr>
          </w:p>
        </w:tc>
        <w:tc>
          <w:tcPr>
            <w:tcW w:w="2987" w:type="pct"/>
            <w:tcBorders>
              <w:top w:val="nil"/>
              <w:bottom w:val="nil"/>
            </w:tcBorders>
          </w:tcPr>
          <w:p w14:paraId="010F0E80" w14:textId="77777777" w:rsidR="009F1C63" w:rsidRPr="0084495F" w:rsidRDefault="009F1C63" w:rsidP="00B0574E">
            <w:pPr>
              <w:pStyle w:val="TableText"/>
              <w:keepLines/>
              <w:rPr>
                <w:szCs w:val="20"/>
              </w:rPr>
            </w:pPr>
            <w:r w:rsidRPr="0084495F">
              <w:rPr>
                <w:szCs w:val="20"/>
              </w:rPr>
              <w:t xml:space="preserve">Lam CSP, </w:t>
            </w:r>
            <w:proofErr w:type="spellStart"/>
            <w:r w:rsidRPr="0084495F">
              <w:rPr>
                <w:szCs w:val="20"/>
              </w:rPr>
              <w:t>Giczewska</w:t>
            </w:r>
            <w:proofErr w:type="spellEnd"/>
            <w:r w:rsidRPr="0084495F">
              <w:rPr>
                <w:szCs w:val="20"/>
              </w:rPr>
              <w:t xml:space="preserve"> A, </w:t>
            </w:r>
            <w:proofErr w:type="spellStart"/>
            <w:r w:rsidRPr="0084495F">
              <w:rPr>
                <w:szCs w:val="20"/>
              </w:rPr>
              <w:t>Sliwa</w:t>
            </w:r>
            <w:proofErr w:type="spellEnd"/>
            <w:r w:rsidRPr="0084495F">
              <w:rPr>
                <w:szCs w:val="20"/>
              </w:rPr>
              <w:t xml:space="preserve"> K, et al. Clinical </w:t>
            </w:r>
            <w:proofErr w:type="gramStart"/>
            <w:r w:rsidRPr="0084495F">
              <w:rPr>
                <w:szCs w:val="20"/>
              </w:rPr>
              <w:t>outcomes</w:t>
            </w:r>
            <w:proofErr w:type="gramEnd"/>
            <w:r w:rsidRPr="0084495F">
              <w:rPr>
                <w:szCs w:val="20"/>
              </w:rPr>
              <w:t xml:space="preserve"> and response to vericiguat according to index heart failure event: Insights from the VICTORIA trial. VICTORIA Study Group</w:t>
            </w:r>
          </w:p>
        </w:tc>
        <w:tc>
          <w:tcPr>
            <w:tcW w:w="1308" w:type="pct"/>
            <w:tcBorders>
              <w:top w:val="nil"/>
              <w:bottom w:val="nil"/>
            </w:tcBorders>
          </w:tcPr>
          <w:p w14:paraId="39ABF26F" w14:textId="50B9AE7F" w:rsidR="009F1C63" w:rsidRPr="0084495F" w:rsidRDefault="009F1C63" w:rsidP="00B0574E">
            <w:pPr>
              <w:pStyle w:val="TableText"/>
              <w:keepLines/>
              <w:rPr>
                <w:szCs w:val="20"/>
              </w:rPr>
            </w:pPr>
            <w:r w:rsidRPr="0084495F">
              <w:rPr>
                <w:iCs/>
                <w:szCs w:val="20"/>
              </w:rPr>
              <w:t>JAMA Cardiology</w:t>
            </w:r>
            <w:r w:rsidRPr="0084495F">
              <w:rPr>
                <w:szCs w:val="20"/>
              </w:rPr>
              <w:t xml:space="preserve"> 2021</w:t>
            </w:r>
            <w:r w:rsidR="00953A22" w:rsidRPr="0084495F">
              <w:rPr>
                <w:szCs w:val="20"/>
              </w:rPr>
              <w:t xml:space="preserve">; </w:t>
            </w:r>
            <w:r w:rsidRPr="0084495F">
              <w:rPr>
                <w:szCs w:val="20"/>
              </w:rPr>
              <w:t>6(6):</w:t>
            </w:r>
            <w:r w:rsidR="00953A22" w:rsidRPr="0084495F">
              <w:rPr>
                <w:szCs w:val="20"/>
              </w:rPr>
              <w:t xml:space="preserve"> </w:t>
            </w:r>
            <w:r w:rsidRPr="0084495F">
              <w:rPr>
                <w:szCs w:val="20"/>
              </w:rPr>
              <w:t>706-712</w:t>
            </w:r>
            <w:r w:rsidR="00E876B6" w:rsidRPr="0084495F">
              <w:rPr>
                <w:szCs w:val="20"/>
              </w:rPr>
              <w:t>.</w:t>
            </w:r>
          </w:p>
        </w:tc>
      </w:tr>
      <w:tr w:rsidR="009F1C63" w:rsidRPr="0084495F" w14:paraId="1CA4B78D" w14:textId="77777777" w:rsidTr="00131E04">
        <w:tc>
          <w:tcPr>
            <w:tcW w:w="705" w:type="pct"/>
            <w:tcBorders>
              <w:top w:val="nil"/>
              <w:bottom w:val="nil"/>
            </w:tcBorders>
          </w:tcPr>
          <w:p w14:paraId="191941B8" w14:textId="77777777" w:rsidR="009F1C63" w:rsidRPr="0084495F" w:rsidRDefault="009F1C63" w:rsidP="00B0574E">
            <w:pPr>
              <w:pStyle w:val="TableText"/>
              <w:keepLines/>
              <w:spacing w:after="60"/>
              <w:rPr>
                <w:szCs w:val="20"/>
              </w:rPr>
            </w:pPr>
          </w:p>
        </w:tc>
        <w:tc>
          <w:tcPr>
            <w:tcW w:w="2987" w:type="pct"/>
            <w:tcBorders>
              <w:top w:val="nil"/>
              <w:bottom w:val="nil"/>
            </w:tcBorders>
          </w:tcPr>
          <w:p w14:paraId="78FB00B0" w14:textId="77777777" w:rsidR="009F1C63" w:rsidRPr="0084495F" w:rsidRDefault="009F1C63" w:rsidP="00B0574E">
            <w:pPr>
              <w:pStyle w:val="TableText"/>
              <w:keepLines/>
              <w:rPr>
                <w:szCs w:val="20"/>
              </w:rPr>
            </w:pPr>
            <w:r w:rsidRPr="0084495F">
              <w:rPr>
                <w:szCs w:val="20"/>
              </w:rPr>
              <w:t xml:space="preserve">Mentz RJ, Mulder H, </w:t>
            </w:r>
            <w:proofErr w:type="spellStart"/>
            <w:r w:rsidRPr="0084495F">
              <w:rPr>
                <w:szCs w:val="20"/>
              </w:rPr>
              <w:t>Mosterd</w:t>
            </w:r>
            <w:proofErr w:type="spellEnd"/>
            <w:r w:rsidRPr="0084495F">
              <w:rPr>
                <w:szCs w:val="20"/>
              </w:rPr>
              <w:t xml:space="preserve"> A, et al. Clinical outcome predictions for the vericiguat global study in patients with heart failure with reduced ejection fraction (VICTORIA) trial. VICTORIA Study Group</w:t>
            </w:r>
          </w:p>
        </w:tc>
        <w:tc>
          <w:tcPr>
            <w:tcW w:w="1308" w:type="pct"/>
            <w:tcBorders>
              <w:top w:val="nil"/>
              <w:bottom w:val="nil"/>
            </w:tcBorders>
          </w:tcPr>
          <w:p w14:paraId="50565FC4" w14:textId="7E681114" w:rsidR="009F1C63" w:rsidRPr="0084495F" w:rsidRDefault="009F1C63" w:rsidP="00B0574E">
            <w:pPr>
              <w:pStyle w:val="TableText"/>
              <w:keepLines/>
              <w:rPr>
                <w:iCs/>
                <w:szCs w:val="20"/>
              </w:rPr>
            </w:pPr>
            <w:r w:rsidRPr="0084495F">
              <w:rPr>
                <w:iCs/>
                <w:szCs w:val="20"/>
              </w:rPr>
              <w:t xml:space="preserve">Journal of Cardiac </w:t>
            </w:r>
            <w:r w:rsidR="009B2370" w:rsidRPr="0084495F">
              <w:rPr>
                <w:iCs/>
                <w:szCs w:val="20"/>
              </w:rPr>
              <w:t>F</w:t>
            </w:r>
            <w:r w:rsidRPr="0084495F">
              <w:rPr>
                <w:iCs/>
                <w:szCs w:val="20"/>
              </w:rPr>
              <w:t>ailure</w:t>
            </w:r>
            <w:r w:rsidRPr="0084495F">
              <w:rPr>
                <w:szCs w:val="20"/>
              </w:rPr>
              <w:t xml:space="preserve"> 2021</w:t>
            </w:r>
            <w:r w:rsidR="00953A22" w:rsidRPr="0084495F">
              <w:rPr>
                <w:szCs w:val="20"/>
              </w:rPr>
              <w:t xml:space="preserve">; </w:t>
            </w:r>
            <w:r w:rsidRPr="0084495F">
              <w:rPr>
                <w:szCs w:val="20"/>
              </w:rPr>
              <w:t>S1071-9164 (21) 00206-2 (online)</w:t>
            </w:r>
            <w:r w:rsidR="00E876B6" w:rsidRPr="0084495F">
              <w:rPr>
                <w:szCs w:val="20"/>
              </w:rPr>
              <w:t>.</w:t>
            </w:r>
          </w:p>
        </w:tc>
      </w:tr>
      <w:tr w:rsidR="009F1C63" w:rsidRPr="0084495F" w14:paraId="4BAAA669" w14:textId="77777777" w:rsidTr="00131E04">
        <w:tc>
          <w:tcPr>
            <w:tcW w:w="705" w:type="pct"/>
            <w:tcBorders>
              <w:top w:val="nil"/>
              <w:bottom w:val="nil"/>
            </w:tcBorders>
          </w:tcPr>
          <w:p w14:paraId="76224B6D" w14:textId="77777777" w:rsidR="009F1C63" w:rsidRPr="0084495F" w:rsidRDefault="009F1C63" w:rsidP="00B0574E">
            <w:pPr>
              <w:pStyle w:val="TableText"/>
              <w:keepLines/>
              <w:spacing w:after="60"/>
              <w:rPr>
                <w:szCs w:val="20"/>
              </w:rPr>
            </w:pPr>
          </w:p>
        </w:tc>
        <w:tc>
          <w:tcPr>
            <w:tcW w:w="2987" w:type="pct"/>
            <w:tcBorders>
              <w:top w:val="nil"/>
              <w:bottom w:val="nil"/>
            </w:tcBorders>
          </w:tcPr>
          <w:p w14:paraId="1CB47F13" w14:textId="77777777" w:rsidR="009F1C63" w:rsidRPr="0084495F" w:rsidRDefault="009F1C63" w:rsidP="00B0574E">
            <w:pPr>
              <w:pStyle w:val="TableText"/>
              <w:keepLines/>
              <w:rPr>
                <w:szCs w:val="20"/>
              </w:rPr>
            </w:pPr>
            <w:proofErr w:type="spellStart"/>
            <w:r w:rsidRPr="0084495F">
              <w:rPr>
                <w:szCs w:val="20"/>
              </w:rPr>
              <w:t>Voors</w:t>
            </w:r>
            <w:proofErr w:type="spellEnd"/>
            <w:r w:rsidRPr="0084495F">
              <w:rPr>
                <w:szCs w:val="20"/>
              </w:rPr>
              <w:t xml:space="preserve"> AA, Mulder H, Reyes E, et al. Renal </w:t>
            </w:r>
            <w:proofErr w:type="gramStart"/>
            <w:r w:rsidRPr="0084495F">
              <w:rPr>
                <w:szCs w:val="20"/>
              </w:rPr>
              <w:t>function</w:t>
            </w:r>
            <w:proofErr w:type="gramEnd"/>
            <w:r w:rsidRPr="0084495F">
              <w:rPr>
                <w:szCs w:val="20"/>
              </w:rPr>
              <w:t xml:space="preserve"> and the effects of vericiguat in patients with worsening heart failure with reduced ejection fraction: insights from the VICTORIA (Vericiguat Global Study in Patients with </w:t>
            </w:r>
            <w:proofErr w:type="spellStart"/>
            <w:r w:rsidRPr="0084495F">
              <w:rPr>
                <w:szCs w:val="20"/>
              </w:rPr>
              <w:t>HFrEF</w:t>
            </w:r>
            <w:proofErr w:type="spellEnd"/>
            <w:r w:rsidRPr="0084495F">
              <w:rPr>
                <w:szCs w:val="20"/>
              </w:rPr>
              <w:t>) trial</w:t>
            </w:r>
          </w:p>
        </w:tc>
        <w:tc>
          <w:tcPr>
            <w:tcW w:w="1308" w:type="pct"/>
            <w:tcBorders>
              <w:top w:val="nil"/>
              <w:bottom w:val="nil"/>
            </w:tcBorders>
          </w:tcPr>
          <w:p w14:paraId="537BB3B9" w14:textId="79642F63" w:rsidR="009F1C63" w:rsidRPr="0084495F" w:rsidRDefault="009F1C63" w:rsidP="00B0574E">
            <w:pPr>
              <w:pStyle w:val="TableText"/>
              <w:keepLines/>
              <w:rPr>
                <w:iCs/>
                <w:szCs w:val="20"/>
              </w:rPr>
            </w:pPr>
            <w:r w:rsidRPr="0084495F">
              <w:rPr>
                <w:iCs/>
                <w:szCs w:val="20"/>
              </w:rPr>
              <w:t>European Journal of Heart Failure</w:t>
            </w:r>
            <w:r w:rsidRPr="0084495F">
              <w:rPr>
                <w:szCs w:val="20"/>
              </w:rPr>
              <w:t xml:space="preserve"> 2021</w:t>
            </w:r>
            <w:r w:rsidR="008641E5" w:rsidRPr="0084495F">
              <w:rPr>
                <w:szCs w:val="20"/>
              </w:rPr>
              <w:t xml:space="preserve">; </w:t>
            </w:r>
            <w:r w:rsidRPr="0084495F">
              <w:rPr>
                <w:szCs w:val="20"/>
              </w:rPr>
              <w:t>23(8):1313-1321</w:t>
            </w:r>
            <w:r w:rsidR="00E876B6" w:rsidRPr="0084495F">
              <w:rPr>
                <w:szCs w:val="20"/>
              </w:rPr>
              <w:t>.</w:t>
            </w:r>
          </w:p>
        </w:tc>
      </w:tr>
      <w:tr w:rsidR="009F1C63" w:rsidRPr="0084495F" w14:paraId="37C77632" w14:textId="77777777" w:rsidTr="00131E04">
        <w:tc>
          <w:tcPr>
            <w:tcW w:w="705" w:type="pct"/>
            <w:tcBorders>
              <w:top w:val="nil"/>
              <w:bottom w:val="nil"/>
            </w:tcBorders>
          </w:tcPr>
          <w:p w14:paraId="6CBEDAB1" w14:textId="77777777" w:rsidR="009F1C63" w:rsidRPr="0084495F" w:rsidRDefault="009F1C63" w:rsidP="00B0574E">
            <w:pPr>
              <w:pStyle w:val="TableText"/>
              <w:keepLines/>
              <w:spacing w:after="60"/>
              <w:rPr>
                <w:szCs w:val="20"/>
              </w:rPr>
            </w:pPr>
          </w:p>
        </w:tc>
        <w:tc>
          <w:tcPr>
            <w:tcW w:w="2987" w:type="pct"/>
            <w:tcBorders>
              <w:top w:val="nil"/>
              <w:bottom w:val="nil"/>
            </w:tcBorders>
          </w:tcPr>
          <w:p w14:paraId="70D89C41" w14:textId="77777777" w:rsidR="009F1C63" w:rsidRPr="0084495F" w:rsidRDefault="009F1C63" w:rsidP="00B0574E">
            <w:pPr>
              <w:pStyle w:val="TableText"/>
              <w:keepLines/>
              <w:rPr>
                <w:szCs w:val="20"/>
              </w:rPr>
            </w:pPr>
            <w:proofErr w:type="spellStart"/>
            <w:r w:rsidRPr="0084495F">
              <w:rPr>
                <w:szCs w:val="20"/>
              </w:rPr>
              <w:t>Ezekowitz</w:t>
            </w:r>
            <w:proofErr w:type="spellEnd"/>
            <w:r w:rsidRPr="0084495F">
              <w:rPr>
                <w:szCs w:val="20"/>
              </w:rPr>
              <w:t xml:space="preserve"> JA, O'Connor CM, Troughton RW, et al. N-Terminal pro-B-type natriuretic peptide and clinical outcomes: Vericiguat heart failure with reduced ejection fraction study </w:t>
            </w:r>
          </w:p>
        </w:tc>
        <w:tc>
          <w:tcPr>
            <w:tcW w:w="1308" w:type="pct"/>
            <w:tcBorders>
              <w:top w:val="nil"/>
              <w:bottom w:val="nil"/>
            </w:tcBorders>
          </w:tcPr>
          <w:p w14:paraId="40EF4F71" w14:textId="137AE460" w:rsidR="009F1C63" w:rsidRPr="0084495F" w:rsidRDefault="009F1C63" w:rsidP="00B0574E">
            <w:pPr>
              <w:pStyle w:val="TableText"/>
              <w:keepLines/>
              <w:rPr>
                <w:iCs/>
                <w:szCs w:val="20"/>
              </w:rPr>
            </w:pPr>
            <w:r w:rsidRPr="0084495F">
              <w:rPr>
                <w:iCs/>
                <w:szCs w:val="20"/>
              </w:rPr>
              <w:t xml:space="preserve">JACC: Heart Failure </w:t>
            </w:r>
            <w:r w:rsidRPr="0084495F">
              <w:rPr>
                <w:szCs w:val="20"/>
              </w:rPr>
              <w:t>2020</w:t>
            </w:r>
            <w:r w:rsidR="008641E5" w:rsidRPr="0084495F">
              <w:rPr>
                <w:szCs w:val="20"/>
              </w:rPr>
              <w:t>;</w:t>
            </w:r>
            <w:r w:rsidRPr="0084495F">
              <w:rPr>
                <w:szCs w:val="20"/>
              </w:rPr>
              <w:t xml:space="preserve"> 8(11):931-939</w:t>
            </w:r>
            <w:r w:rsidR="00E876B6" w:rsidRPr="0084495F">
              <w:rPr>
                <w:szCs w:val="20"/>
              </w:rPr>
              <w:t>.</w:t>
            </w:r>
          </w:p>
        </w:tc>
      </w:tr>
      <w:tr w:rsidR="009F1C63" w:rsidRPr="0084495F" w14:paraId="43CC1FAA" w14:textId="77777777" w:rsidTr="00131E04">
        <w:tc>
          <w:tcPr>
            <w:tcW w:w="705" w:type="pct"/>
            <w:tcBorders>
              <w:top w:val="nil"/>
              <w:bottom w:val="nil"/>
            </w:tcBorders>
          </w:tcPr>
          <w:p w14:paraId="7A0E3553" w14:textId="77777777" w:rsidR="009F1C63" w:rsidRPr="0084495F" w:rsidRDefault="009F1C63" w:rsidP="00B0574E">
            <w:pPr>
              <w:pStyle w:val="TableText"/>
              <w:keepLines/>
              <w:spacing w:after="60"/>
              <w:rPr>
                <w:szCs w:val="20"/>
              </w:rPr>
            </w:pPr>
          </w:p>
        </w:tc>
        <w:tc>
          <w:tcPr>
            <w:tcW w:w="2987" w:type="pct"/>
            <w:tcBorders>
              <w:top w:val="nil"/>
              <w:bottom w:val="nil"/>
            </w:tcBorders>
          </w:tcPr>
          <w:p w14:paraId="0E20B734" w14:textId="77777777" w:rsidR="009F1C63" w:rsidRPr="0084495F" w:rsidRDefault="009F1C63" w:rsidP="00B0574E">
            <w:pPr>
              <w:pStyle w:val="TableText"/>
              <w:keepLines/>
              <w:rPr>
                <w:szCs w:val="20"/>
              </w:rPr>
            </w:pPr>
            <w:proofErr w:type="spellStart"/>
            <w:r w:rsidRPr="0084495F">
              <w:rPr>
                <w:szCs w:val="20"/>
              </w:rPr>
              <w:t>Pieske</w:t>
            </w:r>
            <w:proofErr w:type="spellEnd"/>
            <w:r w:rsidRPr="0084495F">
              <w:rPr>
                <w:szCs w:val="20"/>
              </w:rPr>
              <w:t xml:space="preserve"> B, Patel MJ, </w:t>
            </w:r>
            <w:proofErr w:type="spellStart"/>
            <w:r w:rsidRPr="0084495F">
              <w:rPr>
                <w:szCs w:val="20"/>
              </w:rPr>
              <w:t>Westerhout</w:t>
            </w:r>
            <w:proofErr w:type="spellEnd"/>
            <w:r w:rsidRPr="0084495F">
              <w:rPr>
                <w:szCs w:val="20"/>
              </w:rPr>
              <w:t xml:space="preserve"> CM, et al. Baseline features of the VICTORIA (vericiguat global study in patients with heart failure with reduced ejection fraction) trial. VICTORIA Study Group</w:t>
            </w:r>
          </w:p>
        </w:tc>
        <w:tc>
          <w:tcPr>
            <w:tcW w:w="1308" w:type="pct"/>
            <w:tcBorders>
              <w:top w:val="nil"/>
              <w:bottom w:val="nil"/>
            </w:tcBorders>
          </w:tcPr>
          <w:p w14:paraId="1820F7B8" w14:textId="6C97F0A4" w:rsidR="009F1C63" w:rsidRPr="0084495F" w:rsidRDefault="009F1C63" w:rsidP="00B0574E">
            <w:pPr>
              <w:pStyle w:val="TableText"/>
              <w:keepLines/>
              <w:rPr>
                <w:iCs/>
                <w:szCs w:val="20"/>
              </w:rPr>
            </w:pPr>
            <w:r w:rsidRPr="0084495F">
              <w:rPr>
                <w:iCs/>
                <w:szCs w:val="20"/>
              </w:rPr>
              <w:t>European Journal of Heart Failure</w:t>
            </w:r>
            <w:r w:rsidRPr="0084495F">
              <w:rPr>
                <w:szCs w:val="20"/>
              </w:rPr>
              <w:t xml:space="preserve"> 2019</w:t>
            </w:r>
            <w:r w:rsidR="008641E5" w:rsidRPr="0084495F">
              <w:rPr>
                <w:szCs w:val="20"/>
              </w:rPr>
              <w:t>;</w:t>
            </w:r>
            <w:r w:rsidRPr="0084495F">
              <w:rPr>
                <w:szCs w:val="20"/>
              </w:rPr>
              <w:t xml:space="preserve"> 21(12):1596-1604</w:t>
            </w:r>
            <w:r w:rsidR="00E876B6" w:rsidRPr="0084495F">
              <w:rPr>
                <w:szCs w:val="20"/>
              </w:rPr>
              <w:t>.</w:t>
            </w:r>
          </w:p>
        </w:tc>
      </w:tr>
      <w:tr w:rsidR="009F1C63" w:rsidRPr="0084495F" w14:paraId="4B3FC7CF" w14:textId="77777777" w:rsidTr="00131E04">
        <w:tc>
          <w:tcPr>
            <w:tcW w:w="705" w:type="pct"/>
            <w:tcBorders>
              <w:bottom w:val="nil"/>
            </w:tcBorders>
          </w:tcPr>
          <w:p w14:paraId="08E7A416" w14:textId="77777777" w:rsidR="009F1C63" w:rsidRPr="0084495F" w:rsidRDefault="009F1C63" w:rsidP="00B0574E">
            <w:pPr>
              <w:pStyle w:val="Tablefootnote"/>
              <w:keepNext/>
              <w:keepLines/>
            </w:pPr>
            <w:r w:rsidRPr="0084495F">
              <w:t>SOCRATES-REDUCED</w:t>
            </w:r>
          </w:p>
          <w:p w14:paraId="398EA5FA" w14:textId="77777777" w:rsidR="009F1C63" w:rsidRPr="0084495F" w:rsidRDefault="009F1C63" w:rsidP="00B0574E">
            <w:pPr>
              <w:pStyle w:val="TableText"/>
              <w:keepLines/>
              <w:spacing w:after="60"/>
              <w:rPr>
                <w:szCs w:val="20"/>
              </w:rPr>
            </w:pPr>
          </w:p>
        </w:tc>
        <w:tc>
          <w:tcPr>
            <w:tcW w:w="2987" w:type="pct"/>
            <w:tcBorders>
              <w:bottom w:val="nil"/>
            </w:tcBorders>
          </w:tcPr>
          <w:p w14:paraId="30823453" w14:textId="77777777" w:rsidR="009F1C63" w:rsidRPr="0084495F" w:rsidRDefault="009F1C63" w:rsidP="00B0574E">
            <w:pPr>
              <w:pStyle w:val="TableText"/>
              <w:keepLines/>
              <w:rPr>
                <w:szCs w:val="20"/>
              </w:rPr>
            </w:pPr>
            <w:r w:rsidRPr="0084495F">
              <w:rPr>
                <w:szCs w:val="20"/>
              </w:rPr>
              <w:t xml:space="preserve">A randomized parallel-group, placebo-controlled, double-blind, </w:t>
            </w:r>
            <w:proofErr w:type="spellStart"/>
            <w:r w:rsidRPr="0084495F">
              <w:rPr>
                <w:szCs w:val="20"/>
              </w:rPr>
              <w:t>multicenter</w:t>
            </w:r>
            <w:proofErr w:type="spellEnd"/>
            <w:r w:rsidRPr="0084495F">
              <w:rPr>
                <w:szCs w:val="20"/>
              </w:rPr>
              <w:t xml:space="preserve"> dose finding phase II trial exploring the pharmacodynamic effects, safety and tolerability, and pharmacokinetics of four dose regimens of the oral </w:t>
            </w:r>
            <w:proofErr w:type="spellStart"/>
            <w:r w:rsidRPr="0084495F">
              <w:rPr>
                <w:szCs w:val="20"/>
              </w:rPr>
              <w:t>sGC</w:t>
            </w:r>
            <w:proofErr w:type="spellEnd"/>
            <w:r w:rsidRPr="0084495F">
              <w:rPr>
                <w:szCs w:val="20"/>
              </w:rPr>
              <w:t xml:space="preserve"> stimulator BAY 1021189 over 12 weeks in patients with worsening heart failure and reduced ejection fraction (</w:t>
            </w:r>
            <w:proofErr w:type="spellStart"/>
            <w:r w:rsidRPr="0084495F">
              <w:rPr>
                <w:szCs w:val="20"/>
              </w:rPr>
              <w:t>HFrEF</w:t>
            </w:r>
            <w:proofErr w:type="spellEnd"/>
            <w:r w:rsidRPr="0084495F">
              <w:rPr>
                <w:szCs w:val="20"/>
              </w:rPr>
              <w:t xml:space="preserve">) - </w:t>
            </w:r>
            <w:proofErr w:type="spellStart"/>
            <w:r w:rsidRPr="0084495F">
              <w:rPr>
                <w:szCs w:val="20"/>
              </w:rPr>
              <w:t>SOluble</w:t>
            </w:r>
            <w:proofErr w:type="spellEnd"/>
            <w:r w:rsidRPr="0084495F">
              <w:rPr>
                <w:szCs w:val="20"/>
              </w:rPr>
              <w:t xml:space="preserve"> guanylate Cyclase </w:t>
            </w:r>
            <w:proofErr w:type="spellStart"/>
            <w:r w:rsidRPr="0084495F">
              <w:rPr>
                <w:szCs w:val="20"/>
              </w:rPr>
              <w:t>stimulatoR</w:t>
            </w:r>
            <w:proofErr w:type="spellEnd"/>
            <w:r w:rsidRPr="0084495F">
              <w:rPr>
                <w:szCs w:val="20"/>
              </w:rPr>
              <w:t xml:space="preserve"> in </w:t>
            </w:r>
            <w:proofErr w:type="spellStart"/>
            <w:r w:rsidRPr="0084495F">
              <w:rPr>
                <w:szCs w:val="20"/>
              </w:rPr>
              <w:t>heArT</w:t>
            </w:r>
            <w:proofErr w:type="spellEnd"/>
            <w:r w:rsidRPr="0084495F">
              <w:rPr>
                <w:szCs w:val="20"/>
              </w:rPr>
              <w:t xml:space="preserve"> </w:t>
            </w:r>
            <w:proofErr w:type="spellStart"/>
            <w:r w:rsidRPr="0084495F">
              <w:rPr>
                <w:szCs w:val="20"/>
              </w:rPr>
              <w:t>failurE</w:t>
            </w:r>
            <w:proofErr w:type="spellEnd"/>
            <w:r w:rsidRPr="0084495F">
              <w:rPr>
                <w:szCs w:val="20"/>
              </w:rPr>
              <w:t xml:space="preserve"> </w:t>
            </w:r>
            <w:proofErr w:type="spellStart"/>
            <w:r w:rsidRPr="0084495F">
              <w:rPr>
                <w:szCs w:val="20"/>
              </w:rPr>
              <w:t>patientS</w:t>
            </w:r>
            <w:proofErr w:type="spellEnd"/>
            <w:r w:rsidRPr="0084495F">
              <w:rPr>
                <w:szCs w:val="20"/>
              </w:rPr>
              <w:t xml:space="preserve"> with REDUCED EF (SOCRATES-REDUCED).</w:t>
            </w:r>
          </w:p>
        </w:tc>
        <w:tc>
          <w:tcPr>
            <w:tcW w:w="1308" w:type="pct"/>
            <w:tcBorders>
              <w:bottom w:val="nil"/>
            </w:tcBorders>
          </w:tcPr>
          <w:p w14:paraId="0E1E1917" w14:textId="77777777" w:rsidR="009F1C63" w:rsidRPr="0084495F" w:rsidRDefault="009F1C63" w:rsidP="00B0574E">
            <w:pPr>
              <w:pStyle w:val="TableText"/>
              <w:keepLines/>
              <w:rPr>
                <w:szCs w:val="20"/>
              </w:rPr>
            </w:pPr>
            <w:r w:rsidRPr="0084495F">
              <w:rPr>
                <w:szCs w:val="20"/>
              </w:rPr>
              <w:t>Clinical Study Report</w:t>
            </w:r>
          </w:p>
          <w:p w14:paraId="33B53F07" w14:textId="77777777" w:rsidR="009F1C63" w:rsidRPr="0084495F" w:rsidRDefault="009F1C63" w:rsidP="00B0574E">
            <w:pPr>
              <w:pStyle w:val="TableText"/>
              <w:keepLines/>
              <w:rPr>
                <w:szCs w:val="20"/>
              </w:rPr>
            </w:pPr>
            <w:r w:rsidRPr="0084495F">
              <w:rPr>
                <w:szCs w:val="20"/>
              </w:rPr>
              <w:t>5 May 2021</w:t>
            </w:r>
          </w:p>
        </w:tc>
      </w:tr>
      <w:tr w:rsidR="009F1C63" w:rsidRPr="0084495F" w14:paraId="3B7C7AF5" w14:textId="77777777" w:rsidTr="00131E04">
        <w:tc>
          <w:tcPr>
            <w:tcW w:w="705" w:type="pct"/>
            <w:tcBorders>
              <w:top w:val="nil"/>
              <w:bottom w:val="single" w:sz="4" w:space="0" w:color="auto"/>
            </w:tcBorders>
          </w:tcPr>
          <w:p w14:paraId="68E128FD" w14:textId="77777777" w:rsidR="009F1C63" w:rsidRPr="0084495F" w:rsidRDefault="009F1C63" w:rsidP="00B0574E">
            <w:pPr>
              <w:pStyle w:val="Tablefootnote"/>
              <w:keepNext/>
              <w:keepLines/>
            </w:pPr>
          </w:p>
        </w:tc>
        <w:tc>
          <w:tcPr>
            <w:tcW w:w="2987" w:type="pct"/>
            <w:tcBorders>
              <w:top w:val="nil"/>
              <w:bottom w:val="single" w:sz="4" w:space="0" w:color="auto"/>
            </w:tcBorders>
          </w:tcPr>
          <w:p w14:paraId="20EE551E" w14:textId="77777777" w:rsidR="009F1C63" w:rsidRPr="0084495F" w:rsidRDefault="009F1C63" w:rsidP="00B0574E">
            <w:pPr>
              <w:pStyle w:val="TableText"/>
              <w:keepLines/>
              <w:spacing w:after="60"/>
              <w:rPr>
                <w:szCs w:val="20"/>
              </w:rPr>
            </w:pPr>
            <w:proofErr w:type="spellStart"/>
            <w:r w:rsidRPr="0084495F">
              <w:rPr>
                <w:szCs w:val="20"/>
              </w:rPr>
              <w:t>Gheorghiade</w:t>
            </w:r>
            <w:proofErr w:type="spellEnd"/>
            <w:r w:rsidRPr="0084495F">
              <w:rPr>
                <w:szCs w:val="20"/>
              </w:rPr>
              <w:t xml:space="preserve"> M, Greene SJ, Butler J, et al. Effect of vericiguat, a soluble guanylate cyclase stimulator, on natriuretic peptide levels in patients with worsening chronic heart failure and reduced ejection fraction: The SOCRATES-REDUCED randomized trial</w:t>
            </w:r>
          </w:p>
        </w:tc>
        <w:tc>
          <w:tcPr>
            <w:tcW w:w="1308" w:type="pct"/>
            <w:tcBorders>
              <w:top w:val="nil"/>
              <w:bottom w:val="single" w:sz="4" w:space="0" w:color="auto"/>
            </w:tcBorders>
          </w:tcPr>
          <w:p w14:paraId="72442641" w14:textId="1BF7C582" w:rsidR="009F1C63" w:rsidRPr="0084495F" w:rsidRDefault="009F1C63" w:rsidP="00B0574E">
            <w:pPr>
              <w:pStyle w:val="TableText"/>
              <w:keepLines/>
              <w:spacing w:after="60"/>
              <w:rPr>
                <w:szCs w:val="20"/>
              </w:rPr>
            </w:pPr>
            <w:r w:rsidRPr="0084495F">
              <w:rPr>
                <w:iCs/>
                <w:szCs w:val="20"/>
              </w:rPr>
              <w:t xml:space="preserve">JAMA </w:t>
            </w:r>
            <w:r w:rsidRPr="0084495F">
              <w:rPr>
                <w:szCs w:val="20"/>
              </w:rPr>
              <w:t>2015</w:t>
            </w:r>
            <w:r w:rsidR="00E876B6" w:rsidRPr="0084495F">
              <w:rPr>
                <w:szCs w:val="20"/>
              </w:rPr>
              <w:t>;</w:t>
            </w:r>
            <w:r w:rsidRPr="0084495F">
              <w:rPr>
                <w:szCs w:val="20"/>
              </w:rPr>
              <w:t xml:space="preserve"> 314(21):2251-62</w:t>
            </w:r>
            <w:r w:rsidR="00E876B6" w:rsidRPr="0084495F">
              <w:rPr>
                <w:szCs w:val="20"/>
              </w:rPr>
              <w:t>.</w:t>
            </w:r>
          </w:p>
        </w:tc>
      </w:tr>
    </w:tbl>
    <w:p w14:paraId="68145E38" w14:textId="3185DFD9" w:rsidR="002842F9" w:rsidRPr="0084495F" w:rsidRDefault="009F1C63" w:rsidP="00B0574E">
      <w:pPr>
        <w:pStyle w:val="TableFigureFooter"/>
        <w:keepNext/>
        <w:keepLines/>
        <w:rPr>
          <w:color w:val="0066FF"/>
        </w:rPr>
      </w:pPr>
      <w:r w:rsidRPr="0084495F">
        <w:t>Source: Table 2-3, pp57-58 of the submission</w:t>
      </w:r>
    </w:p>
    <w:p w14:paraId="0ADE4F39" w14:textId="46C4499A" w:rsidR="0019347B" w:rsidRPr="0084495F" w:rsidRDefault="0019347B" w:rsidP="001C73C5">
      <w:pPr>
        <w:pStyle w:val="ExecSumBodyText"/>
        <w:rPr>
          <w:snapToGrid/>
        </w:rPr>
      </w:pPr>
      <w:r w:rsidRPr="0084495F">
        <w:rPr>
          <w:snapToGrid/>
        </w:rPr>
        <w:t xml:space="preserve">The key features of the direct randomised trials included in the submission are summarised in the table below. </w:t>
      </w:r>
    </w:p>
    <w:p w14:paraId="083E66F4" w14:textId="11BEAAB7" w:rsidR="004B3DC9" w:rsidRPr="0084495F" w:rsidRDefault="004B3DC9" w:rsidP="004B3DC9">
      <w:pPr>
        <w:pStyle w:val="Caption"/>
      </w:pPr>
      <w:r w:rsidRPr="0084495F">
        <w:lastRenderedPageBreak/>
        <w:t xml:space="preserve">Table </w:t>
      </w:r>
      <w:r w:rsidR="00C16DA1">
        <w:fldChar w:fldCharType="begin"/>
      </w:r>
      <w:r w:rsidR="00C16DA1">
        <w:instrText xml:space="preserve"> SEQ Table \* ARABIC </w:instrText>
      </w:r>
      <w:r w:rsidR="00C16DA1">
        <w:fldChar w:fldCharType="separate"/>
      </w:r>
      <w:r w:rsidR="0084495F" w:rsidRPr="0084495F">
        <w:t>3</w:t>
      </w:r>
      <w:r w:rsidR="00C16DA1">
        <w:fldChar w:fldCharType="end"/>
      </w:r>
      <w:r w:rsidRPr="0084495F">
        <w:t>: Key features of the included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trials"/>
      </w:tblPr>
      <w:tblGrid>
        <w:gridCol w:w="1013"/>
        <w:gridCol w:w="421"/>
        <w:gridCol w:w="944"/>
        <w:gridCol w:w="652"/>
        <w:gridCol w:w="2920"/>
        <w:gridCol w:w="1789"/>
        <w:gridCol w:w="1278"/>
      </w:tblGrid>
      <w:tr w:rsidR="004B3DC9" w:rsidRPr="0084495F" w14:paraId="2AFA9A06" w14:textId="77777777" w:rsidTr="002B0E29">
        <w:trPr>
          <w:cantSplit/>
          <w:tblHeader/>
        </w:trPr>
        <w:tc>
          <w:tcPr>
            <w:tcW w:w="572" w:type="pct"/>
            <w:shd w:val="clear" w:color="auto" w:fill="auto"/>
            <w:vAlign w:val="center"/>
          </w:tcPr>
          <w:p w14:paraId="5D0052F0" w14:textId="77777777" w:rsidR="004B3DC9" w:rsidRPr="0084495F" w:rsidRDefault="004B3DC9" w:rsidP="002B0E29">
            <w:pPr>
              <w:pStyle w:val="Tableheadingrow"/>
              <w:rPr>
                <w:lang w:val="en-AU"/>
              </w:rPr>
            </w:pPr>
            <w:r w:rsidRPr="0084495F">
              <w:rPr>
                <w:lang w:val="en-AU"/>
              </w:rPr>
              <w:t>Trial</w:t>
            </w:r>
          </w:p>
        </w:tc>
        <w:tc>
          <w:tcPr>
            <w:tcW w:w="279" w:type="pct"/>
            <w:shd w:val="clear" w:color="auto" w:fill="auto"/>
            <w:vAlign w:val="center"/>
          </w:tcPr>
          <w:p w14:paraId="707AB925" w14:textId="77777777" w:rsidR="004B3DC9" w:rsidRPr="0084495F" w:rsidRDefault="004B3DC9" w:rsidP="002B0E29">
            <w:pPr>
              <w:pStyle w:val="Tableheadingrow"/>
              <w:jc w:val="center"/>
              <w:rPr>
                <w:lang w:val="en-AU"/>
              </w:rPr>
            </w:pPr>
            <w:r w:rsidRPr="0084495F">
              <w:rPr>
                <w:lang w:val="en-AU"/>
              </w:rPr>
              <w:t>N</w:t>
            </w:r>
          </w:p>
        </w:tc>
        <w:tc>
          <w:tcPr>
            <w:tcW w:w="562" w:type="pct"/>
            <w:shd w:val="clear" w:color="auto" w:fill="auto"/>
            <w:vAlign w:val="center"/>
          </w:tcPr>
          <w:p w14:paraId="2F1DB93A" w14:textId="77777777" w:rsidR="004B3DC9" w:rsidRPr="0084495F" w:rsidRDefault="004B3DC9" w:rsidP="002B0E29">
            <w:pPr>
              <w:pStyle w:val="Tableheadingrow"/>
              <w:jc w:val="center"/>
              <w:rPr>
                <w:lang w:val="en-AU"/>
              </w:rPr>
            </w:pPr>
            <w:r w:rsidRPr="0084495F">
              <w:rPr>
                <w:lang w:val="en-AU"/>
              </w:rPr>
              <w:t>Design/ duration</w:t>
            </w:r>
          </w:p>
        </w:tc>
        <w:tc>
          <w:tcPr>
            <w:tcW w:w="393" w:type="pct"/>
            <w:shd w:val="clear" w:color="auto" w:fill="auto"/>
            <w:vAlign w:val="center"/>
          </w:tcPr>
          <w:p w14:paraId="2257B86B" w14:textId="77777777" w:rsidR="004B3DC9" w:rsidRPr="0084495F" w:rsidRDefault="004B3DC9" w:rsidP="002B0E29">
            <w:pPr>
              <w:pStyle w:val="Tableheadingrow"/>
              <w:jc w:val="center"/>
              <w:rPr>
                <w:lang w:val="en-AU"/>
              </w:rPr>
            </w:pPr>
            <w:r w:rsidRPr="0084495F">
              <w:rPr>
                <w:lang w:val="en-AU"/>
              </w:rPr>
              <w:t>Risk of bias</w:t>
            </w:r>
          </w:p>
        </w:tc>
        <w:tc>
          <w:tcPr>
            <w:tcW w:w="1650" w:type="pct"/>
            <w:shd w:val="clear" w:color="auto" w:fill="auto"/>
            <w:vAlign w:val="center"/>
          </w:tcPr>
          <w:p w14:paraId="1A4AAC40" w14:textId="77777777" w:rsidR="004B3DC9" w:rsidRPr="0084495F" w:rsidRDefault="004B3DC9" w:rsidP="002B0E29">
            <w:pPr>
              <w:pStyle w:val="Tableheadingrow"/>
              <w:jc w:val="center"/>
              <w:rPr>
                <w:lang w:val="en-AU"/>
              </w:rPr>
            </w:pPr>
            <w:r w:rsidRPr="0084495F">
              <w:rPr>
                <w:lang w:val="en-AU"/>
              </w:rPr>
              <w:t>Patient population</w:t>
            </w:r>
          </w:p>
        </w:tc>
        <w:tc>
          <w:tcPr>
            <w:tcW w:w="1023" w:type="pct"/>
            <w:shd w:val="clear" w:color="auto" w:fill="auto"/>
            <w:vAlign w:val="center"/>
          </w:tcPr>
          <w:p w14:paraId="3DBEE2C0" w14:textId="77777777" w:rsidR="004B3DC9" w:rsidRPr="0084495F" w:rsidRDefault="004B3DC9" w:rsidP="002B0E29">
            <w:pPr>
              <w:pStyle w:val="Tableheadingrow"/>
              <w:jc w:val="center"/>
              <w:rPr>
                <w:lang w:val="en-AU"/>
              </w:rPr>
            </w:pPr>
            <w:r w:rsidRPr="0084495F">
              <w:rPr>
                <w:lang w:val="en-AU"/>
              </w:rPr>
              <w:t>Outcomes</w:t>
            </w:r>
          </w:p>
        </w:tc>
        <w:tc>
          <w:tcPr>
            <w:tcW w:w="521" w:type="pct"/>
            <w:shd w:val="clear" w:color="auto" w:fill="auto"/>
            <w:vAlign w:val="center"/>
          </w:tcPr>
          <w:p w14:paraId="5F0DAEDF" w14:textId="77777777" w:rsidR="004B3DC9" w:rsidRPr="0084495F" w:rsidRDefault="004B3DC9" w:rsidP="002B0E29">
            <w:pPr>
              <w:pStyle w:val="Tableheadingrow"/>
              <w:jc w:val="center"/>
              <w:rPr>
                <w:lang w:val="en-AU"/>
              </w:rPr>
            </w:pPr>
            <w:r w:rsidRPr="0084495F">
              <w:rPr>
                <w:lang w:val="en-AU"/>
              </w:rPr>
              <w:t xml:space="preserve">Use in model </w:t>
            </w:r>
          </w:p>
        </w:tc>
      </w:tr>
      <w:tr w:rsidR="004B3DC9" w:rsidRPr="0084495F" w14:paraId="1E44068E" w14:textId="77777777" w:rsidTr="002B0E29">
        <w:trPr>
          <w:cantSplit/>
        </w:trPr>
        <w:tc>
          <w:tcPr>
            <w:tcW w:w="5000" w:type="pct"/>
            <w:gridSpan w:val="7"/>
            <w:shd w:val="clear" w:color="auto" w:fill="auto"/>
            <w:vAlign w:val="center"/>
          </w:tcPr>
          <w:p w14:paraId="6AF39911" w14:textId="77777777" w:rsidR="004B3DC9" w:rsidRPr="0084495F" w:rsidRDefault="004B3DC9" w:rsidP="002B0E29">
            <w:pPr>
              <w:pStyle w:val="Tableheadingrow"/>
              <w:rPr>
                <w:lang w:val="en-AU"/>
              </w:rPr>
            </w:pPr>
            <w:r w:rsidRPr="0084495F">
              <w:rPr>
                <w:lang w:val="en-AU"/>
              </w:rPr>
              <w:t>Vericiguat plus SoC versus placebo plus SoC</w:t>
            </w:r>
          </w:p>
        </w:tc>
      </w:tr>
      <w:tr w:rsidR="004B3DC9" w:rsidRPr="0084495F" w14:paraId="2E542CC7" w14:textId="77777777" w:rsidTr="002B0E29">
        <w:trPr>
          <w:cantSplit/>
        </w:trPr>
        <w:tc>
          <w:tcPr>
            <w:tcW w:w="572" w:type="pct"/>
            <w:shd w:val="clear" w:color="auto" w:fill="auto"/>
            <w:vAlign w:val="center"/>
          </w:tcPr>
          <w:p w14:paraId="32BC4649" w14:textId="77777777" w:rsidR="004B3DC9" w:rsidRPr="0084495F" w:rsidRDefault="004B3DC9" w:rsidP="002B0E29">
            <w:pPr>
              <w:pStyle w:val="TableText"/>
            </w:pPr>
            <w:r w:rsidRPr="0084495F">
              <w:t>VICTORIA</w:t>
            </w:r>
          </w:p>
        </w:tc>
        <w:tc>
          <w:tcPr>
            <w:tcW w:w="279" w:type="pct"/>
            <w:shd w:val="clear" w:color="auto" w:fill="auto"/>
            <w:vAlign w:val="center"/>
          </w:tcPr>
          <w:p w14:paraId="7BE12A0B" w14:textId="77777777" w:rsidR="004B3DC9" w:rsidRPr="0084495F" w:rsidRDefault="004B3DC9" w:rsidP="002B0E29">
            <w:pPr>
              <w:pStyle w:val="TableText"/>
              <w:jc w:val="center"/>
            </w:pPr>
            <w:r w:rsidRPr="0084495F">
              <w:t>5050</w:t>
            </w:r>
          </w:p>
        </w:tc>
        <w:tc>
          <w:tcPr>
            <w:tcW w:w="562" w:type="pct"/>
            <w:shd w:val="clear" w:color="auto" w:fill="auto"/>
            <w:vAlign w:val="center"/>
          </w:tcPr>
          <w:p w14:paraId="0816EBCC" w14:textId="77777777" w:rsidR="004B3DC9" w:rsidRPr="0084495F" w:rsidRDefault="004B3DC9" w:rsidP="002B0E29">
            <w:pPr>
              <w:pStyle w:val="TableText"/>
              <w:jc w:val="center"/>
            </w:pPr>
            <w:r w:rsidRPr="0084495F">
              <w:t xml:space="preserve">Phase III, </w:t>
            </w:r>
          </w:p>
          <w:p w14:paraId="7260B810" w14:textId="77777777" w:rsidR="004B3DC9" w:rsidRPr="0084495F" w:rsidRDefault="004B3DC9" w:rsidP="002B0E29">
            <w:pPr>
              <w:pStyle w:val="TableText"/>
              <w:jc w:val="center"/>
            </w:pPr>
            <w:r w:rsidRPr="0084495F">
              <w:t>R, PC, DB, MC,</w:t>
            </w:r>
          </w:p>
          <w:p w14:paraId="03823E8B" w14:textId="77777777" w:rsidR="004B3DC9" w:rsidRPr="0084495F" w:rsidRDefault="004B3DC9" w:rsidP="002B0E29">
            <w:pPr>
              <w:pStyle w:val="TableText"/>
              <w:jc w:val="center"/>
            </w:pPr>
            <w:r w:rsidRPr="0084495F">
              <w:t xml:space="preserve">Median follow-up </w:t>
            </w:r>
          </w:p>
          <w:p w14:paraId="36A6105F" w14:textId="77777777" w:rsidR="004B3DC9" w:rsidRPr="0084495F" w:rsidRDefault="004B3DC9" w:rsidP="002B0E29">
            <w:pPr>
              <w:pStyle w:val="TableText"/>
              <w:jc w:val="center"/>
            </w:pPr>
            <w:r w:rsidRPr="0084495F">
              <w:t>10.8 months</w:t>
            </w:r>
          </w:p>
        </w:tc>
        <w:tc>
          <w:tcPr>
            <w:tcW w:w="393" w:type="pct"/>
            <w:shd w:val="clear" w:color="auto" w:fill="auto"/>
            <w:vAlign w:val="center"/>
          </w:tcPr>
          <w:p w14:paraId="1BCED6FE" w14:textId="77777777" w:rsidR="004B3DC9" w:rsidRPr="0084495F" w:rsidRDefault="004B3DC9" w:rsidP="002B0E29">
            <w:pPr>
              <w:pStyle w:val="TableText"/>
              <w:jc w:val="center"/>
            </w:pPr>
            <w:r w:rsidRPr="0084495F">
              <w:t>Low</w:t>
            </w:r>
          </w:p>
        </w:tc>
        <w:tc>
          <w:tcPr>
            <w:tcW w:w="1650" w:type="pct"/>
            <w:shd w:val="clear" w:color="auto" w:fill="auto"/>
            <w:vAlign w:val="center"/>
          </w:tcPr>
          <w:p w14:paraId="691A96E0"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 xml:space="preserve">Adults with </w:t>
            </w:r>
            <w:proofErr w:type="spellStart"/>
            <w:r w:rsidRPr="0084495F">
              <w:rPr>
                <w:rFonts w:eastAsiaTheme="minorHAnsi" w:cstheme="minorHAnsi"/>
                <w:szCs w:val="20"/>
                <w:lang w:eastAsia="en-GB"/>
              </w:rPr>
              <w:t>HFrHF</w:t>
            </w:r>
            <w:proofErr w:type="spellEnd"/>
            <w:r w:rsidRPr="0084495F">
              <w:rPr>
                <w:rFonts w:eastAsiaTheme="minorHAnsi" w:cstheme="minorHAnsi"/>
                <w:szCs w:val="20"/>
                <w:lang w:eastAsia="en-GB"/>
              </w:rPr>
              <w:t xml:space="preserve">, </w:t>
            </w:r>
            <w:r w:rsidRPr="0084495F">
              <w:rPr>
                <w:rFonts w:eastAsiaTheme="minorHAnsi" w:cstheme="minorHAnsi"/>
                <w:szCs w:val="20"/>
                <w:lang w:eastAsia="en-GB"/>
              </w:rPr>
              <w:br/>
              <w:t>NYHA class II-IV, LVEF &lt;45% in prior 12 months</w:t>
            </w:r>
          </w:p>
          <w:p w14:paraId="3C1B0FF4"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Receiving SoC therapies</w:t>
            </w:r>
          </w:p>
          <w:p w14:paraId="753FD1CA"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 xml:space="preserve">HHF in prior 6 months or IV diuretics for HF in prior 3 months </w:t>
            </w:r>
          </w:p>
          <w:p w14:paraId="2C601D88"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NT-</w:t>
            </w:r>
            <w:proofErr w:type="spellStart"/>
            <w:r w:rsidRPr="0084495F">
              <w:rPr>
                <w:rFonts w:eastAsiaTheme="minorHAnsi" w:cstheme="minorHAnsi"/>
                <w:szCs w:val="20"/>
                <w:lang w:eastAsia="en-GB"/>
              </w:rPr>
              <w:t>proBNP</w:t>
            </w:r>
            <w:proofErr w:type="spellEnd"/>
            <w:r w:rsidRPr="0084495F">
              <w:rPr>
                <w:rFonts w:eastAsiaTheme="minorHAnsi" w:cstheme="minorHAnsi"/>
                <w:szCs w:val="20"/>
                <w:lang w:eastAsia="en-GB"/>
              </w:rPr>
              <w:t xml:space="preserve"> ≥1000 </w:t>
            </w:r>
            <w:proofErr w:type="spellStart"/>
            <w:r w:rsidRPr="0084495F">
              <w:rPr>
                <w:rFonts w:eastAsiaTheme="minorHAnsi" w:cstheme="minorHAnsi"/>
                <w:szCs w:val="20"/>
                <w:lang w:eastAsia="en-GB"/>
              </w:rPr>
              <w:t>pg</w:t>
            </w:r>
            <w:proofErr w:type="spellEnd"/>
            <w:r w:rsidRPr="0084495F">
              <w:rPr>
                <w:rFonts w:eastAsiaTheme="minorHAnsi" w:cstheme="minorHAnsi"/>
                <w:szCs w:val="20"/>
                <w:lang w:eastAsia="en-GB"/>
              </w:rPr>
              <w:t xml:space="preserve">/mL or BNP ≥300 </w:t>
            </w:r>
            <w:proofErr w:type="spellStart"/>
            <w:r w:rsidRPr="0084495F">
              <w:rPr>
                <w:rFonts w:eastAsiaTheme="minorHAnsi" w:cstheme="minorHAnsi"/>
                <w:szCs w:val="20"/>
                <w:lang w:eastAsia="en-GB"/>
              </w:rPr>
              <w:t>pg</w:t>
            </w:r>
            <w:proofErr w:type="spellEnd"/>
            <w:r w:rsidRPr="0084495F">
              <w:rPr>
                <w:rFonts w:eastAsiaTheme="minorHAnsi" w:cstheme="minorHAnsi"/>
                <w:szCs w:val="20"/>
                <w:lang w:eastAsia="en-GB"/>
              </w:rPr>
              <w:t>/</w:t>
            </w:r>
            <w:proofErr w:type="spellStart"/>
            <w:r w:rsidRPr="0084495F">
              <w:rPr>
                <w:rFonts w:eastAsiaTheme="minorHAnsi" w:cstheme="minorHAnsi"/>
                <w:szCs w:val="20"/>
                <w:lang w:eastAsia="en-GB"/>
              </w:rPr>
              <w:t>mL</w:t>
            </w:r>
            <w:r w:rsidRPr="0084495F">
              <w:rPr>
                <w:rFonts w:eastAsiaTheme="minorHAnsi" w:cstheme="minorHAnsi"/>
                <w:szCs w:val="20"/>
                <w:vertAlign w:val="superscript"/>
                <w:lang w:eastAsia="en-GB"/>
              </w:rPr>
              <w:t>a</w:t>
            </w:r>
            <w:proofErr w:type="spellEnd"/>
          </w:p>
          <w:p w14:paraId="7E59BAA7"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 xml:space="preserve">Excluded clinically unstable patients with </w:t>
            </w:r>
            <w:r w:rsidRPr="0084495F">
              <w:rPr>
                <w:rFonts w:cstheme="minorHAnsi"/>
                <w:szCs w:val="20"/>
              </w:rPr>
              <w:t>IV therapy in the 24 hours prior to randomisation; and/or SBP &lt;100 mmHg</w:t>
            </w:r>
          </w:p>
        </w:tc>
        <w:tc>
          <w:tcPr>
            <w:tcW w:w="1023" w:type="pct"/>
            <w:shd w:val="clear" w:color="auto" w:fill="auto"/>
            <w:vAlign w:val="center"/>
          </w:tcPr>
          <w:p w14:paraId="535A871D"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Composite of first event of CV death or HHF</w:t>
            </w:r>
          </w:p>
          <w:p w14:paraId="52FE337C"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 xml:space="preserve">Time CV death, </w:t>
            </w:r>
          </w:p>
          <w:p w14:paraId="7D09EE9D"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Time to HHF,</w:t>
            </w:r>
          </w:p>
          <w:p w14:paraId="011403AF"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 xml:space="preserve">Total hospitalisation, </w:t>
            </w:r>
          </w:p>
          <w:p w14:paraId="77DE13C8"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 xml:space="preserve">All-cause mortality, </w:t>
            </w:r>
          </w:p>
          <w:p w14:paraId="1DA9DD3D"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 xml:space="preserve">Composite of time to all-cause mortality or HHF, </w:t>
            </w:r>
          </w:p>
          <w:p w14:paraId="18993CA9"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Change in KCCQ</w:t>
            </w:r>
          </w:p>
          <w:p w14:paraId="49B8EE85"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Change in EQ-5D-5L</w:t>
            </w:r>
          </w:p>
        </w:tc>
        <w:tc>
          <w:tcPr>
            <w:tcW w:w="521" w:type="pct"/>
            <w:shd w:val="clear" w:color="auto" w:fill="auto"/>
            <w:vAlign w:val="center"/>
          </w:tcPr>
          <w:p w14:paraId="56A336F6" w14:textId="2B056FD6" w:rsidR="004B3DC9" w:rsidRPr="0084495F" w:rsidRDefault="00B93E2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Post-hoc</w:t>
            </w:r>
            <w:r w:rsidR="004B3DC9" w:rsidRPr="0084495F">
              <w:rPr>
                <w:rFonts w:eastAsiaTheme="minorHAnsi" w:cstheme="minorHAnsi"/>
                <w:szCs w:val="20"/>
                <w:lang w:eastAsia="en-GB"/>
              </w:rPr>
              <w:t xml:space="preserve"> regression analysis of time to first hospitalisation and time to cardiovascular death in patients pre-and post-hospitalisation. </w:t>
            </w:r>
          </w:p>
          <w:p w14:paraId="4E80629E" w14:textId="400691E1" w:rsidR="004B3DC9" w:rsidRPr="0084495F" w:rsidRDefault="00B93E2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Post-hoc</w:t>
            </w:r>
            <w:r w:rsidR="004B3DC9" w:rsidRPr="0084495F">
              <w:rPr>
                <w:rFonts w:eastAsiaTheme="minorHAnsi" w:cstheme="minorHAnsi"/>
                <w:szCs w:val="20"/>
                <w:lang w:eastAsia="en-GB"/>
              </w:rPr>
              <w:t xml:space="preserve"> analysis of EQ-5D scores</w:t>
            </w:r>
          </w:p>
        </w:tc>
      </w:tr>
      <w:tr w:rsidR="004B3DC9" w:rsidRPr="0084495F" w14:paraId="15B82152" w14:textId="77777777" w:rsidTr="002B0E29">
        <w:trPr>
          <w:cantSplit/>
        </w:trPr>
        <w:tc>
          <w:tcPr>
            <w:tcW w:w="572" w:type="pct"/>
            <w:shd w:val="clear" w:color="auto" w:fill="auto"/>
            <w:vAlign w:val="center"/>
          </w:tcPr>
          <w:p w14:paraId="6E469EEA" w14:textId="77777777" w:rsidR="004B3DC9" w:rsidRPr="0084495F" w:rsidRDefault="004B3DC9" w:rsidP="002B0E29">
            <w:pPr>
              <w:pStyle w:val="TableText"/>
            </w:pPr>
            <w:r w:rsidRPr="0084495F">
              <w:t>SOCRATES-Reduced</w:t>
            </w:r>
          </w:p>
        </w:tc>
        <w:tc>
          <w:tcPr>
            <w:tcW w:w="279" w:type="pct"/>
            <w:shd w:val="clear" w:color="auto" w:fill="auto"/>
            <w:vAlign w:val="center"/>
          </w:tcPr>
          <w:p w14:paraId="264B61EF" w14:textId="77777777" w:rsidR="004B3DC9" w:rsidRPr="0084495F" w:rsidRDefault="004B3DC9" w:rsidP="002B0E29">
            <w:pPr>
              <w:pStyle w:val="TableText"/>
              <w:jc w:val="center"/>
            </w:pPr>
            <w:r w:rsidRPr="0084495F">
              <w:t>456</w:t>
            </w:r>
          </w:p>
        </w:tc>
        <w:tc>
          <w:tcPr>
            <w:tcW w:w="562" w:type="pct"/>
            <w:shd w:val="clear" w:color="auto" w:fill="auto"/>
            <w:vAlign w:val="center"/>
          </w:tcPr>
          <w:p w14:paraId="34F8C918" w14:textId="77777777" w:rsidR="004B3DC9" w:rsidRPr="0084495F" w:rsidRDefault="004B3DC9" w:rsidP="002B0E29">
            <w:pPr>
              <w:pStyle w:val="TableText"/>
              <w:jc w:val="center"/>
            </w:pPr>
            <w:r w:rsidRPr="0084495F">
              <w:t xml:space="preserve">Phase IIb </w:t>
            </w:r>
          </w:p>
          <w:p w14:paraId="47476B32" w14:textId="77777777" w:rsidR="004B3DC9" w:rsidRPr="0084495F" w:rsidRDefault="004B3DC9" w:rsidP="002B0E29">
            <w:pPr>
              <w:pStyle w:val="TableText"/>
              <w:jc w:val="center"/>
            </w:pPr>
            <w:r w:rsidRPr="0084495F">
              <w:t xml:space="preserve">dosing study, </w:t>
            </w:r>
          </w:p>
          <w:p w14:paraId="19E82FF6" w14:textId="77777777" w:rsidR="004B3DC9" w:rsidRPr="0084495F" w:rsidRDefault="004B3DC9" w:rsidP="002B0E29">
            <w:pPr>
              <w:pStyle w:val="TableText"/>
              <w:jc w:val="center"/>
            </w:pPr>
            <w:r w:rsidRPr="0084495F">
              <w:t>R, PC, DB, MC,</w:t>
            </w:r>
          </w:p>
          <w:p w14:paraId="7B84BF30" w14:textId="77777777" w:rsidR="004B3DC9" w:rsidRPr="0084495F" w:rsidRDefault="004B3DC9" w:rsidP="002B0E29">
            <w:pPr>
              <w:pStyle w:val="TableText"/>
              <w:jc w:val="center"/>
            </w:pPr>
            <w:r w:rsidRPr="0084495F">
              <w:t xml:space="preserve">Duration of </w:t>
            </w:r>
          </w:p>
          <w:p w14:paraId="2EA797F0" w14:textId="77777777" w:rsidR="004B3DC9" w:rsidRPr="0084495F" w:rsidRDefault="004B3DC9" w:rsidP="002B0E29">
            <w:pPr>
              <w:pStyle w:val="TableText"/>
              <w:jc w:val="center"/>
            </w:pPr>
            <w:r w:rsidRPr="0084495F">
              <w:t>12 weeks</w:t>
            </w:r>
          </w:p>
        </w:tc>
        <w:tc>
          <w:tcPr>
            <w:tcW w:w="393" w:type="pct"/>
            <w:shd w:val="clear" w:color="auto" w:fill="auto"/>
            <w:vAlign w:val="center"/>
          </w:tcPr>
          <w:p w14:paraId="6E7CA3A2" w14:textId="77777777" w:rsidR="004B3DC9" w:rsidRPr="0084495F" w:rsidRDefault="004B3DC9" w:rsidP="002B0E29">
            <w:pPr>
              <w:pStyle w:val="TableText"/>
              <w:jc w:val="center"/>
              <w:rPr>
                <w:iCs/>
              </w:rPr>
            </w:pPr>
            <w:r w:rsidRPr="0084495F">
              <w:rPr>
                <w:iCs/>
              </w:rPr>
              <w:t>Low</w:t>
            </w:r>
          </w:p>
        </w:tc>
        <w:tc>
          <w:tcPr>
            <w:tcW w:w="1650" w:type="pct"/>
            <w:shd w:val="clear" w:color="auto" w:fill="auto"/>
            <w:vAlign w:val="center"/>
          </w:tcPr>
          <w:p w14:paraId="3E9E68B3"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 xml:space="preserve">Adults with </w:t>
            </w:r>
            <w:proofErr w:type="spellStart"/>
            <w:r w:rsidRPr="0084495F">
              <w:rPr>
                <w:rFonts w:eastAsiaTheme="minorHAnsi" w:cstheme="minorHAnsi"/>
                <w:szCs w:val="20"/>
                <w:lang w:eastAsia="en-GB"/>
              </w:rPr>
              <w:t>HFrHF</w:t>
            </w:r>
            <w:proofErr w:type="spellEnd"/>
            <w:r w:rsidRPr="0084495F">
              <w:rPr>
                <w:rFonts w:eastAsiaTheme="minorHAnsi" w:cstheme="minorHAnsi"/>
                <w:szCs w:val="20"/>
                <w:lang w:eastAsia="en-GB"/>
              </w:rPr>
              <w:t xml:space="preserve">, NYHA class II-IV, LVEF &lt;45% </w:t>
            </w:r>
          </w:p>
          <w:p w14:paraId="5E2375C4"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Receiving SoC therapies</w:t>
            </w:r>
          </w:p>
          <w:p w14:paraId="1169B8C6"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 xml:space="preserve">Worsening HF at hospitalisation or IV diuretics for HF, defined by  </w:t>
            </w:r>
          </w:p>
          <w:p w14:paraId="1FE22BDE" w14:textId="77777777" w:rsidR="004B3DC9" w:rsidRPr="0084495F" w:rsidRDefault="004B3DC9" w:rsidP="002B0E29">
            <w:pPr>
              <w:pStyle w:val="TableText"/>
              <w:ind w:left="136"/>
              <w:rPr>
                <w:rFonts w:eastAsiaTheme="minorHAnsi" w:cstheme="minorHAnsi"/>
                <w:szCs w:val="20"/>
                <w:lang w:eastAsia="en-GB"/>
              </w:rPr>
            </w:pPr>
            <w:r w:rsidRPr="0084495F">
              <w:rPr>
                <w:rFonts w:eastAsiaTheme="minorHAnsi" w:cstheme="minorHAnsi"/>
                <w:szCs w:val="20"/>
                <w:lang w:eastAsia="en-GB"/>
              </w:rPr>
              <w:t>NT-</w:t>
            </w:r>
            <w:proofErr w:type="spellStart"/>
            <w:r w:rsidRPr="0084495F">
              <w:rPr>
                <w:rFonts w:eastAsiaTheme="minorHAnsi" w:cstheme="minorHAnsi"/>
                <w:szCs w:val="20"/>
                <w:lang w:eastAsia="en-GB"/>
              </w:rPr>
              <w:t>proBNP</w:t>
            </w:r>
            <w:proofErr w:type="spellEnd"/>
            <w:r w:rsidRPr="0084495F">
              <w:rPr>
                <w:rFonts w:eastAsiaTheme="minorHAnsi" w:cstheme="minorHAnsi"/>
                <w:szCs w:val="20"/>
                <w:lang w:eastAsia="en-GB"/>
              </w:rPr>
              <w:t xml:space="preserve"> ≥1000 </w:t>
            </w:r>
            <w:proofErr w:type="spellStart"/>
            <w:r w:rsidRPr="0084495F">
              <w:rPr>
                <w:rFonts w:eastAsiaTheme="minorHAnsi" w:cstheme="minorHAnsi"/>
                <w:szCs w:val="20"/>
                <w:lang w:eastAsia="en-GB"/>
              </w:rPr>
              <w:t>pg</w:t>
            </w:r>
            <w:proofErr w:type="spellEnd"/>
            <w:r w:rsidRPr="0084495F">
              <w:rPr>
                <w:rFonts w:eastAsiaTheme="minorHAnsi" w:cstheme="minorHAnsi"/>
                <w:szCs w:val="20"/>
                <w:lang w:eastAsia="en-GB"/>
              </w:rPr>
              <w:t xml:space="preserve">/mL or BNP ≥300 </w:t>
            </w:r>
            <w:proofErr w:type="spellStart"/>
            <w:r w:rsidRPr="0084495F">
              <w:rPr>
                <w:rFonts w:eastAsiaTheme="minorHAnsi" w:cstheme="minorHAnsi"/>
                <w:szCs w:val="20"/>
                <w:lang w:eastAsia="en-GB"/>
              </w:rPr>
              <w:t>pg</w:t>
            </w:r>
            <w:proofErr w:type="spellEnd"/>
            <w:r w:rsidRPr="0084495F">
              <w:rPr>
                <w:rFonts w:eastAsiaTheme="minorHAnsi" w:cstheme="minorHAnsi"/>
                <w:szCs w:val="20"/>
                <w:lang w:eastAsia="en-GB"/>
              </w:rPr>
              <w:t>/</w:t>
            </w:r>
            <w:proofErr w:type="spellStart"/>
            <w:r w:rsidRPr="0084495F">
              <w:rPr>
                <w:rFonts w:eastAsiaTheme="minorHAnsi" w:cstheme="minorHAnsi"/>
                <w:szCs w:val="20"/>
                <w:lang w:eastAsia="en-GB"/>
              </w:rPr>
              <w:t>mL</w:t>
            </w:r>
            <w:r w:rsidRPr="0084495F">
              <w:rPr>
                <w:rFonts w:eastAsiaTheme="minorHAnsi" w:cstheme="minorHAnsi"/>
                <w:szCs w:val="20"/>
                <w:vertAlign w:val="superscript"/>
                <w:lang w:eastAsia="en-GB"/>
              </w:rPr>
              <w:t>a</w:t>
            </w:r>
            <w:proofErr w:type="spellEnd"/>
          </w:p>
          <w:p w14:paraId="42B9B65F"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Receiving SoC therapies</w:t>
            </w:r>
          </w:p>
          <w:p w14:paraId="6996225E"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Clinically stabilised defined as no IV vasodilator for &gt;24 hours and no IV diuretic for &gt;12 hours before randomisation, and SBP ≥110 to &lt;160 mmHg and resting HR ≥50 to &lt;100 beats per minute at randomisation</w:t>
            </w:r>
          </w:p>
        </w:tc>
        <w:tc>
          <w:tcPr>
            <w:tcW w:w="1023" w:type="pct"/>
            <w:shd w:val="clear" w:color="auto" w:fill="auto"/>
            <w:vAlign w:val="center"/>
          </w:tcPr>
          <w:p w14:paraId="3FB15168"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t>Change from baseline in log-transformed NT-</w:t>
            </w:r>
            <w:proofErr w:type="spellStart"/>
            <w:r w:rsidRPr="0084495F">
              <w:t>proBNP</w:t>
            </w:r>
            <w:proofErr w:type="spellEnd"/>
            <w:r w:rsidRPr="0084495F">
              <w:rPr>
                <w:rFonts w:eastAsiaTheme="minorHAnsi" w:cstheme="minorHAnsi"/>
                <w:szCs w:val="20"/>
                <w:lang w:eastAsia="en-GB"/>
              </w:rPr>
              <w:t xml:space="preserve"> </w:t>
            </w:r>
          </w:p>
          <w:p w14:paraId="108CD3C8"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 xml:space="preserve">Time to all-cause mortality, </w:t>
            </w:r>
          </w:p>
          <w:p w14:paraId="05A560B3"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 xml:space="preserve">Time to CV death, </w:t>
            </w:r>
          </w:p>
          <w:p w14:paraId="347B599E"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Time to HHF,</w:t>
            </w:r>
          </w:p>
          <w:p w14:paraId="7B29CAC7" w14:textId="77777777" w:rsidR="004B3DC9" w:rsidRPr="0084495F" w:rsidRDefault="004B3DC9" w:rsidP="00624423">
            <w:pPr>
              <w:pStyle w:val="TableText"/>
              <w:numPr>
                <w:ilvl w:val="0"/>
                <w:numId w:val="10"/>
              </w:numPr>
              <w:ind w:left="136" w:hanging="119"/>
              <w:rPr>
                <w:rFonts w:eastAsiaTheme="minorHAnsi" w:cstheme="minorHAnsi"/>
                <w:szCs w:val="20"/>
                <w:lang w:eastAsia="en-GB"/>
              </w:rPr>
            </w:pPr>
            <w:r w:rsidRPr="0084495F">
              <w:rPr>
                <w:rFonts w:eastAsiaTheme="minorHAnsi" w:cstheme="minorHAnsi"/>
                <w:szCs w:val="20"/>
                <w:lang w:eastAsia="en-GB"/>
              </w:rPr>
              <w:t>Composite of time to CV death or HHF</w:t>
            </w:r>
          </w:p>
        </w:tc>
        <w:tc>
          <w:tcPr>
            <w:tcW w:w="521" w:type="pct"/>
            <w:shd w:val="clear" w:color="auto" w:fill="auto"/>
            <w:vAlign w:val="center"/>
          </w:tcPr>
          <w:p w14:paraId="0D551FF8" w14:textId="77777777" w:rsidR="004B3DC9" w:rsidRPr="0084495F" w:rsidRDefault="004B3DC9" w:rsidP="002B0E29">
            <w:pPr>
              <w:pStyle w:val="TableText"/>
              <w:jc w:val="center"/>
            </w:pPr>
            <w:r w:rsidRPr="0084495F">
              <w:t>Not used</w:t>
            </w:r>
          </w:p>
        </w:tc>
      </w:tr>
    </w:tbl>
    <w:p w14:paraId="53E3116B" w14:textId="77777777" w:rsidR="004B3DC9" w:rsidRPr="0084495F" w:rsidRDefault="004B3DC9" w:rsidP="004B3DC9">
      <w:pPr>
        <w:pStyle w:val="TableFigureFooter"/>
      </w:pPr>
      <w:r w:rsidRPr="0084495F">
        <w:t>Source: Table 2-5, pp66-67 of the submission</w:t>
      </w:r>
    </w:p>
    <w:p w14:paraId="49200C6A" w14:textId="77777777" w:rsidR="004B3DC9" w:rsidRPr="0084495F" w:rsidRDefault="004B3DC9" w:rsidP="004B3DC9">
      <w:pPr>
        <w:pStyle w:val="TableFigureFooter"/>
      </w:pPr>
      <w:r w:rsidRPr="0084495F">
        <w:t xml:space="preserve">Abbreviations: </w:t>
      </w:r>
      <w:r w:rsidRPr="0084495F">
        <w:rPr>
          <w:szCs w:val="18"/>
        </w:rPr>
        <w:t xml:space="preserve">BNP, B-type natriuretic peptide; </w:t>
      </w:r>
      <w:r w:rsidRPr="0084495F">
        <w:t xml:space="preserve">CV, cardiovascular; DB, double blind; </w:t>
      </w:r>
      <w:r w:rsidRPr="0084495F">
        <w:rPr>
          <w:szCs w:val="18"/>
        </w:rPr>
        <w:t xml:space="preserve">EQ-5D-3L, </w:t>
      </w:r>
      <w:proofErr w:type="spellStart"/>
      <w:r w:rsidRPr="0084495F">
        <w:rPr>
          <w:szCs w:val="18"/>
        </w:rPr>
        <w:t>EuroQoL</w:t>
      </w:r>
      <w:proofErr w:type="spellEnd"/>
      <w:r w:rsidRPr="0084495F">
        <w:rPr>
          <w:szCs w:val="18"/>
        </w:rPr>
        <w:t xml:space="preserve">- 5-dimension 5-level questionnaire; </w:t>
      </w:r>
      <w:proofErr w:type="spellStart"/>
      <w:r w:rsidRPr="0084495F">
        <w:rPr>
          <w:szCs w:val="18"/>
        </w:rPr>
        <w:t>HFrEF</w:t>
      </w:r>
      <w:proofErr w:type="spellEnd"/>
      <w:r w:rsidRPr="0084495F">
        <w:rPr>
          <w:szCs w:val="18"/>
        </w:rPr>
        <w:t xml:space="preserve">, heart failure with reduced ejection fraction; </w:t>
      </w:r>
      <w:r w:rsidRPr="0084495F">
        <w:t xml:space="preserve">HHF, hospitalisation for heart failure; HR, heart rate; IV, intravenous; </w:t>
      </w:r>
      <w:r w:rsidRPr="0084495F">
        <w:rPr>
          <w:szCs w:val="18"/>
        </w:rPr>
        <w:t xml:space="preserve">KCCQ, Kansas City Cardiomyopathy Questionnaire; LVEF, left ventricular ejection fraction; </w:t>
      </w:r>
      <w:r w:rsidRPr="0084495F">
        <w:t xml:space="preserve">MC, multi-centre; </w:t>
      </w:r>
      <w:r w:rsidRPr="0084495F">
        <w:rPr>
          <w:szCs w:val="18"/>
        </w:rPr>
        <w:t>NT-</w:t>
      </w:r>
      <w:proofErr w:type="spellStart"/>
      <w:r w:rsidRPr="0084495F">
        <w:rPr>
          <w:szCs w:val="18"/>
        </w:rPr>
        <w:t>proBNP</w:t>
      </w:r>
      <w:proofErr w:type="spellEnd"/>
      <w:r w:rsidRPr="0084495F">
        <w:rPr>
          <w:szCs w:val="18"/>
        </w:rPr>
        <w:t xml:space="preserve">, N-terminal prohormone B-type natriuretic peptide; NYHA, New York Heart Association; </w:t>
      </w:r>
      <w:r w:rsidRPr="0084495F">
        <w:t>PC, placebo controlled; R, randomised; SBP, systolic blood pressure; SoC, standard of care</w:t>
      </w:r>
    </w:p>
    <w:p w14:paraId="7348866A" w14:textId="6D89107A" w:rsidR="0019347B" w:rsidRPr="0084495F" w:rsidRDefault="004B3DC9" w:rsidP="004B3DC9">
      <w:pPr>
        <w:pStyle w:val="TableFigureFooter"/>
        <w:rPr>
          <w:snapToGrid/>
        </w:rPr>
      </w:pPr>
      <w:r w:rsidRPr="0084495F">
        <w:rPr>
          <w:vertAlign w:val="superscript"/>
        </w:rPr>
        <w:t>a</w:t>
      </w:r>
      <w:r w:rsidRPr="0084495F">
        <w:t xml:space="preserve"> Patients in atrial fibrillation - BNP ≥500 </w:t>
      </w:r>
      <w:proofErr w:type="spellStart"/>
      <w:r w:rsidRPr="0084495F">
        <w:t>pg</w:t>
      </w:r>
      <w:proofErr w:type="spellEnd"/>
      <w:r w:rsidRPr="0084495F">
        <w:t>/mL or NT-</w:t>
      </w:r>
      <w:proofErr w:type="spellStart"/>
      <w:r w:rsidRPr="0084495F">
        <w:t>proBNP</w:t>
      </w:r>
      <w:proofErr w:type="spellEnd"/>
      <w:r w:rsidRPr="0084495F">
        <w:t xml:space="preserve"> ≥1600 </w:t>
      </w:r>
      <w:proofErr w:type="spellStart"/>
      <w:r w:rsidRPr="0084495F">
        <w:t>pg</w:t>
      </w:r>
      <w:proofErr w:type="spellEnd"/>
      <w:r w:rsidRPr="0084495F">
        <w:t>/mL</w:t>
      </w:r>
    </w:p>
    <w:p w14:paraId="1215F71B" w14:textId="2CC691A9" w:rsidR="00996D7E" w:rsidRPr="0084495F" w:rsidRDefault="00996D7E" w:rsidP="006E5920">
      <w:pPr>
        <w:pStyle w:val="ExecSumBodyText"/>
      </w:pPr>
      <w:r w:rsidRPr="0084495F">
        <w:t xml:space="preserve">The VICTORIA trial compared vericiguat plus SoC to placebo plus SoC in patients with </w:t>
      </w:r>
      <w:proofErr w:type="spellStart"/>
      <w:r w:rsidRPr="0084495F">
        <w:t>HFrEF</w:t>
      </w:r>
      <w:proofErr w:type="spellEnd"/>
      <w:r w:rsidRPr="0084495F">
        <w:t xml:space="preserve"> (</w:t>
      </w:r>
      <w:r w:rsidRPr="0084495F">
        <w:rPr>
          <w:rFonts w:eastAsiaTheme="minorHAnsi"/>
          <w:szCs w:val="20"/>
          <w:lang w:eastAsia="en-GB"/>
        </w:rPr>
        <w:t>NYHA class II-IV,</w:t>
      </w:r>
      <w:r w:rsidRPr="0084495F">
        <w:t xml:space="preserve"> LVEF &lt;45%) stabilised after a recent hospitalisation for heart failure in the prior 6 months, or after outpatient intravenous diuretic therapy for heart failure in the prior 3 months, with raised serum NT-</w:t>
      </w:r>
      <w:proofErr w:type="spellStart"/>
      <w:r w:rsidRPr="0084495F">
        <w:t>proBNP</w:t>
      </w:r>
      <w:proofErr w:type="spellEnd"/>
      <w:r w:rsidRPr="0084495F">
        <w:t xml:space="preserve"> or BNP levels indicative of an acute or deteriorating heart failure event and prior treatment with standard of care heart failure therapies. </w:t>
      </w:r>
      <w:r w:rsidR="00C3009F" w:rsidRPr="0084495F">
        <w:t xml:space="preserve">The ESC </w:t>
      </w:r>
      <w:r w:rsidR="00C4700A" w:rsidRPr="0084495F">
        <w:t xml:space="preserve">and the PBAC </w:t>
      </w:r>
      <w:r w:rsidR="00C3009F" w:rsidRPr="0084495F">
        <w:t xml:space="preserve">considered the entry criteria of LVEF &lt;45% was unusual </w:t>
      </w:r>
      <w:r w:rsidR="009D04E2" w:rsidRPr="0084495F">
        <w:t>given</w:t>
      </w:r>
      <w:r w:rsidR="00C3009F" w:rsidRPr="0084495F">
        <w:t xml:space="preserve"> clinical trials in </w:t>
      </w:r>
      <w:proofErr w:type="spellStart"/>
      <w:r w:rsidR="00C3009F" w:rsidRPr="0084495F">
        <w:t>HFrEF</w:t>
      </w:r>
      <w:proofErr w:type="spellEnd"/>
      <w:r w:rsidR="00C3009F" w:rsidRPr="0084495F">
        <w:t xml:space="preserve"> </w:t>
      </w:r>
      <w:r w:rsidR="009D04E2" w:rsidRPr="0084495F">
        <w:t>generally use thresholds of ≤40%</w:t>
      </w:r>
      <w:r w:rsidR="00027AE0" w:rsidRPr="0084495F">
        <w:t xml:space="preserve">. The use of the higher threshold </w:t>
      </w:r>
      <w:r w:rsidR="00C3009F" w:rsidRPr="0084495F">
        <w:t xml:space="preserve">would </w:t>
      </w:r>
      <w:r w:rsidR="00BC3EA9" w:rsidRPr="0084495F">
        <w:t xml:space="preserve">have led to the enrolment of </w:t>
      </w:r>
      <w:proofErr w:type="gramStart"/>
      <w:r w:rsidR="00C3009F" w:rsidRPr="0084495F">
        <w:t>a number of</w:t>
      </w:r>
      <w:proofErr w:type="gramEnd"/>
      <w:r w:rsidR="00C3009F" w:rsidRPr="0084495F">
        <w:t xml:space="preserve"> patients with </w:t>
      </w:r>
      <w:proofErr w:type="spellStart"/>
      <w:r w:rsidR="00C3009F" w:rsidRPr="0084495F">
        <w:t>HFmrEF</w:t>
      </w:r>
      <w:proofErr w:type="spellEnd"/>
      <w:r w:rsidR="00C3009F" w:rsidRPr="0084495F">
        <w:t>.</w:t>
      </w:r>
    </w:p>
    <w:p w14:paraId="6FB57BB5" w14:textId="0E0B4EF2" w:rsidR="00996D7E" w:rsidRPr="0084495F" w:rsidRDefault="00996D7E" w:rsidP="00996D7E">
      <w:pPr>
        <w:pStyle w:val="ExecSumBodyText"/>
      </w:pPr>
      <w:bookmarkStart w:id="11" w:name="_Ref99714176"/>
      <w:r w:rsidRPr="0084495F">
        <w:lastRenderedPageBreak/>
        <w:t>The submission acknowledged differences between the VICTORIA trial and the Australian setting in terms of age (68 years in the VICTORIA trial versus 81 years in Chew 2021 cohort with recent HHF), sex (male 7</w:t>
      </w:r>
      <w:r w:rsidR="00224686" w:rsidRPr="0084495F">
        <w:t>6.</w:t>
      </w:r>
      <w:r w:rsidRPr="0084495F">
        <w:t xml:space="preserve">1% </w:t>
      </w:r>
      <w:r w:rsidR="00224686" w:rsidRPr="0084495F">
        <w:t xml:space="preserve">in the VICTORIA trial </w:t>
      </w:r>
      <w:r w:rsidRPr="0084495F">
        <w:t>versus 53.8%</w:t>
      </w:r>
      <w:r w:rsidR="00224686" w:rsidRPr="0084495F">
        <w:t xml:space="preserve"> in the Chew 2021 cohort with recent HHF</w:t>
      </w:r>
      <w:r w:rsidRPr="0084495F">
        <w:t>), baseline NT-</w:t>
      </w:r>
      <w:proofErr w:type="spellStart"/>
      <w:r w:rsidRPr="0084495F">
        <w:t>proBNP</w:t>
      </w:r>
      <w:proofErr w:type="spellEnd"/>
      <w:r w:rsidRPr="0084495F">
        <w:t xml:space="preserve"> (median 2,816 </w:t>
      </w:r>
      <w:proofErr w:type="spellStart"/>
      <w:r w:rsidRPr="0084495F">
        <w:t>pg</w:t>
      </w:r>
      <w:proofErr w:type="spellEnd"/>
      <w:r w:rsidRPr="0084495F">
        <w:t xml:space="preserve">/mL versus 5,367pg/mL), and SoC pharmacotherapy use (e.g. </w:t>
      </w:r>
      <w:proofErr w:type="spellStart"/>
      <w:r w:rsidRPr="0084495F">
        <w:t>ARNi</w:t>
      </w:r>
      <w:proofErr w:type="spellEnd"/>
      <w:r w:rsidRPr="0084495F">
        <w:t xml:space="preserve"> use 14.5% versus 42%), but argued that the differences are unlikely to have an effect on outcomes with vericiguat treatment, as pre-specified subgroup analyses and a post-hoc multivariate Patient Response Identifiers for Stratified Medicine (PRISM) analysis showed no treatment effect interaction for a</w:t>
      </w:r>
      <w:r w:rsidR="00BC3EA9" w:rsidRPr="0084495F">
        <w:t>ny</w:t>
      </w:r>
      <w:r w:rsidRPr="0084495F">
        <w:t xml:space="preserve"> patient characteristic</w:t>
      </w:r>
      <w:r w:rsidR="004C6CEF" w:rsidRPr="0084495F">
        <w:t>s</w:t>
      </w:r>
      <w:r w:rsidRPr="0084495F">
        <w:t xml:space="preserve"> other than baseline NT-</w:t>
      </w:r>
      <w:proofErr w:type="spellStart"/>
      <w:r w:rsidRPr="0084495F">
        <w:t>proBNP</w:t>
      </w:r>
      <w:proofErr w:type="spellEnd"/>
      <w:r w:rsidRPr="0084495F">
        <w:t xml:space="preserve">. </w:t>
      </w:r>
      <w:r w:rsidR="00461721" w:rsidRPr="0084495F">
        <w:rPr>
          <w:iCs/>
        </w:rPr>
        <w:t xml:space="preserve">However, the </w:t>
      </w:r>
      <w:r w:rsidRPr="0084495F">
        <w:rPr>
          <w:iCs/>
        </w:rPr>
        <w:t>observed differences in patient characteristics may reflect differences in baseline risk between the trial population and Australian setting and may result in differences in the absolute benefit of vericiguat.</w:t>
      </w:r>
      <w:bookmarkEnd w:id="11"/>
      <w:r w:rsidR="00591FFC" w:rsidRPr="0084495F">
        <w:rPr>
          <w:iCs/>
        </w:rPr>
        <w:t xml:space="preserve"> Further, the PBAC noted </w:t>
      </w:r>
      <w:r w:rsidR="00857AAD" w:rsidRPr="0084495F">
        <w:rPr>
          <w:iCs/>
        </w:rPr>
        <w:t xml:space="preserve">that, compared with the VICTORIA trial population, </w:t>
      </w:r>
      <w:r w:rsidR="00591FFC" w:rsidRPr="0084495F">
        <w:rPr>
          <w:iCs/>
        </w:rPr>
        <w:t>the</w:t>
      </w:r>
      <w:r w:rsidR="00857AAD" w:rsidRPr="0084495F">
        <w:rPr>
          <w:iCs/>
        </w:rPr>
        <w:t xml:space="preserve"> likely PBS population may have poorer</w:t>
      </w:r>
      <w:r w:rsidR="00591FFC" w:rsidRPr="0084495F">
        <w:rPr>
          <w:iCs/>
        </w:rPr>
        <w:t xml:space="preserve"> renal function (median </w:t>
      </w:r>
      <w:r w:rsidR="00591FFC" w:rsidRPr="0084495F">
        <w:rPr>
          <w:rFonts w:cs="Calibri"/>
        </w:rPr>
        <w:t xml:space="preserve">eGFR of </w:t>
      </w:r>
      <w:r w:rsidR="00857AAD" w:rsidRPr="0084495F">
        <w:rPr>
          <w:rFonts w:cs="Calibri"/>
        </w:rPr>
        <w:t>58.4 mL/min/1.73m</w:t>
      </w:r>
      <w:r w:rsidR="00857AAD" w:rsidRPr="0084495F">
        <w:rPr>
          <w:rFonts w:cs="Calibri"/>
          <w:vertAlign w:val="superscript"/>
        </w:rPr>
        <w:t>2</w:t>
      </w:r>
      <w:r w:rsidR="00857AAD" w:rsidRPr="0084495F">
        <w:rPr>
          <w:rFonts w:cs="Calibri"/>
        </w:rPr>
        <w:t xml:space="preserve"> </w:t>
      </w:r>
      <w:r w:rsidR="007B7309" w:rsidRPr="0084495F">
        <w:rPr>
          <w:rFonts w:cs="Calibri"/>
        </w:rPr>
        <w:t xml:space="preserve">in the VICTORIA trial </w:t>
      </w:r>
      <w:r w:rsidR="00857AAD" w:rsidRPr="0084495F">
        <w:rPr>
          <w:rFonts w:cs="Calibri"/>
        </w:rPr>
        <w:t>versus 44.0 mL/min/1.73m</w:t>
      </w:r>
      <w:r w:rsidR="00857AAD" w:rsidRPr="0084495F">
        <w:rPr>
          <w:rFonts w:cs="Calibri"/>
          <w:vertAlign w:val="superscript"/>
        </w:rPr>
        <w:t>2</w:t>
      </w:r>
      <w:r w:rsidR="00857AAD" w:rsidRPr="0084495F">
        <w:rPr>
          <w:rFonts w:cs="Calibri"/>
        </w:rPr>
        <w:t xml:space="preserve"> </w:t>
      </w:r>
      <w:r w:rsidR="00857AAD" w:rsidRPr="0084495F">
        <w:t>in the Chew 2021 cohort with recent HHF) and higher rates of use of MRA therapies (70.3% versus 83%, respectively).</w:t>
      </w:r>
    </w:p>
    <w:p w14:paraId="4033C5B0" w14:textId="77777777" w:rsidR="00620C25" w:rsidRPr="0084495F" w:rsidRDefault="00996D7E" w:rsidP="002B0E29">
      <w:pPr>
        <w:pStyle w:val="ExecSumBodyText"/>
        <w:rPr>
          <w:szCs w:val="18"/>
        </w:rPr>
      </w:pPr>
      <w:r w:rsidRPr="0084495F">
        <w:t xml:space="preserve">The submission argued that differences in the use of </w:t>
      </w:r>
      <w:proofErr w:type="spellStart"/>
      <w:r w:rsidRPr="0084495F">
        <w:t>ACEi</w:t>
      </w:r>
      <w:proofErr w:type="spellEnd"/>
      <w:r w:rsidRPr="0084495F">
        <w:t xml:space="preserve">/ARB and </w:t>
      </w:r>
      <w:proofErr w:type="spellStart"/>
      <w:r w:rsidRPr="0084495F">
        <w:t>ARNi</w:t>
      </w:r>
      <w:proofErr w:type="spellEnd"/>
      <w:r w:rsidRPr="0084495F">
        <w:t xml:space="preserve"> heart failure medicines between the VICTORIA trial and the Australian setting reflect the evolving treatment landscape for </w:t>
      </w:r>
      <w:proofErr w:type="spellStart"/>
      <w:r w:rsidRPr="0084495F">
        <w:t>HFrEF</w:t>
      </w:r>
      <w:proofErr w:type="spellEnd"/>
      <w:r w:rsidRPr="0084495F">
        <w:t xml:space="preserve"> therapies, with sacubitril/valsartan PBS listed in July 2017 and SGLT</w:t>
      </w:r>
      <w:r w:rsidR="00D3619B">
        <w:t>2</w:t>
      </w:r>
      <w:r w:rsidRPr="0084495F">
        <w:t>i heart failure medicines recommended for listing</w:t>
      </w:r>
      <w:r w:rsidR="00692878" w:rsidRPr="0084495F">
        <w:t xml:space="preserve"> by the PBAC</w:t>
      </w:r>
      <w:r w:rsidRPr="0084495F">
        <w:t xml:space="preserve"> in September and November 2021. </w:t>
      </w:r>
      <w:r w:rsidRPr="0084495F">
        <w:rPr>
          <w:iCs/>
        </w:rPr>
        <w:t xml:space="preserve">The impact of differences in </w:t>
      </w:r>
      <w:r w:rsidR="00BC3EA9" w:rsidRPr="0084495F">
        <w:rPr>
          <w:iCs/>
        </w:rPr>
        <w:t>SoC</w:t>
      </w:r>
      <w:r w:rsidRPr="0084495F">
        <w:rPr>
          <w:iCs/>
        </w:rPr>
        <w:t xml:space="preserve"> between the VICTORIA trial and the Australian setting, and the use of vericiguat in combination with SGLT2i heart failure medicines is unclear, </w:t>
      </w:r>
      <w:r w:rsidR="00937D21" w:rsidRPr="0084495F">
        <w:rPr>
          <w:iCs/>
        </w:rPr>
        <w:t>and</w:t>
      </w:r>
      <w:r w:rsidRPr="0084495F">
        <w:rPr>
          <w:iCs/>
        </w:rPr>
        <w:t xml:space="preserve"> </w:t>
      </w:r>
      <w:r w:rsidR="00C3009F" w:rsidRPr="0084495F">
        <w:rPr>
          <w:iCs/>
        </w:rPr>
        <w:t xml:space="preserve">the ESC </w:t>
      </w:r>
      <w:r w:rsidR="00BC3EA9" w:rsidRPr="0084495F">
        <w:rPr>
          <w:iCs/>
        </w:rPr>
        <w:t>considered that these differences were</w:t>
      </w:r>
      <w:r w:rsidR="00C3009F" w:rsidRPr="0084495F">
        <w:rPr>
          <w:iCs/>
        </w:rPr>
        <w:t xml:space="preserve"> likely to </w:t>
      </w:r>
      <w:r w:rsidRPr="0084495F">
        <w:rPr>
          <w:iCs/>
        </w:rPr>
        <w:t>impact the absolute benefit of vericiguat in the Australian setting.</w:t>
      </w:r>
    </w:p>
    <w:p w14:paraId="4A4FE085" w14:textId="65C649C2" w:rsidR="00B60939" w:rsidRPr="0084495F" w:rsidRDefault="00B60939" w:rsidP="00EC5836">
      <w:pPr>
        <w:pStyle w:val="3-SubsectionHeading"/>
      </w:pPr>
      <w:bookmarkStart w:id="12" w:name="_Toc22897641"/>
      <w:bookmarkStart w:id="13" w:name="_Toc92732977"/>
      <w:r w:rsidRPr="0084495F">
        <w:t>Comparative effectiveness</w:t>
      </w:r>
      <w:bookmarkEnd w:id="12"/>
      <w:bookmarkEnd w:id="13"/>
    </w:p>
    <w:p w14:paraId="7CB2AA6E" w14:textId="173082E5" w:rsidR="00B33D97" w:rsidRPr="0084495F" w:rsidRDefault="00B33D97" w:rsidP="00B33D97">
      <w:pPr>
        <w:pStyle w:val="5-SubSubSubHead"/>
        <w:rPr>
          <w:i w:val="0"/>
        </w:rPr>
      </w:pPr>
      <w:r w:rsidRPr="0084495F">
        <w:rPr>
          <w:i w:val="0"/>
        </w:rPr>
        <w:t>Subgroup analyses</w:t>
      </w:r>
    </w:p>
    <w:p w14:paraId="2C55ED29" w14:textId="7D945713" w:rsidR="00AC38CD" w:rsidRPr="0084495F" w:rsidRDefault="00AC38CD" w:rsidP="00AC38CD">
      <w:pPr>
        <w:pStyle w:val="ExecSumBodyText"/>
        <w:rPr>
          <w:color w:val="0066FF"/>
        </w:rPr>
      </w:pPr>
      <w:r w:rsidRPr="0084495F">
        <w:t>Tests for treatment effect interaction indicated a significant interaction by baseline NT-</w:t>
      </w:r>
      <w:proofErr w:type="spellStart"/>
      <w:r w:rsidRPr="0084495F">
        <w:t>proBNP</w:t>
      </w:r>
      <w:proofErr w:type="spellEnd"/>
      <w:r w:rsidRPr="0084495F">
        <w:t xml:space="preserve"> quartile, with vericiguat associated with </w:t>
      </w:r>
      <w:r w:rsidR="007662BD" w:rsidRPr="0084495F">
        <w:t>no beneficial effect</w:t>
      </w:r>
      <w:r w:rsidRPr="0084495F">
        <w:t xml:space="preserve"> in the quartile 4 subgroup (NT-</w:t>
      </w:r>
      <w:proofErr w:type="spellStart"/>
      <w:r w:rsidRPr="0084495F">
        <w:t>proBNP</w:t>
      </w:r>
      <w:proofErr w:type="spellEnd"/>
      <w:r w:rsidRPr="0084495F">
        <w:t xml:space="preserve"> Q4) with baseline NT-</w:t>
      </w:r>
      <w:proofErr w:type="spellStart"/>
      <w:r w:rsidRPr="0084495F">
        <w:t>proBNP</w:t>
      </w:r>
      <w:proofErr w:type="spellEnd"/>
      <w:r w:rsidRPr="0084495F">
        <w:t xml:space="preserve"> &gt;5314 </w:t>
      </w:r>
      <w:proofErr w:type="spellStart"/>
      <w:r w:rsidRPr="0084495F">
        <w:t>pg</w:t>
      </w:r>
      <w:proofErr w:type="spellEnd"/>
      <w:r w:rsidRPr="0084495F">
        <w:t>/mL</w:t>
      </w:r>
      <w:r w:rsidR="00643ADB" w:rsidRPr="0084495F">
        <w:t xml:space="preserve"> (as shown in </w:t>
      </w:r>
      <w:r w:rsidR="00BA5D64" w:rsidRPr="0084495F">
        <w:fldChar w:fldCharType="begin"/>
      </w:r>
      <w:r w:rsidR="00BA5D64" w:rsidRPr="0084495F">
        <w:instrText xml:space="preserve"> REF _Ref95990328 \h  \* MERGEFORMAT </w:instrText>
      </w:r>
      <w:r w:rsidR="00BA5D64" w:rsidRPr="0084495F">
        <w:fldChar w:fldCharType="separate"/>
      </w:r>
      <w:r w:rsidR="0084495F" w:rsidRPr="0084495F">
        <w:rPr>
          <w:rFonts w:eastAsia="MS Gothic"/>
        </w:rPr>
        <w:t>Table</w:t>
      </w:r>
      <w:r w:rsidR="0084495F" w:rsidRPr="0084495F">
        <w:rPr>
          <w:rFonts w:eastAsia="MS Gothic"/>
          <w:bCs/>
          <w:szCs w:val="20"/>
        </w:rPr>
        <w:t xml:space="preserve"> 4</w:t>
      </w:r>
      <w:r w:rsidR="00BA5D64" w:rsidRPr="0084495F">
        <w:fldChar w:fldCharType="end"/>
      </w:r>
      <w:r w:rsidR="00643ADB" w:rsidRPr="0084495F">
        <w:t>, the HR for the composite of CV death or hospitalisation for heart failure was 1.15 (95% CI: 0.99, 1.34)</w:t>
      </w:r>
      <w:r w:rsidR="00BA5D64" w:rsidRPr="0084495F">
        <w:t xml:space="preserve"> in this subgroup)</w:t>
      </w:r>
      <w:r w:rsidRPr="0084495F">
        <w:t xml:space="preserve">; and a significant interaction by baseline age, with vericiguat being associated with a smaller magnitude of effect in patients aged ≥75 years. </w:t>
      </w:r>
    </w:p>
    <w:p w14:paraId="7E4AE348" w14:textId="6A8CD4B8" w:rsidR="00187C8B" w:rsidRPr="0084495F" w:rsidRDefault="00187C8B" w:rsidP="005C6240">
      <w:pPr>
        <w:pStyle w:val="Caption"/>
        <w:keepLines/>
        <w:rPr>
          <w:rFonts w:eastAsia="MS Gothic"/>
          <w:b w:val="0"/>
          <w:bCs/>
          <w:szCs w:val="20"/>
        </w:rPr>
      </w:pPr>
      <w:bookmarkStart w:id="14" w:name="_Ref95990328"/>
      <w:bookmarkStart w:id="15" w:name="_Ref95990322"/>
      <w:r w:rsidRPr="0084495F">
        <w:rPr>
          <w:rFonts w:eastAsia="MS Gothic"/>
          <w:bCs/>
          <w:szCs w:val="20"/>
        </w:rPr>
        <w:lastRenderedPageBreak/>
        <w:t xml:space="preserve">Table </w:t>
      </w:r>
      <w:r w:rsidRPr="0084495F">
        <w:rPr>
          <w:rFonts w:eastAsia="MS Gothic"/>
          <w:bCs/>
          <w:szCs w:val="20"/>
        </w:rPr>
        <w:fldChar w:fldCharType="begin"/>
      </w:r>
      <w:r w:rsidRPr="0084495F">
        <w:rPr>
          <w:rFonts w:eastAsia="MS Gothic"/>
          <w:bCs/>
          <w:szCs w:val="20"/>
        </w:rPr>
        <w:instrText xml:space="preserve"> SEQ Table \* ARABIC </w:instrText>
      </w:r>
      <w:r w:rsidRPr="0084495F">
        <w:rPr>
          <w:rFonts w:eastAsia="MS Gothic"/>
          <w:bCs/>
          <w:szCs w:val="20"/>
        </w:rPr>
        <w:fldChar w:fldCharType="separate"/>
      </w:r>
      <w:r w:rsidR="0084495F" w:rsidRPr="0084495F">
        <w:rPr>
          <w:rFonts w:eastAsia="MS Gothic"/>
          <w:bCs/>
          <w:szCs w:val="20"/>
        </w:rPr>
        <w:t>4</w:t>
      </w:r>
      <w:r w:rsidRPr="0084495F">
        <w:rPr>
          <w:rFonts w:eastAsia="MS Gothic"/>
          <w:bCs/>
          <w:szCs w:val="20"/>
        </w:rPr>
        <w:fldChar w:fldCharType="end"/>
      </w:r>
      <w:bookmarkEnd w:id="14"/>
      <w:r w:rsidRPr="0084495F">
        <w:rPr>
          <w:rFonts w:eastAsia="MS Gothic"/>
          <w:bCs/>
          <w:szCs w:val="20"/>
        </w:rPr>
        <w:t xml:space="preserve">: </w:t>
      </w:r>
      <w:r w:rsidRPr="0084495F">
        <w:rPr>
          <w:rFonts w:eastAsia="MS Gothic" w:cs="Calibri"/>
          <w:bCs/>
          <w:szCs w:val="20"/>
        </w:rPr>
        <w:t>Time to first event of cardiovascular death or heart failure hospitalisation</w:t>
      </w:r>
      <w:r w:rsidRPr="0084495F">
        <w:rPr>
          <w:rFonts w:eastAsia="MS Gothic"/>
          <w:bCs/>
          <w:szCs w:val="20"/>
        </w:rPr>
        <w:t xml:space="preserve"> (VICTORIA; ITT; CEC)</w:t>
      </w:r>
      <w:bookmarkEnd w:id="15"/>
    </w:p>
    <w:tbl>
      <w:tblPr>
        <w:tblStyle w:val="TableGrid"/>
        <w:tblW w:w="5000" w:type="pct"/>
        <w:tblLook w:val="04A0" w:firstRow="1" w:lastRow="0" w:firstColumn="1" w:lastColumn="0" w:noHBand="0" w:noVBand="1"/>
        <w:tblCaption w:val="Table 4: Time to first event of cardiovascular death or heart failure hospitalisation (VICTORIA; ITT; CEC)"/>
      </w:tblPr>
      <w:tblGrid>
        <w:gridCol w:w="2973"/>
        <w:gridCol w:w="2014"/>
        <w:gridCol w:w="2015"/>
        <w:gridCol w:w="2015"/>
      </w:tblGrid>
      <w:tr w:rsidR="00187C8B" w:rsidRPr="0084495F" w14:paraId="5B613DFD" w14:textId="77777777" w:rsidTr="00FF0C6B">
        <w:trPr>
          <w:tblHeader/>
        </w:trPr>
        <w:tc>
          <w:tcPr>
            <w:tcW w:w="2973" w:type="dxa"/>
            <w:tcBorders>
              <w:bottom w:val="single" w:sz="4" w:space="0" w:color="auto"/>
            </w:tcBorders>
            <w:vAlign w:val="center"/>
          </w:tcPr>
          <w:p w14:paraId="19FE4E53" w14:textId="77777777" w:rsidR="00187C8B" w:rsidRPr="0084495F" w:rsidRDefault="00187C8B" w:rsidP="005C6240">
            <w:pPr>
              <w:keepNext/>
              <w:keepLines/>
              <w:tabs>
                <w:tab w:val="left" w:pos="164"/>
              </w:tabs>
              <w:ind w:right="-55"/>
              <w:jc w:val="left"/>
              <w:rPr>
                <w:rFonts w:ascii="Arial Narrow" w:hAnsi="Arial Narrow"/>
                <w:sz w:val="20"/>
                <w:szCs w:val="20"/>
              </w:rPr>
            </w:pPr>
            <w:r w:rsidRPr="0084495F">
              <w:rPr>
                <w:rFonts w:ascii="Arial Narrow" w:hAnsi="Arial Narrow"/>
                <w:b/>
                <w:bCs/>
                <w:sz w:val="20"/>
                <w:szCs w:val="20"/>
              </w:rPr>
              <w:t>Outcome</w:t>
            </w:r>
          </w:p>
        </w:tc>
        <w:tc>
          <w:tcPr>
            <w:tcW w:w="2014" w:type="dxa"/>
            <w:tcBorders>
              <w:bottom w:val="single" w:sz="4" w:space="0" w:color="auto"/>
            </w:tcBorders>
            <w:vAlign w:val="center"/>
          </w:tcPr>
          <w:p w14:paraId="4C0F81B8" w14:textId="77777777" w:rsidR="00187C8B" w:rsidRPr="0084495F" w:rsidRDefault="00187C8B" w:rsidP="005C6240">
            <w:pPr>
              <w:keepNext/>
              <w:keepLines/>
              <w:ind w:left="-71" w:right="-62"/>
              <w:jc w:val="center"/>
              <w:rPr>
                <w:rFonts w:ascii="Arial Narrow" w:eastAsia="MS Gothic" w:hAnsi="Arial Narrow" w:cs="Times New Roman"/>
                <w:b/>
                <w:sz w:val="20"/>
                <w:szCs w:val="20"/>
              </w:rPr>
            </w:pPr>
            <w:r w:rsidRPr="0084495F">
              <w:rPr>
                <w:rFonts w:ascii="Arial Narrow" w:eastAsia="MS Gothic" w:hAnsi="Arial Narrow"/>
                <w:b/>
                <w:sz w:val="20"/>
                <w:szCs w:val="20"/>
              </w:rPr>
              <w:t>Vericiguat + SoC</w:t>
            </w:r>
          </w:p>
        </w:tc>
        <w:tc>
          <w:tcPr>
            <w:tcW w:w="2015" w:type="dxa"/>
            <w:tcBorders>
              <w:bottom w:val="single" w:sz="4" w:space="0" w:color="auto"/>
            </w:tcBorders>
            <w:vAlign w:val="center"/>
          </w:tcPr>
          <w:p w14:paraId="09F05932" w14:textId="77777777" w:rsidR="00187C8B" w:rsidRPr="0084495F" w:rsidRDefault="00187C8B" w:rsidP="005C6240">
            <w:pPr>
              <w:keepNext/>
              <w:keepLines/>
              <w:ind w:left="-71" w:right="-62"/>
              <w:jc w:val="center"/>
              <w:rPr>
                <w:rFonts w:ascii="Arial Narrow" w:hAnsi="Arial Narrow"/>
                <w:b/>
                <w:sz w:val="20"/>
                <w:szCs w:val="20"/>
              </w:rPr>
            </w:pPr>
            <w:r w:rsidRPr="0084495F">
              <w:rPr>
                <w:rFonts w:ascii="Arial Narrow" w:hAnsi="Arial Narrow"/>
                <w:b/>
                <w:bCs/>
                <w:sz w:val="20"/>
                <w:szCs w:val="20"/>
              </w:rPr>
              <w:t>Placebo + SoC</w:t>
            </w:r>
          </w:p>
        </w:tc>
        <w:tc>
          <w:tcPr>
            <w:tcW w:w="2015" w:type="dxa"/>
            <w:tcBorders>
              <w:bottom w:val="single" w:sz="4" w:space="0" w:color="auto"/>
            </w:tcBorders>
            <w:vAlign w:val="center"/>
          </w:tcPr>
          <w:p w14:paraId="649A9579" w14:textId="77777777" w:rsidR="00187C8B" w:rsidRPr="0084495F" w:rsidRDefault="00187C8B" w:rsidP="005C6240">
            <w:pPr>
              <w:keepNext/>
              <w:keepLines/>
              <w:ind w:left="-71" w:right="-62"/>
              <w:jc w:val="center"/>
              <w:rPr>
                <w:rFonts w:ascii="Arial Narrow" w:eastAsia="MS Gothic" w:hAnsi="Arial Narrow"/>
                <w:b/>
                <w:sz w:val="20"/>
                <w:szCs w:val="20"/>
              </w:rPr>
            </w:pPr>
            <w:r w:rsidRPr="0084495F">
              <w:rPr>
                <w:rFonts w:ascii="Arial Narrow" w:eastAsia="MS Gothic" w:hAnsi="Arial Narrow"/>
                <w:b/>
                <w:sz w:val="20"/>
                <w:szCs w:val="20"/>
              </w:rPr>
              <w:t>Hazard ratio</w:t>
            </w:r>
          </w:p>
          <w:p w14:paraId="196539A5" w14:textId="77777777" w:rsidR="00187C8B" w:rsidRPr="0084495F" w:rsidRDefault="00187C8B" w:rsidP="005C6240">
            <w:pPr>
              <w:keepNext/>
              <w:keepLines/>
              <w:ind w:left="-71" w:right="-62"/>
              <w:jc w:val="center"/>
              <w:rPr>
                <w:rFonts w:ascii="Arial Narrow" w:hAnsi="Arial Narrow"/>
                <w:sz w:val="20"/>
                <w:szCs w:val="20"/>
                <w:vertAlign w:val="superscript"/>
              </w:rPr>
            </w:pPr>
            <w:r w:rsidRPr="0084495F">
              <w:rPr>
                <w:rFonts w:ascii="Arial Narrow" w:hAnsi="Arial Narrow"/>
                <w:b/>
                <w:bCs/>
                <w:sz w:val="20"/>
                <w:szCs w:val="20"/>
              </w:rPr>
              <w:t>(95% CI)</w:t>
            </w:r>
          </w:p>
        </w:tc>
      </w:tr>
      <w:tr w:rsidR="00187C8B" w:rsidRPr="0084495F" w14:paraId="158EC9A7" w14:textId="77777777" w:rsidTr="00FF0C6B">
        <w:trPr>
          <w:trHeight w:val="101"/>
        </w:trPr>
        <w:tc>
          <w:tcPr>
            <w:tcW w:w="9017" w:type="dxa"/>
            <w:gridSpan w:val="4"/>
            <w:tcBorders>
              <w:bottom w:val="nil"/>
            </w:tcBorders>
            <w:vAlign w:val="center"/>
          </w:tcPr>
          <w:p w14:paraId="3C9404F4" w14:textId="77777777" w:rsidR="00187C8B" w:rsidRPr="0084495F" w:rsidRDefault="00187C8B" w:rsidP="005C6240">
            <w:pPr>
              <w:keepNext/>
              <w:keepLines/>
              <w:tabs>
                <w:tab w:val="left" w:pos="164"/>
              </w:tabs>
              <w:ind w:right="-55"/>
              <w:jc w:val="left"/>
              <w:rPr>
                <w:rFonts w:ascii="Arial Narrow" w:eastAsia="MS Gothic" w:hAnsi="Arial Narrow"/>
                <w:b/>
                <w:sz w:val="20"/>
                <w:szCs w:val="20"/>
              </w:rPr>
            </w:pPr>
            <w:r w:rsidRPr="0084495F">
              <w:rPr>
                <w:rFonts w:ascii="Arial Narrow" w:eastAsia="MS Gothic" w:hAnsi="Arial Narrow"/>
                <w:b/>
                <w:sz w:val="20"/>
                <w:szCs w:val="20"/>
              </w:rPr>
              <w:t>ITT population</w:t>
            </w:r>
          </w:p>
        </w:tc>
      </w:tr>
      <w:tr w:rsidR="00187C8B" w:rsidRPr="0084495F" w14:paraId="118F98F7" w14:textId="77777777" w:rsidTr="00FF0C6B">
        <w:trPr>
          <w:trHeight w:val="101"/>
        </w:trPr>
        <w:tc>
          <w:tcPr>
            <w:tcW w:w="2973" w:type="dxa"/>
            <w:vAlign w:val="center"/>
          </w:tcPr>
          <w:p w14:paraId="21DACA4F" w14:textId="77777777" w:rsidR="00187C8B" w:rsidRPr="0084495F" w:rsidRDefault="00187C8B" w:rsidP="005C6240">
            <w:pPr>
              <w:keepNext/>
              <w:keepLines/>
              <w:tabs>
                <w:tab w:val="left" w:pos="164"/>
              </w:tabs>
              <w:ind w:right="-55"/>
              <w:jc w:val="left"/>
              <w:rPr>
                <w:rFonts w:ascii="Arial Narrow" w:eastAsia="MS Gothic" w:hAnsi="Arial Narrow"/>
                <w:bCs/>
                <w:sz w:val="20"/>
                <w:szCs w:val="20"/>
              </w:rPr>
            </w:pPr>
            <w:r w:rsidRPr="0084495F">
              <w:rPr>
                <w:rFonts w:ascii="Arial Narrow" w:eastAsia="MS Gothic" w:hAnsi="Arial Narrow"/>
                <w:bCs/>
                <w:sz w:val="20"/>
                <w:szCs w:val="20"/>
              </w:rPr>
              <w:t>N</w:t>
            </w:r>
          </w:p>
        </w:tc>
        <w:tc>
          <w:tcPr>
            <w:tcW w:w="2014" w:type="dxa"/>
            <w:vAlign w:val="center"/>
          </w:tcPr>
          <w:p w14:paraId="61900CD8"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2526</w:t>
            </w:r>
          </w:p>
        </w:tc>
        <w:tc>
          <w:tcPr>
            <w:tcW w:w="2015" w:type="dxa"/>
            <w:vAlign w:val="center"/>
          </w:tcPr>
          <w:p w14:paraId="6E4993A2"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2524</w:t>
            </w:r>
          </w:p>
        </w:tc>
        <w:tc>
          <w:tcPr>
            <w:tcW w:w="2015" w:type="dxa"/>
            <w:vAlign w:val="center"/>
          </w:tcPr>
          <w:p w14:paraId="17B18D8A" w14:textId="77777777" w:rsidR="00187C8B" w:rsidRPr="0084495F" w:rsidRDefault="00187C8B" w:rsidP="005C6240">
            <w:pPr>
              <w:keepNext/>
              <w:keepLines/>
              <w:ind w:left="-71" w:right="-62"/>
              <w:jc w:val="center"/>
              <w:rPr>
                <w:rFonts w:ascii="Arial Narrow" w:eastAsia="MS Gothic" w:hAnsi="Arial Narrow"/>
                <w:b/>
                <w:bCs/>
                <w:sz w:val="20"/>
                <w:szCs w:val="20"/>
              </w:rPr>
            </w:pPr>
          </w:p>
        </w:tc>
      </w:tr>
      <w:tr w:rsidR="00187C8B" w:rsidRPr="0084495F" w14:paraId="0E16E77D" w14:textId="77777777" w:rsidTr="00FF0C6B">
        <w:trPr>
          <w:trHeight w:val="101"/>
        </w:trPr>
        <w:tc>
          <w:tcPr>
            <w:tcW w:w="2973" w:type="dxa"/>
            <w:vAlign w:val="center"/>
          </w:tcPr>
          <w:p w14:paraId="4CEBE730" w14:textId="77777777" w:rsidR="00187C8B" w:rsidRPr="0084495F" w:rsidRDefault="00187C8B" w:rsidP="005C6240">
            <w:pPr>
              <w:keepNext/>
              <w:keepLines/>
              <w:tabs>
                <w:tab w:val="left" w:pos="164"/>
              </w:tabs>
              <w:ind w:right="-55"/>
              <w:jc w:val="left"/>
              <w:rPr>
                <w:rFonts w:ascii="Arial Narrow" w:eastAsia="MS Gothic" w:hAnsi="Arial Narrow"/>
                <w:bCs/>
                <w:sz w:val="20"/>
                <w:szCs w:val="20"/>
              </w:rPr>
            </w:pPr>
            <w:r w:rsidRPr="0084495F">
              <w:rPr>
                <w:rFonts w:ascii="Arial Narrow" w:eastAsia="MS Gothic" w:hAnsi="Arial Narrow"/>
                <w:bCs/>
                <w:sz w:val="20"/>
                <w:szCs w:val="20"/>
              </w:rPr>
              <w:t xml:space="preserve">Composite of CV death or HHF n (%) </w:t>
            </w:r>
          </w:p>
        </w:tc>
        <w:tc>
          <w:tcPr>
            <w:tcW w:w="2014" w:type="dxa"/>
            <w:vAlign w:val="center"/>
          </w:tcPr>
          <w:p w14:paraId="111103C4"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897 (35.5%)</w:t>
            </w:r>
          </w:p>
        </w:tc>
        <w:tc>
          <w:tcPr>
            <w:tcW w:w="2015" w:type="dxa"/>
            <w:vAlign w:val="center"/>
          </w:tcPr>
          <w:p w14:paraId="54CA3C2F"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972 (38.5%)</w:t>
            </w:r>
          </w:p>
        </w:tc>
        <w:tc>
          <w:tcPr>
            <w:tcW w:w="2015" w:type="dxa"/>
            <w:vAlign w:val="center"/>
          </w:tcPr>
          <w:p w14:paraId="6D73C9F0" w14:textId="77777777" w:rsidR="00187C8B" w:rsidRPr="0084495F" w:rsidRDefault="00187C8B" w:rsidP="005C6240">
            <w:pPr>
              <w:keepNext/>
              <w:keepLines/>
              <w:ind w:left="-71" w:right="-62"/>
              <w:jc w:val="center"/>
              <w:rPr>
                <w:rFonts w:ascii="Arial Narrow" w:eastAsia="MS Gothic" w:hAnsi="Arial Narrow"/>
                <w:b/>
                <w:bCs/>
                <w:sz w:val="20"/>
                <w:szCs w:val="20"/>
              </w:rPr>
            </w:pPr>
            <w:r w:rsidRPr="0084495F">
              <w:rPr>
                <w:rFonts w:ascii="Arial Narrow" w:eastAsia="MS Gothic" w:hAnsi="Arial Narrow"/>
                <w:b/>
                <w:bCs/>
                <w:sz w:val="20"/>
                <w:szCs w:val="20"/>
              </w:rPr>
              <w:t>0.90 (0.82, 0.98)</w:t>
            </w:r>
          </w:p>
        </w:tc>
      </w:tr>
      <w:tr w:rsidR="00187C8B" w:rsidRPr="0084495F" w14:paraId="5285028E" w14:textId="77777777" w:rsidTr="00FF0C6B">
        <w:trPr>
          <w:trHeight w:val="77"/>
        </w:trPr>
        <w:tc>
          <w:tcPr>
            <w:tcW w:w="2973" w:type="dxa"/>
            <w:vAlign w:val="center"/>
          </w:tcPr>
          <w:p w14:paraId="1FBB5E16" w14:textId="77777777" w:rsidR="00187C8B" w:rsidRPr="0084495F" w:rsidRDefault="00187C8B" w:rsidP="00624423">
            <w:pPr>
              <w:keepNext/>
              <w:keepLines/>
              <w:numPr>
                <w:ilvl w:val="0"/>
                <w:numId w:val="6"/>
              </w:numPr>
              <w:ind w:left="194" w:right="-70" w:hanging="124"/>
              <w:contextualSpacing/>
              <w:jc w:val="left"/>
              <w:rPr>
                <w:rFonts w:ascii="Arial Narrow" w:eastAsia="SimSun" w:hAnsi="Arial Narrow" w:cs="Calibri"/>
                <w:sz w:val="20"/>
                <w:szCs w:val="20"/>
                <w:lang w:eastAsia="zh-CN"/>
              </w:rPr>
            </w:pPr>
            <w:r w:rsidRPr="0084495F">
              <w:rPr>
                <w:rFonts w:ascii="Arial Narrow" w:eastAsia="SimSun" w:hAnsi="Arial Narrow" w:cs="Calibri"/>
                <w:sz w:val="20"/>
                <w:szCs w:val="20"/>
                <w:lang w:eastAsia="zh-CN"/>
              </w:rPr>
              <w:t>HHF first event n (%)</w:t>
            </w:r>
          </w:p>
        </w:tc>
        <w:tc>
          <w:tcPr>
            <w:tcW w:w="2014" w:type="dxa"/>
            <w:vAlign w:val="center"/>
          </w:tcPr>
          <w:p w14:paraId="721523E4"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691 (27.4%)</w:t>
            </w:r>
          </w:p>
        </w:tc>
        <w:tc>
          <w:tcPr>
            <w:tcW w:w="2015" w:type="dxa"/>
            <w:vAlign w:val="center"/>
          </w:tcPr>
          <w:p w14:paraId="300EE0FC"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747 (29.6%)</w:t>
            </w:r>
          </w:p>
        </w:tc>
        <w:tc>
          <w:tcPr>
            <w:tcW w:w="2015" w:type="dxa"/>
            <w:vAlign w:val="center"/>
          </w:tcPr>
          <w:p w14:paraId="45D9E077" w14:textId="77777777" w:rsidR="00187C8B" w:rsidRPr="0084495F" w:rsidRDefault="00187C8B" w:rsidP="005C6240">
            <w:pPr>
              <w:keepNext/>
              <w:keepLines/>
              <w:ind w:left="-71" w:right="-62"/>
              <w:jc w:val="center"/>
              <w:rPr>
                <w:rFonts w:ascii="Arial Narrow" w:hAnsi="Arial Narrow"/>
                <w:sz w:val="20"/>
                <w:szCs w:val="20"/>
              </w:rPr>
            </w:pPr>
            <w:r w:rsidRPr="0084495F">
              <w:rPr>
                <w:rFonts w:ascii="Arial Narrow" w:hAnsi="Arial Narrow"/>
                <w:sz w:val="20"/>
                <w:szCs w:val="20"/>
              </w:rPr>
              <w:t>-</w:t>
            </w:r>
          </w:p>
        </w:tc>
      </w:tr>
      <w:tr w:rsidR="00187C8B" w:rsidRPr="0084495F" w14:paraId="0F227B4C" w14:textId="77777777" w:rsidTr="00FF0C6B">
        <w:tc>
          <w:tcPr>
            <w:tcW w:w="2973" w:type="dxa"/>
            <w:vAlign w:val="center"/>
          </w:tcPr>
          <w:p w14:paraId="53BFECCF" w14:textId="77777777" w:rsidR="00187C8B" w:rsidRPr="0084495F" w:rsidRDefault="00187C8B" w:rsidP="00624423">
            <w:pPr>
              <w:keepNext/>
              <w:keepLines/>
              <w:numPr>
                <w:ilvl w:val="0"/>
                <w:numId w:val="6"/>
              </w:numPr>
              <w:ind w:left="194" w:right="-70" w:hanging="124"/>
              <w:contextualSpacing/>
              <w:jc w:val="left"/>
              <w:rPr>
                <w:rFonts w:ascii="Arial Narrow" w:eastAsia="SimSun" w:hAnsi="Arial Narrow" w:cs="Calibri"/>
                <w:sz w:val="20"/>
                <w:szCs w:val="20"/>
                <w:lang w:eastAsia="zh-CN"/>
              </w:rPr>
            </w:pPr>
            <w:r w:rsidRPr="0084495F">
              <w:rPr>
                <w:rFonts w:ascii="Arial Narrow" w:eastAsia="SimSun" w:hAnsi="Arial Narrow" w:cs="Calibri"/>
                <w:sz w:val="20"/>
                <w:szCs w:val="20"/>
                <w:lang w:eastAsia="zh-CN"/>
              </w:rPr>
              <w:t>CV death first event n (%)</w:t>
            </w:r>
          </w:p>
        </w:tc>
        <w:tc>
          <w:tcPr>
            <w:tcW w:w="2014" w:type="dxa"/>
            <w:vAlign w:val="center"/>
          </w:tcPr>
          <w:p w14:paraId="04EC9845"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206 (8.2%)</w:t>
            </w:r>
          </w:p>
        </w:tc>
        <w:tc>
          <w:tcPr>
            <w:tcW w:w="2015" w:type="dxa"/>
            <w:vAlign w:val="center"/>
          </w:tcPr>
          <w:p w14:paraId="039A4518"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225 (8.9%)</w:t>
            </w:r>
          </w:p>
        </w:tc>
        <w:tc>
          <w:tcPr>
            <w:tcW w:w="2015" w:type="dxa"/>
            <w:vAlign w:val="center"/>
          </w:tcPr>
          <w:p w14:paraId="50595BC5" w14:textId="77777777" w:rsidR="00187C8B" w:rsidRPr="0084495F" w:rsidRDefault="00187C8B" w:rsidP="005C6240">
            <w:pPr>
              <w:keepNext/>
              <w:keepLines/>
              <w:ind w:left="-71" w:right="-62"/>
              <w:jc w:val="center"/>
              <w:rPr>
                <w:rFonts w:ascii="Arial Narrow" w:hAnsi="Arial Narrow"/>
                <w:sz w:val="20"/>
                <w:szCs w:val="20"/>
              </w:rPr>
            </w:pPr>
            <w:r w:rsidRPr="0084495F">
              <w:rPr>
                <w:rFonts w:ascii="Arial Narrow" w:hAnsi="Arial Narrow"/>
                <w:sz w:val="20"/>
                <w:szCs w:val="20"/>
              </w:rPr>
              <w:t>-</w:t>
            </w:r>
          </w:p>
        </w:tc>
      </w:tr>
      <w:tr w:rsidR="00187C8B" w:rsidRPr="0084495F" w14:paraId="40B57F32" w14:textId="77777777" w:rsidTr="00FF0C6B">
        <w:trPr>
          <w:trHeight w:val="101"/>
        </w:trPr>
        <w:tc>
          <w:tcPr>
            <w:tcW w:w="2973" w:type="dxa"/>
            <w:vAlign w:val="center"/>
          </w:tcPr>
          <w:p w14:paraId="38E0C736" w14:textId="77777777" w:rsidR="00187C8B" w:rsidRPr="0084495F" w:rsidRDefault="00187C8B" w:rsidP="005C6240">
            <w:pPr>
              <w:keepNext/>
              <w:keepLines/>
              <w:tabs>
                <w:tab w:val="left" w:pos="164"/>
              </w:tabs>
              <w:ind w:right="-55"/>
              <w:jc w:val="left"/>
              <w:rPr>
                <w:rFonts w:ascii="Arial Narrow" w:eastAsia="MS Gothic" w:hAnsi="Arial Narrow"/>
                <w:bCs/>
                <w:sz w:val="20"/>
                <w:szCs w:val="20"/>
              </w:rPr>
            </w:pPr>
            <w:r w:rsidRPr="0084495F">
              <w:rPr>
                <w:rFonts w:ascii="Arial Narrow" w:eastAsia="MS Gothic" w:hAnsi="Arial Narrow"/>
                <w:bCs/>
                <w:sz w:val="20"/>
                <w:szCs w:val="20"/>
              </w:rPr>
              <w:t>Time to CV death n (%)</w:t>
            </w:r>
          </w:p>
        </w:tc>
        <w:tc>
          <w:tcPr>
            <w:tcW w:w="2014" w:type="dxa"/>
            <w:vAlign w:val="center"/>
          </w:tcPr>
          <w:p w14:paraId="224729BA"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414 (16.4%)</w:t>
            </w:r>
          </w:p>
        </w:tc>
        <w:tc>
          <w:tcPr>
            <w:tcW w:w="2015" w:type="dxa"/>
            <w:vAlign w:val="center"/>
          </w:tcPr>
          <w:p w14:paraId="1F188682"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441 (17.5%)</w:t>
            </w:r>
          </w:p>
        </w:tc>
        <w:tc>
          <w:tcPr>
            <w:tcW w:w="2015" w:type="dxa"/>
            <w:vAlign w:val="center"/>
          </w:tcPr>
          <w:p w14:paraId="0AECFD13" w14:textId="77777777" w:rsidR="00187C8B" w:rsidRPr="0084495F" w:rsidRDefault="00187C8B" w:rsidP="005C6240">
            <w:pPr>
              <w:pStyle w:val="ListParagraph"/>
              <w:keepNext/>
              <w:keepLines/>
              <w:ind w:left="289" w:right="-62"/>
              <w:jc w:val="left"/>
              <w:rPr>
                <w:rFonts w:ascii="Arial Narrow" w:eastAsia="MS Gothic" w:hAnsi="Arial Narrow"/>
                <w:b/>
                <w:bCs/>
                <w:sz w:val="20"/>
                <w:szCs w:val="20"/>
              </w:rPr>
            </w:pPr>
            <w:r w:rsidRPr="0084495F">
              <w:rPr>
                <w:rFonts w:ascii="Arial Narrow" w:hAnsi="Arial Narrow"/>
                <w:sz w:val="20"/>
                <w:szCs w:val="20"/>
              </w:rPr>
              <w:t>0.93 (0.81, 1.06)</w:t>
            </w:r>
          </w:p>
        </w:tc>
      </w:tr>
      <w:tr w:rsidR="00187C8B" w:rsidRPr="0084495F" w14:paraId="7CCF2F8C" w14:textId="77777777" w:rsidTr="00FF0C6B">
        <w:trPr>
          <w:trHeight w:val="77"/>
        </w:trPr>
        <w:tc>
          <w:tcPr>
            <w:tcW w:w="2973" w:type="dxa"/>
            <w:vAlign w:val="center"/>
          </w:tcPr>
          <w:p w14:paraId="0DDD6AF9" w14:textId="77777777" w:rsidR="00187C8B" w:rsidRPr="0084495F" w:rsidRDefault="00187C8B" w:rsidP="005C6240">
            <w:pPr>
              <w:keepNext/>
              <w:keepLines/>
              <w:ind w:right="-70"/>
              <w:contextualSpacing/>
              <w:jc w:val="left"/>
              <w:rPr>
                <w:rFonts w:ascii="Arial Narrow" w:eastAsia="SimSun" w:hAnsi="Arial Narrow" w:cs="Calibri"/>
                <w:sz w:val="20"/>
                <w:szCs w:val="20"/>
                <w:lang w:eastAsia="zh-CN"/>
              </w:rPr>
            </w:pPr>
            <w:r w:rsidRPr="0084495F">
              <w:rPr>
                <w:rFonts w:ascii="Arial Narrow" w:eastAsia="SimSun" w:hAnsi="Arial Narrow" w:cs="Calibri"/>
                <w:sz w:val="20"/>
                <w:szCs w:val="20"/>
                <w:lang w:eastAsia="zh-CN"/>
              </w:rPr>
              <w:t xml:space="preserve">Time to first HHF event </w:t>
            </w:r>
            <w:r w:rsidRPr="0084495F">
              <w:rPr>
                <w:rFonts w:ascii="Arial Narrow" w:eastAsia="MS Gothic" w:hAnsi="Arial Narrow"/>
                <w:bCs/>
                <w:sz w:val="20"/>
                <w:szCs w:val="20"/>
              </w:rPr>
              <w:t>n (%)</w:t>
            </w:r>
          </w:p>
        </w:tc>
        <w:tc>
          <w:tcPr>
            <w:tcW w:w="2014" w:type="dxa"/>
            <w:vAlign w:val="center"/>
          </w:tcPr>
          <w:p w14:paraId="025D82B7"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691 (27.4%)</w:t>
            </w:r>
          </w:p>
        </w:tc>
        <w:tc>
          <w:tcPr>
            <w:tcW w:w="2015" w:type="dxa"/>
            <w:vAlign w:val="center"/>
          </w:tcPr>
          <w:p w14:paraId="586C590E"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747 (29.6%)</w:t>
            </w:r>
          </w:p>
        </w:tc>
        <w:tc>
          <w:tcPr>
            <w:tcW w:w="2015" w:type="dxa"/>
            <w:vAlign w:val="center"/>
          </w:tcPr>
          <w:p w14:paraId="4FA15F3B" w14:textId="77777777" w:rsidR="00187C8B" w:rsidRPr="0084495F" w:rsidRDefault="00187C8B" w:rsidP="005C6240">
            <w:pPr>
              <w:keepNext/>
              <w:keepLines/>
              <w:ind w:left="-71" w:right="-62"/>
              <w:jc w:val="center"/>
              <w:rPr>
                <w:rFonts w:ascii="Arial Narrow" w:hAnsi="Arial Narrow"/>
                <w:sz w:val="20"/>
                <w:szCs w:val="20"/>
              </w:rPr>
            </w:pPr>
            <w:r w:rsidRPr="0084495F">
              <w:rPr>
                <w:rFonts w:ascii="Arial Narrow" w:hAnsi="Arial Narrow"/>
                <w:sz w:val="20"/>
                <w:szCs w:val="20"/>
              </w:rPr>
              <w:t>0.90 (0.81, 1.00)</w:t>
            </w:r>
          </w:p>
        </w:tc>
      </w:tr>
      <w:tr w:rsidR="00187C8B" w:rsidRPr="0084495F" w14:paraId="090236CD" w14:textId="77777777" w:rsidTr="00FF0C6B">
        <w:trPr>
          <w:trHeight w:val="101"/>
        </w:trPr>
        <w:tc>
          <w:tcPr>
            <w:tcW w:w="9017" w:type="dxa"/>
            <w:gridSpan w:val="4"/>
            <w:tcBorders>
              <w:bottom w:val="nil"/>
            </w:tcBorders>
            <w:vAlign w:val="center"/>
          </w:tcPr>
          <w:p w14:paraId="33601B40" w14:textId="77777777" w:rsidR="00187C8B" w:rsidRPr="0084495F" w:rsidRDefault="00187C8B" w:rsidP="005C6240">
            <w:pPr>
              <w:keepNext/>
              <w:keepLines/>
              <w:tabs>
                <w:tab w:val="left" w:pos="164"/>
              </w:tabs>
              <w:ind w:right="-55"/>
              <w:jc w:val="left"/>
              <w:rPr>
                <w:rFonts w:ascii="Arial Narrow" w:eastAsia="MS Gothic" w:hAnsi="Arial Narrow"/>
                <w:b/>
                <w:sz w:val="20"/>
                <w:szCs w:val="20"/>
              </w:rPr>
            </w:pPr>
            <w:r w:rsidRPr="0084495F">
              <w:rPr>
                <w:rFonts w:ascii="Arial Narrow" w:eastAsia="MS Gothic" w:hAnsi="Arial Narrow"/>
                <w:b/>
                <w:sz w:val="20"/>
                <w:szCs w:val="20"/>
              </w:rPr>
              <w:t>Baseline NT-</w:t>
            </w:r>
            <w:proofErr w:type="spellStart"/>
            <w:r w:rsidRPr="0084495F">
              <w:rPr>
                <w:rFonts w:ascii="Arial Narrow" w:eastAsia="MS Gothic" w:hAnsi="Arial Narrow"/>
                <w:b/>
                <w:sz w:val="20"/>
                <w:szCs w:val="20"/>
              </w:rPr>
              <w:t>proBNP</w:t>
            </w:r>
            <w:proofErr w:type="spellEnd"/>
            <w:r w:rsidRPr="0084495F">
              <w:rPr>
                <w:rFonts w:ascii="Arial Narrow" w:eastAsia="MS Gothic" w:hAnsi="Arial Narrow"/>
                <w:b/>
                <w:sz w:val="20"/>
                <w:szCs w:val="20"/>
              </w:rPr>
              <w:t xml:space="preserve"> ≤5314 </w:t>
            </w:r>
            <w:proofErr w:type="spellStart"/>
            <w:r w:rsidRPr="0084495F">
              <w:rPr>
                <w:rFonts w:ascii="Arial Narrow" w:eastAsia="MS Gothic" w:hAnsi="Arial Narrow"/>
                <w:b/>
                <w:sz w:val="20"/>
                <w:szCs w:val="20"/>
              </w:rPr>
              <w:t>pg</w:t>
            </w:r>
            <w:proofErr w:type="spellEnd"/>
            <w:r w:rsidRPr="0084495F">
              <w:rPr>
                <w:rFonts w:ascii="Arial Narrow" w:eastAsia="MS Gothic" w:hAnsi="Arial Narrow"/>
                <w:b/>
                <w:sz w:val="20"/>
                <w:szCs w:val="20"/>
              </w:rPr>
              <w:t>/mL (Q1-Q3) subgroup</w:t>
            </w:r>
          </w:p>
        </w:tc>
      </w:tr>
      <w:tr w:rsidR="00187C8B" w:rsidRPr="0084495F" w14:paraId="309BC5E6" w14:textId="77777777" w:rsidTr="00FF0C6B">
        <w:trPr>
          <w:trHeight w:val="101"/>
        </w:trPr>
        <w:tc>
          <w:tcPr>
            <w:tcW w:w="2973" w:type="dxa"/>
            <w:vAlign w:val="center"/>
          </w:tcPr>
          <w:p w14:paraId="34FD1411" w14:textId="77777777" w:rsidR="00187C8B" w:rsidRPr="0084495F" w:rsidRDefault="00187C8B" w:rsidP="005C6240">
            <w:pPr>
              <w:keepNext/>
              <w:keepLines/>
              <w:tabs>
                <w:tab w:val="left" w:pos="164"/>
              </w:tabs>
              <w:ind w:right="-55"/>
              <w:jc w:val="left"/>
              <w:rPr>
                <w:rFonts w:ascii="Arial Narrow" w:eastAsia="MS Gothic" w:hAnsi="Arial Narrow"/>
                <w:bCs/>
                <w:sz w:val="20"/>
                <w:szCs w:val="20"/>
              </w:rPr>
            </w:pPr>
            <w:r w:rsidRPr="0084495F">
              <w:rPr>
                <w:rFonts w:ascii="Arial Narrow" w:eastAsia="MS Gothic" w:hAnsi="Arial Narrow"/>
                <w:bCs/>
                <w:sz w:val="20"/>
                <w:szCs w:val="20"/>
              </w:rPr>
              <w:t>N</w:t>
            </w:r>
          </w:p>
        </w:tc>
        <w:tc>
          <w:tcPr>
            <w:tcW w:w="2014" w:type="dxa"/>
            <w:vAlign w:val="center"/>
          </w:tcPr>
          <w:p w14:paraId="6BF78F7D" w14:textId="77777777" w:rsidR="00187C8B" w:rsidRPr="0084495F" w:rsidRDefault="00187C8B" w:rsidP="005C6240">
            <w:pPr>
              <w:keepNext/>
              <w:keepLines/>
              <w:ind w:left="-74" w:right="-62"/>
              <w:jc w:val="center"/>
              <w:rPr>
                <w:rFonts w:ascii="Arial Narrow" w:hAnsi="Arial Narrow"/>
                <w:bCs/>
                <w:sz w:val="20"/>
                <w:szCs w:val="20"/>
              </w:rPr>
            </w:pPr>
            <w:r w:rsidRPr="0084495F">
              <w:rPr>
                <w:rFonts w:ascii="Arial Narrow" w:hAnsi="Arial Narrow"/>
                <w:bCs/>
                <w:sz w:val="20"/>
                <w:szCs w:val="20"/>
              </w:rPr>
              <w:t>1798</w:t>
            </w:r>
          </w:p>
        </w:tc>
        <w:tc>
          <w:tcPr>
            <w:tcW w:w="2015" w:type="dxa"/>
            <w:vAlign w:val="center"/>
          </w:tcPr>
          <w:p w14:paraId="13489AE9" w14:textId="77777777" w:rsidR="00187C8B" w:rsidRPr="0084495F" w:rsidRDefault="00187C8B" w:rsidP="005C6240">
            <w:pPr>
              <w:keepNext/>
              <w:keepLines/>
              <w:ind w:left="-74" w:right="-62"/>
              <w:jc w:val="center"/>
              <w:rPr>
                <w:rFonts w:ascii="Arial Narrow" w:hAnsi="Arial Narrow"/>
                <w:bCs/>
                <w:sz w:val="20"/>
                <w:szCs w:val="20"/>
              </w:rPr>
            </w:pPr>
            <w:r w:rsidRPr="0084495F">
              <w:rPr>
                <w:rFonts w:ascii="Arial Narrow" w:hAnsi="Arial Narrow"/>
                <w:bCs/>
                <w:sz w:val="20"/>
                <w:szCs w:val="20"/>
              </w:rPr>
              <w:t>1806</w:t>
            </w:r>
          </w:p>
        </w:tc>
        <w:tc>
          <w:tcPr>
            <w:tcW w:w="2015" w:type="dxa"/>
            <w:vAlign w:val="center"/>
          </w:tcPr>
          <w:p w14:paraId="636B90B8" w14:textId="77777777" w:rsidR="00187C8B" w:rsidRPr="0084495F" w:rsidRDefault="00187C8B" w:rsidP="005C6240">
            <w:pPr>
              <w:keepNext/>
              <w:keepLines/>
              <w:ind w:left="-71" w:right="-62"/>
              <w:jc w:val="center"/>
              <w:rPr>
                <w:rFonts w:ascii="Arial Narrow" w:eastAsia="MS Gothic" w:hAnsi="Arial Narrow"/>
                <w:bCs/>
                <w:sz w:val="20"/>
                <w:szCs w:val="20"/>
              </w:rPr>
            </w:pPr>
          </w:p>
        </w:tc>
      </w:tr>
      <w:tr w:rsidR="00187C8B" w:rsidRPr="0084495F" w14:paraId="332E4C82" w14:textId="77777777" w:rsidTr="00FF0C6B">
        <w:trPr>
          <w:trHeight w:val="101"/>
        </w:trPr>
        <w:tc>
          <w:tcPr>
            <w:tcW w:w="2973" w:type="dxa"/>
            <w:vAlign w:val="center"/>
          </w:tcPr>
          <w:p w14:paraId="6303E756" w14:textId="77777777" w:rsidR="00187C8B" w:rsidRPr="0084495F" w:rsidRDefault="00187C8B" w:rsidP="005C6240">
            <w:pPr>
              <w:keepNext/>
              <w:keepLines/>
              <w:tabs>
                <w:tab w:val="left" w:pos="164"/>
              </w:tabs>
              <w:ind w:right="-55"/>
              <w:jc w:val="left"/>
              <w:rPr>
                <w:rFonts w:ascii="Arial Narrow" w:eastAsia="MS Gothic" w:hAnsi="Arial Narrow"/>
                <w:bCs/>
                <w:sz w:val="20"/>
                <w:szCs w:val="20"/>
                <w:vertAlign w:val="superscript"/>
              </w:rPr>
            </w:pPr>
            <w:r w:rsidRPr="0084495F">
              <w:rPr>
                <w:rFonts w:ascii="Arial Narrow" w:eastAsia="MS Gothic" w:hAnsi="Arial Narrow"/>
                <w:bCs/>
                <w:sz w:val="20"/>
                <w:szCs w:val="20"/>
              </w:rPr>
              <w:t xml:space="preserve">Composite of CV death or HHF n (%) </w:t>
            </w:r>
          </w:p>
        </w:tc>
        <w:tc>
          <w:tcPr>
            <w:tcW w:w="2014" w:type="dxa"/>
            <w:vAlign w:val="center"/>
          </w:tcPr>
          <w:p w14:paraId="27CEC5D4"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506 (28.1%)</w:t>
            </w:r>
          </w:p>
        </w:tc>
        <w:tc>
          <w:tcPr>
            <w:tcW w:w="2015" w:type="dxa"/>
            <w:vAlign w:val="center"/>
          </w:tcPr>
          <w:p w14:paraId="42882BF5"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619 (34.3%)</w:t>
            </w:r>
          </w:p>
        </w:tc>
        <w:tc>
          <w:tcPr>
            <w:tcW w:w="2015" w:type="dxa"/>
            <w:vAlign w:val="center"/>
          </w:tcPr>
          <w:p w14:paraId="7D0B3CF4" w14:textId="77777777" w:rsidR="00187C8B" w:rsidRPr="0084495F" w:rsidRDefault="00187C8B" w:rsidP="005C6240">
            <w:pPr>
              <w:keepNext/>
              <w:keepLines/>
              <w:ind w:left="-71" w:right="-62"/>
              <w:jc w:val="center"/>
              <w:rPr>
                <w:rFonts w:ascii="Arial Narrow" w:eastAsia="MS Gothic" w:hAnsi="Arial Narrow"/>
                <w:sz w:val="20"/>
                <w:szCs w:val="20"/>
              </w:rPr>
            </w:pPr>
            <w:r w:rsidRPr="0084495F">
              <w:rPr>
                <w:rFonts w:ascii="Arial Narrow" w:eastAsia="MS Gothic" w:hAnsi="Arial Narrow"/>
                <w:sz w:val="20"/>
                <w:szCs w:val="20"/>
              </w:rPr>
              <w:t>0.78 (0.69, 0.88)</w:t>
            </w:r>
          </w:p>
        </w:tc>
      </w:tr>
      <w:tr w:rsidR="00187C8B" w:rsidRPr="0084495F" w14:paraId="1DD266BE" w14:textId="77777777" w:rsidTr="00FF0C6B">
        <w:trPr>
          <w:trHeight w:val="77"/>
        </w:trPr>
        <w:tc>
          <w:tcPr>
            <w:tcW w:w="2973" w:type="dxa"/>
            <w:vAlign w:val="center"/>
          </w:tcPr>
          <w:p w14:paraId="1239F869" w14:textId="77777777" w:rsidR="00187C8B" w:rsidRPr="0084495F" w:rsidRDefault="00187C8B" w:rsidP="00624423">
            <w:pPr>
              <w:keepNext/>
              <w:keepLines/>
              <w:numPr>
                <w:ilvl w:val="0"/>
                <w:numId w:val="6"/>
              </w:numPr>
              <w:ind w:left="194" w:right="-70" w:hanging="124"/>
              <w:contextualSpacing/>
              <w:jc w:val="left"/>
              <w:rPr>
                <w:rFonts w:ascii="Arial Narrow" w:eastAsia="SimSun" w:hAnsi="Arial Narrow" w:cs="Calibri"/>
                <w:sz w:val="20"/>
                <w:szCs w:val="20"/>
                <w:lang w:eastAsia="zh-CN"/>
              </w:rPr>
            </w:pPr>
            <w:r w:rsidRPr="0084495F">
              <w:rPr>
                <w:rFonts w:ascii="Arial Narrow" w:eastAsia="SimSun" w:hAnsi="Arial Narrow" w:cs="Calibri"/>
                <w:sz w:val="20"/>
                <w:szCs w:val="20"/>
                <w:lang w:eastAsia="zh-CN"/>
              </w:rPr>
              <w:t>HHF first event n (%)</w:t>
            </w:r>
          </w:p>
        </w:tc>
        <w:tc>
          <w:tcPr>
            <w:tcW w:w="2014" w:type="dxa"/>
            <w:vAlign w:val="center"/>
          </w:tcPr>
          <w:p w14:paraId="54FB9E2C"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406 (22.6%)</w:t>
            </w:r>
          </w:p>
        </w:tc>
        <w:tc>
          <w:tcPr>
            <w:tcW w:w="2015" w:type="dxa"/>
            <w:vAlign w:val="center"/>
          </w:tcPr>
          <w:p w14:paraId="53EFE981"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504 (27.9%)</w:t>
            </w:r>
          </w:p>
        </w:tc>
        <w:tc>
          <w:tcPr>
            <w:tcW w:w="2015" w:type="dxa"/>
            <w:vAlign w:val="center"/>
          </w:tcPr>
          <w:p w14:paraId="35DDECCE" w14:textId="77777777" w:rsidR="00187C8B" w:rsidRPr="0084495F" w:rsidRDefault="00187C8B" w:rsidP="005C6240">
            <w:pPr>
              <w:keepNext/>
              <w:keepLines/>
              <w:ind w:left="-71" w:right="-62"/>
              <w:jc w:val="center"/>
              <w:rPr>
                <w:rFonts w:ascii="Arial Narrow" w:hAnsi="Arial Narrow"/>
                <w:sz w:val="20"/>
                <w:szCs w:val="20"/>
              </w:rPr>
            </w:pPr>
            <w:r w:rsidRPr="0084495F">
              <w:rPr>
                <w:rFonts w:ascii="Arial Narrow" w:hAnsi="Arial Narrow"/>
                <w:sz w:val="20"/>
                <w:szCs w:val="20"/>
              </w:rPr>
              <w:t>-</w:t>
            </w:r>
          </w:p>
        </w:tc>
      </w:tr>
      <w:tr w:rsidR="00187C8B" w:rsidRPr="0084495F" w14:paraId="2730284F" w14:textId="77777777" w:rsidTr="00FF0C6B">
        <w:tc>
          <w:tcPr>
            <w:tcW w:w="2973" w:type="dxa"/>
            <w:tcBorders>
              <w:bottom w:val="single" w:sz="4" w:space="0" w:color="auto"/>
            </w:tcBorders>
            <w:vAlign w:val="center"/>
          </w:tcPr>
          <w:p w14:paraId="2BBC3A93" w14:textId="77777777" w:rsidR="00187C8B" w:rsidRPr="0084495F" w:rsidRDefault="00187C8B" w:rsidP="00624423">
            <w:pPr>
              <w:keepNext/>
              <w:keepLines/>
              <w:numPr>
                <w:ilvl w:val="0"/>
                <w:numId w:val="6"/>
              </w:numPr>
              <w:ind w:left="194" w:right="-70" w:hanging="124"/>
              <w:contextualSpacing/>
              <w:jc w:val="left"/>
              <w:rPr>
                <w:rFonts w:ascii="Arial Narrow" w:eastAsia="SimSun" w:hAnsi="Arial Narrow" w:cs="Calibri"/>
                <w:sz w:val="20"/>
                <w:szCs w:val="20"/>
                <w:lang w:eastAsia="zh-CN"/>
              </w:rPr>
            </w:pPr>
            <w:r w:rsidRPr="0084495F">
              <w:rPr>
                <w:rFonts w:ascii="Arial Narrow" w:eastAsia="SimSun" w:hAnsi="Arial Narrow" w:cs="Calibri"/>
                <w:sz w:val="20"/>
                <w:szCs w:val="20"/>
                <w:lang w:eastAsia="zh-CN"/>
              </w:rPr>
              <w:t>CV death first event n (%)</w:t>
            </w:r>
          </w:p>
        </w:tc>
        <w:tc>
          <w:tcPr>
            <w:tcW w:w="2014" w:type="dxa"/>
            <w:tcBorders>
              <w:bottom w:val="single" w:sz="4" w:space="0" w:color="auto"/>
            </w:tcBorders>
            <w:vAlign w:val="center"/>
          </w:tcPr>
          <w:p w14:paraId="6F1FF20A"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100 (5.6%)</w:t>
            </w:r>
          </w:p>
        </w:tc>
        <w:tc>
          <w:tcPr>
            <w:tcW w:w="2015" w:type="dxa"/>
            <w:tcBorders>
              <w:bottom w:val="single" w:sz="4" w:space="0" w:color="auto"/>
            </w:tcBorders>
            <w:vAlign w:val="center"/>
          </w:tcPr>
          <w:p w14:paraId="37956544"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115 (6.4%)</w:t>
            </w:r>
          </w:p>
        </w:tc>
        <w:tc>
          <w:tcPr>
            <w:tcW w:w="2015" w:type="dxa"/>
            <w:tcBorders>
              <w:bottom w:val="single" w:sz="4" w:space="0" w:color="auto"/>
            </w:tcBorders>
            <w:vAlign w:val="center"/>
          </w:tcPr>
          <w:p w14:paraId="795AB073" w14:textId="77777777" w:rsidR="00187C8B" w:rsidRPr="0084495F" w:rsidRDefault="00187C8B" w:rsidP="005C6240">
            <w:pPr>
              <w:keepNext/>
              <w:keepLines/>
              <w:ind w:left="-71" w:right="-62"/>
              <w:jc w:val="center"/>
              <w:rPr>
                <w:rFonts w:ascii="Arial Narrow" w:hAnsi="Arial Narrow"/>
                <w:sz w:val="20"/>
                <w:szCs w:val="20"/>
              </w:rPr>
            </w:pPr>
            <w:r w:rsidRPr="0084495F">
              <w:rPr>
                <w:rFonts w:ascii="Arial Narrow" w:hAnsi="Arial Narrow"/>
                <w:sz w:val="20"/>
                <w:szCs w:val="20"/>
              </w:rPr>
              <w:t>-</w:t>
            </w:r>
          </w:p>
        </w:tc>
      </w:tr>
      <w:tr w:rsidR="00187C8B" w:rsidRPr="0084495F" w14:paraId="3316B4A1" w14:textId="77777777" w:rsidTr="00FF0C6B">
        <w:trPr>
          <w:trHeight w:val="101"/>
        </w:trPr>
        <w:tc>
          <w:tcPr>
            <w:tcW w:w="2973" w:type="dxa"/>
            <w:vAlign w:val="center"/>
          </w:tcPr>
          <w:p w14:paraId="7D873457" w14:textId="77777777" w:rsidR="00187C8B" w:rsidRPr="0084495F" w:rsidRDefault="00187C8B" w:rsidP="005C6240">
            <w:pPr>
              <w:keepNext/>
              <w:keepLines/>
              <w:tabs>
                <w:tab w:val="left" w:pos="164"/>
              </w:tabs>
              <w:ind w:right="-55"/>
              <w:jc w:val="left"/>
              <w:rPr>
                <w:rFonts w:ascii="Arial Narrow" w:eastAsia="MS Gothic" w:hAnsi="Arial Narrow"/>
                <w:bCs/>
                <w:sz w:val="20"/>
                <w:szCs w:val="20"/>
              </w:rPr>
            </w:pPr>
            <w:r w:rsidRPr="0084495F">
              <w:rPr>
                <w:rFonts w:ascii="Arial Narrow" w:eastAsia="MS Gothic" w:hAnsi="Arial Narrow"/>
                <w:bCs/>
                <w:sz w:val="20"/>
                <w:szCs w:val="20"/>
              </w:rPr>
              <w:t xml:space="preserve">Time to CV death n (%) </w:t>
            </w:r>
          </w:p>
        </w:tc>
        <w:tc>
          <w:tcPr>
            <w:tcW w:w="2014" w:type="dxa"/>
            <w:vAlign w:val="center"/>
          </w:tcPr>
          <w:p w14:paraId="46EFDF0C"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190 (10.6%)</w:t>
            </w:r>
          </w:p>
        </w:tc>
        <w:tc>
          <w:tcPr>
            <w:tcW w:w="2015" w:type="dxa"/>
            <w:vAlign w:val="center"/>
          </w:tcPr>
          <w:p w14:paraId="7B4CA97F" w14:textId="77777777" w:rsidR="00187C8B" w:rsidRPr="0084495F" w:rsidRDefault="00187C8B" w:rsidP="00624423">
            <w:pPr>
              <w:pStyle w:val="ListParagraph"/>
              <w:keepNext/>
              <w:keepLines/>
              <w:numPr>
                <w:ilvl w:val="0"/>
                <w:numId w:val="8"/>
              </w:numPr>
              <w:ind w:right="-62"/>
              <w:jc w:val="center"/>
              <w:rPr>
                <w:rFonts w:ascii="Arial Narrow" w:hAnsi="Arial Narrow"/>
                <w:sz w:val="20"/>
                <w:szCs w:val="20"/>
              </w:rPr>
            </w:pPr>
            <w:r w:rsidRPr="0084495F">
              <w:rPr>
                <w:rFonts w:ascii="Arial Narrow" w:hAnsi="Arial Narrow"/>
                <w:sz w:val="20"/>
                <w:szCs w:val="20"/>
              </w:rPr>
              <w:t xml:space="preserve">(13.3%) </w:t>
            </w:r>
          </w:p>
        </w:tc>
        <w:tc>
          <w:tcPr>
            <w:tcW w:w="2015" w:type="dxa"/>
            <w:vAlign w:val="center"/>
          </w:tcPr>
          <w:p w14:paraId="470F5AAF" w14:textId="77777777" w:rsidR="00187C8B" w:rsidRPr="0084495F" w:rsidRDefault="00187C8B" w:rsidP="005C6240">
            <w:pPr>
              <w:keepNext/>
              <w:keepLines/>
              <w:ind w:left="-71" w:right="-62"/>
              <w:jc w:val="center"/>
              <w:rPr>
                <w:rFonts w:ascii="Arial Narrow" w:eastAsia="MS Gothic" w:hAnsi="Arial Narrow"/>
                <w:sz w:val="20"/>
                <w:szCs w:val="20"/>
              </w:rPr>
            </w:pPr>
            <w:r w:rsidRPr="0084495F">
              <w:rPr>
                <w:rFonts w:ascii="Arial Narrow" w:eastAsia="MS Gothic" w:hAnsi="Arial Narrow"/>
                <w:sz w:val="20"/>
                <w:szCs w:val="20"/>
              </w:rPr>
              <w:t>0.78 (0.65, 0.94)</w:t>
            </w:r>
          </w:p>
        </w:tc>
      </w:tr>
      <w:tr w:rsidR="00187C8B" w:rsidRPr="0084495F" w14:paraId="20FC052C" w14:textId="77777777" w:rsidTr="00FF0C6B">
        <w:trPr>
          <w:trHeight w:val="77"/>
        </w:trPr>
        <w:tc>
          <w:tcPr>
            <w:tcW w:w="2973" w:type="dxa"/>
            <w:vAlign w:val="center"/>
          </w:tcPr>
          <w:p w14:paraId="091C6227" w14:textId="77777777" w:rsidR="00187C8B" w:rsidRPr="0084495F" w:rsidRDefault="00187C8B" w:rsidP="005C6240">
            <w:pPr>
              <w:keepNext/>
              <w:keepLines/>
              <w:ind w:right="-70"/>
              <w:contextualSpacing/>
              <w:jc w:val="left"/>
              <w:rPr>
                <w:rFonts w:ascii="Arial Narrow" w:eastAsia="SimSun" w:hAnsi="Arial Narrow" w:cs="Calibri"/>
                <w:sz w:val="20"/>
                <w:szCs w:val="20"/>
                <w:lang w:eastAsia="zh-CN"/>
              </w:rPr>
            </w:pPr>
            <w:r w:rsidRPr="0084495F">
              <w:rPr>
                <w:rFonts w:ascii="Arial Narrow" w:eastAsia="SimSun" w:hAnsi="Arial Narrow" w:cs="Calibri"/>
                <w:sz w:val="20"/>
                <w:szCs w:val="20"/>
                <w:lang w:eastAsia="zh-CN"/>
              </w:rPr>
              <w:t xml:space="preserve">Time to first HHF event </w:t>
            </w:r>
            <w:r w:rsidRPr="0084495F">
              <w:rPr>
                <w:rFonts w:ascii="Arial Narrow" w:eastAsia="MS Gothic" w:hAnsi="Arial Narrow"/>
                <w:bCs/>
                <w:sz w:val="20"/>
                <w:szCs w:val="20"/>
              </w:rPr>
              <w:t xml:space="preserve">n (%) </w:t>
            </w:r>
          </w:p>
        </w:tc>
        <w:tc>
          <w:tcPr>
            <w:tcW w:w="2014" w:type="dxa"/>
            <w:vAlign w:val="center"/>
          </w:tcPr>
          <w:p w14:paraId="20EE2798"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 xml:space="preserve">406 (22.6%) </w:t>
            </w:r>
          </w:p>
        </w:tc>
        <w:tc>
          <w:tcPr>
            <w:tcW w:w="2015" w:type="dxa"/>
            <w:vAlign w:val="center"/>
          </w:tcPr>
          <w:p w14:paraId="6B71B940"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 xml:space="preserve">504 (27.9%) </w:t>
            </w:r>
          </w:p>
        </w:tc>
        <w:tc>
          <w:tcPr>
            <w:tcW w:w="2015" w:type="dxa"/>
            <w:vAlign w:val="center"/>
          </w:tcPr>
          <w:p w14:paraId="04DCAD96" w14:textId="77777777" w:rsidR="00187C8B" w:rsidRPr="0084495F" w:rsidRDefault="00187C8B" w:rsidP="005C6240">
            <w:pPr>
              <w:keepNext/>
              <w:keepLines/>
              <w:ind w:left="-71" w:right="-62"/>
              <w:jc w:val="center"/>
              <w:rPr>
                <w:rFonts w:ascii="Arial Narrow" w:hAnsi="Arial Narrow"/>
                <w:sz w:val="20"/>
                <w:szCs w:val="20"/>
              </w:rPr>
            </w:pPr>
            <w:r w:rsidRPr="0084495F">
              <w:rPr>
                <w:rFonts w:ascii="Arial Narrow" w:eastAsia="Calibri" w:hAnsi="Arial Narrow" w:cstheme="minorHAnsi"/>
                <w:sz w:val="20"/>
                <w:szCs w:val="20"/>
              </w:rPr>
              <w:t>0.77 (0.67, 0.88)</w:t>
            </w:r>
          </w:p>
        </w:tc>
      </w:tr>
      <w:tr w:rsidR="00187C8B" w:rsidRPr="0084495F" w14:paraId="01493039" w14:textId="77777777" w:rsidTr="00FF0C6B">
        <w:trPr>
          <w:trHeight w:val="101"/>
        </w:trPr>
        <w:tc>
          <w:tcPr>
            <w:tcW w:w="9017" w:type="dxa"/>
            <w:gridSpan w:val="4"/>
            <w:tcBorders>
              <w:bottom w:val="nil"/>
            </w:tcBorders>
            <w:vAlign w:val="center"/>
          </w:tcPr>
          <w:p w14:paraId="7F5F2CDE" w14:textId="77777777" w:rsidR="00187C8B" w:rsidRPr="0084495F" w:rsidRDefault="00187C8B" w:rsidP="005C6240">
            <w:pPr>
              <w:keepNext/>
              <w:keepLines/>
              <w:tabs>
                <w:tab w:val="left" w:pos="164"/>
              </w:tabs>
              <w:ind w:right="-55"/>
              <w:jc w:val="left"/>
              <w:rPr>
                <w:rFonts w:ascii="Arial Narrow" w:eastAsia="MS Gothic" w:hAnsi="Arial Narrow"/>
                <w:b/>
                <w:sz w:val="20"/>
                <w:szCs w:val="20"/>
              </w:rPr>
            </w:pPr>
            <w:r w:rsidRPr="0084495F">
              <w:rPr>
                <w:rFonts w:ascii="Arial Narrow" w:eastAsia="MS Gothic" w:hAnsi="Arial Narrow"/>
                <w:b/>
                <w:sz w:val="20"/>
                <w:szCs w:val="20"/>
              </w:rPr>
              <w:t>Baseline NT-</w:t>
            </w:r>
            <w:proofErr w:type="spellStart"/>
            <w:r w:rsidRPr="0084495F">
              <w:rPr>
                <w:rFonts w:ascii="Arial Narrow" w:eastAsia="MS Gothic" w:hAnsi="Arial Narrow"/>
                <w:b/>
                <w:sz w:val="20"/>
                <w:szCs w:val="20"/>
              </w:rPr>
              <w:t>proBNP</w:t>
            </w:r>
            <w:proofErr w:type="spellEnd"/>
            <w:r w:rsidRPr="0084495F">
              <w:rPr>
                <w:rFonts w:ascii="Arial Narrow" w:eastAsia="MS Gothic" w:hAnsi="Arial Narrow"/>
                <w:b/>
                <w:sz w:val="20"/>
                <w:szCs w:val="20"/>
              </w:rPr>
              <w:t xml:space="preserve"> &gt;5314 </w:t>
            </w:r>
            <w:proofErr w:type="spellStart"/>
            <w:r w:rsidRPr="0084495F">
              <w:rPr>
                <w:rFonts w:ascii="Arial Narrow" w:eastAsia="MS Gothic" w:hAnsi="Arial Narrow"/>
                <w:b/>
                <w:sz w:val="20"/>
                <w:szCs w:val="20"/>
              </w:rPr>
              <w:t>pg</w:t>
            </w:r>
            <w:proofErr w:type="spellEnd"/>
            <w:r w:rsidRPr="0084495F">
              <w:rPr>
                <w:rFonts w:ascii="Arial Narrow" w:eastAsia="MS Gothic" w:hAnsi="Arial Narrow"/>
                <w:b/>
                <w:sz w:val="20"/>
                <w:szCs w:val="20"/>
              </w:rPr>
              <w:t>/mL (Q4) subgroup</w:t>
            </w:r>
          </w:p>
        </w:tc>
      </w:tr>
      <w:tr w:rsidR="00187C8B" w:rsidRPr="0084495F" w14:paraId="5C4A7BFF" w14:textId="77777777" w:rsidTr="00FF0C6B">
        <w:trPr>
          <w:trHeight w:val="101"/>
        </w:trPr>
        <w:tc>
          <w:tcPr>
            <w:tcW w:w="2973" w:type="dxa"/>
            <w:vAlign w:val="center"/>
          </w:tcPr>
          <w:p w14:paraId="6FCB99A6" w14:textId="77777777" w:rsidR="00187C8B" w:rsidRPr="0084495F" w:rsidRDefault="00187C8B" w:rsidP="005C6240">
            <w:pPr>
              <w:keepNext/>
              <w:keepLines/>
              <w:tabs>
                <w:tab w:val="left" w:pos="164"/>
              </w:tabs>
              <w:ind w:right="-55"/>
              <w:jc w:val="left"/>
              <w:rPr>
                <w:rFonts w:ascii="Arial Narrow" w:eastAsia="MS Gothic" w:hAnsi="Arial Narrow"/>
                <w:bCs/>
                <w:sz w:val="20"/>
                <w:szCs w:val="20"/>
              </w:rPr>
            </w:pPr>
            <w:r w:rsidRPr="0084495F">
              <w:rPr>
                <w:rFonts w:ascii="Arial Narrow" w:eastAsia="MS Gothic" w:hAnsi="Arial Narrow"/>
                <w:bCs/>
                <w:sz w:val="20"/>
                <w:szCs w:val="20"/>
              </w:rPr>
              <w:t>N</w:t>
            </w:r>
          </w:p>
        </w:tc>
        <w:tc>
          <w:tcPr>
            <w:tcW w:w="2014" w:type="dxa"/>
            <w:vAlign w:val="center"/>
          </w:tcPr>
          <w:p w14:paraId="70D2762E" w14:textId="77777777" w:rsidR="00187C8B" w:rsidRPr="0084495F" w:rsidRDefault="00187C8B" w:rsidP="005C6240">
            <w:pPr>
              <w:keepNext/>
              <w:keepLines/>
              <w:ind w:left="-74" w:right="-62"/>
              <w:jc w:val="center"/>
              <w:rPr>
                <w:rFonts w:ascii="Arial Narrow" w:hAnsi="Arial Narrow"/>
                <w:bCs/>
                <w:sz w:val="20"/>
                <w:szCs w:val="20"/>
              </w:rPr>
            </w:pPr>
            <w:r w:rsidRPr="0084495F">
              <w:rPr>
                <w:rFonts w:ascii="Arial Narrow" w:hAnsi="Arial Narrow"/>
                <w:bCs/>
                <w:sz w:val="20"/>
                <w:szCs w:val="20"/>
              </w:rPr>
              <w:t>616</w:t>
            </w:r>
          </w:p>
        </w:tc>
        <w:tc>
          <w:tcPr>
            <w:tcW w:w="2015" w:type="dxa"/>
            <w:vAlign w:val="center"/>
          </w:tcPr>
          <w:p w14:paraId="550CB846" w14:textId="77777777" w:rsidR="00187C8B" w:rsidRPr="0084495F" w:rsidRDefault="00187C8B" w:rsidP="005C6240">
            <w:pPr>
              <w:keepNext/>
              <w:keepLines/>
              <w:ind w:left="-74" w:right="-62"/>
              <w:jc w:val="center"/>
              <w:rPr>
                <w:rFonts w:ascii="Arial Narrow" w:hAnsi="Arial Narrow"/>
                <w:bCs/>
                <w:sz w:val="20"/>
                <w:szCs w:val="20"/>
              </w:rPr>
            </w:pPr>
            <w:r w:rsidRPr="0084495F">
              <w:rPr>
                <w:rFonts w:ascii="Arial Narrow" w:hAnsi="Arial Narrow"/>
                <w:bCs/>
                <w:sz w:val="20"/>
                <w:szCs w:val="20"/>
              </w:rPr>
              <w:t>585</w:t>
            </w:r>
          </w:p>
        </w:tc>
        <w:tc>
          <w:tcPr>
            <w:tcW w:w="2015" w:type="dxa"/>
            <w:vAlign w:val="center"/>
          </w:tcPr>
          <w:p w14:paraId="64062F1E" w14:textId="77777777" w:rsidR="00187C8B" w:rsidRPr="0084495F" w:rsidRDefault="00187C8B" w:rsidP="005C6240">
            <w:pPr>
              <w:keepNext/>
              <w:keepLines/>
              <w:ind w:left="-71" w:right="-62"/>
              <w:jc w:val="center"/>
              <w:rPr>
                <w:rFonts w:ascii="Arial Narrow" w:eastAsia="MS Gothic" w:hAnsi="Arial Narrow"/>
                <w:bCs/>
                <w:sz w:val="20"/>
                <w:szCs w:val="20"/>
              </w:rPr>
            </w:pPr>
          </w:p>
        </w:tc>
      </w:tr>
      <w:tr w:rsidR="00187C8B" w:rsidRPr="0084495F" w14:paraId="0B8535AE" w14:textId="77777777" w:rsidTr="00FF0C6B">
        <w:trPr>
          <w:trHeight w:val="101"/>
        </w:trPr>
        <w:tc>
          <w:tcPr>
            <w:tcW w:w="2973" w:type="dxa"/>
            <w:vAlign w:val="center"/>
          </w:tcPr>
          <w:p w14:paraId="3083C745" w14:textId="77777777" w:rsidR="00187C8B" w:rsidRPr="0084495F" w:rsidRDefault="00187C8B" w:rsidP="005C6240">
            <w:pPr>
              <w:keepNext/>
              <w:keepLines/>
              <w:tabs>
                <w:tab w:val="left" w:pos="164"/>
              </w:tabs>
              <w:ind w:right="-55"/>
              <w:jc w:val="left"/>
              <w:rPr>
                <w:rFonts w:ascii="Arial Narrow" w:eastAsia="MS Gothic" w:hAnsi="Arial Narrow"/>
                <w:bCs/>
                <w:sz w:val="20"/>
                <w:szCs w:val="20"/>
                <w:vertAlign w:val="superscript"/>
              </w:rPr>
            </w:pPr>
            <w:r w:rsidRPr="0084495F">
              <w:rPr>
                <w:rFonts w:ascii="Arial Narrow" w:eastAsia="MS Gothic" w:hAnsi="Arial Narrow"/>
                <w:bCs/>
                <w:sz w:val="20"/>
                <w:szCs w:val="20"/>
              </w:rPr>
              <w:t xml:space="preserve">Composite of CV death or HHF n (%) </w:t>
            </w:r>
          </w:p>
        </w:tc>
        <w:tc>
          <w:tcPr>
            <w:tcW w:w="2014" w:type="dxa"/>
            <w:vAlign w:val="center"/>
          </w:tcPr>
          <w:p w14:paraId="4A806F8B"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355 (57.6)</w:t>
            </w:r>
          </w:p>
        </w:tc>
        <w:tc>
          <w:tcPr>
            <w:tcW w:w="2015" w:type="dxa"/>
            <w:vAlign w:val="center"/>
          </w:tcPr>
          <w:p w14:paraId="3C43FA4B"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302 (51.6%)</w:t>
            </w:r>
          </w:p>
        </w:tc>
        <w:tc>
          <w:tcPr>
            <w:tcW w:w="2015" w:type="dxa"/>
            <w:vAlign w:val="center"/>
          </w:tcPr>
          <w:p w14:paraId="16E5DE13" w14:textId="77777777" w:rsidR="00187C8B" w:rsidRPr="0084495F" w:rsidRDefault="00187C8B" w:rsidP="005C6240">
            <w:pPr>
              <w:keepNext/>
              <w:keepLines/>
              <w:ind w:left="-71" w:right="-62"/>
              <w:jc w:val="center"/>
              <w:rPr>
                <w:rFonts w:ascii="Arial Narrow" w:eastAsia="MS Gothic" w:hAnsi="Arial Narrow"/>
                <w:sz w:val="20"/>
                <w:szCs w:val="20"/>
              </w:rPr>
            </w:pPr>
            <w:r w:rsidRPr="0084495F">
              <w:rPr>
                <w:rFonts w:ascii="Arial Narrow" w:eastAsia="MS Gothic" w:hAnsi="Arial Narrow"/>
                <w:sz w:val="20"/>
                <w:szCs w:val="20"/>
              </w:rPr>
              <w:t>1.15 (0.99, 1.34)</w:t>
            </w:r>
          </w:p>
        </w:tc>
      </w:tr>
      <w:tr w:rsidR="00187C8B" w:rsidRPr="0084495F" w14:paraId="292C54B1" w14:textId="77777777" w:rsidTr="00FF0C6B">
        <w:trPr>
          <w:trHeight w:val="77"/>
        </w:trPr>
        <w:tc>
          <w:tcPr>
            <w:tcW w:w="2973" w:type="dxa"/>
            <w:vAlign w:val="center"/>
          </w:tcPr>
          <w:p w14:paraId="1068FF39" w14:textId="77777777" w:rsidR="00187C8B" w:rsidRPr="0084495F" w:rsidRDefault="00187C8B" w:rsidP="00624423">
            <w:pPr>
              <w:keepNext/>
              <w:keepLines/>
              <w:numPr>
                <w:ilvl w:val="0"/>
                <w:numId w:val="6"/>
              </w:numPr>
              <w:ind w:left="194" w:right="-70" w:hanging="124"/>
              <w:contextualSpacing/>
              <w:jc w:val="left"/>
              <w:rPr>
                <w:rFonts w:ascii="Arial Narrow" w:eastAsia="SimSun" w:hAnsi="Arial Narrow" w:cs="Calibri"/>
                <w:sz w:val="20"/>
                <w:szCs w:val="20"/>
                <w:lang w:eastAsia="zh-CN"/>
              </w:rPr>
            </w:pPr>
            <w:r w:rsidRPr="0084495F">
              <w:rPr>
                <w:rFonts w:ascii="Arial Narrow" w:eastAsia="SimSun" w:hAnsi="Arial Narrow" w:cs="Calibri"/>
                <w:sz w:val="20"/>
                <w:szCs w:val="20"/>
                <w:lang w:eastAsia="zh-CN"/>
              </w:rPr>
              <w:t>HHF first event n (%)</w:t>
            </w:r>
          </w:p>
        </w:tc>
        <w:tc>
          <w:tcPr>
            <w:tcW w:w="2014" w:type="dxa"/>
            <w:vAlign w:val="center"/>
          </w:tcPr>
          <w:p w14:paraId="2713EB3A"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251 (40.7%)</w:t>
            </w:r>
          </w:p>
        </w:tc>
        <w:tc>
          <w:tcPr>
            <w:tcW w:w="2015" w:type="dxa"/>
            <w:vAlign w:val="center"/>
          </w:tcPr>
          <w:p w14:paraId="4233C86B"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209 (35.7%)</w:t>
            </w:r>
          </w:p>
        </w:tc>
        <w:tc>
          <w:tcPr>
            <w:tcW w:w="2015" w:type="dxa"/>
            <w:vAlign w:val="center"/>
          </w:tcPr>
          <w:p w14:paraId="579C7B20" w14:textId="77777777" w:rsidR="00187C8B" w:rsidRPr="0084495F" w:rsidRDefault="00187C8B" w:rsidP="005C6240">
            <w:pPr>
              <w:keepNext/>
              <w:keepLines/>
              <w:ind w:left="-71" w:right="-62"/>
              <w:jc w:val="center"/>
              <w:rPr>
                <w:rFonts w:ascii="Arial Narrow" w:hAnsi="Arial Narrow"/>
                <w:sz w:val="20"/>
                <w:szCs w:val="20"/>
              </w:rPr>
            </w:pPr>
            <w:r w:rsidRPr="0084495F">
              <w:rPr>
                <w:rFonts w:ascii="Arial Narrow" w:hAnsi="Arial Narrow"/>
                <w:sz w:val="20"/>
                <w:szCs w:val="20"/>
              </w:rPr>
              <w:t>-</w:t>
            </w:r>
          </w:p>
        </w:tc>
      </w:tr>
      <w:tr w:rsidR="00187C8B" w:rsidRPr="0084495F" w14:paraId="028253E6" w14:textId="77777777" w:rsidTr="00FF0C6B">
        <w:tc>
          <w:tcPr>
            <w:tcW w:w="2973" w:type="dxa"/>
            <w:tcBorders>
              <w:bottom w:val="single" w:sz="4" w:space="0" w:color="auto"/>
            </w:tcBorders>
            <w:vAlign w:val="center"/>
          </w:tcPr>
          <w:p w14:paraId="24B9CA84" w14:textId="77777777" w:rsidR="00187C8B" w:rsidRPr="0084495F" w:rsidRDefault="00187C8B" w:rsidP="00624423">
            <w:pPr>
              <w:keepNext/>
              <w:keepLines/>
              <w:numPr>
                <w:ilvl w:val="0"/>
                <w:numId w:val="6"/>
              </w:numPr>
              <w:ind w:left="194" w:right="-70" w:hanging="124"/>
              <w:contextualSpacing/>
              <w:jc w:val="left"/>
              <w:rPr>
                <w:rFonts w:ascii="Arial Narrow" w:eastAsia="SimSun" w:hAnsi="Arial Narrow" w:cs="Calibri"/>
                <w:sz w:val="20"/>
                <w:szCs w:val="20"/>
                <w:lang w:eastAsia="zh-CN"/>
              </w:rPr>
            </w:pPr>
            <w:r w:rsidRPr="0084495F">
              <w:rPr>
                <w:rFonts w:ascii="Arial Narrow" w:eastAsia="SimSun" w:hAnsi="Arial Narrow" w:cs="Calibri"/>
                <w:sz w:val="20"/>
                <w:szCs w:val="20"/>
                <w:lang w:eastAsia="zh-CN"/>
              </w:rPr>
              <w:t>CV death first event n (%)</w:t>
            </w:r>
          </w:p>
        </w:tc>
        <w:tc>
          <w:tcPr>
            <w:tcW w:w="2014" w:type="dxa"/>
            <w:tcBorders>
              <w:bottom w:val="single" w:sz="4" w:space="0" w:color="auto"/>
            </w:tcBorders>
            <w:vAlign w:val="center"/>
          </w:tcPr>
          <w:p w14:paraId="069AF6FC"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104 (16.9%)</w:t>
            </w:r>
          </w:p>
        </w:tc>
        <w:tc>
          <w:tcPr>
            <w:tcW w:w="2015" w:type="dxa"/>
            <w:tcBorders>
              <w:bottom w:val="single" w:sz="4" w:space="0" w:color="auto"/>
            </w:tcBorders>
            <w:vAlign w:val="center"/>
          </w:tcPr>
          <w:p w14:paraId="0201CA89"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93 (15.9%)</w:t>
            </w:r>
          </w:p>
        </w:tc>
        <w:tc>
          <w:tcPr>
            <w:tcW w:w="2015" w:type="dxa"/>
            <w:tcBorders>
              <w:bottom w:val="single" w:sz="4" w:space="0" w:color="auto"/>
            </w:tcBorders>
            <w:vAlign w:val="center"/>
          </w:tcPr>
          <w:p w14:paraId="19C3AAF6" w14:textId="77777777" w:rsidR="00187C8B" w:rsidRPr="0084495F" w:rsidRDefault="00187C8B" w:rsidP="005C6240">
            <w:pPr>
              <w:keepNext/>
              <w:keepLines/>
              <w:ind w:left="-71" w:right="-62"/>
              <w:jc w:val="center"/>
              <w:rPr>
                <w:rFonts w:ascii="Arial Narrow" w:hAnsi="Arial Narrow"/>
                <w:sz w:val="20"/>
                <w:szCs w:val="20"/>
              </w:rPr>
            </w:pPr>
            <w:r w:rsidRPr="0084495F">
              <w:rPr>
                <w:rFonts w:ascii="Arial Narrow" w:hAnsi="Arial Narrow"/>
                <w:sz w:val="20"/>
                <w:szCs w:val="20"/>
              </w:rPr>
              <w:t>-</w:t>
            </w:r>
          </w:p>
        </w:tc>
      </w:tr>
      <w:tr w:rsidR="00187C8B" w:rsidRPr="0084495F" w14:paraId="32943261" w14:textId="77777777" w:rsidTr="00FF0C6B">
        <w:trPr>
          <w:trHeight w:val="101"/>
        </w:trPr>
        <w:tc>
          <w:tcPr>
            <w:tcW w:w="2973" w:type="dxa"/>
            <w:vAlign w:val="center"/>
          </w:tcPr>
          <w:p w14:paraId="5CD94F55" w14:textId="77777777" w:rsidR="00187C8B" w:rsidRPr="0084495F" w:rsidRDefault="00187C8B" w:rsidP="005C6240">
            <w:pPr>
              <w:keepNext/>
              <w:keepLines/>
              <w:tabs>
                <w:tab w:val="left" w:pos="164"/>
              </w:tabs>
              <w:ind w:right="-55"/>
              <w:jc w:val="left"/>
              <w:rPr>
                <w:rFonts w:ascii="Arial Narrow" w:eastAsia="MS Gothic" w:hAnsi="Arial Narrow"/>
                <w:bCs/>
                <w:sz w:val="20"/>
                <w:szCs w:val="20"/>
              </w:rPr>
            </w:pPr>
            <w:r w:rsidRPr="0084495F">
              <w:rPr>
                <w:rFonts w:ascii="Arial Narrow" w:eastAsia="MS Gothic" w:hAnsi="Arial Narrow"/>
                <w:bCs/>
                <w:sz w:val="20"/>
                <w:szCs w:val="20"/>
              </w:rPr>
              <w:t xml:space="preserve">Time to CV death n (%) </w:t>
            </w:r>
          </w:p>
        </w:tc>
        <w:tc>
          <w:tcPr>
            <w:tcW w:w="2014" w:type="dxa"/>
            <w:vAlign w:val="center"/>
          </w:tcPr>
          <w:p w14:paraId="17C5533D"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 xml:space="preserve">208 (33.8%) </w:t>
            </w:r>
          </w:p>
        </w:tc>
        <w:tc>
          <w:tcPr>
            <w:tcW w:w="2015" w:type="dxa"/>
            <w:vAlign w:val="center"/>
          </w:tcPr>
          <w:p w14:paraId="08171019" w14:textId="77777777" w:rsidR="00187C8B" w:rsidRPr="0084495F" w:rsidRDefault="00187C8B" w:rsidP="00624423">
            <w:pPr>
              <w:pStyle w:val="ListParagraph"/>
              <w:keepNext/>
              <w:keepLines/>
              <w:numPr>
                <w:ilvl w:val="0"/>
                <w:numId w:val="7"/>
              </w:numPr>
              <w:ind w:right="-62"/>
              <w:jc w:val="center"/>
              <w:rPr>
                <w:rFonts w:ascii="Arial Narrow" w:hAnsi="Arial Narrow"/>
                <w:sz w:val="20"/>
                <w:szCs w:val="20"/>
              </w:rPr>
            </w:pPr>
            <w:r w:rsidRPr="0084495F">
              <w:rPr>
                <w:rFonts w:ascii="Arial Narrow" w:hAnsi="Arial Narrow"/>
                <w:sz w:val="20"/>
                <w:szCs w:val="20"/>
              </w:rPr>
              <w:t xml:space="preserve">(28.9%) </w:t>
            </w:r>
          </w:p>
        </w:tc>
        <w:tc>
          <w:tcPr>
            <w:tcW w:w="2015" w:type="dxa"/>
            <w:vAlign w:val="center"/>
          </w:tcPr>
          <w:p w14:paraId="77D146C0" w14:textId="77777777" w:rsidR="00187C8B" w:rsidRPr="0084495F" w:rsidRDefault="00187C8B" w:rsidP="005C6240">
            <w:pPr>
              <w:keepNext/>
              <w:keepLines/>
              <w:ind w:left="-71" w:right="-62"/>
              <w:jc w:val="center"/>
              <w:rPr>
                <w:rFonts w:ascii="Arial Narrow" w:eastAsia="MS Gothic" w:hAnsi="Arial Narrow"/>
                <w:sz w:val="20"/>
                <w:szCs w:val="20"/>
              </w:rPr>
            </w:pPr>
            <w:r w:rsidRPr="0084495F">
              <w:rPr>
                <w:rFonts w:ascii="Arial Narrow" w:eastAsia="MS Gothic" w:hAnsi="Arial Narrow"/>
                <w:sz w:val="20"/>
                <w:szCs w:val="20"/>
              </w:rPr>
              <w:t>1.16 (0.95, 1.43)</w:t>
            </w:r>
          </w:p>
        </w:tc>
      </w:tr>
      <w:tr w:rsidR="00187C8B" w:rsidRPr="0084495F" w14:paraId="43FD2353" w14:textId="77777777" w:rsidTr="00FF0C6B">
        <w:trPr>
          <w:trHeight w:val="77"/>
        </w:trPr>
        <w:tc>
          <w:tcPr>
            <w:tcW w:w="2973" w:type="dxa"/>
            <w:vAlign w:val="center"/>
          </w:tcPr>
          <w:p w14:paraId="7A5D8C2D" w14:textId="77777777" w:rsidR="00187C8B" w:rsidRPr="0084495F" w:rsidRDefault="00187C8B" w:rsidP="005C6240">
            <w:pPr>
              <w:keepNext/>
              <w:keepLines/>
              <w:ind w:right="-70"/>
              <w:contextualSpacing/>
              <w:jc w:val="left"/>
              <w:rPr>
                <w:rFonts w:ascii="Arial Narrow" w:eastAsia="SimSun" w:hAnsi="Arial Narrow" w:cs="Calibri"/>
                <w:sz w:val="20"/>
                <w:szCs w:val="20"/>
                <w:lang w:eastAsia="zh-CN"/>
              </w:rPr>
            </w:pPr>
            <w:r w:rsidRPr="0084495F">
              <w:rPr>
                <w:rFonts w:ascii="Arial Narrow" w:eastAsia="SimSun" w:hAnsi="Arial Narrow" w:cs="Calibri"/>
                <w:sz w:val="20"/>
                <w:szCs w:val="20"/>
                <w:lang w:eastAsia="zh-CN"/>
              </w:rPr>
              <w:t xml:space="preserve">Time to first HHF event </w:t>
            </w:r>
            <w:r w:rsidRPr="0084495F">
              <w:rPr>
                <w:rFonts w:ascii="Arial Narrow" w:eastAsia="MS Gothic" w:hAnsi="Arial Narrow"/>
                <w:bCs/>
                <w:sz w:val="20"/>
                <w:szCs w:val="20"/>
              </w:rPr>
              <w:t xml:space="preserve">n (%) </w:t>
            </w:r>
          </w:p>
        </w:tc>
        <w:tc>
          <w:tcPr>
            <w:tcW w:w="2014" w:type="dxa"/>
            <w:vAlign w:val="center"/>
          </w:tcPr>
          <w:p w14:paraId="71D78B7D" w14:textId="1430659F"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 xml:space="preserve">251 (40.7%) </w:t>
            </w:r>
          </w:p>
        </w:tc>
        <w:tc>
          <w:tcPr>
            <w:tcW w:w="2015" w:type="dxa"/>
            <w:vAlign w:val="center"/>
          </w:tcPr>
          <w:p w14:paraId="750F1F09" w14:textId="77777777" w:rsidR="00187C8B" w:rsidRPr="0084495F" w:rsidRDefault="00187C8B" w:rsidP="005C6240">
            <w:pPr>
              <w:keepNext/>
              <w:keepLines/>
              <w:ind w:left="-74" w:right="-62"/>
              <w:jc w:val="center"/>
              <w:rPr>
                <w:rFonts w:ascii="Arial Narrow" w:hAnsi="Arial Narrow"/>
                <w:sz w:val="20"/>
                <w:szCs w:val="20"/>
              </w:rPr>
            </w:pPr>
            <w:r w:rsidRPr="0084495F">
              <w:rPr>
                <w:rFonts w:ascii="Arial Narrow" w:hAnsi="Arial Narrow"/>
                <w:sz w:val="20"/>
                <w:szCs w:val="20"/>
              </w:rPr>
              <w:t xml:space="preserve">209 (35.7%) </w:t>
            </w:r>
          </w:p>
        </w:tc>
        <w:tc>
          <w:tcPr>
            <w:tcW w:w="2015" w:type="dxa"/>
            <w:vAlign w:val="center"/>
          </w:tcPr>
          <w:p w14:paraId="60269A5F" w14:textId="77777777" w:rsidR="00187C8B" w:rsidRPr="0084495F" w:rsidRDefault="00187C8B" w:rsidP="005C6240">
            <w:pPr>
              <w:keepNext/>
              <w:keepLines/>
              <w:ind w:left="-71" w:right="-62"/>
              <w:jc w:val="center"/>
              <w:rPr>
                <w:rFonts w:ascii="Arial Narrow" w:hAnsi="Arial Narrow"/>
                <w:sz w:val="20"/>
                <w:szCs w:val="20"/>
              </w:rPr>
            </w:pPr>
            <w:r w:rsidRPr="0084495F">
              <w:rPr>
                <w:rFonts w:ascii="Arial Narrow" w:hAnsi="Arial Narrow"/>
                <w:sz w:val="20"/>
                <w:szCs w:val="20"/>
              </w:rPr>
              <w:t>1.19 (0.99, 1.44)</w:t>
            </w:r>
          </w:p>
        </w:tc>
      </w:tr>
    </w:tbl>
    <w:p w14:paraId="614107CF" w14:textId="77777777" w:rsidR="00187C8B" w:rsidRPr="0084495F" w:rsidRDefault="00187C8B" w:rsidP="005C6240">
      <w:pPr>
        <w:pStyle w:val="TableFigureFooter"/>
        <w:keepNext/>
        <w:keepLines/>
      </w:pPr>
      <w:r w:rsidRPr="0084495F">
        <w:t>Source: Table 2-38, p133 of the submission; Tables 2.5.1 and 2.5.2 of the commentary</w:t>
      </w:r>
    </w:p>
    <w:p w14:paraId="16D5762E" w14:textId="4BF37363" w:rsidR="00187C8B" w:rsidRPr="0084495F" w:rsidRDefault="00187C8B" w:rsidP="005C6240">
      <w:pPr>
        <w:pStyle w:val="TableFigureFooter"/>
        <w:keepNext/>
        <w:keepLines/>
      </w:pPr>
      <w:r w:rsidRPr="0084495F">
        <w:t xml:space="preserve">Abbreviations: CV, cardiovascular; </w:t>
      </w:r>
      <w:r w:rsidRPr="0084495F">
        <w:rPr>
          <w:szCs w:val="18"/>
        </w:rPr>
        <w:t>HHF, hospitalisation for heart failure; ITT, intention-to-treat; NT</w:t>
      </w:r>
      <w:r w:rsidR="0084495F">
        <w:rPr>
          <w:szCs w:val="18"/>
        </w:rPr>
        <w:t>-</w:t>
      </w:r>
      <w:proofErr w:type="spellStart"/>
      <w:r w:rsidRPr="0084495F">
        <w:rPr>
          <w:szCs w:val="18"/>
        </w:rPr>
        <w:t>proBNP</w:t>
      </w:r>
      <w:proofErr w:type="spellEnd"/>
      <w:r w:rsidRPr="0084495F">
        <w:rPr>
          <w:szCs w:val="18"/>
        </w:rPr>
        <w:t xml:space="preserve">, N-terminal pro-B–type </w:t>
      </w:r>
      <w:r w:rsidRPr="0084495F">
        <w:t>natriuretic peptide; SoC, standard of care</w:t>
      </w:r>
    </w:p>
    <w:p w14:paraId="16237E5B" w14:textId="77777777" w:rsidR="00187C8B" w:rsidRPr="0084495F" w:rsidRDefault="00187C8B" w:rsidP="005C6240">
      <w:pPr>
        <w:pStyle w:val="TableFigureFooter"/>
        <w:keepNext/>
        <w:keepLines/>
      </w:pPr>
      <w:r w:rsidRPr="0084495F">
        <w:t>Note: Cut-off points for NT-</w:t>
      </w:r>
      <w:proofErr w:type="spellStart"/>
      <w:r w:rsidRPr="0084495F">
        <w:t>proBNP</w:t>
      </w:r>
      <w:proofErr w:type="spellEnd"/>
      <w:r w:rsidRPr="0084495F">
        <w:t xml:space="preserve"> quartiles were Q1 - ≤1556 </w:t>
      </w:r>
      <w:proofErr w:type="spellStart"/>
      <w:r w:rsidRPr="0084495F">
        <w:t>pg</w:t>
      </w:r>
      <w:proofErr w:type="spellEnd"/>
      <w:r w:rsidRPr="0084495F">
        <w:t xml:space="preserve">/mL, Q2 - &gt;1556 to ≤2816 </w:t>
      </w:r>
      <w:proofErr w:type="spellStart"/>
      <w:r w:rsidRPr="0084495F">
        <w:t>pg</w:t>
      </w:r>
      <w:proofErr w:type="spellEnd"/>
      <w:r w:rsidRPr="0084495F">
        <w:t xml:space="preserve">/mL, Q3 - &gt;2816 to ≤5314 </w:t>
      </w:r>
      <w:proofErr w:type="spellStart"/>
      <w:r w:rsidRPr="0084495F">
        <w:t>pg</w:t>
      </w:r>
      <w:proofErr w:type="spellEnd"/>
      <w:r w:rsidRPr="0084495F">
        <w:t xml:space="preserve">/mL, and Q4 - &gt;5314 </w:t>
      </w:r>
      <w:proofErr w:type="spellStart"/>
      <w:r w:rsidRPr="0084495F">
        <w:t>pg</w:t>
      </w:r>
      <w:proofErr w:type="spellEnd"/>
      <w:r w:rsidRPr="0084495F">
        <w:t>/</w:t>
      </w:r>
      <w:proofErr w:type="spellStart"/>
      <w:r w:rsidRPr="0084495F">
        <w:t>mL.</w:t>
      </w:r>
      <w:proofErr w:type="spellEnd"/>
      <w:r w:rsidRPr="0084495F">
        <w:t xml:space="preserve"> Compared to the ITT population, 112 patients in the vericiguat treatment arm and 132 in the placebo arm were not included in the subgroup analysis</w:t>
      </w:r>
    </w:p>
    <w:p w14:paraId="6AB33303" w14:textId="4B386CEE" w:rsidR="00187C8B" w:rsidRPr="0084495F" w:rsidRDefault="00187C8B" w:rsidP="00187C8B">
      <w:pPr>
        <w:pStyle w:val="ExecSumBodyText"/>
        <w:rPr>
          <w:color w:val="0066FF"/>
        </w:rPr>
      </w:pPr>
      <w:r w:rsidRPr="0084495F">
        <w:rPr>
          <w:rFonts w:eastAsia="Calibri"/>
        </w:rPr>
        <w:t>In the post-hoc subgroup analysis of the primary composite outcome, patients with a baseline NT-</w:t>
      </w:r>
      <w:proofErr w:type="spellStart"/>
      <w:r w:rsidRPr="0084495F">
        <w:rPr>
          <w:rFonts w:eastAsia="Calibri"/>
        </w:rPr>
        <w:t>proBNP</w:t>
      </w:r>
      <w:proofErr w:type="spellEnd"/>
      <w:r w:rsidRPr="0084495F">
        <w:rPr>
          <w:rFonts w:eastAsia="Calibri"/>
        </w:rPr>
        <w:t xml:space="preserve"> </w:t>
      </w:r>
      <w:r w:rsidRPr="0084495F">
        <w:rPr>
          <w:rFonts w:eastAsia="Calibri" w:cs="Calibri"/>
        </w:rPr>
        <w:t>≤</w:t>
      </w:r>
      <w:r w:rsidRPr="0084495F">
        <w:rPr>
          <w:rFonts w:eastAsia="Calibri"/>
        </w:rPr>
        <w:t xml:space="preserve">5314 </w:t>
      </w:r>
      <w:proofErr w:type="spellStart"/>
      <w:r w:rsidRPr="0084495F">
        <w:rPr>
          <w:rFonts w:eastAsia="Calibri"/>
        </w:rPr>
        <w:t>pg</w:t>
      </w:r>
      <w:proofErr w:type="spellEnd"/>
      <w:r w:rsidRPr="0084495F">
        <w:rPr>
          <w:rFonts w:eastAsia="Calibri"/>
        </w:rPr>
        <w:t xml:space="preserve">/mL (Q1-Q3) treated with vericiguat plus SoC showed a relative hazard reduction of 22% versus placebo plus SoC, a larger relative hazard reduction compared to the overall ITT population (10% reduction). Similar results were observed in the key secondary outcomes. </w:t>
      </w:r>
      <w:r w:rsidR="00F36D7D" w:rsidRPr="0084495F">
        <w:rPr>
          <w:rFonts w:eastAsia="Calibri"/>
          <w:iCs/>
        </w:rPr>
        <w:t xml:space="preserve">The ESC noted the post-hoc </w:t>
      </w:r>
      <w:r w:rsidR="00405805" w:rsidRPr="0084495F">
        <w:rPr>
          <w:rFonts w:eastAsia="Calibri"/>
          <w:iCs/>
        </w:rPr>
        <w:t>subgroup analysis did not include a test for interaction or adjustment for multiplicity.</w:t>
      </w:r>
    </w:p>
    <w:p w14:paraId="77B8DEA4" w14:textId="735F9E59" w:rsidR="00187C8B" w:rsidRPr="0084495F" w:rsidRDefault="00187C8B" w:rsidP="00187C8B">
      <w:pPr>
        <w:pStyle w:val="ExecSumBodyText"/>
        <w:rPr>
          <w:color w:val="0066FF"/>
        </w:rPr>
      </w:pPr>
      <w:r w:rsidRPr="0084495F">
        <w:rPr>
          <w:rFonts w:eastAsia="Calibri"/>
        </w:rPr>
        <w:t>Patients with a baseline NT-</w:t>
      </w:r>
      <w:proofErr w:type="spellStart"/>
      <w:r w:rsidRPr="0084495F">
        <w:rPr>
          <w:rFonts w:eastAsia="Calibri"/>
        </w:rPr>
        <w:t>proBNP</w:t>
      </w:r>
      <w:proofErr w:type="spellEnd"/>
      <w:r w:rsidRPr="0084495F">
        <w:rPr>
          <w:rFonts w:eastAsia="Calibri"/>
        </w:rPr>
        <w:t xml:space="preserve"> &gt;5314 </w:t>
      </w:r>
      <w:proofErr w:type="spellStart"/>
      <w:r w:rsidRPr="0084495F">
        <w:rPr>
          <w:rFonts w:eastAsia="Calibri"/>
        </w:rPr>
        <w:t>pg</w:t>
      </w:r>
      <w:proofErr w:type="spellEnd"/>
      <w:r w:rsidRPr="0084495F">
        <w:rPr>
          <w:rFonts w:eastAsia="Calibri"/>
        </w:rPr>
        <w:t xml:space="preserve">/mL showed a relative hazard increase of 15%, with larger proportions of patients treated with vericiguat plus SoC reporting cardiovascular death or hospitalisation for heart failure compared to placebo plus </w:t>
      </w:r>
      <w:proofErr w:type="spellStart"/>
      <w:r w:rsidRPr="0084495F">
        <w:rPr>
          <w:rFonts w:eastAsia="Calibri"/>
        </w:rPr>
        <w:t>SoC.</w:t>
      </w:r>
      <w:proofErr w:type="spellEnd"/>
      <w:r w:rsidRPr="0084495F">
        <w:rPr>
          <w:rFonts w:eastAsia="Calibri"/>
        </w:rPr>
        <w:t xml:space="preserve"> A similar pattern was observed in the post-hoc subgroup analyses of the key secondary outcomes</w:t>
      </w:r>
      <w:r w:rsidR="008F37C9" w:rsidRPr="0084495F">
        <w:rPr>
          <w:rFonts w:eastAsia="Calibri"/>
        </w:rPr>
        <w:t xml:space="preserve"> including cardiovascular death</w:t>
      </w:r>
      <w:r w:rsidRPr="0084495F">
        <w:rPr>
          <w:rFonts w:eastAsia="Calibri"/>
        </w:rPr>
        <w:t>.</w:t>
      </w:r>
    </w:p>
    <w:p w14:paraId="51848363" w14:textId="09C17865" w:rsidR="00AC38CD" w:rsidRPr="0084495F" w:rsidRDefault="00AC38CD" w:rsidP="00AC38CD">
      <w:pPr>
        <w:pStyle w:val="ExecSumBodyText"/>
        <w:rPr>
          <w:color w:val="0066FF"/>
        </w:rPr>
      </w:pPr>
      <w:r w:rsidRPr="0084495F">
        <w:t>The submission suggested that patients with very high NT-</w:t>
      </w:r>
      <w:proofErr w:type="spellStart"/>
      <w:r w:rsidRPr="0084495F">
        <w:t>proBNP</w:t>
      </w:r>
      <w:proofErr w:type="spellEnd"/>
      <w:r w:rsidRPr="0084495F">
        <w:t xml:space="preserve"> (NT-</w:t>
      </w:r>
      <w:proofErr w:type="spellStart"/>
      <w:r w:rsidRPr="0084495F">
        <w:t>proBNP</w:t>
      </w:r>
      <w:proofErr w:type="spellEnd"/>
      <w:r w:rsidRPr="0084495F">
        <w:t xml:space="preserve"> Q4) in the VICTORIA trial were clinically unstable and therefore would not meet the criteria for vericiguat treatment in the proposed restriction</w:t>
      </w:r>
      <w:r w:rsidR="007662BD" w:rsidRPr="0084495F">
        <w:t xml:space="preserve">. However, </w:t>
      </w:r>
      <w:r w:rsidR="005C6240" w:rsidRPr="0084495F">
        <w:rPr>
          <w:iCs/>
        </w:rPr>
        <w:t xml:space="preserve">the VICTORIA trial defined </w:t>
      </w:r>
      <w:r w:rsidR="00A14639" w:rsidRPr="0084495F">
        <w:rPr>
          <w:iCs/>
        </w:rPr>
        <w:t xml:space="preserve">clinically unstable patients </w:t>
      </w:r>
      <w:r w:rsidR="007662BD" w:rsidRPr="0084495F">
        <w:rPr>
          <w:iCs/>
        </w:rPr>
        <w:t xml:space="preserve">as </w:t>
      </w:r>
      <w:r w:rsidR="00187C8B" w:rsidRPr="0084495F">
        <w:rPr>
          <w:iCs/>
        </w:rPr>
        <w:t xml:space="preserve">those who </w:t>
      </w:r>
      <w:r w:rsidR="007662BD" w:rsidRPr="0084495F">
        <w:rPr>
          <w:iCs/>
        </w:rPr>
        <w:t xml:space="preserve">received </w:t>
      </w:r>
      <w:r w:rsidR="00A14639" w:rsidRPr="0084495F">
        <w:rPr>
          <w:rFonts w:ascii="Calibri" w:hAnsi="Calibri"/>
          <w:bCs/>
          <w:iCs/>
          <w:szCs w:val="20"/>
        </w:rPr>
        <w:t>IV therapy in the 24 hours prior to randomisation and/or a systolic blood pressure &lt;100 mmHg)</w:t>
      </w:r>
      <w:r w:rsidRPr="0084495F">
        <w:t xml:space="preserve">. </w:t>
      </w:r>
      <w:r w:rsidR="005C6240" w:rsidRPr="0084495F">
        <w:t>The ESC considered the NT-</w:t>
      </w:r>
      <w:proofErr w:type="spellStart"/>
      <w:r w:rsidR="005C6240" w:rsidRPr="0084495F">
        <w:t>proBNP</w:t>
      </w:r>
      <w:proofErr w:type="spellEnd"/>
      <w:r w:rsidR="005C6240" w:rsidRPr="0084495F">
        <w:t xml:space="preserve"> Q4 group was a </w:t>
      </w:r>
      <w:r w:rsidR="00071001" w:rsidRPr="0084495F">
        <w:t xml:space="preserve">higher risk </w:t>
      </w:r>
      <w:r w:rsidR="005C6240" w:rsidRPr="0084495F">
        <w:t>subgroup who did not benefit</w:t>
      </w:r>
      <w:r w:rsidR="00071001" w:rsidRPr="0084495F">
        <w:t xml:space="preserve"> </w:t>
      </w:r>
      <w:r w:rsidR="00071001" w:rsidRPr="0084495F">
        <w:lastRenderedPageBreak/>
        <w:t>(and may have had worse outcomes)</w:t>
      </w:r>
      <w:r w:rsidR="005C6240" w:rsidRPr="0084495F">
        <w:t xml:space="preserve">, rather than </w:t>
      </w:r>
      <w:r w:rsidR="00071001" w:rsidRPr="0084495F">
        <w:t xml:space="preserve">just being </w:t>
      </w:r>
      <w:r w:rsidR="005C6240" w:rsidRPr="0084495F">
        <w:t xml:space="preserve">a proxy for unstable patients. </w:t>
      </w:r>
      <w:r w:rsidRPr="0084495F">
        <w:t>The submission considered that the NT-</w:t>
      </w:r>
      <w:proofErr w:type="spellStart"/>
      <w:r w:rsidRPr="0084495F">
        <w:t>proBNP</w:t>
      </w:r>
      <w:proofErr w:type="spellEnd"/>
      <w:r w:rsidRPr="0084495F">
        <w:t xml:space="preserve"> Q1-Q3 subgroup of the VICTORIA trial could be considered a proxy for the eligible population of patients stabilised following a recent heart failure decompensation event; and this subgroup formed the basis of the modelled economic evaluation. </w:t>
      </w:r>
    </w:p>
    <w:p w14:paraId="18109BBC" w14:textId="56FF4BD3" w:rsidR="003348D1" w:rsidRPr="0084495F" w:rsidRDefault="00AC38CD" w:rsidP="003348D1">
      <w:pPr>
        <w:pStyle w:val="ExecSumBodyText"/>
        <w:rPr>
          <w:color w:val="0066FF"/>
        </w:rPr>
      </w:pPr>
      <w:r w:rsidRPr="0084495F">
        <w:t>Compared to the NT-</w:t>
      </w:r>
      <w:proofErr w:type="spellStart"/>
      <w:r w:rsidRPr="0084495F">
        <w:t>proBNP</w:t>
      </w:r>
      <w:proofErr w:type="spellEnd"/>
      <w:r w:rsidRPr="0084495F">
        <w:t xml:space="preserve"> Q1-Q3 subgroup, patients in the NT-</w:t>
      </w:r>
      <w:proofErr w:type="spellStart"/>
      <w:r w:rsidRPr="0084495F">
        <w:t>proBNP</w:t>
      </w:r>
      <w:proofErr w:type="spellEnd"/>
      <w:r w:rsidRPr="0084495F">
        <w:t xml:space="preserve"> Q4 subgroup of the VICTORIA trial were older, and larger proportions were randomised while hospitalised or within 3 months of hospitalisation, were NYHA class III/IV, and had lower LVEF and eGFR. In addition, </w:t>
      </w:r>
      <w:r w:rsidR="003873E2" w:rsidRPr="0084495F">
        <w:t>low</w:t>
      </w:r>
      <w:r w:rsidRPr="0084495F">
        <w:t>er proportions of patients in the NT-</w:t>
      </w:r>
      <w:proofErr w:type="spellStart"/>
      <w:r w:rsidRPr="0084495F">
        <w:t>proBNP</w:t>
      </w:r>
      <w:proofErr w:type="spellEnd"/>
      <w:r w:rsidRPr="0084495F">
        <w:t xml:space="preserve"> Q4 subgroup were receiving treatment with </w:t>
      </w:r>
      <w:proofErr w:type="spellStart"/>
      <w:r w:rsidRPr="0084495F">
        <w:t>ACEi</w:t>
      </w:r>
      <w:proofErr w:type="spellEnd"/>
      <w:r w:rsidRPr="0084495F">
        <w:t xml:space="preserve">/ARB (Q1-Q3 75.5%; Q4 68.5%), </w:t>
      </w:r>
      <w:proofErr w:type="spellStart"/>
      <w:r w:rsidRPr="0084495F">
        <w:t>ARNi</w:t>
      </w:r>
      <w:proofErr w:type="spellEnd"/>
      <w:r w:rsidRPr="0084495F">
        <w:t xml:space="preserve"> (14.6%; 13.3%), beta-blockers (93.5%, 91.8%), MRA (72.7%; 64.3%) or triple combination therapy (62.9%; 50.7%) as </w:t>
      </w:r>
      <w:proofErr w:type="spellStart"/>
      <w:r w:rsidRPr="0084495F">
        <w:t>SoC.</w:t>
      </w:r>
      <w:proofErr w:type="spellEnd"/>
      <w:r w:rsidRPr="0084495F">
        <w:t xml:space="preserve"> </w:t>
      </w:r>
      <w:r w:rsidRPr="0084495F">
        <w:rPr>
          <w:iCs/>
        </w:rPr>
        <w:t>The</w:t>
      </w:r>
      <w:r w:rsidR="00187C8B" w:rsidRPr="0084495F">
        <w:rPr>
          <w:iCs/>
        </w:rPr>
        <w:t>s</w:t>
      </w:r>
      <w:r w:rsidRPr="0084495F">
        <w:rPr>
          <w:iCs/>
        </w:rPr>
        <w:t>e differences between the NT-</w:t>
      </w:r>
      <w:proofErr w:type="spellStart"/>
      <w:r w:rsidRPr="0084495F">
        <w:rPr>
          <w:iCs/>
        </w:rPr>
        <w:t>proBNP</w:t>
      </w:r>
      <w:proofErr w:type="spellEnd"/>
      <w:r w:rsidRPr="0084495F">
        <w:rPr>
          <w:iCs/>
        </w:rPr>
        <w:t xml:space="preserve"> Q1-Q3 versus Q4 subgroups</w:t>
      </w:r>
      <w:r w:rsidRPr="0084495F">
        <w:t xml:space="preserve"> </w:t>
      </w:r>
      <w:r w:rsidRPr="0084495F">
        <w:rPr>
          <w:iCs/>
        </w:rPr>
        <w:t>suggest</w:t>
      </w:r>
      <w:r w:rsidR="00187C8B" w:rsidRPr="0084495F">
        <w:rPr>
          <w:iCs/>
        </w:rPr>
        <w:t xml:space="preserve"> that</w:t>
      </w:r>
      <w:r w:rsidRPr="0084495F">
        <w:rPr>
          <w:iCs/>
        </w:rPr>
        <w:t xml:space="preserve"> patients in the NT-</w:t>
      </w:r>
      <w:proofErr w:type="spellStart"/>
      <w:r w:rsidRPr="0084495F">
        <w:rPr>
          <w:iCs/>
        </w:rPr>
        <w:t>proBNP</w:t>
      </w:r>
      <w:proofErr w:type="spellEnd"/>
      <w:r w:rsidRPr="0084495F">
        <w:rPr>
          <w:iCs/>
        </w:rPr>
        <w:t xml:space="preserve"> Q4 subgroup</w:t>
      </w:r>
      <w:r w:rsidR="00071001" w:rsidRPr="0084495F">
        <w:rPr>
          <w:iCs/>
        </w:rPr>
        <w:t xml:space="preserve"> </w:t>
      </w:r>
      <w:r w:rsidRPr="0084495F">
        <w:rPr>
          <w:iCs/>
        </w:rPr>
        <w:t xml:space="preserve">experienced more severe heart failure symptoms. However, it is unclear if these differences were due to delayed stabilisation after a decompensated heart failure event, lower tolerated doses of SoC pharmacotherapy, or other factors. </w:t>
      </w:r>
      <w:r w:rsidR="00187C8B" w:rsidRPr="0084495F">
        <w:rPr>
          <w:iCs/>
        </w:rPr>
        <w:t>The ESC considered that it was</w:t>
      </w:r>
      <w:r w:rsidR="00923E0C" w:rsidRPr="0084495F">
        <w:rPr>
          <w:iCs/>
        </w:rPr>
        <w:t xml:space="preserve"> also unclear how this population c</w:t>
      </w:r>
      <w:r w:rsidR="00187C8B" w:rsidRPr="0084495F">
        <w:rPr>
          <w:iCs/>
        </w:rPr>
        <w:t>ould</w:t>
      </w:r>
      <w:r w:rsidR="00923E0C" w:rsidRPr="0084495F">
        <w:rPr>
          <w:iCs/>
        </w:rPr>
        <w:t xml:space="preserve"> be identified </w:t>
      </w:r>
      <w:r w:rsidR="002611E8" w:rsidRPr="0084495F">
        <w:rPr>
          <w:iCs/>
        </w:rPr>
        <w:t xml:space="preserve">with any certainty </w:t>
      </w:r>
      <w:r w:rsidR="00923E0C" w:rsidRPr="0084495F">
        <w:rPr>
          <w:iCs/>
        </w:rPr>
        <w:t>a priori without measurement of NT-</w:t>
      </w:r>
      <w:proofErr w:type="spellStart"/>
      <w:r w:rsidR="00923E0C" w:rsidRPr="0084495F">
        <w:rPr>
          <w:iCs/>
        </w:rPr>
        <w:t>proBNP</w:t>
      </w:r>
      <w:proofErr w:type="spellEnd"/>
      <w:r w:rsidR="00923E0C" w:rsidRPr="0084495F">
        <w:rPr>
          <w:iCs/>
        </w:rPr>
        <w:t>.</w:t>
      </w:r>
    </w:p>
    <w:p w14:paraId="5DDBF22C" w14:textId="4104FF1A" w:rsidR="00280A7C" w:rsidRPr="0084495F" w:rsidRDefault="00280A7C" w:rsidP="00E31CBC">
      <w:pPr>
        <w:pStyle w:val="ExecSumBodyText"/>
        <w:rPr>
          <w:color w:val="0066FF"/>
        </w:rPr>
      </w:pPr>
      <w:r w:rsidRPr="0084495F">
        <w:t>The TGA and EMA noted that vericiguat generally performed worse in more fragile patient populations (eGFR ≤30 ml/min/1.73 m</w:t>
      </w:r>
      <w:r w:rsidRPr="0084495F">
        <w:rPr>
          <w:vertAlign w:val="superscript"/>
        </w:rPr>
        <w:t>2</w:t>
      </w:r>
      <w:r w:rsidRPr="0084495F">
        <w:t xml:space="preserve"> and LVEF ≥40</w:t>
      </w:r>
      <w:r w:rsidR="00645704">
        <w:t xml:space="preserve"> to </w:t>
      </w:r>
      <w:r w:rsidR="009A0D72">
        <w:rPr>
          <w:rFonts w:cstheme="minorHAnsi"/>
        </w:rPr>
        <w:t xml:space="preserve">&lt; </w:t>
      </w:r>
      <w:r w:rsidR="00645704" w:rsidRPr="00D418DD">
        <w:t>45</w:t>
      </w:r>
      <w:r w:rsidRPr="0084495F">
        <w:t xml:space="preserve">%). </w:t>
      </w:r>
      <w:r w:rsidR="005B7A70" w:rsidRPr="0084495F">
        <w:rPr>
          <w:iCs/>
        </w:rPr>
        <w:t xml:space="preserve">Overall, the ESC considered that </w:t>
      </w:r>
      <w:r w:rsidR="005C6240" w:rsidRPr="0084495F">
        <w:rPr>
          <w:iCs/>
        </w:rPr>
        <w:t>it w</w:t>
      </w:r>
      <w:r w:rsidR="005B7A70" w:rsidRPr="0084495F">
        <w:rPr>
          <w:iCs/>
        </w:rPr>
        <w:t xml:space="preserve">as </w:t>
      </w:r>
      <w:r w:rsidR="005C6240" w:rsidRPr="0084495F">
        <w:rPr>
          <w:iCs/>
        </w:rPr>
        <w:t>unclear whether</w:t>
      </w:r>
      <w:r w:rsidR="005B7A70" w:rsidRPr="0084495F">
        <w:rPr>
          <w:iCs/>
        </w:rPr>
        <w:t xml:space="preserve"> ‘more fragile’ patients would have a lower incremental treatment effect with vericiguat given </w:t>
      </w:r>
      <w:r w:rsidR="005C6240" w:rsidRPr="0084495F">
        <w:rPr>
          <w:iCs/>
        </w:rPr>
        <w:t xml:space="preserve">that </w:t>
      </w:r>
      <w:r w:rsidR="005C6240" w:rsidRPr="0084495F">
        <w:t>no statistically significant treatment effect interactions were observed for these variables and</w:t>
      </w:r>
      <w:r w:rsidR="00A74288" w:rsidRPr="0084495F">
        <w:t>, further,</w:t>
      </w:r>
      <w:r w:rsidR="005C6240" w:rsidRPr="0084495F">
        <w:t xml:space="preserve"> </w:t>
      </w:r>
      <w:r w:rsidR="00A74288" w:rsidRPr="0084495F">
        <w:t xml:space="preserve">LVEF ≥40% </w:t>
      </w:r>
      <w:r w:rsidR="00A74288" w:rsidRPr="0084495F">
        <w:rPr>
          <w:iCs/>
        </w:rPr>
        <w:t xml:space="preserve">is not </w:t>
      </w:r>
      <w:r w:rsidR="000153AB" w:rsidRPr="0084495F">
        <w:rPr>
          <w:iCs/>
        </w:rPr>
        <w:t xml:space="preserve">generally considered </w:t>
      </w:r>
      <w:r w:rsidR="00A74288" w:rsidRPr="0084495F">
        <w:rPr>
          <w:iCs/>
        </w:rPr>
        <w:t>a proxy for more fragile patients (</w:t>
      </w:r>
      <w:r w:rsidR="005B7A70" w:rsidRPr="0084495F">
        <w:rPr>
          <w:iCs/>
        </w:rPr>
        <w:t xml:space="preserve">lower LVEF </w:t>
      </w:r>
      <w:r w:rsidR="00A74288" w:rsidRPr="0084495F">
        <w:rPr>
          <w:iCs/>
        </w:rPr>
        <w:t>i</w:t>
      </w:r>
      <w:r w:rsidR="005B7A70" w:rsidRPr="0084495F">
        <w:rPr>
          <w:iCs/>
        </w:rPr>
        <w:t>s generally associated with higher mortality</w:t>
      </w:r>
      <w:r w:rsidR="005C6240" w:rsidRPr="0084495F">
        <w:rPr>
          <w:iCs/>
        </w:rPr>
        <w:t>)</w:t>
      </w:r>
      <w:r w:rsidR="005B7A70" w:rsidRPr="0084495F">
        <w:rPr>
          <w:iCs/>
        </w:rPr>
        <w:t xml:space="preserve">. </w:t>
      </w:r>
      <w:r w:rsidRPr="0084495F">
        <w:t>The submission argued that a post-hoc PRISM analysis only identified NT-</w:t>
      </w:r>
      <w:proofErr w:type="spellStart"/>
      <w:r w:rsidRPr="0084495F">
        <w:t>proBNP</w:t>
      </w:r>
      <w:proofErr w:type="spellEnd"/>
      <w:r w:rsidRPr="0084495F">
        <w:t xml:space="preserve"> as the most influential predictor of treatment response, whereas age, ejection fraction, and eGFR were not. </w:t>
      </w:r>
      <w:r w:rsidRPr="0084495F">
        <w:rPr>
          <w:iCs/>
        </w:rPr>
        <w:t>No details of the PRISM analysis were provided with the submission and the results of the analysis could not be verified.</w:t>
      </w:r>
      <w:r w:rsidR="005B7A70" w:rsidRPr="0084495F">
        <w:rPr>
          <w:iCs/>
        </w:rPr>
        <w:t xml:space="preserve"> </w:t>
      </w:r>
      <w:r w:rsidR="00E31CBC" w:rsidRPr="0084495F">
        <w:rPr>
          <w:iCs/>
        </w:rPr>
        <w:t xml:space="preserve">The PSCR stated that the PRISM analysis was a general‐purpose subgroup identification approach used to understand the independent influence of baseline characteristics on treatment effect when considered simultaneously in the same algorithm. The PSCR stated that 64 baseline variables were included in this </w:t>
      </w:r>
      <w:proofErr w:type="gramStart"/>
      <w:r w:rsidR="00E31CBC" w:rsidRPr="0084495F">
        <w:rPr>
          <w:iCs/>
        </w:rPr>
        <w:t>model, and</w:t>
      </w:r>
      <w:proofErr w:type="gramEnd"/>
      <w:r w:rsidR="00E31CBC" w:rsidRPr="0084495F">
        <w:rPr>
          <w:iCs/>
        </w:rPr>
        <w:t xml:space="preserve"> presented an illustration of the PRISM algorithm used. However, the full analysis was not presented and could not be evaluated.</w:t>
      </w:r>
    </w:p>
    <w:p w14:paraId="215F3C8A" w14:textId="77777777" w:rsidR="00737745" w:rsidRPr="0084495F" w:rsidRDefault="00737745" w:rsidP="00737745">
      <w:pPr>
        <w:pStyle w:val="5-SubSubSubHead"/>
        <w:rPr>
          <w:i w:val="0"/>
        </w:rPr>
      </w:pPr>
      <w:bookmarkStart w:id="16" w:name="_Toc22897642"/>
      <w:bookmarkStart w:id="17" w:name="_Toc92732978"/>
      <w:r w:rsidRPr="0084495F">
        <w:rPr>
          <w:i w:val="0"/>
        </w:rPr>
        <w:t>ITT population</w:t>
      </w:r>
    </w:p>
    <w:p w14:paraId="5DA23939" w14:textId="77777777" w:rsidR="00737745" w:rsidRPr="0084495F" w:rsidRDefault="00737745" w:rsidP="00737745">
      <w:pPr>
        <w:pStyle w:val="ExecSumBodyText"/>
        <w:rPr>
          <w:color w:val="0066FF"/>
        </w:rPr>
      </w:pPr>
      <w:r w:rsidRPr="0084495F">
        <w:t xml:space="preserve">The table below summarises the results of the primary composite outcome of time to first cardiovascular death or hospitalisation for heart failure, of the VICTORIA trial. </w:t>
      </w:r>
    </w:p>
    <w:p w14:paraId="337A174D" w14:textId="6AFBBD42" w:rsidR="00737745" w:rsidRPr="0084495F" w:rsidRDefault="00737745" w:rsidP="00737745">
      <w:pPr>
        <w:pStyle w:val="Caption"/>
        <w:rPr>
          <w:szCs w:val="20"/>
        </w:rPr>
      </w:pPr>
      <w:r w:rsidRPr="0084495F">
        <w:rPr>
          <w:szCs w:val="20"/>
        </w:rPr>
        <w:lastRenderedPageBreak/>
        <w:t xml:space="preserve">Table </w:t>
      </w:r>
      <w:r w:rsidRPr="0084495F">
        <w:rPr>
          <w:szCs w:val="20"/>
        </w:rPr>
        <w:fldChar w:fldCharType="begin"/>
      </w:r>
      <w:r w:rsidRPr="0084495F">
        <w:rPr>
          <w:szCs w:val="20"/>
        </w:rPr>
        <w:instrText xml:space="preserve"> SEQ Table \* ARABIC </w:instrText>
      </w:r>
      <w:r w:rsidRPr="0084495F">
        <w:rPr>
          <w:szCs w:val="20"/>
        </w:rPr>
        <w:fldChar w:fldCharType="separate"/>
      </w:r>
      <w:r w:rsidR="0084495F" w:rsidRPr="0084495F">
        <w:rPr>
          <w:szCs w:val="20"/>
        </w:rPr>
        <w:t>5</w:t>
      </w:r>
      <w:r w:rsidRPr="0084495F">
        <w:rPr>
          <w:szCs w:val="20"/>
        </w:rPr>
        <w:fldChar w:fldCharType="end"/>
      </w:r>
      <w:r w:rsidRPr="0084495F">
        <w:rPr>
          <w:szCs w:val="20"/>
        </w:rPr>
        <w:t xml:space="preserve">: </w:t>
      </w:r>
      <w:r w:rsidRPr="0084495F">
        <w:rPr>
          <w:rFonts w:cstheme="minorHAnsi"/>
          <w:szCs w:val="20"/>
        </w:rPr>
        <w:t>Time to first event of cardiovascular death or heart failure hospitalisation</w:t>
      </w:r>
      <w:r w:rsidRPr="0084495F">
        <w:rPr>
          <w:szCs w:val="20"/>
        </w:rPr>
        <w:t xml:space="preserve"> (VICTORIA; ITT; CEC)</w:t>
      </w:r>
    </w:p>
    <w:tbl>
      <w:tblPr>
        <w:tblStyle w:val="TableGrid"/>
        <w:tblW w:w="5000" w:type="pct"/>
        <w:tblLook w:val="04A0" w:firstRow="1" w:lastRow="0" w:firstColumn="1" w:lastColumn="0" w:noHBand="0" w:noVBand="1"/>
        <w:tblCaption w:val="Table 5: Time to first event of cardiovascular death or heart failure hospitalisation (VICTORIA; ITT; CEC)"/>
      </w:tblPr>
      <w:tblGrid>
        <w:gridCol w:w="3538"/>
        <w:gridCol w:w="1826"/>
        <w:gridCol w:w="1826"/>
        <w:gridCol w:w="1827"/>
      </w:tblGrid>
      <w:tr w:rsidR="00737745" w:rsidRPr="0084495F" w14:paraId="0A2DE15A" w14:textId="77777777" w:rsidTr="00520BB2">
        <w:trPr>
          <w:tblHeader/>
        </w:trPr>
        <w:tc>
          <w:tcPr>
            <w:tcW w:w="3539" w:type="dxa"/>
            <w:vAlign w:val="center"/>
          </w:tcPr>
          <w:p w14:paraId="6DDCA569" w14:textId="77777777" w:rsidR="00737745" w:rsidRPr="0084495F" w:rsidRDefault="00737745" w:rsidP="00520BB2">
            <w:pPr>
              <w:tabs>
                <w:tab w:val="left" w:pos="164"/>
              </w:tabs>
              <w:ind w:right="-55"/>
              <w:rPr>
                <w:rFonts w:ascii="Arial Narrow" w:hAnsi="Arial Narrow"/>
                <w:sz w:val="20"/>
                <w:szCs w:val="20"/>
              </w:rPr>
            </w:pPr>
            <w:r w:rsidRPr="0084495F">
              <w:rPr>
                <w:rFonts w:ascii="Arial Narrow" w:hAnsi="Arial Narrow"/>
                <w:b/>
                <w:bCs/>
                <w:sz w:val="20"/>
                <w:szCs w:val="20"/>
              </w:rPr>
              <w:t>Outcome</w:t>
            </w:r>
          </w:p>
        </w:tc>
        <w:tc>
          <w:tcPr>
            <w:tcW w:w="1826" w:type="dxa"/>
          </w:tcPr>
          <w:p w14:paraId="44C28F13" w14:textId="77777777" w:rsidR="00737745" w:rsidRPr="0084495F" w:rsidRDefault="00737745" w:rsidP="00520BB2">
            <w:pPr>
              <w:pStyle w:val="TableText"/>
              <w:ind w:left="-71" w:right="-62"/>
              <w:jc w:val="center"/>
              <w:rPr>
                <w:b/>
                <w:bCs w:val="0"/>
                <w:szCs w:val="20"/>
              </w:rPr>
            </w:pPr>
            <w:r w:rsidRPr="0084495F">
              <w:rPr>
                <w:b/>
                <w:bCs w:val="0"/>
                <w:szCs w:val="20"/>
              </w:rPr>
              <w:t>Vericiguat + SoC</w:t>
            </w:r>
          </w:p>
          <w:p w14:paraId="76F7B553" w14:textId="77777777" w:rsidR="00737745" w:rsidRPr="0084495F" w:rsidRDefault="00737745" w:rsidP="00520BB2">
            <w:pPr>
              <w:ind w:left="-71" w:right="-62"/>
              <w:jc w:val="center"/>
              <w:rPr>
                <w:rFonts w:ascii="Arial Narrow" w:hAnsi="Arial Narrow"/>
                <w:sz w:val="20"/>
                <w:szCs w:val="20"/>
              </w:rPr>
            </w:pPr>
            <w:r w:rsidRPr="0084495F">
              <w:rPr>
                <w:rFonts w:ascii="Arial Narrow" w:hAnsi="Arial Narrow"/>
                <w:b/>
                <w:bCs/>
                <w:sz w:val="20"/>
                <w:szCs w:val="20"/>
              </w:rPr>
              <w:t>N=2526</w:t>
            </w:r>
          </w:p>
        </w:tc>
        <w:tc>
          <w:tcPr>
            <w:tcW w:w="1826" w:type="dxa"/>
          </w:tcPr>
          <w:p w14:paraId="17F420CC" w14:textId="77777777" w:rsidR="00737745" w:rsidRPr="0084495F" w:rsidRDefault="00737745" w:rsidP="00520BB2">
            <w:pPr>
              <w:ind w:left="-71" w:right="-62"/>
              <w:jc w:val="center"/>
              <w:rPr>
                <w:rFonts w:ascii="Arial Narrow" w:hAnsi="Arial Narrow"/>
                <w:sz w:val="20"/>
                <w:szCs w:val="20"/>
              </w:rPr>
            </w:pPr>
            <w:r w:rsidRPr="0084495F">
              <w:rPr>
                <w:rFonts w:ascii="Arial Narrow" w:hAnsi="Arial Narrow"/>
                <w:b/>
                <w:bCs/>
                <w:sz w:val="20"/>
                <w:szCs w:val="20"/>
              </w:rPr>
              <w:t>Placebo + SoC</w:t>
            </w:r>
            <w:r w:rsidRPr="0084495F">
              <w:rPr>
                <w:rFonts w:ascii="Arial Narrow" w:hAnsi="Arial Narrow"/>
                <w:b/>
                <w:bCs/>
                <w:sz w:val="20"/>
                <w:szCs w:val="20"/>
              </w:rPr>
              <w:br/>
              <w:t>N=2524</w:t>
            </w:r>
          </w:p>
        </w:tc>
        <w:tc>
          <w:tcPr>
            <w:tcW w:w="1826" w:type="dxa"/>
          </w:tcPr>
          <w:p w14:paraId="0B9AFE77" w14:textId="77777777" w:rsidR="00737745" w:rsidRPr="0084495F" w:rsidRDefault="00737745" w:rsidP="00520BB2">
            <w:pPr>
              <w:pStyle w:val="TableText"/>
              <w:ind w:left="-71" w:right="-62"/>
              <w:jc w:val="center"/>
              <w:rPr>
                <w:b/>
                <w:bCs w:val="0"/>
                <w:szCs w:val="20"/>
              </w:rPr>
            </w:pPr>
            <w:r w:rsidRPr="0084495F">
              <w:rPr>
                <w:b/>
                <w:bCs w:val="0"/>
                <w:szCs w:val="20"/>
              </w:rPr>
              <w:t>Hazard ratio</w:t>
            </w:r>
          </w:p>
          <w:p w14:paraId="5420D23A" w14:textId="77777777" w:rsidR="00737745" w:rsidRPr="0084495F" w:rsidRDefault="00737745" w:rsidP="00520BB2">
            <w:pPr>
              <w:ind w:left="-71" w:right="-62"/>
              <w:jc w:val="center"/>
              <w:rPr>
                <w:rFonts w:ascii="Arial Narrow" w:hAnsi="Arial Narrow"/>
                <w:sz w:val="20"/>
                <w:szCs w:val="20"/>
                <w:vertAlign w:val="superscript"/>
              </w:rPr>
            </w:pPr>
            <w:r w:rsidRPr="0084495F">
              <w:rPr>
                <w:rFonts w:ascii="Arial Narrow" w:hAnsi="Arial Narrow"/>
                <w:b/>
                <w:bCs/>
                <w:sz w:val="20"/>
                <w:szCs w:val="20"/>
              </w:rPr>
              <w:t>(95% CI)</w:t>
            </w:r>
          </w:p>
        </w:tc>
      </w:tr>
      <w:tr w:rsidR="00737745" w:rsidRPr="0084495F" w14:paraId="43D28F2E" w14:textId="77777777" w:rsidTr="00520BB2">
        <w:tc>
          <w:tcPr>
            <w:tcW w:w="3539" w:type="dxa"/>
            <w:vAlign w:val="center"/>
          </w:tcPr>
          <w:p w14:paraId="1D2AEADA" w14:textId="77777777" w:rsidR="00737745" w:rsidRPr="0084495F" w:rsidRDefault="00737745" w:rsidP="00520BB2">
            <w:pPr>
              <w:pStyle w:val="TableText"/>
              <w:tabs>
                <w:tab w:val="left" w:pos="164"/>
              </w:tabs>
              <w:ind w:right="-55"/>
              <w:rPr>
                <w:szCs w:val="20"/>
                <w:vertAlign w:val="superscript"/>
              </w:rPr>
            </w:pPr>
            <w:r w:rsidRPr="0084495F">
              <w:t>Composite of time to CV death or HHF n (%)</w:t>
            </w:r>
          </w:p>
        </w:tc>
        <w:tc>
          <w:tcPr>
            <w:tcW w:w="1826" w:type="dxa"/>
            <w:vAlign w:val="center"/>
          </w:tcPr>
          <w:p w14:paraId="128066AB" w14:textId="77777777" w:rsidR="00737745" w:rsidRPr="0084495F" w:rsidRDefault="00737745" w:rsidP="00520BB2">
            <w:pPr>
              <w:ind w:left="-74" w:right="-62"/>
              <w:jc w:val="center"/>
              <w:rPr>
                <w:rFonts w:ascii="Arial Narrow" w:hAnsi="Arial Narrow"/>
                <w:sz w:val="20"/>
                <w:szCs w:val="20"/>
              </w:rPr>
            </w:pPr>
            <w:r w:rsidRPr="0084495F">
              <w:rPr>
                <w:rFonts w:ascii="Arial Narrow" w:hAnsi="Arial Narrow"/>
                <w:sz w:val="20"/>
                <w:szCs w:val="20"/>
              </w:rPr>
              <w:t xml:space="preserve">897 (35.5%) </w:t>
            </w:r>
          </w:p>
        </w:tc>
        <w:tc>
          <w:tcPr>
            <w:tcW w:w="1826" w:type="dxa"/>
            <w:vAlign w:val="center"/>
          </w:tcPr>
          <w:p w14:paraId="62EF6DCF" w14:textId="77777777" w:rsidR="00737745" w:rsidRPr="0084495F" w:rsidRDefault="00737745" w:rsidP="00520BB2">
            <w:pPr>
              <w:ind w:left="-74" w:right="-62"/>
              <w:jc w:val="center"/>
              <w:rPr>
                <w:rFonts w:ascii="Arial Narrow" w:hAnsi="Arial Narrow"/>
                <w:sz w:val="20"/>
                <w:szCs w:val="20"/>
              </w:rPr>
            </w:pPr>
            <w:r w:rsidRPr="0084495F">
              <w:rPr>
                <w:rFonts w:ascii="Arial Narrow" w:hAnsi="Arial Narrow"/>
                <w:sz w:val="20"/>
                <w:szCs w:val="20"/>
              </w:rPr>
              <w:t xml:space="preserve">972 (38.5%) </w:t>
            </w:r>
          </w:p>
        </w:tc>
        <w:tc>
          <w:tcPr>
            <w:tcW w:w="1826" w:type="dxa"/>
            <w:vAlign w:val="center"/>
          </w:tcPr>
          <w:p w14:paraId="1654872D" w14:textId="77777777" w:rsidR="00737745" w:rsidRPr="0084495F" w:rsidRDefault="00737745" w:rsidP="00520BB2">
            <w:pPr>
              <w:pStyle w:val="TableText"/>
              <w:ind w:left="-71" w:right="-62"/>
              <w:jc w:val="center"/>
              <w:rPr>
                <w:b/>
                <w:szCs w:val="20"/>
              </w:rPr>
            </w:pPr>
            <w:r w:rsidRPr="0084495F">
              <w:rPr>
                <w:b/>
                <w:szCs w:val="20"/>
              </w:rPr>
              <w:t>0.90 (0.82, 0.98)</w:t>
            </w:r>
          </w:p>
        </w:tc>
      </w:tr>
      <w:tr w:rsidR="00737745" w:rsidRPr="0084495F" w14:paraId="4BB95434" w14:textId="77777777" w:rsidTr="00520BB2">
        <w:tc>
          <w:tcPr>
            <w:tcW w:w="3539" w:type="dxa"/>
            <w:vAlign w:val="center"/>
          </w:tcPr>
          <w:p w14:paraId="7FCBBCA3" w14:textId="77777777" w:rsidR="00737745" w:rsidRPr="0084495F" w:rsidRDefault="00737745" w:rsidP="00520BB2">
            <w:pPr>
              <w:pStyle w:val="ListParagraph"/>
              <w:numPr>
                <w:ilvl w:val="0"/>
                <w:numId w:val="6"/>
              </w:numPr>
              <w:ind w:left="194" w:right="-70" w:hanging="124"/>
              <w:rPr>
                <w:rFonts w:ascii="Arial Narrow" w:eastAsia="SimSun" w:hAnsi="Arial Narrow" w:cstheme="minorHAnsi"/>
                <w:sz w:val="20"/>
                <w:szCs w:val="20"/>
                <w:lang w:eastAsia="zh-CN"/>
              </w:rPr>
            </w:pPr>
            <w:r w:rsidRPr="0084495F">
              <w:rPr>
                <w:rFonts w:ascii="Arial Narrow" w:eastAsia="SimSun" w:hAnsi="Arial Narrow" w:cstheme="minorHAnsi"/>
                <w:sz w:val="20"/>
                <w:szCs w:val="20"/>
                <w:lang w:eastAsia="zh-CN"/>
              </w:rPr>
              <w:t>HHF first event n (%)</w:t>
            </w:r>
          </w:p>
        </w:tc>
        <w:tc>
          <w:tcPr>
            <w:tcW w:w="1826" w:type="dxa"/>
            <w:vAlign w:val="center"/>
          </w:tcPr>
          <w:p w14:paraId="4610ACC1" w14:textId="77777777" w:rsidR="00737745" w:rsidRPr="0084495F" w:rsidRDefault="00737745" w:rsidP="00520BB2">
            <w:pPr>
              <w:ind w:left="-74" w:right="-62"/>
              <w:jc w:val="center"/>
              <w:rPr>
                <w:rFonts w:ascii="Arial Narrow" w:hAnsi="Arial Narrow"/>
                <w:sz w:val="20"/>
                <w:szCs w:val="20"/>
              </w:rPr>
            </w:pPr>
            <w:r w:rsidRPr="0084495F">
              <w:rPr>
                <w:rFonts w:ascii="Arial Narrow" w:hAnsi="Arial Narrow"/>
                <w:sz w:val="20"/>
                <w:szCs w:val="20"/>
              </w:rPr>
              <w:t>691 (27.4%)</w:t>
            </w:r>
          </w:p>
        </w:tc>
        <w:tc>
          <w:tcPr>
            <w:tcW w:w="1826" w:type="dxa"/>
            <w:vAlign w:val="center"/>
          </w:tcPr>
          <w:p w14:paraId="08C0458D" w14:textId="77777777" w:rsidR="00737745" w:rsidRPr="0084495F" w:rsidRDefault="00737745" w:rsidP="00520BB2">
            <w:pPr>
              <w:ind w:left="-74" w:right="-62"/>
              <w:jc w:val="center"/>
              <w:rPr>
                <w:rFonts w:ascii="Arial Narrow" w:hAnsi="Arial Narrow"/>
                <w:sz w:val="20"/>
                <w:szCs w:val="20"/>
              </w:rPr>
            </w:pPr>
            <w:r w:rsidRPr="0084495F">
              <w:rPr>
                <w:rFonts w:ascii="Arial Narrow" w:hAnsi="Arial Narrow"/>
                <w:sz w:val="20"/>
                <w:szCs w:val="20"/>
              </w:rPr>
              <w:t>747 (29.6%)</w:t>
            </w:r>
          </w:p>
        </w:tc>
        <w:tc>
          <w:tcPr>
            <w:tcW w:w="1826" w:type="dxa"/>
            <w:vAlign w:val="center"/>
          </w:tcPr>
          <w:p w14:paraId="5338F91B" w14:textId="77777777" w:rsidR="00737745" w:rsidRPr="0084495F" w:rsidRDefault="00737745" w:rsidP="00520BB2">
            <w:pPr>
              <w:ind w:left="-71" w:right="-62"/>
              <w:jc w:val="center"/>
              <w:rPr>
                <w:rFonts w:ascii="Arial Narrow" w:hAnsi="Arial Narrow"/>
                <w:sz w:val="20"/>
                <w:szCs w:val="20"/>
              </w:rPr>
            </w:pPr>
            <w:r w:rsidRPr="0084495F">
              <w:rPr>
                <w:rFonts w:ascii="Arial Narrow" w:hAnsi="Arial Narrow"/>
                <w:sz w:val="20"/>
                <w:szCs w:val="20"/>
              </w:rPr>
              <w:t>-</w:t>
            </w:r>
          </w:p>
        </w:tc>
      </w:tr>
      <w:tr w:rsidR="00737745" w:rsidRPr="0084495F" w14:paraId="07060E7A" w14:textId="77777777" w:rsidTr="00520BB2">
        <w:tc>
          <w:tcPr>
            <w:tcW w:w="3539" w:type="dxa"/>
            <w:vAlign w:val="center"/>
          </w:tcPr>
          <w:p w14:paraId="1FE02F1A" w14:textId="77777777" w:rsidR="00737745" w:rsidRPr="0084495F" w:rsidRDefault="00737745" w:rsidP="00520BB2">
            <w:pPr>
              <w:pStyle w:val="ListParagraph"/>
              <w:numPr>
                <w:ilvl w:val="0"/>
                <w:numId w:val="6"/>
              </w:numPr>
              <w:ind w:left="194" w:right="-70" w:hanging="124"/>
              <w:rPr>
                <w:rFonts w:ascii="Arial Narrow" w:eastAsia="SimSun" w:hAnsi="Arial Narrow" w:cstheme="minorHAnsi"/>
                <w:sz w:val="20"/>
                <w:szCs w:val="20"/>
                <w:lang w:eastAsia="zh-CN"/>
              </w:rPr>
            </w:pPr>
            <w:r w:rsidRPr="0084495F">
              <w:rPr>
                <w:rFonts w:ascii="Arial Narrow" w:eastAsia="SimSun" w:hAnsi="Arial Narrow" w:cstheme="minorHAnsi"/>
                <w:sz w:val="20"/>
                <w:szCs w:val="20"/>
                <w:lang w:eastAsia="zh-CN"/>
              </w:rPr>
              <w:t>CV death first event n (%)</w:t>
            </w:r>
          </w:p>
        </w:tc>
        <w:tc>
          <w:tcPr>
            <w:tcW w:w="1826" w:type="dxa"/>
            <w:vAlign w:val="center"/>
          </w:tcPr>
          <w:p w14:paraId="767BB49C" w14:textId="77777777" w:rsidR="00737745" w:rsidRPr="0084495F" w:rsidRDefault="00737745" w:rsidP="00520BB2">
            <w:pPr>
              <w:ind w:left="-74" w:right="-62"/>
              <w:jc w:val="center"/>
              <w:rPr>
                <w:rFonts w:ascii="Arial Narrow" w:hAnsi="Arial Narrow"/>
                <w:sz w:val="20"/>
                <w:szCs w:val="20"/>
              </w:rPr>
            </w:pPr>
            <w:r w:rsidRPr="0084495F">
              <w:rPr>
                <w:rFonts w:ascii="Arial Narrow" w:hAnsi="Arial Narrow"/>
                <w:sz w:val="20"/>
                <w:szCs w:val="20"/>
              </w:rPr>
              <w:t>206 (8.2%)</w:t>
            </w:r>
          </w:p>
        </w:tc>
        <w:tc>
          <w:tcPr>
            <w:tcW w:w="1826" w:type="dxa"/>
            <w:vAlign w:val="center"/>
          </w:tcPr>
          <w:p w14:paraId="02CCBF69" w14:textId="77777777" w:rsidR="00737745" w:rsidRPr="0084495F" w:rsidRDefault="00737745" w:rsidP="00520BB2">
            <w:pPr>
              <w:ind w:left="-74" w:right="-62"/>
              <w:jc w:val="center"/>
              <w:rPr>
                <w:rFonts w:ascii="Arial Narrow" w:hAnsi="Arial Narrow"/>
                <w:sz w:val="20"/>
                <w:szCs w:val="20"/>
              </w:rPr>
            </w:pPr>
            <w:r w:rsidRPr="0084495F">
              <w:rPr>
                <w:rFonts w:ascii="Arial Narrow" w:hAnsi="Arial Narrow"/>
                <w:sz w:val="20"/>
                <w:szCs w:val="20"/>
              </w:rPr>
              <w:t>225 (8.9%)</w:t>
            </w:r>
          </w:p>
        </w:tc>
        <w:tc>
          <w:tcPr>
            <w:tcW w:w="1826" w:type="dxa"/>
            <w:vAlign w:val="center"/>
          </w:tcPr>
          <w:p w14:paraId="03D7C0A4" w14:textId="77777777" w:rsidR="00737745" w:rsidRPr="0084495F" w:rsidRDefault="00737745" w:rsidP="00520BB2">
            <w:pPr>
              <w:ind w:left="-71" w:right="-62"/>
              <w:jc w:val="center"/>
              <w:rPr>
                <w:rFonts w:ascii="Arial Narrow" w:hAnsi="Arial Narrow"/>
                <w:sz w:val="20"/>
                <w:szCs w:val="20"/>
              </w:rPr>
            </w:pPr>
            <w:r w:rsidRPr="0084495F">
              <w:rPr>
                <w:rFonts w:ascii="Arial Narrow" w:hAnsi="Arial Narrow"/>
                <w:sz w:val="20"/>
                <w:szCs w:val="20"/>
              </w:rPr>
              <w:t>-</w:t>
            </w:r>
          </w:p>
        </w:tc>
      </w:tr>
      <w:tr w:rsidR="00737745" w:rsidRPr="0084495F" w14:paraId="3624FCF1" w14:textId="77777777" w:rsidTr="00520BB2">
        <w:tc>
          <w:tcPr>
            <w:tcW w:w="3539" w:type="dxa"/>
            <w:vAlign w:val="center"/>
          </w:tcPr>
          <w:p w14:paraId="0E661FF4" w14:textId="77777777" w:rsidR="00737745" w:rsidRPr="0084495F" w:rsidRDefault="00737745" w:rsidP="00520BB2">
            <w:pPr>
              <w:pStyle w:val="TableText"/>
              <w:tabs>
                <w:tab w:val="left" w:pos="164"/>
              </w:tabs>
              <w:ind w:right="-55"/>
              <w:rPr>
                <w:szCs w:val="20"/>
              </w:rPr>
            </w:pPr>
            <w:r w:rsidRPr="0084495F">
              <w:rPr>
                <w:szCs w:val="20"/>
              </w:rPr>
              <w:t>Median duration of follow-up</w:t>
            </w:r>
          </w:p>
        </w:tc>
        <w:tc>
          <w:tcPr>
            <w:tcW w:w="3651" w:type="dxa"/>
            <w:gridSpan w:val="2"/>
            <w:vAlign w:val="center"/>
          </w:tcPr>
          <w:p w14:paraId="7EE47C5A" w14:textId="77777777" w:rsidR="00737745" w:rsidRPr="0084495F" w:rsidRDefault="00737745" w:rsidP="00520BB2">
            <w:pPr>
              <w:pStyle w:val="TableText"/>
              <w:jc w:val="center"/>
              <w:rPr>
                <w:szCs w:val="20"/>
              </w:rPr>
            </w:pPr>
            <w:r w:rsidRPr="0084495F">
              <w:rPr>
                <w:szCs w:val="20"/>
              </w:rPr>
              <w:t>10.8 months</w:t>
            </w:r>
          </w:p>
        </w:tc>
        <w:tc>
          <w:tcPr>
            <w:tcW w:w="1827" w:type="dxa"/>
            <w:vAlign w:val="center"/>
          </w:tcPr>
          <w:p w14:paraId="1E838228" w14:textId="77777777" w:rsidR="00737745" w:rsidRPr="0084495F" w:rsidRDefault="00737745" w:rsidP="00520BB2">
            <w:pPr>
              <w:pStyle w:val="TableText"/>
              <w:ind w:left="-71" w:right="-62"/>
              <w:jc w:val="center"/>
              <w:rPr>
                <w:szCs w:val="20"/>
              </w:rPr>
            </w:pPr>
            <w:r w:rsidRPr="0084495F">
              <w:rPr>
                <w:szCs w:val="20"/>
              </w:rPr>
              <w:t>-</w:t>
            </w:r>
          </w:p>
        </w:tc>
      </w:tr>
    </w:tbl>
    <w:p w14:paraId="44087D2C" w14:textId="77777777" w:rsidR="00737745" w:rsidRPr="0084495F" w:rsidRDefault="00737745" w:rsidP="00737745">
      <w:pPr>
        <w:pStyle w:val="TableFooter"/>
      </w:pPr>
      <w:r w:rsidRPr="0084495F">
        <w:t>Source: Table 2-23, p104 of the submission</w:t>
      </w:r>
    </w:p>
    <w:p w14:paraId="14B6CFBD" w14:textId="77777777" w:rsidR="00737745" w:rsidRPr="0084495F" w:rsidRDefault="00737745" w:rsidP="00737745">
      <w:pPr>
        <w:pStyle w:val="TableFooter"/>
      </w:pPr>
      <w:r w:rsidRPr="0084495F">
        <w:t>Abbreviations: CEC, Clinical Endpoint Committee; CV, cardiovascular; HHF, hospitalisation for heart failure; ITT, intention-to-treat; SoC, standard of care</w:t>
      </w:r>
    </w:p>
    <w:p w14:paraId="444C3577" w14:textId="77777777" w:rsidR="00737745" w:rsidRPr="0084495F" w:rsidRDefault="00737745" w:rsidP="00737745">
      <w:pPr>
        <w:pStyle w:val="ExecSumBodyText"/>
        <w:rPr>
          <w:color w:val="0066FF"/>
        </w:rPr>
      </w:pPr>
      <w:r w:rsidRPr="0084495F">
        <w:rPr>
          <w:rFonts w:eastAsia="Calibri"/>
        </w:rPr>
        <w:t xml:space="preserve">Patients treated with vericiguat plus SoC showed a statistically significant improvement in the primary composite outcome of time to cardiovascular death, or hospitalisation for heart failure compared to placebo plus SoC, with a 10% relative hazard reduction over a median duration of follow-up of 10.8 months. </w:t>
      </w:r>
      <w:r w:rsidRPr="0084495F">
        <w:rPr>
          <w:rFonts w:eastAsia="Calibri"/>
          <w:iCs/>
        </w:rPr>
        <w:t>The difference in absolute risk between treatment arms was low and primarily driven by differences in the rates of hospitalisation for heart failure.</w:t>
      </w:r>
    </w:p>
    <w:p w14:paraId="3AABEBB9" w14:textId="77777777" w:rsidR="00737745" w:rsidRPr="0084495F" w:rsidRDefault="00737745" w:rsidP="00737745">
      <w:pPr>
        <w:pStyle w:val="ExecSumBodyText"/>
        <w:rPr>
          <w:color w:val="0066FF"/>
        </w:rPr>
      </w:pPr>
      <w:r w:rsidRPr="0084495F">
        <w:t>The table below summarises the results of the key secondary outcomes of the VICTORIA trial (ITT).</w:t>
      </w:r>
    </w:p>
    <w:p w14:paraId="707EFBB6" w14:textId="48B9E5A6" w:rsidR="00737745" w:rsidRPr="0084495F" w:rsidRDefault="00737745" w:rsidP="00737745">
      <w:pPr>
        <w:pStyle w:val="Caption"/>
        <w:rPr>
          <w:szCs w:val="20"/>
        </w:rPr>
      </w:pPr>
      <w:r w:rsidRPr="0084495F">
        <w:rPr>
          <w:szCs w:val="20"/>
        </w:rPr>
        <w:t xml:space="preserve">Table </w:t>
      </w:r>
      <w:r w:rsidRPr="0084495F">
        <w:rPr>
          <w:szCs w:val="20"/>
        </w:rPr>
        <w:fldChar w:fldCharType="begin"/>
      </w:r>
      <w:r w:rsidRPr="0084495F">
        <w:rPr>
          <w:szCs w:val="20"/>
        </w:rPr>
        <w:instrText xml:space="preserve"> SEQ Table \* ARABIC </w:instrText>
      </w:r>
      <w:r w:rsidRPr="0084495F">
        <w:rPr>
          <w:szCs w:val="20"/>
        </w:rPr>
        <w:fldChar w:fldCharType="separate"/>
      </w:r>
      <w:r w:rsidR="0084495F" w:rsidRPr="0084495F">
        <w:rPr>
          <w:szCs w:val="20"/>
        </w:rPr>
        <w:t>6</w:t>
      </w:r>
      <w:r w:rsidRPr="0084495F">
        <w:rPr>
          <w:szCs w:val="20"/>
        </w:rPr>
        <w:fldChar w:fldCharType="end"/>
      </w:r>
      <w:r w:rsidRPr="0084495F">
        <w:rPr>
          <w:szCs w:val="20"/>
        </w:rPr>
        <w:t xml:space="preserve">: </w:t>
      </w:r>
      <w:r w:rsidRPr="0084495F">
        <w:rPr>
          <w:rFonts w:eastAsia="Calibri" w:cs="Calibri"/>
          <w:szCs w:val="20"/>
          <w:lang w:eastAsia="en-GB"/>
        </w:rPr>
        <w:t xml:space="preserve">Results of the key secondary outcomes of cardiovascular death, hospitalisation for heart failure, all-cause </w:t>
      </w:r>
      <w:proofErr w:type="gramStart"/>
      <w:r w:rsidRPr="0084495F">
        <w:rPr>
          <w:rFonts w:eastAsia="Calibri" w:cs="Calibri"/>
          <w:szCs w:val="20"/>
          <w:lang w:eastAsia="en-GB"/>
        </w:rPr>
        <w:t>mortality</w:t>
      </w:r>
      <w:proofErr w:type="gramEnd"/>
      <w:r w:rsidRPr="0084495F">
        <w:rPr>
          <w:rFonts w:eastAsia="Calibri" w:cs="Calibri"/>
          <w:szCs w:val="20"/>
          <w:lang w:eastAsia="en-GB"/>
        </w:rPr>
        <w:t xml:space="preserve"> and the composite of time to all-cause mortality or HHF (VICTORIA; ITT; CEC)</w:t>
      </w:r>
    </w:p>
    <w:tbl>
      <w:tblPr>
        <w:tblStyle w:val="TableGrid"/>
        <w:tblW w:w="5000" w:type="pct"/>
        <w:tblLook w:val="04A0" w:firstRow="1" w:lastRow="0" w:firstColumn="1" w:lastColumn="0" w:noHBand="0" w:noVBand="1"/>
        <w:tblCaption w:val="Table 6: Results of the key secondary outcomes of cardiovascular death, hospitalisation for heart failure, all-cause mortality and the composite of time to all-cause mortality or HHF (VICTORIA; ITT; CEC)"/>
      </w:tblPr>
      <w:tblGrid>
        <w:gridCol w:w="3539"/>
        <w:gridCol w:w="1826"/>
        <w:gridCol w:w="1826"/>
        <w:gridCol w:w="1826"/>
      </w:tblGrid>
      <w:tr w:rsidR="00737745" w:rsidRPr="0084495F" w14:paraId="3C9E8C45" w14:textId="77777777" w:rsidTr="00520BB2">
        <w:trPr>
          <w:tblHeader/>
        </w:trPr>
        <w:tc>
          <w:tcPr>
            <w:tcW w:w="3539" w:type="dxa"/>
            <w:vAlign w:val="center"/>
          </w:tcPr>
          <w:p w14:paraId="528B5759" w14:textId="77777777" w:rsidR="00737745" w:rsidRPr="0084495F" w:rsidRDefault="00737745" w:rsidP="00520BB2">
            <w:pPr>
              <w:keepNext/>
              <w:keepLines/>
              <w:tabs>
                <w:tab w:val="left" w:pos="164"/>
              </w:tabs>
              <w:ind w:right="-70"/>
              <w:rPr>
                <w:rFonts w:ascii="Arial Narrow" w:hAnsi="Arial Narrow"/>
                <w:sz w:val="20"/>
                <w:szCs w:val="20"/>
              </w:rPr>
            </w:pPr>
            <w:r w:rsidRPr="0084495F">
              <w:rPr>
                <w:rFonts w:ascii="Arial Narrow" w:hAnsi="Arial Narrow"/>
                <w:b/>
                <w:bCs/>
                <w:sz w:val="20"/>
                <w:szCs w:val="20"/>
              </w:rPr>
              <w:t>Outcome</w:t>
            </w:r>
          </w:p>
        </w:tc>
        <w:tc>
          <w:tcPr>
            <w:tcW w:w="1826" w:type="dxa"/>
          </w:tcPr>
          <w:p w14:paraId="46A2D044" w14:textId="77777777" w:rsidR="00737745" w:rsidRPr="0084495F" w:rsidRDefault="00737745" w:rsidP="00520BB2">
            <w:pPr>
              <w:pStyle w:val="TableText"/>
              <w:keepLines/>
              <w:ind w:left="-71" w:right="-62"/>
              <w:jc w:val="center"/>
              <w:rPr>
                <w:b/>
                <w:bCs w:val="0"/>
                <w:szCs w:val="20"/>
              </w:rPr>
            </w:pPr>
            <w:r w:rsidRPr="0084495F">
              <w:rPr>
                <w:b/>
                <w:bCs w:val="0"/>
                <w:szCs w:val="20"/>
              </w:rPr>
              <w:t>Vericiguat + SoC</w:t>
            </w:r>
          </w:p>
          <w:p w14:paraId="6F1C9FDC"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b/>
                <w:bCs/>
                <w:sz w:val="20"/>
                <w:szCs w:val="20"/>
              </w:rPr>
              <w:t>N=2526</w:t>
            </w:r>
          </w:p>
        </w:tc>
        <w:tc>
          <w:tcPr>
            <w:tcW w:w="1826" w:type="dxa"/>
          </w:tcPr>
          <w:p w14:paraId="382DAEFD"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b/>
                <w:bCs/>
                <w:sz w:val="20"/>
                <w:szCs w:val="20"/>
              </w:rPr>
              <w:t>Placebo + SoC</w:t>
            </w:r>
            <w:r w:rsidRPr="0084495F">
              <w:rPr>
                <w:rFonts w:ascii="Arial Narrow" w:hAnsi="Arial Narrow"/>
                <w:b/>
                <w:bCs/>
                <w:sz w:val="20"/>
                <w:szCs w:val="20"/>
              </w:rPr>
              <w:br/>
              <w:t>N=2524</w:t>
            </w:r>
          </w:p>
        </w:tc>
        <w:tc>
          <w:tcPr>
            <w:tcW w:w="1826" w:type="dxa"/>
          </w:tcPr>
          <w:p w14:paraId="4B9EE152" w14:textId="77777777" w:rsidR="00737745" w:rsidRPr="0084495F" w:rsidRDefault="00737745" w:rsidP="00520BB2">
            <w:pPr>
              <w:pStyle w:val="TableText"/>
              <w:keepLines/>
              <w:ind w:left="-71" w:right="-62"/>
              <w:jc w:val="center"/>
              <w:rPr>
                <w:b/>
                <w:bCs w:val="0"/>
                <w:szCs w:val="20"/>
              </w:rPr>
            </w:pPr>
            <w:r w:rsidRPr="0084495F">
              <w:rPr>
                <w:b/>
                <w:bCs w:val="0"/>
                <w:szCs w:val="20"/>
              </w:rPr>
              <w:t>Hazard ratio</w:t>
            </w:r>
          </w:p>
          <w:p w14:paraId="2936F695" w14:textId="77777777" w:rsidR="00737745" w:rsidRPr="0084495F" w:rsidRDefault="00737745" w:rsidP="00520BB2">
            <w:pPr>
              <w:keepNext/>
              <w:keepLines/>
              <w:ind w:left="-71" w:right="-62"/>
              <w:jc w:val="center"/>
              <w:rPr>
                <w:rFonts w:ascii="Arial Narrow" w:hAnsi="Arial Narrow"/>
                <w:sz w:val="20"/>
                <w:szCs w:val="20"/>
                <w:vertAlign w:val="superscript"/>
              </w:rPr>
            </w:pPr>
            <w:r w:rsidRPr="0084495F">
              <w:rPr>
                <w:rFonts w:ascii="Arial Narrow" w:hAnsi="Arial Narrow"/>
                <w:b/>
                <w:bCs/>
                <w:sz w:val="20"/>
                <w:szCs w:val="20"/>
              </w:rPr>
              <w:t>(95% CI)</w:t>
            </w:r>
          </w:p>
        </w:tc>
      </w:tr>
      <w:tr w:rsidR="00737745" w:rsidRPr="0084495F" w14:paraId="2716B54D" w14:textId="77777777" w:rsidTr="00520BB2">
        <w:tc>
          <w:tcPr>
            <w:tcW w:w="3539" w:type="dxa"/>
            <w:vAlign w:val="center"/>
          </w:tcPr>
          <w:p w14:paraId="2977FA40" w14:textId="77777777" w:rsidR="00737745" w:rsidRPr="0084495F" w:rsidRDefault="00737745" w:rsidP="00520BB2">
            <w:pPr>
              <w:keepNext/>
              <w:keepLines/>
              <w:tabs>
                <w:tab w:val="left" w:pos="164"/>
              </w:tabs>
              <w:ind w:right="-70"/>
              <w:rPr>
                <w:rFonts w:ascii="Arial Narrow" w:hAnsi="Arial Narrow"/>
                <w:sz w:val="20"/>
                <w:szCs w:val="20"/>
              </w:rPr>
            </w:pPr>
            <w:r w:rsidRPr="0084495F">
              <w:rPr>
                <w:rFonts w:ascii="Arial Narrow" w:hAnsi="Arial Narrow"/>
                <w:sz w:val="20"/>
                <w:szCs w:val="20"/>
              </w:rPr>
              <w:t>CV death n (%)</w:t>
            </w:r>
          </w:p>
        </w:tc>
        <w:tc>
          <w:tcPr>
            <w:tcW w:w="1826" w:type="dxa"/>
            <w:vAlign w:val="center"/>
          </w:tcPr>
          <w:p w14:paraId="7AC83227"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414 (16.4%)</w:t>
            </w:r>
          </w:p>
        </w:tc>
        <w:tc>
          <w:tcPr>
            <w:tcW w:w="1826" w:type="dxa"/>
            <w:vAlign w:val="center"/>
          </w:tcPr>
          <w:p w14:paraId="6D38F841"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441 (17.5%)</w:t>
            </w:r>
          </w:p>
        </w:tc>
        <w:tc>
          <w:tcPr>
            <w:tcW w:w="1826" w:type="dxa"/>
            <w:vAlign w:val="center"/>
          </w:tcPr>
          <w:p w14:paraId="3D98B9A5"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0.93 (0.81, 1.06)</w:t>
            </w:r>
          </w:p>
        </w:tc>
      </w:tr>
      <w:tr w:rsidR="00737745" w:rsidRPr="0084495F" w14:paraId="00FAC27E" w14:textId="77777777" w:rsidTr="00520BB2">
        <w:tc>
          <w:tcPr>
            <w:tcW w:w="3539" w:type="dxa"/>
          </w:tcPr>
          <w:p w14:paraId="2D3613F4" w14:textId="77777777" w:rsidR="00737745" w:rsidRPr="0084495F" w:rsidRDefault="00737745" w:rsidP="00520BB2">
            <w:pPr>
              <w:pStyle w:val="ListParagraph"/>
              <w:keepNext/>
              <w:keepLines/>
              <w:numPr>
                <w:ilvl w:val="0"/>
                <w:numId w:val="6"/>
              </w:numPr>
              <w:ind w:left="194" w:right="-70" w:hanging="124"/>
              <w:rPr>
                <w:rFonts w:ascii="Arial Narrow" w:eastAsia="SimSun" w:hAnsi="Arial Narrow" w:cstheme="minorHAnsi"/>
                <w:sz w:val="20"/>
                <w:szCs w:val="20"/>
                <w:lang w:eastAsia="zh-CN"/>
              </w:rPr>
            </w:pPr>
            <w:r w:rsidRPr="0084495F">
              <w:rPr>
                <w:rFonts w:ascii="Arial Narrow" w:eastAsia="SimSun" w:hAnsi="Arial Narrow" w:cstheme="minorHAnsi"/>
                <w:sz w:val="20"/>
                <w:szCs w:val="20"/>
                <w:lang w:eastAsia="zh-CN"/>
              </w:rPr>
              <w:t>Heart failure</w:t>
            </w:r>
          </w:p>
        </w:tc>
        <w:tc>
          <w:tcPr>
            <w:tcW w:w="1826" w:type="dxa"/>
            <w:vAlign w:val="center"/>
          </w:tcPr>
          <w:p w14:paraId="0EA84E56"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165 (6.5%)</w:t>
            </w:r>
          </w:p>
        </w:tc>
        <w:tc>
          <w:tcPr>
            <w:tcW w:w="1826" w:type="dxa"/>
            <w:vAlign w:val="center"/>
          </w:tcPr>
          <w:p w14:paraId="69D1F2C9"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191 (7.6%)</w:t>
            </w:r>
          </w:p>
        </w:tc>
        <w:tc>
          <w:tcPr>
            <w:tcW w:w="1826" w:type="dxa"/>
            <w:vAlign w:val="center"/>
          </w:tcPr>
          <w:p w14:paraId="365BF60B"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w:t>
            </w:r>
          </w:p>
        </w:tc>
      </w:tr>
      <w:tr w:rsidR="00737745" w:rsidRPr="0084495F" w14:paraId="0365056D" w14:textId="77777777" w:rsidTr="00520BB2">
        <w:tc>
          <w:tcPr>
            <w:tcW w:w="3539" w:type="dxa"/>
          </w:tcPr>
          <w:p w14:paraId="2F03FB9F" w14:textId="77777777" w:rsidR="00737745" w:rsidRPr="0084495F" w:rsidRDefault="00737745" w:rsidP="00520BB2">
            <w:pPr>
              <w:pStyle w:val="ListParagraph"/>
              <w:keepNext/>
              <w:keepLines/>
              <w:numPr>
                <w:ilvl w:val="0"/>
                <w:numId w:val="6"/>
              </w:numPr>
              <w:ind w:left="194" w:right="-70" w:hanging="124"/>
              <w:rPr>
                <w:rFonts w:ascii="Arial Narrow" w:eastAsia="SimSun" w:hAnsi="Arial Narrow" w:cstheme="minorHAnsi"/>
                <w:sz w:val="20"/>
                <w:szCs w:val="20"/>
                <w:lang w:eastAsia="zh-CN"/>
              </w:rPr>
            </w:pPr>
            <w:r w:rsidRPr="0084495F">
              <w:rPr>
                <w:rFonts w:ascii="Arial Narrow" w:eastAsia="SimSun" w:hAnsi="Arial Narrow" w:cstheme="minorHAnsi"/>
                <w:sz w:val="20"/>
                <w:szCs w:val="20"/>
                <w:lang w:eastAsia="zh-CN"/>
              </w:rPr>
              <w:t>Myocardial infarction</w:t>
            </w:r>
          </w:p>
        </w:tc>
        <w:tc>
          <w:tcPr>
            <w:tcW w:w="1826" w:type="dxa"/>
            <w:vAlign w:val="center"/>
          </w:tcPr>
          <w:p w14:paraId="46D8BDCE"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10 (0.4%)</w:t>
            </w:r>
          </w:p>
        </w:tc>
        <w:tc>
          <w:tcPr>
            <w:tcW w:w="1826" w:type="dxa"/>
            <w:vAlign w:val="center"/>
          </w:tcPr>
          <w:p w14:paraId="03F67247"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11 (0.4%)</w:t>
            </w:r>
          </w:p>
        </w:tc>
        <w:tc>
          <w:tcPr>
            <w:tcW w:w="1826" w:type="dxa"/>
            <w:vAlign w:val="center"/>
          </w:tcPr>
          <w:p w14:paraId="208AAEEA"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w:t>
            </w:r>
          </w:p>
        </w:tc>
      </w:tr>
      <w:tr w:rsidR="00737745" w:rsidRPr="0084495F" w14:paraId="30651238" w14:textId="77777777" w:rsidTr="00520BB2">
        <w:tc>
          <w:tcPr>
            <w:tcW w:w="3539" w:type="dxa"/>
          </w:tcPr>
          <w:p w14:paraId="558DE5D6" w14:textId="77777777" w:rsidR="00737745" w:rsidRPr="0084495F" w:rsidRDefault="00737745" w:rsidP="00520BB2">
            <w:pPr>
              <w:pStyle w:val="ListParagraph"/>
              <w:keepNext/>
              <w:keepLines/>
              <w:numPr>
                <w:ilvl w:val="0"/>
                <w:numId w:val="6"/>
              </w:numPr>
              <w:ind w:left="194" w:right="-70" w:hanging="124"/>
              <w:rPr>
                <w:rFonts w:ascii="Arial Narrow" w:eastAsia="SimSun" w:hAnsi="Arial Narrow" w:cstheme="minorHAnsi"/>
                <w:sz w:val="20"/>
                <w:szCs w:val="20"/>
                <w:lang w:eastAsia="zh-CN"/>
              </w:rPr>
            </w:pPr>
            <w:r w:rsidRPr="0084495F">
              <w:rPr>
                <w:rFonts w:ascii="Arial Narrow" w:eastAsia="SimSun" w:hAnsi="Arial Narrow" w:cstheme="minorHAnsi"/>
                <w:sz w:val="20"/>
                <w:szCs w:val="20"/>
                <w:lang w:eastAsia="zh-CN"/>
              </w:rPr>
              <w:t>Stroke</w:t>
            </w:r>
          </w:p>
        </w:tc>
        <w:tc>
          <w:tcPr>
            <w:tcW w:w="1826" w:type="dxa"/>
            <w:vAlign w:val="center"/>
          </w:tcPr>
          <w:p w14:paraId="3FB72845"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7 (0.3%)</w:t>
            </w:r>
          </w:p>
        </w:tc>
        <w:tc>
          <w:tcPr>
            <w:tcW w:w="1826" w:type="dxa"/>
            <w:vAlign w:val="center"/>
          </w:tcPr>
          <w:p w14:paraId="7090BDA0"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16 (0.6)</w:t>
            </w:r>
          </w:p>
        </w:tc>
        <w:tc>
          <w:tcPr>
            <w:tcW w:w="1826" w:type="dxa"/>
            <w:vAlign w:val="center"/>
          </w:tcPr>
          <w:p w14:paraId="7BC785CD"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w:t>
            </w:r>
          </w:p>
        </w:tc>
      </w:tr>
      <w:tr w:rsidR="00737745" w:rsidRPr="0084495F" w14:paraId="22C198DF" w14:textId="77777777" w:rsidTr="00520BB2">
        <w:tc>
          <w:tcPr>
            <w:tcW w:w="3539" w:type="dxa"/>
          </w:tcPr>
          <w:p w14:paraId="3078B4DA" w14:textId="77777777" w:rsidR="00737745" w:rsidRPr="0084495F" w:rsidRDefault="00737745" w:rsidP="00520BB2">
            <w:pPr>
              <w:pStyle w:val="ListParagraph"/>
              <w:keepNext/>
              <w:keepLines/>
              <w:numPr>
                <w:ilvl w:val="0"/>
                <w:numId w:val="6"/>
              </w:numPr>
              <w:ind w:left="194" w:right="-70" w:hanging="124"/>
              <w:rPr>
                <w:rFonts w:ascii="Arial Narrow" w:eastAsia="SimSun" w:hAnsi="Arial Narrow" w:cstheme="minorHAnsi"/>
                <w:sz w:val="20"/>
                <w:szCs w:val="20"/>
                <w:lang w:eastAsia="zh-CN"/>
              </w:rPr>
            </w:pPr>
            <w:proofErr w:type="gramStart"/>
            <w:r w:rsidRPr="0084495F">
              <w:rPr>
                <w:rFonts w:ascii="Arial Narrow" w:eastAsia="SimSun" w:hAnsi="Arial Narrow" w:cstheme="minorHAnsi"/>
                <w:sz w:val="20"/>
                <w:szCs w:val="20"/>
                <w:lang w:eastAsia="zh-CN"/>
              </w:rPr>
              <w:t>Other</w:t>
            </w:r>
            <w:proofErr w:type="gramEnd"/>
            <w:r w:rsidRPr="0084495F">
              <w:rPr>
                <w:rFonts w:ascii="Arial Narrow" w:eastAsia="SimSun" w:hAnsi="Arial Narrow" w:cstheme="minorHAnsi"/>
                <w:sz w:val="20"/>
                <w:szCs w:val="20"/>
                <w:lang w:eastAsia="zh-CN"/>
              </w:rPr>
              <w:t xml:space="preserve"> cardiovascular event</w:t>
            </w:r>
          </w:p>
        </w:tc>
        <w:tc>
          <w:tcPr>
            <w:tcW w:w="1826" w:type="dxa"/>
            <w:vAlign w:val="center"/>
          </w:tcPr>
          <w:p w14:paraId="21BEE61D"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13 (0.5%)</w:t>
            </w:r>
          </w:p>
        </w:tc>
        <w:tc>
          <w:tcPr>
            <w:tcW w:w="1826" w:type="dxa"/>
            <w:vAlign w:val="center"/>
          </w:tcPr>
          <w:p w14:paraId="338EB4FC"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9 (0.4%)</w:t>
            </w:r>
          </w:p>
        </w:tc>
        <w:tc>
          <w:tcPr>
            <w:tcW w:w="1826" w:type="dxa"/>
            <w:vAlign w:val="center"/>
          </w:tcPr>
          <w:p w14:paraId="04C20835"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w:t>
            </w:r>
          </w:p>
        </w:tc>
      </w:tr>
      <w:tr w:rsidR="00737745" w:rsidRPr="0084495F" w14:paraId="0EFE32BC" w14:textId="77777777" w:rsidTr="00520BB2">
        <w:tc>
          <w:tcPr>
            <w:tcW w:w="3539" w:type="dxa"/>
          </w:tcPr>
          <w:p w14:paraId="78125EA7" w14:textId="77777777" w:rsidR="00737745" w:rsidRPr="0084495F" w:rsidRDefault="00737745" w:rsidP="00520BB2">
            <w:pPr>
              <w:pStyle w:val="ListParagraph"/>
              <w:keepNext/>
              <w:keepLines/>
              <w:numPr>
                <w:ilvl w:val="0"/>
                <w:numId w:val="6"/>
              </w:numPr>
              <w:ind w:left="194" w:right="-70" w:hanging="124"/>
              <w:rPr>
                <w:rFonts w:ascii="Arial Narrow" w:eastAsia="SimSun" w:hAnsi="Arial Narrow" w:cstheme="minorHAnsi"/>
                <w:sz w:val="20"/>
                <w:szCs w:val="20"/>
                <w:lang w:eastAsia="zh-CN"/>
              </w:rPr>
            </w:pPr>
            <w:r w:rsidRPr="0084495F">
              <w:rPr>
                <w:rFonts w:ascii="Arial Narrow" w:eastAsia="SimSun" w:hAnsi="Arial Narrow" w:cstheme="minorHAnsi"/>
                <w:sz w:val="20"/>
                <w:szCs w:val="20"/>
                <w:lang w:eastAsia="zh-CN"/>
              </w:rPr>
              <w:t>Sudden cardiac death</w:t>
            </w:r>
          </w:p>
        </w:tc>
        <w:tc>
          <w:tcPr>
            <w:tcW w:w="1826" w:type="dxa"/>
            <w:vAlign w:val="center"/>
          </w:tcPr>
          <w:p w14:paraId="73C61CFC"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107 (4.2%)</w:t>
            </w:r>
          </w:p>
        </w:tc>
        <w:tc>
          <w:tcPr>
            <w:tcW w:w="1826" w:type="dxa"/>
            <w:vAlign w:val="center"/>
          </w:tcPr>
          <w:p w14:paraId="1252D42E"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113 (4.5%)</w:t>
            </w:r>
          </w:p>
        </w:tc>
        <w:tc>
          <w:tcPr>
            <w:tcW w:w="1826" w:type="dxa"/>
            <w:vAlign w:val="center"/>
          </w:tcPr>
          <w:p w14:paraId="0EA29A18"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w:t>
            </w:r>
          </w:p>
        </w:tc>
      </w:tr>
      <w:tr w:rsidR="00737745" w:rsidRPr="0084495F" w14:paraId="2746449C" w14:textId="77777777" w:rsidTr="00520BB2">
        <w:tc>
          <w:tcPr>
            <w:tcW w:w="3539" w:type="dxa"/>
          </w:tcPr>
          <w:p w14:paraId="48ED099F" w14:textId="77777777" w:rsidR="00737745" w:rsidRPr="0084495F" w:rsidRDefault="00737745" w:rsidP="00520BB2">
            <w:pPr>
              <w:pStyle w:val="ListParagraph"/>
              <w:keepNext/>
              <w:keepLines/>
              <w:numPr>
                <w:ilvl w:val="0"/>
                <w:numId w:val="6"/>
              </w:numPr>
              <w:ind w:left="194" w:right="-70" w:hanging="124"/>
              <w:rPr>
                <w:rFonts w:ascii="Arial Narrow" w:eastAsia="SimSun" w:hAnsi="Arial Narrow" w:cstheme="minorHAnsi"/>
                <w:sz w:val="20"/>
                <w:szCs w:val="20"/>
                <w:lang w:eastAsia="zh-CN"/>
              </w:rPr>
            </w:pPr>
            <w:r w:rsidRPr="0084495F">
              <w:rPr>
                <w:rFonts w:ascii="Arial Narrow" w:eastAsia="SimSun" w:hAnsi="Arial Narrow" w:cstheme="minorHAnsi"/>
                <w:sz w:val="20"/>
                <w:szCs w:val="20"/>
                <w:lang w:eastAsia="zh-CN"/>
              </w:rPr>
              <w:t>Undetermined cause of death</w:t>
            </w:r>
          </w:p>
        </w:tc>
        <w:tc>
          <w:tcPr>
            <w:tcW w:w="1826" w:type="dxa"/>
            <w:vAlign w:val="center"/>
          </w:tcPr>
          <w:p w14:paraId="489702DC"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112 (4.4%)</w:t>
            </w:r>
          </w:p>
        </w:tc>
        <w:tc>
          <w:tcPr>
            <w:tcW w:w="1826" w:type="dxa"/>
            <w:vAlign w:val="center"/>
          </w:tcPr>
          <w:p w14:paraId="6455938D"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101 (4.0%)</w:t>
            </w:r>
          </w:p>
        </w:tc>
        <w:tc>
          <w:tcPr>
            <w:tcW w:w="1826" w:type="dxa"/>
            <w:vAlign w:val="center"/>
          </w:tcPr>
          <w:p w14:paraId="420A7C10"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w:t>
            </w:r>
          </w:p>
        </w:tc>
      </w:tr>
      <w:tr w:rsidR="00737745" w:rsidRPr="0084495F" w14:paraId="15F4117C" w14:textId="77777777" w:rsidTr="00520BB2">
        <w:trPr>
          <w:trHeight w:val="101"/>
        </w:trPr>
        <w:tc>
          <w:tcPr>
            <w:tcW w:w="3539" w:type="dxa"/>
            <w:vAlign w:val="center"/>
          </w:tcPr>
          <w:p w14:paraId="4DC2E37F" w14:textId="77777777" w:rsidR="00737745" w:rsidRPr="0084495F" w:rsidRDefault="00737745" w:rsidP="00520BB2">
            <w:pPr>
              <w:pStyle w:val="TableText"/>
              <w:keepLines/>
              <w:tabs>
                <w:tab w:val="left" w:pos="164"/>
              </w:tabs>
              <w:ind w:right="-70"/>
              <w:rPr>
                <w:szCs w:val="20"/>
              </w:rPr>
            </w:pPr>
            <w:r w:rsidRPr="0084495F">
              <w:t>Composite of time to all-cause mortality or HHF n (%)</w:t>
            </w:r>
          </w:p>
        </w:tc>
        <w:tc>
          <w:tcPr>
            <w:tcW w:w="1826" w:type="dxa"/>
            <w:vAlign w:val="center"/>
          </w:tcPr>
          <w:p w14:paraId="489E5C46" w14:textId="77777777" w:rsidR="00737745" w:rsidRPr="0084495F" w:rsidRDefault="00737745" w:rsidP="00520BB2">
            <w:pPr>
              <w:pStyle w:val="TableText"/>
              <w:keepLines/>
              <w:ind w:left="-71" w:right="-62"/>
              <w:jc w:val="center"/>
              <w:rPr>
                <w:szCs w:val="20"/>
              </w:rPr>
            </w:pPr>
            <w:r w:rsidRPr="0084495F">
              <w:rPr>
                <w:szCs w:val="20"/>
              </w:rPr>
              <w:t>957 (37.8%)</w:t>
            </w:r>
          </w:p>
        </w:tc>
        <w:tc>
          <w:tcPr>
            <w:tcW w:w="1826" w:type="dxa"/>
            <w:vAlign w:val="center"/>
          </w:tcPr>
          <w:p w14:paraId="7E46BACC" w14:textId="77777777" w:rsidR="00737745" w:rsidRPr="0084495F" w:rsidRDefault="00737745" w:rsidP="00520BB2">
            <w:pPr>
              <w:pStyle w:val="TableText"/>
              <w:keepLines/>
              <w:ind w:left="-71" w:right="-62"/>
              <w:jc w:val="center"/>
              <w:rPr>
                <w:szCs w:val="20"/>
              </w:rPr>
            </w:pPr>
            <w:r w:rsidRPr="0084495F">
              <w:rPr>
                <w:szCs w:val="20"/>
              </w:rPr>
              <w:t>1032 (40.9%)</w:t>
            </w:r>
          </w:p>
        </w:tc>
        <w:tc>
          <w:tcPr>
            <w:tcW w:w="1826" w:type="dxa"/>
            <w:vAlign w:val="center"/>
          </w:tcPr>
          <w:p w14:paraId="7A792E59" w14:textId="77777777" w:rsidR="00737745" w:rsidRPr="0084495F" w:rsidRDefault="00737745" w:rsidP="00520BB2">
            <w:pPr>
              <w:pStyle w:val="TableText"/>
              <w:keepLines/>
              <w:ind w:left="-71" w:right="-62"/>
              <w:jc w:val="center"/>
              <w:rPr>
                <w:szCs w:val="20"/>
              </w:rPr>
            </w:pPr>
            <w:r w:rsidRPr="0084495F">
              <w:rPr>
                <w:szCs w:val="20"/>
              </w:rPr>
              <w:t>0.90 (0.83, 0.98)</w:t>
            </w:r>
          </w:p>
        </w:tc>
      </w:tr>
      <w:tr w:rsidR="00737745" w:rsidRPr="0084495F" w14:paraId="689C432E" w14:textId="77777777" w:rsidTr="00520BB2">
        <w:trPr>
          <w:trHeight w:val="101"/>
        </w:trPr>
        <w:tc>
          <w:tcPr>
            <w:tcW w:w="3539" w:type="dxa"/>
            <w:vAlign w:val="center"/>
          </w:tcPr>
          <w:p w14:paraId="4F4F6CFB" w14:textId="77777777" w:rsidR="00737745" w:rsidRPr="0084495F" w:rsidRDefault="00737745" w:rsidP="00520BB2">
            <w:pPr>
              <w:keepNext/>
              <w:keepLines/>
              <w:ind w:right="-70"/>
              <w:rPr>
                <w:rFonts w:ascii="Arial Narrow" w:eastAsia="SimSun" w:hAnsi="Arial Narrow" w:cstheme="minorHAnsi"/>
                <w:sz w:val="20"/>
                <w:szCs w:val="20"/>
                <w:lang w:eastAsia="zh-CN"/>
              </w:rPr>
            </w:pPr>
            <w:r w:rsidRPr="0084495F">
              <w:rPr>
                <w:rFonts w:ascii="Arial Narrow" w:eastAsia="SimSun" w:hAnsi="Arial Narrow" w:cstheme="minorHAnsi"/>
                <w:sz w:val="20"/>
                <w:szCs w:val="20"/>
                <w:lang w:eastAsia="zh-CN"/>
              </w:rPr>
              <w:t>All-cause mortality n (%)</w:t>
            </w:r>
          </w:p>
        </w:tc>
        <w:tc>
          <w:tcPr>
            <w:tcW w:w="1826" w:type="dxa"/>
            <w:vAlign w:val="center"/>
          </w:tcPr>
          <w:p w14:paraId="3514B618" w14:textId="77777777" w:rsidR="00737745" w:rsidRPr="0084495F" w:rsidRDefault="00737745" w:rsidP="00520BB2">
            <w:pPr>
              <w:pStyle w:val="TableText"/>
              <w:keepLines/>
              <w:ind w:left="-71" w:right="-62"/>
              <w:jc w:val="center"/>
              <w:rPr>
                <w:szCs w:val="20"/>
              </w:rPr>
            </w:pPr>
            <w:r w:rsidRPr="0084495F">
              <w:rPr>
                <w:szCs w:val="20"/>
              </w:rPr>
              <w:t>512 (20.3%)</w:t>
            </w:r>
          </w:p>
        </w:tc>
        <w:tc>
          <w:tcPr>
            <w:tcW w:w="1826" w:type="dxa"/>
            <w:vAlign w:val="center"/>
          </w:tcPr>
          <w:p w14:paraId="769A998C" w14:textId="77777777" w:rsidR="00737745" w:rsidRPr="0084495F" w:rsidRDefault="00737745" w:rsidP="00520BB2">
            <w:pPr>
              <w:pStyle w:val="TableText"/>
              <w:keepLines/>
              <w:ind w:left="-71" w:right="-62"/>
              <w:jc w:val="center"/>
              <w:rPr>
                <w:szCs w:val="20"/>
              </w:rPr>
            </w:pPr>
            <w:r w:rsidRPr="0084495F">
              <w:rPr>
                <w:szCs w:val="20"/>
              </w:rPr>
              <w:t>534 (21.2%)</w:t>
            </w:r>
          </w:p>
        </w:tc>
        <w:tc>
          <w:tcPr>
            <w:tcW w:w="1826" w:type="dxa"/>
            <w:vAlign w:val="center"/>
          </w:tcPr>
          <w:p w14:paraId="2401801B" w14:textId="77777777" w:rsidR="00737745" w:rsidRPr="0084495F" w:rsidRDefault="00737745" w:rsidP="00520BB2">
            <w:pPr>
              <w:pStyle w:val="TableText"/>
              <w:keepLines/>
              <w:ind w:left="-71" w:right="-62"/>
              <w:jc w:val="center"/>
              <w:rPr>
                <w:szCs w:val="20"/>
              </w:rPr>
            </w:pPr>
            <w:r w:rsidRPr="0084495F">
              <w:rPr>
                <w:szCs w:val="20"/>
              </w:rPr>
              <w:t>0.95 (0.84, 1.07)</w:t>
            </w:r>
          </w:p>
        </w:tc>
      </w:tr>
      <w:tr w:rsidR="00737745" w:rsidRPr="0084495F" w14:paraId="35DFBEB9" w14:textId="77777777" w:rsidTr="00520BB2">
        <w:trPr>
          <w:trHeight w:val="77"/>
        </w:trPr>
        <w:tc>
          <w:tcPr>
            <w:tcW w:w="3539" w:type="dxa"/>
            <w:vAlign w:val="center"/>
          </w:tcPr>
          <w:p w14:paraId="4DCA1E77" w14:textId="77777777" w:rsidR="00737745" w:rsidRPr="0084495F" w:rsidRDefault="00737745" w:rsidP="00520BB2">
            <w:pPr>
              <w:keepNext/>
              <w:keepLines/>
              <w:ind w:right="-70"/>
              <w:rPr>
                <w:rFonts w:ascii="Arial Narrow" w:eastAsia="SimSun" w:hAnsi="Arial Narrow" w:cstheme="minorHAnsi"/>
                <w:sz w:val="20"/>
                <w:szCs w:val="20"/>
                <w:lang w:eastAsia="zh-CN"/>
              </w:rPr>
            </w:pPr>
            <w:r w:rsidRPr="0084495F">
              <w:rPr>
                <w:rFonts w:ascii="Arial Narrow" w:eastAsia="SimSun" w:hAnsi="Arial Narrow" w:cstheme="minorHAnsi"/>
                <w:sz w:val="20"/>
                <w:szCs w:val="20"/>
                <w:lang w:eastAsia="zh-CN"/>
              </w:rPr>
              <w:t>HHF n (%)</w:t>
            </w:r>
          </w:p>
        </w:tc>
        <w:tc>
          <w:tcPr>
            <w:tcW w:w="1826" w:type="dxa"/>
            <w:vAlign w:val="center"/>
          </w:tcPr>
          <w:p w14:paraId="5DFFA481"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691 (27.4%)</w:t>
            </w:r>
          </w:p>
        </w:tc>
        <w:tc>
          <w:tcPr>
            <w:tcW w:w="1826" w:type="dxa"/>
            <w:vAlign w:val="center"/>
          </w:tcPr>
          <w:p w14:paraId="3356CA92"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747 (29.6%)</w:t>
            </w:r>
          </w:p>
        </w:tc>
        <w:tc>
          <w:tcPr>
            <w:tcW w:w="1826" w:type="dxa"/>
            <w:vAlign w:val="center"/>
          </w:tcPr>
          <w:p w14:paraId="23A6177C" w14:textId="77777777" w:rsidR="00737745" w:rsidRPr="0084495F" w:rsidRDefault="00737745" w:rsidP="00520BB2">
            <w:pPr>
              <w:keepNext/>
              <w:keepLines/>
              <w:ind w:left="-71" w:right="-62"/>
              <w:jc w:val="center"/>
              <w:rPr>
                <w:rFonts w:ascii="Arial Narrow" w:hAnsi="Arial Narrow"/>
                <w:sz w:val="20"/>
                <w:szCs w:val="20"/>
              </w:rPr>
            </w:pPr>
            <w:r w:rsidRPr="0084495F">
              <w:rPr>
                <w:rFonts w:ascii="Arial Narrow" w:hAnsi="Arial Narrow"/>
                <w:sz w:val="20"/>
                <w:szCs w:val="20"/>
              </w:rPr>
              <w:t>0.90 (0.81, 1.00)</w:t>
            </w:r>
          </w:p>
        </w:tc>
      </w:tr>
    </w:tbl>
    <w:p w14:paraId="63A48E68" w14:textId="77777777" w:rsidR="00737745" w:rsidRPr="0084495F" w:rsidRDefault="00737745" w:rsidP="00737745">
      <w:pPr>
        <w:pStyle w:val="TableFooter"/>
        <w:keepNext/>
        <w:keepLines/>
        <w:widowControl/>
      </w:pPr>
      <w:r w:rsidRPr="0084495F">
        <w:t>Source: Table 2-24, p106 of the submission</w:t>
      </w:r>
    </w:p>
    <w:p w14:paraId="3AF80565" w14:textId="77777777" w:rsidR="00737745" w:rsidRPr="0084495F" w:rsidRDefault="00737745" w:rsidP="00737745">
      <w:pPr>
        <w:pStyle w:val="TableFooter"/>
        <w:keepNext/>
        <w:keepLines/>
        <w:widowControl/>
      </w:pPr>
      <w:r w:rsidRPr="0084495F">
        <w:t>Abbreviations: CEC, Clinical Endpoint Committee; CI, confidence interval; CV, cardiovascular; HHF, hospitalisation for heart failure; ITT, intention to treat; SoC, standard of care</w:t>
      </w:r>
    </w:p>
    <w:p w14:paraId="57F3D6D2" w14:textId="77777777" w:rsidR="00737745" w:rsidRPr="0084495F" w:rsidRDefault="00737745" w:rsidP="00737745">
      <w:pPr>
        <w:pStyle w:val="ExecSumBodyText"/>
      </w:pPr>
      <w:r w:rsidRPr="0084495F">
        <w:t xml:space="preserve">There was no statistically significant difference in the rate of cardiovascular death or all-cause mortality between patients treated with vericiguat plus SoC compared to placebo plus </w:t>
      </w:r>
      <w:proofErr w:type="spellStart"/>
      <w:r w:rsidRPr="0084495F">
        <w:t>SoC.</w:t>
      </w:r>
      <w:proofErr w:type="spellEnd"/>
      <w:r w:rsidRPr="0084495F">
        <w:t xml:space="preserve"> Patients treated with vericiguat plus SoC showed a statistically significant improvement in the secondary composite outcome of time to all-cause mortality, or hospitalisation for heart failure compared to placebo plus </w:t>
      </w:r>
      <w:proofErr w:type="spellStart"/>
      <w:r w:rsidRPr="0084495F">
        <w:t>SoC.</w:t>
      </w:r>
      <w:proofErr w:type="spellEnd"/>
      <w:r w:rsidRPr="0084495F">
        <w:t xml:space="preserve"> </w:t>
      </w:r>
      <w:r w:rsidRPr="0084495F">
        <w:rPr>
          <w:iCs/>
        </w:rPr>
        <w:t>As with the primary composite outcome, the difference in absolute risk between treatment arms was primarily driven by differences in the rates of hospitalisation for heart failure.</w:t>
      </w:r>
    </w:p>
    <w:p w14:paraId="40851C0B" w14:textId="77777777" w:rsidR="00737745" w:rsidRPr="0084495F" w:rsidRDefault="00737745" w:rsidP="00737745">
      <w:pPr>
        <w:pStyle w:val="ExecSumBodyText"/>
        <w:rPr>
          <w:color w:val="0066FF"/>
        </w:rPr>
      </w:pPr>
      <w:r w:rsidRPr="0084495F">
        <w:t xml:space="preserve">The table below summarises the results of the EQ-5D-5L questionnaire for the index and VAS scores in the </w:t>
      </w:r>
      <w:r w:rsidRPr="0084495F">
        <w:rPr>
          <w:rFonts w:cs="Calibri"/>
        </w:rPr>
        <w:t>VICTORIA</w:t>
      </w:r>
      <w:r w:rsidRPr="0084495F">
        <w:t xml:space="preserve"> trial (ITT).</w:t>
      </w:r>
    </w:p>
    <w:p w14:paraId="4D919F19" w14:textId="53C87C9A" w:rsidR="00737745" w:rsidRPr="0084495F" w:rsidRDefault="00737745" w:rsidP="00737745">
      <w:pPr>
        <w:pStyle w:val="TableHeading"/>
      </w:pPr>
      <w:r w:rsidRPr="0084495F">
        <w:lastRenderedPageBreak/>
        <w:t xml:space="preserve">Table </w:t>
      </w:r>
      <w:r w:rsidR="00C16DA1">
        <w:fldChar w:fldCharType="begin"/>
      </w:r>
      <w:r w:rsidR="00C16DA1">
        <w:instrText xml:space="preserve"> SEQ Table \* ARABIC </w:instrText>
      </w:r>
      <w:r w:rsidR="00C16DA1">
        <w:fldChar w:fldCharType="separate"/>
      </w:r>
      <w:r w:rsidR="0084495F" w:rsidRPr="0084495F">
        <w:t>7</w:t>
      </w:r>
      <w:r w:rsidR="00C16DA1">
        <w:fldChar w:fldCharType="end"/>
      </w:r>
      <w:r w:rsidRPr="0084495F">
        <w:t xml:space="preserve">: Change from baseline in EQ-5D-5L UK index and VAS scores at week 32 </w:t>
      </w:r>
      <w:r w:rsidRPr="0084495F">
        <w:rPr>
          <w:rFonts w:eastAsia="Calibri" w:cs="Calibri"/>
          <w:lang w:eastAsia="en-GB"/>
        </w:rPr>
        <w:t>(VICTORIA; ITT; exploratory)</w:t>
      </w:r>
    </w:p>
    <w:tbl>
      <w:tblPr>
        <w:tblStyle w:val="TableGrid"/>
        <w:tblW w:w="5000" w:type="pct"/>
        <w:tblLook w:val="04A0" w:firstRow="1" w:lastRow="0" w:firstColumn="1" w:lastColumn="0" w:noHBand="0" w:noVBand="1"/>
        <w:tblCaption w:val="Table 7: Change from baseline in EQ-5D-5L UK index and VAS scores at week 32 (VICTORIA; ITT; exploratory)"/>
      </w:tblPr>
      <w:tblGrid>
        <w:gridCol w:w="2689"/>
        <w:gridCol w:w="708"/>
        <w:gridCol w:w="1543"/>
        <w:gridCol w:w="725"/>
        <w:gridCol w:w="1526"/>
        <w:gridCol w:w="1826"/>
      </w:tblGrid>
      <w:tr w:rsidR="00737745" w:rsidRPr="0084495F" w14:paraId="099DE9AC" w14:textId="77777777" w:rsidTr="00520BB2">
        <w:trPr>
          <w:tblHeader/>
        </w:trPr>
        <w:tc>
          <w:tcPr>
            <w:tcW w:w="2689" w:type="dxa"/>
            <w:vMerge w:val="restart"/>
            <w:vAlign w:val="center"/>
          </w:tcPr>
          <w:p w14:paraId="66915866" w14:textId="77777777" w:rsidR="00737745" w:rsidRPr="0084495F" w:rsidRDefault="00737745" w:rsidP="00520BB2">
            <w:pPr>
              <w:keepNext/>
              <w:tabs>
                <w:tab w:val="left" w:pos="164"/>
              </w:tabs>
              <w:ind w:right="-70"/>
              <w:rPr>
                <w:rFonts w:ascii="Arial Narrow" w:hAnsi="Arial Narrow"/>
                <w:sz w:val="20"/>
                <w:szCs w:val="20"/>
              </w:rPr>
            </w:pPr>
            <w:r w:rsidRPr="0084495F">
              <w:rPr>
                <w:rFonts w:ascii="Arial Narrow" w:hAnsi="Arial Narrow"/>
                <w:b/>
                <w:bCs/>
                <w:sz w:val="20"/>
                <w:szCs w:val="20"/>
              </w:rPr>
              <w:t>Outcome</w:t>
            </w:r>
          </w:p>
        </w:tc>
        <w:tc>
          <w:tcPr>
            <w:tcW w:w="2251" w:type="dxa"/>
            <w:gridSpan w:val="2"/>
          </w:tcPr>
          <w:p w14:paraId="70F9247B" w14:textId="77777777" w:rsidR="00737745" w:rsidRPr="0084495F" w:rsidRDefault="00737745" w:rsidP="00520BB2">
            <w:pPr>
              <w:pStyle w:val="TableText"/>
              <w:ind w:left="-71" w:right="-62"/>
              <w:jc w:val="center"/>
              <w:rPr>
                <w:b/>
                <w:bCs w:val="0"/>
                <w:szCs w:val="20"/>
              </w:rPr>
            </w:pPr>
            <w:r w:rsidRPr="0084495F">
              <w:rPr>
                <w:b/>
                <w:bCs w:val="0"/>
                <w:szCs w:val="20"/>
              </w:rPr>
              <w:t>Baseline</w:t>
            </w:r>
          </w:p>
        </w:tc>
        <w:tc>
          <w:tcPr>
            <w:tcW w:w="2251" w:type="dxa"/>
            <w:gridSpan w:val="2"/>
          </w:tcPr>
          <w:p w14:paraId="20F98450" w14:textId="77777777" w:rsidR="00737745" w:rsidRPr="0084495F" w:rsidRDefault="00737745" w:rsidP="00520BB2">
            <w:pPr>
              <w:keepNext/>
              <w:ind w:left="-71" w:right="-62"/>
              <w:jc w:val="center"/>
              <w:rPr>
                <w:rFonts w:ascii="Arial Narrow" w:hAnsi="Arial Narrow"/>
                <w:sz w:val="20"/>
                <w:szCs w:val="20"/>
              </w:rPr>
            </w:pPr>
            <w:r w:rsidRPr="0084495F">
              <w:rPr>
                <w:rFonts w:ascii="Arial Narrow" w:hAnsi="Arial Narrow"/>
                <w:b/>
                <w:bCs/>
                <w:sz w:val="20"/>
                <w:szCs w:val="20"/>
              </w:rPr>
              <w:t>Week 32</w:t>
            </w:r>
          </w:p>
        </w:tc>
        <w:tc>
          <w:tcPr>
            <w:tcW w:w="1826" w:type="dxa"/>
            <w:vMerge w:val="restart"/>
            <w:vAlign w:val="center"/>
          </w:tcPr>
          <w:p w14:paraId="1F55ADD5" w14:textId="77777777" w:rsidR="00737745" w:rsidRPr="0084495F" w:rsidRDefault="00737745" w:rsidP="00520BB2">
            <w:pPr>
              <w:pStyle w:val="TableText"/>
              <w:ind w:left="-71" w:right="-62"/>
              <w:jc w:val="center"/>
              <w:rPr>
                <w:b/>
                <w:bCs w:val="0"/>
                <w:szCs w:val="20"/>
              </w:rPr>
            </w:pPr>
            <w:r w:rsidRPr="0084495F">
              <w:rPr>
                <w:b/>
                <w:bCs w:val="0"/>
                <w:szCs w:val="20"/>
              </w:rPr>
              <w:t>Difference LS mean</w:t>
            </w:r>
          </w:p>
          <w:p w14:paraId="34FA83C5" w14:textId="77777777" w:rsidR="00737745" w:rsidRPr="0084495F" w:rsidRDefault="00737745" w:rsidP="00520BB2">
            <w:pPr>
              <w:keepNext/>
              <w:ind w:left="-71" w:right="-62"/>
              <w:jc w:val="center"/>
              <w:rPr>
                <w:rFonts w:ascii="Arial Narrow" w:hAnsi="Arial Narrow"/>
                <w:sz w:val="20"/>
                <w:szCs w:val="20"/>
                <w:vertAlign w:val="superscript"/>
              </w:rPr>
            </w:pPr>
            <w:r w:rsidRPr="0084495F">
              <w:rPr>
                <w:rFonts w:ascii="Arial Narrow" w:hAnsi="Arial Narrow"/>
                <w:b/>
                <w:bCs/>
                <w:sz w:val="20"/>
                <w:szCs w:val="20"/>
              </w:rPr>
              <w:t>(95% CI)</w:t>
            </w:r>
          </w:p>
        </w:tc>
      </w:tr>
      <w:tr w:rsidR="00737745" w:rsidRPr="0084495F" w14:paraId="6686A702" w14:textId="77777777" w:rsidTr="00520BB2">
        <w:trPr>
          <w:tblHeader/>
        </w:trPr>
        <w:tc>
          <w:tcPr>
            <w:tcW w:w="2689" w:type="dxa"/>
            <w:vMerge/>
            <w:vAlign w:val="center"/>
          </w:tcPr>
          <w:p w14:paraId="0A1A1B71" w14:textId="77777777" w:rsidR="00737745" w:rsidRPr="0084495F" w:rsidRDefault="00737745" w:rsidP="00520BB2">
            <w:pPr>
              <w:keepNext/>
              <w:tabs>
                <w:tab w:val="left" w:pos="164"/>
              </w:tabs>
              <w:ind w:right="-70"/>
              <w:rPr>
                <w:rFonts w:ascii="Arial Narrow" w:hAnsi="Arial Narrow"/>
                <w:b/>
                <w:bCs/>
                <w:sz w:val="20"/>
                <w:szCs w:val="20"/>
              </w:rPr>
            </w:pPr>
          </w:p>
        </w:tc>
        <w:tc>
          <w:tcPr>
            <w:tcW w:w="708" w:type="dxa"/>
          </w:tcPr>
          <w:p w14:paraId="269B7B1F" w14:textId="77777777" w:rsidR="00737745" w:rsidRPr="0084495F" w:rsidRDefault="00737745" w:rsidP="00520BB2">
            <w:pPr>
              <w:pStyle w:val="TableText"/>
              <w:ind w:left="-71" w:right="-62"/>
              <w:jc w:val="center"/>
              <w:rPr>
                <w:b/>
                <w:bCs w:val="0"/>
                <w:szCs w:val="20"/>
              </w:rPr>
            </w:pPr>
            <w:r w:rsidRPr="0084495F">
              <w:rPr>
                <w:b/>
                <w:bCs w:val="0"/>
                <w:szCs w:val="20"/>
              </w:rPr>
              <w:t>N</w:t>
            </w:r>
          </w:p>
        </w:tc>
        <w:tc>
          <w:tcPr>
            <w:tcW w:w="1543" w:type="dxa"/>
          </w:tcPr>
          <w:p w14:paraId="35CF0929" w14:textId="77777777" w:rsidR="00737745" w:rsidRPr="0084495F" w:rsidRDefault="00737745" w:rsidP="00520BB2">
            <w:pPr>
              <w:pStyle w:val="TableText"/>
              <w:ind w:left="-71" w:right="-62"/>
              <w:jc w:val="center"/>
              <w:rPr>
                <w:b/>
                <w:bCs w:val="0"/>
                <w:szCs w:val="20"/>
              </w:rPr>
            </w:pPr>
            <w:r w:rsidRPr="0084495F">
              <w:rPr>
                <w:b/>
                <w:bCs w:val="0"/>
                <w:szCs w:val="20"/>
              </w:rPr>
              <w:t>LS mean (SD)</w:t>
            </w:r>
          </w:p>
        </w:tc>
        <w:tc>
          <w:tcPr>
            <w:tcW w:w="725" w:type="dxa"/>
          </w:tcPr>
          <w:p w14:paraId="629F4CDF" w14:textId="77777777" w:rsidR="00737745" w:rsidRPr="0084495F" w:rsidRDefault="00737745" w:rsidP="00520BB2">
            <w:pPr>
              <w:keepNext/>
              <w:ind w:left="-71" w:right="-62"/>
              <w:jc w:val="center"/>
              <w:rPr>
                <w:rFonts w:ascii="Arial Narrow" w:hAnsi="Arial Narrow"/>
                <w:b/>
                <w:bCs/>
                <w:sz w:val="20"/>
                <w:szCs w:val="20"/>
              </w:rPr>
            </w:pPr>
            <w:r w:rsidRPr="0084495F">
              <w:rPr>
                <w:rFonts w:ascii="Arial Narrow" w:hAnsi="Arial Narrow"/>
                <w:b/>
                <w:bCs/>
                <w:sz w:val="20"/>
                <w:szCs w:val="20"/>
              </w:rPr>
              <w:t>N</w:t>
            </w:r>
          </w:p>
        </w:tc>
        <w:tc>
          <w:tcPr>
            <w:tcW w:w="1526" w:type="dxa"/>
          </w:tcPr>
          <w:p w14:paraId="14550532" w14:textId="77777777" w:rsidR="00737745" w:rsidRPr="0084495F" w:rsidRDefault="00737745" w:rsidP="00520BB2">
            <w:pPr>
              <w:keepNext/>
              <w:ind w:left="-71" w:right="-62"/>
              <w:jc w:val="center"/>
              <w:rPr>
                <w:rFonts w:ascii="Arial Narrow" w:hAnsi="Arial Narrow"/>
                <w:b/>
                <w:bCs/>
                <w:sz w:val="20"/>
                <w:szCs w:val="20"/>
              </w:rPr>
            </w:pPr>
            <w:r w:rsidRPr="0084495F">
              <w:rPr>
                <w:rFonts w:ascii="Arial Narrow" w:hAnsi="Arial Narrow"/>
                <w:b/>
                <w:bCs/>
                <w:sz w:val="20"/>
                <w:szCs w:val="20"/>
              </w:rPr>
              <w:t>LS mean (SD)</w:t>
            </w:r>
          </w:p>
        </w:tc>
        <w:tc>
          <w:tcPr>
            <w:tcW w:w="1826" w:type="dxa"/>
            <w:vMerge/>
          </w:tcPr>
          <w:p w14:paraId="1CB4FE26" w14:textId="77777777" w:rsidR="00737745" w:rsidRPr="0084495F" w:rsidRDefault="00737745" w:rsidP="00520BB2">
            <w:pPr>
              <w:pStyle w:val="TableText"/>
              <w:ind w:left="-71" w:right="-62"/>
              <w:jc w:val="center"/>
              <w:rPr>
                <w:b/>
                <w:bCs w:val="0"/>
                <w:szCs w:val="20"/>
              </w:rPr>
            </w:pPr>
          </w:p>
        </w:tc>
      </w:tr>
      <w:tr w:rsidR="00737745" w:rsidRPr="0084495F" w14:paraId="670F9CA3" w14:textId="77777777" w:rsidTr="00520BB2">
        <w:trPr>
          <w:trHeight w:val="101"/>
        </w:trPr>
        <w:tc>
          <w:tcPr>
            <w:tcW w:w="9017" w:type="dxa"/>
            <w:gridSpan w:val="6"/>
          </w:tcPr>
          <w:p w14:paraId="56C1E233" w14:textId="77777777" w:rsidR="00737745" w:rsidRPr="0084495F" w:rsidRDefault="00737745" w:rsidP="00520BB2">
            <w:pPr>
              <w:keepNext/>
              <w:tabs>
                <w:tab w:val="left" w:pos="164"/>
              </w:tabs>
              <w:ind w:right="-70"/>
              <w:rPr>
                <w:rFonts w:ascii="Arial Narrow" w:hAnsi="Arial Narrow"/>
                <w:b/>
                <w:bCs/>
                <w:sz w:val="20"/>
                <w:szCs w:val="20"/>
              </w:rPr>
            </w:pPr>
            <w:r w:rsidRPr="0084495F">
              <w:rPr>
                <w:rFonts w:ascii="Arial Narrow" w:hAnsi="Arial Narrow"/>
                <w:b/>
                <w:bCs/>
                <w:sz w:val="20"/>
                <w:szCs w:val="20"/>
              </w:rPr>
              <w:t>EQ-5D-5L index score</w:t>
            </w:r>
          </w:p>
        </w:tc>
      </w:tr>
      <w:tr w:rsidR="00737745" w:rsidRPr="0084495F" w14:paraId="11BA2FBD" w14:textId="77777777" w:rsidTr="00520BB2">
        <w:trPr>
          <w:trHeight w:val="101"/>
        </w:trPr>
        <w:tc>
          <w:tcPr>
            <w:tcW w:w="2689" w:type="dxa"/>
          </w:tcPr>
          <w:p w14:paraId="5CF8F872" w14:textId="77777777" w:rsidR="00737745" w:rsidRPr="0084495F" w:rsidRDefault="00737745" w:rsidP="00520BB2">
            <w:pPr>
              <w:keepNext/>
              <w:tabs>
                <w:tab w:val="left" w:pos="164"/>
              </w:tabs>
              <w:ind w:right="-70"/>
              <w:rPr>
                <w:rFonts w:ascii="Arial Narrow" w:hAnsi="Arial Narrow"/>
                <w:sz w:val="20"/>
                <w:szCs w:val="20"/>
              </w:rPr>
            </w:pPr>
            <w:r w:rsidRPr="0084495F">
              <w:rPr>
                <w:rFonts w:ascii="Arial Narrow" w:hAnsi="Arial Narrow"/>
                <w:sz w:val="20"/>
                <w:szCs w:val="20"/>
              </w:rPr>
              <w:t>Vericiguat + SoC</w:t>
            </w:r>
          </w:p>
        </w:tc>
        <w:tc>
          <w:tcPr>
            <w:tcW w:w="708" w:type="dxa"/>
          </w:tcPr>
          <w:p w14:paraId="56602872" w14:textId="77777777" w:rsidR="00737745" w:rsidRPr="0084495F" w:rsidRDefault="00737745" w:rsidP="00520BB2">
            <w:pPr>
              <w:pStyle w:val="TableText"/>
              <w:ind w:left="-71" w:right="-62"/>
              <w:jc w:val="center"/>
              <w:rPr>
                <w:szCs w:val="20"/>
              </w:rPr>
            </w:pPr>
            <w:r w:rsidRPr="0084495F">
              <w:rPr>
                <w:szCs w:val="20"/>
              </w:rPr>
              <w:t>2378</w:t>
            </w:r>
          </w:p>
        </w:tc>
        <w:tc>
          <w:tcPr>
            <w:tcW w:w="1543" w:type="dxa"/>
          </w:tcPr>
          <w:p w14:paraId="41FC80FE" w14:textId="77777777" w:rsidR="00737745" w:rsidRPr="0084495F" w:rsidRDefault="00737745" w:rsidP="00520BB2">
            <w:pPr>
              <w:pStyle w:val="TableText"/>
              <w:ind w:left="-71" w:right="-62"/>
              <w:jc w:val="center"/>
              <w:rPr>
                <w:szCs w:val="20"/>
              </w:rPr>
            </w:pPr>
            <w:r w:rsidRPr="0084495F">
              <w:rPr>
                <w:szCs w:val="20"/>
              </w:rPr>
              <w:t>0.69 (0.24)</w:t>
            </w:r>
          </w:p>
        </w:tc>
        <w:tc>
          <w:tcPr>
            <w:tcW w:w="725" w:type="dxa"/>
          </w:tcPr>
          <w:p w14:paraId="0EED797A" w14:textId="77777777" w:rsidR="00737745" w:rsidRPr="0084495F" w:rsidRDefault="00737745" w:rsidP="00520BB2">
            <w:pPr>
              <w:pStyle w:val="TableText"/>
              <w:ind w:left="-71" w:right="-62"/>
              <w:jc w:val="center"/>
              <w:rPr>
                <w:szCs w:val="20"/>
              </w:rPr>
            </w:pPr>
            <w:r w:rsidRPr="0084495F">
              <w:rPr>
                <w:szCs w:val="20"/>
              </w:rPr>
              <w:t>2021</w:t>
            </w:r>
          </w:p>
        </w:tc>
        <w:tc>
          <w:tcPr>
            <w:tcW w:w="1526" w:type="dxa"/>
          </w:tcPr>
          <w:p w14:paraId="4759F1B2" w14:textId="77777777" w:rsidR="00737745" w:rsidRPr="0084495F" w:rsidRDefault="00737745" w:rsidP="00520BB2">
            <w:pPr>
              <w:pStyle w:val="TableText"/>
              <w:ind w:left="-71" w:right="-62"/>
              <w:jc w:val="center"/>
              <w:rPr>
                <w:szCs w:val="20"/>
              </w:rPr>
            </w:pPr>
            <w:r w:rsidRPr="0084495F">
              <w:rPr>
                <w:szCs w:val="20"/>
              </w:rPr>
              <w:t>0.58 (0.49)</w:t>
            </w:r>
          </w:p>
        </w:tc>
        <w:tc>
          <w:tcPr>
            <w:tcW w:w="1826" w:type="dxa"/>
          </w:tcPr>
          <w:p w14:paraId="609A123A" w14:textId="77777777" w:rsidR="00737745" w:rsidRPr="0084495F" w:rsidRDefault="00737745" w:rsidP="00520BB2">
            <w:pPr>
              <w:pStyle w:val="TableText"/>
              <w:ind w:left="-71" w:right="-62"/>
              <w:jc w:val="center"/>
              <w:rPr>
                <w:szCs w:val="20"/>
              </w:rPr>
            </w:pPr>
            <w:r w:rsidRPr="0084495F">
              <w:rPr>
                <w:szCs w:val="20"/>
              </w:rPr>
              <w:t>-0.12 (-0.14, -0.10)</w:t>
            </w:r>
          </w:p>
        </w:tc>
      </w:tr>
      <w:tr w:rsidR="00737745" w:rsidRPr="0084495F" w14:paraId="7EAC3E64" w14:textId="77777777" w:rsidTr="00520BB2">
        <w:tc>
          <w:tcPr>
            <w:tcW w:w="2689" w:type="dxa"/>
          </w:tcPr>
          <w:p w14:paraId="2EC61205" w14:textId="77777777" w:rsidR="00737745" w:rsidRPr="0084495F" w:rsidRDefault="00737745" w:rsidP="00520BB2">
            <w:pPr>
              <w:keepNext/>
              <w:tabs>
                <w:tab w:val="left" w:pos="164"/>
              </w:tabs>
              <w:ind w:right="-70"/>
              <w:rPr>
                <w:rFonts w:ascii="Arial Narrow" w:hAnsi="Arial Narrow"/>
                <w:sz w:val="20"/>
                <w:szCs w:val="20"/>
              </w:rPr>
            </w:pPr>
            <w:r w:rsidRPr="0084495F">
              <w:rPr>
                <w:rFonts w:ascii="Arial Narrow" w:hAnsi="Arial Narrow"/>
                <w:sz w:val="20"/>
                <w:szCs w:val="20"/>
              </w:rPr>
              <w:t>Placebo + SoC</w:t>
            </w:r>
          </w:p>
        </w:tc>
        <w:tc>
          <w:tcPr>
            <w:tcW w:w="708" w:type="dxa"/>
          </w:tcPr>
          <w:p w14:paraId="7FAE11AB" w14:textId="77777777" w:rsidR="00737745" w:rsidRPr="0084495F" w:rsidRDefault="00737745" w:rsidP="00520BB2">
            <w:pPr>
              <w:pStyle w:val="TableText"/>
              <w:ind w:left="-71" w:right="-62"/>
              <w:jc w:val="center"/>
              <w:rPr>
                <w:szCs w:val="20"/>
              </w:rPr>
            </w:pPr>
            <w:r w:rsidRPr="0084495F">
              <w:rPr>
                <w:szCs w:val="20"/>
              </w:rPr>
              <w:t>2345</w:t>
            </w:r>
          </w:p>
        </w:tc>
        <w:tc>
          <w:tcPr>
            <w:tcW w:w="1543" w:type="dxa"/>
          </w:tcPr>
          <w:p w14:paraId="53E8D4BE" w14:textId="77777777" w:rsidR="00737745" w:rsidRPr="0084495F" w:rsidRDefault="00737745" w:rsidP="00520BB2">
            <w:pPr>
              <w:pStyle w:val="TableText"/>
              <w:ind w:left="-71" w:right="-62"/>
              <w:jc w:val="center"/>
              <w:rPr>
                <w:szCs w:val="20"/>
              </w:rPr>
            </w:pPr>
            <w:r w:rsidRPr="0084495F">
              <w:rPr>
                <w:szCs w:val="20"/>
              </w:rPr>
              <w:t>0.69 (0.23)</w:t>
            </w:r>
          </w:p>
        </w:tc>
        <w:tc>
          <w:tcPr>
            <w:tcW w:w="725" w:type="dxa"/>
          </w:tcPr>
          <w:p w14:paraId="26364E2C" w14:textId="77777777" w:rsidR="00737745" w:rsidRPr="0084495F" w:rsidRDefault="00737745" w:rsidP="00520BB2">
            <w:pPr>
              <w:keepNext/>
              <w:ind w:left="-71" w:right="-62"/>
              <w:jc w:val="center"/>
              <w:rPr>
                <w:rFonts w:ascii="Arial Narrow" w:hAnsi="Arial Narrow"/>
                <w:sz w:val="20"/>
                <w:szCs w:val="20"/>
              </w:rPr>
            </w:pPr>
            <w:r w:rsidRPr="0084495F">
              <w:rPr>
                <w:rFonts w:ascii="Arial Narrow" w:hAnsi="Arial Narrow"/>
                <w:sz w:val="20"/>
                <w:szCs w:val="20"/>
              </w:rPr>
              <w:t>2009</w:t>
            </w:r>
          </w:p>
        </w:tc>
        <w:tc>
          <w:tcPr>
            <w:tcW w:w="1526" w:type="dxa"/>
          </w:tcPr>
          <w:p w14:paraId="0C61BCF6" w14:textId="77777777" w:rsidR="00737745" w:rsidRPr="0084495F" w:rsidRDefault="00737745" w:rsidP="00520BB2">
            <w:pPr>
              <w:keepNext/>
              <w:ind w:left="-71" w:right="-62"/>
              <w:jc w:val="center"/>
              <w:rPr>
                <w:rFonts w:ascii="Arial Narrow" w:hAnsi="Arial Narrow"/>
                <w:sz w:val="20"/>
                <w:szCs w:val="20"/>
              </w:rPr>
            </w:pPr>
            <w:r w:rsidRPr="0084495F">
              <w:rPr>
                <w:rFonts w:ascii="Arial Narrow" w:hAnsi="Arial Narrow"/>
                <w:sz w:val="20"/>
                <w:szCs w:val="20"/>
              </w:rPr>
              <w:t>0.55 (0.51)</w:t>
            </w:r>
          </w:p>
        </w:tc>
        <w:tc>
          <w:tcPr>
            <w:tcW w:w="1826" w:type="dxa"/>
          </w:tcPr>
          <w:p w14:paraId="1C9AEE14" w14:textId="77777777" w:rsidR="00737745" w:rsidRPr="0084495F" w:rsidRDefault="00737745" w:rsidP="00520BB2">
            <w:pPr>
              <w:keepNext/>
              <w:ind w:left="-71" w:right="-62"/>
              <w:jc w:val="center"/>
              <w:rPr>
                <w:rFonts w:ascii="Arial Narrow" w:hAnsi="Arial Narrow"/>
                <w:bCs/>
                <w:sz w:val="20"/>
                <w:szCs w:val="20"/>
              </w:rPr>
            </w:pPr>
            <w:r w:rsidRPr="0084495F">
              <w:rPr>
                <w:rFonts w:ascii="Arial Narrow" w:hAnsi="Arial Narrow"/>
                <w:bCs/>
                <w:sz w:val="20"/>
                <w:szCs w:val="20"/>
              </w:rPr>
              <w:t>-0.13 (-0.15, -0.11)</w:t>
            </w:r>
          </w:p>
        </w:tc>
      </w:tr>
      <w:tr w:rsidR="00737745" w:rsidRPr="0084495F" w14:paraId="0521E1C9" w14:textId="77777777" w:rsidTr="00520BB2">
        <w:tc>
          <w:tcPr>
            <w:tcW w:w="7191" w:type="dxa"/>
            <w:gridSpan w:val="5"/>
          </w:tcPr>
          <w:p w14:paraId="30E28D52" w14:textId="77777777" w:rsidR="00737745" w:rsidRPr="0084495F" w:rsidRDefault="00737745" w:rsidP="00520BB2">
            <w:pPr>
              <w:keepNext/>
              <w:ind w:left="-71" w:right="-62"/>
              <w:jc w:val="right"/>
              <w:rPr>
                <w:rFonts w:ascii="Arial Narrow" w:hAnsi="Arial Narrow"/>
                <w:b/>
                <w:bCs/>
                <w:sz w:val="20"/>
                <w:szCs w:val="20"/>
              </w:rPr>
            </w:pPr>
            <w:r w:rsidRPr="0084495F">
              <w:rPr>
                <w:rFonts w:ascii="Arial Narrow" w:hAnsi="Arial Narrow"/>
                <w:sz w:val="20"/>
                <w:szCs w:val="20"/>
              </w:rPr>
              <w:t xml:space="preserve">Vericiguat versus placebo - LS means (95% CI) </w:t>
            </w:r>
          </w:p>
        </w:tc>
        <w:tc>
          <w:tcPr>
            <w:tcW w:w="1826" w:type="dxa"/>
          </w:tcPr>
          <w:p w14:paraId="7E545A87" w14:textId="77777777" w:rsidR="00737745" w:rsidRPr="0084495F" w:rsidRDefault="00737745" w:rsidP="00520BB2">
            <w:pPr>
              <w:keepNext/>
              <w:ind w:left="-71" w:right="-62"/>
              <w:jc w:val="center"/>
              <w:rPr>
                <w:rFonts w:ascii="Arial Narrow" w:hAnsi="Arial Narrow"/>
                <w:sz w:val="20"/>
                <w:szCs w:val="20"/>
              </w:rPr>
            </w:pPr>
            <w:r w:rsidRPr="0084495F">
              <w:rPr>
                <w:rFonts w:ascii="Arial Narrow" w:hAnsi="Arial Narrow"/>
                <w:sz w:val="20"/>
                <w:szCs w:val="20"/>
              </w:rPr>
              <w:t>0.01 (-0.01, 0.04)</w:t>
            </w:r>
          </w:p>
        </w:tc>
      </w:tr>
      <w:tr w:rsidR="00737745" w:rsidRPr="0084495F" w14:paraId="3E90CCCF" w14:textId="77777777" w:rsidTr="00520BB2">
        <w:trPr>
          <w:trHeight w:val="101"/>
        </w:trPr>
        <w:tc>
          <w:tcPr>
            <w:tcW w:w="9017" w:type="dxa"/>
            <w:gridSpan w:val="6"/>
          </w:tcPr>
          <w:p w14:paraId="7FDF8F7E" w14:textId="77777777" w:rsidR="00737745" w:rsidRPr="0084495F" w:rsidRDefault="00737745" w:rsidP="00520BB2">
            <w:pPr>
              <w:keepNext/>
              <w:tabs>
                <w:tab w:val="left" w:pos="164"/>
              </w:tabs>
              <w:ind w:right="-70"/>
              <w:rPr>
                <w:rFonts w:ascii="Arial Narrow" w:hAnsi="Arial Narrow"/>
                <w:b/>
                <w:bCs/>
                <w:sz w:val="20"/>
                <w:szCs w:val="20"/>
              </w:rPr>
            </w:pPr>
            <w:r w:rsidRPr="0084495F">
              <w:rPr>
                <w:rFonts w:ascii="Arial Narrow" w:hAnsi="Arial Narrow"/>
                <w:b/>
                <w:bCs/>
                <w:sz w:val="20"/>
                <w:szCs w:val="20"/>
              </w:rPr>
              <w:t>EQ-5D-5L VAS score</w:t>
            </w:r>
          </w:p>
        </w:tc>
      </w:tr>
      <w:tr w:rsidR="00737745" w:rsidRPr="0084495F" w14:paraId="3507AB9B" w14:textId="77777777" w:rsidTr="00520BB2">
        <w:trPr>
          <w:trHeight w:val="101"/>
        </w:trPr>
        <w:tc>
          <w:tcPr>
            <w:tcW w:w="2689" w:type="dxa"/>
          </w:tcPr>
          <w:p w14:paraId="540DFABD" w14:textId="77777777" w:rsidR="00737745" w:rsidRPr="0084495F" w:rsidRDefault="00737745" w:rsidP="00520BB2">
            <w:pPr>
              <w:keepNext/>
              <w:tabs>
                <w:tab w:val="left" w:pos="164"/>
              </w:tabs>
              <w:ind w:right="-70"/>
              <w:rPr>
                <w:rFonts w:ascii="Arial Narrow" w:hAnsi="Arial Narrow"/>
                <w:sz w:val="20"/>
                <w:szCs w:val="20"/>
              </w:rPr>
            </w:pPr>
            <w:r w:rsidRPr="0084495F">
              <w:rPr>
                <w:rFonts w:ascii="Arial Narrow" w:hAnsi="Arial Narrow"/>
                <w:sz w:val="20"/>
                <w:szCs w:val="20"/>
              </w:rPr>
              <w:t>Vericiguat + SoC</w:t>
            </w:r>
          </w:p>
        </w:tc>
        <w:tc>
          <w:tcPr>
            <w:tcW w:w="708" w:type="dxa"/>
          </w:tcPr>
          <w:p w14:paraId="375900D3" w14:textId="77777777" w:rsidR="00737745" w:rsidRPr="0084495F" w:rsidRDefault="00737745" w:rsidP="00520BB2">
            <w:pPr>
              <w:pStyle w:val="TableText"/>
              <w:ind w:left="-71" w:right="-62"/>
              <w:jc w:val="center"/>
              <w:rPr>
                <w:szCs w:val="20"/>
              </w:rPr>
            </w:pPr>
            <w:r w:rsidRPr="0084495F">
              <w:rPr>
                <w:szCs w:val="20"/>
              </w:rPr>
              <w:t>2378</w:t>
            </w:r>
          </w:p>
        </w:tc>
        <w:tc>
          <w:tcPr>
            <w:tcW w:w="1543" w:type="dxa"/>
          </w:tcPr>
          <w:p w14:paraId="6C816229" w14:textId="77777777" w:rsidR="00737745" w:rsidRPr="0084495F" w:rsidRDefault="00737745" w:rsidP="00520BB2">
            <w:pPr>
              <w:pStyle w:val="TableText"/>
              <w:ind w:left="-71" w:right="-62"/>
              <w:jc w:val="center"/>
              <w:rPr>
                <w:szCs w:val="20"/>
              </w:rPr>
            </w:pPr>
            <w:r w:rsidRPr="0084495F">
              <w:rPr>
                <w:szCs w:val="20"/>
              </w:rPr>
              <w:t>64.4 (18.9)</w:t>
            </w:r>
          </w:p>
        </w:tc>
        <w:tc>
          <w:tcPr>
            <w:tcW w:w="725" w:type="dxa"/>
          </w:tcPr>
          <w:p w14:paraId="3A9FB1FC" w14:textId="77777777" w:rsidR="00737745" w:rsidRPr="0084495F" w:rsidRDefault="00737745" w:rsidP="00520BB2">
            <w:pPr>
              <w:pStyle w:val="TableText"/>
              <w:ind w:left="-71" w:right="-62"/>
              <w:jc w:val="center"/>
              <w:rPr>
                <w:szCs w:val="20"/>
              </w:rPr>
            </w:pPr>
            <w:r w:rsidRPr="0084495F">
              <w:rPr>
                <w:szCs w:val="20"/>
              </w:rPr>
              <w:t>2021</w:t>
            </w:r>
          </w:p>
        </w:tc>
        <w:tc>
          <w:tcPr>
            <w:tcW w:w="1526" w:type="dxa"/>
          </w:tcPr>
          <w:p w14:paraId="1B7BEA63" w14:textId="77777777" w:rsidR="00737745" w:rsidRPr="0084495F" w:rsidRDefault="00737745" w:rsidP="00520BB2">
            <w:pPr>
              <w:pStyle w:val="TableText"/>
              <w:ind w:left="-71" w:right="-62"/>
              <w:jc w:val="center"/>
              <w:rPr>
                <w:szCs w:val="20"/>
              </w:rPr>
            </w:pPr>
            <w:r w:rsidRPr="0084495F">
              <w:rPr>
                <w:szCs w:val="20"/>
              </w:rPr>
              <w:t>61.3 (28.6)</w:t>
            </w:r>
          </w:p>
        </w:tc>
        <w:tc>
          <w:tcPr>
            <w:tcW w:w="1826" w:type="dxa"/>
          </w:tcPr>
          <w:p w14:paraId="7BDBA9A2" w14:textId="77777777" w:rsidR="00737745" w:rsidRPr="0084495F" w:rsidRDefault="00737745" w:rsidP="00520BB2">
            <w:pPr>
              <w:pStyle w:val="TableText"/>
              <w:ind w:left="-71" w:right="-62"/>
              <w:jc w:val="center"/>
              <w:rPr>
                <w:szCs w:val="20"/>
              </w:rPr>
            </w:pPr>
            <w:r w:rsidRPr="0084495F">
              <w:rPr>
                <w:szCs w:val="20"/>
              </w:rPr>
              <w:t>-3.3 (-4.5, -2.2)</w:t>
            </w:r>
          </w:p>
        </w:tc>
      </w:tr>
      <w:tr w:rsidR="00737745" w:rsidRPr="0084495F" w14:paraId="03E47D80" w14:textId="77777777" w:rsidTr="00520BB2">
        <w:tc>
          <w:tcPr>
            <w:tcW w:w="2689" w:type="dxa"/>
          </w:tcPr>
          <w:p w14:paraId="024F279D" w14:textId="77777777" w:rsidR="00737745" w:rsidRPr="0084495F" w:rsidRDefault="00737745" w:rsidP="00520BB2">
            <w:pPr>
              <w:keepNext/>
              <w:tabs>
                <w:tab w:val="left" w:pos="164"/>
              </w:tabs>
              <w:ind w:right="-70"/>
              <w:rPr>
                <w:rFonts w:ascii="Arial Narrow" w:hAnsi="Arial Narrow"/>
                <w:sz w:val="20"/>
                <w:szCs w:val="20"/>
              </w:rPr>
            </w:pPr>
            <w:r w:rsidRPr="0084495F">
              <w:rPr>
                <w:rFonts w:ascii="Arial Narrow" w:hAnsi="Arial Narrow"/>
                <w:sz w:val="20"/>
                <w:szCs w:val="20"/>
              </w:rPr>
              <w:t>Placebo + SoC</w:t>
            </w:r>
          </w:p>
        </w:tc>
        <w:tc>
          <w:tcPr>
            <w:tcW w:w="708" w:type="dxa"/>
          </w:tcPr>
          <w:p w14:paraId="31AF5E65" w14:textId="77777777" w:rsidR="00737745" w:rsidRPr="0084495F" w:rsidRDefault="00737745" w:rsidP="00520BB2">
            <w:pPr>
              <w:pStyle w:val="TableText"/>
              <w:ind w:left="-71" w:right="-62"/>
              <w:jc w:val="center"/>
              <w:rPr>
                <w:szCs w:val="20"/>
              </w:rPr>
            </w:pPr>
            <w:r w:rsidRPr="0084495F">
              <w:rPr>
                <w:szCs w:val="20"/>
              </w:rPr>
              <w:t>2345</w:t>
            </w:r>
          </w:p>
        </w:tc>
        <w:tc>
          <w:tcPr>
            <w:tcW w:w="1543" w:type="dxa"/>
          </w:tcPr>
          <w:p w14:paraId="2FC5108D" w14:textId="77777777" w:rsidR="00737745" w:rsidRPr="0084495F" w:rsidRDefault="00737745" w:rsidP="00520BB2">
            <w:pPr>
              <w:pStyle w:val="TableText"/>
              <w:ind w:left="-71" w:right="-62"/>
              <w:jc w:val="center"/>
              <w:rPr>
                <w:szCs w:val="20"/>
              </w:rPr>
            </w:pPr>
            <w:r w:rsidRPr="0084495F">
              <w:rPr>
                <w:szCs w:val="20"/>
              </w:rPr>
              <w:t>64.0 (18.4)</w:t>
            </w:r>
          </w:p>
        </w:tc>
        <w:tc>
          <w:tcPr>
            <w:tcW w:w="725" w:type="dxa"/>
          </w:tcPr>
          <w:p w14:paraId="3618C31F" w14:textId="77777777" w:rsidR="00737745" w:rsidRPr="0084495F" w:rsidRDefault="00737745" w:rsidP="00520BB2">
            <w:pPr>
              <w:keepNext/>
              <w:ind w:left="-71" w:right="-62"/>
              <w:jc w:val="center"/>
              <w:rPr>
                <w:rFonts w:ascii="Arial Narrow" w:hAnsi="Arial Narrow"/>
                <w:sz w:val="20"/>
                <w:szCs w:val="20"/>
              </w:rPr>
            </w:pPr>
            <w:r w:rsidRPr="0084495F">
              <w:rPr>
                <w:rFonts w:ascii="Arial Narrow" w:hAnsi="Arial Narrow"/>
                <w:sz w:val="20"/>
                <w:szCs w:val="20"/>
              </w:rPr>
              <w:t>2009</w:t>
            </w:r>
          </w:p>
        </w:tc>
        <w:tc>
          <w:tcPr>
            <w:tcW w:w="1526" w:type="dxa"/>
          </w:tcPr>
          <w:p w14:paraId="6F024431" w14:textId="77777777" w:rsidR="00737745" w:rsidRPr="0084495F" w:rsidRDefault="00737745" w:rsidP="00520BB2">
            <w:pPr>
              <w:keepNext/>
              <w:ind w:left="-71" w:right="-62"/>
              <w:jc w:val="center"/>
              <w:rPr>
                <w:rFonts w:ascii="Arial Narrow" w:hAnsi="Arial Narrow"/>
                <w:sz w:val="20"/>
                <w:szCs w:val="20"/>
              </w:rPr>
            </w:pPr>
            <w:r w:rsidRPr="0084495F">
              <w:rPr>
                <w:rFonts w:ascii="Arial Narrow" w:hAnsi="Arial Narrow"/>
                <w:sz w:val="20"/>
                <w:szCs w:val="20"/>
              </w:rPr>
              <w:t>59.9 (29.5)</w:t>
            </w:r>
          </w:p>
        </w:tc>
        <w:tc>
          <w:tcPr>
            <w:tcW w:w="1826" w:type="dxa"/>
          </w:tcPr>
          <w:p w14:paraId="44FEF407" w14:textId="77777777" w:rsidR="00737745" w:rsidRPr="0084495F" w:rsidRDefault="00737745" w:rsidP="00520BB2">
            <w:pPr>
              <w:keepNext/>
              <w:ind w:left="-71" w:right="-62"/>
              <w:jc w:val="center"/>
              <w:rPr>
                <w:rFonts w:ascii="Arial Narrow" w:hAnsi="Arial Narrow"/>
                <w:bCs/>
                <w:sz w:val="20"/>
                <w:szCs w:val="20"/>
              </w:rPr>
            </w:pPr>
            <w:r w:rsidRPr="0084495F">
              <w:rPr>
                <w:rFonts w:ascii="Arial Narrow" w:hAnsi="Arial Narrow"/>
                <w:bCs/>
                <w:sz w:val="20"/>
                <w:szCs w:val="20"/>
              </w:rPr>
              <w:t>-3.8 (-4.9, -2.6)</w:t>
            </w:r>
          </w:p>
        </w:tc>
      </w:tr>
      <w:tr w:rsidR="00737745" w:rsidRPr="0084495F" w14:paraId="65409CB6" w14:textId="77777777" w:rsidTr="00520BB2">
        <w:tc>
          <w:tcPr>
            <w:tcW w:w="7191" w:type="dxa"/>
            <w:gridSpan w:val="5"/>
          </w:tcPr>
          <w:p w14:paraId="6FAF3984" w14:textId="77777777" w:rsidR="00737745" w:rsidRPr="0084495F" w:rsidRDefault="00737745" w:rsidP="00520BB2">
            <w:pPr>
              <w:ind w:left="-71" w:right="-62"/>
              <w:jc w:val="right"/>
              <w:rPr>
                <w:rFonts w:ascii="Arial Narrow" w:hAnsi="Arial Narrow"/>
                <w:b/>
                <w:bCs/>
                <w:sz w:val="20"/>
                <w:szCs w:val="20"/>
              </w:rPr>
            </w:pPr>
            <w:r w:rsidRPr="0084495F">
              <w:rPr>
                <w:rFonts w:ascii="Arial Narrow" w:hAnsi="Arial Narrow"/>
                <w:sz w:val="20"/>
                <w:szCs w:val="20"/>
              </w:rPr>
              <w:t xml:space="preserve">Vericiguat versus placebo - LS means (95% CI) </w:t>
            </w:r>
          </w:p>
        </w:tc>
        <w:tc>
          <w:tcPr>
            <w:tcW w:w="1826" w:type="dxa"/>
          </w:tcPr>
          <w:p w14:paraId="303E68A0" w14:textId="77777777" w:rsidR="00737745" w:rsidRPr="0084495F" w:rsidRDefault="00737745" w:rsidP="00520BB2">
            <w:pPr>
              <w:ind w:left="-71" w:right="-62"/>
              <w:jc w:val="center"/>
              <w:rPr>
                <w:rFonts w:ascii="Arial Narrow" w:hAnsi="Arial Narrow"/>
                <w:sz w:val="20"/>
                <w:szCs w:val="20"/>
              </w:rPr>
            </w:pPr>
            <w:r w:rsidRPr="0084495F">
              <w:rPr>
                <w:rFonts w:ascii="Arial Narrow" w:hAnsi="Arial Narrow"/>
                <w:sz w:val="20"/>
                <w:szCs w:val="20"/>
              </w:rPr>
              <w:t>0.4 (-1.2, 2.1)</w:t>
            </w:r>
          </w:p>
        </w:tc>
      </w:tr>
    </w:tbl>
    <w:p w14:paraId="7AC8E31B" w14:textId="77777777" w:rsidR="00737745" w:rsidRPr="0084495F" w:rsidRDefault="00737745" w:rsidP="00737745">
      <w:pPr>
        <w:pStyle w:val="TableFigureFooter"/>
      </w:pPr>
      <w:r w:rsidRPr="0084495F">
        <w:t>Source: Table 2-29, p113 of the submission; Table 11-17, p147 and Table 14.2-71, p1009 of the VICTORIA Clinical Study Report</w:t>
      </w:r>
    </w:p>
    <w:p w14:paraId="07BD7FB8" w14:textId="77777777" w:rsidR="00737745" w:rsidRPr="0084495F" w:rsidRDefault="00737745" w:rsidP="00737745">
      <w:pPr>
        <w:pStyle w:val="TableFigureFooter"/>
      </w:pPr>
      <w:r w:rsidRPr="0084495F">
        <w:t xml:space="preserve">Abbreviations: EQ-5D-5L, </w:t>
      </w:r>
      <w:proofErr w:type="spellStart"/>
      <w:r w:rsidRPr="0084495F">
        <w:t>EuroQoL</w:t>
      </w:r>
      <w:proofErr w:type="spellEnd"/>
      <w:r w:rsidRPr="0084495F">
        <w:t xml:space="preserve">- 5-dimension 5 level </w:t>
      </w:r>
      <w:proofErr w:type="gramStart"/>
      <w:r w:rsidRPr="0084495F">
        <w:t>questionnaire</w:t>
      </w:r>
      <w:proofErr w:type="gramEnd"/>
      <w:r w:rsidRPr="0084495F">
        <w:t xml:space="preserve">; ITT, intention-to-treat; LS: Least Square; SD, standard deviation; SoC, standard of care; VAS, visual </w:t>
      </w:r>
      <w:proofErr w:type="spellStart"/>
      <w:r w:rsidRPr="0084495F">
        <w:t>analog</w:t>
      </w:r>
      <w:proofErr w:type="spellEnd"/>
      <w:r w:rsidRPr="0084495F">
        <w:t xml:space="preserve"> scale</w:t>
      </w:r>
    </w:p>
    <w:p w14:paraId="0BD96188" w14:textId="77777777" w:rsidR="00737745" w:rsidRPr="0084495F" w:rsidRDefault="00737745" w:rsidP="00737745">
      <w:pPr>
        <w:pStyle w:val="TableFigureFooter"/>
      </w:pPr>
      <w:r w:rsidRPr="0084495F">
        <w:t>Note: Deaths assigned worst possible score for all post-death visits up to primary completion date (18 June 2019)</w:t>
      </w:r>
    </w:p>
    <w:p w14:paraId="2D7F4DEA" w14:textId="77777777" w:rsidR="00737745" w:rsidRPr="0084495F" w:rsidRDefault="00737745" w:rsidP="00737745">
      <w:pPr>
        <w:pStyle w:val="ExecSumBodyText"/>
        <w:rPr>
          <w:color w:val="0066FF"/>
        </w:rPr>
      </w:pPr>
      <w:r w:rsidRPr="0084495F">
        <w:t xml:space="preserve">Changes from baseline in EQ-5D-5L index and VAS scores were similar between treatment arms, with no statistically significant differences in EQ-5D-5L index and VAS scores between patients treated with vericiguat plus SoC compared to placebo plus </w:t>
      </w:r>
      <w:proofErr w:type="spellStart"/>
      <w:r w:rsidRPr="0084495F">
        <w:t>SoC.</w:t>
      </w:r>
      <w:proofErr w:type="spellEnd"/>
    </w:p>
    <w:p w14:paraId="07DCC3A2" w14:textId="77777777" w:rsidR="00737745" w:rsidRPr="0084495F" w:rsidRDefault="00737745" w:rsidP="00737745">
      <w:pPr>
        <w:pStyle w:val="ExecSumBodyText"/>
      </w:pPr>
      <w:r w:rsidRPr="0084495F">
        <w:t xml:space="preserve">Similarly, results of the KCCQ clinical summary score, overall summary score and total symptom score for change from baseline to 32 weeks in the Victoria trial (ITT) showed no statistically significant differences in mean change from baseline KCCQ summary scores between patients treated with vericiguat plus SoC and placebo plus </w:t>
      </w:r>
      <w:proofErr w:type="spellStart"/>
      <w:r w:rsidRPr="0084495F">
        <w:t>SoC.</w:t>
      </w:r>
      <w:proofErr w:type="spellEnd"/>
    </w:p>
    <w:p w14:paraId="1452C351" w14:textId="0D19F1B0" w:rsidR="00B60939" w:rsidRPr="0084495F" w:rsidRDefault="00B60939" w:rsidP="00D86231">
      <w:pPr>
        <w:pStyle w:val="3-SubsectionHeading"/>
      </w:pPr>
      <w:r w:rsidRPr="0084495F">
        <w:t>Comparative harms</w:t>
      </w:r>
      <w:bookmarkEnd w:id="16"/>
      <w:bookmarkEnd w:id="17"/>
    </w:p>
    <w:p w14:paraId="1D863AE8" w14:textId="77777777" w:rsidR="00236434" w:rsidRPr="0084495F" w:rsidRDefault="00236434" w:rsidP="00236434">
      <w:pPr>
        <w:pStyle w:val="ExecSumBodyText"/>
        <w:rPr>
          <w:color w:val="0066FF"/>
        </w:rPr>
      </w:pPr>
      <w:r w:rsidRPr="0084495F">
        <w:t xml:space="preserve">The table below summarises the results of the key safety outcomes for the VICTORIA trial comparing vericiguat plus SoC with placebo plus </w:t>
      </w:r>
      <w:proofErr w:type="spellStart"/>
      <w:r w:rsidRPr="0084495F">
        <w:t>SoC.</w:t>
      </w:r>
      <w:proofErr w:type="spellEnd"/>
    </w:p>
    <w:p w14:paraId="418E9885" w14:textId="7E6BE9DD" w:rsidR="00236434" w:rsidRPr="0084495F" w:rsidRDefault="00236434" w:rsidP="00D561DA">
      <w:pPr>
        <w:pStyle w:val="Caption"/>
        <w:keepLines/>
      </w:pPr>
      <w:r w:rsidRPr="0084495F">
        <w:lastRenderedPageBreak/>
        <w:t xml:space="preserve">Table </w:t>
      </w:r>
      <w:r w:rsidR="00C16DA1">
        <w:fldChar w:fldCharType="begin"/>
      </w:r>
      <w:r w:rsidR="00C16DA1">
        <w:instrText xml:space="preserve"> SEQ Table \* ARABIC </w:instrText>
      </w:r>
      <w:r w:rsidR="00C16DA1">
        <w:fldChar w:fldCharType="separate"/>
      </w:r>
      <w:r w:rsidR="0084495F" w:rsidRPr="0084495F">
        <w:t>8</w:t>
      </w:r>
      <w:r w:rsidR="00C16DA1">
        <w:fldChar w:fldCharType="end"/>
      </w:r>
      <w:r w:rsidRPr="0084495F">
        <w:t>: Summary of adverse events in the VICTORIA trial (all patients as treated)</w:t>
      </w:r>
    </w:p>
    <w:tbl>
      <w:tblPr>
        <w:tblW w:w="5012" w:type="pct"/>
        <w:tblLook w:val="04A0" w:firstRow="1" w:lastRow="0" w:firstColumn="1" w:lastColumn="0" w:noHBand="0" w:noVBand="1"/>
        <w:tblCaption w:val="Table 8: Summary of adverse events in the VICTORIA trial (all patients as treated)"/>
      </w:tblPr>
      <w:tblGrid>
        <w:gridCol w:w="4057"/>
        <w:gridCol w:w="2491"/>
        <w:gridCol w:w="2491"/>
      </w:tblGrid>
      <w:tr w:rsidR="00236434" w:rsidRPr="0084495F" w14:paraId="31B46483" w14:textId="77777777" w:rsidTr="002B0E29">
        <w:trPr>
          <w:tblHeader/>
        </w:trPr>
        <w:tc>
          <w:tcPr>
            <w:tcW w:w="2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7DEFAD" w14:textId="77777777" w:rsidR="00236434" w:rsidRPr="0084495F" w:rsidRDefault="00236434" w:rsidP="00D561DA">
            <w:pPr>
              <w:pStyle w:val="Tabletext0"/>
              <w:spacing w:before="0" w:after="0"/>
              <w:ind w:right="-108"/>
              <w:rPr>
                <w:rFonts w:cstheme="minorHAnsi"/>
                <w:b/>
                <w:bCs/>
                <w:lang w:eastAsia="en-AU"/>
              </w:rPr>
            </w:pPr>
            <w:r w:rsidRPr="0084495F">
              <w:rPr>
                <w:rFonts w:cstheme="minorHAnsi"/>
                <w:b/>
                <w:bCs/>
                <w:lang w:eastAsia="en-AU"/>
              </w:rPr>
              <w:t>Adverse events n (%)</w:t>
            </w:r>
          </w:p>
        </w:tc>
        <w:tc>
          <w:tcPr>
            <w:tcW w:w="1378" w:type="pct"/>
            <w:tcBorders>
              <w:top w:val="single" w:sz="4" w:space="0" w:color="auto"/>
              <w:left w:val="nil"/>
              <w:bottom w:val="single" w:sz="4" w:space="0" w:color="auto"/>
              <w:right w:val="nil"/>
            </w:tcBorders>
            <w:shd w:val="clear" w:color="auto" w:fill="auto"/>
            <w:vAlign w:val="center"/>
            <w:hideMark/>
          </w:tcPr>
          <w:p w14:paraId="78606CA7" w14:textId="77777777" w:rsidR="00236434" w:rsidRPr="0084495F" w:rsidRDefault="00236434" w:rsidP="00D561DA">
            <w:pPr>
              <w:pStyle w:val="Tabletext0"/>
              <w:spacing w:before="0" w:after="0"/>
              <w:ind w:left="-70" w:right="-83"/>
              <w:jc w:val="center"/>
              <w:rPr>
                <w:rFonts w:cstheme="minorHAnsi"/>
                <w:b/>
                <w:bCs/>
                <w:lang w:eastAsia="en-AU"/>
              </w:rPr>
            </w:pPr>
            <w:r w:rsidRPr="0084495F">
              <w:rPr>
                <w:rFonts w:cstheme="minorHAnsi"/>
                <w:b/>
                <w:bCs/>
                <w:lang w:eastAsia="en-AU"/>
              </w:rPr>
              <w:t>Vericiguat + SoC</w:t>
            </w:r>
          </w:p>
          <w:p w14:paraId="26353456" w14:textId="77777777" w:rsidR="00236434" w:rsidRPr="0084495F" w:rsidRDefault="00236434" w:rsidP="00D561DA">
            <w:pPr>
              <w:pStyle w:val="Tabletext0"/>
              <w:spacing w:before="0" w:after="0"/>
              <w:ind w:left="-70" w:right="-83"/>
              <w:jc w:val="center"/>
              <w:rPr>
                <w:rFonts w:cstheme="minorHAnsi"/>
                <w:b/>
                <w:bCs/>
                <w:lang w:eastAsia="en-AU"/>
              </w:rPr>
            </w:pPr>
            <w:r w:rsidRPr="0084495F">
              <w:rPr>
                <w:rFonts w:cstheme="minorHAnsi"/>
                <w:b/>
                <w:bCs/>
                <w:lang w:eastAsia="en-AU"/>
              </w:rPr>
              <w:t>N=2519</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58FD9" w14:textId="77777777" w:rsidR="00236434" w:rsidRPr="0084495F" w:rsidRDefault="00236434" w:rsidP="00D561DA">
            <w:pPr>
              <w:pStyle w:val="Tabletext0"/>
              <w:spacing w:before="0" w:after="0"/>
              <w:ind w:left="-70" w:right="-83"/>
              <w:jc w:val="center"/>
              <w:rPr>
                <w:rFonts w:cstheme="minorHAnsi"/>
                <w:b/>
                <w:bCs/>
                <w:lang w:eastAsia="en-AU"/>
              </w:rPr>
            </w:pPr>
            <w:r w:rsidRPr="0084495F">
              <w:rPr>
                <w:rFonts w:cstheme="minorHAnsi"/>
                <w:b/>
                <w:bCs/>
                <w:lang w:eastAsia="en-AU"/>
              </w:rPr>
              <w:t xml:space="preserve">Placebo + SoC </w:t>
            </w:r>
          </w:p>
          <w:p w14:paraId="560C520B" w14:textId="77777777" w:rsidR="00236434" w:rsidRPr="0084495F" w:rsidRDefault="00236434" w:rsidP="00D561DA">
            <w:pPr>
              <w:pStyle w:val="Tabletext0"/>
              <w:spacing w:before="0" w:after="0"/>
              <w:ind w:left="-70" w:right="-83"/>
              <w:jc w:val="center"/>
              <w:rPr>
                <w:rFonts w:cstheme="minorHAnsi"/>
                <w:b/>
                <w:bCs/>
                <w:lang w:eastAsia="en-AU"/>
              </w:rPr>
            </w:pPr>
            <w:r w:rsidRPr="0084495F">
              <w:rPr>
                <w:rFonts w:cstheme="minorHAnsi"/>
                <w:b/>
                <w:bCs/>
                <w:lang w:eastAsia="en-AU"/>
              </w:rPr>
              <w:t>N=2515</w:t>
            </w:r>
          </w:p>
        </w:tc>
      </w:tr>
      <w:tr w:rsidR="00236434" w:rsidRPr="0084495F" w14:paraId="2BA80FA5" w14:textId="77777777" w:rsidTr="002B0E29">
        <w:tc>
          <w:tcPr>
            <w:tcW w:w="2244" w:type="pct"/>
            <w:tcBorders>
              <w:top w:val="nil"/>
              <w:left w:val="single" w:sz="4" w:space="0" w:color="auto"/>
              <w:bottom w:val="single" w:sz="4" w:space="0" w:color="auto"/>
              <w:right w:val="single" w:sz="4" w:space="0" w:color="auto"/>
            </w:tcBorders>
            <w:shd w:val="clear" w:color="auto" w:fill="auto"/>
          </w:tcPr>
          <w:p w14:paraId="7080BA5F" w14:textId="77777777" w:rsidR="00236434" w:rsidRPr="0084495F" w:rsidRDefault="00236434" w:rsidP="00D561DA">
            <w:pPr>
              <w:pStyle w:val="Tabletext0"/>
              <w:spacing w:before="0" w:after="0"/>
              <w:ind w:right="-108"/>
              <w:rPr>
                <w:rFonts w:cstheme="minorHAnsi"/>
                <w:lang w:eastAsia="en-AU"/>
              </w:rPr>
            </w:pPr>
            <w:r w:rsidRPr="0084495F">
              <w:rPr>
                <w:rFonts w:cstheme="minorHAnsi"/>
                <w:lang w:eastAsia="en-AU"/>
              </w:rPr>
              <w:t>At least one adverse event</w:t>
            </w:r>
          </w:p>
        </w:tc>
        <w:tc>
          <w:tcPr>
            <w:tcW w:w="1378" w:type="pct"/>
            <w:tcBorders>
              <w:top w:val="single" w:sz="4" w:space="0" w:color="auto"/>
              <w:left w:val="nil"/>
              <w:bottom w:val="single" w:sz="4" w:space="0" w:color="auto"/>
              <w:right w:val="single" w:sz="4" w:space="0" w:color="auto"/>
            </w:tcBorders>
            <w:shd w:val="clear" w:color="auto" w:fill="auto"/>
          </w:tcPr>
          <w:p w14:paraId="157AC4FA" w14:textId="77777777" w:rsidR="00236434" w:rsidRPr="0084495F" w:rsidRDefault="00236434" w:rsidP="00D561DA">
            <w:pPr>
              <w:pStyle w:val="Tabletext0"/>
              <w:spacing w:before="0" w:after="0"/>
              <w:ind w:left="-70" w:right="-83"/>
              <w:jc w:val="center"/>
              <w:rPr>
                <w:rFonts w:cstheme="minorHAnsi"/>
                <w:lang w:eastAsia="en-AU"/>
              </w:rPr>
            </w:pPr>
            <w:r w:rsidRPr="0084495F">
              <w:rPr>
                <w:rFonts w:cstheme="minorHAnsi"/>
                <w:lang w:eastAsia="en-AU"/>
              </w:rPr>
              <w:t>2027 (80.5%)</w:t>
            </w:r>
          </w:p>
        </w:tc>
        <w:tc>
          <w:tcPr>
            <w:tcW w:w="1378" w:type="pct"/>
            <w:tcBorders>
              <w:top w:val="single" w:sz="4" w:space="0" w:color="auto"/>
              <w:left w:val="nil"/>
              <w:bottom w:val="single" w:sz="4" w:space="0" w:color="auto"/>
              <w:right w:val="single" w:sz="4" w:space="0" w:color="auto"/>
            </w:tcBorders>
            <w:shd w:val="clear" w:color="auto" w:fill="auto"/>
          </w:tcPr>
          <w:p w14:paraId="21E3650B" w14:textId="77777777" w:rsidR="00236434" w:rsidRPr="0084495F" w:rsidRDefault="00236434" w:rsidP="00D561DA">
            <w:pPr>
              <w:pStyle w:val="Tabletext0"/>
              <w:spacing w:before="0" w:after="0"/>
              <w:ind w:left="-70" w:right="-83"/>
              <w:jc w:val="center"/>
              <w:rPr>
                <w:rFonts w:cstheme="minorHAnsi"/>
                <w:lang w:eastAsia="en-AU"/>
              </w:rPr>
            </w:pPr>
            <w:r w:rsidRPr="0084495F">
              <w:rPr>
                <w:rFonts w:cstheme="minorHAnsi"/>
                <w:lang w:eastAsia="en-AU"/>
              </w:rPr>
              <w:t>2036 (81.0%)</w:t>
            </w:r>
          </w:p>
        </w:tc>
      </w:tr>
      <w:tr w:rsidR="00236434" w:rsidRPr="0084495F" w14:paraId="0DB596F2" w14:textId="77777777" w:rsidTr="002B0E29">
        <w:tc>
          <w:tcPr>
            <w:tcW w:w="2244" w:type="pct"/>
            <w:tcBorders>
              <w:top w:val="nil"/>
              <w:left w:val="single" w:sz="4" w:space="0" w:color="auto"/>
              <w:bottom w:val="single" w:sz="4" w:space="0" w:color="auto"/>
              <w:right w:val="single" w:sz="4" w:space="0" w:color="auto"/>
            </w:tcBorders>
            <w:shd w:val="clear" w:color="auto" w:fill="auto"/>
          </w:tcPr>
          <w:p w14:paraId="696CECB4" w14:textId="77777777" w:rsidR="00236434" w:rsidRPr="0084495F" w:rsidRDefault="00236434" w:rsidP="00D561DA">
            <w:pPr>
              <w:pStyle w:val="Tabletext0"/>
              <w:spacing w:before="0" w:after="0"/>
              <w:ind w:right="-108"/>
              <w:rPr>
                <w:rFonts w:cstheme="minorHAnsi"/>
                <w:lang w:eastAsia="en-AU"/>
              </w:rPr>
            </w:pPr>
            <w:r w:rsidRPr="0084495F">
              <w:rPr>
                <w:rFonts w:cstheme="minorHAnsi"/>
                <w:lang w:eastAsia="en-AU"/>
              </w:rPr>
              <w:t>Any drug-related adverse event</w:t>
            </w:r>
          </w:p>
        </w:tc>
        <w:tc>
          <w:tcPr>
            <w:tcW w:w="1378" w:type="pct"/>
            <w:tcBorders>
              <w:top w:val="nil"/>
              <w:left w:val="nil"/>
              <w:bottom w:val="single" w:sz="4" w:space="0" w:color="auto"/>
              <w:right w:val="single" w:sz="4" w:space="0" w:color="auto"/>
            </w:tcBorders>
            <w:shd w:val="clear" w:color="auto" w:fill="auto"/>
          </w:tcPr>
          <w:p w14:paraId="12C1A556" w14:textId="77777777" w:rsidR="00236434" w:rsidRPr="0084495F" w:rsidRDefault="00236434" w:rsidP="00D561DA">
            <w:pPr>
              <w:pStyle w:val="Tabletext0"/>
              <w:spacing w:before="0" w:after="0"/>
              <w:ind w:left="-70" w:right="-83"/>
              <w:jc w:val="center"/>
              <w:rPr>
                <w:rFonts w:cstheme="minorHAnsi"/>
                <w:lang w:eastAsia="en-AU"/>
              </w:rPr>
            </w:pPr>
            <w:r w:rsidRPr="0084495F">
              <w:rPr>
                <w:rFonts w:cstheme="minorHAnsi"/>
                <w:lang w:eastAsia="en-AU"/>
              </w:rPr>
              <w:t>367 (14.6%)</w:t>
            </w:r>
          </w:p>
        </w:tc>
        <w:tc>
          <w:tcPr>
            <w:tcW w:w="1378" w:type="pct"/>
            <w:tcBorders>
              <w:top w:val="nil"/>
              <w:left w:val="nil"/>
              <w:bottom w:val="single" w:sz="4" w:space="0" w:color="auto"/>
              <w:right w:val="single" w:sz="4" w:space="0" w:color="auto"/>
            </w:tcBorders>
            <w:shd w:val="clear" w:color="auto" w:fill="auto"/>
          </w:tcPr>
          <w:p w14:paraId="29F095F5" w14:textId="77777777" w:rsidR="00236434" w:rsidRPr="0084495F" w:rsidRDefault="00236434" w:rsidP="00D561DA">
            <w:pPr>
              <w:pStyle w:val="Tabletext0"/>
              <w:spacing w:before="0" w:after="0"/>
              <w:ind w:left="-70" w:right="-83"/>
              <w:jc w:val="center"/>
              <w:rPr>
                <w:b/>
                <w:bCs/>
              </w:rPr>
            </w:pPr>
            <w:r w:rsidRPr="0084495F">
              <w:rPr>
                <w:rFonts w:cstheme="minorHAnsi"/>
                <w:lang w:eastAsia="en-AU"/>
              </w:rPr>
              <w:t>294 (11.7%)</w:t>
            </w:r>
          </w:p>
        </w:tc>
      </w:tr>
      <w:tr w:rsidR="00236434" w:rsidRPr="0084495F" w14:paraId="07AA6294" w14:textId="77777777" w:rsidTr="002B0E29">
        <w:tc>
          <w:tcPr>
            <w:tcW w:w="2244" w:type="pct"/>
            <w:tcBorders>
              <w:top w:val="nil"/>
              <w:left w:val="single" w:sz="4" w:space="0" w:color="auto"/>
              <w:bottom w:val="single" w:sz="4" w:space="0" w:color="auto"/>
              <w:right w:val="single" w:sz="4" w:space="0" w:color="auto"/>
            </w:tcBorders>
            <w:shd w:val="clear" w:color="auto" w:fill="auto"/>
          </w:tcPr>
          <w:p w14:paraId="0A6C8B92" w14:textId="77777777" w:rsidR="00236434" w:rsidRPr="0084495F" w:rsidRDefault="00236434" w:rsidP="00D561DA">
            <w:pPr>
              <w:pStyle w:val="Tabletext0"/>
              <w:spacing w:before="0" w:after="0"/>
              <w:ind w:right="-108"/>
              <w:rPr>
                <w:rFonts w:cstheme="minorHAnsi"/>
                <w:lang w:eastAsia="en-AU"/>
              </w:rPr>
            </w:pPr>
            <w:r w:rsidRPr="0084495F">
              <w:rPr>
                <w:rFonts w:cstheme="minorHAnsi"/>
                <w:lang w:eastAsia="en-AU"/>
              </w:rPr>
              <w:t>Any serious adverse event</w:t>
            </w:r>
          </w:p>
        </w:tc>
        <w:tc>
          <w:tcPr>
            <w:tcW w:w="1378" w:type="pct"/>
            <w:tcBorders>
              <w:top w:val="nil"/>
              <w:left w:val="nil"/>
              <w:bottom w:val="single" w:sz="4" w:space="0" w:color="auto"/>
              <w:right w:val="single" w:sz="4" w:space="0" w:color="auto"/>
            </w:tcBorders>
            <w:shd w:val="clear" w:color="auto" w:fill="auto"/>
          </w:tcPr>
          <w:p w14:paraId="013328B9" w14:textId="77777777" w:rsidR="00236434" w:rsidRPr="0084495F" w:rsidRDefault="00236434" w:rsidP="00D561DA">
            <w:pPr>
              <w:pStyle w:val="Tabletext0"/>
              <w:spacing w:before="0" w:after="0"/>
              <w:ind w:left="-70" w:right="-83"/>
              <w:jc w:val="center"/>
              <w:rPr>
                <w:rFonts w:cstheme="minorHAnsi"/>
                <w:lang w:eastAsia="en-AU"/>
              </w:rPr>
            </w:pPr>
            <w:r w:rsidRPr="0084495F">
              <w:rPr>
                <w:rFonts w:cstheme="minorHAnsi"/>
                <w:lang w:eastAsia="en-AU"/>
              </w:rPr>
              <w:t>826 (32.8%)</w:t>
            </w:r>
          </w:p>
        </w:tc>
        <w:tc>
          <w:tcPr>
            <w:tcW w:w="1378" w:type="pct"/>
            <w:tcBorders>
              <w:top w:val="nil"/>
              <w:left w:val="nil"/>
              <w:bottom w:val="single" w:sz="4" w:space="0" w:color="auto"/>
              <w:right w:val="single" w:sz="4" w:space="0" w:color="auto"/>
            </w:tcBorders>
            <w:shd w:val="clear" w:color="auto" w:fill="auto"/>
          </w:tcPr>
          <w:p w14:paraId="22ADFC07" w14:textId="77777777" w:rsidR="00236434" w:rsidRPr="0084495F" w:rsidRDefault="00236434" w:rsidP="00D561DA">
            <w:pPr>
              <w:pStyle w:val="Tabletext0"/>
              <w:spacing w:before="0" w:after="0"/>
              <w:ind w:left="-70" w:right="-83"/>
              <w:jc w:val="center"/>
            </w:pPr>
            <w:r w:rsidRPr="0084495F">
              <w:rPr>
                <w:rFonts w:cstheme="minorHAnsi"/>
                <w:lang w:eastAsia="en-AU"/>
              </w:rPr>
              <w:t>876 (34.8%)</w:t>
            </w:r>
          </w:p>
        </w:tc>
      </w:tr>
      <w:tr w:rsidR="00236434" w:rsidRPr="0084495F" w14:paraId="6771B2F8" w14:textId="77777777" w:rsidTr="002B0E29">
        <w:tc>
          <w:tcPr>
            <w:tcW w:w="2244" w:type="pct"/>
            <w:tcBorders>
              <w:top w:val="single" w:sz="4" w:space="0" w:color="auto"/>
              <w:left w:val="single" w:sz="4" w:space="0" w:color="auto"/>
              <w:bottom w:val="single" w:sz="4" w:space="0" w:color="auto"/>
              <w:right w:val="single" w:sz="4" w:space="0" w:color="auto"/>
            </w:tcBorders>
            <w:shd w:val="clear" w:color="auto" w:fill="auto"/>
          </w:tcPr>
          <w:p w14:paraId="2E947210" w14:textId="77777777" w:rsidR="00236434" w:rsidRPr="0084495F" w:rsidRDefault="00236434" w:rsidP="00D561DA">
            <w:pPr>
              <w:pStyle w:val="Tabletext0"/>
              <w:spacing w:before="0" w:after="0"/>
              <w:ind w:right="-108"/>
              <w:rPr>
                <w:rFonts w:cstheme="minorHAnsi"/>
                <w:lang w:eastAsia="en-AU"/>
              </w:rPr>
            </w:pPr>
            <w:r w:rsidRPr="0084495F">
              <w:rPr>
                <w:rFonts w:cstheme="minorHAnsi"/>
                <w:lang w:eastAsia="en-AU"/>
              </w:rPr>
              <w:t>Any serious drug-related adverse event</w:t>
            </w:r>
          </w:p>
        </w:tc>
        <w:tc>
          <w:tcPr>
            <w:tcW w:w="1378" w:type="pct"/>
            <w:tcBorders>
              <w:top w:val="single" w:sz="4" w:space="0" w:color="auto"/>
              <w:left w:val="nil"/>
              <w:bottom w:val="single" w:sz="4" w:space="0" w:color="auto"/>
              <w:right w:val="single" w:sz="4" w:space="0" w:color="auto"/>
            </w:tcBorders>
            <w:shd w:val="clear" w:color="auto" w:fill="auto"/>
          </w:tcPr>
          <w:p w14:paraId="0FE8AB0A" w14:textId="77777777" w:rsidR="00236434" w:rsidRPr="0084495F" w:rsidRDefault="00236434" w:rsidP="00D561DA">
            <w:pPr>
              <w:pStyle w:val="Tabletext0"/>
              <w:spacing w:before="0" w:after="0"/>
              <w:ind w:left="-70" w:right="-83"/>
              <w:jc w:val="center"/>
              <w:rPr>
                <w:rFonts w:cstheme="minorHAnsi"/>
                <w:lang w:eastAsia="en-AU"/>
              </w:rPr>
            </w:pPr>
            <w:r w:rsidRPr="0084495F">
              <w:rPr>
                <w:rFonts w:cstheme="minorHAnsi"/>
                <w:lang w:eastAsia="en-AU"/>
              </w:rPr>
              <w:t>30 (1.2%)</w:t>
            </w:r>
          </w:p>
        </w:tc>
        <w:tc>
          <w:tcPr>
            <w:tcW w:w="1378" w:type="pct"/>
            <w:tcBorders>
              <w:top w:val="single" w:sz="4" w:space="0" w:color="auto"/>
              <w:left w:val="nil"/>
              <w:bottom w:val="single" w:sz="4" w:space="0" w:color="auto"/>
              <w:right w:val="single" w:sz="4" w:space="0" w:color="auto"/>
            </w:tcBorders>
            <w:shd w:val="clear" w:color="auto" w:fill="auto"/>
          </w:tcPr>
          <w:p w14:paraId="6BF66AF2" w14:textId="77777777" w:rsidR="00236434" w:rsidRPr="0084495F" w:rsidRDefault="00236434" w:rsidP="00D561DA">
            <w:pPr>
              <w:pStyle w:val="Tabletext0"/>
              <w:spacing w:before="0" w:after="0"/>
              <w:ind w:left="-70" w:right="-83"/>
              <w:jc w:val="center"/>
            </w:pPr>
            <w:r w:rsidRPr="0084495F">
              <w:rPr>
                <w:rFonts w:cstheme="minorHAnsi"/>
                <w:lang w:eastAsia="en-AU"/>
              </w:rPr>
              <w:t>20 (0.8%)</w:t>
            </w:r>
          </w:p>
        </w:tc>
      </w:tr>
      <w:tr w:rsidR="00236434" w:rsidRPr="0084495F" w14:paraId="21CC5484" w14:textId="77777777" w:rsidTr="002B0E29">
        <w:tc>
          <w:tcPr>
            <w:tcW w:w="2244" w:type="pct"/>
            <w:tcBorders>
              <w:top w:val="single" w:sz="4" w:space="0" w:color="auto"/>
              <w:left w:val="single" w:sz="4" w:space="0" w:color="auto"/>
              <w:bottom w:val="single" w:sz="4" w:space="0" w:color="auto"/>
              <w:right w:val="single" w:sz="4" w:space="0" w:color="auto"/>
            </w:tcBorders>
            <w:shd w:val="clear" w:color="auto" w:fill="auto"/>
          </w:tcPr>
          <w:p w14:paraId="0FEBCFA7" w14:textId="77777777" w:rsidR="00236434" w:rsidRPr="0084495F" w:rsidRDefault="00236434" w:rsidP="00D561DA">
            <w:pPr>
              <w:pStyle w:val="Tabletext0"/>
              <w:spacing w:before="0" w:after="0"/>
              <w:ind w:right="-108"/>
              <w:rPr>
                <w:rFonts w:cstheme="minorHAnsi"/>
                <w:lang w:eastAsia="en-AU"/>
              </w:rPr>
            </w:pPr>
            <w:r w:rsidRPr="0084495F">
              <w:rPr>
                <w:rFonts w:cstheme="minorHAnsi"/>
                <w:lang w:eastAsia="en-AU"/>
              </w:rPr>
              <w:t>Discontinuation - any adverse event</w:t>
            </w:r>
          </w:p>
        </w:tc>
        <w:tc>
          <w:tcPr>
            <w:tcW w:w="1378" w:type="pct"/>
            <w:tcBorders>
              <w:top w:val="single" w:sz="4" w:space="0" w:color="auto"/>
              <w:left w:val="nil"/>
              <w:bottom w:val="single" w:sz="4" w:space="0" w:color="auto"/>
              <w:right w:val="single" w:sz="4" w:space="0" w:color="auto"/>
            </w:tcBorders>
            <w:shd w:val="clear" w:color="auto" w:fill="auto"/>
          </w:tcPr>
          <w:p w14:paraId="648A014C" w14:textId="77777777" w:rsidR="00236434" w:rsidRPr="0084495F" w:rsidRDefault="00236434" w:rsidP="00D561DA">
            <w:pPr>
              <w:pStyle w:val="Tabletext0"/>
              <w:spacing w:before="0" w:after="0"/>
              <w:ind w:left="-70" w:right="-83"/>
              <w:jc w:val="center"/>
              <w:rPr>
                <w:rFonts w:cstheme="minorHAnsi"/>
                <w:lang w:eastAsia="en-AU"/>
              </w:rPr>
            </w:pPr>
            <w:r w:rsidRPr="0084495F">
              <w:rPr>
                <w:rFonts w:cstheme="minorHAnsi"/>
                <w:lang w:eastAsia="en-AU"/>
              </w:rPr>
              <w:t>167 (6.6%)</w:t>
            </w:r>
          </w:p>
        </w:tc>
        <w:tc>
          <w:tcPr>
            <w:tcW w:w="1378" w:type="pct"/>
            <w:tcBorders>
              <w:top w:val="single" w:sz="4" w:space="0" w:color="auto"/>
              <w:left w:val="nil"/>
              <w:bottom w:val="single" w:sz="4" w:space="0" w:color="auto"/>
              <w:right w:val="single" w:sz="4" w:space="0" w:color="auto"/>
            </w:tcBorders>
            <w:shd w:val="clear" w:color="auto" w:fill="auto"/>
          </w:tcPr>
          <w:p w14:paraId="1D60B354" w14:textId="77777777" w:rsidR="00236434" w:rsidRPr="0084495F" w:rsidRDefault="00236434" w:rsidP="00D561DA">
            <w:pPr>
              <w:pStyle w:val="Tabletext0"/>
              <w:spacing w:before="0" w:after="0"/>
              <w:ind w:left="-70" w:right="-83"/>
              <w:jc w:val="center"/>
            </w:pPr>
            <w:r w:rsidRPr="0084495F">
              <w:rPr>
                <w:rFonts w:cstheme="minorHAnsi"/>
                <w:lang w:eastAsia="en-AU"/>
              </w:rPr>
              <w:t>158 (6.3%)</w:t>
            </w:r>
          </w:p>
        </w:tc>
      </w:tr>
      <w:tr w:rsidR="00236434" w:rsidRPr="0084495F" w14:paraId="13002A69" w14:textId="77777777" w:rsidTr="002B0E29">
        <w:tc>
          <w:tcPr>
            <w:tcW w:w="2244" w:type="pct"/>
            <w:tcBorders>
              <w:top w:val="single" w:sz="4" w:space="0" w:color="auto"/>
              <w:left w:val="single" w:sz="4" w:space="0" w:color="auto"/>
              <w:bottom w:val="single" w:sz="4" w:space="0" w:color="auto"/>
              <w:right w:val="single" w:sz="4" w:space="0" w:color="auto"/>
            </w:tcBorders>
            <w:shd w:val="clear" w:color="auto" w:fill="auto"/>
          </w:tcPr>
          <w:p w14:paraId="36D30BDE" w14:textId="77777777" w:rsidR="00236434" w:rsidRPr="0084495F" w:rsidRDefault="00236434" w:rsidP="00D561DA">
            <w:pPr>
              <w:pStyle w:val="Tabletext0"/>
              <w:spacing w:before="0" w:after="0"/>
              <w:ind w:right="-108"/>
              <w:rPr>
                <w:rFonts w:cstheme="minorHAnsi"/>
                <w:lang w:eastAsia="en-AU"/>
              </w:rPr>
            </w:pPr>
            <w:r w:rsidRPr="0084495F">
              <w:rPr>
                <w:rFonts w:cstheme="minorHAnsi"/>
                <w:lang w:eastAsia="en-AU"/>
              </w:rPr>
              <w:t>Discontinuation - serious adverse event</w:t>
            </w:r>
          </w:p>
        </w:tc>
        <w:tc>
          <w:tcPr>
            <w:tcW w:w="1378" w:type="pct"/>
            <w:tcBorders>
              <w:top w:val="single" w:sz="4" w:space="0" w:color="auto"/>
              <w:left w:val="nil"/>
              <w:bottom w:val="single" w:sz="4" w:space="0" w:color="auto"/>
              <w:right w:val="single" w:sz="4" w:space="0" w:color="auto"/>
            </w:tcBorders>
            <w:shd w:val="clear" w:color="auto" w:fill="auto"/>
          </w:tcPr>
          <w:p w14:paraId="597B1B2A" w14:textId="77777777" w:rsidR="00236434" w:rsidRPr="0084495F" w:rsidRDefault="00236434" w:rsidP="00D561DA">
            <w:pPr>
              <w:pStyle w:val="Tabletext0"/>
              <w:spacing w:before="0" w:after="0"/>
              <w:ind w:left="-70" w:right="-83"/>
              <w:jc w:val="center"/>
              <w:rPr>
                <w:rFonts w:cstheme="minorHAnsi"/>
                <w:lang w:eastAsia="en-AU"/>
              </w:rPr>
            </w:pPr>
            <w:r w:rsidRPr="0084495F">
              <w:rPr>
                <w:rFonts w:cstheme="minorHAnsi"/>
                <w:lang w:eastAsia="en-AU"/>
              </w:rPr>
              <w:t>71 (2.8%)</w:t>
            </w:r>
          </w:p>
        </w:tc>
        <w:tc>
          <w:tcPr>
            <w:tcW w:w="1378" w:type="pct"/>
            <w:tcBorders>
              <w:top w:val="single" w:sz="4" w:space="0" w:color="auto"/>
              <w:left w:val="nil"/>
              <w:bottom w:val="single" w:sz="4" w:space="0" w:color="auto"/>
              <w:right w:val="single" w:sz="4" w:space="0" w:color="auto"/>
            </w:tcBorders>
            <w:shd w:val="clear" w:color="auto" w:fill="auto"/>
          </w:tcPr>
          <w:p w14:paraId="62CDFA17" w14:textId="77777777" w:rsidR="00236434" w:rsidRPr="0084495F" w:rsidRDefault="00236434" w:rsidP="00D561DA">
            <w:pPr>
              <w:pStyle w:val="Tabletext0"/>
              <w:spacing w:before="0" w:after="0"/>
              <w:ind w:left="-70" w:right="-83"/>
              <w:jc w:val="center"/>
            </w:pPr>
            <w:r w:rsidRPr="0084495F">
              <w:rPr>
                <w:rFonts w:cstheme="minorHAnsi"/>
                <w:lang w:eastAsia="en-AU"/>
              </w:rPr>
              <w:t>87 (3.5%)</w:t>
            </w:r>
          </w:p>
        </w:tc>
      </w:tr>
      <w:tr w:rsidR="00236434" w:rsidRPr="0084495F" w14:paraId="773C34A9" w14:textId="77777777" w:rsidTr="002B0E29">
        <w:tc>
          <w:tcPr>
            <w:tcW w:w="2244" w:type="pct"/>
            <w:tcBorders>
              <w:top w:val="single" w:sz="4" w:space="0" w:color="auto"/>
              <w:left w:val="single" w:sz="4" w:space="0" w:color="auto"/>
              <w:bottom w:val="single" w:sz="4" w:space="0" w:color="auto"/>
              <w:right w:val="single" w:sz="4" w:space="0" w:color="auto"/>
            </w:tcBorders>
            <w:shd w:val="clear" w:color="auto" w:fill="auto"/>
          </w:tcPr>
          <w:p w14:paraId="0867C0C2" w14:textId="77777777" w:rsidR="00236434" w:rsidRPr="0084495F" w:rsidRDefault="00236434" w:rsidP="00D561DA">
            <w:pPr>
              <w:pStyle w:val="Tabletext0"/>
              <w:spacing w:before="0" w:after="0"/>
              <w:ind w:right="-108"/>
              <w:rPr>
                <w:rFonts w:cstheme="minorHAnsi"/>
                <w:lang w:eastAsia="en-AU"/>
              </w:rPr>
            </w:pPr>
            <w:r w:rsidRPr="0084495F">
              <w:rPr>
                <w:rFonts w:cstheme="minorHAnsi"/>
                <w:lang w:eastAsia="en-AU"/>
              </w:rPr>
              <w:t>Any adverse event resulting in death</w:t>
            </w:r>
          </w:p>
        </w:tc>
        <w:tc>
          <w:tcPr>
            <w:tcW w:w="1378" w:type="pct"/>
            <w:tcBorders>
              <w:top w:val="single" w:sz="4" w:space="0" w:color="auto"/>
              <w:left w:val="nil"/>
              <w:bottom w:val="single" w:sz="4" w:space="0" w:color="auto"/>
              <w:right w:val="single" w:sz="4" w:space="0" w:color="auto"/>
            </w:tcBorders>
            <w:shd w:val="clear" w:color="auto" w:fill="auto"/>
          </w:tcPr>
          <w:p w14:paraId="0F5A9850" w14:textId="77777777" w:rsidR="00236434" w:rsidRPr="0084495F" w:rsidRDefault="00236434" w:rsidP="00D561DA">
            <w:pPr>
              <w:pStyle w:val="Tabletext0"/>
              <w:spacing w:before="0" w:after="0"/>
              <w:ind w:left="-70" w:right="-83"/>
              <w:jc w:val="center"/>
              <w:rPr>
                <w:rFonts w:cstheme="minorHAnsi"/>
                <w:lang w:eastAsia="en-AU"/>
              </w:rPr>
            </w:pPr>
            <w:r w:rsidRPr="0084495F">
              <w:rPr>
                <w:rFonts w:cstheme="minorHAnsi"/>
                <w:lang w:eastAsia="en-AU"/>
              </w:rPr>
              <w:t>83 (3.3%)</w:t>
            </w:r>
          </w:p>
        </w:tc>
        <w:tc>
          <w:tcPr>
            <w:tcW w:w="1378" w:type="pct"/>
            <w:tcBorders>
              <w:top w:val="single" w:sz="4" w:space="0" w:color="auto"/>
              <w:left w:val="nil"/>
              <w:bottom w:val="single" w:sz="4" w:space="0" w:color="auto"/>
              <w:right w:val="single" w:sz="4" w:space="0" w:color="auto"/>
            </w:tcBorders>
            <w:shd w:val="clear" w:color="auto" w:fill="auto"/>
          </w:tcPr>
          <w:p w14:paraId="2191F3A1" w14:textId="77777777" w:rsidR="00236434" w:rsidRPr="0084495F" w:rsidRDefault="00236434" w:rsidP="00D561DA">
            <w:pPr>
              <w:pStyle w:val="Tabletext0"/>
              <w:spacing w:before="0" w:after="0"/>
              <w:ind w:left="-70" w:right="-83"/>
              <w:jc w:val="center"/>
            </w:pPr>
            <w:r w:rsidRPr="0084495F">
              <w:rPr>
                <w:rFonts w:cstheme="minorHAnsi"/>
                <w:lang w:eastAsia="en-AU"/>
              </w:rPr>
              <w:t>85 (3.4%)</w:t>
            </w:r>
          </w:p>
        </w:tc>
      </w:tr>
      <w:tr w:rsidR="005B7A70" w:rsidRPr="0084495F" w14:paraId="203DC588" w14:textId="77777777" w:rsidTr="005B7A7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300C978" w14:textId="3DCE3265" w:rsidR="005B7A70" w:rsidRPr="0084495F" w:rsidRDefault="005B7A70" w:rsidP="00D561DA">
            <w:pPr>
              <w:pStyle w:val="Tabletext0"/>
              <w:spacing w:before="0" w:after="0"/>
              <w:ind w:left="-70" w:right="-83"/>
              <w:rPr>
                <w:rFonts w:cstheme="minorHAnsi"/>
                <w:b/>
                <w:lang w:eastAsia="en-AU"/>
              </w:rPr>
            </w:pPr>
            <w:r w:rsidRPr="0084495F">
              <w:rPr>
                <w:b/>
              </w:rPr>
              <w:t>Serious adverse events reported by ≥2% of patients</w:t>
            </w:r>
          </w:p>
        </w:tc>
      </w:tr>
      <w:tr w:rsidR="005B7A70" w:rsidRPr="0084495F" w14:paraId="515DD469" w14:textId="77777777" w:rsidTr="002B0E29">
        <w:tc>
          <w:tcPr>
            <w:tcW w:w="2244" w:type="pct"/>
            <w:tcBorders>
              <w:top w:val="single" w:sz="4" w:space="0" w:color="auto"/>
              <w:left w:val="single" w:sz="4" w:space="0" w:color="auto"/>
              <w:bottom w:val="single" w:sz="4" w:space="0" w:color="auto"/>
              <w:right w:val="single" w:sz="4" w:space="0" w:color="auto"/>
            </w:tcBorders>
            <w:shd w:val="clear" w:color="auto" w:fill="auto"/>
          </w:tcPr>
          <w:p w14:paraId="724D5B34" w14:textId="57BC5FB1"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Any serious AE</w:t>
            </w:r>
          </w:p>
        </w:tc>
        <w:tc>
          <w:tcPr>
            <w:tcW w:w="1378" w:type="pct"/>
            <w:tcBorders>
              <w:top w:val="single" w:sz="4" w:space="0" w:color="auto"/>
              <w:left w:val="nil"/>
              <w:bottom w:val="single" w:sz="4" w:space="0" w:color="auto"/>
              <w:right w:val="single" w:sz="4" w:space="0" w:color="auto"/>
            </w:tcBorders>
            <w:shd w:val="clear" w:color="auto" w:fill="auto"/>
          </w:tcPr>
          <w:p w14:paraId="1CB0C3B1" w14:textId="70AFEE3A"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826 (32.8%)</w:t>
            </w:r>
          </w:p>
        </w:tc>
        <w:tc>
          <w:tcPr>
            <w:tcW w:w="1378" w:type="pct"/>
            <w:tcBorders>
              <w:top w:val="single" w:sz="4" w:space="0" w:color="auto"/>
              <w:left w:val="nil"/>
              <w:bottom w:val="single" w:sz="4" w:space="0" w:color="auto"/>
              <w:right w:val="single" w:sz="4" w:space="0" w:color="auto"/>
            </w:tcBorders>
            <w:shd w:val="clear" w:color="auto" w:fill="auto"/>
          </w:tcPr>
          <w:p w14:paraId="4450230F" w14:textId="28531A9D"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876 (34.8%)</w:t>
            </w:r>
          </w:p>
        </w:tc>
      </w:tr>
      <w:tr w:rsidR="005B7A70" w:rsidRPr="0084495F" w14:paraId="1DBD9400"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vAlign w:val="center"/>
          </w:tcPr>
          <w:p w14:paraId="5D789D75" w14:textId="1730B01C"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 xml:space="preserve">Infections and infestations </w:t>
            </w:r>
          </w:p>
        </w:tc>
        <w:tc>
          <w:tcPr>
            <w:tcW w:w="1378" w:type="pct"/>
            <w:tcBorders>
              <w:top w:val="single" w:sz="4" w:space="0" w:color="auto"/>
              <w:left w:val="nil"/>
              <w:bottom w:val="single" w:sz="4" w:space="0" w:color="auto"/>
              <w:right w:val="single" w:sz="4" w:space="0" w:color="auto"/>
            </w:tcBorders>
            <w:shd w:val="clear" w:color="auto" w:fill="auto"/>
            <w:vAlign w:val="center"/>
          </w:tcPr>
          <w:p w14:paraId="773D72E8" w14:textId="41E0E90E"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269 (10.7%)</w:t>
            </w:r>
          </w:p>
        </w:tc>
        <w:tc>
          <w:tcPr>
            <w:tcW w:w="1378" w:type="pct"/>
            <w:tcBorders>
              <w:top w:val="single" w:sz="4" w:space="0" w:color="auto"/>
              <w:left w:val="nil"/>
              <w:bottom w:val="single" w:sz="4" w:space="0" w:color="auto"/>
              <w:right w:val="single" w:sz="4" w:space="0" w:color="auto"/>
            </w:tcBorders>
            <w:shd w:val="clear" w:color="auto" w:fill="auto"/>
            <w:vAlign w:val="center"/>
          </w:tcPr>
          <w:p w14:paraId="0B6E3395" w14:textId="6C59917B"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270 (10.7%)</w:t>
            </w:r>
          </w:p>
        </w:tc>
      </w:tr>
      <w:tr w:rsidR="005B7A70" w:rsidRPr="0084495F" w14:paraId="06675797"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vAlign w:val="center"/>
          </w:tcPr>
          <w:p w14:paraId="3292AACF" w14:textId="432EFBE4"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Pneumonia</w:t>
            </w:r>
          </w:p>
        </w:tc>
        <w:tc>
          <w:tcPr>
            <w:tcW w:w="1378" w:type="pct"/>
            <w:tcBorders>
              <w:top w:val="single" w:sz="4" w:space="0" w:color="auto"/>
              <w:left w:val="nil"/>
              <w:bottom w:val="single" w:sz="4" w:space="0" w:color="auto"/>
              <w:right w:val="single" w:sz="4" w:space="0" w:color="auto"/>
            </w:tcBorders>
            <w:shd w:val="clear" w:color="auto" w:fill="auto"/>
            <w:vAlign w:val="center"/>
          </w:tcPr>
          <w:p w14:paraId="3FAF9FC4" w14:textId="7C823C5B"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101 (4.0%)</w:t>
            </w:r>
          </w:p>
        </w:tc>
        <w:tc>
          <w:tcPr>
            <w:tcW w:w="1378" w:type="pct"/>
            <w:tcBorders>
              <w:top w:val="single" w:sz="4" w:space="0" w:color="auto"/>
              <w:left w:val="nil"/>
              <w:bottom w:val="single" w:sz="4" w:space="0" w:color="auto"/>
              <w:right w:val="single" w:sz="4" w:space="0" w:color="auto"/>
            </w:tcBorders>
            <w:shd w:val="clear" w:color="auto" w:fill="auto"/>
            <w:vAlign w:val="center"/>
          </w:tcPr>
          <w:p w14:paraId="4F90F081" w14:textId="2B5269CB"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112 (4.5%)</w:t>
            </w:r>
          </w:p>
        </w:tc>
      </w:tr>
      <w:tr w:rsidR="005B7A70" w:rsidRPr="0084495F" w14:paraId="039B1F4F"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vAlign w:val="center"/>
          </w:tcPr>
          <w:p w14:paraId="64FD1467" w14:textId="13B1589B"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Cardiac disorders</w:t>
            </w:r>
          </w:p>
        </w:tc>
        <w:tc>
          <w:tcPr>
            <w:tcW w:w="1378" w:type="pct"/>
            <w:tcBorders>
              <w:top w:val="single" w:sz="4" w:space="0" w:color="auto"/>
              <w:left w:val="nil"/>
              <w:bottom w:val="single" w:sz="4" w:space="0" w:color="auto"/>
              <w:right w:val="single" w:sz="4" w:space="0" w:color="auto"/>
            </w:tcBorders>
            <w:shd w:val="clear" w:color="auto" w:fill="auto"/>
            <w:vAlign w:val="center"/>
          </w:tcPr>
          <w:p w14:paraId="5C04ABAD" w14:textId="15A0ED35"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203 (8.1%)</w:t>
            </w:r>
          </w:p>
        </w:tc>
        <w:tc>
          <w:tcPr>
            <w:tcW w:w="1378" w:type="pct"/>
            <w:tcBorders>
              <w:top w:val="single" w:sz="4" w:space="0" w:color="auto"/>
              <w:left w:val="nil"/>
              <w:bottom w:val="single" w:sz="4" w:space="0" w:color="auto"/>
              <w:right w:val="single" w:sz="4" w:space="0" w:color="auto"/>
            </w:tcBorders>
            <w:shd w:val="clear" w:color="auto" w:fill="auto"/>
            <w:vAlign w:val="center"/>
          </w:tcPr>
          <w:p w14:paraId="3A3AFA25" w14:textId="59B8B4E3"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269 (10.7%)</w:t>
            </w:r>
          </w:p>
        </w:tc>
      </w:tr>
      <w:tr w:rsidR="005B7A70" w:rsidRPr="0084495F" w14:paraId="6AC39E70"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vAlign w:val="center"/>
          </w:tcPr>
          <w:p w14:paraId="09401246" w14:textId="1E004FDE"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Cardiac failure</w:t>
            </w:r>
          </w:p>
        </w:tc>
        <w:tc>
          <w:tcPr>
            <w:tcW w:w="1378" w:type="pct"/>
            <w:tcBorders>
              <w:top w:val="single" w:sz="4" w:space="0" w:color="auto"/>
              <w:left w:val="nil"/>
              <w:bottom w:val="single" w:sz="4" w:space="0" w:color="auto"/>
              <w:right w:val="single" w:sz="4" w:space="0" w:color="auto"/>
            </w:tcBorders>
            <w:shd w:val="clear" w:color="auto" w:fill="auto"/>
            <w:vAlign w:val="center"/>
          </w:tcPr>
          <w:p w14:paraId="7A09CA7D" w14:textId="0D04C49A"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80 (3.2%)</w:t>
            </w:r>
          </w:p>
        </w:tc>
        <w:tc>
          <w:tcPr>
            <w:tcW w:w="1378" w:type="pct"/>
            <w:tcBorders>
              <w:top w:val="single" w:sz="4" w:space="0" w:color="auto"/>
              <w:left w:val="nil"/>
              <w:bottom w:val="single" w:sz="4" w:space="0" w:color="auto"/>
              <w:right w:val="single" w:sz="4" w:space="0" w:color="auto"/>
            </w:tcBorders>
            <w:shd w:val="clear" w:color="auto" w:fill="auto"/>
            <w:vAlign w:val="center"/>
          </w:tcPr>
          <w:p w14:paraId="64AA0D0D" w14:textId="0AF71054"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110 (4.4%)</w:t>
            </w:r>
          </w:p>
        </w:tc>
      </w:tr>
      <w:tr w:rsidR="005B7A70" w:rsidRPr="0084495F" w14:paraId="2C72FC56"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vAlign w:val="center"/>
          </w:tcPr>
          <w:p w14:paraId="074B77B7" w14:textId="433A2BD3"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Renal and urinary disorders</w:t>
            </w:r>
          </w:p>
        </w:tc>
        <w:tc>
          <w:tcPr>
            <w:tcW w:w="1378" w:type="pct"/>
            <w:tcBorders>
              <w:top w:val="single" w:sz="4" w:space="0" w:color="auto"/>
              <w:left w:val="nil"/>
              <w:bottom w:val="single" w:sz="4" w:space="0" w:color="auto"/>
              <w:right w:val="single" w:sz="4" w:space="0" w:color="auto"/>
            </w:tcBorders>
            <w:shd w:val="clear" w:color="auto" w:fill="auto"/>
            <w:vAlign w:val="center"/>
          </w:tcPr>
          <w:p w14:paraId="753C6A04" w14:textId="29B0182B"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141 (5.6%)</w:t>
            </w:r>
          </w:p>
        </w:tc>
        <w:tc>
          <w:tcPr>
            <w:tcW w:w="1378" w:type="pct"/>
            <w:tcBorders>
              <w:top w:val="single" w:sz="4" w:space="0" w:color="auto"/>
              <w:left w:val="nil"/>
              <w:bottom w:val="single" w:sz="4" w:space="0" w:color="auto"/>
              <w:right w:val="single" w:sz="4" w:space="0" w:color="auto"/>
            </w:tcBorders>
            <w:shd w:val="clear" w:color="auto" w:fill="auto"/>
            <w:vAlign w:val="center"/>
          </w:tcPr>
          <w:p w14:paraId="29BC00AF" w14:textId="639BED48"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133 (5.3%)</w:t>
            </w:r>
          </w:p>
        </w:tc>
      </w:tr>
      <w:tr w:rsidR="005B7A70" w:rsidRPr="0084495F" w14:paraId="62826EC9"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vAlign w:val="center"/>
          </w:tcPr>
          <w:p w14:paraId="4FD3B096" w14:textId="6FEABDD1"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Acute kidney injury</w:t>
            </w:r>
          </w:p>
        </w:tc>
        <w:tc>
          <w:tcPr>
            <w:tcW w:w="1378" w:type="pct"/>
            <w:tcBorders>
              <w:top w:val="single" w:sz="4" w:space="0" w:color="auto"/>
              <w:left w:val="nil"/>
              <w:bottom w:val="single" w:sz="4" w:space="0" w:color="auto"/>
              <w:right w:val="single" w:sz="4" w:space="0" w:color="auto"/>
            </w:tcBorders>
            <w:shd w:val="clear" w:color="auto" w:fill="auto"/>
            <w:vAlign w:val="center"/>
          </w:tcPr>
          <w:p w14:paraId="072A46F5" w14:textId="1B80F2E3"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64 (2.5%)</w:t>
            </w:r>
          </w:p>
        </w:tc>
        <w:tc>
          <w:tcPr>
            <w:tcW w:w="1378" w:type="pct"/>
            <w:tcBorders>
              <w:top w:val="single" w:sz="4" w:space="0" w:color="auto"/>
              <w:left w:val="nil"/>
              <w:bottom w:val="single" w:sz="4" w:space="0" w:color="auto"/>
              <w:right w:val="single" w:sz="4" w:space="0" w:color="auto"/>
            </w:tcBorders>
            <w:shd w:val="clear" w:color="auto" w:fill="auto"/>
            <w:vAlign w:val="center"/>
          </w:tcPr>
          <w:p w14:paraId="7BF0DE05" w14:textId="3CF2C0F6"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51 (2.0%)</w:t>
            </w:r>
          </w:p>
        </w:tc>
      </w:tr>
      <w:tr w:rsidR="005B7A70" w:rsidRPr="0084495F" w14:paraId="258F5B66"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vAlign w:val="center"/>
          </w:tcPr>
          <w:p w14:paraId="1D532BFE" w14:textId="47E176AE"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Gastrointestinal disorders</w:t>
            </w:r>
          </w:p>
        </w:tc>
        <w:tc>
          <w:tcPr>
            <w:tcW w:w="1378" w:type="pct"/>
            <w:tcBorders>
              <w:top w:val="single" w:sz="4" w:space="0" w:color="auto"/>
              <w:left w:val="nil"/>
              <w:bottom w:val="single" w:sz="4" w:space="0" w:color="auto"/>
              <w:right w:val="single" w:sz="4" w:space="0" w:color="auto"/>
            </w:tcBorders>
            <w:shd w:val="clear" w:color="auto" w:fill="auto"/>
            <w:vAlign w:val="center"/>
          </w:tcPr>
          <w:p w14:paraId="1ACB709D" w14:textId="2F92DED5"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100 (4.0%)</w:t>
            </w:r>
          </w:p>
        </w:tc>
        <w:tc>
          <w:tcPr>
            <w:tcW w:w="1378" w:type="pct"/>
            <w:tcBorders>
              <w:top w:val="single" w:sz="4" w:space="0" w:color="auto"/>
              <w:left w:val="nil"/>
              <w:bottom w:val="single" w:sz="4" w:space="0" w:color="auto"/>
              <w:right w:val="single" w:sz="4" w:space="0" w:color="auto"/>
            </w:tcBorders>
            <w:shd w:val="clear" w:color="auto" w:fill="auto"/>
            <w:vAlign w:val="center"/>
          </w:tcPr>
          <w:p w14:paraId="09ABF980" w14:textId="307B6141"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92 (3.7%)</w:t>
            </w:r>
          </w:p>
        </w:tc>
      </w:tr>
      <w:tr w:rsidR="005B7A70" w:rsidRPr="0084495F" w14:paraId="7E265060"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vAlign w:val="center"/>
          </w:tcPr>
          <w:p w14:paraId="49AA8992" w14:textId="084EC638"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 xml:space="preserve">Respiratory, </w:t>
            </w:r>
            <w:proofErr w:type="gramStart"/>
            <w:r w:rsidRPr="0084495F">
              <w:rPr>
                <w:rFonts w:cstheme="minorHAnsi"/>
                <w:lang w:eastAsia="en-AU"/>
              </w:rPr>
              <w:t>thoracic</w:t>
            </w:r>
            <w:proofErr w:type="gramEnd"/>
            <w:r w:rsidRPr="0084495F">
              <w:rPr>
                <w:rFonts w:cstheme="minorHAnsi"/>
                <w:lang w:eastAsia="en-AU"/>
              </w:rPr>
              <w:t xml:space="preserve"> and mediastinal disorders</w:t>
            </w:r>
          </w:p>
        </w:tc>
        <w:tc>
          <w:tcPr>
            <w:tcW w:w="1378" w:type="pct"/>
            <w:tcBorders>
              <w:top w:val="single" w:sz="4" w:space="0" w:color="auto"/>
              <w:left w:val="nil"/>
              <w:bottom w:val="single" w:sz="4" w:space="0" w:color="auto"/>
              <w:right w:val="single" w:sz="4" w:space="0" w:color="auto"/>
            </w:tcBorders>
            <w:shd w:val="clear" w:color="auto" w:fill="auto"/>
            <w:vAlign w:val="center"/>
          </w:tcPr>
          <w:p w14:paraId="2E6C7DEE" w14:textId="51171062"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88 (3.5%)</w:t>
            </w:r>
          </w:p>
        </w:tc>
        <w:tc>
          <w:tcPr>
            <w:tcW w:w="1378" w:type="pct"/>
            <w:tcBorders>
              <w:top w:val="single" w:sz="4" w:space="0" w:color="auto"/>
              <w:left w:val="nil"/>
              <w:bottom w:val="single" w:sz="4" w:space="0" w:color="auto"/>
              <w:right w:val="single" w:sz="4" w:space="0" w:color="auto"/>
            </w:tcBorders>
            <w:shd w:val="clear" w:color="auto" w:fill="auto"/>
            <w:vAlign w:val="center"/>
          </w:tcPr>
          <w:p w14:paraId="1327EFC7" w14:textId="7CDC68B9"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90 (3.6%)</w:t>
            </w:r>
          </w:p>
        </w:tc>
      </w:tr>
      <w:tr w:rsidR="005B7A70" w:rsidRPr="0084495F" w14:paraId="126A9CA6"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vAlign w:val="center"/>
          </w:tcPr>
          <w:p w14:paraId="2410C76C" w14:textId="2EAA7B57"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Nervous system disorders</w:t>
            </w:r>
          </w:p>
        </w:tc>
        <w:tc>
          <w:tcPr>
            <w:tcW w:w="1378" w:type="pct"/>
            <w:tcBorders>
              <w:top w:val="single" w:sz="4" w:space="0" w:color="auto"/>
              <w:left w:val="nil"/>
              <w:bottom w:val="single" w:sz="4" w:space="0" w:color="auto"/>
              <w:right w:val="single" w:sz="4" w:space="0" w:color="auto"/>
            </w:tcBorders>
            <w:shd w:val="clear" w:color="auto" w:fill="auto"/>
            <w:vAlign w:val="center"/>
          </w:tcPr>
          <w:p w14:paraId="32BF4936" w14:textId="5D4A9571"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82 (3.3%)</w:t>
            </w:r>
          </w:p>
        </w:tc>
        <w:tc>
          <w:tcPr>
            <w:tcW w:w="1378" w:type="pct"/>
            <w:tcBorders>
              <w:top w:val="single" w:sz="4" w:space="0" w:color="auto"/>
              <w:left w:val="nil"/>
              <w:bottom w:val="single" w:sz="4" w:space="0" w:color="auto"/>
              <w:right w:val="single" w:sz="4" w:space="0" w:color="auto"/>
            </w:tcBorders>
            <w:shd w:val="clear" w:color="auto" w:fill="auto"/>
            <w:vAlign w:val="center"/>
          </w:tcPr>
          <w:p w14:paraId="6F686153" w14:textId="1153EBEB"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83 (3.3%)</w:t>
            </w:r>
          </w:p>
        </w:tc>
      </w:tr>
      <w:tr w:rsidR="005B7A70" w:rsidRPr="0084495F" w14:paraId="2607D905"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vAlign w:val="center"/>
          </w:tcPr>
          <w:p w14:paraId="2FEFD7B5" w14:textId="5B8E3E02"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 xml:space="preserve">Vascular disorders  </w:t>
            </w:r>
          </w:p>
        </w:tc>
        <w:tc>
          <w:tcPr>
            <w:tcW w:w="1378" w:type="pct"/>
            <w:tcBorders>
              <w:top w:val="single" w:sz="4" w:space="0" w:color="auto"/>
              <w:left w:val="nil"/>
              <w:bottom w:val="single" w:sz="4" w:space="0" w:color="auto"/>
              <w:right w:val="single" w:sz="4" w:space="0" w:color="auto"/>
            </w:tcBorders>
            <w:shd w:val="clear" w:color="auto" w:fill="auto"/>
            <w:vAlign w:val="center"/>
          </w:tcPr>
          <w:p w14:paraId="1F32FE1E" w14:textId="7AEDAFEF"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81 (3.2%)</w:t>
            </w:r>
          </w:p>
        </w:tc>
        <w:tc>
          <w:tcPr>
            <w:tcW w:w="1378" w:type="pct"/>
            <w:tcBorders>
              <w:top w:val="single" w:sz="4" w:space="0" w:color="auto"/>
              <w:left w:val="nil"/>
              <w:bottom w:val="single" w:sz="4" w:space="0" w:color="auto"/>
              <w:right w:val="single" w:sz="4" w:space="0" w:color="auto"/>
            </w:tcBorders>
            <w:shd w:val="clear" w:color="auto" w:fill="auto"/>
            <w:vAlign w:val="center"/>
          </w:tcPr>
          <w:p w14:paraId="024B83B1" w14:textId="0B836288"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86 (3.4%)</w:t>
            </w:r>
          </w:p>
        </w:tc>
      </w:tr>
      <w:tr w:rsidR="005B7A70" w:rsidRPr="0084495F" w14:paraId="2DA581C3"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vAlign w:val="center"/>
          </w:tcPr>
          <w:p w14:paraId="0A0B9775" w14:textId="4A67B4E0"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Injury, poisoning and complications</w:t>
            </w:r>
          </w:p>
        </w:tc>
        <w:tc>
          <w:tcPr>
            <w:tcW w:w="1378" w:type="pct"/>
            <w:tcBorders>
              <w:top w:val="single" w:sz="4" w:space="0" w:color="auto"/>
              <w:left w:val="nil"/>
              <w:bottom w:val="single" w:sz="4" w:space="0" w:color="auto"/>
              <w:right w:val="single" w:sz="4" w:space="0" w:color="auto"/>
            </w:tcBorders>
            <w:shd w:val="clear" w:color="auto" w:fill="auto"/>
            <w:vAlign w:val="center"/>
          </w:tcPr>
          <w:p w14:paraId="79BE1EB2" w14:textId="0792DB6E"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65 (2.6%)</w:t>
            </w:r>
          </w:p>
        </w:tc>
        <w:tc>
          <w:tcPr>
            <w:tcW w:w="1378" w:type="pct"/>
            <w:tcBorders>
              <w:top w:val="single" w:sz="4" w:space="0" w:color="auto"/>
              <w:left w:val="nil"/>
              <w:bottom w:val="single" w:sz="4" w:space="0" w:color="auto"/>
              <w:right w:val="single" w:sz="4" w:space="0" w:color="auto"/>
            </w:tcBorders>
            <w:shd w:val="clear" w:color="auto" w:fill="auto"/>
            <w:vAlign w:val="center"/>
          </w:tcPr>
          <w:p w14:paraId="0DAC7F8A" w14:textId="27F8CD93"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78 (3.1%)</w:t>
            </w:r>
          </w:p>
        </w:tc>
      </w:tr>
      <w:tr w:rsidR="005B7A70" w:rsidRPr="0084495F" w14:paraId="58B53E88"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vAlign w:val="center"/>
          </w:tcPr>
          <w:p w14:paraId="02705E30" w14:textId="0EF3463D"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Blood and lymphatic system disorders</w:t>
            </w:r>
          </w:p>
        </w:tc>
        <w:tc>
          <w:tcPr>
            <w:tcW w:w="1378" w:type="pct"/>
            <w:tcBorders>
              <w:top w:val="single" w:sz="4" w:space="0" w:color="auto"/>
              <w:left w:val="nil"/>
              <w:bottom w:val="single" w:sz="4" w:space="0" w:color="auto"/>
              <w:right w:val="single" w:sz="4" w:space="0" w:color="auto"/>
            </w:tcBorders>
            <w:shd w:val="clear" w:color="auto" w:fill="auto"/>
            <w:vAlign w:val="center"/>
          </w:tcPr>
          <w:p w14:paraId="2BDA1ABA" w14:textId="25DA50BA"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53 (2.1%)</w:t>
            </w:r>
          </w:p>
        </w:tc>
        <w:tc>
          <w:tcPr>
            <w:tcW w:w="1378" w:type="pct"/>
            <w:tcBorders>
              <w:top w:val="single" w:sz="4" w:space="0" w:color="auto"/>
              <w:left w:val="nil"/>
              <w:bottom w:val="single" w:sz="4" w:space="0" w:color="auto"/>
              <w:right w:val="single" w:sz="4" w:space="0" w:color="auto"/>
            </w:tcBorders>
            <w:shd w:val="clear" w:color="auto" w:fill="auto"/>
            <w:vAlign w:val="center"/>
          </w:tcPr>
          <w:p w14:paraId="69400964" w14:textId="4357BCBF"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29 (1.2%)</w:t>
            </w:r>
          </w:p>
        </w:tc>
      </w:tr>
      <w:tr w:rsidR="005B7A70" w:rsidRPr="0084495F" w14:paraId="2F632F51"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vAlign w:val="center"/>
          </w:tcPr>
          <w:p w14:paraId="1917D30C" w14:textId="17F0C8AD" w:rsidR="005B7A70" w:rsidRPr="0084495F" w:rsidRDefault="005B7A70" w:rsidP="00D561DA">
            <w:pPr>
              <w:pStyle w:val="Tabletext0"/>
              <w:spacing w:before="0" w:after="0"/>
              <w:ind w:right="-108"/>
              <w:rPr>
                <w:rFonts w:cstheme="minorHAnsi"/>
                <w:lang w:eastAsia="en-AU"/>
              </w:rPr>
            </w:pPr>
            <w:r w:rsidRPr="0084495F">
              <w:rPr>
                <w:rFonts w:cstheme="minorHAnsi"/>
                <w:lang w:eastAsia="en-AU"/>
              </w:rPr>
              <w:t xml:space="preserve">Neoplasms </w:t>
            </w:r>
          </w:p>
        </w:tc>
        <w:tc>
          <w:tcPr>
            <w:tcW w:w="1378" w:type="pct"/>
            <w:tcBorders>
              <w:top w:val="single" w:sz="4" w:space="0" w:color="auto"/>
              <w:left w:val="nil"/>
              <w:bottom w:val="single" w:sz="4" w:space="0" w:color="auto"/>
              <w:right w:val="single" w:sz="4" w:space="0" w:color="auto"/>
            </w:tcBorders>
            <w:shd w:val="clear" w:color="auto" w:fill="auto"/>
            <w:vAlign w:val="center"/>
          </w:tcPr>
          <w:p w14:paraId="42082111" w14:textId="0B4F4DCC"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50 (2.0%)</w:t>
            </w:r>
          </w:p>
        </w:tc>
        <w:tc>
          <w:tcPr>
            <w:tcW w:w="1378" w:type="pct"/>
            <w:tcBorders>
              <w:top w:val="single" w:sz="4" w:space="0" w:color="auto"/>
              <w:left w:val="nil"/>
              <w:bottom w:val="single" w:sz="4" w:space="0" w:color="auto"/>
              <w:right w:val="single" w:sz="4" w:space="0" w:color="auto"/>
            </w:tcBorders>
            <w:shd w:val="clear" w:color="auto" w:fill="auto"/>
            <w:vAlign w:val="center"/>
          </w:tcPr>
          <w:p w14:paraId="4CE95B5F" w14:textId="7C684061"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48 (1.9%)</w:t>
            </w:r>
          </w:p>
        </w:tc>
      </w:tr>
      <w:tr w:rsidR="005B7A70" w:rsidRPr="0084495F" w14:paraId="533513E8" w14:textId="77777777" w:rsidTr="005B7A7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D0FD397" w14:textId="746A5DD6" w:rsidR="005B7A70" w:rsidRPr="0084495F" w:rsidRDefault="005B7A70" w:rsidP="00D561DA">
            <w:pPr>
              <w:pStyle w:val="Tabletext0"/>
              <w:spacing w:before="0" w:after="0"/>
              <w:ind w:left="-70" w:right="-83"/>
              <w:rPr>
                <w:rFonts w:cstheme="minorHAnsi"/>
                <w:lang w:eastAsia="en-AU"/>
              </w:rPr>
            </w:pPr>
            <w:r w:rsidRPr="0084495F">
              <w:rPr>
                <w:b/>
                <w:bCs/>
                <w:lang w:eastAsia="en-GB"/>
              </w:rPr>
              <w:t>Treatment emergent adverse events of special interest</w:t>
            </w:r>
          </w:p>
        </w:tc>
      </w:tr>
      <w:tr w:rsidR="005B7A70" w:rsidRPr="0084495F" w14:paraId="7A7354F8"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tcPr>
          <w:p w14:paraId="6AE8A31F" w14:textId="4FFA9B6A" w:rsidR="005B7A70" w:rsidRPr="0084495F" w:rsidRDefault="005B7A70" w:rsidP="00D561DA">
            <w:pPr>
              <w:pStyle w:val="Tabletext0"/>
              <w:spacing w:before="0" w:after="0"/>
              <w:ind w:right="-108"/>
              <w:rPr>
                <w:rFonts w:cstheme="minorHAnsi"/>
                <w:lang w:eastAsia="en-AU"/>
              </w:rPr>
            </w:pPr>
            <w:r w:rsidRPr="0084495F">
              <w:t>Hypotension</w:t>
            </w:r>
          </w:p>
        </w:tc>
        <w:tc>
          <w:tcPr>
            <w:tcW w:w="1378" w:type="pct"/>
            <w:tcBorders>
              <w:top w:val="single" w:sz="4" w:space="0" w:color="auto"/>
              <w:left w:val="nil"/>
              <w:bottom w:val="single" w:sz="4" w:space="0" w:color="auto"/>
              <w:right w:val="single" w:sz="4" w:space="0" w:color="auto"/>
            </w:tcBorders>
            <w:shd w:val="clear" w:color="auto" w:fill="auto"/>
            <w:vAlign w:val="center"/>
          </w:tcPr>
          <w:p w14:paraId="79C6C801" w14:textId="2FDB6D87"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388 (15.4%)</w:t>
            </w:r>
          </w:p>
        </w:tc>
        <w:tc>
          <w:tcPr>
            <w:tcW w:w="1378" w:type="pct"/>
            <w:tcBorders>
              <w:top w:val="single" w:sz="4" w:space="0" w:color="auto"/>
              <w:left w:val="nil"/>
              <w:bottom w:val="single" w:sz="4" w:space="0" w:color="auto"/>
              <w:right w:val="single" w:sz="4" w:space="0" w:color="auto"/>
            </w:tcBorders>
            <w:shd w:val="clear" w:color="auto" w:fill="auto"/>
            <w:vAlign w:val="center"/>
          </w:tcPr>
          <w:p w14:paraId="59F3D65B" w14:textId="43ECB449"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354 (14.1%)</w:t>
            </w:r>
          </w:p>
        </w:tc>
      </w:tr>
      <w:tr w:rsidR="005B7A70" w:rsidRPr="0084495F" w14:paraId="2F40CC5C"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tcPr>
          <w:p w14:paraId="129CC12E" w14:textId="0D425272" w:rsidR="005B7A70" w:rsidRPr="0084495F" w:rsidRDefault="005B7A70" w:rsidP="00D561DA">
            <w:pPr>
              <w:pStyle w:val="Tabletext0"/>
              <w:spacing w:before="0" w:after="0"/>
              <w:ind w:right="-108"/>
              <w:rPr>
                <w:rFonts w:cstheme="minorHAnsi"/>
                <w:lang w:eastAsia="en-AU"/>
              </w:rPr>
            </w:pPr>
            <w:r w:rsidRPr="0084495F">
              <w:t>Symptomatic hypotension</w:t>
            </w:r>
          </w:p>
        </w:tc>
        <w:tc>
          <w:tcPr>
            <w:tcW w:w="1378" w:type="pct"/>
            <w:tcBorders>
              <w:top w:val="single" w:sz="4" w:space="0" w:color="auto"/>
              <w:left w:val="nil"/>
              <w:bottom w:val="single" w:sz="4" w:space="0" w:color="auto"/>
              <w:right w:val="single" w:sz="4" w:space="0" w:color="auto"/>
            </w:tcBorders>
            <w:shd w:val="clear" w:color="auto" w:fill="auto"/>
            <w:vAlign w:val="center"/>
          </w:tcPr>
          <w:p w14:paraId="22ABB603" w14:textId="78E960FD"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229 (9.1%)</w:t>
            </w:r>
          </w:p>
        </w:tc>
        <w:tc>
          <w:tcPr>
            <w:tcW w:w="1378" w:type="pct"/>
            <w:tcBorders>
              <w:top w:val="single" w:sz="4" w:space="0" w:color="auto"/>
              <w:left w:val="nil"/>
              <w:bottom w:val="single" w:sz="4" w:space="0" w:color="auto"/>
              <w:right w:val="single" w:sz="4" w:space="0" w:color="auto"/>
            </w:tcBorders>
            <w:shd w:val="clear" w:color="auto" w:fill="auto"/>
            <w:vAlign w:val="center"/>
          </w:tcPr>
          <w:p w14:paraId="307262B0" w14:textId="7972D102"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198 (7.9%)</w:t>
            </w:r>
          </w:p>
        </w:tc>
      </w:tr>
      <w:tr w:rsidR="005B7A70" w:rsidRPr="0084495F" w14:paraId="77EC37DE" w14:textId="77777777" w:rsidTr="00A11EF1">
        <w:tc>
          <w:tcPr>
            <w:tcW w:w="2244" w:type="pct"/>
            <w:tcBorders>
              <w:top w:val="single" w:sz="4" w:space="0" w:color="auto"/>
              <w:left w:val="single" w:sz="4" w:space="0" w:color="auto"/>
              <w:bottom w:val="single" w:sz="4" w:space="0" w:color="auto"/>
              <w:right w:val="single" w:sz="4" w:space="0" w:color="auto"/>
            </w:tcBorders>
            <w:shd w:val="clear" w:color="auto" w:fill="auto"/>
          </w:tcPr>
          <w:p w14:paraId="6432FB06" w14:textId="74C0883A" w:rsidR="005B7A70" w:rsidRPr="0084495F" w:rsidRDefault="005B7A70" w:rsidP="00D561DA">
            <w:pPr>
              <w:pStyle w:val="Tabletext0"/>
              <w:spacing w:before="0" w:after="0"/>
              <w:ind w:right="-108"/>
              <w:rPr>
                <w:rFonts w:cstheme="minorHAnsi"/>
                <w:lang w:eastAsia="en-AU"/>
              </w:rPr>
            </w:pPr>
            <w:r w:rsidRPr="0084495F">
              <w:t>Syncope</w:t>
            </w:r>
          </w:p>
        </w:tc>
        <w:tc>
          <w:tcPr>
            <w:tcW w:w="1378" w:type="pct"/>
            <w:tcBorders>
              <w:top w:val="single" w:sz="4" w:space="0" w:color="auto"/>
              <w:left w:val="nil"/>
              <w:bottom w:val="single" w:sz="4" w:space="0" w:color="auto"/>
              <w:right w:val="single" w:sz="4" w:space="0" w:color="auto"/>
            </w:tcBorders>
            <w:shd w:val="clear" w:color="auto" w:fill="auto"/>
            <w:vAlign w:val="center"/>
          </w:tcPr>
          <w:p w14:paraId="12D5001B" w14:textId="6DBDF30B"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101 (4.0%)</w:t>
            </w:r>
          </w:p>
        </w:tc>
        <w:tc>
          <w:tcPr>
            <w:tcW w:w="1378" w:type="pct"/>
            <w:tcBorders>
              <w:top w:val="single" w:sz="4" w:space="0" w:color="auto"/>
              <w:left w:val="nil"/>
              <w:bottom w:val="single" w:sz="4" w:space="0" w:color="auto"/>
              <w:right w:val="single" w:sz="4" w:space="0" w:color="auto"/>
            </w:tcBorders>
            <w:shd w:val="clear" w:color="auto" w:fill="auto"/>
            <w:vAlign w:val="center"/>
          </w:tcPr>
          <w:p w14:paraId="1071C701" w14:textId="4F7BB083" w:rsidR="005B7A70" w:rsidRPr="0084495F" w:rsidRDefault="005B7A70" w:rsidP="00D561DA">
            <w:pPr>
              <w:pStyle w:val="Tabletext0"/>
              <w:spacing w:before="0" w:after="0"/>
              <w:ind w:left="-70" w:right="-83"/>
              <w:jc w:val="center"/>
              <w:rPr>
                <w:rFonts w:cstheme="minorHAnsi"/>
                <w:lang w:eastAsia="en-AU"/>
              </w:rPr>
            </w:pPr>
            <w:r w:rsidRPr="0084495F">
              <w:rPr>
                <w:rFonts w:cstheme="minorHAnsi"/>
                <w:lang w:eastAsia="en-AU"/>
              </w:rPr>
              <w:t>87 (3.5%)</w:t>
            </w:r>
          </w:p>
        </w:tc>
      </w:tr>
    </w:tbl>
    <w:p w14:paraId="5BBD3B0B" w14:textId="7BF047CD" w:rsidR="00236434" w:rsidRPr="0084495F" w:rsidRDefault="00236434" w:rsidP="00D561DA">
      <w:pPr>
        <w:pStyle w:val="TableFigureFooter"/>
        <w:keepNext/>
        <w:keepLines/>
        <w:spacing w:after="240"/>
      </w:pPr>
      <w:r w:rsidRPr="0084495F">
        <w:t>Source: Table 2-32, pp116-117 of the submission</w:t>
      </w:r>
      <w:r w:rsidR="005B7A70" w:rsidRPr="0084495F">
        <w:t xml:space="preserve"> and Table 2-34, p120 of the submission</w:t>
      </w:r>
    </w:p>
    <w:p w14:paraId="4ACB29E4" w14:textId="71B260A8" w:rsidR="00A74288" w:rsidRPr="0084495F" w:rsidRDefault="00236434" w:rsidP="00D561DA">
      <w:pPr>
        <w:pStyle w:val="TableFigureFooter"/>
        <w:keepNext/>
        <w:keepLines/>
      </w:pPr>
      <w:r w:rsidRPr="0084495F">
        <w:t>Abbreviations: SoC, standard of care</w:t>
      </w:r>
    </w:p>
    <w:p w14:paraId="5E03CA1F" w14:textId="50EBE2A6" w:rsidR="005B7A70" w:rsidRPr="0084495F" w:rsidRDefault="005B7A70" w:rsidP="005B7A70">
      <w:pPr>
        <w:pStyle w:val="ExecSumBodyText"/>
      </w:pPr>
      <w:r w:rsidRPr="0084495F">
        <w:t xml:space="preserve">The ESC noted that more patients experienced a drug-related adverse event with vericiguat plus SoC versus placebo plus SoC (14.6% versus 11.7%, respectively), but fewer experienced a serious adverse event (32.8% versus 34.8%) </w:t>
      </w:r>
      <w:r w:rsidR="002611E8" w:rsidRPr="0084495F">
        <w:t xml:space="preserve">likely </w:t>
      </w:r>
      <w:r w:rsidRPr="0084495F">
        <w:t xml:space="preserve">due to the reduction in heart failure observed. </w:t>
      </w:r>
    </w:p>
    <w:p w14:paraId="58420FD8" w14:textId="76560B7E" w:rsidR="00236434" w:rsidRPr="0084495F" w:rsidRDefault="00236434" w:rsidP="00236434">
      <w:pPr>
        <w:pStyle w:val="ExecSumBodyText"/>
        <w:rPr>
          <w:color w:val="0066FF"/>
        </w:rPr>
      </w:pPr>
      <w:r w:rsidRPr="0084495F">
        <w:t>The most frequently reported serious adverse events by system organ class were infections and infestations (10.7% both arms), cardiac disorders including heart failure (vericiguat 8.1%; placebo 10.7%) and renal and urinary disorders (vericiguat 5.6%; placebo 5.3%) including acute kidney injury (vericiguat 2.5%; placebo 2.0%).</w:t>
      </w:r>
    </w:p>
    <w:p w14:paraId="7E43A741" w14:textId="38E476F9" w:rsidR="005D26B4" w:rsidRPr="0084495F" w:rsidRDefault="00236434" w:rsidP="002B0E29">
      <w:pPr>
        <w:pStyle w:val="ExecSumBodyText"/>
      </w:pPr>
      <w:r w:rsidRPr="0084495F">
        <w:t xml:space="preserve">The adverse events of clinical interest of symptomatic hypotension and syncope were more frequently reported in the vericiguat plus SoC treatment arm compared to placebo plus SoC (hypotension 15.4% vs </w:t>
      </w:r>
      <w:proofErr w:type="gramStart"/>
      <w:r w:rsidRPr="0084495F">
        <w:t>14.1%;</w:t>
      </w:r>
      <w:proofErr w:type="gramEnd"/>
      <w:r w:rsidRPr="0084495F">
        <w:t xml:space="preserve"> syncope 4.0% vs 3.5%). Similarly, larger proportions of patients treated with vericiguat plus SoC compared to placebo plus SoC reduced or interrupted treatment (23.2% vs 21.8%) or discontinued treatment due to hypotension (1.9% vs 1.3%).</w:t>
      </w:r>
    </w:p>
    <w:p w14:paraId="0BE66CEA" w14:textId="77777777" w:rsidR="00CC0EB2" w:rsidRPr="0084495F" w:rsidRDefault="00CC0EB2" w:rsidP="00CC0EB2">
      <w:pPr>
        <w:pStyle w:val="3-SubsectionHeading"/>
      </w:pPr>
      <w:bookmarkStart w:id="18" w:name="_Toc22897643"/>
      <w:bookmarkStart w:id="19" w:name="_Toc92732979"/>
      <w:bookmarkStart w:id="20" w:name="_Toc22897644"/>
      <w:bookmarkStart w:id="21" w:name="_Toc92732980"/>
      <w:r w:rsidRPr="0084495F">
        <w:lastRenderedPageBreak/>
        <w:t>Benefits/harms</w:t>
      </w:r>
      <w:bookmarkEnd w:id="18"/>
      <w:bookmarkEnd w:id="19"/>
    </w:p>
    <w:p w14:paraId="21ED04AF" w14:textId="77777777" w:rsidR="00CC0EB2" w:rsidRPr="0084495F" w:rsidRDefault="00CC0EB2" w:rsidP="00CC0EB2">
      <w:pPr>
        <w:pStyle w:val="ExecSumBodyText"/>
        <w:contextualSpacing/>
      </w:pPr>
      <w:r w:rsidRPr="0084495F">
        <w:t>Based on the VICTORIA trial (ITT population), for every 100 patients treated with vericiguat plus SoC in comparison with placebo plus SoC over a median follow-up of 10.8 months:</w:t>
      </w:r>
    </w:p>
    <w:p w14:paraId="1CD95F7B" w14:textId="77777777" w:rsidR="00CC0EB2" w:rsidRPr="0084495F" w:rsidRDefault="00CC0EB2" w:rsidP="00CC0EB2">
      <w:pPr>
        <w:pStyle w:val="ExecSumBodyText"/>
        <w:numPr>
          <w:ilvl w:val="1"/>
          <w:numId w:val="9"/>
        </w:numPr>
        <w:ind w:left="1077" w:hanging="357"/>
        <w:contextualSpacing/>
      </w:pPr>
      <w:r w:rsidRPr="0084495F">
        <w:t>Approximately 3 fewer patients would experience a first event of hospitalisation for heart failure or death due to cardiovascular causes.</w:t>
      </w:r>
    </w:p>
    <w:p w14:paraId="5A30A41C" w14:textId="77777777" w:rsidR="00CC0EB2" w:rsidRPr="0084495F" w:rsidRDefault="00CC0EB2" w:rsidP="00CC0EB2">
      <w:pPr>
        <w:pStyle w:val="ExecSumBodyText"/>
        <w:numPr>
          <w:ilvl w:val="1"/>
          <w:numId w:val="9"/>
        </w:numPr>
        <w:ind w:left="1077" w:hanging="357"/>
        <w:contextualSpacing/>
      </w:pPr>
      <w:r w:rsidRPr="0084495F">
        <w:t>There would be no difference in cardiovascular death.</w:t>
      </w:r>
    </w:p>
    <w:p w14:paraId="1714A961" w14:textId="77777777" w:rsidR="00CC0EB2" w:rsidRPr="0084495F" w:rsidRDefault="00CC0EB2" w:rsidP="00CC0EB2">
      <w:pPr>
        <w:pStyle w:val="ExecSumBodyText"/>
        <w:numPr>
          <w:ilvl w:val="1"/>
          <w:numId w:val="9"/>
        </w:numPr>
        <w:ind w:left="1077" w:hanging="357"/>
        <w:contextualSpacing/>
      </w:pPr>
      <w:r w:rsidRPr="0084495F">
        <w:t>Approximately 2 fewer patients would experience hospitalisation due to heart failure.</w:t>
      </w:r>
    </w:p>
    <w:p w14:paraId="0EB2B499" w14:textId="450602BF" w:rsidR="00CC0EB2" w:rsidRPr="0084495F" w:rsidRDefault="00CC0EB2" w:rsidP="00CC0EB2">
      <w:pPr>
        <w:pStyle w:val="ExecSumBodyText"/>
        <w:numPr>
          <w:ilvl w:val="1"/>
          <w:numId w:val="9"/>
        </w:numPr>
        <w:ind w:left="1077" w:hanging="357"/>
      </w:pPr>
      <w:r w:rsidRPr="0084495F">
        <w:t>Approximately 1 additional patient would experience symptomatic hypotension.</w:t>
      </w:r>
    </w:p>
    <w:p w14:paraId="7A1772B6" w14:textId="23BB3145" w:rsidR="00B60939" w:rsidRPr="0084495F" w:rsidRDefault="00B60939" w:rsidP="00E9094A">
      <w:pPr>
        <w:pStyle w:val="3-SubsectionHeading"/>
      </w:pPr>
      <w:r w:rsidRPr="0084495F">
        <w:t>Clinical claim</w:t>
      </w:r>
      <w:bookmarkEnd w:id="20"/>
      <w:bookmarkEnd w:id="21"/>
    </w:p>
    <w:p w14:paraId="28BB6B89" w14:textId="76FBF922" w:rsidR="000C4FEB" w:rsidRPr="0084495F" w:rsidRDefault="000C4FEB" w:rsidP="001969C3">
      <w:pPr>
        <w:pStyle w:val="ExecSumBodyText"/>
        <w:rPr>
          <w:iCs/>
        </w:rPr>
      </w:pPr>
      <w:r w:rsidRPr="0084495F">
        <w:t xml:space="preserve">The submission described vericiguat plus SoC as superior in terms of effectiveness compared with placebo plus SoC and comparable in terms of safety. </w:t>
      </w:r>
      <w:r w:rsidRPr="0084495F">
        <w:rPr>
          <w:iCs/>
        </w:rPr>
        <w:t>This claim was reasonable.</w:t>
      </w:r>
    </w:p>
    <w:p w14:paraId="39193DC3" w14:textId="7EF78679" w:rsidR="000C4FEB" w:rsidRPr="0084495F" w:rsidRDefault="000C4FEB" w:rsidP="00E34446">
      <w:pPr>
        <w:pStyle w:val="ExecSumBodyText"/>
        <w:contextualSpacing/>
        <w:rPr>
          <w:iCs/>
        </w:rPr>
      </w:pPr>
      <w:r w:rsidRPr="0084495F">
        <w:rPr>
          <w:iCs/>
        </w:rPr>
        <w:t xml:space="preserve">The </w:t>
      </w:r>
      <w:r w:rsidR="00A11EF1" w:rsidRPr="0084495F">
        <w:rPr>
          <w:iCs/>
        </w:rPr>
        <w:t>evaluation</w:t>
      </w:r>
      <w:r w:rsidR="00A74288" w:rsidRPr="0084495F">
        <w:rPr>
          <w:iCs/>
        </w:rPr>
        <w:t xml:space="preserve"> and the ESC considered that the magnitude of the treatment effect may be overestimated given</w:t>
      </w:r>
      <w:r w:rsidRPr="0084495F">
        <w:rPr>
          <w:iCs/>
        </w:rPr>
        <w:t>:</w:t>
      </w:r>
    </w:p>
    <w:p w14:paraId="18633743" w14:textId="5CD1775F" w:rsidR="000C4FEB" w:rsidRPr="0084495F" w:rsidRDefault="000C4FEB" w:rsidP="00624423">
      <w:pPr>
        <w:pStyle w:val="ExecSumBodyText"/>
        <w:numPr>
          <w:ilvl w:val="1"/>
          <w:numId w:val="9"/>
        </w:numPr>
        <w:ind w:left="1077" w:hanging="357"/>
        <w:contextualSpacing/>
        <w:rPr>
          <w:iCs/>
        </w:rPr>
      </w:pPr>
      <w:r w:rsidRPr="0084495F">
        <w:rPr>
          <w:iCs/>
        </w:rPr>
        <w:t xml:space="preserve">The magnitude of benefit associated with vericiguat plus SoC in the VICTORIA ITT population was small and primarily driven by differences in the rate of hospitalisation for heart failure. </w:t>
      </w:r>
      <w:r w:rsidR="00A821A1" w:rsidRPr="0084495F">
        <w:t>The minimal duration of follow-up, at 10.8 months, was short for a therapy intended for chronic usage.</w:t>
      </w:r>
      <w:r w:rsidR="00A821A1" w:rsidRPr="0084495F">
        <w:rPr>
          <w:iCs/>
        </w:rPr>
        <w:t xml:space="preserve"> </w:t>
      </w:r>
      <w:r w:rsidRPr="0084495F">
        <w:rPr>
          <w:iCs/>
        </w:rPr>
        <w:t xml:space="preserve">While the magnitude of the vericiguat treatment effect was larger in the </w:t>
      </w:r>
      <w:r w:rsidR="00B93E29" w:rsidRPr="0084495F">
        <w:rPr>
          <w:iCs/>
        </w:rPr>
        <w:t>post-hoc</w:t>
      </w:r>
      <w:r w:rsidRPr="0084495F">
        <w:rPr>
          <w:iCs/>
        </w:rPr>
        <w:t xml:space="preserve"> </w:t>
      </w:r>
      <w:r w:rsidR="00A821A1" w:rsidRPr="0084495F">
        <w:t xml:space="preserve">Q1-3 quartile </w:t>
      </w:r>
      <w:r w:rsidRPr="0084495F">
        <w:rPr>
          <w:iCs/>
        </w:rPr>
        <w:t>NT-</w:t>
      </w:r>
      <w:proofErr w:type="spellStart"/>
      <w:r w:rsidRPr="0084495F">
        <w:rPr>
          <w:iCs/>
        </w:rPr>
        <w:t>proBNP</w:t>
      </w:r>
      <w:proofErr w:type="spellEnd"/>
      <w:r w:rsidRPr="0084495F">
        <w:rPr>
          <w:iCs/>
        </w:rPr>
        <w:t xml:space="preserve"> subgroup</w:t>
      </w:r>
      <w:r w:rsidR="00A821A1" w:rsidRPr="0084495F">
        <w:rPr>
          <w:iCs/>
        </w:rPr>
        <w:t>s</w:t>
      </w:r>
      <w:r w:rsidRPr="0084495F">
        <w:rPr>
          <w:iCs/>
        </w:rPr>
        <w:t xml:space="preserve">, </w:t>
      </w:r>
      <w:r w:rsidR="00914588" w:rsidRPr="0084495F">
        <w:rPr>
          <w:iCs/>
        </w:rPr>
        <w:t>it would be difficult to adequately identify this</w:t>
      </w:r>
      <w:r w:rsidRPr="0084495F">
        <w:rPr>
          <w:iCs/>
        </w:rPr>
        <w:t xml:space="preserve"> </w:t>
      </w:r>
      <w:r w:rsidR="00A821A1" w:rsidRPr="0084495F">
        <w:rPr>
          <w:iCs/>
        </w:rPr>
        <w:t xml:space="preserve">population </w:t>
      </w:r>
      <w:r w:rsidRPr="0084495F">
        <w:rPr>
          <w:iCs/>
        </w:rPr>
        <w:t>in clinical practice, given NT-</w:t>
      </w:r>
      <w:proofErr w:type="spellStart"/>
      <w:r w:rsidRPr="0084495F">
        <w:rPr>
          <w:iCs/>
        </w:rPr>
        <w:t>proBNP</w:t>
      </w:r>
      <w:proofErr w:type="spellEnd"/>
      <w:r w:rsidRPr="0084495F">
        <w:rPr>
          <w:iCs/>
        </w:rPr>
        <w:t xml:space="preserve"> is not routinely </w:t>
      </w:r>
      <w:r w:rsidR="00A821A1" w:rsidRPr="0084495F">
        <w:rPr>
          <w:iCs/>
        </w:rPr>
        <w:t xml:space="preserve">measured </w:t>
      </w:r>
      <w:r w:rsidRPr="0084495F">
        <w:rPr>
          <w:iCs/>
        </w:rPr>
        <w:t>in Australian clinical practice</w:t>
      </w:r>
      <w:r w:rsidR="00A821A1" w:rsidRPr="0084495F">
        <w:rPr>
          <w:iCs/>
        </w:rPr>
        <w:t xml:space="preserve"> </w:t>
      </w:r>
      <w:r w:rsidR="00914588" w:rsidRPr="0084495F">
        <w:rPr>
          <w:iCs/>
        </w:rPr>
        <w:t>(</w:t>
      </w:r>
      <w:r w:rsidR="00A821A1" w:rsidRPr="0084495F">
        <w:t xml:space="preserve">and </w:t>
      </w:r>
      <w:r w:rsidR="00914588" w:rsidRPr="0084495F">
        <w:t>NT-</w:t>
      </w:r>
      <w:proofErr w:type="spellStart"/>
      <w:r w:rsidR="00914588" w:rsidRPr="0084495F">
        <w:t>proBNP</w:t>
      </w:r>
      <w:proofErr w:type="spellEnd"/>
      <w:r w:rsidR="00914588" w:rsidRPr="0084495F">
        <w:t xml:space="preserve"> is </w:t>
      </w:r>
      <w:r w:rsidR="00A821A1" w:rsidRPr="0084495F">
        <w:t>not reimbursed by the MBS for this indication</w:t>
      </w:r>
      <w:r w:rsidR="00914588" w:rsidRPr="0084495F">
        <w:t>)</w:t>
      </w:r>
      <w:r w:rsidRPr="0084495F">
        <w:rPr>
          <w:iCs/>
        </w:rPr>
        <w:t>.</w:t>
      </w:r>
    </w:p>
    <w:p w14:paraId="314BBB84" w14:textId="0CB39ED7" w:rsidR="000C4FEB" w:rsidRPr="0084495F" w:rsidRDefault="000C4FEB" w:rsidP="00624423">
      <w:pPr>
        <w:pStyle w:val="ExecSumBodyText"/>
        <w:numPr>
          <w:ilvl w:val="1"/>
          <w:numId w:val="9"/>
        </w:numPr>
        <w:ind w:left="1077" w:hanging="357"/>
        <w:contextualSpacing/>
        <w:rPr>
          <w:iCs/>
        </w:rPr>
      </w:pPr>
      <w:r w:rsidRPr="0084495F">
        <w:rPr>
          <w:color w:val="000000" w:themeColor="text1"/>
        </w:rPr>
        <w:t>Subgroup analyses</w:t>
      </w:r>
      <w:r w:rsidRPr="0084495F">
        <w:rPr>
          <w:iCs/>
        </w:rPr>
        <w:t xml:space="preserve"> demonstrated that NT-</w:t>
      </w:r>
      <w:proofErr w:type="spellStart"/>
      <w:r w:rsidRPr="0084495F">
        <w:rPr>
          <w:iCs/>
        </w:rPr>
        <w:t>proBNP</w:t>
      </w:r>
      <w:proofErr w:type="spellEnd"/>
      <w:r w:rsidRPr="0084495F">
        <w:rPr>
          <w:iCs/>
        </w:rPr>
        <w:t xml:space="preserve"> and age were treatment effect modifiers, with worse outcomes experienced in patients with higher </w:t>
      </w:r>
      <w:r w:rsidR="003C2F89" w:rsidRPr="0084495F">
        <w:rPr>
          <w:iCs/>
        </w:rPr>
        <w:t>N</w:t>
      </w:r>
      <w:r w:rsidRPr="0084495F">
        <w:rPr>
          <w:iCs/>
        </w:rPr>
        <w:t>T-</w:t>
      </w:r>
      <w:proofErr w:type="spellStart"/>
      <w:r w:rsidRPr="0084495F">
        <w:rPr>
          <w:iCs/>
        </w:rPr>
        <w:t>proBNP</w:t>
      </w:r>
      <w:proofErr w:type="spellEnd"/>
      <w:r w:rsidRPr="0084495F">
        <w:rPr>
          <w:iCs/>
        </w:rPr>
        <w:t xml:space="preserve"> and older age. Given the differences between the Australian eligible population and the VICTORIA ITT and NT-</w:t>
      </w:r>
      <w:proofErr w:type="spellStart"/>
      <w:r w:rsidRPr="0084495F">
        <w:rPr>
          <w:iCs/>
        </w:rPr>
        <w:t>proBNP</w:t>
      </w:r>
      <w:proofErr w:type="spellEnd"/>
      <w:r w:rsidRPr="0084495F">
        <w:rPr>
          <w:iCs/>
        </w:rPr>
        <w:t xml:space="preserve"> subgroup populations in terms of NT-</w:t>
      </w:r>
      <w:proofErr w:type="spellStart"/>
      <w:r w:rsidRPr="0084495F">
        <w:rPr>
          <w:iCs/>
        </w:rPr>
        <w:t>proBNP</w:t>
      </w:r>
      <w:proofErr w:type="spellEnd"/>
      <w:r w:rsidRPr="0084495F">
        <w:rPr>
          <w:iCs/>
        </w:rPr>
        <w:t xml:space="preserve">, age, </w:t>
      </w:r>
      <w:r w:rsidR="00530BF9" w:rsidRPr="0084495F">
        <w:rPr>
          <w:iCs/>
        </w:rPr>
        <w:t xml:space="preserve">gender, </w:t>
      </w:r>
      <w:r w:rsidRPr="0084495F">
        <w:rPr>
          <w:iCs/>
        </w:rPr>
        <w:t>LVEF</w:t>
      </w:r>
      <w:r w:rsidR="00530BF9" w:rsidRPr="0084495F">
        <w:rPr>
          <w:iCs/>
        </w:rPr>
        <w:t xml:space="preserve"> and </w:t>
      </w:r>
      <w:r w:rsidRPr="0084495F">
        <w:rPr>
          <w:iCs/>
        </w:rPr>
        <w:t>eGFR,</w:t>
      </w:r>
      <w:r w:rsidR="00A821A1" w:rsidRPr="0084495F">
        <w:rPr>
          <w:iCs/>
        </w:rPr>
        <w:t xml:space="preserve"> </w:t>
      </w:r>
      <w:r w:rsidR="00A821A1" w:rsidRPr="0084495F">
        <w:rPr>
          <w:rFonts w:ascii="Calibri" w:hAnsi="Calibri"/>
        </w:rPr>
        <w:t>which suggest that the PBS population may include patients with more severe disease</w:t>
      </w:r>
      <w:r w:rsidRPr="0084495F">
        <w:rPr>
          <w:iCs/>
        </w:rPr>
        <w:t xml:space="preserve"> </w:t>
      </w:r>
      <w:r w:rsidR="00A821A1" w:rsidRPr="0084495F">
        <w:rPr>
          <w:rFonts w:ascii="Calibri" w:hAnsi="Calibri"/>
        </w:rPr>
        <w:t>who may not achieve the same (small) benefits associated with vericiguat observed in the VICTORIA trial</w:t>
      </w:r>
      <w:r w:rsidRPr="0084495F">
        <w:rPr>
          <w:iCs/>
        </w:rPr>
        <w:t>.</w:t>
      </w:r>
    </w:p>
    <w:p w14:paraId="416576F1" w14:textId="14D32701" w:rsidR="000C4FEB" w:rsidRPr="0084495F" w:rsidRDefault="000C4FEB" w:rsidP="00624423">
      <w:pPr>
        <w:pStyle w:val="ExecSumBodyText"/>
        <w:numPr>
          <w:ilvl w:val="1"/>
          <w:numId w:val="9"/>
        </w:numPr>
        <w:ind w:left="1077" w:hanging="357"/>
        <w:rPr>
          <w:iCs/>
        </w:rPr>
      </w:pPr>
      <w:r w:rsidRPr="0084495F">
        <w:rPr>
          <w:iCs/>
        </w:rPr>
        <w:t xml:space="preserve">The estimated treatment effects were based on a population with less use of </w:t>
      </w:r>
      <w:proofErr w:type="spellStart"/>
      <w:r w:rsidRPr="0084495F">
        <w:rPr>
          <w:iCs/>
        </w:rPr>
        <w:t>ARNi</w:t>
      </w:r>
      <w:proofErr w:type="spellEnd"/>
      <w:r w:rsidRPr="0084495F">
        <w:rPr>
          <w:iCs/>
        </w:rPr>
        <w:t xml:space="preserve"> therapies (sacubitril/valsartan) and limited exposure to SGLT2i heart failure </w:t>
      </w:r>
      <w:proofErr w:type="gramStart"/>
      <w:r w:rsidRPr="0084495F">
        <w:rPr>
          <w:iCs/>
        </w:rPr>
        <w:t>medicines;</w:t>
      </w:r>
      <w:proofErr w:type="gramEnd"/>
      <w:r w:rsidRPr="0084495F">
        <w:rPr>
          <w:iCs/>
        </w:rPr>
        <w:t xml:space="preserve"> which is no longer reflective of clinical guidelines. The magnitude of benefit associated with the addition of vericiguat to standard therapy including SGLT2 inhibitors is unknown.</w:t>
      </w:r>
    </w:p>
    <w:p w14:paraId="48F55E8A" w14:textId="300B7EEA" w:rsidR="00624423" w:rsidRPr="0084495F" w:rsidRDefault="00624423" w:rsidP="00624423">
      <w:pPr>
        <w:pStyle w:val="ExecSumBodyText"/>
        <w:rPr>
          <w:iCs/>
        </w:rPr>
      </w:pPr>
      <w:r w:rsidRPr="0084495F">
        <w:rPr>
          <w:iCs/>
        </w:rPr>
        <w:t>The PBAC considered that the claim of superior comparative effectiveness was reasonable</w:t>
      </w:r>
      <w:r w:rsidR="00824556" w:rsidRPr="0084495F">
        <w:rPr>
          <w:iCs/>
        </w:rPr>
        <w:t xml:space="preserve"> although the magnitude of the treatment effect was modest and may have been overestimated in the trial</w:t>
      </w:r>
      <w:r w:rsidRPr="0084495F">
        <w:rPr>
          <w:iCs/>
        </w:rPr>
        <w:t>.</w:t>
      </w:r>
    </w:p>
    <w:p w14:paraId="0838A00A" w14:textId="31FAB598" w:rsidR="00624423" w:rsidRPr="0084495F" w:rsidRDefault="00624423" w:rsidP="00624423">
      <w:pPr>
        <w:pStyle w:val="ExecSumBodyText"/>
        <w:rPr>
          <w:iCs/>
        </w:rPr>
      </w:pPr>
      <w:r w:rsidRPr="0084495F">
        <w:rPr>
          <w:iCs/>
        </w:rPr>
        <w:lastRenderedPageBreak/>
        <w:t xml:space="preserve">The PBAC considered that the claim of </w:t>
      </w:r>
      <w:r w:rsidR="000E4CAA" w:rsidRPr="0084495F">
        <w:rPr>
          <w:iCs/>
        </w:rPr>
        <w:t>comparable</w:t>
      </w:r>
      <w:r w:rsidRPr="0084495F">
        <w:rPr>
          <w:iCs/>
        </w:rPr>
        <w:t xml:space="preserve"> safety </w:t>
      </w:r>
      <w:r w:rsidR="002F1A04" w:rsidRPr="0084495F">
        <w:rPr>
          <w:iCs/>
        </w:rPr>
        <w:t>was likely reasonable but noted that</w:t>
      </w:r>
      <w:r w:rsidR="000E4CAA" w:rsidRPr="0084495F">
        <w:rPr>
          <w:iCs/>
        </w:rPr>
        <w:t xml:space="preserve"> vericiguat was associated with a slight increase in </w:t>
      </w:r>
      <w:r w:rsidR="000E4CAA" w:rsidRPr="0084495F">
        <w:t>drug-related adverse events compared with placebo (14.6% versus 11.7%, respectively)</w:t>
      </w:r>
      <w:r w:rsidR="006E34A9" w:rsidRPr="0084495F">
        <w:t>. O</w:t>
      </w:r>
      <w:r w:rsidR="0001271C" w:rsidRPr="0084495F">
        <w:t>verall</w:t>
      </w:r>
      <w:r w:rsidR="006E34A9" w:rsidRPr="0084495F">
        <w:t>, the PBAC considered that</w:t>
      </w:r>
      <w:r w:rsidR="0001271C" w:rsidRPr="0084495F">
        <w:t xml:space="preserve"> vericiguat </w:t>
      </w:r>
      <w:r w:rsidR="002F1A04" w:rsidRPr="0084495F">
        <w:t xml:space="preserve">appeared </w:t>
      </w:r>
      <w:r w:rsidR="006E34A9" w:rsidRPr="0084495F">
        <w:t xml:space="preserve">to be </w:t>
      </w:r>
      <w:r w:rsidR="0001271C" w:rsidRPr="0084495F">
        <w:t>reasonably well tolerated</w:t>
      </w:r>
      <w:r w:rsidRPr="0084495F">
        <w:rPr>
          <w:iCs/>
        </w:rPr>
        <w:t>.</w:t>
      </w:r>
    </w:p>
    <w:p w14:paraId="74A1172E" w14:textId="128C170E" w:rsidR="00B60939" w:rsidRPr="0084495F" w:rsidRDefault="00B60939" w:rsidP="00E9094A">
      <w:pPr>
        <w:pStyle w:val="3-SubsectionHeading"/>
      </w:pPr>
      <w:bookmarkStart w:id="22" w:name="_Toc22897645"/>
      <w:bookmarkStart w:id="23" w:name="_Toc92732981"/>
      <w:r w:rsidRPr="0084495F">
        <w:t>Economic analysis</w:t>
      </w:r>
      <w:bookmarkEnd w:id="22"/>
      <w:r w:rsidR="00491B3A" w:rsidRPr="0084495F">
        <w:t xml:space="preserve"> </w:t>
      </w:r>
      <w:bookmarkEnd w:id="23"/>
    </w:p>
    <w:p w14:paraId="60937067" w14:textId="10291DF2" w:rsidR="008D0493" w:rsidRPr="0084495F" w:rsidRDefault="008D0493" w:rsidP="00641FB3">
      <w:pPr>
        <w:pStyle w:val="ExecSumBodyText"/>
        <w:rPr>
          <w:b/>
          <w:bCs/>
        </w:rPr>
      </w:pPr>
      <w:r w:rsidRPr="0084495F">
        <w:t xml:space="preserve">The submission presented a stepped economic evaluation of vericiguat plus SoC versus </w:t>
      </w:r>
      <w:proofErr w:type="spellStart"/>
      <w:r w:rsidRPr="0084495F">
        <w:t>SoC.</w:t>
      </w:r>
      <w:proofErr w:type="spellEnd"/>
      <w:r w:rsidRPr="0084495F">
        <w:t xml:space="preserve"> </w:t>
      </w:r>
      <w:r w:rsidR="009F191B" w:rsidRPr="0084495F">
        <w:t xml:space="preserve">The base case of the economic model </w:t>
      </w:r>
      <w:r w:rsidR="006C1265" w:rsidRPr="0084495F">
        <w:t xml:space="preserve">relied </w:t>
      </w:r>
      <w:r w:rsidR="009F191B" w:rsidRPr="0084495F">
        <w:t>on the NT-</w:t>
      </w:r>
      <w:proofErr w:type="spellStart"/>
      <w:r w:rsidR="009F191B" w:rsidRPr="0084495F">
        <w:t>proBNP</w:t>
      </w:r>
      <w:proofErr w:type="spellEnd"/>
      <w:r w:rsidR="009F191B" w:rsidRPr="0084495F">
        <w:t xml:space="preserve"> Q1-Q3 subgroup of the VICTORIA trial (patients with NT-</w:t>
      </w:r>
      <w:proofErr w:type="spellStart"/>
      <w:r w:rsidR="009F191B" w:rsidRPr="0084495F">
        <w:t>proBNP</w:t>
      </w:r>
      <w:proofErr w:type="spellEnd"/>
      <w:r w:rsidR="009F191B" w:rsidRPr="0084495F">
        <w:t xml:space="preserve"> </w:t>
      </w:r>
      <w:r w:rsidR="009F191B" w:rsidRPr="0084495F">
        <w:rPr>
          <w:rFonts w:cs="Calibri"/>
        </w:rPr>
        <w:t>≤</w:t>
      </w:r>
      <w:r w:rsidR="009F191B" w:rsidRPr="0084495F">
        <w:t xml:space="preserve">5314 </w:t>
      </w:r>
      <w:proofErr w:type="spellStart"/>
      <w:r w:rsidR="009F191B" w:rsidRPr="0084495F">
        <w:t>pg</w:t>
      </w:r>
      <w:proofErr w:type="spellEnd"/>
      <w:r w:rsidR="009F191B" w:rsidRPr="0084495F">
        <w:t xml:space="preserve">/mL), which the submission </w:t>
      </w:r>
      <w:r w:rsidR="006C1265" w:rsidRPr="0084495F">
        <w:t xml:space="preserve">suggested </w:t>
      </w:r>
      <w:r w:rsidR="009F191B" w:rsidRPr="0084495F">
        <w:t>was a proxy for patients who have stabilised after a worsening event.</w:t>
      </w:r>
      <w:r w:rsidR="0055087F" w:rsidRPr="0084495F">
        <w:t xml:space="preserve"> As noted earlier, </w:t>
      </w:r>
      <w:r w:rsidR="005E2C68" w:rsidRPr="0084495F">
        <w:t>the ESC considered that the proposed subgroup population can only reliably be identified by measurement of NT-</w:t>
      </w:r>
      <w:proofErr w:type="spellStart"/>
      <w:r w:rsidR="005E2C68" w:rsidRPr="0084495F">
        <w:t>proBNP</w:t>
      </w:r>
      <w:proofErr w:type="spellEnd"/>
      <w:r w:rsidR="005E2C68" w:rsidRPr="0084495F">
        <w:t xml:space="preserve">, which is not currently </w:t>
      </w:r>
      <w:r w:rsidR="00A74288" w:rsidRPr="0084495F">
        <w:t>MBS-f</w:t>
      </w:r>
      <w:r w:rsidR="005E2C68" w:rsidRPr="0084495F">
        <w:t xml:space="preserve">unded for the required purpose. </w:t>
      </w:r>
      <w:r w:rsidRPr="0084495F">
        <w:t>The economic evaluation was presented as a cost utility analysis.</w:t>
      </w:r>
    </w:p>
    <w:p w14:paraId="09F660CB" w14:textId="3335E458" w:rsidR="00924C13" w:rsidRPr="0084495F" w:rsidRDefault="00924C13" w:rsidP="00FA6724">
      <w:pPr>
        <w:pStyle w:val="Caption"/>
      </w:pPr>
      <w:r w:rsidRPr="0084495F">
        <w:lastRenderedPageBreak/>
        <w:t>Table</w:t>
      </w:r>
      <w:r w:rsidR="00B61F97" w:rsidRPr="0084495F">
        <w:t xml:space="preserve"> </w:t>
      </w:r>
      <w:r w:rsidR="00C16DA1">
        <w:fldChar w:fldCharType="begin"/>
      </w:r>
      <w:r w:rsidR="00C16DA1">
        <w:instrText xml:space="preserve"> SEQ Table \* ARABIC </w:instrText>
      </w:r>
      <w:r w:rsidR="00C16DA1">
        <w:fldChar w:fldCharType="separate"/>
      </w:r>
      <w:r w:rsidR="0084495F" w:rsidRPr="0084495F">
        <w:t>9</w:t>
      </w:r>
      <w:r w:rsidR="00C16DA1">
        <w:fldChar w:fldCharType="end"/>
      </w:r>
      <w:r w:rsidRPr="0084495F">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9: Key components of the economic evaluation"/>
      </w:tblPr>
      <w:tblGrid>
        <w:gridCol w:w="1555"/>
        <w:gridCol w:w="7462"/>
      </w:tblGrid>
      <w:tr w:rsidR="00924C13" w:rsidRPr="0084495F" w14:paraId="2C3439FD" w14:textId="77777777" w:rsidTr="00D71F47">
        <w:tc>
          <w:tcPr>
            <w:tcW w:w="862" w:type="pct"/>
            <w:vAlign w:val="center"/>
          </w:tcPr>
          <w:p w14:paraId="4BEC0058" w14:textId="77777777" w:rsidR="00924C13" w:rsidRPr="0084495F" w:rsidRDefault="00924C13" w:rsidP="002B0E29">
            <w:pPr>
              <w:pStyle w:val="Tableheadingrow"/>
              <w:jc w:val="center"/>
              <w:rPr>
                <w:lang w:val="en-AU"/>
              </w:rPr>
            </w:pPr>
            <w:r w:rsidRPr="0084495F">
              <w:rPr>
                <w:lang w:val="en-AU"/>
              </w:rPr>
              <w:t>Component</w:t>
            </w:r>
          </w:p>
        </w:tc>
        <w:tc>
          <w:tcPr>
            <w:tcW w:w="4138" w:type="pct"/>
          </w:tcPr>
          <w:p w14:paraId="37D61D71" w14:textId="77777777" w:rsidR="00924C13" w:rsidRPr="0084495F" w:rsidRDefault="00924C13" w:rsidP="002B0E29">
            <w:pPr>
              <w:pStyle w:val="Tableheadingrow"/>
              <w:jc w:val="center"/>
              <w:rPr>
                <w:lang w:val="en-AU"/>
              </w:rPr>
            </w:pPr>
            <w:r w:rsidRPr="0084495F">
              <w:rPr>
                <w:lang w:val="en-AU"/>
              </w:rPr>
              <w:t>Description</w:t>
            </w:r>
          </w:p>
        </w:tc>
      </w:tr>
      <w:tr w:rsidR="00924C13" w:rsidRPr="0084495F" w14:paraId="2601045F" w14:textId="77777777" w:rsidTr="00D71F47">
        <w:tc>
          <w:tcPr>
            <w:tcW w:w="862" w:type="pct"/>
            <w:vAlign w:val="center"/>
          </w:tcPr>
          <w:p w14:paraId="6AA172C1" w14:textId="6A6803B7" w:rsidR="00924C13" w:rsidRPr="0084495F" w:rsidRDefault="008638DD" w:rsidP="002B0E29">
            <w:pPr>
              <w:pStyle w:val="TableText"/>
            </w:pPr>
            <w:r w:rsidRPr="0084495F">
              <w:t>Treatments</w:t>
            </w:r>
          </w:p>
        </w:tc>
        <w:tc>
          <w:tcPr>
            <w:tcW w:w="4138" w:type="pct"/>
          </w:tcPr>
          <w:p w14:paraId="4EBC39C4" w14:textId="55B6C79D" w:rsidR="00924C13" w:rsidRPr="0084495F" w:rsidRDefault="006E6F93" w:rsidP="002B0E29">
            <w:pPr>
              <w:pStyle w:val="TableText"/>
            </w:pPr>
            <w:r w:rsidRPr="0084495F">
              <w:t xml:space="preserve">Vericiguat plus standard of care versus standard of care </w:t>
            </w:r>
            <w:r w:rsidR="002A347B" w:rsidRPr="0084495F">
              <w:t xml:space="preserve">alone </w:t>
            </w:r>
            <w:r w:rsidRPr="0084495F">
              <w:t>(including ACE inhibitors</w:t>
            </w:r>
            <w:r w:rsidR="00C6728C" w:rsidRPr="0084495F">
              <w:t>/</w:t>
            </w:r>
            <w:r w:rsidR="007D025F" w:rsidRPr="0084495F">
              <w:rPr>
                <w:szCs w:val="20"/>
              </w:rPr>
              <w:t>ARBs</w:t>
            </w:r>
            <w:r w:rsidR="00C6728C" w:rsidRPr="0084495F">
              <w:rPr>
                <w:szCs w:val="20"/>
              </w:rPr>
              <w:t xml:space="preserve"> or ARN</w:t>
            </w:r>
            <w:r w:rsidR="002A347B" w:rsidRPr="0084495F">
              <w:rPr>
                <w:szCs w:val="20"/>
              </w:rPr>
              <w:t>Is</w:t>
            </w:r>
            <w:r w:rsidR="007D025F" w:rsidRPr="0084495F">
              <w:rPr>
                <w:szCs w:val="20"/>
              </w:rPr>
              <w:t xml:space="preserve">, beta blockers, mineralocorticoid receptor antagonists, and </w:t>
            </w:r>
            <w:r w:rsidR="002A347B" w:rsidRPr="0084495F">
              <w:rPr>
                <w:szCs w:val="20"/>
              </w:rPr>
              <w:t>diuretics</w:t>
            </w:r>
            <w:r w:rsidR="007D025F" w:rsidRPr="0084495F">
              <w:rPr>
                <w:szCs w:val="20"/>
              </w:rPr>
              <w:t>).</w:t>
            </w:r>
          </w:p>
        </w:tc>
      </w:tr>
      <w:tr w:rsidR="008638DD" w:rsidRPr="0084495F" w14:paraId="463BBF6E" w14:textId="77777777" w:rsidTr="00D71F47">
        <w:tc>
          <w:tcPr>
            <w:tcW w:w="862" w:type="pct"/>
            <w:vAlign w:val="center"/>
          </w:tcPr>
          <w:p w14:paraId="793F52D5" w14:textId="760D96A2" w:rsidR="008638DD" w:rsidRPr="0084495F" w:rsidRDefault="008638DD" w:rsidP="008638DD">
            <w:pPr>
              <w:pStyle w:val="TableText"/>
            </w:pPr>
            <w:r w:rsidRPr="0084495F">
              <w:t>Time horizon</w:t>
            </w:r>
          </w:p>
        </w:tc>
        <w:tc>
          <w:tcPr>
            <w:tcW w:w="4138" w:type="pct"/>
          </w:tcPr>
          <w:p w14:paraId="0D59B9DB" w14:textId="74CE4EA9" w:rsidR="008638DD" w:rsidRPr="0084495F" w:rsidRDefault="008638DD" w:rsidP="008638DD">
            <w:pPr>
              <w:pStyle w:val="TableText"/>
            </w:pPr>
            <w:r w:rsidRPr="0084495F">
              <w:t xml:space="preserve">10 years in the model base case, versus 10.8 months median follow-up </w:t>
            </w:r>
            <w:r w:rsidR="00A029DA" w:rsidRPr="0084495F">
              <w:t xml:space="preserve">for the primary outcome </w:t>
            </w:r>
            <w:r w:rsidRPr="0084495F">
              <w:t xml:space="preserve">in </w:t>
            </w:r>
            <w:r w:rsidR="00A029DA" w:rsidRPr="0084495F">
              <w:t xml:space="preserve">the </w:t>
            </w:r>
            <w:r w:rsidRPr="0084495F">
              <w:t>VICTORIA</w:t>
            </w:r>
            <w:r w:rsidR="00A029DA" w:rsidRPr="0084495F">
              <w:t xml:space="preserve"> trial</w:t>
            </w:r>
            <w:r w:rsidRPr="0084495F">
              <w:t>.</w:t>
            </w:r>
          </w:p>
        </w:tc>
      </w:tr>
      <w:tr w:rsidR="008638DD" w:rsidRPr="0084495F" w14:paraId="5C10D63D" w14:textId="77777777" w:rsidTr="00D71F47">
        <w:tc>
          <w:tcPr>
            <w:tcW w:w="862" w:type="pct"/>
            <w:vAlign w:val="center"/>
          </w:tcPr>
          <w:p w14:paraId="10118722" w14:textId="77777777" w:rsidR="008638DD" w:rsidRPr="0084495F" w:rsidRDefault="008638DD" w:rsidP="008638DD">
            <w:pPr>
              <w:pStyle w:val="TableText"/>
            </w:pPr>
            <w:r w:rsidRPr="0084495F">
              <w:t>Outcomes</w:t>
            </w:r>
          </w:p>
        </w:tc>
        <w:tc>
          <w:tcPr>
            <w:tcW w:w="4138" w:type="pct"/>
          </w:tcPr>
          <w:p w14:paraId="0B79D5EF" w14:textId="77777777" w:rsidR="008638DD" w:rsidRPr="0084495F" w:rsidRDefault="008638DD" w:rsidP="008638DD">
            <w:pPr>
              <w:pStyle w:val="TableText"/>
            </w:pPr>
            <w:r w:rsidRPr="0084495F">
              <w:t>Life years; quality adjusted life years (QALYs)</w:t>
            </w:r>
          </w:p>
        </w:tc>
      </w:tr>
      <w:tr w:rsidR="006E6F93" w:rsidRPr="0084495F" w14:paraId="5931E559" w14:textId="77777777" w:rsidTr="00D71F47">
        <w:tc>
          <w:tcPr>
            <w:tcW w:w="862" w:type="pct"/>
            <w:vAlign w:val="center"/>
          </w:tcPr>
          <w:p w14:paraId="0CF7C6A4" w14:textId="1C22F1EC" w:rsidR="006E6F93" w:rsidRPr="0084495F" w:rsidRDefault="006E6F93" w:rsidP="006E6F93">
            <w:pPr>
              <w:pStyle w:val="TableText"/>
            </w:pPr>
            <w:r w:rsidRPr="0084495F">
              <w:t>Methods used to generate results</w:t>
            </w:r>
          </w:p>
        </w:tc>
        <w:tc>
          <w:tcPr>
            <w:tcW w:w="4138" w:type="pct"/>
          </w:tcPr>
          <w:p w14:paraId="188C4B4F" w14:textId="03A7B06C" w:rsidR="006E6F93" w:rsidRPr="0084495F" w:rsidRDefault="006E6F93" w:rsidP="006E6F93">
            <w:pPr>
              <w:pStyle w:val="TableText"/>
            </w:pPr>
            <w:r w:rsidRPr="0084495F">
              <w:t>Markov state transition model</w:t>
            </w:r>
          </w:p>
        </w:tc>
      </w:tr>
      <w:tr w:rsidR="006E6F93" w:rsidRPr="0084495F" w14:paraId="3D7E1DB8" w14:textId="77777777" w:rsidTr="00D71F47">
        <w:tc>
          <w:tcPr>
            <w:tcW w:w="862" w:type="pct"/>
            <w:vAlign w:val="center"/>
          </w:tcPr>
          <w:p w14:paraId="6A386464" w14:textId="1B7551A5" w:rsidR="006E6F93" w:rsidRPr="0084495F" w:rsidRDefault="006E6F93" w:rsidP="006E6F93">
            <w:pPr>
              <w:pStyle w:val="TableText"/>
            </w:pPr>
            <w:r w:rsidRPr="0084495F">
              <w:t>Health states</w:t>
            </w:r>
          </w:p>
        </w:tc>
        <w:tc>
          <w:tcPr>
            <w:tcW w:w="4138" w:type="pct"/>
          </w:tcPr>
          <w:p w14:paraId="7EC9E474" w14:textId="77777777" w:rsidR="006E6F93" w:rsidRPr="0084495F" w:rsidRDefault="006E6F93" w:rsidP="006E6F93">
            <w:pPr>
              <w:pStyle w:val="TableText"/>
            </w:pPr>
            <w:r w:rsidRPr="0084495F">
              <w:t>No hospitalisation</w:t>
            </w:r>
          </w:p>
          <w:p w14:paraId="224E3B37" w14:textId="77777777" w:rsidR="006E6F93" w:rsidRPr="0084495F" w:rsidRDefault="006E6F93" w:rsidP="006E6F93">
            <w:pPr>
              <w:pStyle w:val="TableText"/>
            </w:pPr>
            <w:r w:rsidRPr="0084495F">
              <w:t>First HF hospitalisation event</w:t>
            </w:r>
          </w:p>
          <w:p w14:paraId="2E42773C" w14:textId="77777777" w:rsidR="006E6F93" w:rsidRPr="0084495F" w:rsidRDefault="006E6F93" w:rsidP="006E6F93">
            <w:pPr>
              <w:pStyle w:val="TableText"/>
            </w:pPr>
            <w:r w:rsidRPr="0084495F">
              <w:t>Post-first HF hospitalisation</w:t>
            </w:r>
          </w:p>
          <w:p w14:paraId="46E512DC" w14:textId="77777777" w:rsidR="006E6F93" w:rsidRPr="0084495F" w:rsidRDefault="006E6F93" w:rsidP="006E6F93">
            <w:pPr>
              <w:pStyle w:val="TableText"/>
            </w:pPr>
            <w:r w:rsidRPr="0084495F">
              <w:t>Subsequent HF hospitalisation</w:t>
            </w:r>
          </w:p>
          <w:p w14:paraId="5D11687F" w14:textId="77777777" w:rsidR="006E6F93" w:rsidRPr="0084495F" w:rsidRDefault="006E6F93" w:rsidP="006E6F93">
            <w:pPr>
              <w:pStyle w:val="TableText"/>
            </w:pPr>
            <w:r w:rsidRPr="0084495F">
              <w:t>Post-subsequent HF hospitalisation</w:t>
            </w:r>
          </w:p>
          <w:p w14:paraId="7FE2C386" w14:textId="77777777" w:rsidR="006E6F93" w:rsidRPr="0084495F" w:rsidRDefault="006E6F93" w:rsidP="006E6F93">
            <w:pPr>
              <w:pStyle w:val="TableText"/>
            </w:pPr>
            <w:r w:rsidRPr="0084495F">
              <w:t>CV death</w:t>
            </w:r>
          </w:p>
          <w:p w14:paraId="10704119" w14:textId="3973E165" w:rsidR="006E6F93" w:rsidRPr="0084495F" w:rsidRDefault="006E6F93" w:rsidP="006E6F93">
            <w:pPr>
              <w:pStyle w:val="TableText"/>
            </w:pPr>
            <w:r w:rsidRPr="0084495F">
              <w:t>Non-CV death</w:t>
            </w:r>
          </w:p>
        </w:tc>
      </w:tr>
      <w:tr w:rsidR="006E6F93" w:rsidRPr="0084495F" w14:paraId="039DC581" w14:textId="77777777" w:rsidTr="00D71F47">
        <w:tc>
          <w:tcPr>
            <w:tcW w:w="862" w:type="pct"/>
            <w:vAlign w:val="center"/>
          </w:tcPr>
          <w:p w14:paraId="2A46FA2E" w14:textId="5476D7ED" w:rsidR="006E6F93" w:rsidRPr="0084495F" w:rsidRDefault="006E6F93" w:rsidP="006E6F93">
            <w:pPr>
              <w:pStyle w:val="TableText"/>
            </w:pPr>
            <w:r w:rsidRPr="0084495F">
              <w:t>Cycle length</w:t>
            </w:r>
          </w:p>
        </w:tc>
        <w:tc>
          <w:tcPr>
            <w:tcW w:w="4138" w:type="pct"/>
          </w:tcPr>
          <w:p w14:paraId="37AD04CC" w14:textId="146E997E" w:rsidR="006E6F93" w:rsidRPr="0084495F" w:rsidRDefault="006E6F93" w:rsidP="0055087F">
            <w:pPr>
              <w:pStyle w:val="TableText"/>
            </w:pPr>
            <w:r w:rsidRPr="0084495F">
              <w:t>Monthly; half-cycle correction applied</w:t>
            </w:r>
          </w:p>
        </w:tc>
      </w:tr>
      <w:tr w:rsidR="00AB73FB" w:rsidRPr="0084495F" w14:paraId="2C46DBC5" w14:textId="77777777" w:rsidTr="00D71F47">
        <w:tc>
          <w:tcPr>
            <w:tcW w:w="862" w:type="pct"/>
            <w:vAlign w:val="center"/>
          </w:tcPr>
          <w:p w14:paraId="56AE8C9A" w14:textId="73FD0ED6" w:rsidR="00AB73FB" w:rsidRPr="0084495F" w:rsidRDefault="00AB73FB" w:rsidP="00AB73FB">
            <w:pPr>
              <w:pStyle w:val="TableText"/>
            </w:pPr>
            <w:r w:rsidRPr="0084495F">
              <w:t>Transition probabilities</w:t>
            </w:r>
          </w:p>
        </w:tc>
        <w:tc>
          <w:tcPr>
            <w:tcW w:w="4138" w:type="pct"/>
          </w:tcPr>
          <w:p w14:paraId="1BB7146A" w14:textId="63ECD17A" w:rsidR="00522A09" w:rsidRPr="0084495F" w:rsidRDefault="002458A2" w:rsidP="00522A09">
            <w:pPr>
              <w:rPr>
                <w:rFonts w:ascii="Arial Narrow" w:eastAsiaTheme="majorEastAsia" w:hAnsi="Arial Narrow" w:cstheme="majorBidi"/>
                <w:bCs/>
                <w:sz w:val="20"/>
              </w:rPr>
            </w:pPr>
            <w:r w:rsidRPr="0084495F">
              <w:rPr>
                <w:rFonts w:ascii="Arial Narrow" w:eastAsiaTheme="majorEastAsia" w:hAnsi="Arial Narrow" w:cstheme="majorBidi"/>
                <w:bCs/>
                <w:sz w:val="20"/>
              </w:rPr>
              <w:t>Probabilities of hospitalisation and cardiovascular death pre- and post-hospitalisation based on post-hoc regression analyses of the VICTORIA trial ITT population. Parametric models were fitted to Kaplan Meier curves derived from the regression analyses, extrapolated to 10 years</w:t>
            </w:r>
            <w:r w:rsidR="00CA6F88" w:rsidRPr="0084495F">
              <w:rPr>
                <w:rFonts w:ascii="Arial Narrow" w:eastAsiaTheme="majorEastAsia" w:hAnsi="Arial Narrow" w:cstheme="majorBidi"/>
                <w:bCs/>
                <w:sz w:val="20"/>
              </w:rPr>
              <w:t>.</w:t>
            </w:r>
            <w:r w:rsidR="00522A09" w:rsidRPr="0084495F">
              <w:rPr>
                <w:rFonts w:ascii="Arial Narrow" w:eastAsiaTheme="majorEastAsia" w:hAnsi="Arial Narrow" w:cstheme="majorBidi"/>
                <w:bCs/>
                <w:sz w:val="20"/>
              </w:rPr>
              <w:t xml:space="preserve"> The model generates survival curves for the NT-</w:t>
            </w:r>
            <w:proofErr w:type="spellStart"/>
            <w:r w:rsidR="00522A09" w:rsidRPr="0084495F">
              <w:rPr>
                <w:rFonts w:ascii="Arial Narrow" w:eastAsiaTheme="majorEastAsia" w:hAnsi="Arial Narrow" w:cstheme="majorBidi"/>
                <w:bCs/>
                <w:sz w:val="20"/>
              </w:rPr>
              <w:t>proBNP</w:t>
            </w:r>
            <w:proofErr w:type="spellEnd"/>
            <w:r w:rsidR="00522A09" w:rsidRPr="0084495F">
              <w:rPr>
                <w:rFonts w:ascii="Arial Narrow" w:eastAsiaTheme="majorEastAsia" w:hAnsi="Arial Narrow" w:cstheme="majorBidi"/>
                <w:bCs/>
                <w:sz w:val="20"/>
              </w:rPr>
              <w:t xml:space="preserve"> Q1-Q3 subgroup based on the baseline patient characteristics in the subgroup population.</w:t>
            </w:r>
          </w:p>
          <w:p w14:paraId="021F2076" w14:textId="224D8B02" w:rsidR="00AB73FB" w:rsidRPr="0084495F" w:rsidRDefault="00AB73FB" w:rsidP="00AB73FB">
            <w:pPr>
              <w:pStyle w:val="TableText"/>
            </w:pPr>
            <w:r w:rsidRPr="0084495F">
              <w:t>Cardiovascular death during hospitalisation based on the case fatality rate in the pooled vericiguat and placebo arms in the ITT population of the VICTORIA trial.</w:t>
            </w:r>
          </w:p>
          <w:p w14:paraId="0154C644" w14:textId="563DFFC2" w:rsidR="00A529F1" w:rsidRPr="0084495F" w:rsidRDefault="00AB73FB" w:rsidP="00AB73FB">
            <w:pPr>
              <w:pStyle w:val="TableText"/>
            </w:pPr>
            <w:r w:rsidRPr="0084495F">
              <w:t>Non-CV mortality based on Australian life tables (ABS 2020), adjusted to remove CV deaths (based on AIHW 2020 and ABS 2021 data).</w:t>
            </w:r>
          </w:p>
        </w:tc>
      </w:tr>
      <w:tr w:rsidR="00CD0C4C" w:rsidRPr="0084495F" w14:paraId="0B1111B0" w14:textId="77777777" w:rsidTr="00D71F47">
        <w:tc>
          <w:tcPr>
            <w:tcW w:w="862" w:type="pct"/>
            <w:vAlign w:val="center"/>
          </w:tcPr>
          <w:p w14:paraId="3569EFD5" w14:textId="38C2F23B" w:rsidR="00CD0C4C" w:rsidRPr="0084495F" w:rsidRDefault="00CD0C4C" w:rsidP="00CD0C4C">
            <w:pPr>
              <w:pStyle w:val="TableText"/>
            </w:pPr>
            <w:r w:rsidRPr="0084495F">
              <w:t>Costs</w:t>
            </w:r>
          </w:p>
        </w:tc>
        <w:tc>
          <w:tcPr>
            <w:tcW w:w="4138" w:type="pct"/>
            <w:vAlign w:val="center"/>
          </w:tcPr>
          <w:p w14:paraId="6E38694F" w14:textId="77777777" w:rsidR="00CD0C4C" w:rsidRPr="0084495F" w:rsidRDefault="00CD0C4C" w:rsidP="00CD0C4C">
            <w:pPr>
              <w:pStyle w:val="TableText"/>
              <w:rPr>
                <w:szCs w:val="20"/>
              </w:rPr>
            </w:pPr>
            <w:r w:rsidRPr="0084495F">
              <w:rPr>
                <w:szCs w:val="20"/>
              </w:rPr>
              <w:t>The cost of vericiguat was based on the proposed DPMQ and 100% adherence and persistence.</w:t>
            </w:r>
          </w:p>
          <w:p w14:paraId="052CF4DD" w14:textId="795F4CE1" w:rsidR="00CD0C4C" w:rsidRPr="0084495F" w:rsidRDefault="00CD0C4C" w:rsidP="00CD0C4C">
            <w:pPr>
              <w:pStyle w:val="TableText"/>
              <w:rPr>
                <w:szCs w:val="20"/>
              </w:rPr>
            </w:pPr>
            <w:r w:rsidRPr="0084495F">
              <w:rPr>
                <w:szCs w:val="20"/>
              </w:rPr>
              <w:t xml:space="preserve">The cost of standard of care was based on the distribution of use of ACE inhibitors, beta-blockers, diuretics and MRAs at baseline in the </w:t>
            </w:r>
            <w:r w:rsidR="003F4E93" w:rsidRPr="0084495F">
              <w:rPr>
                <w:szCs w:val="20"/>
              </w:rPr>
              <w:t xml:space="preserve">ITT population of the </w:t>
            </w:r>
            <w:r w:rsidRPr="0084495F">
              <w:rPr>
                <w:szCs w:val="20"/>
              </w:rPr>
              <w:t>VICTORIA trial; assumed daily doses; published DPMQs; and 100% adherence and persistence.</w:t>
            </w:r>
          </w:p>
          <w:p w14:paraId="28BA6AD3" w14:textId="77777777" w:rsidR="00CD0C4C" w:rsidRPr="0084495F" w:rsidRDefault="00CD0C4C" w:rsidP="00CD0C4C">
            <w:pPr>
              <w:pStyle w:val="TableText"/>
              <w:rPr>
                <w:szCs w:val="20"/>
              </w:rPr>
            </w:pPr>
            <w:r w:rsidRPr="0084495F">
              <w:rPr>
                <w:szCs w:val="20"/>
              </w:rPr>
              <w:t xml:space="preserve">Disease management costs were based on a survey of Australian cardiologists used to inform frequency of health professional visits; assumed proportions of patients seeing GPs, </w:t>
            </w:r>
            <w:proofErr w:type="gramStart"/>
            <w:r w:rsidRPr="0084495F">
              <w:rPr>
                <w:szCs w:val="20"/>
              </w:rPr>
              <w:t>cardiologists</w:t>
            </w:r>
            <w:proofErr w:type="gramEnd"/>
            <w:r w:rsidRPr="0084495F">
              <w:rPr>
                <w:szCs w:val="20"/>
              </w:rPr>
              <w:t xml:space="preserve"> and other physicians; and MBS fees.</w:t>
            </w:r>
          </w:p>
          <w:p w14:paraId="12A0DE65" w14:textId="77777777" w:rsidR="00CD0C4C" w:rsidRPr="0084495F" w:rsidRDefault="00CD0C4C" w:rsidP="00CD0C4C">
            <w:pPr>
              <w:pStyle w:val="TableText"/>
              <w:rPr>
                <w:szCs w:val="20"/>
              </w:rPr>
            </w:pPr>
            <w:r w:rsidRPr="0084495F">
              <w:rPr>
                <w:szCs w:val="20"/>
              </w:rPr>
              <w:t>Heart failure hospitalisation costs based on weighted average cost of heart failure AR-DRGs (2018-2019) inflated to 2021 prices using the CPI for medical and hospital services.</w:t>
            </w:r>
          </w:p>
          <w:p w14:paraId="50A8673A" w14:textId="77777777" w:rsidR="00CD0C4C" w:rsidRPr="0084495F" w:rsidRDefault="00CD0C4C" w:rsidP="00CD0C4C">
            <w:pPr>
              <w:pStyle w:val="TableText"/>
              <w:rPr>
                <w:szCs w:val="20"/>
              </w:rPr>
            </w:pPr>
            <w:r w:rsidRPr="0084495F">
              <w:rPr>
                <w:szCs w:val="20"/>
              </w:rPr>
              <w:t>Terminal care costs based on the AR-DRG for heart failure admission of major complexity (F62C; 2018-2019) inflated to 2021 prices using the CPI for medical and hospital services.</w:t>
            </w:r>
          </w:p>
          <w:p w14:paraId="611C05A2" w14:textId="678CF622" w:rsidR="00724B31" w:rsidRPr="0084495F" w:rsidRDefault="00724B31" w:rsidP="00CD0C4C">
            <w:pPr>
              <w:pStyle w:val="TableText"/>
            </w:pPr>
            <w:r w:rsidRPr="0084495F">
              <w:rPr>
                <w:szCs w:val="20"/>
              </w:rPr>
              <w:t>Adverse event costs were not included in the model.</w:t>
            </w:r>
          </w:p>
        </w:tc>
      </w:tr>
      <w:tr w:rsidR="00CD0C4C" w:rsidRPr="0084495F" w14:paraId="12202030" w14:textId="77777777" w:rsidTr="00D71F47">
        <w:tc>
          <w:tcPr>
            <w:tcW w:w="862" w:type="pct"/>
            <w:vAlign w:val="center"/>
          </w:tcPr>
          <w:p w14:paraId="7E6EFAF4" w14:textId="5FB06D19" w:rsidR="00CD0C4C" w:rsidRPr="0084495F" w:rsidRDefault="00CD0C4C" w:rsidP="00CD0C4C">
            <w:pPr>
              <w:pStyle w:val="TableText"/>
            </w:pPr>
            <w:r w:rsidRPr="0084495F">
              <w:t>Health related quality of life</w:t>
            </w:r>
          </w:p>
        </w:tc>
        <w:tc>
          <w:tcPr>
            <w:tcW w:w="4138" w:type="pct"/>
          </w:tcPr>
          <w:p w14:paraId="7DDFD819" w14:textId="31CDB4FF" w:rsidR="009354E7" w:rsidRPr="0084495F" w:rsidRDefault="00CD0C4C" w:rsidP="009354E7">
            <w:pPr>
              <w:pStyle w:val="TableText"/>
            </w:pPr>
            <w:r w:rsidRPr="0084495F">
              <w:t xml:space="preserve">Health state utilities (alive, no hospitalisation; HF hospitalisation event; post HF hospitalisation event) were derived from EQ-5D-5L data from the VICTORIA trial, using a linear mixed effects model, and the UK value set. </w:t>
            </w:r>
            <w:r w:rsidR="009354E7" w:rsidRPr="0084495F">
              <w:t>(The ESC noted that the UK EQ5D-5L value set was used, despite this no longer being recommended by NICE</w:t>
            </w:r>
            <w:r w:rsidR="007F4206" w:rsidRPr="0084495F">
              <w:rPr>
                <w:rStyle w:val="FootnoteReference"/>
              </w:rPr>
              <w:footnoteReference w:id="2"/>
            </w:r>
            <w:r w:rsidR="009354E7" w:rsidRPr="0084495F">
              <w:t>.)</w:t>
            </w:r>
          </w:p>
          <w:p w14:paraId="456FBA9D" w14:textId="61902AF6" w:rsidR="00CD0C4C" w:rsidRPr="0084495F" w:rsidRDefault="00CD0C4C" w:rsidP="00CD0C4C">
            <w:pPr>
              <w:pStyle w:val="TableText"/>
            </w:pPr>
            <w:r w:rsidRPr="0084495F">
              <w:t>Separate utility estimates were derived for the ITT population and NT-</w:t>
            </w:r>
            <w:proofErr w:type="spellStart"/>
            <w:r w:rsidRPr="0084495F">
              <w:t>proBNP</w:t>
            </w:r>
            <w:proofErr w:type="spellEnd"/>
            <w:r w:rsidRPr="0084495F">
              <w:t xml:space="preserve"> Q1-Q3 subgroup</w:t>
            </w:r>
            <w:r w:rsidR="003E3F41" w:rsidRPr="0084495F">
              <w:rPr>
                <w:szCs w:val="20"/>
              </w:rPr>
              <w:t>, based on differences in baseline patient characteristics</w:t>
            </w:r>
            <w:r w:rsidR="00AB0225" w:rsidRPr="0084495F">
              <w:rPr>
                <w:szCs w:val="20"/>
              </w:rPr>
              <w:t xml:space="preserve"> in the VICTORIA trial</w:t>
            </w:r>
            <w:r w:rsidRPr="0084495F">
              <w:t>.</w:t>
            </w:r>
          </w:p>
          <w:p w14:paraId="6A56EC47" w14:textId="77777777" w:rsidR="00CD0C4C" w:rsidRPr="0084495F" w:rsidRDefault="00CD0C4C" w:rsidP="00CD0C4C">
            <w:pPr>
              <w:pStyle w:val="TableText"/>
            </w:pPr>
            <w:r w:rsidRPr="0084495F">
              <w:t>Utility values were adjusted for age by applying an annual utility decrement based on the age coefficient in the linear mixed effects model.</w:t>
            </w:r>
          </w:p>
          <w:p w14:paraId="029E689E" w14:textId="23B3586E" w:rsidR="00CD0C4C" w:rsidRPr="0084495F" w:rsidRDefault="00CD0C4C" w:rsidP="00CD0C4C">
            <w:pPr>
              <w:pStyle w:val="TableText"/>
            </w:pPr>
            <w:r w:rsidRPr="0084495F">
              <w:t xml:space="preserve">Adverse event </w:t>
            </w:r>
            <w:proofErr w:type="spellStart"/>
            <w:r w:rsidRPr="0084495F">
              <w:t>disutilities</w:t>
            </w:r>
            <w:proofErr w:type="spellEnd"/>
            <w:r w:rsidRPr="0084495F">
              <w:t xml:space="preserve"> were not included in the model.</w:t>
            </w:r>
          </w:p>
        </w:tc>
      </w:tr>
      <w:tr w:rsidR="00CD0C4C" w:rsidRPr="0084495F" w14:paraId="2F658F1C" w14:textId="77777777" w:rsidTr="00EC5565">
        <w:trPr>
          <w:trHeight w:val="70"/>
        </w:trPr>
        <w:tc>
          <w:tcPr>
            <w:tcW w:w="862" w:type="pct"/>
            <w:vAlign w:val="center"/>
          </w:tcPr>
          <w:p w14:paraId="77B27B24" w14:textId="46FC6B28" w:rsidR="00CD0C4C" w:rsidRPr="0084495F" w:rsidRDefault="00CD0C4C" w:rsidP="00CD0C4C">
            <w:pPr>
              <w:pStyle w:val="TableText"/>
            </w:pPr>
            <w:r w:rsidRPr="0084495F">
              <w:t>Discount rate</w:t>
            </w:r>
          </w:p>
        </w:tc>
        <w:tc>
          <w:tcPr>
            <w:tcW w:w="4138" w:type="pct"/>
            <w:vAlign w:val="center"/>
          </w:tcPr>
          <w:p w14:paraId="152B0B84" w14:textId="65C9D9AA" w:rsidR="00CD0C4C" w:rsidRPr="0084495F" w:rsidRDefault="00CD0C4C" w:rsidP="00CD0C4C">
            <w:pPr>
              <w:pStyle w:val="TableText"/>
            </w:pPr>
            <w:r w:rsidRPr="0084495F">
              <w:rPr>
                <w:szCs w:val="20"/>
              </w:rPr>
              <w:t>5% for costs and benefits</w:t>
            </w:r>
          </w:p>
        </w:tc>
      </w:tr>
      <w:tr w:rsidR="00CD0C4C" w:rsidRPr="0084495F" w14:paraId="4B8102A3" w14:textId="77777777" w:rsidTr="00D71F47">
        <w:tc>
          <w:tcPr>
            <w:tcW w:w="862" w:type="pct"/>
            <w:vAlign w:val="center"/>
          </w:tcPr>
          <w:p w14:paraId="28E04DC1" w14:textId="77777777" w:rsidR="00CD0C4C" w:rsidRPr="0084495F" w:rsidRDefault="00CD0C4C" w:rsidP="00CD0C4C">
            <w:pPr>
              <w:pStyle w:val="TableText"/>
            </w:pPr>
            <w:r w:rsidRPr="0084495F">
              <w:t>Software package</w:t>
            </w:r>
          </w:p>
        </w:tc>
        <w:tc>
          <w:tcPr>
            <w:tcW w:w="4138" w:type="pct"/>
          </w:tcPr>
          <w:p w14:paraId="40139D29" w14:textId="77777777" w:rsidR="00CD0C4C" w:rsidRPr="0084495F" w:rsidRDefault="00CD0C4C" w:rsidP="00CD0C4C">
            <w:pPr>
              <w:pStyle w:val="TableText"/>
            </w:pPr>
            <w:r w:rsidRPr="0084495F">
              <w:t>Microsoft Excel 365</w:t>
            </w:r>
          </w:p>
        </w:tc>
      </w:tr>
    </w:tbl>
    <w:p w14:paraId="2F4F11C4" w14:textId="1F5C4BAB" w:rsidR="00924C13" w:rsidRPr="0084495F" w:rsidRDefault="00924C13" w:rsidP="00594745">
      <w:pPr>
        <w:pStyle w:val="TableFigureFooter"/>
      </w:pPr>
      <w:r w:rsidRPr="0084495F">
        <w:t>Source: Table 3-1, p</w:t>
      </w:r>
      <w:proofErr w:type="gramStart"/>
      <w:r w:rsidRPr="0084495F">
        <w:t xml:space="preserve">148 </w:t>
      </w:r>
      <w:r w:rsidR="00E120F2" w:rsidRPr="0084495F">
        <w:t>;</w:t>
      </w:r>
      <w:proofErr w:type="gramEnd"/>
      <w:r w:rsidR="00E120F2" w:rsidRPr="0084495F">
        <w:t xml:space="preserve"> and Section 3.3 to 3.6 </w:t>
      </w:r>
      <w:r w:rsidRPr="0084495F">
        <w:t>of the submission</w:t>
      </w:r>
    </w:p>
    <w:p w14:paraId="5B2B07DD" w14:textId="0DBF5E54" w:rsidR="00924C13" w:rsidRPr="0084495F" w:rsidRDefault="00E120F2" w:rsidP="008802EF">
      <w:pPr>
        <w:pStyle w:val="TableFigureFooter"/>
      </w:pPr>
      <w:r w:rsidRPr="0084495F">
        <w:lastRenderedPageBreak/>
        <w:t xml:space="preserve">Abbreviations: ACE, angiotensin-converting enzyme; CV, cardiovascular; eGFR, estimated glomerular filtration rate; HF, heart failure; </w:t>
      </w:r>
      <w:r w:rsidR="008802EF" w:rsidRPr="0084495F">
        <w:t xml:space="preserve">ITT, intention to treat; </w:t>
      </w:r>
      <w:r w:rsidRPr="0084495F">
        <w:t>LVEF, left ventricular ejection fraction; MRAs, mineralocorticoid receptor antagonists; NT-</w:t>
      </w:r>
      <w:proofErr w:type="spellStart"/>
      <w:r w:rsidRPr="0084495F">
        <w:t>proBNP</w:t>
      </w:r>
      <w:proofErr w:type="spellEnd"/>
      <w:r w:rsidRPr="0084495F">
        <w:t>, N-terminal-pro B-type natriuretic peptide; NYHA, New York Heart Association; SBP, systolic blood pressure</w:t>
      </w:r>
    </w:p>
    <w:p w14:paraId="745B012A" w14:textId="3402B5A2" w:rsidR="00C75B9A" w:rsidRPr="0084495F" w:rsidRDefault="00C75B9A" w:rsidP="00641FB3">
      <w:pPr>
        <w:pStyle w:val="ExecSumBodyText"/>
        <w:rPr>
          <w:b/>
          <w:bCs/>
        </w:rPr>
      </w:pPr>
      <w:r w:rsidRPr="0084495F">
        <w:t xml:space="preserve">The submission nominated a 10-year time horizon, consistent with heart failure models previously considered by the PBAC for ivabradine and </w:t>
      </w:r>
      <w:r w:rsidR="001A3A29" w:rsidRPr="0084495F">
        <w:t>sacubitril/valsartan</w:t>
      </w:r>
      <w:r w:rsidRPr="0084495F">
        <w:t xml:space="preserve">. </w:t>
      </w:r>
      <w:r w:rsidRPr="0084495F">
        <w:rPr>
          <w:iCs/>
        </w:rPr>
        <w:t xml:space="preserve">In the model base case, </w:t>
      </w:r>
      <w:r w:rsidR="00E04F26" w:rsidRPr="0084495F">
        <w:rPr>
          <w:iCs/>
        </w:rPr>
        <w:t>35-4</w:t>
      </w:r>
      <w:r w:rsidRPr="0084495F">
        <w:rPr>
          <w:iCs/>
        </w:rPr>
        <w:t>0% of patients remain alive at the end of the model</w:t>
      </w:r>
      <w:r w:rsidR="00E04F26" w:rsidRPr="0084495F">
        <w:rPr>
          <w:iCs/>
        </w:rPr>
        <w:t xml:space="preserve"> (see model trace below)</w:t>
      </w:r>
      <w:r w:rsidRPr="0084495F">
        <w:rPr>
          <w:iCs/>
        </w:rPr>
        <w:t xml:space="preserve">, suggesting that a 10-year model may not be sufficient to capture the lifetime costs and consequences associated with vericiguat plus </w:t>
      </w:r>
      <w:proofErr w:type="spellStart"/>
      <w:r w:rsidRPr="0084495F">
        <w:rPr>
          <w:iCs/>
        </w:rPr>
        <w:t>SoC</w:t>
      </w:r>
      <w:r w:rsidR="00322BFF" w:rsidRPr="0084495F">
        <w:rPr>
          <w:iCs/>
        </w:rPr>
        <w:t>.</w:t>
      </w:r>
      <w:proofErr w:type="spellEnd"/>
      <w:r w:rsidR="00322BFF" w:rsidRPr="0084495F">
        <w:rPr>
          <w:iCs/>
        </w:rPr>
        <w:t xml:space="preserve"> </w:t>
      </w:r>
      <w:proofErr w:type="gramStart"/>
      <w:r w:rsidR="00322BFF" w:rsidRPr="0084495F">
        <w:rPr>
          <w:iCs/>
        </w:rPr>
        <w:t>H</w:t>
      </w:r>
      <w:r w:rsidRPr="0084495F">
        <w:rPr>
          <w:iCs/>
        </w:rPr>
        <w:t>owever</w:t>
      </w:r>
      <w:proofErr w:type="gramEnd"/>
      <w:r w:rsidRPr="0084495F">
        <w:rPr>
          <w:iCs/>
        </w:rPr>
        <w:t xml:space="preserve"> a longer time horizon would be associated with additional uncertainty given the extrapolation of outcomes based on a median duration of follow-up of 10.8 months in the VICTORIA trial.</w:t>
      </w:r>
      <w:r w:rsidR="00F208F8" w:rsidRPr="0084495F">
        <w:rPr>
          <w:iCs/>
        </w:rPr>
        <w:t xml:space="preserve"> The ESC noted that </w:t>
      </w:r>
      <w:proofErr w:type="gramStart"/>
      <w:r w:rsidR="00F208F8" w:rsidRPr="0084495F">
        <w:rPr>
          <w:iCs/>
        </w:rPr>
        <w:t>the vast majority of</w:t>
      </w:r>
      <w:proofErr w:type="gramEnd"/>
      <w:r w:rsidR="00F208F8" w:rsidRPr="0084495F">
        <w:rPr>
          <w:iCs/>
        </w:rPr>
        <w:t xml:space="preserve"> incremental costs (88.8%) and incremental QALYs (97.6%) are generated in the extrapolated period.</w:t>
      </w:r>
    </w:p>
    <w:p w14:paraId="0DE5D75D" w14:textId="7B8BACD6" w:rsidR="00B47D6D" w:rsidRPr="0084495F" w:rsidRDefault="00B47D6D" w:rsidP="00641FB3">
      <w:pPr>
        <w:pStyle w:val="ExecSumBodyText"/>
        <w:rPr>
          <w:b/>
          <w:bCs/>
        </w:rPr>
      </w:pPr>
      <w:r w:rsidRPr="0084495F">
        <w:t>The figure below illustrates the structure of the economic evaluation.</w:t>
      </w:r>
    </w:p>
    <w:p w14:paraId="5D94DA42" w14:textId="7C1110E2" w:rsidR="00B47D6D" w:rsidRPr="0084495F" w:rsidRDefault="00B47D6D" w:rsidP="00FA6724">
      <w:pPr>
        <w:pStyle w:val="Caption"/>
      </w:pPr>
      <w:r w:rsidRPr="0084495F">
        <w:t>Figure</w:t>
      </w:r>
      <w:r w:rsidR="00B61F97" w:rsidRPr="0084495F">
        <w:t xml:space="preserve"> </w:t>
      </w:r>
      <w:r w:rsidR="00C16DA1">
        <w:fldChar w:fldCharType="begin"/>
      </w:r>
      <w:r w:rsidR="00C16DA1">
        <w:instrText xml:space="preserve"> SEQ Figure \* ARABIC </w:instrText>
      </w:r>
      <w:r w:rsidR="00C16DA1">
        <w:fldChar w:fldCharType="separate"/>
      </w:r>
      <w:r w:rsidR="0084495F" w:rsidRPr="0084495F">
        <w:t>2</w:t>
      </w:r>
      <w:r w:rsidR="00C16DA1">
        <w:fldChar w:fldCharType="end"/>
      </w:r>
      <w:r w:rsidRPr="0084495F">
        <w:t>: Structure of the economic model</w:t>
      </w:r>
    </w:p>
    <w:p w14:paraId="3286009A" w14:textId="77777777" w:rsidR="00B47D6D" w:rsidRPr="0084495F" w:rsidRDefault="00B47D6D" w:rsidP="00D561DA">
      <w:pPr>
        <w:jc w:val="center"/>
        <w:rPr>
          <w:color w:val="3366FF"/>
        </w:rPr>
      </w:pPr>
      <w:r w:rsidRPr="0084495F">
        <w:rPr>
          <w:noProof/>
        </w:rPr>
        <w:drawing>
          <wp:inline distT="0" distB="0" distL="0" distR="0" wp14:anchorId="0A86A1FC" wp14:editId="3D8F99BA">
            <wp:extent cx="3044797" cy="3724275"/>
            <wp:effectExtent l="0" t="0" r="3810" b="0"/>
            <wp:docPr id="2" name="Picture 6" descr="Figure 2: Structure of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Figure 2: Structure of the economic mod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7172" cy="3727181"/>
                    </a:xfrm>
                    <a:prstGeom prst="rect">
                      <a:avLst/>
                    </a:prstGeom>
                    <a:noFill/>
                    <a:ln>
                      <a:noFill/>
                    </a:ln>
                  </pic:spPr>
                </pic:pic>
              </a:graphicData>
            </a:graphic>
          </wp:inline>
        </w:drawing>
      </w:r>
    </w:p>
    <w:p w14:paraId="59D1D9A1" w14:textId="77777777" w:rsidR="00B47D6D" w:rsidRPr="0084495F" w:rsidRDefault="00B47D6D" w:rsidP="00B47D6D">
      <w:pPr>
        <w:pStyle w:val="TableFigureFooter"/>
      </w:pPr>
      <w:r w:rsidRPr="0084495F">
        <w:t>Source: Figure 3-1, p161 of the submission</w:t>
      </w:r>
    </w:p>
    <w:p w14:paraId="6296CC7A" w14:textId="77777777" w:rsidR="00B47D6D" w:rsidRPr="0084495F" w:rsidRDefault="00B47D6D" w:rsidP="00B47D6D">
      <w:pPr>
        <w:pStyle w:val="TableFigureFooter"/>
      </w:pPr>
      <w:r w:rsidRPr="0084495F">
        <w:t>Abbreviations: HF, heart failure; T, transition</w:t>
      </w:r>
    </w:p>
    <w:p w14:paraId="38729510" w14:textId="6114DB36" w:rsidR="00B47D6D" w:rsidRPr="0084495F" w:rsidRDefault="00B47D6D" w:rsidP="00B47D6D">
      <w:pPr>
        <w:pStyle w:val="TableFigureFooter"/>
      </w:pPr>
      <w:r w:rsidRPr="0084495F">
        <w:t>Notes: T1=hospitalisation rate (red arrows); T2=death rate pre-hospitalisation (purple arrow); T3=hospital discharge (green arrows); T4=case fatality rate of hospitalisation (light blue arrows); T5=death rate post-hospitalisation (dark blue arrows).</w:t>
      </w:r>
    </w:p>
    <w:p w14:paraId="14C1E8F9" w14:textId="7186B67E" w:rsidR="00275C5A" w:rsidRPr="0084495F" w:rsidRDefault="00B47D6D" w:rsidP="00641FB3">
      <w:pPr>
        <w:pStyle w:val="ExecSumBodyText"/>
        <w:rPr>
          <w:b/>
          <w:bCs/>
        </w:rPr>
      </w:pPr>
      <w:r w:rsidRPr="0084495F">
        <w:t xml:space="preserve">All patients begin in the alive (pre-hospitalisation) health state, stabilised after the index </w:t>
      </w:r>
      <w:r w:rsidR="008F52FD" w:rsidRPr="0084495F">
        <w:t xml:space="preserve">heart failure </w:t>
      </w:r>
      <w:r w:rsidRPr="0084495F">
        <w:t xml:space="preserve">decompensation event. In each cycle, patients can experience a heart failure hospitalisation event, die of cardiovascular causes, or die of non-cardiovascular causes. Those who survive the hospitalisation event move to the post-hospitalisation health state after one cycle. Patients who have experienced a heart </w:t>
      </w:r>
      <w:r w:rsidRPr="0084495F">
        <w:lastRenderedPageBreak/>
        <w:t>failure hospitalisation event have a higher risk of cardiovascular death than patients who are in the pre-hospitalisation state. Although additional health states are included for second and subsequent heart failure hospitalisation events (HF hospitalisation event ≥2; Post HF hospitalisation ≥2), the probability of a heart failure hospitalisation, and associated mortality</w:t>
      </w:r>
      <w:r w:rsidR="001A31C3" w:rsidRPr="0084495F">
        <w:t>, costs and quality of life</w:t>
      </w:r>
      <w:r w:rsidRPr="0084495F">
        <w:t xml:space="preserve"> </w:t>
      </w:r>
      <w:r w:rsidR="0027155E" w:rsidRPr="0084495F">
        <w:t>are</w:t>
      </w:r>
      <w:r w:rsidRPr="0084495F">
        <w:t xml:space="preserve"> not affected by the number of </w:t>
      </w:r>
      <w:r w:rsidR="009B115F" w:rsidRPr="0084495F">
        <w:t xml:space="preserve">prior </w:t>
      </w:r>
      <w:r w:rsidRPr="0084495F">
        <w:t>hospitalisations.</w:t>
      </w:r>
    </w:p>
    <w:p w14:paraId="398FE049" w14:textId="29C3FF04" w:rsidR="005941B1" w:rsidRPr="0084495F" w:rsidRDefault="005941B1" w:rsidP="000E6064">
      <w:pPr>
        <w:pStyle w:val="ExecSumBodyText"/>
        <w:rPr>
          <w:iCs/>
        </w:rPr>
      </w:pPr>
      <w:proofErr w:type="gramStart"/>
      <w:r w:rsidRPr="0084495F">
        <w:t>Similar to</w:t>
      </w:r>
      <w:proofErr w:type="gramEnd"/>
      <w:r w:rsidRPr="0084495F">
        <w:t xml:space="preserve"> the </w:t>
      </w:r>
      <w:r w:rsidR="001A3A29" w:rsidRPr="0084495F">
        <w:t>sacubitril/valsartan</w:t>
      </w:r>
      <w:r w:rsidRPr="0084495F">
        <w:t xml:space="preserve"> and dapagliflozin models previously considered by the PBAC (para 6.30, Sacubitril/valsartan, PSD, March 2016 PBAC meeting; para 6.21, Dapagliflozin PSD, July 2021 PBAC meeting), the vericiguat model is</w:t>
      </w:r>
      <w:r w:rsidR="009567C8" w:rsidRPr="0084495F">
        <w:t xml:space="preserve"> overly</w:t>
      </w:r>
      <w:r w:rsidRPr="0084495F">
        <w:t xml:space="preserve"> simplistic </w:t>
      </w:r>
      <w:r w:rsidR="001428AF" w:rsidRPr="0084495F">
        <w:t>and does not incorporate health states that reflect the progressive nature of heart failure (such as by NYHA class or KCCQ quartiles),</w:t>
      </w:r>
      <w:r w:rsidR="00A0537D" w:rsidRPr="0084495F">
        <w:t xml:space="preserve"> and</w:t>
      </w:r>
      <w:r w:rsidR="001428AF" w:rsidRPr="0084495F">
        <w:t xml:space="preserve"> the associated changes in costs, quality of life and mortality risk. </w:t>
      </w:r>
      <w:r w:rsidR="000E6064" w:rsidRPr="0084495F">
        <w:t>The</w:t>
      </w:r>
      <w:r w:rsidR="009354E7" w:rsidRPr="0084495F">
        <w:t xml:space="preserve"> ESC </w:t>
      </w:r>
      <w:r w:rsidR="00F208F8" w:rsidRPr="0084495F">
        <w:t>consider</w:t>
      </w:r>
      <w:r w:rsidR="009354E7" w:rsidRPr="0084495F">
        <w:t xml:space="preserve">ed that </w:t>
      </w:r>
      <w:r w:rsidR="00F208F8" w:rsidRPr="0084495F">
        <w:t xml:space="preserve">the simplistic structure introduces uncertainty and noted that the </w:t>
      </w:r>
      <w:r w:rsidR="000E6064" w:rsidRPr="0084495F">
        <w:rPr>
          <w:iCs/>
        </w:rPr>
        <w:t xml:space="preserve">dapagliflozin models submitted to NICE and CADTH incorporated health states based on KCCQ-TSS and NYHA class. </w:t>
      </w:r>
      <w:r w:rsidR="00C97AC9" w:rsidRPr="0084495F">
        <w:rPr>
          <w:iCs/>
        </w:rPr>
        <w:t xml:space="preserve">The ESC also noted </w:t>
      </w:r>
      <w:r w:rsidR="007766C5" w:rsidRPr="0084495F">
        <w:rPr>
          <w:iCs/>
        </w:rPr>
        <w:t xml:space="preserve">when </w:t>
      </w:r>
      <w:r w:rsidR="00C97AC9" w:rsidRPr="0084495F">
        <w:rPr>
          <w:iCs/>
        </w:rPr>
        <w:t>the PBAC recommended dapagl</w:t>
      </w:r>
      <w:r w:rsidR="007766C5" w:rsidRPr="0084495F">
        <w:rPr>
          <w:iCs/>
        </w:rPr>
        <w:t>iflozin</w:t>
      </w:r>
      <w:r w:rsidR="00C97AC9" w:rsidRPr="0084495F">
        <w:rPr>
          <w:iCs/>
        </w:rPr>
        <w:t xml:space="preserve"> </w:t>
      </w:r>
      <w:r w:rsidR="007766C5" w:rsidRPr="0084495F">
        <w:rPr>
          <w:iCs/>
        </w:rPr>
        <w:t xml:space="preserve">it remained concerned that the model structure was not robust, however, at the reduced price the Committee was confident that the ICER would be in an acceptable range ($15,000 to &lt; $25,000 per QALY gained) comparable to other treatments for chronic condition (para 7.7, Dapagliflozin PSD, September 2021 PBAC meeting). </w:t>
      </w:r>
    </w:p>
    <w:p w14:paraId="6E776293" w14:textId="6C3AEDCB" w:rsidR="009A005D" w:rsidRPr="0084495F" w:rsidRDefault="009A005D" w:rsidP="005941B1">
      <w:pPr>
        <w:pStyle w:val="ExecSumBodyText"/>
      </w:pPr>
      <w:r w:rsidRPr="0084495F">
        <w:t>The table below summarises the key driver</w:t>
      </w:r>
      <w:r w:rsidR="001F44B2" w:rsidRPr="0084495F">
        <w:t>s of the economic model.</w:t>
      </w:r>
    </w:p>
    <w:p w14:paraId="3A9B6E3D" w14:textId="2B4F5138" w:rsidR="00A37D79" w:rsidRPr="0084495F" w:rsidRDefault="00A37D79" w:rsidP="00FA6724">
      <w:pPr>
        <w:pStyle w:val="Caption"/>
      </w:pPr>
      <w:r w:rsidRPr="0084495F">
        <w:t xml:space="preserve">Table </w:t>
      </w:r>
      <w:r w:rsidR="00C16DA1">
        <w:fldChar w:fldCharType="begin"/>
      </w:r>
      <w:r w:rsidR="00C16DA1">
        <w:instrText xml:space="preserve"> SEQ Table \* ARABIC </w:instrText>
      </w:r>
      <w:r w:rsidR="00C16DA1">
        <w:fldChar w:fldCharType="separate"/>
      </w:r>
      <w:r w:rsidR="0084495F" w:rsidRPr="0084495F">
        <w:t>10</w:t>
      </w:r>
      <w:r w:rsidR="00C16DA1">
        <w:fldChar w:fldCharType="end"/>
      </w:r>
      <w:r w:rsidRPr="0084495F">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Key drivers of the model"/>
      </w:tblPr>
      <w:tblGrid>
        <w:gridCol w:w="1554"/>
        <w:gridCol w:w="6379"/>
        <w:gridCol w:w="1084"/>
      </w:tblGrid>
      <w:tr w:rsidR="00A37D79" w:rsidRPr="0084495F" w14:paraId="4F0E54DF" w14:textId="77777777" w:rsidTr="005968A1">
        <w:trPr>
          <w:cantSplit/>
          <w:tblHeader/>
        </w:trPr>
        <w:tc>
          <w:tcPr>
            <w:tcW w:w="862" w:type="pct"/>
            <w:shd w:val="clear" w:color="auto" w:fill="auto"/>
            <w:vAlign w:val="center"/>
          </w:tcPr>
          <w:p w14:paraId="77E0DE58" w14:textId="77777777" w:rsidR="00A37D79" w:rsidRPr="0084495F" w:rsidRDefault="00A37D79" w:rsidP="00126691">
            <w:pPr>
              <w:pStyle w:val="Tableheadingrow"/>
              <w:keepNext w:val="0"/>
              <w:jc w:val="center"/>
              <w:rPr>
                <w:lang w:val="en-AU"/>
              </w:rPr>
            </w:pPr>
            <w:r w:rsidRPr="0084495F">
              <w:rPr>
                <w:lang w:val="en-AU"/>
              </w:rPr>
              <w:t>Description</w:t>
            </w:r>
          </w:p>
        </w:tc>
        <w:tc>
          <w:tcPr>
            <w:tcW w:w="3537" w:type="pct"/>
            <w:shd w:val="clear" w:color="auto" w:fill="auto"/>
            <w:vAlign w:val="center"/>
          </w:tcPr>
          <w:p w14:paraId="08BEBB0D" w14:textId="77777777" w:rsidR="00A37D79" w:rsidRPr="0084495F" w:rsidRDefault="00A37D79" w:rsidP="00126691">
            <w:pPr>
              <w:pStyle w:val="Tableheadingrow"/>
              <w:keepNext w:val="0"/>
              <w:jc w:val="center"/>
              <w:rPr>
                <w:lang w:val="en-AU"/>
              </w:rPr>
            </w:pPr>
            <w:r w:rsidRPr="0084495F">
              <w:rPr>
                <w:lang w:val="en-AU"/>
              </w:rPr>
              <w:t>Method/Value</w:t>
            </w:r>
          </w:p>
        </w:tc>
        <w:tc>
          <w:tcPr>
            <w:tcW w:w="601" w:type="pct"/>
            <w:shd w:val="clear" w:color="auto" w:fill="auto"/>
            <w:vAlign w:val="center"/>
          </w:tcPr>
          <w:p w14:paraId="181A968D" w14:textId="77777777" w:rsidR="00A37D79" w:rsidRPr="0084495F" w:rsidRDefault="00A37D79" w:rsidP="00126691">
            <w:pPr>
              <w:pStyle w:val="Tableheadingrow"/>
              <w:keepNext w:val="0"/>
              <w:jc w:val="center"/>
              <w:rPr>
                <w:lang w:val="en-AU"/>
              </w:rPr>
            </w:pPr>
            <w:r w:rsidRPr="0084495F">
              <w:rPr>
                <w:lang w:val="en-AU"/>
              </w:rPr>
              <w:t>Impact</w:t>
            </w:r>
          </w:p>
        </w:tc>
      </w:tr>
      <w:tr w:rsidR="008E1C22" w:rsidRPr="0084495F" w14:paraId="3D13F3DC" w14:textId="77777777" w:rsidTr="005968A1">
        <w:trPr>
          <w:cantSplit/>
        </w:trPr>
        <w:tc>
          <w:tcPr>
            <w:tcW w:w="862" w:type="pct"/>
            <w:shd w:val="clear" w:color="auto" w:fill="auto"/>
          </w:tcPr>
          <w:p w14:paraId="162B4354" w14:textId="77777777" w:rsidR="008E1C22" w:rsidRPr="0084495F" w:rsidRDefault="008E1C22" w:rsidP="00126691">
            <w:pPr>
              <w:pStyle w:val="TableText"/>
              <w:keepNext w:val="0"/>
              <w:rPr>
                <w:szCs w:val="20"/>
              </w:rPr>
            </w:pPr>
            <w:r w:rsidRPr="0084495F">
              <w:rPr>
                <w:szCs w:val="20"/>
              </w:rPr>
              <w:t>Curve fitting</w:t>
            </w:r>
            <w:r w:rsidR="000A1CDD" w:rsidRPr="0084495F">
              <w:rPr>
                <w:szCs w:val="20"/>
              </w:rPr>
              <w:t>/internal validity</w:t>
            </w:r>
          </w:p>
          <w:p w14:paraId="6A7C077E" w14:textId="51E98414" w:rsidR="000E7654" w:rsidRPr="0084495F" w:rsidRDefault="000E7654" w:rsidP="00126691">
            <w:pPr>
              <w:pStyle w:val="TableText"/>
              <w:keepNext w:val="0"/>
              <w:rPr>
                <w:szCs w:val="20"/>
              </w:rPr>
            </w:pPr>
            <w:r w:rsidRPr="0084495F">
              <w:rPr>
                <w:szCs w:val="20"/>
              </w:rPr>
              <w:t>Transition probabilities</w:t>
            </w:r>
          </w:p>
        </w:tc>
        <w:tc>
          <w:tcPr>
            <w:tcW w:w="3537" w:type="pct"/>
            <w:shd w:val="clear" w:color="auto" w:fill="auto"/>
          </w:tcPr>
          <w:p w14:paraId="42CCE43F" w14:textId="08177EF9" w:rsidR="000E7654" w:rsidRPr="0084495F" w:rsidRDefault="000E7654" w:rsidP="00126691">
            <w:pPr>
              <w:pStyle w:val="TableText"/>
              <w:keepNext w:val="0"/>
              <w:rPr>
                <w:szCs w:val="20"/>
              </w:rPr>
            </w:pPr>
            <w:r w:rsidRPr="0084495F">
              <w:rPr>
                <w:szCs w:val="20"/>
              </w:rPr>
              <w:t>Probabilities of hospitalisation and cardiovascular death pre- and post-hospitalisation were based on post-hoc regression analyses of the VICTORIA trial ITT population. Parametric models were fitted to Kaplan Meier curves derived from the regression analyses, extrapolated to 10 years.</w:t>
            </w:r>
          </w:p>
          <w:p w14:paraId="3057E29C" w14:textId="77777777" w:rsidR="001B1CDE" w:rsidRPr="0084495F" w:rsidRDefault="001B1CDE" w:rsidP="001B1CDE">
            <w:pPr>
              <w:pStyle w:val="TableText"/>
              <w:keepNext w:val="0"/>
              <w:rPr>
                <w:szCs w:val="20"/>
              </w:rPr>
            </w:pPr>
          </w:p>
          <w:p w14:paraId="1731538C" w14:textId="77AD8308" w:rsidR="001B1CDE" w:rsidRPr="0084495F" w:rsidRDefault="001B1CDE" w:rsidP="001B1CDE">
            <w:pPr>
              <w:pStyle w:val="TableText"/>
              <w:keepNext w:val="0"/>
              <w:rPr>
                <w:szCs w:val="20"/>
              </w:rPr>
            </w:pPr>
            <w:r w:rsidRPr="0084495F">
              <w:rPr>
                <w:iCs/>
                <w:szCs w:val="20"/>
              </w:rPr>
              <w:t xml:space="preserve">The regression equations do not appear to generate estimates consistent with trial-based data, with modelled hospitalisation and cardiovascular death events underestimated compared to </w:t>
            </w:r>
            <w:r w:rsidR="006C1B18" w:rsidRPr="0084495F">
              <w:rPr>
                <w:iCs/>
                <w:szCs w:val="20"/>
              </w:rPr>
              <w:t xml:space="preserve">observed </w:t>
            </w:r>
            <w:r w:rsidRPr="0084495F">
              <w:rPr>
                <w:iCs/>
                <w:szCs w:val="20"/>
              </w:rPr>
              <w:t xml:space="preserve">numbers of events in the ITT population of the VICTORIA trial </w:t>
            </w:r>
            <w:r w:rsidR="00E34EA6" w:rsidRPr="0084495F">
              <w:rPr>
                <w:iCs/>
                <w:szCs w:val="20"/>
              </w:rPr>
              <w:t xml:space="preserve">over </w:t>
            </w:r>
            <w:r w:rsidR="00C555E3" w:rsidRPr="0084495F">
              <w:rPr>
                <w:iCs/>
                <w:szCs w:val="20"/>
              </w:rPr>
              <w:t xml:space="preserve">the average duration of follow-up </w:t>
            </w:r>
            <w:r w:rsidRPr="0084495F">
              <w:rPr>
                <w:iCs/>
                <w:szCs w:val="20"/>
              </w:rPr>
              <w:t xml:space="preserve">(see </w:t>
            </w:r>
            <w:r w:rsidR="006C1B18" w:rsidRPr="0084495F">
              <w:rPr>
                <w:iCs/>
                <w:szCs w:val="20"/>
              </w:rPr>
              <w:t>table below</w:t>
            </w:r>
            <w:r w:rsidRPr="0084495F">
              <w:rPr>
                <w:iCs/>
                <w:szCs w:val="20"/>
              </w:rPr>
              <w:t>).</w:t>
            </w:r>
            <w:r w:rsidR="006C1B18" w:rsidRPr="0084495F">
              <w:rPr>
                <w:iCs/>
                <w:szCs w:val="20"/>
              </w:rPr>
              <w:t xml:space="preserve"> </w:t>
            </w:r>
            <w:r w:rsidR="00253CD0" w:rsidRPr="0084495F">
              <w:rPr>
                <w:iCs/>
                <w:szCs w:val="20"/>
              </w:rPr>
              <w:t>As</w:t>
            </w:r>
            <w:r w:rsidR="006C1B18" w:rsidRPr="0084495F">
              <w:rPr>
                <w:iCs/>
                <w:szCs w:val="20"/>
              </w:rPr>
              <w:t xml:space="preserve"> the</w:t>
            </w:r>
            <w:r w:rsidR="00842C0A" w:rsidRPr="0084495F">
              <w:rPr>
                <w:iCs/>
                <w:szCs w:val="20"/>
              </w:rPr>
              <w:t xml:space="preserve"> regression equations </w:t>
            </w:r>
            <w:r w:rsidR="006C1B18" w:rsidRPr="0084495F">
              <w:rPr>
                <w:iCs/>
                <w:szCs w:val="20"/>
              </w:rPr>
              <w:t xml:space="preserve">do not reliably predict observed outcomes </w:t>
            </w:r>
            <w:r w:rsidR="00D73A9F" w:rsidRPr="0084495F">
              <w:rPr>
                <w:iCs/>
                <w:szCs w:val="20"/>
              </w:rPr>
              <w:t>within</w:t>
            </w:r>
            <w:r w:rsidR="006C1B18" w:rsidRPr="0084495F">
              <w:rPr>
                <w:iCs/>
                <w:szCs w:val="20"/>
              </w:rPr>
              <w:t xml:space="preserve"> the trial period</w:t>
            </w:r>
            <w:r w:rsidR="00253CD0" w:rsidRPr="0084495F">
              <w:rPr>
                <w:iCs/>
                <w:szCs w:val="20"/>
              </w:rPr>
              <w:t>, the</w:t>
            </w:r>
            <w:r w:rsidR="009354E7" w:rsidRPr="0084495F">
              <w:rPr>
                <w:iCs/>
                <w:szCs w:val="20"/>
              </w:rPr>
              <w:t xml:space="preserve"> ESC considered they were unlikely to be sufficiently reliable to</w:t>
            </w:r>
            <w:r w:rsidR="006C1B18" w:rsidRPr="0084495F">
              <w:rPr>
                <w:iCs/>
                <w:szCs w:val="20"/>
              </w:rPr>
              <w:t xml:space="preserve"> form the basis of further extrapolation over 10 years</w:t>
            </w:r>
            <w:r w:rsidR="006C1B18" w:rsidRPr="0084495F">
              <w:rPr>
                <w:szCs w:val="20"/>
              </w:rPr>
              <w:t>.</w:t>
            </w:r>
            <w:r w:rsidR="001254FB" w:rsidRPr="0084495F">
              <w:rPr>
                <w:szCs w:val="20"/>
              </w:rPr>
              <w:t xml:space="preserve"> The ESC also noted that the economic model does not use the observed time-to-event data in preference to the modelled data over the trial period as recommended in the PBAC Guidelines.</w:t>
            </w:r>
          </w:p>
          <w:p w14:paraId="6FD35DA6" w14:textId="0BB88BE8" w:rsidR="000E7654" w:rsidRPr="0084495F" w:rsidRDefault="000E7654" w:rsidP="00C94337">
            <w:pPr>
              <w:pStyle w:val="TableText"/>
              <w:keepNext w:val="0"/>
              <w:rPr>
                <w:szCs w:val="20"/>
              </w:rPr>
            </w:pPr>
          </w:p>
          <w:p w14:paraId="3BC4E320" w14:textId="6EC90CF5" w:rsidR="00B7395B" w:rsidRPr="0084495F" w:rsidRDefault="00323F87" w:rsidP="00C94337">
            <w:pPr>
              <w:pStyle w:val="TableText"/>
              <w:keepNext w:val="0"/>
              <w:rPr>
                <w:iCs/>
                <w:szCs w:val="20"/>
              </w:rPr>
            </w:pPr>
            <w:r w:rsidRPr="0084495F">
              <w:rPr>
                <w:iCs/>
                <w:szCs w:val="20"/>
              </w:rPr>
              <w:t xml:space="preserve">The model traces indicate that </w:t>
            </w:r>
            <w:proofErr w:type="gramStart"/>
            <w:r w:rsidRPr="0084495F">
              <w:rPr>
                <w:iCs/>
                <w:szCs w:val="20"/>
              </w:rPr>
              <w:t>the</w:t>
            </w:r>
            <w:r w:rsidR="00EC4558" w:rsidRPr="0084495F">
              <w:rPr>
                <w:iCs/>
                <w:szCs w:val="20"/>
              </w:rPr>
              <w:t xml:space="preserve"> ma</w:t>
            </w:r>
            <w:r w:rsidR="00316FDE" w:rsidRPr="0084495F">
              <w:rPr>
                <w:iCs/>
                <w:szCs w:val="20"/>
              </w:rPr>
              <w:t>jority of</w:t>
            </w:r>
            <w:proofErr w:type="gramEnd"/>
            <w:r w:rsidR="00316FDE" w:rsidRPr="0084495F">
              <w:rPr>
                <w:iCs/>
                <w:szCs w:val="20"/>
              </w:rPr>
              <w:t xml:space="preserve"> benefit associated with vericiguat is derived from a reduction in </w:t>
            </w:r>
            <w:r w:rsidR="00EC4558" w:rsidRPr="0084495F">
              <w:rPr>
                <w:iCs/>
                <w:szCs w:val="20"/>
              </w:rPr>
              <w:t>cardiovascular mortality</w:t>
            </w:r>
            <w:r w:rsidR="00316FDE" w:rsidRPr="0084495F">
              <w:rPr>
                <w:iCs/>
                <w:szCs w:val="20"/>
              </w:rPr>
              <w:t>, which is</w:t>
            </w:r>
            <w:r w:rsidR="00EC4558" w:rsidRPr="0084495F">
              <w:rPr>
                <w:iCs/>
                <w:szCs w:val="20"/>
              </w:rPr>
              <w:t xml:space="preserve"> inconsistent with the results of the primary outcome of the VICTORIA trial for the ITT analysis and NT-</w:t>
            </w:r>
            <w:proofErr w:type="spellStart"/>
            <w:r w:rsidR="00EC4558" w:rsidRPr="0084495F">
              <w:rPr>
                <w:iCs/>
                <w:szCs w:val="20"/>
              </w:rPr>
              <w:t>proBNP</w:t>
            </w:r>
            <w:proofErr w:type="spellEnd"/>
            <w:r w:rsidR="00EC4558" w:rsidRPr="0084495F">
              <w:rPr>
                <w:iCs/>
                <w:szCs w:val="20"/>
              </w:rPr>
              <w:t xml:space="preserve"> Q1-Q3 subgroup, which indicated that the difference in outcomes between treatment arms was primarily driven by differences in the rate of hospitalisation for heart failure.</w:t>
            </w:r>
          </w:p>
          <w:p w14:paraId="29E241C8" w14:textId="77777777" w:rsidR="00B7395B" w:rsidRPr="0084495F" w:rsidRDefault="00B7395B" w:rsidP="00126691">
            <w:pPr>
              <w:jc w:val="left"/>
              <w:rPr>
                <w:rFonts w:ascii="Arial Narrow" w:hAnsi="Arial Narrow"/>
                <w:sz w:val="20"/>
                <w:szCs w:val="20"/>
              </w:rPr>
            </w:pPr>
          </w:p>
          <w:p w14:paraId="3338602A" w14:textId="420561E5" w:rsidR="000A1CDD" w:rsidRPr="0084495F" w:rsidRDefault="00B51A32" w:rsidP="00126691">
            <w:pPr>
              <w:jc w:val="left"/>
              <w:rPr>
                <w:rFonts w:ascii="Arial Narrow" w:hAnsi="Arial Narrow"/>
                <w:sz w:val="20"/>
                <w:szCs w:val="20"/>
              </w:rPr>
            </w:pPr>
            <w:proofErr w:type="gramStart"/>
            <w:r w:rsidRPr="0084495F">
              <w:rPr>
                <w:rFonts w:ascii="Arial Narrow" w:hAnsi="Arial Narrow"/>
                <w:sz w:val="20"/>
                <w:szCs w:val="20"/>
              </w:rPr>
              <w:t xml:space="preserve">The </w:t>
            </w:r>
            <w:r w:rsidR="003A40DF" w:rsidRPr="0084495F">
              <w:rPr>
                <w:rFonts w:ascii="Arial Narrow" w:hAnsi="Arial Narrow"/>
                <w:sz w:val="20"/>
                <w:szCs w:val="20"/>
              </w:rPr>
              <w:t xml:space="preserve">vast </w:t>
            </w:r>
            <w:r w:rsidRPr="0084495F">
              <w:rPr>
                <w:rFonts w:ascii="Arial Narrow" w:hAnsi="Arial Narrow"/>
                <w:sz w:val="20"/>
                <w:szCs w:val="20"/>
              </w:rPr>
              <w:t>m</w:t>
            </w:r>
            <w:r w:rsidR="000A1CDD" w:rsidRPr="0084495F">
              <w:rPr>
                <w:rFonts w:ascii="Arial Narrow" w:hAnsi="Arial Narrow"/>
                <w:sz w:val="20"/>
                <w:szCs w:val="20"/>
              </w:rPr>
              <w:t>ajority of</w:t>
            </w:r>
            <w:proofErr w:type="gramEnd"/>
            <w:r w:rsidR="000A1CDD" w:rsidRPr="0084495F">
              <w:rPr>
                <w:rFonts w:ascii="Arial Narrow" w:hAnsi="Arial Narrow"/>
                <w:sz w:val="20"/>
                <w:szCs w:val="20"/>
              </w:rPr>
              <w:t xml:space="preserve"> incremental costs </w:t>
            </w:r>
            <w:r w:rsidR="003A40DF" w:rsidRPr="0084495F">
              <w:rPr>
                <w:rFonts w:ascii="Arial Narrow" w:hAnsi="Arial Narrow"/>
                <w:sz w:val="20"/>
                <w:szCs w:val="20"/>
              </w:rPr>
              <w:t xml:space="preserve">(88.8%) </w:t>
            </w:r>
            <w:r w:rsidR="000A1CDD" w:rsidRPr="0084495F">
              <w:rPr>
                <w:rFonts w:ascii="Arial Narrow" w:hAnsi="Arial Narrow"/>
                <w:sz w:val="20"/>
                <w:szCs w:val="20"/>
              </w:rPr>
              <w:t xml:space="preserve">and incremental </w:t>
            </w:r>
            <w:r w:rsidR="0041106D" w:rsidRPr="0084495F">
              <w:rPr>
                <w:rFonts w:ascii="Arial Narrow" w:hAnsi="Arial Narrow"/>
                <w:sz w:val="20"/>
                <w:szCs w:val="20"/>
              </w:rPr>
              <w:t>QALY</w:t>
            </w:r>
            <w:r w:rsidR="000A1CDD" w:rsidRPr="0084495F">
              <w:rPr>
                <w:rFonts w:ascii="Arial Narrow" w:hAnsi="Arial Narrow"/>
                <w:sz w:val="20"/>
                <w:szCs w:val="20"/>
              </w:rPr>
              <w:t>s</w:t>
            </w:r>
            <w:r w:rsidR="003A40DF" w:rsidRPr="0084495F">
              <w:rPr>
                <w:rFonts w:ascii="Arial Narrow" w:hAnsi="Arial Narrow"/>
                <w:sz w:val="20"/>
                <w:szCs w:val="20"/>
              </w:rPr>
              <w:t xml:space="preserve"> (97.6%)</w:t>
            </w:r>
            <w:r w:rsidR="000A1CDD" w:rsidRPr="0084495F">
              <w:rPr>
                <w:rFonts w:ascii="Arial Narrow" w:hAnsi="Arial Narrow"/>
                <w:sz w:val="20"/>
                <w:szCs w:val="20"/>
              </w:rPr>
              <w:t xml:space="preserve"> </w:t>
            </w:r>
            <w:r w:rsidR="0041106D" w:rsidRPr="0084495F">
              <w:rPr>
                <w:rFonts w:ascii="Arial Narrow" w:hAnsi="Arial Narrow"/>
                <w:sz w:val="20"/>
                <w:szCs w:val="20"/>
              </w:rPr>
              <w:t xml:space="preserve">are </w:t>
            </w:r>
            <w:r w:rsidR="000A1CDD" w:rsidRPr="0084495F">
              <w:rPr>
                <w:rFonts w:ascii="Arial Narrow" w:hAnsi="Arial Narrow"/>
                <w:sz w:val="20"/>
                <w:szCs w:val="20"/>
              </w:rPr>
              <w:t xml:space="preserve">generated in </w:t>
            </w:r>
            <w:r w:rsidR="0041106D" w:rsidRPr="0084495F">
              <w:rPr>
                <w:rFonts w:ascii="Arial Narrow" w:hAnsi="Arial Narrow"/>
                <w:sz w:val="20"/>
                <w:szCs w:val="20"/>
              </w:rPr>
              <w:t xml:space="preserve">the </w:t>
            </w:r>
            <w:r w:rsidR="000A1CDD" w:rsidRPr="0084495F">
              <w:rPr>
                <w:rFonts w:ascii="Arial Narrow" w:hAnsi="Arial Narrow"/>
                <w:sz w:val="20"/>
                <w:szCs w:val="20"/>
              </w:rPr>
              <w:t>extrapolated period</w:t>
            </w:r>
            <w:r w:rsidR="0041106D" w:rsidRPr="0084495F">
              <w:rPr>
                <w:rFonts w:ascii="Arial Narrow" w:hAnsi="Arial Narrow"/>
                <w:sz w:val="20"/>
                <w:szCs w:val="20"/>
              </w:rPr>
              <w:t>.</w:t>
            </w:r>
          </w:p>
        </w:tc>
        <w:tc>
          <w:tcPr>
            <w:tcW w:w="601" w:type="pct"/>
            <w:shd w:val="clear" w:color="auto" w:fill="auto"/>
          </w:tcPr>
          <w:p w14:paraId="14CDFA9C" w14:textId="3CD34FFD" w:rsidR="008E1C22" w:rsidRPr="0084495F" w:rsidRDefault="008156EC" w:rsidP="00126691">
            <w:pPr>
              <w:pStyle w:val="TableText"/>
              <w:keepNext w:val="0"/>
              <w:rPr>
                <w:szCs w:val="20"/>
              </w:rPr>
            </w:pPr>
            <w:r w:rsidRPr="0084495F">
              <w:rPr>
                <w:szCs w:val="20"/>
              </w:rPr>
              <w:t>High, favours vericiguat</w:t>
            </w:r>
          </w:p>
        </w:tc>
      </w:tr>
      <w:tr w:rsidR="008E1C22" w:rsidRPr="0084495F" w14:paraId="70E06484" w14:textId="77777777" w:rsidTr="005968A1">
        <w:trPr>
          <w:cantSplit/>
        </w:trPr>
        <w:tc>
          <w:tcPr>
            <w:tcW w:w="862" w:type="pct"/>
            <w:shd w:val="clear" w:color="auto" w:fill="auto"/>
          </w:tcPr>
          <w:p w14:paraId="1315A057" w14:textId="63FD4B8B" w:rsidR="008E1C22" w:rsidRPr="0084495F" w:rsidRDefault="00E04746" w:rsidP="00126691">
            <w:pPr>
              <w:pStyle w:val="TableText"/>
              <w:keepNext w:val="0"/>
              <w:rPr>
                <w:szCs w:val="20"/>
              </w:rPr>
            </w:pPr>
            <w:r w:rsidRPr="0084495F">
              <w:rPr>
                <w:szCs w:val="20"/>
              </w:rPr>
              <w:lastRenderedPageBreak/>
              <w:t>Applicability of the modelled population and circumstances of use</w:t>
            </w:r>
            <w:r w:rsidR="00996D8E" w:rsidRPr="0084495F">
              <w:rPr>
                <w:szCs w:val="20"/>
              </w:rPr>
              <w:t xml:space="preserve"> </w:t>
            </w:r>
          </w:p>
        </w:tc>
        <w:tc>
          <w:tcPr>
            <w:tcW w:w="3537" w:type="pct"/>
            <w:shd w:val="clear" w:color="auto" w:fill="auto"/>
          </w:tcPr>
          <w:p w14:paraId="50FD5D75" w14:textId="68DB5A4C" w:rsidR="0025149B" w:rsidRPr="0084495F" w:rsidRDefault="003A040F" w:rsidP="00126691">
            <w:pPr>
              <w:jc w:val="left"/>
              <w:rPr>
                <w:rFonts w:ascii="Arial Narrow" w:hAnsi="Arial Narrow"/>
                <w:iCs/>
                <w:sz w:val="20"/>
                <w:szCs w:val="20"/>
              </w:rPr>
            </w:pPr>
            <w:r w:rsidRPr="0084495F">
              <w:rPr>
                <w:rFonts w:ascii="Arial Narrow" w:hAnsi="Arial Narrow"/>
                <w:iCs/>
                <w:sz w:val="20"/>
                <w:szCs w:val="20"/>
              </w:rPr>
              <w:t>T</w:t>
            </w:r>
            <w:r w:rsidR="0041638A" w:rsidRPr="0084495F">
              <w:rPr>
                <w:rFonts w:ascii="Arial Narrow" w:hAnsi="Arial Narrow"/>
                <w:iCs/>
                <w:sz w:val="20"/>
                <w:szCs w:val="20"/>
              </w:rPr>
              <w:t xml:space="preserve">here </w:t>
            </w:r>
            <w:r w:rsidR="009E1DFA" w:rsidRPr="0084495F">
              <w:rPr>
                <w:rFonts w:ascii="Arial Narrow" w:hAnsi="Arial Narrow"/>
                <w:iCs/>
                <w:sz w:val="20"/>
                <w:szCs w:val="20"/>
              </w:rPr>
              <w:t>are</w:t>
            </w:r>
            <w:r w:rsidR="0041638A" w:rsidRPr="0084495F">
              <w:rPr>
                <w:rFonts w:ascii="Arial Narrow" w:hAnsi="Arial Narrow"/>
                <w:iCs/>
                <w:sz w:val="20"/>
                <w:szCs w:val="20"/>
              </w:rPr>
              <w:t xml:space="preserve"> concerns with the applicability of the </w:t>
            </w:r>
            <w:r w:rsidR="001A2E34" w:rsidRPr="0084495F">
              <w:rPr>
                <w:rFonts w:ascii="Arial Narrow" w:hAnsi="Arial Narrow"/>
                <w:iCs/>
                <w:sz w:val="20"/>
                <w:szCs w:val="20"/>
              </w:rPr>
              <w:t xml:space="preserve">modelled population, based on the </w:t>
            </w:r>
            <w:r w:rsidR="00CA6884" w:rsidRPr="0084495F">
              <w:rPr>
                <w:rFonts w:ascii="Arial Narrow" w:hAnsi="Arial Narrow"/>
                <w:iCs/>
                <w:sz w:val="20"/>
                <w:szCs w:val="20"/>
              </w:rPr>
              <w:t>VICTORIA trial NT-</w:t>
            </w:r>
            <w:proofErr w:type="spellStart"/>
            <w:r w:rsidR="00CA6884" w:rsidRPr="0084495F">
              <w:rPr>
                <w:rFonts w:ascii="Arial Narrow" w:hAnsi="Arial Narrow"/>
                <w:iCs/>
                <w:sz w:val="20"/>
                <w:szCs w:val="20"/>
              </w:rPr>
              <w:t>proBNP</w:t>
            </w:r>
            <w:proofErr w:type="spellEnd"/>
            <w:r w:rsidR="00CA6884" w:rsidRPr="0084495F">
              <w:rPr>
                <w:rFonts w:ascii="Arial Narrow" w:hAnsi="Arial Narrow"/>
                <w:iCs/>
                <w:sz w:val="20"/>
                <w:szCs w:val="20"/>
              </w:rPr>
              <w:t xml:space="preserve"> Q1-Q3 subgroup,</w:t>
            </w:r>
            <w:r w:rsidR="0041638A" w:rsidRPr="0084495F">
              <w:rPr>
                <w:rFonts w:ascii="Arial Narrow" w:hAnsi="Arial Narrow"/>
                <w:iCs/>
                <w:sz w:val="20"/>
                <w:szCs w:val="20"/>
              </w:rPr>
              <w:t xml:space="preserve"> to the PBS population given differences in risk factors of sex, LVEF and eGFR, and significant treatment effect interactions associated with baseline NT-</w:t>
            </w:r>
            <w:proofErr w:type="spellStart"/>
            <w:r w:rsidR="0041638A" w:rsidRPr="0084495F">
              <w:rPr>
                <w:rFonts w:ascii="Arial Narrow" w:hAnsi="Arial Narrow"/>
                <w:iCs/>
                <w:sz w:val="20"/>
                <w:szCs w:val="20"/>
              </w:rPr>
              <w:t>proBNP</w:t>
            </w:r>
            <w:proofErr w:type="spellEnd"/>
            <w:r w:rsidR="0041638A" w:rsidRPr="0084495F">
              <w:rPr>
                <w:rFonts w:ascii="Arial Narrow" w:hAnsi="Arial Narrow"/>
                <w:iCs/>
                <w:sz w:val="20"/>
                <w:szCs w:val="20"/>
              </w:rPr>
              <w:t xml:space="preserve"> and age, which may result in differences in the treatment benefit of vericiguat in the requested Australian population compared with the modelled population.</w:t>
            </w:r>
            <w:r w:rsidR="00E04746" w:rsidRPr="0084495F">
              <w:rPr>
                <w:rFonts w:ascii="Arial Narrow" w:hAnsi="Arial Narrow"/>
                <w:iCs/>
                <w:sz w:val="20"/>
                <w:szCs w:val="20"/>
              </w:rPr>
              <w:t xml:space="preserve"> T</w:t>
            </w:r>
            <w:r w:rsidR="0041638A" w:rsidRPr="0084495F">
              <w:rPr>
                <w:rFonts w:ascii="Arial Narrow" w:hAnsi="Arial Narrow"/>
                <w:iCs/>
                <w:sz w:val="20"/>
                <w:szCs w:val="20"/>
              </w:rPr>
              <w:t xml:space="preserve">here were differences in use of </w:t>
            </w:r>
            <w:proofErr w:type="spellStart"/>
            <w:r w:rsidR="0041638A" w:rsidRPr="0084495F">
              <w:rPr>
                <w:rFonts w:ascii="Arial Narrow" w:hAnsi="Arial Narrow"/>
                <w:iCs/>
                <w:sz w:val="20"/>
                <w:szCs w:val="20"/>
              </w:rPr>
              <w:t>ARNi</w:t>
            </w:r>
            <w:proofErr w:type="spellEnd"/>
            <w:r w:rsidR="0041638A" w:rsidRPr="0084495F">
              <w:rPr>
                <w:rFonts w:ascii="Arial Narrow" w:hAnsi="Arial Narrow"/>
                <w:iCs/>
                <w:sz w:val="20"/>
                <w:szCs w:val="20"/>
              </w:rPr>
              <w:t xml:space="preserve"> medicines between the trial and Australian setting (14.5% versus 42%)</w:t>
            </w:r>
            <w:r w:rsidR="004C7266" w:rsidRPr="0084495F">
              <w:rPr>
                <w:rFonts w:ascii="Arial Narrow" w:hAnsi="Arial Narrow"/>
                <w:iCs/>
                <w:sz w:val="20"/>
                <w:szCs w:val="20"/>
              </w:rPr>
              <w:t xml:space="preserve"> and t</w:t>
            </w:r>
            <w:r w:rsidR="0041638A" w:rsidRPr="0084495F">
              <w:rPr>
                <w:rFonts w:ascii="Arial Narrow" w:hAnsi="Arial Narrow"/>
                <w:iCs/>
                <w:sz w:val="20"/>
                <w:szCs w:val="20"/>
              </w:rPr>
              <w:t>he submission did not consider the recently recommended SGLT2 inhibitors, and the impact on vericiguat when used as an add on to standard of care which includes SGLT2 inhibitors.</w:t>
            </w:r>
          </w:p>
          <w:p w14:paraId="3FB4DF08" w14:textId="78172B12" w:rsidR="0025149B" w:rsidRPr="0084495F" w:rsidRDefault="00E04746" w:rsidP="009354E7">
            <w:pPr>
              <w:jc w:val="left"/>
              <w:rPr>
                <w:rFonts w:ascii="Arial Narrow" w:hAnsi="Arial Narrow"/>
                <w:sz w:val="20"/>
                <w:szCs w:val="20"/>
              </w:rPr>
            </w:pPr>
            <w:r w:rsidRPr="0084495F">
              <w:rPr>
                <w:rFonts w:ascii="Arial Narrow" w:hAnsi="Arial Narrow"/>
                <w:iCs/>
                <w:sz w:val="20"/>
                <w:szCs w:val="20"/>
              </w:rPr>
              <w:t>Further</w:t>
            </w:r>
            <w:r w:rsidR="005D7814" w:rsidRPr="0084495F">
              <w:rPr>
                <w:rFonts w:ascii="Arial Narrow" w:hAnsi="Arial Narrow"/>
                <w:iCs/>
                <w:sz w:val="20"/>
                <w:szCs w:val="20"/>
              </w:rPr>
              <w:t xml:space="preserve">, </w:t>
            </w:r>
            <w:r w:rsidR="009354E7" w:rsidRPr="0084495F">
              <w:rPr>
                <w:rFonts w:ascii="Arial Narrow" w:hAnsi="Arial Narrow"/>
                <w:iCs/>
                <w:sz w:val="20"/>
                <w:szCs w:val="20"/>
              </w:rPr>
              <w:t>the ESC considered that i</w:t>
            </w:r>
            <w:r w:rsidR="007766C5" w:rsidRPr="0084495F">
              <w:rPr>
                <w:rFonts w:ascii="Arial Narrow" w:hAnsi="Arial Narrow"/>
                <w:iCs/>
                <w:sz w:val="20"/>
                <w:szCs w:val="20"/>
              </w:rPr>
              <w:t>t</w:t>
            </w:r>
            <w:r w:rsidR="009354E7" w:rsidRPr="0084495F">
              <w:rPr>
                <w:rFonts w:ascii="Arial Narrow" w:hAnsi="Arial Narrow"/>
                <w:iCs/>
                <w:sz w:val="20"/>
                <w:szCs w:val="20"/>
              </w:rPr>
              <w:t xml:space="preserve"> was unreasonable to assume that </w:t>
            </w:r>
            <w:r w:rsidR="00793DB8" w:rsidRPr="0084495F">
              <w:rPr>
                <w:rFonts w:ascii="Arial Narrow" w:hAnsi="Arial Narrow"/>
                <w:iCs/>
                <w:sz w:val="20"/>
                <w:szCs w:val="20"/>
              </w:rPr>
              <w:t>the treatment outcomes and cost-effectiveness associated with vericiguat in the NT-</w:t>
            </w:r>
            <w:proofErr w:type="spellStart"/>
            <w:r w:rsidR="00793DB8" w:rsidRPr="0084495F">
              <w:rPr>
                <w:rFonts w:ascii="Arial Narrow" w:hAnsi="Arial Narrow"/>
                <w:iCs/>
                <w:sz w:val="20"/>
                <w:szCs w:val="20"/>
              </w:rPr>
              <w:t>proBNP</w:t>
            </w:r>
            <w:proofErr w:type="spellEnd"/>
            <w:r w:rsidR="00793DB8" w:rsidRPr="0084495F">
              <w:rPr>
                <w:rFonts w:ascii="Arial Narrow" w:hAnsi="Arial Narrow"/>
                <w:iCs/>
                <w:sz w:val="20"/>
                <w:szCs w:val="20"/>
              </w:rPr>
              <w:t xml:space="preserve"> Q1-Q3 subgroup of the VICTORIA trial will be realised in the Australian setting</w:t>
            </w:r>
            <w:r w:rsidR="00547BB0" w:rsidRPr="0084495F">
              <w:rPr>
                <w:rFonts w:ascii="Arial Narrow" w:hAnsi="Arial Narrow"/>
                <w:iCs/>
                <w:sz w:val="20"/>
                <w:szCs w:val="20"/>
              </w:rPr>
              <w:t xml:space="preserve">, without </w:t>
            </w:r>
            <w:r w:rsidR="009354E7" w:rsidRPr="0084495F">
              <w:rPr>
                <w:rFonts w:ascii="Arial Narrow" w:hAnsi="Arial Narrow"/>
                <w:iCs/>
                <w:sz w:val="20"/>
                <w:szCs w:val="20"/>
              </w:rPr>
              <w:t>requiring measurement NT-</w:t>
            </w:r>
            <w:proofErr w:type="spellStart"/>
            <w:r w:rsidR="009354E7" w:rsidRPr="0084495F">
              <w:rPr>
                <w:rFonts w:ascii="Arial Narrow" w:hAnsi="Arial Narrow"/>
                <w:iCs/>
                <w:sz w:val="20"/>
                <w:szCs w:val="20"/>
              </w:rPr>
              <w:t>proBNP</w:t>
            </w:r>
            <w:proofErr w:type="spellEnd"/>
            <w:r w:rsidR="009354E7" w:rsidRPr="0084495F">
              <w:rPr>
                <w:rFonts w:ascii="Arial Narrow" w:hAnsi="Arial Narrow"/>
                <w:iCs/>
                <w:sz w:val="20"/>
                <w:szCs w:val="20"/>
              </w:rPr>
              <w:t xml:space="preserve">. </w:t>
            </w:r>
          </w:p>
        </w:tc>
        <w:tc>
          <w:tcPr>
            <w:tcW w:w="601" w:type="pct"/>
            <w:shd w:val="clear" w:color="auto" w:fill="auto"/>
          </w:tcPr>
          <w:p w14:paraId="18DCFCF1" w14:textId="17964DC5" w:rsidR="008E1C22" w:rsidRPr="0084495F" w:rsidRDefault="001E68C4" w:rsidP="00126691">
            <w:pPr>
              <w:pStyle w:val="TableText"/>
              <w:keepNext w:val="0"/>
              <w:rPr>
                <w:szCs w:val="20"/>
              </w:rPr>
            </w:pPr>
            <w:r w:rsidRPr="0084495F">
              <w:rPr>
                <w:szCs w:val="20"/>
              </w:rPr>
              <w:t>High, favours vericiguat</w:t>
            </w:r>
          </w:p>
        </w:tc>
      </w:tr>
      <w:tr w:rsidR="008156EC" w:rsidRPr="0084495F" w14:paraId="139B830E" w14:textId="77777777" w:rsidTr="005968A1">
        <w:trPr>
          <w:cantSplit/>
        </w:trPr>
        <w:tc>
          <w:tcPr>
            <w:tcW w:w="862" w:type="pct"/>
            <w:shd w:val="clear" w:color="auto" w:fill="auto"/>
          </w:tcPr>
          <w:p w14:paraId="3064A624" w14:textId="73239737" w:rsidR="008156EC" w:rsidRPr="0084495F" w:rsidRDefault="008156EC" w:rsidP="008156EC">
            <w:pPr>
              <w:pStyle w:val="TableText"/>
              <w:keepNext w:val="0"/>
              <w:rPr>
                <w:szCs w:val="20"/>
              </w:rPr>
            </w:pPr>
            <w:r w:rsidRPr="0084495F">
              <w:rPr>
                <w:szCs w:val="20"/>
              </w:rPr>
              <w:t>Model structure</w:t>
            </w:r>
          </w:p>
        </w:tc>
        <w:tc>
          <w:tcPr>
            <w:tcW w:w="3537" w:type="pct"/>
            <w:shd w:val="clear" w:color="auto" w:fill="auto"/>
          </w:tcPr>
          <w:p w14:paraId="20467EC2" w14:textId="7A35F3CB" w:rsidR="008156EC" w:rsidRPr="0084495F" w:rsidRDefault="00BA1C63" w:rsidP="003C00BC">
            <w:pPr>
              <w:jc w:val="left"/>
              <w:rPr>
                <w:rFonts w:ascii="Arial Narrow" w:hAnsi="Arial Narrow"/>
                <w:iCs/>
                <w:sz w:val="20"/>
                <w:szCs w:val="20"/>
              </w:rPr>
            </w:pPr>
            <w:r w:rsidRPr="0084495F">
              <w:rPr>
                <w:rFonts w:ascii="Arial Narrow" w:hAnsi="Arial Narrow"/>
                <w:iCs/>
                <w:sz w:val="20"/>
                <w:szCs w:val="20"/>
              </w:rPr>
              <w:t xml:space="preserve">The structure of the economic model was </w:t>
            </w:r>
            <w:proofErr w:type="gramStart"/>
            <w:r w:rsidRPr="0084495F">
              <w:rPr>
                <w:rFonts w:ascii="Arial Narrow" w:hAnsi="Arial Narrow"/>
                <w:iCs/>
                <w:sz w:val="20"/>
                <w:szCs w:val="20"/>
              </w:rPr>
              <w:t>similar to</w:t>
            </w:r>
            <w:proofErr w:type="gramEnd"/>
            <w:r w:rsidRPr="0084495F">
              <w:rPr>
                <w:rFonts w:ascii="Arial Narrow" w:hAnsi="Arial Narrow"/>
                <w:iCs/>
                <w:sz w:val="20"/>
                <w:szCs w:val="20"/>
              </w:rPr>
              <w:t xml:space="preserve"> other models that the PBAC has previously considered were overly simplistic</w:t>
            </w:r>
            <w:r w:rsidR="003C00BC" w:rsidRPr="0084495F">
              <w:rPr>
                <w:rFonts w:ascii="Arial Narrow" w:hAnsi="Arial Narrow"/>
                <w:iCs/>
                <w:sz w:val="20"/>
                <w:szCs w:val="20"/>
              </w:rPr>
              <w:t>,</w:t>
            </w:r>
            <w:r w:rsidRPr="0084495F">
              <w:rPr>
                <w:rFonts w:ascii="Arial Narrow" w:hAnsi="Arial Narrow"/>
                <w:iCs/>
                <w:sz w:val="20"/>
                <w:szCs w:val="20"/>
              </w:rPr>
              <w:t xml:space="preserve"> as </w:t>
            </w:r>
            <w:r w:rsidR="00DF6ADE" w:rsidRPr="0084495F">
              <w:rPr>
                <w:rFonts w:ascii="Arial Narrow" w:hAnsi="Arial Narrow"/>
                <w:iCs/>
                <w:sz w:val="20"/>
                <w:szCs w:val="20"/>
              </w:rPr>
              <w:t xml:space="preserve">it does not incorporate </w:t>
            </w:r>
            <w:r w:rsidR="005D2ABE" w:rsidRPr="0084495F">
              <w:rPr>
                <w:rFonts w:ascii="Arial Narrow" w:hAnsi="Arial Narrow"/>
                <w:iCs/>
                <w:sz w:val="20"/>
                <w:szCs w:val="20"/>
              </w:rPr>
              <w:t>health states that reflect the progressive nature of heart failure (such as by NYHA class or KCCQ quartiles)</w:t>
            </w:r>
            <w:r w:rsidR="00343B7A" w:rsidRPr="0084495F">
              <w:rPr>
                <w:rFonts w:ascii="Arial Narrow" w:hAnsi="Arial Narrow"/>
                <w:iCs/>
                <w:sz w:val="20"/>
                <w:szCs w:val="20"/>
              </w:rPr>
              <w:t>, with associated changes in hospitalisation and mortality</w:t>
            </w:r>
            <w:r w:rsidR="003C00BC" w:rsidRPr="0084495F">
              <w:rPr>
                <w:rFonts w:ascii="Arial Narrow" w:hAnsi="Arial Narrow"/>
                <w:iCs/>
                <w:sz w:val="20"/>
                <w:szCs w:val="20"/>
              </w:rPr>
              <w:t>, costs and quality of life.</w:t>
            </w:r>
          </w:p>
        </w:tc>
        <w:tc>
          <w:tcPr>
            <w:tcW w:w="601" w:type="pct"/>
            <w:shd w:val="clear" w:color="auto" w:fill="auto"/>
          </w:tcPr>
          <w:p w14:paraId="4B799D7C" w14:textId="2F913446" w:rsidR="008156EC" w:rsidRPr="0084495F" w:rsidRDefault="00B457AC" w:rsidP="008156EC">
            <w:pPr>
              <w:pStyle w:val="TableText"/>
              <w:keepNext w:val="0"/>
              <w:rPr>
                <w:rFonts w:eastAsia="Times New Roman" w:cs="Arial"/>
                <w:bCs w:val="0"/>
                <w:iCs/>
                <w:szCs w:val="20"/>
              </w:rPr>
            </w:pPr>
            <w:r w:rsidRPr="0084495F">
              <w:rPr>
                <w:rFonts w:eastAsia="Times New Roman" w:cs="Arial"/>
                <w:bCs w:val="0"/>
                <w:iCs/>
                <w:szCs w:val="20"/>
              </w:rPr>
              <w:t>Unclear impact</w:t>
            </w:r>
          </w:p>
        </w:tc>
      </w:tr>
      <w:tr w:rsidR="008156EC" w:rsidRPr="0084495F" w14:paraId="15F7B955" w14:textId="77777777" w:rsidTr="005968A1">
        <w:trPr>
          <w:cantSplit/>
        </w:trPr>
        <w:tc>
          <w:tcPr>
            <w:tcW w:w="862" w:type="pct"/>
            <w:shd w:val="clear" w:color="auto" w:fill="auto"/>
          </w:tcPr>
          <w:p w14:paraId="30B74C61" w14:textId="55922C04" w:rsidR="008156EC" w:rsidRPr="0084495F" w:rsidRDefault="008156EC" w:rsidP="008156EC">
            <w:pPr>
              <w:pStyle w:val="TableText"/>
              <w:keepNext w:val="0"/>
              <w:rPr>
                <w:szCs w:val="20"/>
              </w:rPr>
            </w:pPr>
            <w:r w:rsidRPr="0084495F">
              <w:rPr>
                <w:szCs w:val="20"/>
              </w:rPr>
              <w:t>Treatment persistence</w:t>
            </w:r>
          </w:p>
        </w:tc>
        <w:tc>
          <w:tcPr>
            <w:tcW w:w="3537" w:type="pct"/>
            <w:shd w:val="clear" w:color="auto" w:fill="auto"/>
          </w:tcPr>
          <w:p w14:paraId="4B7956E9" w14:textId="2BDC55DD" w:rsidR="008156EC" w:rsidRPr="0084495F" w:rsidRDefault="008156EC" w:rsidP="00990865">
            <w:pPr>
              <w:rPr>
                <w:rFonts w:ascii="Arial Narrow" w:hAnsi="Arial Narrow"/>
                <w:iCs/>
                <w:sz w:val="20"/>
                <w:szCs w:val="20"/>
              </w:rPr>
            </w:pPr>
            <w:r w:rsidRPr="0084495F">
              <w:rPr>
                <w:rFonts w:ascii="Arial Narrow" w:hAnsi="Arial Narrow"/>
                <w:sz w:val="20"/>
                <w:szCs w:val="16"/>
              </w:rPr>
              <w:t xml:space="preserve">The submission assumed perfect adherence and compliance to vericiguat and standard of care therapies over the </w:t>
            </w:r>
            <w:proofErr w:type="gramStart"/>
            <w:r w:rsidRPr="0084495F">
              <w:rPr>
                <w:rFonts w:ascii="Arial Narrow" w:hAnsi="Arial Narrow"/>
                <w:sz w:val="20"/>
                <w:szCs w:val="16"/>
              </w:rPr>
              <w:t>10 year</w:t>
            </w:r>
            <w:proofErr w:type="gramEnd"/>
            <w:r w:rsidRPr="0084495F">
              <w:rPr>
                <w:rFonts w:ascii="Arial Narrow" w:hAnsi="Arial Narrow"/>
                <w:sz w:val="20"/>
                <w:szCs w:val="16"/>
              </w:rPr>
              <w:t xml:space="preserve"> duration of the model</w:t>
            </w:r>
            <w:r w:rsidRPr="0084495F">
              <w:rPr>
                <w:rFonts w:ascii="Arial Narrow" w:hAnsi="Arial Narrow"/>
                <w:sz w:val="20"/>
                <w:szCs w:val="20"/>
              </w:rPr>
              <w:t xml:space="preserve">. </w:t>
            </w:r>
            <w:r w:rsidRPr="0084495F">
              <w:rPr>
                <w:rFonts w:ascii="Arial Narrow" w:hAnsi="Arial Narrow"/>
                <w:iCs/>
                <w:sz w:val="20"/>
                <w:szCs w:val="20"/>
              </w:rPr>
              <w:t>This was inconsistent with assumptions used in the financial estimates, which assumed 42.9% discontinued treatment a</w:t>
            </w:r>
            <w:r w:rsidR="0085605B" w:rsidRPr="0084495F">
              <w:rPr>
                <w:rFonts w:ascii="Arial Narrow" w:hAnsi="Arial Narrow"/>
                <w:iCs/>
                <w:sz w:val="20"/>
                <w:szCs w:val="20"/>
              </w:rPr>
              <w:t>t</w:t>
            </w:r>
            <w:r w:rsidRPr="0084495F">
              <w:rPr>
                <w:rFonts w:ascii="Arial Narrow" w:hAnsi="Arial Narrow"/>
                <w:iCs/>
                <w:sz w:val="20"/>
                <w:szCs w:val="20"/>
              </w:rPr>
              <w:t xml:space="preserve"> 12 months (including deaths) and a fixed treatment duration of 14 months</w:t>
            </w:r>
            <w:r w:rsidR="0034259D" w:rsidRPr="0084495F">
              <w:rPr>
                <w:rFonts w:ascii="Arial Narrow" w:hAnsi="Arial Narrow"/>
                <w:iCs/>
                <w:sz w:val="20"/>
                <w:szCs w:val="20"/>
              </w:rPr>
              <w:t>*</w:t>
            </w:r>
            <w:r w:rsidRPr="0084495F">
              <w:rPr>
                <w:rFonts w:ascii="Arial Narrow" w:hAnsi="Arial Narrow"/>
                <w:iCs/>
                <w:sz w:val="20"/>
                <w:szCs w:val="20"/>
              </w:rPr>
              <w:t>. The approach used in the economic model will not reflect persistence in clinical practice and will overestimate the costs and benefits of vericiguat treatment.</w:t>
            </w:r>
            <w:r w:rsidR="0085605B" w:rsidRPr="0084495F">
              <w:rPr>
                <w:rFonts w:ascii="Arial Narrow" w:hAnsi="Arial Narrow"/>
                <w:iCs/>
                <w:sz w:val="20"/>
                <w:szCs w:val="20"/>
              </w:rPr>
              <w:t xml:space="preserve"> The PSCR acknowledged that this will overestimate </w:t>
            </w:r>
            <w:proofErr w:type="gramStart"/>
            <w:r w:rsidR="0085605B" w:rsidRPr="0084495F">
              <w:rPr>
                <w:rFonts w:ascii="Arial Narrow" w:hAnsi="Arial Narrow"/>
                <w:iCs/>
                <w:sz w:val="20"/>
                <w:szCs w:val="20"/>
              </w:rPr>
              <w:t>costs, but</w:t>
            </w:r>
            <w:proofErr w:type="gramEnd"/>
            <w:r w:rsidR="0085605B" w:rsidRPr="0084495F">
              <w:rPr>
                <w:rFonts w:ascii="Arial Narrow" w:hAnsi="Arial Narrow"/>
                <w:iCs/>
                <w:sz w:val="20"/>
                <w:szCs w:val="20"/>
              </w:rPr>
              <w:t xml:space="preserve"> claimed it will not overestimate benefits as they are derived directly from the VICTORIA clinical trial data, and therefore account for treatment adherence/ persistence in the trial. However, the ESC considered that the trial-based outcomes will only account for treatment compliance </w:t>
            </w:r>
            <w:r w:rsidR="00990865" w:rsidRPr="0084495F">
              <w:rPr>
                <w:rFonts w:ascii="Arial Narrow" w:hAnsi="Arial Narrow"/>
                <w:iCs/>
                <w:sz w:val="20"/>
                <w:szCs w:val="20"/>
              </w:rPr>
              <w:t>during</w:t>
            </w:r>
            <w:r w:rsidR="0085605B" w:rsidRPr="0084495F">
              <w:rPr>
                <w:rFonts w:ascii="Arial Narrow" w:hAnsi="Arial Narrow"/>
                <w:iCs/>
                <w:sz w:val="20"/>
                <w:szCs w:val="20"/>
              </w:rPr>
              <w:t xml:space="preserve"> the trial period (median duration of follow-up of 10.8 months),</w:t>
            </w:r>
            <w:r w:rsidR="00990865" w:rsidRPr="0084495F">
              <w:rPr>
                <w:rFonts w:ascii="Arial Narrow" w:hAnsi="Arial Narrow"/>
                <w:iCs/>
                <w:sz w:val="20"/>
                <w:szCs w:val="20"/>
              </w:rPr>
              <w:t xml:space="preserve"> while</w:t>
            </w:r>
            <w:r w:rsidR="0085605B" w:rsidRPr="0084495F">
              <w:rPr>
                <w:rFonts w:ascii="Arial Narrow" w:hAnsi="Arial Narrow"/>
                <w:iCs/>
                <w:sz w:val="20"/>
                <w:szCs w:val="20"/>
              </w:rPr>
              <w:t xml:space="preserve"> the model extrapolates outcomes to 10 years</w:t>
            </w:r>
            <w:r w:rsidR="00990865" w:rsidRPr="0084495F">
              <w:rPr>
                <w:rFonts w:ascii="Arial Narrow" w:hAnsi="Arial Narrow"/>
                <w:iCs/>
                <w:sz w:val="20"/>
                <w:szCs w:val="20"/>
              </w:rPr>
              <w:t xml:space="preserve">. The extrapolated period of the model </w:t>
            </w:r>
            <w:r w:rsidR="0085605B" w:rsidRPr="0084495F">
              <w:rPr>
                <w:rFonts w:ascii="Arial Narrow" w:hAnsi="Arial Narrow"/>
                <w:iCs/>
                <w:sz w:val="20"/>
                <w:szCs w:val="20"/>
              </w:rPr>
              <w:t>does not account for subsequent treatment discontinuation or treatment adherence patterns and would therefore overestimate the benefit in patients in the extrapolated period.</w:t>
            </w:r>
          </w:p>
        </w:tc>
        <w:tc>
          <w:tcPr>
            <w:tcW w:w="601" w:type="pct"/>
            <w:shd w:val="clear" w:color="auto" w:fill="auto"/>
          </w:tcPr>
          <w:p w14:paraId="09081419" w14:textId="334B4C88" w:rsidR="008156EC" w:rsidRPr="0084495F" w:rsidRDefault="008156EC" w:rsidP="008156EC">
            <w:pPr>
              <w:pStyle w:val="TableText"/>
              <w:keepNext w:val="0"/>
              <w:rPr>
                <w:szCs w:val="20"/>
              </w:rPr>
            </w:pPr>
            <w:r w:rsidRPr="0084495F">
              <w:rPr>
                <w:szCs w:val="20"/>
              </w:rPr>
              <w:t>Unclear impact</w:t>
            </w:r>
          </w:p>
        </w:tc>
      </w:tr>
    </w:tbl>
    <w:p w14:paraId="7CBBD524" w14:textId="7965EE5C" w:rsidR="002B39F1" w:rsidRPr="0084495F" w:rsidRDefault="00162096" w:rsidP="005D3BA6">
      <w:pPr>
        <w:pStyle w:val="TableFigureFooter"/>
      </w:pPr>
      <w:r w:rsidRPr="0084495F">
        <w:t>Source: Constructed during the evaluation with reference to Section 3 of the submission</w:t>
      </w:r>
      <w:r w:rsidR="00C45F0C" w:rsidRPr="0084495F">
        <w:t xml:space="preserve"> and A7.1_Vericiguat_CEM_PBAC_Nov21_v3.0 spreadsheet provided with the submission</w:t>
      </w:r>
    </w:p>
    <w:p w14:paraId="0FAAA35D" w14:textId="2049DCE3" w:rsidR="00EF58C0" w:rsidRPr="0084495F" w:rsidRDefault="00EF58C0" w:rsidP="00EF58C0">
      <w:pPr>
        <w:pStyle w:val="TableFigureFooter"/>
      </w:pPr>
      <w:r w:rsidRPr="0084495F">
        <w:t>*The submission calculated a monthly discontinuation rate of 3.57% based on 38.6% of patients discontinuing vericiguat over a median follow-up duration of 10.8 months. Assuming a fixed, linear trend, the submission estimated that all patients would discontinue treatment by 28 months. The submission assumed the mid-point of 28 months would represent the average treatment duration of all patients (calculated as 0.5 x 28 = 14 months).</w:t>
      </w:r>
    </w:p>
    <w:p w14:paraId="4884D95F" w14:textId="68825B41" w:rsidR="000E14B7" w:rsidRPr="0084495F" w:rsidRDefault="008D49BE" w:rsidP="000E14B7">
      <w:pPr>
        <w:pStyle w:val="ExecSumBodyText"/>
      </w:pPr>
      <w:r w:rsidRPr="0084495F">
        <w:t>The f</w:t>
      </w:r>
      <w:r w:rsidR="000E14B7" w:rsidRPr="0084495F">
        <w:t xml:space="preserve">igure </w:t>
      </w:r>
      <w:r w:rsidRPr="0084495F">
        <w:t>below</w:t>
      </w:r>
      <w:r w:rsidR="000E14B7" w:rsidRPr="0084495F">
        <w:t xml:space="preserve"> presents the model trace for vericiguat plus standard of care and standard of care alone for the </w:t>
      </w:r>
      <w:r w:rsidR="00607DB0" w:rsidRPr="0084495F">
        <w:t>subgroup of patients in NT-</w:t>
      </w:r>
      <w:proofErr w:type="spellStart"/>
      <w:r w:rsidR="00607DB0" w:rsidRPr="0084495F">
        <w:t>proBNP</w:t>
      </w:r>
      <w:proofErr w:type="spellEnd"/>
      <w:r w:rsidR="00607DB0" w:rsidRPr="0084495F">
        <w:t xml:space="preserve"> quartiles 1-3 (model base case).</w:t>
      </w:r>
    </w:p>
    <w:p w14:paraId="549DDA1E" w14:textId="52786491" w:rsidR="00BF0642" w:rsidRPr="0084495F" w:rsidRDefault="00BF0642" w:rsidP="00FA6724">
      <w:pPr>
        <w:pStyle w:val="Caption"/>
      </w:pPr>
      <w:r w:rsidRPr="0084495F">
        <w:lastRenderedPageBreak/>
        <w:t xml:space="preserve">Figure </w:t>
      </w:r>
      <w:r w:rsidR="00C16DA1">
        <w:fldChar w:fldCharType="begin"/>
      </w:r>
      <w:r w:rsidR="00C16DA1">
        <w:instrText xml:space="preserve"> SEQ Figure \* ARABIC </w:instrText>
      </w:r>
      <w:r w:rsidR="00C16DA1">
        <w:fldChar w:fldCharType="separate"/>
      </w:r>
      <w:r w:rsidR="0084495F" w:rsidRPr="0084495F">
        <w:t>3</w:t>
      </w:r>
      <w:r w:rsidR="00C16DA1">
        <w:fldChar w:fldCharType="end"/>
      </w:r>
      <w:r w:rsidRPr="0084495F">
        <w:t xml:space="preserve">: Model traces for </w:t>
      </w:r>
      <w:bookmarkStart w:id="24" w:name="_Hlk69716491"/>
      <w:r w:rsidRPr="0084495F">
        <w:t>vericiguat plus standard of care and standard of care</w:t>
      </w:r>
      <w:bookmarkEnd w:id="24"/>
      <w:r w:rsidRPr="0084495F">
        <w:t xml:space="preserve"> alone: NT-</w:t>
      </w:r>
      <w:proofErr w:type="spellStart"/>
      <w:r w:rsidRPr="0084495F">
        <w:t>proBNP</w:t>
      </w:r>
      <w:proofErr w:type="spellEnd"/>
      <w:r w:rsidRPr="0084495F">
        <w:t xml:space="preserve"> Q1-Q3 subgroup</w:t>
      </w:r>
    </w:p>
    <w:p w14:paraId="5492E4C2" w14:textId="4D80A95E" w:rsidR="00BF0642" w:rsidRPr="0084495F" w:rsidRDefault="00A53A2C" w:rsidP="00BF0642">
      <w:pPr>
        <w:pStyle w:val="TableFigureFooter"/>
      </w:pPr>
      <w:r w:rsidRPr="0084495F">
        <w:rPr>
          <w:noProof/>
        </w:rPr>
        <w:drawing>
          <wp:inline distT="0" distB="0" distL="0" distR="0" wp14:anchorId="6B51A21C" wp14:editId="6E6079CA">
            <wp:extent cx="5688000" cy="3718800"/>
            <wp:effectExtent l="0" t="0" r="8255" b="0"/>
            <wp:docPr id="5" name="Picture 5" descr="Figure 3: Model traces for vericiguat plus standard of care and standard of care alone: NT-proBNP Q1-Q3 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Model traces for vericiguat plus standard of care and standard of care alone: NT-proBNP Q1-Q3 subgro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8000" cy="3718800"/>
                    </a:xfrm>
                    <a:prstGeom prst="rect">
                      <a:avLst/>
                    </a:prstGeom>
                    <a:noFill/>
                  </pic:spPr>
                </pic:pic>
              </a:graphicData>
            </a:graphic>
          </wp:inline>
        </w:drawing>
      </w:r>
      <w:r w:rsidR="00BF0642" w:rsidRPr="0084495F">
        <w:t>Source: Constructed during the evaluation using A7.1_Vericiguat_CEM_PBAC_Nov21_v3.0 spreadsheet provided with the submission</w:t>
      </w:r>
    </w:p>
    <w:p w14:paraId="225EBD9F" w14:textId="436D9980" w:rsidR="00BF0642" w:rsidRPr="0084495F" w:rsidRDefault="00BF0642" w:rsidP="00BF0642">
      <w:pPr>
        <w:pStyle w:val="TableFigureFooter"/>
      </w:pPr>
      <w:r w:rsidRPr="0084495F">
        <w:t>Abbreviations: CV, cardiovascular; Hosp</w:t>
      </w:r>
      <w:r w:rsidR="00C8033E" w:rsidRPr="0084495F">
        <w:t xml:space="preserve"> (first and </w:t>
      </w:r>
      <w:proofErr w:type="spellStart"/>
      <w:r w:rsidR="00C8033E" w:rsidRPr="0084495F">
        <w:t>subseq</w:t>
      </w:r>
      <w:proofErr w:type="spellEnd"/>
      <w:r w:rsidR="00C8033E" w:rsidRPr="0084495F">
        <w:t>)</w:t>
      </w:r>
      <w:r w:rsidRPr="0084495F">
        <w:t>, patient in first</w:t>
      </w:r>
      <w:r w:rsidR="00C8033E" w:rsidRPr="0084495F">
        <w:t xml:space="preserve"> or subsequent</w:t>
      </w:r>
      <w:r w:rsidRPr="0084495F">
        <w:t xml:space="preserve"> hospitalisation event, or post-first </w:t>
      </w:r>
      <w:r w:rsidR="00C8033E" w:rsidRPr="0084495F">
        <w:t xml:space="preserve">or subsequent </w:t>
      </w:r>
      <w:r w:rsidRPr="0084495F">
        <w:t>hospitalisation event</w:t>
      </w:r>
      <w:r w:rsidR="00884559" w:rsidRPr="0084495F">
        <w:t xml:space="preserve"> health states</w:t>
      </w:r>
      <w:r w:rsidRPr="0084495F">
        <w:t xml:space="preserve">; No </w:t>
      </w:r>
      <w:proofErr w:type="spellStart"/>
      <w:r w:rsidRPr="0084495F">
        <w:t>hosp</w:t>
      </w:r>
      <w:proofErr w:type="spellEnd"/>
      <w:r w:rsidRPr="0084495F">
        <w:t>, patient who hasn’t experienced a hospitalisation; SOC, standard of care; Ver, vericiguat</w:t>
      </w:r>
    </w:p>
    <w:p w14:paraId="2657E20A" w14:textId="77777777" w:rsidR="004278D8" w:rsidRPr="0084495F" w:rsidRDefault="00E169ED" w:rsidP="004067CC">
      <w:pPr>
        <w:pStyle w:val="ExecSumBodyText"/>
        <w:rPr>
          <w:rFonts w:eastAsia="Calibri"/>
          <w:iCs/>
        </w:rPr>
      </w:pPr>
      <w:r w:rsidRPr="0084495F">
        <w:rPr>
          <w:rStyle w:val="CommentReference"/>
          <w:sz w:val="24"/>
          <w:szCs w:val="24"/>
        </w:rPr>
        <w:t xml:space="preserve">The model traces indicate that vericiguat </w:t>
      </w:r>
      <w:r w:rsidR="008A594F" w:rsidRPr="0084495F">
        <w:rPr>
          <w:rStyle w:val="CommentReference"/>
          <w:sz w:val="24"/>
          <w:szCs w:val="24"/>
        </w:rPr>
        <w:t xml:space="preserve">was associated with a </w:t>
      </w:r>
      <w:r w:rsidR="003C16C9" w:rsidRPr="0084495F">
        <w:rPr>
          <w:rStyle w:val="CommentReference"/>
          <w:sz w:val="24"/>
          <w:szCs w:val="24"/>
        </w:rPr>
        <w:t>survival benefit, due to a reduction in cardiovascular death</w:t>
      </w:r>
      <w:r w:rsidR="003A6995" w:rsidRPr="0084495F">
        <w:rPr>
          <w:rStyle w:val="CommentReference"/>
          <w:sz w:val="24"/>
          <w:szCs w:val="24"/>
        </w:rPr>
        <w:t>;</w:t>
      </w:r>
      <w:r w:rsidR="002A5E42" w:rsidRPr="0084495F">
        <w:rPr>
          <w:rStyle w:val="CommentReference"/>
          <w:sz w:val="24"/>
          <w:szCs w:val="24"/>
        </w:rPr>
        <w:t xml:space="preserve"> with a smaller benefit associated with a reduction in hospitalisation. </w:t>
      </w:r>
      <w:r w:rsidR="002A5E42" w:rsidRPr="0084495F">
        <w:rPr>
          <w:rStyle w:val="CommentReference"/>
          <w:iCs/>
          <w:sz w:val="24"/>
          <w:szCs w:val="24"/>
        </w:rPr>
        <w:t>This was inconsistent with the results of the</w:t>
      </w:r>
      <w:r w:rsidR="008A594F" w:rsidRPr="0084495F">
        <w:rPr>
          <w:rStyle w:val="CommentReference"/>
          <w:iCs/>
          <w:sz w:val="24"/>
          <w:szCs w:val="24"/>
        </w:rPr>
        <w:t xml:space="preserve"> </w:t>
      </w:r>
      <w:r w:rsidR="003A6995" w:rsidRPr="0084495F">
        <w:rPr>
          <w:rStyle w:val="CommentReference"/>
          <w:iCs/>
          <w:sz w:val="24"/>
          <w:szCs w:val="24"/>
        </w:rPr>
        <w:t>VICTORIA trial</w:t>
      </w:r>
      <w:r w:rsidR="004067CC" w:rsidRPr="0084495F">
        <w:rPr>
          <w:rStyle w:val="CommentReference"/>
          <w:iCs/>
          <w:sz w:val="24"/>
          <w:szCs w:val="24"/>
        </w:rPr>
        <w:t xml:space="preserve"> (ITT and NT-</w:t>
      </w:r>
      <w:proofErr w:type="spellStart"/>
      <w:r w:rsidR="004067CC" w:rsidRPr="0084495F">
        <w:rPr>
          <w:rStyle w:val="CommentReference"/>
          <w:iCs/>
          <w:sz w:val="24"/>
          <w:szCs w:val="24"/>
        </w:rPr>
        <w:t>proBNP</w:t>
      </w:r>
      <w:proofErr w:type="spellEnd"/>
      <w:r w:rsidR="004067CC" w:rsidRPr="0084495F">
        <w:rPr>
          <w:rStyle w:val="CommentReference"/>
          <w:iCs/>
          <w:sz w:val="24"/>
          <w:szCs w:val="24"/>
        </w:rPr>
        <w:t xml:space="preserve"> Q1-Q3 subgroup)</w:t>
      </w:r>
      <w:r w:rsidR="003A6995" w:rsidRPr="0084495F">
        <w:rPr>
          <w:rStyle w:val="CommentReference"/>
          <w:iCs/>
          <w:sz w:val="24"/>
          <w:szCs w:val="24"/>
        </w:rPr>
        <w:t xml:space="preserve">, which </w:t>
      </w:r>
      <w:r w:rsidR="00F67EAB" w:rsidRPr="0084495F">
        <w:rPr>
          <w:rStyle w:val="CommentReference"/>
          <w:iCs/>
          <w:sz w:val="24"/>
          <w:szCs w:val="24"/>
        </w:rPr>
        <w:t xml:space="preserve">showed the </w:t>
      </w:r>
      <w:r w:rsidR="00F67EAB" w:rsidRPr="0084495F">
        <w:rPr>
          <w:rFonts w:eastAsia="Calibri"/>
          <w:iCs/>
        </w:rPr>
        <w:t>difference</w:t>
      </w:r>
      <w:r w:rsidR="004067CC" w:rsidRPr="0084495F">
        <w:rPr>
          <w:rFonts w:eastAsia="Calibri"/>
          <w:iCs/>
        </w:rPr>
        <w:t xml:space="preserve"> between treatment arms was primarily driven by differences in the rates of hospitalisation for heart failure.</w:t>
      </w:r>
      <w:r w:rsidR="00F50927" w:rsidRPr="0084495F">
        <w:rPr>
          <w:rFonts w:eastAsia="Calibri"/>
          <w:iCs/>
        </w:rPr>
        <w:t xml:space="preserve"> The benefit of vericiguat treatment is maintained over the </w:t>
      </w:r>
      <w:proofErr w:type="gramStart"/>
      <w:r w:rsidR="00F50927" w:rsidRPr="0084495F">
        <w:rPr>
          <w:rFonts w:eastAsia="Calibri"/>
          <w:iCs/>
        </w:rPr>
        <w:t>10 year</w:t>
      </w:r>
      <w:proofErr w:type="gramEnd"/>
      <w:r w:rsidR="00F50927" w:rsidRPr="0084495F">
        <w:rPr>
          <w:rFonts w:eastAsia="Calibri"/>
          <w:iCs/>
        </w:rPr>
        <w:t xml:space="preserve"> duration of the model.</w:t>
      </w:r>
      <w:r w:rsidR="00AC0E47" w:rsidRPr="0084495F">
        <w:rPr>
          <w:rFonts w:eastAsia="Calibri"/>
          <w:iCs/>
        </w:rPr>
        <w:t xml:space="preserve"> At the end of the 10-year time horizon, 35-40% of patients remain alive.</w:t>
      </w:r>
      <w:r w:rsidR="007F4206" w:rsidRPr="0084495F">
        <w:rPr>
          <w:rFonts w:eastAsia="Calibri"/>
          <w:iCs/>
        </w:rPr>
        <w:t xml:space="preserve"> </w:t>
      </w:r>
    </w:p>
    <w:p w14:paraId="6493C210" w14:textId="5F0E2F0C" w:rsidR="004067CC" w:rsidRPr="0084495F" w:rsidRDefault="007F4206" w:rsidP="004067CC">
      <w:pPr>
        <w:pStyle w:val="ExecSumBodyText"/>
        <w:rPr>
          <w:rFonts w:eastAsia="Calibri"/>
          <w:iCs/>
        </w:rPr>
      </w:pPr>
      <w:r w:rsidRPr="0084495F">
        <w:rPr>
          <w:rFonts w:eastAsia="Calibri"/>
          <w:iCs/>
        </w:rPr>
        <w:t xml:space="preserve">The ESC </w:t>
      </w:r>
      <w:r w:rsidR="004278D8" w:rsidRPr="0084495F">
        <w:rPr>
          <w:rFonts w:eastAsia="Calibri"/>
          <w:iCs/>
        </w:rPr>
        <w:t xml:space="preserve">noted that </w:t>
      </w:r>
      <w:r w:rsidR="008B2839" w:rsidRPr="0084495F">
        <w:rPr>
          <w:rFonts w:eastAsia="Calibri"/>
          <w:iCs/>
        </w:rPr>
        <w:t>vericiguat was associated with a survival benefit</w:t>
      </w:r>
      <w:r w:rsidR="005F5101" w:rsidRPr="0084495F">
        <w:rPr>
          <w:rFonts w:eastAsia="Calibri"/>
          <w:iCs/>
        </w:rPr>
        <w:t xml:space="preserve"> that continued</w:t>
      </w:r>
      <w:r w:rsidR="008B2839" w:rsidRPr="0084495F">
        <w:rPr>
          <w:rFonts w:eastAsia="Calibri"/>
          <w:iCs/>
        </w:rPr>
        <w:t xml:space="preserve"> </w:t>
      </w:r>
      <w:r w:rsidR="00291186" w:rsidRPr="0084495F">
        <w:rPr>
          <w:rFonts w:eastAsia="Calibri"/>
          <w:iCs/>
        </w:rPr>
        <w:t xml:space="preserve">over </w:t>
      </w:r>
      <w:r w:rsidR="005F5101" w:rsidRPr="0084495F">
        <w:rPr>
          <w:rFonts w:eastAsia="Calibri"/>
          <w:iCs/>
        </w:rPr>
        <w:t>the</w:t>
      </w:r>
      <w:r w:rsidR="004278D8" w:rsidRPr="0084495F">
        <w:rPr>
          <w:rFonts w:eastAsia="Calibri"/>
          <w:iCs/>
        </w:rPr>
        <w:t xml:space="preserve"> </w:t>
      </w:r>
      <w:r w:rsidR="007C245E" w:rsidRPr="0084495F">
        <w:rPr>
          <w:rFonts w:eastAsia="Calibri"/>
          <w:iCs/>
        </w:rPr>
        <w:t>10-year</w:t>
      </w:r>
      <w:r w:rsidR="00291186" w:rsidRPr="0084495F">
        <w:rPr>
          <w:rFonts w:eastAsia="Calibri"/>
          <w:iCs/>
        </w:rPr>
        <w:t xml:space="preserve"> time horizon </w:t>
      </w:r>
      <w:r w:rsidR="005F5101" w:rsidRPr="0084495F">
        <w:rPr>
          <w:rFonts w:eastAsia="Calibri"/>
          <w:iCs/>
        </w:rPr>
        <w:t xml:space="preserve">and considered this </w:t>
      </w:r>
      <w:r w:rsidR="00291186" w:rsidRPr="0084495F">
        <w:rPr>
          <w:rFonts w:eastAsia="Calibri"/>
          <w:iCs/>
        </w:rPr>
        <w:t>was not adequately justified given the median duration of follow-up in the trial (10.8 months). Further, the ESC considered that, unlike other cardiovascular drugs that have modelled a prolonged survival benefit beyond the trial follow-up (</w:t>
      </w:r>
      <w:proofErr w:type="gramStart"/>
      <w:r w:rsidR="00291186" w:rsidRPr="0084495F">
        <w:rPr>
          <w:rFonts w:eastAsia="Calibri"/>
          <w:iCs/>
        </w:rPr>
        <w:t>e.g.</w:t>
      </w:r>
      <w:proofErr w:type="gramEnd"/>
      <w:r w:rsidR="00291186" w:rsidRPr="0084495F">
        <w:rPr>
          <w:rFonts w:eastAsia="Calibri"/>
          <w:iCs/>
        </w:rPr>
        <w:t xml:space="preserve"> the PCSK9-inhibitors), vericiguat was not associated with biologically plausible disease modification (but rather an alteration in biochemical modulators while taking the drug). </w:t>
      </w:r>
      <w:r w:rsidR="005F5101" w:rsidRPr="0084495F">
        <w:rPr>
          <w:rFonts w:eastAsia="Calibri"/>
          <w:iCs/>
        </w:rPr>
        <w:t>T</w:t>
      </w:r>
      <w:r w:rsidR="00291186" w:rsidRPr="0084495F">
        <w:rPr>
          <w:rFonts w:eastAsia="Calibri"/>
          <w:iCs/>
        </w:rPr>
        <w:t xml:space="preserve">he ESC considered that, given the lack of evidence to support a prolonged survival benefit, it may be more appropriate for the economic model </w:t>
      </w:r>
      <w:r w:rsidR="005F5101" w:rsidRPr="0084495F">
        <w:rPr>
          <w:rFonts w:eastAsia="Calibri"/>
          <w:iCs/>
        </w:rPr>
        <w:t xml:space="preserve">to </w:t>
      </w:r>
      <w:r w:rsidR="00176C4D" w:rsidRPr="0084495F">
        <w:rPr>
          <w:rFonts w:eastAsia="Calibri"/>
          <w:iCs/>
        </w:rPr>
        <w:t xml:space="preserve">be </w:t>
      </w:r>
      <w:r w:rsidR="005F5101" w:rsidRPr="0084495F">
        <w:rPr>
          <w:rFonts w:eastAsia="Calibri"/>
          <w:iCs/>
        </w:rPr>
        <w:t xml:space="preserve">primarily driven by </w:t>
      </w:r>
      <w:r w:rsidR="004278D8" w:rsidRPr="0084495F">
        <w:rPr>
          <w:rFonts w:eastAsia="Calibri"/>
          <w:iCs/>
        </w:rPr>
        <w:t xml:space="preserve">reduced </w:t>
      </w:r>
      <w:r w:rsidR="005F5101" w:rsidRPr="0084495F">
        <w:rPr>
          <w:rFonts w:eastAsia="Calibri"/>
          <w:iCs/>
        </w:rPr>
        <w:t xml:space="preserve">cardiovascular hospitalisations, rather than mortality benefits. </w:t>
      </w:r>
    </w:p>
    <w:p w14:paraId="67F08DCB" w14:textId="24CF6713" w:rsidR="00D841D7" w:rsidRPr="0084495F" w:rsidRDefault="003F7642" w:rsidP="006E5920">
      <w:pPr>
        <w:pStyle w:val="ExecSumBodyText"/>
        <w:rPr>
          <w:iCs/>
        </w:rPr>
      </w:pPr>
      <w:r w:rsidRPr="0084495F">
        <w:lastRenderedPageBreak/>
        <w:t xml:space="preserve">During the evaluation, the number of hospitalisations per patient, cardiovascular deaths and all-cause deaths derived from the VICTORIA trial were compared with events in the economic model over a </w:t>
      </w:r>
      <w:proofErr w:type="gramStart"/>
      <w:r w:rsidRPr="0084495F">
        <w:t>15 month</w:t>
      </w:r>
      <w:proofErr w:type="gramEnd"/>
      <w:r w:rsidRPr="0084495F">
        <w:t xml:space="preserve"> time horizon (consistent with average follow-up for hospitalisation events and all-cause mortality in the VICTORIA trial). </w:t>
      </w:r>
      <w:r w:rsidRPr="0084495F">
        <w:rPr>
          <w:iCs/>
        </w:rPr>
        <w:t>The ITT population was used as there were insufficient data available for the NT-</w:t>
      </w:r>
      <w:proofErr w:type="spellStart"/>
      <w:r w:rsidRPr="0084495F">
        <w:rPr>
          <w:iCs/>
        </w:rPr>
        <w:t>proBNP</w:t>
      </w:r>
      <w:proofErr w:type="spellEnd"/>
      <w:r w:rsidRPr="0084495F">
        <w:rPr>
          <w:iCs/>
        </w:rPr>
        <w:t xml:space="preserve"> Q1-Q3 subgroup from the VICTORIA trial to enable a comparison with the model base case population.</w:t>
      </w:r>
    </w:p>
    <w:p w14:paraId="354F00EC" w14:textId="1F4CFB4E" w:rsidR="00DD15DD" w:rsidRPr="0084495F" w:rsidRDefault="00DD15DD" w:rsidP="00FA6724">
      <w:pPr>
        <w:pStyle w:val="Caption"/>
      </w:pPr>
      <w:r w:rsidRPr="0084495F">
        <w:t xml:space="preserve">Table </w:t>
      </w:r>
      <w:r w:rsidR="00C16DA1">
        <w:fldChar w:fldCharType="begin"/>
      </w:r>
      <w:r w:rsidR="00C16DA1">
        <w:instrText xml:space="preserve"> SEQ Tab</w:instrText>
      </w:r>
      <w:r w:rsidR="00C16DA1">
        <w:instrText xml:space="preserve">le \* ARABIC </w:instrText>
      </w:r>
      <w:r w:rsidR="00C16DA1">
        <w:fldChar w:fldCharType="separate"/>
      </w:r>
      <w:r w:rsidR="0084495F" w:rsidRPr="0084495F">
        <w:t>11</w:t>
      </w:r>
      <w:r w:rsidR="00C16DA1">
        <w:fldChar w:fldCharType="end"/>
      </w:r>
      <w:r w:rsidRPr="0084495F">
        <w:t>: Comparison of outcomes in the ITT population of the VICTORIA trial with modelled results based on the ITT population over 15 months of follow-up</w:t>
      </w:r>
    </w:p>
    <w:tbl>
      <w:tblPr>
        <w:tblStyle w:val="TableGrid"/>
        <w:tblW w:w="0" w:type="auto"/>
        <w:tblLook w:val="04A0" w:firstRow="1" w:lastRow="0" w:firstColumn="1" w:lastColumn="0" w:noHBand="0" w:noVBand="1"/>
        <w:tblCaption w:val="Table 11: Comparison of outcomes in the ITT population of the VICTORIA trial with modelled results based on the ITT population over 15 months of follow-up"/>
      </w:tblPr>
      <w:tblGrid>
        <w:gridCol w:w="3005"/>
        <w:gridCol w:w="3006"/>
        <w:gridCol w:w="3006"/>
      </w:tblGrid>
      <w:tr w:rsidR="00DD15DD" w:rsidRPr="0084495F" w14:paraId="326523D0" w14:textId="77777777" w:rsidTr="002B0E29">
        <w:tc>
          <w:tcPr>
            <w:tcW w:w="3005" w:type="dxa"/>
          </w:tcPr>
          <w:p w14:paraId="32E33B65" w14:textId="77777777" w:rsidR="00DD15DD" w:rsidRPr="0084495F" w:rsidRDefault="00DD15DD" w:rsidP="00865264">
            <w:pPr>
              <w:keepNext/>
              <w:rPr>
                <w:rFonts w:ascii="Arial Narrow" w:hAnsi="Arial Narrow"/>
                <w:sz w:val="20"/>
                <w:szCs w:val="20"/>
              </w:rPr>
            </w:pPr>
          </w:p>
        </w:tc>
        <w:tc>
          <w:tcPr>
            <w:tcW w:w="3006" w:type="dxa"/>
            <w:vAlign w:val="center"/>
          </w:tcPr>
          <w:p w14:paraId="526A6D7A" w14:textId="77777777" w:rsidR="00DD15DD" w:rsidRPr="0084495F" w:rsidRDefault="00DD15DD" w:rsidP="00865264">
            <w:pPr>
              <w:keepNext/>
              <w:jc w:val="center"/>
              <w:rPr>
                <w:rFonts w:ascii="Arial Narrow" w:hAnsi="Arial Narrow"/>
                <w:b/>
                <w:bCs/>
                <w:sz w:val="20"/>
                <w:szCs w:val="20"/>
              </w:rPr>
            </w:pPr>
            <w:r w:rsidRPr="0084495F">
              <w:rPr>
                <w:rFonts w:ascii="Arial Narrow" w:hAnsi="Arial Narrow"/>
                <w:b/>
                <w:bCs/>
                <w:sz w:val="20"/>
                <w:szCs w:val="20"/>
              </w:rPr>
              <w:t>VICTORIA trial</w:t>
            </w:r>
          </w:p>
        </w:tc>
        <w:tc>
          <w:tcPr>
            <w:tcW w:w="3006" w:type="dxa"/>
            <w:vAlign w:val="center"/>
          </w:tcPr>
          <w:p w14:paraId="57F6CEB7" w14:textId="77777777" w:rsidR="00DD15DD" w:rsidRPr="0084495F" w:rsidRDefault="00DD15DD" w:rsidP="00865264">
            <w:pPr>
              <w:keepNext/>
              <w:jc w:val="center"/>
              <w:rPr>
                <w:rFonts w:ascii="Arial Narrow" w:hAnsi="Arial Narrow"/>
                <w:b/>
                <w:bCs/>
                <w:sz w:val="20"/>
                <w:szCs w:val="20"/>
              </w:rPr>
            </w:pPr>
            <w:r w:rsidRPr="0084495F">
              <w:rPr>
                <w:rFonts w:ascii="Arial Narrow" w:hAnsi="Arial Narrow"/>
                <w:b/>
                <w:bCs/>
                <w:sz w:val="20"/>
                <w:szCs w:val="20"/>
              </w:rPr>
              <w:t xml:space="preserve">Model estimates at 15 </w:t>
            </w:r>
            <w:proofErr w:type="spellStart"/>
            <w:r w:rsidRPr="0084495F">
              <w:rPr>
                <w:rFonts w:ascii="Arial Narrow" w:hAnsi="Arial Narrow"/>
                <w:b/>
                <w:bCs/>
                <w:sz w:val="20"/>
                <w:szCs w:val="20"/>
              </w:rPr>
              <w:t>months</w:t>
            </w:r>
            <w:r w:rsidRPr="0084495F">
              <w:rPr>
                <w:rFonts w:ascii="Arial Narrow" w:hAnsi="Arial Narrow"/>
                <w:b/>
                <w:bCs/>
                <w:sz w:val="20"/>
                <w:szCs w:val="20"/>
                <w:vertAlign w:val="superscript"/>
              </w:rPr>
              <w:t>a</w:t>
            </w:r>
            <w:proofErr w:type="spellEnd"/>
          </w:p>
        </w:tc>
      </w:tr>
      <w:tr w:rsidR="00DD15DD" w:rsidRPr="0084495F" w14:paraId="5BCFB052" w14:textId="77777777" w:rsidTr="002B0E29">
        <w:tc>
          <w:tcPr>
            <w:tcW w:w="9017" w:type="dxa"/>
            <w:gridSpan w:val="3"/>
          </w:tcPr>
          <w:p w14:paraId="6D1BBA87" w14:textId="79D5970D" w:rsidR="00DD15DD" w:rsidRPr="0084495F" w:rsidRDefault="00DD15DD" w:rsidP="00865264">
            <w:pPr>
              <w:keepNext/>
              <w:jc w:val="left"/>
              <w:rPr>
                <w:rFonts w:ascii="Arial Narrow" w:hAnsi="Arial Narrow"/>
                <w:b/>
                <w:bCs/>
                <w:sz w:val="20"/>
                <w:szCs w:val="20"/>
              </w:rPr>
            </w:pPr>
            <w:r w:rsidRPr="0084495F">
              <w:rPr>
                <w:rFonts w:ascii="Arial Narrow" w:hAnsi="Arial Narrow"/>
                <w:b/>
                <w:bCs/>
                <w:sz w:val="20"/>
                <w:szCs w:val="20"/>
              </w:rPr>
              <w:t>Hospitalisations per patient</w:t>
            </w:r>
            <w:r w:rsidR="00E4660D" w:rsidRPr="0084495F">
              <w:rPr>
                <w:rFonts w:ascii="Arial Narrow" w:hAnsi="Arial Narrow"/>
                <w:b/>
                <w:bCs/>
                <w:sz w:val="20"/>
                <w:szCs w:val="20"/>
              </w:rPr>
              <w:t xml:space="preserve"> (first and subsequent events)</w:t>
            </w:r>
          </w:p>
        </w:tc>
      </w:tr>
      <w:tr w:rsidR="00DD15DD" w:rsidRPr="0084495F" w14:paraId="64B6CBFA" w14:textId="77777777" w:rsidTr="002B0E29">
        <w:tc>
          <w:tcPr>
            <w:tcW w:w="3005" w:type="dxa"/>
          </w:tcPr>
          <w:p w14:paraId="49AC2D8E" w14:textId="77777777" w:rsidR="00DD15DD" w:rsidRPr="0084495F" w:rsidRDefault="00DD15DD" w:rsidP="00865264">
            <w:pPr>
              <w:keepNext/>
              <w:rPr>
                <w:rFonts w:ascii="Arial Narrow" w:hAnsi="Arial Narrow"/>
                <w:sz w:val="20"/>
                <w:szCs w:val="20"/>
              </w:rPr>
            </w:pPr>
            <w:r w:rsidRPr="0084495F">
              <w:rPr>
                <w:rFonts w:ascii="Arial Narrow" w:hAnsi="Arial Narrow"/>
                <w:sz w:val="20"/>
                <w:szCs w:val="20"/>
              </w:rPr>
              <w:t>- vericiguat + SoC</w:t>
            </w:r>
          </w:p>
        </w:tc>
        <w:tc>
          <w:tcPr>
            <w:tcW w:w="3006" w:type="dxa"/>
          </w:tcPr>
          <w:p w14:paraId="6D5C6C69" w14:textId="77777777" w:rsidR="00DD15DD" w:rsidRPr="0084495F" w:rsidRDefault="00DD15DD" w:rsidP="00865264">
            <w:pPr>
              <w:keepNext/>
              <w:jc w:val="center"/>
              <w:rPr>
                <w:rFonts w:ascii="Arial Narrow" w:hAnsi="Arial Narrow"/>
                <w:sz w:val="20"/>
                <w:szCs w:val="20"/>
              </w:rPr>
            </w:pPr>
            <w:r w:rsidRPr="0084495F">
              <w:rPr>
                <w:rFonts w:ascii="Arial Narrow" w:hAnsi="Arial Narrow"/>
                <w:sz w:val="20"/>
                <w:szCs w:val="20"/>
              </w:rPr>
              <w:t>0.484</w:t>
            </w:r>
            <w:r w:rsidRPr="0084495F">
              <w:rPr>
                <w:rFonts w:ascii="Arial Narrow" w:hAnsi="Arial Narrow"/>
                <w:sz w:val="20"/>
                <w:szCs w:val="20"/>
                <w:vertAlign w:val="superscript"/>
              </w:rPr>
              <w:t>b</w:t>
            </w:r>
          </w:p>
        </w:tc>
        <w:tc>
          <w:tcPr>
            <w:tcW w:w="3006" w:type="dxa"/>
          </w:tcPr>
          <w:p w14:paraId="0DB7F175" w14:textId="77777777" w:rsidR="00DD15DD" w:rsidRPr="0084495F" w:rsidRDefault="00DD15DD" w:rsidP="00865264">
            <w:pPr>
              <w:keepNext/>
              <w:jc w:val="center"/>
              <w:rPr>
                <w:rFonts w:ascii="Arial Narrow" w:hAnsi="Arial Narrow"/>
                <w:sz w:val="20"/>
                <w:szCs w:val="20"/>
              </w:rPr>
            </w:pPr>
            <w:r w:rsidRPr="0084495F">
              <w:rPr>
                <w:rFonts w:ascii="Arial Narrow" w:hAnsi="Arial Narrow"/>
                <w:sz w:val="20"/>
                <w:szCs w:val="20"/>
              </w:rPr>
              <w:t>0.289</w:t>
            </w:r>
          </w:p>
        </w:tc>
      </w:tr>
      <w:tr w:rsidR="00DD15DD" w:rsidRPr="0084495F" w14:paraId="126D0761" w14:textId="77777777" w:rsidTr="002B0E29">
        <w:tc>
          <w:tcPr>
            <w:tcW w:w="3005" w:type="dxa"/>
          </w:tcPr>
          <w:p w14:paraId="53BC11AE" w14:textId="77777777" w:rsidR="00DD15DD" w:rsidRPr="0084495F" w:rsidRDefault="00DD15DD" w:rsidP="00865264">
            <w:pPr>
              <w:keepNext/>
              <w:rPr>
                <w:rFonts w:ascii="Arial Narrow" w:hAnsi="Arial Narrow"/>
                <w:sz w:val="20"/>
                <w:szCs w:val="20"/>
              </w:rPr>
            </w:pPr>
            <w:r w:rsidRPr="0084495F">
              <w:rPr>
                <w:rFonts w:ascii="Arial Narrow" w:hAnsi="Arial Narrow"/>
                <w:sz w:val="20"/>
                <w:szCs w:val="20"/>
              </w:rPr>
              <w:t>- SoC</w:t>
            </w:r>
          </w:p>
        </w:tc>
        <w:tc>
          <w:tcPr>
            <w:tcW w:w="3006" w:type="dxa"/>
          </w:tcPr>
          <w:p w14:paraId="70FF3492" w14:textId="77777777" w:rsidR="00DD15DD" w:rsidRPr="0084495F" w:rsidRDefault="00DD15DD" w:rsidP="00865264">
            <w:pPr>
              <w:keepNext/>
              <w:jc w:val="center"/>
              <w:rPr>
                <w:rFonts w:ascii="Arial Narrow" w:hAnsi="Arial Narrow"/>
                <w:sz w:val="20"/>
                <w:szCs w:val="20"/>
              </w:rPr>
            </w:pPr>
            <w:r w:rsidRPr="0084495F">
              <w:rPr>
                <w:rFonts w:ascii="Arial Narrow" w:hAnsi="Arial Narrow"/>
                <w:sz w:val="20"/>
                <w:szCs w:val="20"/>
              </w:rPr>
              <w:t>0.529</w:t>
            </w:r>
            <w:r w:rsidRPr="0084495F">
              <w:rPr>
                <w:rFonts w:ascii="Arial Narrow" w:hAnsi="Arial Narrow"/>
                <w:sz w:val="20"/>
                <w:szCs w:val="20"/>
                <w:vertAlign w:val="superscript"/>
              </w:rPr>
              <w:t>c</w:t>
            </w:r>
          </w:p>
        </w:tc>
        <w:tc>
          <w:tcPr>
            <w:tcW w:w="3006" w:type="dxa"/>
          </w:tcPr>
          <w:p w14:paraId="0990C89E" w14:textId="77777777" w:rsidR="00DD15DD" w:rsidRPr="0084495F" w:rsidRDefault="00DD15DD" w:rsidP="00865264">
            <w:pPr>
              <w:keepNext/>
              <w:jc w:val="center"/>
              <w:rPr>
                <w:rFonts w:ascii="Arial Narrow" w:hAnsi="Arial Narrow"/>
                <w:sz w:val="20"/>
                <w:szCs w:val="20"/>
              </w:rPr>
            </w:pPr>
            <w:r w:rsidRPr="0084495F">
              <w:rPr>
                <w:rFonts w:ascii="Arial Narrow" w:hAnsi="Arial Narrow"/>
                <w:sz w:val="20"/>
                <w:szCs w:val="20"/>
              </w:rPr>
              <w:t>0.333</w:t>
            </w:r>
          </w:p>
        </w:tc>
      </w:tr>
      <w:tr w:rsidR="00452AEB" w:rsidRPr="0084495F" w14:paraId="08CC7B08" w14:textId="77777777" w:rsidTr="00357E3F">
        <w:tc>
          <w:tcPr>
            <w:tcW w:w="9017" w:type="dxa"/>
            <w:gridSpan w:val="3"/>
          </w:tcPr>
          <w:p w14:paraId="16E275C3" w14:textId="20EB708E" w:rsidR="00452AEB" w:rsidRPr="0084495F" w:rsidRDefault="00452AEB" w:rsidP="00357E3F">
            <w:pPr>
              <w:keepNext/>
              <w:jc w:val="left"/>
              <w:rPr>
                <w:rFonts w:ascii="Arial Narrow" w:hAnsi="Arial Narrow"/>
                <w:b/>
                <w:bCs/>
                <w:sz w:val="20"/>
                <w:szCs w:val="20"/>
              </w:rPr>
            </w:pPr>
            <w:r w:rsidRPr="0084495F">
              <w:rPr>
                <w:rFonts w:ascii="Arial Narrow" w:hAnsi="Arial Narrow"/>
                <w:b/>
                <w:bCs/>
                <w:sz w:val="20"/>
                <w:szCs w:val="20"/>
              </w:rPr>
              <w:t xml:space="preserve">Hospitalisations per patient (first </w:t>
            </w:r>
            <w:r w:rsidR="000E18AC" w:rsidRPr="0084495F">
              <w:rPr>
                <w:rFonts w:ascii="Arial Narrow" w:hAnsi="Arial Narrow"/>
                <w:b/>
                <w:bCs/>
                <w:sz w:val="20"/>
                <w:szCs w:val="20"/>
              </w:rPr>
              <w:t>event)</w:t>
            </w:r>
          </w:p>
        </w:tc>
      </w:tr>
      <w:tr w:rsidR="00452AEB" w:rsidRPr="0084495F" w14:paraId="36CF195B" w14:textId="77777777" w:rsidTr="00357E3F">
        <w:tc>
          <w:tcPr>
            <w:tcW w:w="3005" w:type="dxa"/>
          </w:tcPr>
          <w:p w14:paraId="2798966F" w14:textId="77777777" w:rsidR="00452AEB" w:rsidRPr="0084495F" w:rsidRDefault="00452AEB" w:rsidP="00357E3F">
            <w:pPr>
              <w:keepNext/>
              <w:rPr>
                <w:rFonts w:ascii="Arial Narrow" w:hAnsi="Arial Narrow"/>
                <w:sz w:val="20"/>
                <w:szCs w:val="20"/>
              </w:rPr>
            </w:pPr>
            <w:r w:rsidRPr="0084495F">
              <w:rPr>
                <w:rFonts w:ascii="Arial Narrow" w:hAnsi="Arial Narrow"/>
                <w:sz w:val="20"/>
                <w:szCs w:val="20"/>
              </w:rPr>
              <w:t>- vericiguat + SoC</w:t>
            </w:r>
          </w:p>
        </w:tc>
        <w:tc>
          <w:tcPr>
            <w:tcW w:w="3006" w:type="dxa"/>
          </w:tcPr>
          <w:p w14:paraId="23CFE077" w14:textId="3939D8D7" w:rsidR="00452AEB" w:rsidRPr="0084495F" w:rsidRDefault="00452AEB" w:rsidP="00357E3F">
            <w:pPr>
              <w:keepNext/>
              <w:jc w:val="center"/>
              <w:rPr>
                <w:rFonts w:ascii="Arial Narrow" w:hAnsi="Arial Narrow"/>
                <w:sz w:val="20"/>
                <w:szCs w:val="20"/>
              </w:rPr>
            </w:pPr>
            <w:r w:rsidRPr="0084495F">
              <w:rPr>
                <w:rFonts w:ascii="Arial Narrow" w:hAnsi="Arial Narrow"/>
                <w:sz w:val="20"/>
                <w:szCs w:val="20"/>
              </w:rPr>
              <w:t>0.</w:t>
            </w:r>
            <w:r w:rsidR="00674620" w:rsidRPr="0084495F">
              <w:rPr>
                <w:rFonts w:ascii="Arial Narrow" w:hAnsi="Arial Narrow"/>
                <w:sz w:val="20"/>
                <w:szCs w:val="20"/>
              </w:rPr>
              <w:t>274</w:t>
            </w:r>
            <w:r w:rsidRPr="0084495F">
              <w:rPr>
                <w:rFonts w:ascii="Arial Narrow" w:hAnsi="Arial Narrow"/>
                <w:sz w:val="20"/>
                <w:szCs w:val="20"/>
                <w:vertAlign w:val="superscript"/>
              </w:rPr>
              <w:t>b</w:t>
            </w:r>
          </w:p>
        </w:tc>
        <w:tc>
          <w:tcPr>
            <w:tcW w:w="3006" w:type="dxa"/>
          </w:tcPr>
          <w:p w14:paraId="78E2FB49" w14:textId="15333D34" w:rsidR="00452AEB" w:rsidRPr="0084495F" w:rsidRDefault="00AB49B5" w:rsidP="00357E3F">
            <w:pPr>
              <w:keepNext/>
              <w:jc w:val="center"/>
              <w:rPr>
                <w:rFonts w:ascii="Arial Narrow" w:hAnsi="Arial Narrow"/>
                <w:sz w:val="20"/>
                <w:szCs w:val="20"/>
              </w:rPr>
            </w:pPr>
            <w:r w:rsidRPr="0084495F">
              <w:rPr>
                <w:rFonts w:ascii="Arial Narrow" w:hAnsi="Arial Narrow"/>
                <w:sz w:val="20"/>
                <w:szCs w:val="20"/>
              </w:rPr>
              <w:t>0.214</w:t>
            </w:r>
          </w:p>
        </w:tc>
      </w:tr>
      <w:tr w:rsidR="00452AEB" w:rsidRPr="0084495F" w14:paraId="3401C1DA" w14:textId="77777777" w:rsidTr="00357E3F">
        <w:tc>
          <w:tcPr>
            <w:tcW w:w="3005" w:type="dxa"/>
          </w:tcPr>
          <w:p w14:paraId="420C7906" w14:textId="77777777" w:rsidR="00452AEB" w:rsidRPr="0084495F" w:rsidRDefault="00452AEB" w:rsidP="00357E3F">
            <w:pPr>
              <w:keepNext/>
              <w:rPr>
                <w:rFonts w:ascii="Arial Narrow" w:hAnsi="Arial Narrow"/>
                <w:sz w:val="20"/>
                <w:szCs w:val="20"/>
              </w:rPr>
            </w:pPr>
            <w:r w:rsidRPr="0084495F">
              <w:rPr>
                <w:rFonts w:ascii="Arial Narrow" w:hAnsi="Arial Narrow"/>
                <w:sz w:val="20"/>
                <w:szCs w:val="20"/>
              </w:rPr>
              <w:t>- SoC</w:t>
            </w:r>
          </w:p>
        </w:tc>
        <w:tc>
          <w:tcPr>
            <w:tcW w:w="3006" w:type="dxa"/>
          </w:tcPr>
          <w:p w14:paraId="738BA129" w14:textId="78C174DA" w:rsidR="00452AEB" w:rsidRPr="0084495F" w:rsidRDefault="00452AEB" w:rsidP="00357E3F">
            <w:pPr>
              <w:keepNext/>
              <w:jc w:val="center"/>
              <w:rPr>
                <w:rFonts w:ascii="Arial Narrow" w:hAnsi="Arial Narrow"/>
                <w:sz w:val="20"/>
                <w:szCs w:val="20"/>
              </w:rPr>
            </w:pPr>
            <w:r w:rsidRPr="0084495F">
              <w:rPr>
                <w:rFonts w:ascii="Arial Narrow" w:hAnsi="Arial Narrow"/>
                <w:sz w:val="20"/>
                <w:szCs w:val="20"/>
              </w:rPr>
              <w:t>0.</w:t>
            </w:r>
            <w:r w:rsidR="00B86FFF" w:rsidRPr="0084495F">
              <w:rPr>
                <w:rFonts w:ascii="Arial Narrow" w:hAnsi="Arial Narrow"/>
                <w:sz w:val="20"/>
                <w:szCs w:val="20"/>
              </w:rPr>
              <w:t>296</w:t>
            </w:r>
            <w:r w:rsidRPr="0084495F">
              <w:rPr>
                <w:rFonts w:ascii="Arial Narrow" w:hAnsi="Arial Narrow"/>
                <w:sz w:val="20"/>
                <w:szCs w:val="20"/>
                <w:vertAlign w:val="superscript"/>
              </w:rPr>
              <w:t>c</w:t>
            </w:r>
          </w:p>
        </w:tc>
        <w:tc>
          <w:tcPr>
            <w:tcW w:w="3006" w:type="dxa"/>
          </w:tcPr>
          <w:p w14:paraId="4EB294C2" w14:textId="4A8D551D" w:rsidR="00452AEB" w:rsidRPr="0084495F" w:rsidRDefault="003F7F32" w:rsidP="00357E3F">
            <w:pPr>
              <w:keepNext/>
              <w:jc w:val="center"/>
              <w:rPr>
                <w:rFonts w:ascii="Arial Narrow" w:hAnsi="Arial Narrow"/>
                <w:sz w:val="20"/>
                <w:szCs w:val="20"/>
              </w:rPr>
            </w:pPr>
            <w:r w:rsidRPr="0084495F">
              <w:rPr>
                <w:rFonts w:ascii="Arial Narrow" w:hAnsi="Arial Narrow"/>
                <w:sz w:val="20"/>
                <w:szCs w:val="20"/>
              </w:rPr>
              <w:t>0.253</w:t>
            </w:r>
          </w:p>
        </w:tc>
      </w:tr>
      <w:tr w:rsidR="00E4660D" w:rsidRPr="0084495F" w14:paraId="190B0473" w14:textId="77777777" w:rsidTr="00357E3F">
        <w:tc>
          <w:tcPr>
            <w:tcW w:w="9017" w:type="dxa"/>
            <w:gridSpan w:val="3"/>
          </w:tcPr>
          <w:p w14:paraId="22B51C4A" w14:textId="591FADFD" w:rsidR="00E4660D" w:rsidRPr="0084495F" w:rsidRDefault="00E4660D" w:rsidP="00357E3F">
            <w:pPr>
              <w:keepNext/>
              <w:jc w:val="left"/>
              <w:rPr>
                <w:rFonts w:ascii="Arial Narrow" w:hAnsi="Arial Narrow"/>
                <w:b/>
                <w:bCs/>
                <w:sz w:val="20"/>
                <w:szCs w:val="20"/>
              </w:rPr>
            </w:pPr>
            <w:r w:rsidRPr="0084495F">
              <w:rPr>
                <w:rFonts w:ascii="Arial Narrow" w:hAnsi="Arial Narrow"/>
                <w:b/>
                <w:bCs/>
                <w:sz w:val="20"/>
                <w:szCs w:val="20"/>
              </w:rPr>
              <w:t>Hospitalisations per patient (</w:t>
            </w:r>
            <w:r w:rsidR="00E978B2" w:rsidRPr="0084495F">
              <w:rPr>
                <w:rFonts w:ascii="Arial Narrow" w:hAnsi="Arial Narrow"/>
                <w:b/>
                <w:bCs/>
                <w:sz w:val="20"/>
                <w:szCs w:val="20"/>
              </w:rPr>
              <w:t>subsequent</w:t>
            </w:r>
            <w:r w:rsidRPr="0084495F">
              <w:rPr>
                <w:rFonts w:ascii="Arial Narrow" w:hAnsi="Arial Narrow"/>
                <w:b/>
                <w:bCs/>
                <w:sz w:val="20"/>
                <w:szCs w:val="20"/>
              </w:rPr>
              <w:t xml:space="preserve"> event</w:t>
            </w:r>
            <w:r w:rsidR="00E978B2" w:rsidRPr="0084495F">
              <w:rPr>
                <w:rFonts w:ascii="Arial Narrow" w:hAnsi="Arial Narrow"/>
                <w:b/>
                <w:bCs/>
                <w:sz w:val="20"/>
                <w:szCs w:val="20"/>
              </w:rPr>
              <w:t>s</w:t>
            </w:r>
            <w:r w:rsidRPr="0084495F">
              <w:rPr>
                <w:rFonts w:ascii="Arial Narrow" w:hAnsi="Arial Narrow"/>
                <w:b/>
                <w:bCs/>
                <w:sz w:val="20"/>
                <w:szCs w:val="20"/>
              </w:rPr>
              <w:t>)</w:t>
            </w:r>
          </w:p>
        </w:tc>
      </w:tr>
      <w:tr w:rsidR="00E4660D" w:rsidRPr="0084495F" w14:paraId="73049D2D" w14:textId="77777777" w:rsidTr="00357E3F">
        <w:tc>
          <w:tcPr>
            <w:tcW w:w="3005" w:type="dxa"/>
          </w:tcPr>
          <w:p w14:paraId="56B660C8" w14:textId="77777777" w:rsidR="00E4660D" w:rsidRPr="0084495F" w:rsidRDefault="00E4660D" w:rsidP="00357E3F">
            <w:pPr>
              <w:keepNext/>
              <w:rPr>
                <w:rFonts w:ascii="Arial Narrow" w:hAnsi="Arial Narrow"/>
                <w:sz w:val="20"/>
                <w:szCs w:val="20"/>
              </w:rPr>
            </w:pPr>
            <w:r w:rsidRPr="0084495F">
              <w:rPr>
                <w:rFonts w:ascii="Arial Narrow" w:hAnsi="Arial Narrow"/>
                <w:sz w:val="20"/>
                <w:szCs w:val="20"/>
              </w:rPr>
              <w:t>- vericiguat + SoC</w:t>
            </w:r>
          </w:p>
        </w:tc>
        <w:tc>
          <w:tcPr>
            <w:tcW w:w="3006" w:type="dxa"/>
          </w:tcPr>
          <w:p w14:paraId="2DABAA8E" w14:textId="26DA695D" w:rsidR="00E4660D" w:rsidRPr="0084495F" w:rsidRDefault="00E4660D" w:rsidP="00BA6762">
            <w:pPr>
              <w:keepNext/>
              <w:tabs>
                <w:tab w:val="center" w:pos="1395"/>
                <w:tab w:val="right" w:pos="2790"/>
              </w:tabs>
              <w:jc w:val="center"/>
              <w:rPr>
                <w:rFonts w:ascii="Arial Narrow" w:hAnsi="Arial Narrow"/>
                <w:sz w:val="20"/>
                <w:szCs w:val="20"/>
              </w:rPr>
            </w:pPr>
            <w:r w:rsidRPr="0084495F">
              <w:rPr>
                <w:rFonts w:ascii="Arial Narrow" w:hAnsi="Arial Narrow"/>
                <w:sz w:val="20"/>
                <w:szCs w:val="20"/>
              </w:rPr>
              <w:t>0.</w:t>
            </w:r>
            <w:r w:rsidR="00BA6762" w:rsidRPr="0084495F">
              <w:rPr>
                <w:rFonts w:ascii="Arial Narrow" w:hAnsi="Arial Narrow"/>
                <w:sz w:val="20"/>
                <w:szCs w:val="20"/>
              </w:rPr>
              <w:t>211</w:t>
            </w:r>
            <w:r w:rsidRPr="0084495F">
              <w:rPr>
                <w:rFonts w:ascii="Arial Narrow" w:hAnsi="Arial Narrow"/>
                <w:sz w:val="20"/>
                <w:szCs w:val="20"/>
                <w:vertAlign w:val="superscript"/>
              </w:rPr>
              <w:t>b</w:t>
            </w:r>
          </w:p>
        </w:tc>
        <w:tc>
          <w:tcPr>
            <w:tcW w:w="3006" w:type="dxa"/>
          </w:tcPr>
          <w:p w14:paraId="2DBAD185" w14:textId="3C3F5314" w:rsidR="00E4660D" w:rsidRPr="0084495F" w:rsidRDefault="00AB49B5" w:rsidP="00357E3F">
            <w:pPr>
              <w:keepNext/>
              <w:jc w:val="center"/>
              <w:rPr>
                <w:rFonts w:ascii="Arial Narrow" w:hAnsi="Arial Narrow"/>
                <w:sz w:val="20"/>
                <w:szCs w:val="20"/>
              </w:rPr>
            </w:pPr>
            <w:r w:rsidRPr="0084495F">
              <w:rPr>
                <w:rFonts w:ascii="Arial Narrow" w:hAnsi="Arial Narrow"/>
                <w:sz w:val="20"/>
                <w:szCs w:val="20"/>
              </w:rPr>
              <w:t>0.020</w:t>
            </w:r>
          </w:p>
        </w:tc>
      </w:tr>
      <w:tr w:rsidR="00E4660D" w:rsidRPr="0084495F" w14:paraId="788EEA0E" w14:textId="77777777" w:rsidTr="00357E3F">
        <w:tc>
          <w:tcPr>
            <w:tcW w:w="3005" w:type="dxa"/>
          </w:tcPr>
          <w:p w14:paraId="130EBA97" w14:textId="77777777" w:rsidR="00E4660D" w:rsidRPr="0084495F" w:rsidRDefault="00E4660D" w:rsidP="00357E3F">
            <w:pPr>
              <w:keepNext/>
              <w:rPr>
                <w:rFonts w:ascii="Arial Narrow" w:hAnsi="Arial Narrow"/>
                <w:sz w:val="20"/>
                <w:szCs w:val="20"/>
              </w:rPr>
            </w:pPr>
            <w:r w:rsidRPr="0084495F">
              <w:rPr>
                <w:rFonts w:ascii="Arial Narrow" w:hAnsi="Arial Narrow"/>
                <w:sz w:val="20"/>
                <w:szCs w:val="20"/>
              </w:rPr>
              <w:t>- SoC</w:t>
            </w:r>
          </w:p>
        </w:tc>
        <w:tc>
          <w:tcPr>
            <w:tcW w:w="3006" w:type="dxa"/>
          </w:tcPr>
          <w:p w14:paraId="3718F46B" w14:textId="0F10D5CD" w:rsidR="00E4660D" w:rsidRPr="0084495F" w:rsidRDefault="00E4660D" w:rsidP="00357E3F">
            <w:pPr>
              <w:keepNext/>
              <w:jc w:val="center"/>
              <w:rPr>
                <w:rFonts w:ascii="Arial Narrow" w:hAnsi="Arial Narrow"/>
                <w:sz w:val="20"/>
                <w:szCs w:val="20"/>
              </w:rPr>
            </w:pPr>
            <w:r w:rsidRPr="0084495F">
              <w:rPr>
                <w:rFonts w:ascii="Arial Narrow" w:hAnsi="Arial Narrow"/>
                <w:sz w:val="20"/>
                <w:szCs w:val="20"/>
              </w:rPr>
              <w:t>0.</w:t>
            </w:r>
            <w:r w:rsidR="00105800" w:rsidRPr="0084495F">
              <w:rPr>
                <w:rFonts w:ascii="Arial Narrow" w:hAnsi="Arial Narrow"/>
                <w:sz w:val="20"/>
                <w:szCs w:val="20"/>
              </w:rPr>
              <w:t>233</w:t>
            </w:r>
            <w:r w:rsidRPr="0084495F">
              <w:rPr>
                <w:rFonts w:ascii="Arial Narrow" w:hAnsi="Arial Narrow"/>
                <w:sz w:val="20"/>
                <w:szCs w:val="20"/>
                <w:vertAlign w:val="superscript"/>
              </w:rPr>
              <w:t>c</w:t>
            </w:r>
          </w:p>
        </w:tc>
        <w:tc>
          <w:tcPr>
            <w:tcW w:w="3006" w:type="dxa"/>
          </w:tcPr>
          <w:p w14:paraId="5365843D" w14:textId="7ED00121" w:rsidR="00E4660D" w:rsidRPr="0084495F" w:rsidRDefault="003F7F32" w:rsidP="00357E3F">
            <w:pPr>
              <w:keepNext/>
              <w:jc w:val="center"/>
              <w:rPr>
                <w:rFonts w:ascii="Arial Narrow" w:hAnsi="Arial Narrow"/>
                <w:sz w:val="20"/>
                <w:szCs w:val="20"/>
              </w:rPr>
            </w:pPr>
            <w:r w:rsidRPr="0084495F">
              <w:rPr>
                <w:rFonts w:ascii="Arial Narrow" w:hAnsi="Arial Narrow"/>
                <w:sz w:val="20"/>
                <w:szCs w:val="20"/>
              </w:rPr>
              <w:t>0.028</w:t>
            </w:r>
          </w:p>
        </w:tc>
      </w:tr>
      <w:tr w:rsidR="00DD15DD" w:rsidRPr="0084495F" w14:paraId="2E9D9EF0" w14:textId="77777777" w:rsidTr="002B0E29">
        <w:tc>
          <w:tcPr>
            <w:tcW w:w="9017" w:type="dxa"/>
            <w:gridSpan w:val="3"/>
          </w:tcPr>
          <w:p w14:paraId="7BC0CDA1" w14:textId="77777777" w:rsidR="00DD15DD" w:rsidRPr="0084495F" w:rsidRDefault="00DD15DD" w:rsidP="00865264">
            <w:pPr>
              <w:keepNext/>
              <w:jc w:val="left"/>
              <w:rPr>
                <w:rFonts w:ascii="Arial Narrow" w:hAnsi="Arial Narrow"/>
                <w:b/>
                <w:bCs/>
                <w:sz w:val="20"/>
                <w:szCs w:val="20"/>
              </w:rPr>
            </w:pPr>
            <w:r w:rsidRPr="0084495F">
              <w:rPr>
                <w:rFonts w:ascii="Arial Narrow" w:hAnsi="Arial Narrow"/>
                <w:b/>
                <w:bCs/>
                <w:sz w:val="20"/>
                <w:szCs w:val="20"/>
              </w:rPr>
              <w:t>Cardiovascular death</w:t>
            </w:r>
          </w:p>
        </w:tc>
      </w:tr>
      <w:tr w:rsidR="00DD15DD" w:rsidRPr="0084495F" w14:paraId="11BC333D" w14:textId="77777777" w:rsidTr="002B0E29">
        <w:tc>
          <w:tcPr>
            <w:tcW w:w="3005" w:type="dxa"/>
          </w:tcPr>
          <w:p w14:paraId="6FE723FE" w14:textId="77777777" w:rsidR="00DD15DD" w:rsidRPr="0084495F" w:rsidRDefault="00DD15DD" w:rsidP="00865264">
            <w:pPr>
              <w:keepNext/>
              <w:rPr>
                <w:rFonts w:ascii="Arial Narrow" w:hAnsi="Arial Narrow"/>
                <w:sz w:val="20"/>
                <w:szCs w:val="20"/>
              </w:rPr>
            </w:pPr>
            <w:r w:rsidRPr="0084495F">
              <w:rPr>
                <w:rFonts w:ascii="Arial Narrow" w:hAnsi="Arial Narrow"/>
                <w:sz w:val="20"/>
                <w:szCs w:val="20"/>
              </w:rPr>
              <w:t>- vericiguat + SoC</w:t>
            </w:r>
          </w:p>
        </w:tc>
        <w:tc>
          <w:tcPr>
            <w:tcW w:w="3006" w:type="dxa"/>
          </w:tcPr>
          <w:p w14:paraId="115CBA11" w14:textId="77777777" w:rsidR="00DD15DD" w:rsidRPr="0084495F" w:rsidRDefault="00DD15DD" w:rsidP="00865264">
            <w:pPr>
              <w:keepNext/>
              <w:jc w:val="center"/>
              <w:rPr>
                <w:rFonts w:ascii="Arial Narrow" w:hAnsi="Arial Narrow"/>
                <w:sz w:val="20"/>
                <w:szCs w:val="20"/>
              </w:rPr>
            </w:pPr>
            <w:r w:rsidRPr="0084495F">
              <w:rPr>
                <w:rFonts w:ascii="Arial Narrow" w:hAnsi="Arial Narrow"/>
                <w:sz w:val="20"/>
                <w:szCs w:val="20"/>
              </w:rPr>
              <w:t>16.4%</w:t>
            </w:r>
            <w:r w:rsidRPr="0084495F">
              <w:rPr>
                <w:rFonts w:ascii="Arial Narrow" w:hAnsi="Arial Narrow"/>
                <w:sz w:val="20"/>
                <w:szCs w:val="20"/>
                <w:vertAlign w:val="superscript"/>
              </w:rPr>
              <w:t>d</w:t>
            </w:r>
          </w:p>
        </w:tc>
        <w:tc>
          <w:tcPr>
            <w:tcW w:w="3006" w:type="dxa"/>
          </w:tcPr>
          <w:p w14:paraId="2D5ADC25" w14:textId="77777777" w:rsidR="00DD15DD" w:rsidRPr="0084495F" w:rsidRDefault="00DD15DD" w:rsidP="00865264">
            <w:pPr>
              <w:keepNext/>
              <w:jc w:val="center"/>
              <w:rPr>
                <w:rFonts w:ascii="Arial Narrow" w:hAnsi="Arial Narrow"/>
                <w:sz w:val="20"/>
                <w:szCs w:val="20"/>
              </w:rPr>
            </w:pPr>
            <w:r w:rsidRPr="0084495F">
              <w:rPr>
                <w:rFonts w:ascii="Arial Narrow" w:hAnsi="Arial Narrow"/>
                <w:sz w:val="20"/>
                <w:szCs w:val="20"/>
              </w:rPr>
              <w:t>11.1%</w:t>
            </w:r>
          </w:p>
        </w:tc>
      </w:tr>
      <w:tr w:rsidR="00DD15DD" w:rsidRPr="0084495F" w14:paraId="0AD54784" w14:textId="77777777" w:rsidTr="002B0E29">
        <w:tc>
          <w:tcPr>
            <w:tcW w:w="3005" w:type="dxa"/>
          </w:tcPr>
          <w:p w14:paraId="7C065CAF" w14:textId="77777777" w:rsidR="00DD15DD" w:rsidRPr="0084495F" w:rsidRDefault="00DD15DD" w:rsidP="00865264">
            <w:pPr>
              <w:keepNext/>
              <w:rPr>
                <w:rFonts w:ascii="Arial Narrow" w:hAnsi="Arial Narrow"/>
                <w:sz w:val="20"/>
                <w:szCs w:val="20"/>
              </w:rPr>
            </w:pPr>
            <w:r w:rsidRPr="0084495F">
              <w:rPr>
                <w:rFonts w:ascii="Arial Narrow" w:hAnsi="Arial Narrow"/>
                <w:sz w:val="20"/>
                <w:szCs w:val="20"/>
              </w:rPr>
              <w:t>- SoC</w:t>
            </w:r>
          </w:p>
        </w:tc>
        <w:tc>
          <w:tcPr>
            <w:tcW w:w="3006" w:type="dxa"/>
          </w:tcPr>
          <w:p w14:paraId="1B1EA840" w14:textId="77777777" w:rsidR="00DD15DD" w:rsidRPr="0084495F" w:rsidRDefault="00DD15DD" w:rsidP="00865264">
            <w:pPr>
              <w:keepNext/>
              <w:jc w:val="center"/>
              <w:rPr>
                <w:rFonts w:ascii="Arial Narrow" w:hAnsi="Arial Narrow"/>
                <w:sz w:val="20"/>
                <w:szCs w:val="20"/>
              </w:rPr>
            </w:pPr>
            <w:r w:rsidRPr="0084495F">
              <w:rPr>
                <w:rFonts w:ascii="Arial Narrow" w:hAnsi="Arial Narrow"/>
                <w:sz w:val="20"/>
                <w:szCs w:val="20"/>
              </w:rPr>
              <w:t>17.5%</w:t>
            </w:r>
            <w:r w:rsidRPr="0084495F">
              <w:rPr>
                <w:rFonts w:ascii="Arial Narrow" w:hAnsi="Arial Narrow"/>
                <w:sz w:val="20"/>
                <w:szCs w:val="20"/>
                <w:vertAlign w:val="superscript"/>
              </w:rPr>
              <w:t>e</w:t>
            </w:r>
          </w:p>
        </w:tc>
        <w:tc>
          <w:tcPr>
            <w:tcW w:w="3006" w:type="dxa"/>
          </w:tcPr>
          <w:p w14:paraId="022970B3" w14:textId="77777777" w:rsidR="00DD15DD" w:rsidRPr="0084495F" w:rsidRDefault="00DD15DD" w:rsidP="00865264">
            <w:pPr>
              <w:keepNext/>
              <w:jc w:val="center"/>
              <w:rPr>
                <w:rFonts w:ascii="Arial Narrow" w:hAnsi="Arial Narrow"/>
                <w:sz w:val="20"/>
                <w:szCs w:val="20"/>
              </w:rPr>
            </w:pPr>
            <w:r w:rsidRPr="0084495F">
              <w:rPr>
                <w:rFonts w:ascii="Arial Narrow" w:hAnsi="Arial Narrow"/>
                <w:sz w:val="20"/>
                <w:szCs w:val="20"/>
              </w:rPr>
              <w:t>12.4%</w:t>
            </w:r>
          </w:p>
        </w:tc>
      </w:tr>
      <w:tr w:rsidR="00DD15DD" w:rsidRPr="0084495F" w14:paraId="38289155" w14:textId="77777777" w:rsidTr="002B0E29">
        <w:tc>
          <w:tcPr>
            <w:tcW w:w="9017" w:type="dxa"/>
            <w:gridSpan w:val="3"/>
          </w:tcPr>
          <w:p w14:paraId="3325472E" w14:textId="77777777" w:rsidR="00DD15DD" w:rsidRPr="0084495F" w:rsidRDefault="00DD15DD" w:rsidP="00865264">
            <w:pPr>
              <w:keepNext/>
              <w:jc w:val="left"/>
              <w:rPr>
                <w:rFonts w:ascii="Arial Narrow" w:hAnsi="Arial Narrow"/>
                <w:b/>
                <w:bCs/>
                <w:sz w:val="20"/>
                <w:szCs w:val="20"/>
              </w:rPr>
            </w:pPr>
            <w:r w:rsidRPr="0084495F">
              <w:rPr>
                <w:rFonts w:ascii="Arial Narrow" w:hAnsi="Arial Narrow"/>
                <w:b/>
                <w:bCs/>
                <w:sz w:val="20"/>
                <w:szCs w:val="20"/>
              </w:rPr>
              <w:t>All-cause mortality</w:t>
            </w:r>
          </w:p>
        </w:tc>
      </w:tr>
      <w:tr w:rsidR="00DD15DD" w:rsidRPr="0084495F" w14:paraId="50F4784F" w14:textId="77777777" w:rsidTr="002B0E29">
        <w:tc>
          <w:tcPr>
            <w:tcW w:w="3005" w:type="dxa"/>
          </w:tcPr>
          <w:p w14:paraId="075C4E79" w14:textId="77777777" w:rsidR="00DD15DD" w:rsidRPr="0084495F" w:rsidRDefault="00DD15DD" w:rsidP="00865264">
            <w:pPr>
              <w:keepNext/>
              <w:rPr>
                <w:rFonts w:ascii="Arial Narrow" w:hAnsi="Arial Narrow"/>
                <w:sz w:val="20"/>
                <w:szCs w:val="20"/>
              </w:rPr>
            </w:pPr>
            <w:r w:rsidRPr="0084495F">
              <w:rPr>
                <w:rFonts w:ascii="Arial Narrow" w:hAnsi="Arial Narrow"/>
                <w:sz w:val="20"/>
                <w:szCs w:val="20"/>
              </w:rPr>
              <w:t>- vericiguat + SoC</w:t>
            </w:r>
          </w:p>
        </w:tc>
        <w:tc>
          <w:tcPr>
            <w:tcW w:w="3006" w:type="dxa"/>
          </w:tcPr>
          <w:p w14:paraId="7B3B38FE" w14:textId="77777777" w:rsidR="00DD15DD" w:rsidRPr="0084495F" w:rsidRDefault="00DD15DD" w:rsidP="00865264">
            <w:pPr>
              <w:keepNext/>
              <w:jc w:val="center"/>
              <w:rPr>
                <w:rFonts w:ascii="Arial Narrow" w:hAnsi="Arial Narrow"/>
                <w:sz w:val="20"/>
                <w:szCs w:val="20"/>
              </w:rPr>
            </w:pPr>
            <w:r w:rsidRPr="0084495F">
              <w:rPr>
                <w:rFonts w:ascii="Arial Narrow" w:hAnsi="Arial Narrow"/>
                <w:sz w:val="20"/>
                <w:szCs w:val="20"/>
              </w:rPr>
              <w:t>20.3%</w:t>
            </w:r>
            <w:r w:rsidRPr="0084495F">
              <w:rPr>
                <w:rFonts w:ascii="Arial Narrow" w:hAnsi="Arial Narrow"/>
                <w:sz w:val="20"/>
                <w:szCs w:val="20"/>
                <w:vertAlign w:val="superscript"/>
              </w:rPr>
              <w:t>f</w:t>
            </w:r>
          </w:p>
        </w:tc>
        <w:tc>
          <w:tcPr>
            <w:tcW w:w="3006" w:type="dxa"/>
          </w:tcPr>
          <w:p w14:paraId="2A065B97" w14:textId="77777777" w:rsidR="00DD15DD" w:rsidRPr="0084495F" w:rsidRDefault="00DD15DD" w:rsidP="00865264">
            <w:pPr>
              <w:keepNext/>
              <w:jc w:val="center"/>
              <w:rPr>
                <w:rFonts w:ascii="Arial Narrow" w:hAnsi="Arial Narrow"/>
                <w:sz w:val="20"/>
                <w:szCs w:val="20"/>
              </w:rPr>
            </w:pPr>
            <w:r w:rsidRPr="0084495F">
              <w:rPr>
                <w:rFonts w:ascii="Arial Narrow" w:hAnsi="Arial Narrow"/>
                <w:sz w:val="20"/>
                <w:szCs w:val="20"/>
              </w:rPr>
              <w:t>12.1%</w:t>
            </w:r>
          </w:p>
        </w:tc>
      </w:tr>
      <w:tr w:rsidR="00DD15DD" w:rsidRPr="0084495F" w14:paraId="58DC2969" w14:textId="77777777" w:rsidTr="002B0E29">
        <w:tc>
          <w:tcPr>
            <w:tcW w:w="3005" w:type="dxa"/>
          </w:tcPr>
          <w:p w14:paraId="4DB86157" w14:textId="77777777" w:rsidR="00DD15DD" w:rsidRPr="0084495F" w:rsidRDefault="00DD15DD" w:rsidP="002B0E29">
            <w:pPr>
              <w:rPr>
                <w:rFonts w:ascii="Arial Narrow" w:hAnsi="Arial Narrow"/>
                <w:sz w:val="20"/>
                <w:szCs w:val="20"/>
              </w:rPr>
            </w:pPr>
            <w:r w:rsidRPr="0084495F">
              <w:rPr>
                <w:rFonts w:ascii="Arial Narrow" w:hAnsi="Arial Narrow"/>
                <w:sz w:val="20"/>
                <w:szCs w:val="20"/>
              </w:rPr>
              <w:t>- SoC</w:t>
            </w:r>
          </w:p>
        </w:tc>
        <w:tc>
          <w:tcPr>
            <w:tcW w:w="3006" w:type="dxa"/>
          </w:tcPr>
          <w:p w14:paraId="357B1D00" w14:textId="77777777" w:rsidR="00DD15DD" w:rsidRPr="0084495F" w:rsidRDefault="00DD15DD" w:rsidP="002B0E29">
            <w:pPr>
              <w:jc w:val="center"/>
              <w:rPr>
                <w:rFonts w:ascii="Arial Narrow" w:hAnsi="Arial Narrow"/>
                <w:sz w:val="20"/>
                <w:szCs w:val="20"/>
              </w:rPr>
            </w:pPr>
            <w:r w:rsidRPr="0084495F">
              <w:rPr>
                <w:rFonts w:ascii="Arial Narrow" w:hAnsi="Arial Narrow"/>
                <w:sz w:val="20"/>
                <w:szCs w:val="20"/>
              </w:rPr>
              <w:t>21.2%</w:t>
            </w:r>
            <w:r w:rsidRPr="0084495F">
              <w:rPr>
                <w:rFonts w:ascii="Arial Narrow" w:hAnsi="Arial Narrow"/>
                <w:sz w:val="20"/>
                <w:szCs w:val="20"/>
                <w:vertAlign w:val="superscript"/>
              </w:rPr>
              <w:t>g</w:t>
            </w:r>
          </w:p>
        </w:tc>
        <w:tc>
          <w:tcPr>
            <w:tcW w:w="3006" w:type="dxa"/>
          </w:tcPr>
          <w:p w14:paraId="4F144D09" w14:textId="77777777" w:rsidR="00DD15DD" w:rsidRPr="0084495F" w:rsidRDefault="00DD15DD" w:rsidP="002B0E29">
            <w:pPr>
              <w:jc w:val="center"/>
              <w:rPr>
                <w:rFonts w:ascii="Arial Narrow" w:hAnsi="Arial Narrow"/>
                <w:sz w:val="20"/>
                <w:szCs w:val="20"/>
              </w:rPr>
            </w:pPr>
            <w:r w:rsidRPr="0084495F">
              <w:rPr>
                <w:rFonts w:ascii="Arial Narrow" w:hAnsi="Arial Narrow"/>
                <w:sz w:val="20"/>
                <w:szCs w:val="20"/>
              </w:rPr>
              <w:t>13.4%</w:t>
            </w:r>
          </w:p>
        </w:tc>
      </w:tr>
    </w:tbl>
    <w:p w14:paraId="112D8481" w14:textId="172D7852" w:rsidR="00DD15DD" w:rsidRPr="0084495F" w:rsidRDefault="00DD15DD" w:rsidP="00DD15DD">
      <w:pPr>
        <w:pStyle w:val="TableFigureFooter"/>
      </w:pPr>
      <w:r w:rsidRPr="0084495F">
        <w:t xml:space="preserve">Source: Table 11-3, p109; Table 11-7, p127; </w:t>
      </w:r>
      <w:r w:rsidR="00C11AF6" w:rsidRPr="0084495F">
        <w:t xml:space="preserve">Table 11-8, p128 </w:t>
      </w:r>
      <w:r w:rsidRPr="0084495F">
        <w:t>and Table 11-10, p133 of the VICTORIA trial CSR, and A7.1_Vericiguat_CEM_PBAC_Nov21_v3.0 spreadsheet provided with the submission</w:t>
      </w:r>
    </w:p>
    <w:p w14:paraId="1A40F6CC" w14:textId="77777777" w:rsidR="00DD15DD" w:rsidRPr="0084495F" w:rsidRDefault="00DD15DD" w:rsidP="00DD15DD">
      <w:pPr>
        <w:pStyle w:val="TableFigureFooter"/>
      </w:pPr>
      <w:r w:rsidRPr="0084495F">
        <w:t>Abbreviations: CV, cardiovascular ITT, intention to treat; SoC, standard of care</w:t>
      </w:r>
    </w:p>
    <w:p w14:paraId="4948B0D9" w14:textId="77777777" w:rsidR="00DD15DD" w:rsidRPr="0084495F" w:rsidRDefault="00DD15DD" w:rsidP="00DD15DD">
      <w:pPr>
        <w:pStyle w:val="TableFigureFooter"/>
      </w:pPr>
      <w:proofErr w:type="gramStart"/>
      <w:r w:rsidRPr="0084495F">
        <w:rPr>
          <w:vertAlign w:val="superscript"/>
        </w:rPr>
        <w:t>a</w:t>
      </w:r>
      <w:r w:rsidRPr="0084495F">
        <w:t xml:space="preserve"> time period</w:t>
      </w:r>
      <w:proofErr w:type="gramEnd"/>
      <w:r w:rsidRPr="0084495F">
        <w:t xml:space="preserve"> based on average follow-up for hospitalisation events and all-cause mortality in the VICTORIA trial; see Tables 11-7 and 10-18 of the CSR.</w:t>
      </w:r>
    </w:p>
    <w:p w14:paraId="04B54C47" w14:textId="7B407B55" w:rsidR="00DD15DD" w:rsidRPr="0084495F" w:rsidRDefault="00DD15DD" w:rsidP="00DD15DD">
      <w:pPr>
        <w:pStyle w:val="TableFigureFooter"/>
      </w:pPr>
      <w:r w:rsidRPr="0084495F">
        <w:rPr>
          <w:vertAlign w:val="superscript"/>
        </w:rPr>
        <w:t>b</w:t>
      </w:r>
      <w:r w:rsidRPr="0084495F">
        <w:t xml:space="preserve"> based on 1,223 events in 2,526 patients</w:t>
      </w:r>
      <w:r w:rsidR="00140E22" w:rsidRPr="0084495F">
        <w:t xml:space="preserve"> (first and subsequent); </w:t>
      </w:r>
      <w:r w:rsidR="00C11AF6" w:rsidRPr="0084495F">
        <w:t>691</w:t>
      </w:r>
      <w:r w:rsidR="00055522" w:rsidRPr="0084495F">
        <w:t>/2</w:t>
      </w:r>
      <w:r w:rsidR="00C11AF6" w:rsidRPr="0084495F">
        <w:t>,</w:t>
      </w:r>
      <w:r w:rsidR="00055522" w:rsidRPr="0084495F">
        <w:t xml:space="preserve">526 </w:t>
      </w:r>
      <w:r w:rsidR="00864289" w:rsidRPr="0084495F">
        <w:t>(</w:t>
      </w:r>
      <w:r w:rsidR="00055522" w:rsidRPr="0084495F">
        <w:t xml:space="preserve">first event); </w:t>
      </w:r>
      <w:r w:rsidR="00FF5A52" w:rsidRPr="0084495F">
        <w:t>532</w:t>
      </w:r>
      <w:r w:rsidR="00055522" w:rsidRPr="0084495F">
        <w:t>/2</w:t>
      </w:r>
      <w:r w:rsidR="00674620" w:rsidRPr="0084495F">
        <w:t>,</w:t>
      </w:r>
      <w:r w:rsidR="00055522" w:rsidRPr="0084495F">
        <w:t xml:space="preserve">526 (subsequent events) </w:t>
      </w:r>
    </w:p>
    <w:p w14:paraId="3A3BF24C" w14:textId="6743DD46" w:rsidR="00DD15DD" w:rsidRPr="0084495F" w:rsidRDefault="00DD15DD" w:rsidP="00DD15DD">
      <w:pPr>
        <w:pStyle w:val="TableFigureFooter"/>
      </w:pPr>
      <w:r w:rsidRPr="0084495F">
        <w:rPr>
          <w:vertAlign w:val="superscript"/>
        </w:rPr>
        <w:t>c</w:t>
      </w:r>
      <w:r w:rsidRPr="0084495F">
        <w:t xml:space="preserve"> based on 1,336 events in 2,524 patients</w:t>
      </w:r>
      <w:r w:rsidR="00055522" w:rsidRPr="0084495F">
        <w:t xml:space="preserve"> (first and subsequent); </w:t>
      </w:r>
      <w:r w:rsidR="006F7F05" w:rsidRPr="0084495F">
        <w:t>747</w:t>
      </w:r>
      <w:r w:rsidR="00055522" w:rsidRPr="0084495F">
        <w:t>/2</w:t>
      </w:r>
      <w:r w:rsidR="00674620" w:rsidRPr="0084495F">
        <w:t>,</w:t>
      </w:r>
      <w:r w:rsidR="00055522" w:rsidRPr="0084495F">
        <w:t>52</w:t>
      </w:r>
      <w:r w:rsidR="00A51A3E" w:rsidRPr="0084495F">
        <w:t>4</w:t>
      </w:r>
      <w:r w:rsidR="00055522" w:rsidRPr="0084495F">
        <w:t xml:space="preserve"> (first event); </w:t>
      </w:r>
      <w:r w:rsidR="006F7F05" w:rsidRPr="0084495F">
        <w:t>589</w:t>
      </w:r>
      <w:r w:rsidR="00055522" w:rsidRPr="0084495F">
        <w:t>/2</w:t>
      </w:r>
      <w:r w:rsidR="00674620" w:rsidRPr="0084495F">
        <w:t>,</w:t>
      </w:r>
      <w:r w:rsidR="00055522" w:rsidRPr="0084495F">
        <w:t>52</w:t>
      </w:r>
      <w:r w:rsidR="00A51A3E" w:rsidRPr="0084495F">
        <w:t>4</w:t>
      </w:r>
      <w:r w:rsidR="00055522" w:rsidRPr="0084495F">
        <w:t xml:space="preserve"> (subsequent events)</w:t>
      </w:r>
    </w:p>
    <w:p w14:paraId="28CB116C" w14:textId="77777777" w:rsidR="00DD15DD" w:rsidRPr="0084495F" w:rsidRDefault="00DD15DD" w:rsidP="00DD15DD">
      <w:pPr>
        <w:pStyle w:val="TableFigureFooter"/>
      </w:pPr>
      <w:r w:rsidRPr="0084495F">
        <w:rPr>
          <w:vertAlign w:val="superscript"/>
        </w:rPr>
        <w:t>d</w:t>
      </w:r>
      <w:r w:rsidRPr="0084495F">
        <w:t xml:space="preserve"> based on 414 CV deaths in 2,526 patients</w:t>
      </w:r>
    </w:p>
    <w:p w14:paraId="11681E79" w14:textId="77777777" w:rsidR="00DD15DD" w:rsidRPr="0084495F" w:rsidRDefault="00DD15DD" w:rsidP="00DD15DD">
      <w:pPr>
        <w:pStyle w:val="TableFigureFooter"/>
      </w:pPr>
      <w:r w:rsidRPr="0084495F">
        <w:rPr>
          <w:vertAlign w:val="superscript"/>
        </w:rPr>
        <w:t>e</w:t>
      </w:r>
      <w:r w:rsidRPr="0084495F">
        <w:t xml:space="preserve"> based on 441 CV deaths in 2,524 patients</w:t>
      </w:r>
    </w:p>
    <w:p w14:paraId="6265D14F" w14:textId="77777777" w:rsidR="00DD15DD" w:rsidRPr="0084495F" w:rsidRDefault="00DD15DD" w:rsidP="00DD15DD">
      <w:pPr>
        <w:pStyle w:val="TableFigureFooter"/>
      </w:pPr>
      <w:r w:rsidRPr="0084495F">
        <w:rPr>
          <w:vertAlign w:val="superscript"/>
        </w:rPr>
        <w:t>f</w:t>
      </w:r>
      <w:r w:rsidRPr="0084495F">
        <w:t xml:space="preserve"> based on 512 all-cause deaths in 2,526 patients</w:t>
      </w:r>
    </w:p>
    <w:p w14:paraId="771BBD3B" w14:textId="77777777" w:rsidR="00DD15DD" w:rsidRPr="0084495F" w:rsidRDefault="00DD15DD" w:rsidP="00DD15DD">
      <w:pPr>
        <w:pStyle w:val="TableFigureFooter"/>
      </w:pPr>
      <w:r w:rsidRPr="0084495F">
        <w:rPr>
          <w:vertAlign w:val="superscript"/>
        </w:rPr>
        <w:t>g</w:t>
      </w:r>
      <w:r w:rsidRPr="0084495F">
        <w:t xml:space="preserve"> based on 534 all-cause deaths in 2,524 patients</w:t>
      </w:r>
    </w:p>
    <w:p w14:paraId="27887A93" w14:textId="54997663" w:rsidR="00BF0642" w:rsidRPr="0084495F" w:rsidRDefault="00AE4EF9" w:rsidP="006E5920">
      <w:pPr>
        <w:pStyle w:val="ExecSumBodyText"/>
        <w:rPr>
          <w:iCs/>
        </w:rPr>
      </w:pPr>
      <w:r w:rsidRPr="0084495F">
        <w:rPr>
          <w:iCs/>
        </w:rPr>
        <w:t>The comparison indicates that the model significantly underestimates hospitalisation events, cardiovascular mortality and non-cardiovascular mortality compared with the VICTORIA trial on which estimates were based, over a similar average duration of follow-up. The model estimates that the hospitalisation events observed in the VICTORIA trial would only be reached after 36 months, compared with an average duration of follow-up for hospitalisation events in the VICTORIA trial of 15 months.</w:t>
      </w:r>
      <w:r w:rsidR="00291CD3" w:rsidRPr="0084495F">
        <w:rPr>
          <w:iCs/>
        </w:rPr>
        <w:t xml:space="preserve"> This suggests that the </w:t>
      </w:r>
      <w:r w:rsidR="007255B7" w:rsidRPr="0084495F">
        <w:rPr>
          <w:iCs/>
        </w:rPr>
        <w:t xml:space="preserve">regression analyses and parametric </w:t>
      </w:r>
      <w:r w:rsidR="00291CD3" w:rsidRPr="0084495F">
        <w:rPr>
          <w:iCs/>
        </w:rPr>
        <w:t>models used to extrapolate outcomes do not reliably predict observed outcomes over the trial period and therefore should not form the basis of further extrapolation over 10 years.</w:t>
      </w:r>
    </w:p>
    <w:p w14:paraId="16C8653C" w14:textId="4FE503D6" w:rsidR="008C5739" w:rsidRPr="0084495F" w:rsidRDefault="004573C9" w:rsidP="008C5739">
      <w:pPr>
        <w:pStyle w:val="ExecSumBodyText"/>
        <w:rPr>
          <w:color w:val="0066FF"/>
        </w:rPr>
      </w:pPr>
      <w:r w:rsidRPr="0084495F">
        <w:t xml:space="preserve">The results of the stepped economic evaluation are summarised in the table below. </w:t>
      </w:r>
    </w:p>
    <w:p w14:paraId="7C2B1BD1" w14:textId="4CF4045E" w:rsidR="00537D02" w:rsidRPr="0084495F" w:rsidRDefault="00537D02" w:rsidP="00FA6724">
      <w:pPr>
        <w:pStyle w:val="Caption"/>
      </w:pPr>
      <w:r w:rsidRPr="0084495F">
        <w:lastRenderedPageBreak/>
        <w:t xml:space="preserve">Table </w:t>
      </w:r>
      <w:r w:rsidR="00C16DA1">
        <w:fldChar w:fldCharType="begin"/>
      </w:r>
      <w:r w:rsidR="00C16DA1">
        <w:instrText xml:space="preserve"> SEQ Table \* ARABIC </w:instrText>
      </w:r>
      <w:r w:rsidR="00C16DA1">
        <w:fldChar w:fldCharType="separate"/>
      </w:r>
      <w:r w:rsidR="0084495F" w:rsidRPr="0084495F">
        <w:t>12</w:t>
      </w:r>
      <w:r w:rsidR="00C16DA1">
        <w:fldChar w:fldCharType="end"/>
      </w:r>
      <w:r w:rsidRPr="0084495F">
        <w:t>: Results of the stepped economic evaluation (NT-</w:t>
      </w:r>
      <w:proofErr w:type="spellStart"/>
      <w:r w:rsidRPr="0084495F">
        <w:t>proBNP</w:t>
      </w:r>
      <w:proofErr w:type="spellEnd"/>
      <w:r w:rsidRPr="0084495F">
        <w:t xml:space="preserve"> Q1</w:t>
      </w:r>
      <w:r w:rsidRPr="0084495F">
        <w:rPr>
          <w:rFonts w:ascii="Arial" w:hAnsi="Arial"/>
        </w:rPr>
        <w:t>-</w:t>
      </w:r>
      <w:r w:rsidRPr="0084495F">
        <w:t>Q3 subgroup;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2: Results of the stepped economic evaluation (NT-proBNP Q1-Q3 subgroup; discounted)"/>
      </w:tblPr>
      <w:tblGrid>
        <w:gridCol w:w="1946"/>
        <w:gridCol w:w="1724"/>
        <w:gridCol w:w="1724"/>
        <w:gridCol w:w="1895"/>
        <w:gridCol w:w="1728"/>
      </w:tblGrid>
      <w:tr w:rsidR="00537D02" w:rsidRPr="0084495F" w14:paraId="648F83D1" w14:textId="77777777" w:rsidTr="002B0E29">
        <w:trPr>
          <w:tblHeader/>
        </w:trPr>
        <w:tc>
          <w:tcPr>
            <w:tcW w:w="1079" w:type="pct"/>
            <w:tcMar>
              <w:top w:w="0" w:type="dxa"/>
              <w:left w:w="28" w:type="dxa"/>
              <w:bottom w:w="0" w:type="dxa"/>
              <w:right w:w="28" w:type="dxa"/>
            </w:tcMar>
            <w:vAlign w:val="center"/>
            <w:hideMark/>
          </w:tcPr>
          <w:p w14:paraId="1CD70ABA" w14:textId="77777777" w:rsidR="00537D02" w:rsidRPr="0084495F" w:rsidRDefault="00537D02" w:rsidP="002B0E29">
            <w:pPr>
              <w:pStyle w:val="Tableheadingrow"/>
              <w:rPr>
                <w:lang w:val="en-AU" w:eastAsia="en-US"/>
              </w:rPr>
            </w:pPr>
            <w:r w:rsidRPr="0084495F">
              <w:rPr>
                <w:lang w:val="en-AU" w:eastAsia="en-US"/>
              </w:rPr>
              <w:t>Step and component</w:t>
            </w:r>
          </w:p>
        </w:tc>
        <w:tc>
          <w:tcPr>
            <w:tcW w:w="956" w:type="pct"/>
            <w:tcMar>
              <w:top w:w="0" w:type="dxa"/>
              <w:left w:w="28" w:type="dxa"/>
              <w:bottom w:w="0" w:type="dxa"/>
              <w:right w:w="28" w:type="dxa"/>
            </w:tcMar>
            <w:vAlign w:val="center"/>
            <w:hideMark/>
          </w:tcPr>
          <w:p w14:paraId="00C34755" w14:textId="77777777" w:rsidR="00537D02" w:rsidRPr="0084495F" w:rsidRDefault="00537D02" w:rsidP="002B0E29">
            <w:pPr>
              <w:pStyle w:val="Tableheadingrow"/>
              <w:jc w:val="center"/>
              <w:rPr>
                <w:lang w:val="en-AU" w:eastAsia="en-US"/>
              </w:rPr>
            </w:pPr>
            <w:r w:rsidRPr="0084495F">
              <w:rPr>
                <w:lang w:val="en-AU" w:eastAsia="en-US"/>
              </w:rPr>
              <w:t>Vericiguat + SoC</w:t>
            </w:r>
          </w:p>
        </w:tc>
        <w:tc>
          <w:tcPr>
            <w:tcW w:w="956" w:type="pct"/>
            <w:tcMar>
              <w:top w:w="0" w:type="dxa"/>
              <w:left w:w="28" w:type="dxa"/>
              <w:bottom w:w="0" w:type="dxa"/>
              <w:right w:w="28" w:type="dxa"/>
            </w:tcMar>
            <w:vAlign w:val="center"/>
            <w:hideMark/>
          </w:tcPr>
          <w:p w14:paraId="5E943F79" w14:textId="77777777" w:rsidR="00537D02" w:rsidRPr="0084495F" w:rsidRDefault="00537D02" w:rsidP="002B0E29">
            <w:pPr>
              <w:pStyle w:val="Tableheadingrow"/>
              <w:jc w:val="center"/>
              <w:rPr>
                <w:lang w:val="en-AU" w:eastAsia="en-US"/>
              </w:rPr>
            </w:pPr>
            <w:r w:rsidRPr="0084495F">
              <w:rPr>
                <w:lang w:val="en-AU" w:eastAsia="en-US"/>
              </w:rPr>
              <w:t>Placebo + SoC</w:t>
            </w:r>
          </w:p>
        </w:tc>
        <w:tc>
          <w:tcPr>
            <w:tcW w:w="1051" w:type="pct"/>
            <w:tcMar>
              <w:top w:w="0" w:type="dxa"/>
              <w:left w:w="28" w:type="dxa"/>
              <w:bottom w:w="0" w:type="dxa"/>
              <w:right w:w="28" w:type="dxa"/>
            </w:tcMar>
            <w:vAlign w:val="center"/>
            <w:hideMark/>
          </w:tcPr>
          <w:p w14:paraId="7853FC9E" w14:textId="77777777" w:rsidR="00537D02" w:rsidRPr="0084495F" w:rsidRDefault="00537D02" w:rsidP="002B0E29">
            <w:pPr>
              <w:pStyle w:val="Tableheadingrow"/>
              <w:jc w:val="center"/>
              <w:rPr>
                <w:lang w:val="en-AU" w:eastAsia="en-US"/>
              </w:rPr>
            </w:pPr>
            <w:r w:rsidRPr="0084495F">
              <w:rPr>
                <w:lang w:val="en-AU" w:eastAsia="en-US"/>
              </w:rPr>
              <w:t>Increment</w:t>
            </w:r>
          </w:p>
        </w:tc>
        <w:tc>
          <w:tcPr>
            <w:tcW w:w="958" w:type="pct"/>
            <w:tcMar>
              <w:top w:w="0" w:type="dxa"/>
              <w:left w:w="28" w:type="dxa"/>
              <w:bottom w:w="0" w:type="dxa"/>
              <w:right w:w="28" w:type="dxa"/>
            </w:tcMar>
            <w:vAlign w:val="center"/>
            <w:hideMark/>
          </w:tcPr>
          <w:p w14:paraId="490F21C6" w14:textId="77777777" w:rsidR="00537D02" w:rsidRPr="0084495F" w:rsidRDefault="00537D02" w:rsidP="002B0E29">
            <w:pPr>
              <w:pStyle w:val="Tableheadingrow"/>
              <w:jc w:val="center"/>
              <w:rPr>
                <w:lang w:val="en-AU" w:eastAsia="en-US"/>
              </w:rPr>
            </w:pPr>
            <w:r w:rsidRPr="0084495F">
              <w:rPr>
                <w:lang w:val="en-AU" w:eastAsia="en-US"/>
              </w:rPr>
              <w:t>ICER</w:t>
            </w:r>
          </w:p>
        </w:tc>
      </w:tr>
      <w:tr w:rsidR="00537D02" w:rsidRPr="0084495F" w14:paraId="2FE27505" w14:textId="77777777" w:rsidTr="002B0E29">
        <w:tc>
          <w:tcPr>
            <w:tcW w:w="5000" w:type="pct"/>
            <w:gridSpan w:val="5"/>
            <w:tcMar>
              <w:top w:w="0" w:type="dxa"/>
              <w:left w:w="28" w:type="dxa"/>
              <w:bottom w:w="0" w:type="dxa"/>
              <w:right w:w="28" w:type="dxa"/>
            </w:tcMar>
            <w:vAlign w:val="center"/>
            <w:hideMark/>
          </w:tcPr>
          <w:p w14:paraId="70C0CF6D" w14:textId="77777777" w:rsidR="00537D02" w:rsidRPr="0084495F" w:rsidRDefault="00537D02" w:rsidP="002B0E29">
            <w:pPr>
              <w:pStyle w:val="Tableheadingrow"/>
              <w:rPr>
                <w:lang w:val="en-AU" w:eastAsia="en-US"/>
              </w:rPr>
            </w:pPr>
            <w:r w:rsidRPr="0084495F">
              <w:rPr>
                <w:lang w:val="en-AU" w:eastAsia="en-US"/>
              </w:rPr>
              <w:t>Step 1: Time horizon 11 months, drug costs only, outcome life years (no discounting)</w:t>
            </w:r>
          </w:p>
        </w:tc>
      </w:tr>
      <w:tr w:rsidR="00537D02" w:rsidRPr="0084495F" w14:paraId="319A0E65" w14:textId="77777777" w:rsidTr="002B0E29">
        <w:tc>
          <w:tcPr>
            <w:tcW w:w="1079" w:type="pct"/>
            <w:tcMar>
              <w:top w:w="0" w:type="dxa"/>
              <w:left w:w="28" w:type="dxa"/>
              <w:bottom w:w="0" w:type="dxa"/>
              <w:right w:w="28" w:type="dxa"/>
            </w:tcMar>
            <w:vAlign w:val="center"/>
            <w:hideMark/>
          </w:tcPr>
          <w:p w14:paraId="1DB0145D" w14:textId="77777777" w:rsidR="00537D02" w:rsidRPr="0084495F" w:rsidRDefault="00537D02" w:rsidP="002B0E29">
            <w:pPr>
              <w:pStyle w:val="TableText"/>
              <w:rPr>
                <w:rFonts w:ascii="Times" w:hAnsi="Times" w:cs="Times"/>
                <w:lang w:eastAsia="en-US"/>
              </w:rPr>
            </w:pPr>
            <w:r w:rsidRPr="0084495F">
              <w:rPr>
                <w:lang w:eastAsia="en-US"/>
              </w:rPr>
              <w:t>Costs</w:t>
            </w:r>
          </w:p>
        </w:tc>
        <w:tc>
          <w:tcPr>
            <w:tcW w:w="956" w:type="pct"/>
            <w:tcMar>
              <w:top w:w="0" w:type="dxa"/>
              <w:left w:w="28" w:type="dxa"/>
              <w:bottom w:w="0" w:type="dxa"/>
              <w:right w:w="28" w:type="dxa"/>
            </w:tcMar>
            <w:vAlign w:val="center"/>
            <w:hideMark/>
          </w:tcPr>
          <w:p w14:paraId="0709FB92" w14:textId="0DEAE9B5" w:rsidR="00537D02" w:rsidRPr="00E45780" w:rsidRDefault="00537D02" w:rsidP="002B0E29">
            <w:pPr>
              <w:pStyle w:val="TableText"/>
              <w:jc w:val="center"/>
              <w:rPr>
                <w:rFonts w:ascii="Times" w:hAnsi="Times" w:cs="Times"/>
                <w:iCs/>
                <w:vertAlign w:val="superscript"/>
                <w:lang w:eastAsia="en-US"/>
              </w:rPr>
            </w:pPr>
            <w:r w:rsidRPr="0084495F">
              <w:rPr>
                <w:iCs/>
                <w:lang w:eastAsia="en-US"/>
              </w:rPr>
              <w:t>$</w:t>
            </w:r>
            <w:r w:rsidR="009C6175" w:rsidRPr="009C6175">
              <w:rPr>
                <w:iCs/>
                <w:color w:val="000000"/>
                <w:shd w:val="solid" w:color="000000" w:fill="000000"/>
                <w:lang w:eastAsia="en-US"/>
                <w14:textFill>
                  <w14:solidFill>
                    <w14:srgbClr w14:val="000000">
                      <w14:alpha w14:val="100000"/>
                    </w14:srgbClr>
                  </w14:solidFill>
                </w14:textFill>
              </w:rPr>
              <w:t>|</w:t>
            </w:r>
            <w:r w:rsidR="00E45780">
              <w:rPr>
                <w:iCs/>
                <w:vertAlign w:val="superscript"/>
                <w:lang w:eastAsia="en-US"/>
              </w:rPr>
              <w:t>1</w:t>
            </w:r>
          </w:p>
        </w:tc>
        <w:tc>
          <w:tcPr>
            <w:tcW w:w="956" w:type="pct"/>
            <w:tcMar>
              <w:top w:w="0" w:type="dxa"/>
              <w:left w:w="28" w:type="dxa"/>
              <w:bottom w:w="0" w:type="dxa"/>
              <w:right w:w="28" w:type="dxa"/>
            </w:tcMar>
            <w:vAlign w:val="center"/>
            <w:hideMark/>
          </w:tcPr>
          <w:p w14:paraId="2504C3F7" w14:textId="21F4B9CE" w:rsidR="00537D02" w:rsidRPr="00E45780" w:rsidRDefault="00537D02" w:rsidP="002B0E29">
            <w:pPr>
              <w:pStyle w:val="TableText"/>
              <w:jc w:val="center"/>
              <w:rPr>
                <w:rFonts w:ascii="Times" w:hAnsi="Times" w:cs="Times"/>
                <w:iCs/>
                <w:vertAlign w:val="superscript"/>
                <w:lang w:eastAsia="en-US"/>
              </w:rPr>
            </w:pPr>
            <w:r w:rsidRPr="0084495F">
              <w:rPr>
                <w:iCs/>
                <w:lang w:eastAsia="en-US"/>
              </w:rPr>
              <w:t>$</w:t>
            </w:r>
            <w:r w:rsidR="009C6175" w:rsidRPr="009C6175">
              <w:rPr>
                <w:iCs/>
                <w:color w:val="000000"/>
                <w:shd w:val="solid" w:color="000000" w:fill="000000"/>
                <w:lang w:eastAsia="en-US"/>
                <w14:textFill>
                  <w14:solidFill>
                    <w14:srgbClr w14:val="000000">
                      <w14:alpha w14:val="100000"/>
                    </w14:srgbClr>
                  </w14:solidFill>
                </w14:textFill>
              </w:rPr>
              <w:t>|</w:t>
            </w:r>
            <w:r w:rsidR="00E45780">
              <w:rPr>
                <w:iCs/>
                <w:vertAlign w:val="superscript"/>
                <w:lang w:eastAsia="en-US"/>
              </w:rPr>
              <w:t>1</w:t>
            </w:r>
          </w:p>
        </w:tc>
        <w:tc>
          <w:tcPr>
            <w:tcW w:w="1051" w:type="pct"/>
            <w:tcMar>
              <w:top w:w="0" w:type="dxa"/>
              <w:left w:w="28" w:type="dxa"/>
              <w:bottom w:w="0" w:type="dxa"/>
              <w:right w:w="28" w:type="dxa"/>
            </w:tcMar>
            <w:vAlign w:val="center"/>
            <w:hideMark/>
          </w:tcPr>
          <w:p w14:paraId="42DEAFD9" w14:textId="21C55030" w:rsidR="00537D02" w:rsidRPr="00E45780" w:rsidRDefault="00537D02" w:rsidP="002B0E29">
            <w:pPr>
              <w:pStyle w:val="TableText"/>
              <w:jc w:val="center"/>
              <w:rPr>
                <w:rFonts w:ascii="Times" w:hAnsi="Times" w:cs="Times"/>
                <w:iCs/>
                <w:vertAlign w:val="superscript"/>
                <w:lang w:eastAsia="en-US"/>
              </w:rPr>
            </w:pPr>
            <w:r w:rsidRPr="0084495F">
              <w:rPr>
                <w:iCs/>
                <w:lang w:eastAsia="en-US"/>
              </w:rPr>
              <w:t>$</w:t>
            </w:r>
            <w:r w:rsidR="009C6175" w:rsidRPr="009C6175">
              <w:rPr>
                <w:iCs/>
                <w:color w:val="000000"/>
                <w:shd w:val="solid" w:color="000000" w:fill="000000"/>
                <w:lang w:eastAsia="en-US"/>
                <w14:textFill>
                  <w14:solidFill>
                    <w14:srgbClr w14:val="000000">
                      <w14:alpha w14:val="100000"/>
                    </w14:srgbClr>
                  </w14:solidFill>
                </w14:textFill>
              </w:rPr>
              <w:t>|</w:t>
            </w:r>
            <w:r w:rsidR="00E45780">
              <w:rPr>
                <w:iCs/>
                <w:vertAlign w:val="superscript"/>
                <w:lang w:eastAsia="en-US"/>
              </w:rPr>
              <w:t>1</w:t>
            </w:r>
          </w:p>
        </w:tc>
        <w:tc>
          <w:tcPr>
            <w:tcW w:w="958" w:type="pct"/>
            <w:vMerge w:val="restart"/>
            <w:tcMar>
              <w:top w:w="0" w:type="dxa"/>
              <w:left w:w="28" w:type="dxa"/>
              <w:bottom w:w="0" w:type="dxa"/>
              <w:right w:w="28" w:type="dxa"/>
            </w:tcMar>
            <w:vAlign w:val="center"/>
            <w:hideMark/>
          </w:tcPr>
          <w:p w14:paraId="740CFEDB" w14:textId="3AAB4ECF" w:rsidR="00537D02" w:rsidRPr="00E45780" w:rsidRDefault="00537D02" w:rsidP="002B0E29">
            <w:pPr>
              <w:pStyle w:val="TableText"/>
              <w:jc w:val="center"/>
              <w:rPr>
                <w:rFonts w:cs="Times New Roman"/>
                <w:iCs/>
                <w:vertAlign w:val="superscript"/>
                <w:lang w:eastAsia="en-US"/>
              </w:rPr>
            </w:pPr>
            <w:r w:rsidRPr="0084495F">
              <w:rPr>
                <w:iCs/>
                <w:lang w:eastAsia="en-US"/>
              </w:rPr>
              <w:t>$</w:t>
            </w:r>
            <w:r w:rsidR="009C6175" w:rsidRPr="009C6175">
              <w:rPr>
                <w:iCs/>
                <w:color w:val="000000"/>
                <w:shd w:val="solid" w:color="000000" w:fill="000000"/>
                <w:lang w:eastAsia="en-US"/>
                <w14:textFill>
                  <w14:solidFill>
                    <w14:srgbClr w14:val="000000">
                      <w14:alpha w14:val="100000"/>
                    </w14:srgbClr>
                  </w14:solidFill>
                </w14:textFill>
              </w:rPr>
              <w:t>|</w:t>
            </w:r>
            <w:r w:rsidR="00E45780">
              <w:rPr>
                <w:iCs/>
                <w:vertAlign w:val="superscript"/>
                <w:lang w:eastAsia="en-US"/>
              </w:rPr>
              <w:t>6</w:t>
            </w:r>
          </w:p>
        </w:tc>
      </w:tr>
      <w:tr w:rsidR="00537D02" w:rsidRPr="0084495F" w14:paraId="71C01D32" w14:textId="77777777" w:rsidTr="002B0E29">
        <w:tc>
          <w:tcPr>
            <w:tcW w:w="1079" w:type="pct"/>
            <w:tcMar>
              <w:top w:w="0" w:type="dxa"/>
              <w:left w:w="28" w:type="dxa"/>
              <w:bottom w:w="0" w:type="dxa"/>
              <w:right w:w="28" w:type="dxa"/>
            </w:tcMar>
            <w:vAlign w:val="center"/>
            <w:hideMark/>
          </w:tcPr>
          <w:p w14:paraId="7E2715D3" w14:textId="213D247A" w:rsidR="00537D02" w:rsidRPr="0084495F" w:rsidRDefault="00537D02" w:rsidP="002B0E29">
            <w:pPr>
              <w:pStyle w:val="TableText"/>
              <w:rPr>
                <w:rFonts w:ascii="Times" w:hAnsi="Times" w:cs="Times"/>
                <w:lang w:eastAsia="en-US"/>
              </w:rPr>
            </w:pPr>
            <w:r w:rsidRPr="0084495F">
              <w:rPr>
                <w:lang w:eastAsia="en-US"/>
              </w:rPr>
              <w:t>Life-years</w:t>
            </w:r>
            <w:r w:rsidR="00FF7C8E" w:rsidRPr="0084495F">
              <w:rPr>
                <w:lang w:eastAsia="en-US"/>
              </w:rPr>
              <w:t>*</w:t>
            </w:r>
          </w:p>
        </w:tc>
        <w:tc>
          <w:tcPr>
            <w:tcW w:w="956" w:type="pct"/>
            <w:tcMar>
              <w:top w:w="0" w:type="dxa"/>
              <w:left w:w="28" w:type="dxa"/>
              <w:bottom w:w="0" w:type="dxa"/>
              <w:right w:w="28" w:type="dxa"/>
            </w:tcMar>
            <w:vAlign w:val="center"/>
            <w:hideMark/>
          </w:tcPr>
          <w:p w14:paraId="3C7D3763" w14:textId="77777777" w:rsidR="00537D02" w:rsidRPr="0084495F" w:rsidRDefault="00537D02" w:rsidP="002B0E29">
            <w:pPr>
              <w:pStyle w:val="TableText"/>
              <w:jc w:val="center"/>
              <w:rPr>
                <w:rFonts w:ascii="Times" w:hAnsi="Times" w:cs="Times"/>
                <w:iCs/>
                <w:highlight w:val="yellow"/>
                <w:lang w:eastAsia="en-US"/>
              </w:rPr>
            </w:pPr>
            <w:r w:rsidRPr="0084495F">
              <w:rPr>
                <w:iCs/>
                <w:lang w:eastAsia="en-US"/>
              </w:rPr>
              <w:t>0.8834</w:t>
            </w:r>
          </w:p>
        </w:tc>
        <w:tc>
          <w:tcPr>
            <w:tcW w:w="956" w:type="pct"/>
            <w:tcMar>
              <w:top w:w="0" w:type="dxa"/>
              <w:left w:w="28" w:type="dxa"/>
              <w:bottom w:w="0" w:type="dxa"/>
              <w:right w:w="28" w:type="dxa"/>
            </w:tcMar>
            <w:vAlign w:val="center"/>
            <w:hideMark/>
          </w:tcPr>
          <w:p w14:paraId="2AC2B4FF" w14:textId="77777777" w:rsidR="00537D02" w:rsidRPr="0084495F" w:rsidRDefault="00537D02" w:rsidP="002B0E29">
            <w:pPr>
              <w:pStyle w:val="TableText"/>
              <w:jc w:val="center"/>
              <w:rPr>
                <w:rFonts w:ascii="Times" w:hAnsi="Times" w:cs="Times"/>
                <w:iCs/>
                <w:highlight w:val="yellow"/>
                <w:lang w:eastAsia="en-US"/>
              </w:rPr>
            </w:pPr>
            <w:r w:rsidRPr="0084495F">
              <w:rPr>
                <w:iCs/>
                <w:lang w:eastAsia="en-US"/>
              </w:rPr>
              <w:t>0.8782</w:t>
            </w:r>
          </w:p>
        </w:tc>
        <w:tc>
          <w:tcPr>
            <w:tcW w:w="1051" w:type="pct"/>
            <w:tcMar>
              <w:top w:w="0" w:type="dxa"/>
              <w:left w:w="28" w:type="dxa"/>
              <w:bottom w:w="0" w:type="dxa"/>
              <w:right w:w="28" w:type="dxa"/>
            </w:tcMar>
            <w:vAlign w:val="center"/>
            <w:hideMark/>
          </w:tcPr>
          <w:p w14:paraId="0AA660EC" w14:textId="77777777" w:rsidR="00537D02" w:rsidRPr="0084495F" w:rsidRDefault="00537D02" w:rsidP="002B0E29">
            <w:pPr>
              <w:pStyle w:val="TableText"/>
              <w:jc w:val="center"/>
              <w:rPr>
                <w:rFonts w:cs="Times New Roman"/>
                <w:iCs/>
                <w:highlight w:val="yellow"/>
                <w:lang w:eastAsia="en-US"/>
              </w:rPr>
            </w:pPr>
            <w:r w:rsidRPr="0084495F">
              <w:rPr>
                <w:iCs/>
                <w:lang w:eastAsia="en-US"/>
              </w:rPr>
              <w:t>0.0052</w:t>
            </w:r>
          </w:p>
        </w:tc>
        <w:tc>
          <w:tcPr>
            <w:tcW w:w="0" w:type="auto"/>
            <w:vMerge/>
            <w:vAlign w:val="center"/>
            <w:hideMark/>
          </w:tcPr>
          <w:p w14:paraId="2BE0FFBF" w14:textId="77777777" w:rsidR="00537D02" w:rsidRPr="0084495F" w:rsidRDefault="00537D02" w:rsidP="002B0E29">
            <w:pPr>
              <w:rPr>
                <w:rFonts w:ascii="Arial Narrow" w:hAnsi="Arial Narrow" w:cs="Times New Roman"/>
                <w:sz w:val="20"/>
                <w:szCs w:val="20"/>
                <w:lang w:eastAsia="en-US"/>
              </w:rPr>
            </w:pPr>
          </w:p>
        </w:tc>
      </w:tr>
      <w:tr w:rsidR="00537D02" w:rsidRPr="0084495F" w14:paraId="455AE911" w14:textId="77777777" w:rsidTr="002B0E29">
        <w:tc>
          <w:tcPr>
            <w:tcW w:w="5000" w:type="pct"/>
            <w:gridSpan w:val="5"/>
            <w:tcMar>
              <w:top w:w="0" w:type="dxa"/>
              <w:left w:w="28" w:type="dxa"/>
              <w:bottom w:w="0" w:type="dxa"/>
              <w:right w:w="28" w:type="dxa"/>
            </w:tcMar>
            <w:vAlign w:val="center"/>
            <w:hideMark/>
          </w:tcPr>
          <w:p w14:paraId="722D0D0F" w14:textId="77777777" w:rsidR="00537D02" w:rsidRPr="0084495F" w:rsidRDefault="00537D02" w:rsidP="002B0E29">
            <w:pPr>
              <w:pStyle w:val="Tableheadingrow"/>
              <w:rPr>
                <w:lang w:val="en-AU" w:eastAsia="en-US"/>
              </w:rPr>
            </w:pPr>
            <w:r w:rsidRPr="0084495F">
              <w:rPr>
                <w:lang w:val="en-AU" w:eastAsia="en-US"/>
              </w:rPr>
              <w:t>Step 2: Time horizon increased to 10 years (costs and outcomes discounted at 5% per year)</w:t>
            </w:r>
          </w:p>
        </w:tc>
      </w:tr>
      <w:tr w:rsidR="00537D02" w:rsidRPr="0084495F" w14:paraId="660A2355" w14:textId="77777777" w:rsidTr="002B0E29">
        <w:tc>
          <w:tcPr>
            <w:tcW w:w="1079" w:type="pct"/>
            <w:tcMar>
              <w:top w:w="0" w:type="dxa"/>
              <w:left w:w="28" w:type="dxa"/>
              <w:bottom w:w="0" w:type="dxa"/>
              <w:right w:w="28" w:type="dxa"/>
            </w:tcMar>
            <w:vAlign w:val="center"/>
            <w:hideMark/>
          </w:tcPr>
          <w:p w14:paraId="4BAC0B50" w14:textId="77777777" w:rsidR="00537D02" w:rsidRPr="0084495F" w:rsidRDefault="00537D02" w:rsidP="002B0E29">
            <w:pPr>
              <w:pStyle w:val="TableText"/>
              <w:rPr>
                <w:rFonts w:ascii="Times" w:hAnsi="Times" w:cs="Times"/>
                <w:lang w:eastAsia="en-US"/>
              </w:rPr>
            </w:pPr>
            <w:r w:rsidRPr="0084495F">
              <w:rPr>
                <w:lang w:eastAsia="en-US"/>
              </w:rPr>
              <w:t>Costs</w:t>
            </w:r>
          </w:p>
        </w:tc>
        <w:tc>
          <w:tcPr>
            <w:tcW w:w="956" w:type="pct"/>
            <w:tcMar>
              <w:top w:w="0" w:type="dxa"/>
              <w:left w:w="28" w:type="dxa"/>
              <w:bottom w:w="0" w:type="dxa"/>
              <w:right w:w="28" w:type="dxa"/>
            </w:tcMar>
            <w:vAlign w:val="center"/>
            <w:hideMark/>
          </w:tcPr>
          <w:p w14:paraId="223AE99C" w14:textId="73AA3853"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2</w:t>
            </w:r>
          </w:p>
        </w:tc>
        <w:tc>
          <w:tcPr>
            <w:tcW w:w="956" w:type="pct"/>
            <w:tcMar>
              <w:top w:w="0" w:type="dxa"/>
              <w:left w:w="28" w:type="dxa"/>
              <w:bottom w:w="0" w:type="dxa"/>
              <w:right w:w="28" w:type="dxa"/>
            </w:tcMar>
            <w:vAlign w:val="center"/>
            <w:hideMark/>
          </w:tcPr>
          <w:p w14:paraId="4920CE94" w14:textId="6A632EDF"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5</w:t>
            </w:r>
          </w:p>
        </w:tc>
        <w:tc>
          <w:tcPr>
            <w:tcW w:w="1051" w:type="pct"/>
            <w:tcMar>
              <w:top w:w="0" w:type="dxa"/>
              <w:left w:w="28" w:type="dxa"/>
              <w:bottom w:w="0" w:type="dxa"/>
              <w:right w:w="28" w:type="dxa"/>
            </w:tcMar>
            <w:vAlign w:val="center"/>
            <w:hideMark/>
          </w:tcPr>
          <w:p w14:paraId="0AA1D37E" w14:textId="58B67EF0"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5</w:t>
            </w:r>
          </w:p>
        </w:tc>
        <w:tc>
          <w:tcPr>
            <w:tcW w:w="958" w:type="pct"/>
            <w:vMerge w:val="restart"/>
            <w:tcMar>
              <w:top w:w="0" w:type="dxa"/>
              <w:left w:w="28" w:type="dxa"/>
              <w:bottom w:w="0" w:type="dxa"/>
              <w:right w:w="28" w:type="dxa"/>
            </w:tcMar>
            <w:vAlign w:val="center"/>
            <w:hideMark/>
          </w:tcPr>
          <w:p w14:paraId="7D3B4670" w14:textId="791DD4E7" w:rsidR="00537D02" w:rsidRPr="00E45780" w:rsidRDefault="00537D02" w:rsidP="002B0E29">
            <w:pPr>
              <w:pStyle w:val="TableText"/>
              <w:jc w:val="center"/>
              <w:rPr>
                <w:rFonts w:ascii="Times" w:hAnsi="Times" w:cs="Times"/>
                <w:iCs/>
                <w:vertAlign w:val="superscript"/>
                <w:lang w:eastAsia="en-US"/>
              </w:rPr>
            </w:pPr>
            <w:r w:rsidRPr="0084495F">
              <w:rPr>
                <w:iCs/>
                <w:lang w:eastAsia="en-US"/>
              </w:rPr>
              <w:t>$</w:t>
            </w:r>
            <w:r w:rsidR="009C6175" w:rsidRPr="009C6175">
              <w:rPr>
                <w:iCs/>
                <w:color w:val="000000"/>
                <w:shd w:val="solid" w:color="000000" w:fill="000000"/>
                <w:lang w:eastAsia="en-US"/>
                <w14:textFill>
                  <w14:solidFill>
                    <w14:srgbClr w14:val="000000">
                      <w14:alpha w14:val="100000"/>
                    </w14:srgbClr>
                  </w14:solidFill>
                </w14:textFill>
              </w:rPr>
              <w:t>|</w:t>
            </w:r>
            <w:r w:rsidR="00E45780">
              <w:rPr>
                <w:iCs/>
                <w:vertAlign w:val="superscript"/>
                <w:lang w:eastAsia="en-US"/>
              </w:rPr>
              <w:t>4</w:t>
            </w:r>
          </w:p>
        </w:tc>
      </w:tr>
      <w:tr w:rsidR="00537D02" w:rsidRPr="0084495F" w14:paraId="26CAABE7" w14:textId="77777777" w:rsidTr="002B0E29">
        <w:tc>
          <w:tcPr>
            <w:tcW w:w="1079" w:type="pct"/>
            <w:tcMar>
              <w:top w:w="0" w:type="dxa"/>
              <w:left w:w="28" w:type="dxa"/>
              <w:bottom w:w="0" w:type="dxa"/>
              <w:right w:w="28" w:type="dxa"/>
            </w:tcMar>
            <w:vAlign w:val="center"/>
            <w:hideMark/>
          </w:tcPr>
          <w:p w14:paraId="2DFA5C68" w14:textId="41AD32DD" w:rsidR="00537D02" w:rsidRPr="0084495F" w:rsidRDefault="00537D02" w:rsidP="002B0E29">
            <w:pPr>
              <w:pStyle w:val="TableText"/>
              <w:rPr>
                <w:rFonts w:ascii="Times" w:hAnsi="Times" w:cs="Times"/>
                <w:lang w:eastAsia="en-US"/>
              </w:rPr>
            </w:pPr>
            <w:r w:rsidRPr="0084495F">
              <w:rPr>
                <w:lang w:eastAsia="en-US"/>
              </w:rPr>
              <w:t>Life-years</w:t>
            </w:r>
            <w:r w:rsidR="00FF7C8E" w:rsidRPr="0084495F">
              <w:rPr>
                <w:lang w:eastAsia="en-US"/>
              </w:rPr>
              <w:t>*</w:t>
            </w:r>
          </w:p>
        </w:tc>
        <w:tc>
          <w:tcPr>
            <w:tcW w:w="956" w:type="pct"/>
            <w:tcMar>
              <w:top w:w="0" w:type="dxa"/>
              <w:left w:w="28" w:type="dxa"/>
              <w:bottom w:w="0" w:type="dxa"/>
              <w:right w:w="28" w:type="dxa"/>
            </w:tcMar>
            <w:vAlign w:val="bottom"/>
            <w:hideMark/>
          </w:tcPr>
          <w:p w14:paraId="78B7C42A" w14:textId="77777777" w:rsidR="00537D02" w:rsidRPr="0084495F" w:rsidRDefault="00537D02" w:rsidP="002B0E29">
            <w:pPr>
              <w:pStyle w:val="TableText"/>
              <w:jc w:val="center"/>
              <w:rPr>
                <w:rFonts w:cs="Times New Roman"/>
                <w:iCs/>
                <w:lang w:eastAsia="en-US"/>
              </w:rPr>
            </w:pPr>
            <w:r w:rsidRPr="0084495F">
              <w:rPr>
                <w:iCs/>
                <w:lang w:eastAsia="en-US"/>
              </w:rPr>
              <w:t>5.4515</w:t>
            </w:r>
          </w:p>
        </w:tc>
        <w:tc>
          <w:tcPr>
            <w:tcW w:w="956" w:type="pct"/>
            <w:tcMar>
              <w:top w:w="0" w:type="dxa"/>
              <w:left w:w="28" w:type="dxa"/>
              <w:bottom w:w="0" w:type="dxa"/>
              <w:right w:w="28" w:type="dxa"/>
            </w:tcMar>
            <w:vAlign w:val="bottom"/>
            <w:hideMark/>
          </w:tcPr>
          <w:p w14:paraId="3CED7CEA" w14:textId="77777777" w:rsidR="00537D02" w:rsidRPr="0084495F" w:rsidRDefault="00537D02" w:rsidP="002B0E29">
            <w:pPr>
              <w:pStyle w:val="TableText"/>
              <w:jc w:val="center"/>
              <w:rPr>
                <w:iCs/>
                <w:lang w:eastAsia="en-US"/>
              </w:rPr>
            </w:pPr>
            <w:r w:rsidRPr="0084495F">
              <w:rPr>
                <w:iCs/>
                <w:lang w:eastAsia="en-US"/>
              </w:rPr>
              <w:t>5.1626</w:t>
            </w:r>
          </w:p>
        </w:tc>
        <w:tc>
          <w:tcPr>
            <w:tcW w:w="1051" w:type="pct"/>
            <w:tcMar>
              <w:top w:w="0" w:type="dxa"/>
              <w:left w:w="28" w:type="dxa"/>
              <w:bottom w:w="0" w:type="dxa"/>
              <w:right w:w="28" w:type="dxa"/>
            </w:tcMar>
            <w:vAlign w:val="bottom"/>
            <w:hideMark/>
          </w:tcPr>
          <w:p w14:paraId="7DDDE802" w14:textId="77777777" w:rsidR="00537D02" w:rsidRPr="0084495F" w:rsidRDefault="00537D02" w:rsidP="002B0E29">
            <w:pPr>
              <w:pStyle w:val="TableText"/>
              <w:jc w:val="center"/>
              <w:rPr>
                <w:iCs/>
                <w:lang w:eastAsia="en-US"/>
              </w:rPr>
            </w:pPr>
            <w:r w:rsidRPr="0084495F">
              <w:rPr>
                <w:iCs/>
                <w:lang w:eastAsia="en-US"/>
              </w:rPr>
              <w:t>0.2889</w:t>
            </w:r>
          </w:p>
        </w:tc>
        <w:tc>
          <w:tcPr>
            <w:tcW w:w="0" w:type="auto"/>
            <w:vMerge/>
            <w:vAlign w:val="center"/>
            <w:hideMark/>
          </w:tcPr>
          <w:p w14:paraId="451A8E1C" w14:textId="77777777" w:rsidR="00537D02" w:rsidRPr="0084495F" w:rsidRDefault="00537D02" w:rsidP="002B0E29">
            <w:pPr>
              <w:rPr>
                <w:rFonts w:ascii="Times" w:hAnsi="Times" w:cs="Times"/>
                <w:sz w:val="20"/>
                <w:szCs w:val="20"/>
                <w:lang w:eastAsia="en-US"/>
              </w:rPr>
            </w:pPr>
          </w:p>
        </w:tc>
      </w:tr>
      <w:tr w:rsidR="00537D02" w:rsidRPr="0084495F" w14:paraId="301591CC" w14:textId="77777777" w:rsidTr="002B0E29">
        <w:tc>
          <w:tcPr>
            <w:tcW w:w="5000" w:type="pct"/>
            <w:gridSpan w:val="5"/>
            <w:tcMar>
              <w:top w:w="0" w:type="dxa"/>
              <w:left w:w="28" w:type="dxa"/>
              <w:bottom w:w="0" w:type="dxa"/>
              <w:right w:w="28" w:type="dxa"/>
            </w:tcMar>
            <w:vAlign w:val="center"/>
            <w:hideMark/>
          </w:tcPr>
          <w:p w14:paraId="48318DB1" w14:textId="77777777" w:rsidR="00537D02" w:rsidRPr="0084495F" w:rsidRDefault="00537D02" w:rsidP="002B0E29">
            <w:pPr>
              <w:pStyle w:val="Tableheadingrow"/>
              <w:rPr>
                <w:lang w:val="en-AU" w:eastAsia="en-US"/>
              </w:rPr>
            </w:pPr>
            <w:r w:rsidRPr="0084495F">
              <w:rPr>
                <w:lang w:val="en-AU" w:eastAsia="en-US"/>
              </w:rPr>
              <w:t>Step 2a: Health state utilities included, outcomes quality adjusted life years (QALYs)</w:t>
            </w:r>
          </w:p>
        </w:tc>
      </w:tr>
      <w:tr w:rsidR="00537D02" w:rsidRPr="0084495F" w14:paraId="0C1EADA1" w14:textId="77777777" w:rsidTr="002B0E29">
        <w:tc>
          <w:tcPr>
            <w:tcW w:w="1079" w:type="pct"/>
            <w:tcMar>
              <w:top w:w="0" w:type="dxa"/>
              <w:left w:w="28" w:type="dxa"/>
              <w:bottom w:w="0" w:type="dxa"/>
              <w:right w:w="28" w:type="dxa"/>
            </w:tcMar>
            <w:vAlign w:val="center"/>
            <w:hideMark/>
          </w:tcPr>
          <w:p w14:paraId="4687186C" w14:textId="77777777" w:rsidR="00537D02" w:rsidRPr="0084495F" w:rsidRDefault="00537D02" w:rsidP="002B0E29">
            <w:pPr>
              <w:pStyle w:val="TableText"/>
              <w:rPr>
                <w:rFonts w:ascii="Times" w:hAnsi="Times" w:cs="Times"/>
                <w:lang w:eastAsia="en-US"/>
              </w:rPr>
            </w:pPr>
            <w:r w:rsidRPr="0084495F">
              <w:rPr>
                <w:lang w:eastAsia="en-US"/>
              </w:rPr>
              <w:t>Costs</w:t>
            </w:r>
          </w:p>
        </w:tc>
        <w:tc>
          <w:tcPr>
            <w:tcW w:w="956" w:type="pct"/>
            <w:tcMar>
              <w:top w:w="0" w:type="dxa"/>
              <w:left w:w="28" w:type="dxa"/>
              <w:bottom w:w="0" w:type="dxa"/>
              <w:right w:w="28" w:type="dxa"/>
            </w:tcMar>
            <w:vAlign w:val="center"/>
            <w:hideMark/>
          </w:tcPr>
          <w:p w14:paraId="47C0D4DB" w14:textId="745FFF14"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2</w:t>
            </w:r>
          </w:p>
        </w:tc>
        <w:tc>
          <w:tcPr>
            <w:tcW w:w="956" w:type="pct"/>
            <w:tcMar>
              <w:top w:w="0" w:type="dxa"/>
              <w:left w:w="28" w:type="dxa"/>
              <w:bottom w:w="0" w:type="dxa"/>
              <w:right w:w="28" w:type="dxa"/>
            </w:tcMar>
            <w:vAlign w:val="center"/>
            <w:hideMark/>
          </w:tcPr>
          <w:p w14:paraId="4BB2A56F" w14:textId="14AF29A4"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5</w:t>
            </w:r>
          </w:p>
        </w:tc>
        <w:tc>
          <w:tcPr>
            <w:tcW w:w="1051" w:type="pct"/>
            <w:tcMar>
              <w:top w:w="0" w:type="dxa"/>
              <w:left w:w="28" w:type="dxa"/>
              <w:bottom w:w="0" w:type="dxa"/>
              <w:right w:w="28" w:type="dxa"/>
            </w:tcMar>
            <w:vAlign w:val="center"/>
            <w:hideMark/>
          </w:tcPr>
          <w:p w14:paraId="1F815EEE" w14:textId="71FCB76E"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5</w:t>
            </w:r>
          </w:p>
        </w:tc>
        <w:tc>
          <w:tcPr>
            <w:tcW w:w="958" w:type="pct"/>
            <w:vMerge w:val="restart"/>
            <w:tcMar>
              <w:top w:w="0" w:type="dxa"/>
              <w:left w:w="28" w:type="dxa"/>
              <w:bottom w:w="0" w:type="dxa"/>
              <w:right w:w="28" w:type="dxa"/>
            </w:tcMar>
            <w:vAlign w:val="center"/>
            <w:hideMark/>
          </w:tcPr>
          <w:p w14:paraId="41238E80" w14:textId="4EEE3884"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7</w:t>
            </w:r>
          </w:p>
        </w:tc>
      </w:tr>
      <w:tr w:rsidR="00537D02" w:rsidRPr="0084495F" w14:paraId="67334E40" w14:textId="77777777" w:rsidTr="002B0E29">
        <w:tc>
          <w:tcPr>
            <w:tcW w:w="1079" w:type="pct"/>
            <w:tcMar>
              <w:top w:w="0" w:type="dxa"/>
              <w:left w:w="28" w:type="dxa"/>
              <w:bottom w:w="0" w:type="dxa"/>
              <w:right w:w="28" w:type="dxa"/>
            </w:tcMar>
            <w:vAlign w:val="center"/>
            <w:hideMark/>
          </w:tcPr>
          <w:p w14:paraId="0FF7A6E6" w14:textId="77777777" w:rsidR="00537D02" w:rsidRPr="0084495F" w:rsidRDefault="00537D02" w:rsidP="002B0E29">
            <w:pPr>
              <w:pStyle w:val="TableText"/>
              <w:rPr>
                <w:rFonts w:ascii="Times" w:hAnsi="Times" w:cs="Times"/>
                <w:lang w:eastAsia="en-US"/>
              </w:rPr>
            </w:pPr>
            <w:r w:rsidRPr="0084495F">
              <w:rPr>
                <w:lang w:eastAsia="en-US"/>
              </w:rPr>
              <w:t>QALYs</w:t>
            </w:r>
          </w:p>
        </w:tc>
        <w:tc>
          <w:tcPr>
            <w:tcW w:w="956" w:type="pct"/>
            <w:tcMar>
              <w:top w:w="0" w:type="dxa"/>
              <w:left w:w="28" w:type="dxa"/>
              <w:bottom w:w="0" w:type="dxa"/>
              <w:right w:w="28" w:type="dxa"/>
            </w:tcMar>
            <w:vAlign w:val="bottom"/>
          </w:tcPr>
          <w:p w14:paraId="2ACA7BE1" w14:textId="77777777" w:rsidR="00537D02" w:rsidRPr="0084495F" w:rsidRDefault="00537D02" w:rsidP="002B0E29">
            <w:pPr>
              <w:pStyle w:val="TableText"/>
              <w:jc w:val="center"/>
              <w:rPr>
                <w:rFonts w:cs="Times New Roman"/>
                <w:lang w:eastAsia="en-US"/>
              </w:rPr>
            </w:pPr>
            <w:r w:rsidRPr="0084495F">
              <w:rPr>
                <w:lang w:eastAsia="en-US"/>
              </w:rPr>
              <w:t>3.9137</w:t>
            </w:r>
          </w:p>
        </w:tc>
        <w:tc>
          <w:tcPr>
            <w:tcW w:w="956" w:type="pct"/>
            <w:tcMar>
              <w:top w:w="0" w:type="dxa"/>
              <w:left w:w="28" w:type="dxa"/>
              <w:bottom w:w="0" w:type="dxa"/>
              <w:right w:w="28" w:type="dxa"/>
            </w:tcMar>
            <w:vAlign w:val="bottom"/>
          </w:tcPr>
          <w:p w14:paraId="34FF34AA" w14:textId="77777777" w:rsidR="00537D02" w:rsidRPr="0084495F" w:rsidRDefault="00537D02" w:rsidP="002B0E29">
            <w:pPr>
              <w:pStyle w:val="TableText"/>
              <w:jc w:val="center"/>
              <w:rPr>
                <w:lang w:eastAsia="en-US"/>
              </w:rPr>
            </w:pPr>
            <w:r w:rsidRPr="0084495F">
              <w:rPr>
                <w:lang w:eastAsia="en-US"/>
              </w:rPr>
              <w:t>3.6938</w:t>
            </w:r>
          </w:p>
        </w:tc>
        <w:tc>
          <w:tcPr>
            <w:tcW w:w="1051" w:type="pct"/>
            <w:tcMar>
              <w:top w:w="0" w:type="dxa"/>
              <w:left w:w="28" w:type="dxa"/>
              <w:bottom w:w="0" w:type="dxa"/>
              <w:right w:w="28" w:type="dxa"/>
            </w:tcMar>
            <w:vAlign w:val="bottom"/>
          </w:tcPr>
          <w:p w14:paraId="3D943400" w14:textId="77777777" w:rsidR="00537D02" w:rsidRPr="0084495F" w:rsidRDefault="00537D02" w:rsidP="002B0E29">
            <w:pPr>
              <w:pStyle w:val="TableText"/>
              <w:jc w:val="center"/>
              <w:rPr>
                <w:lang w:eastAsia="en-US"/>
              </w:rPr>
            </w:pPr>
            <w:r w:rsidRPr="0084495F">
              <w:rPr>
                <w:lang w:eastAsia="en-US"/>
              </w:rPr>
              <w:t>0.2199</w:t>
            </w:r>
          </w:p>
        </w:tc>
        <w:tc>
          <w:tcPr>
            <w:tcW w:w="0" w:type="auto"/>
            <w:vMerge/>
            <w:vAlign w:val="center"/>
            <w:hideMark/>
          </w:tcPr>
          <w:p w14:paraId="799BC075" w14:textId="77777777" w:rsidR="00537D02" w:rsidRPr="0084495F" w:rsidRDefault="00537D02" w:rsidP="002B0E29">
            <w:pPr>
              <w:rPr>
                <w:rFonts w:ascii="Times" w:hAnsi="Times" w:cs="Times"/>
                <w:sz w:val="20"/>
                <w:szCs w:val="20"/>
                <w:lang w:eastAsia="en-US"/>
              </w:rPr>
            </w:pPr>
          </w:p>
        </w:tc>
      </w:tr>
      <w:tr w:rsidR="00537D02" w:rsidRPr="0084495F" w14:paraId="622EBFC4" w14:textId="77777777" w:rsidTr="002B0E29">
        <w:tc>
          <w:tcPr>
            <w:tcW w:w="5000" w:type="pct"/>
            <w:gridSpan w:val="5"/>
            <w:tcMar>
              <w:top w:w="0" w:type="dxa"/>
              <w:left w:w="28" w:type="dxa"/>
              <w:bottom w:w="0" w:type="dxa"/>
              <w:right w:w="28" w:type="dxa"/>
            </w:tcMar>
            <w:vAlign w:val="center"/>
            <w:hideMark/>
          </w:tcPr>
          <w:p w14:paraId="364DCFEE" w14:textId="77777777" w:rsidR="00537D02" w:rsidRPr="0084495F" w:rsidRDefault="00537D02" w:rsidP="002B0E29">
            <w:pPr>
              <w:pStyle w:val="Tableheadingrow"/>
              <w:rPr>
                <w:lang w:val="en-AU" w:eastAsia="en-US"/>
              </w:rPr>
            </w:pPr>
            <w:r w:rsidRPr="0084495F">
              <w:rPr>
                <w:lang w:val="en-AU" w:eastAsia="en-US"/>
              </w:rPr>
              <w:t>Step 3: Routine care and monitoring costs included</w:t>
            </w:r>
          </w:p>
        </w:tc>
      </w:tr>
      <w:tr w:rsidR="00537D02" w:rsidRPr="0084495F" w14:paraId="227B5039" w14:textId="77777777" w:rsidTr="002B0E29">
        <w:tc>
          <w:tcPr>
            <w:tcW w:w="1079" w:type="pct"/>
            <w:tcMar>
              <w:top w:w="0" w:type="dxa"/>
              <w:left w:w="28" w:type="dxa"/>
              <w:bottom w:w="0" w:type="dxa"/>
              <w:right w:w="28" w:type="dxa"/>
            </w:tcMar>
            <w:vAlign w:val="center"/>
            <w:hideMark/>
          </w:tcPr>
          <w:p w14:paraId="367FA808" w14:textId="77777777" w:rsidR="00537D02" w:rsidRPr="0084495F" w:rsidRDefault="00537D02" w:rsidP="002B0E29">
            <w:pPr>
              <w:pStyle w:val="TableText"/>
              <w:rPr>
                <w:rFonts w:ascii="Times" w:hAnsi="Times" w:cs="Times"/>
                <w:lang w:eastAsia="en-US"/>
              </w:rPr>
            </w:pPr>
            <w:r w:rsidRPr="0084495F">
              <w:rPr>
                <w:lang w:eastAsia="en-US"/>
              </w:rPr>
              <w:t>Costs</w:t>
            </w:r>
          </w:p>
        </w:tc>
        <w:tc>
          <w:tcPr>
            <w:tcW w:w="956" w:type="pct"/>
            <w:tcMar>
              <w:top w:w="0" w:type="dxa"/>
              <w:left w:w="28" w:type="dxa"/>
              <w:bottom w:w="0" w:type="dxa"/>
              <w:right w:w="28" w:type="dxa"/>
            </w:tcMar>
            <w:vAlign w:val="center"/>
            <w:hideMark/>
          </w:tcPr>
          <w:p w14:paraId="5A5E0EF9" w14:textId="16CAAA69"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3</w:t>
            </w:r>
          </w:p>
        </w:tc>
        <w:tc>
          <w:tcPr>
            <w:tcW w:w="956" w:type="pct"/>
            <w:tcMar>
              <w:top w:w="0" w:type="dxa"/>
              <w:left w:w="28" w:type="dxa"/>
              <w:bottom w:w="0" w:type="dxa"/>
              <w:right w:w="28" w:type="dxa"/>
            </w:tcMar>
            <w:vAlign w:val="center"/>
            <w:hideMark/>
          </w:tcPr>
          <w:p w14:paraId="65715F04" w14:textId="154302ED"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2</w:t>
            </w:r>
          </w:p>
        </w:tc>
        <w:tc>
          <w:tcPr>
            <w:tcW w:w="1051" w:type="pct"/>
            <w:tcMar>
              <w:top w:w="0" w:type="dxa"/>
              <w:left w:w="28" w:type="dxa"/>
              <w:bottom w:w="0" w:type="dxa"/>
              <w:right w:w="28" w:type="dxa"/>
            </w:tcMar>
            <w:vAlign w:val="center"/>
            <w:hideMark/>
          </w:tcPr>
          <w:p w14:paraId="49570042" w14:textId="5D16A558"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5</w:t>
            </w:r>
          </w:p>
        </w:tc>
        <w:tc>
          <w:tcPr>
            <w:tcW w:w="958" w:type="pct"/>
            <w:vMerge w:val="restart"/>
            <w:tcMar>
              <w:top w:w="0" w:type="dxa"/>
              <w:left w:w="28" w:type="dxa"/>
              <w:bottom w:w="0" w:type="dxa"/>
              <w:right w:w="28" w:type="dxa"/>
            </w:tcMar>
            <w:vAlign w:val="center"/>
            <w:hideMark/>
          </w:tcPr>
          <w:p w14:paraId="29B1BBB8" w14:textId="29140123"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7</w:t>
            </w:r>
          </w:p>
        </w:tc>
      </w:tr>
      <w:tr w:rsidR="00537D02" w:rsidRPr="0084495F" w14:paraId="4AE154B4" w14:textId="77777777" w:rsidTr="002B0E29">
        <w:tc>
          <w:tcPr>
            <w:tcW w:w="1079" w:type="pct"/>
            <w:tcMar>
              <w:top w:w="0" w:type="dxa"/>
              <w:left w:w="28" w:type="dxa"/>
              <w:bottom w:w="0" w:type="dxa"/>
              <w:right w:w="28" w:type="dxa"/>
            </w:tcMar>
            <w:vAlign w:val="center"/>
            <w:hideMark/>
          </w:tcPr>
          <w:p w14:paraId="6FC14E08" w14:textId="77777777" w:rsidR="00537D02" w:rsidRPr="0084495F" w:rsidRDefault="00537D02" w:rsidP="002B0E29">
            <w:pPr>
              <w:pStyle w:val="TableText"/>
              <w:rPr>
                <w:rFonts w:ascii="Times" w:hAnsi="Times" w:cs="Times"/>
                <w:lang w:eastAsia="en-US"/>
              </w:rPr>
            </w:pPr>
            <w:r w:rsidRPr="0084495F">
              <w:rPr>
                <w:lang w:eastAsia="en-US"/>
              </w:rPr>
              <w:t>QALYs</w:t>
            </w:r>
          </w:p>
        </w:tc>
        <w:tc>
          <w:tcPr>
            <w:tcW w:w="956" w:type="pct"/>
            <w:tcMar>
              <w:top w:w="0" w:type="dxa"/>
              <w:left w:w="28" w:type="dxa"/>
              <w:bottom w:w="0" w:type="dxa"/>
              <w:right w:w="28" w:type="dxa"/>
            </w:tcMar>
            <w:vAlign w:val="bottom"/>
          </w:tcPr>
          <w:p w14:paraId="65DB7301" w14:textId="77777777" w:rsidR="00537D02" w:rsidRPr="0084495F" w:rsidRDefault="00537D02" w:rsidP="002B0E29">
            <w:pPr>
              <w:pStyle w:val="TableText"/>
              <w:jc w:val="center"/>
              <w:rPr>
                <w:rFonts w:cs="Times New Roman"/>
                <w:lang w:eastAsia="en-US"/>
              </w:rPr>
            </w:pPr>
            <w:r w:rsidRPr="0084495F">
              <w:rPr>
                <w:lang w:eastAsia="en-US"/>
              </w:rPr>
              <w:t>3.9137</w:t>
            </w:r>
          </w:p>
        </w:tc>
        <w:tc>
          <w:tcPr>
            <w:tcW w:w="956" w:type="pct"/>
            <w:tcMar>
              <w:top w:w="0" w:type="dxa"/>
              <w:left w:w="28" w:type="dxa"/>
              <w:bottom w:w="0" w:type="dxa"/>
              <w:right w:w="28" w:type="dxa"/>
            </w:tcMar>
            <w:vAlign w:val="bottom"/>
          </w:tcPr>
          <w:p w14:paraId="2ED7CEFF" w14:textId="77777777" w:rsidR="00537D02" w:rsidRPr="0084495F" w:rsidRDefault="00537D02" w:rsidP="002B0E29">
            <w:pPr>
              <w:pStyle w:val="TableText"/>
              <w:jc w:val="center"/>
              <w:rPr>
                <w:lang w:eastAsia="en-US"/>
              </w:rPr>
            </w:pPr>
            <w:r w:rsidRPr="0084495F">
              <w:rPr>
                <w:lang w:eastAsia="en-US"/>
              </w:rPr>
              <w:t>3.6938</w:t>
            </w:r>
          </w:p>
        </w:tc>
        <w:tc>
          <w:tcPr>
            <w:tcW w:w="1051" w:type="pct"/>
            <w:tcMar>
              <w:top w:w="0" w:type="dxa"/>
              <w:left w:w="28" w:type="dxa"/>
              <w:bottom w:w="0" w:type="dxa"/>
              <w:right w:w="28" w:type="dxa"/>
            </w:tcMar>
            <w:vAlign w:val="bottom"/>
          </w:tcPr>
          <w:p w14:paraId="282CDA1D" w14:textId="77777777" w:rsidR="00537D02" w:rsidRPr="0084495F" w:rsidRDefault="00537D02" w:rsidP="002B0E29">
            <w:pPr>
              <w:pStyle w:val="TableText"/>
              <w:jc w:val="center"/>
              <w:rPr>
                <w:lang w:eastAsia="en-US"/>
              </w:rPr>
            </w:pPr>
            <w:r w:rsidRPr="0084495F">
              <w:rPr>
                <w:lang w:eastAsia="en-US"/>
              </w:rPr>
              <w:t>0.2199</w:t>
            </w:r>
          </w:p>
        </w:tc>
        <w:tc>
          <w:tcPr>
            <w:tcW w:w="0" w:type="auto"/>
            <w:vMerge/>
            <w:vAlign w:val="center"/>
            <w:hideMark/>
          </w:tcPr>
          <w:p w14:paraId="5BB85D54" w14:textId="77777777" w:rsidR="00537D02" w:rsidRPr="0084495F" w:rsidRDefault="00537D02" w:rsidP="002B0E29">
            <w:pPr>
              <w:rPr>
                <w:rFonts w:ascii="Times" w:hAnsi="Times" w:cs="Times"/>
                <w:sz w:val="20"/>
                <w:szCs w:val="20"/>
                <w:lang w:eastAsia="en-US"/>
              </w:rPr>
            </w:pPr>
          </w:p>
        </w:tc>
      </w:tr>
      <w:tr w:rsidR="00537D02" w:rsidRPr="0084495F" w14:paraId="344CBE6B" w14:textId="77777777" w:rsidTr="002B0E29">
        <w:tc>
          <w:tcPr>
            <w:tcW w:w="5000" w:type="pct"/>
            <w:gridSpan w:val="5"/>
            <w:tcMar>
              <w:top w:w="0" w:type="dxa"/>
              <w:left w:w="28" w:type="dxa"/>
              <w:bottom w:w="0" w:type="dxa"/>
              <w:right w:w="28" w:type="dxa"/>
            </w:tcMar>
            <w:vAlign w:val="center"/>
            <w:hideMark/>
          </w:tcPr>
          <w:p w14:paraId="417B5A87" w14:textId="77777777" w:rsidR="00537D02" w:rsidRPr="0084495F" w:rsidRDefault="00537D02" w:rsidP="002B0E29">
            <w:pPr>
              <w:pStyle w:val="Tableheadingrow"/>
              <w:rPr>
                <w:lang w:val="en-AU" w:eastAsia="en-US"/>
              </w:rPr>
            </w:pPr>
            <w:r w:rsidRPr="0084495F">
              <w:rPr>
                <w:lang w:val="en-AU" w:eastAsia="en-US"/>
              </w:rPr>
              <w:t>Step 4: Terminal care costs included</w:t>
            </w:r>
          </w:p>
        </w:tc>
      </w:tr>
      <w:tr w:rsidR="00537D02" w:rsidRPr="0084495F" w14:paraId="402B42DD" w14:textId="77777777" w:rsidTr="002B0E29">
        <w:tc>
          <w:tcPr>
            <w:tcW w:w="1079" w:type="pct"/>
            <w:tcMar>
              <w:top w:w="0" w:type="dxa"/>
              <w:left w:w="28" w:type="dxa"/>
              <w:bottom w:w="0" w:type="dxa"/>
              <w:right w:w="28" w:type="dxa"/>
            </w:tcMar>
            <w:vAlign w:val="center"/>
            <w:hideMark/>
          </w:tcPr>
          <w:p w14:paraId="7F31CC62" w14:textId="77777777" w:rsidR="00537D02" w:rsidRPr="0084495F" w:rsidRDefault="00537D02" w:rsidP="002B0E29">
            <w:pPr>
              <w:pStyle w:val="TableText"/>
              <w:rPr>
                <w:rFonts w:ascii="Times" w:hAnsi="Times" w:cs="Times"/>
                <w:lang w:eastAsia="en-US"/>
              </w:rPr>
            </w:pPr>
            <w:r w:rsidRPr="0084495F">
              <w:rPr>
                <w:lang w:eastAsia="en-US"/>
              </w:rPr>
              <w:t>Costs</w:t>
            </w:r>
          </w:p>
        </w:tc>
        <w:tc>
          <w:tcPr>
            <w:tcW w:w="956" w:type="pct"/>
            <w:tcMar>
              <w:top w:w="0" w:type="dxa"/>
              <w:left w:w="28" w:type="dxa"/>
              <w:bottom w:w="0" w:type="dxa"/>
              <w:right w:w="28" w:type="dxa"/>
            </w:tcMar>
            <w:vAlign w:val="center"/>
            <w:hideMark/>
          </w:tcPr>
          <w:p w14:paraId="347AD0AD" w14:textId="06C003F4"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4</w:t>
            </w:r>
          </w:p>
        </w:tc>
        <w:tc>
          <w:tcPr>
            <w:tcW w:w="956" w:type="pct"/>
            <w:tcMar>
              <w:top w:w="0" w:type="dxa"/>
              <w:left w:w="28" w:type="dxa"/>
              <w:bottom w:w="0" w:type="dxa"/>
              <w:right w:w="28" w:type="dxa"/>
            </w:tcMar>
            <w:vAlign w:val="center"/>
            <w:hideMark/>
          </w:tcPr>
          <w:p w14:paraId="66A44719" w14:textId="5E0A1CF3"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3</w:t>
            </w:r>
          </w:p>
        </w:tc>
        <w:tc>
          <w:tcPr>
            <w:tcW w:w="1051" w:type="pct"/>
            <w:tcMar>
              <w:top w:w="0" w:type="dxa"/>
              <w:left w:w="28" w:type="dxa"/>
              <w:bottom w:w="0" w:type="dxa"/>
              <w:right w:w="28" w:type="dxa"/>
            </w:tcMar>
            <w:vAlign w:val="center"/>
            <w:hideMark/>
          </w:tcPr>
          <w:p w14:paraId="47488A82" w14:textId="265E43FE"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5</w:t>
            </w:r>
          </w:p>
        </w:tc>
        <w:tc>
          <w:tcPr>
            <w:tcW w:w="958" w:type="pct"/>
            <w:vMerge w:val="restart"/>
            <w:tcMar>
              <w:top w:w="0" w:type="dxa"/>
              <w:left w:w="28" w:type="dxa"/>
              <w:bottom w:w="0" w:type="dxa"/>
              <w:right w:w="28" w:type="dxa"/>
            </w:tcMar>
            <w:vAlign w:val="center"/>
            <w:hideMark/>
          </w:tcPr>
          <w:p w14:paraId="44F683CE" w14:textId="2E13A959"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7</w:t>
            </w:r>
          </w:p>
        </w:tc>
      </w:tr>
      <w:tr w:rsidR="00537D02" w:rsidRPr="0084495F" w14:paraId="2ACF113B" w14:textId="77777777" w:rsidTr="002B0E29">
        <w:tc>
          <w:tcPr>
            <w:tcW w:w="1079" w:type="pct"/>
            <w:tcMar>
              <w:top w:w="0" w:type="dxa"/>
              <w:left w:w="28" w:type="dxa"/>
              <w:bottom w:w="0" w:type="dxa"/>
              <w:right w:w="28" w:type="dxa"/>
            </w:tcMar>
            <w:vAlign w:val="center"/>
            <w:hideMark/>
          </w:tcPr>
          <w:p w14:paraId="56B0E7A2" w14:textId="77777777" w:rsidR="00537D02" w:rsidRPr="0084495F" w:rsidRDefault="00537D02" w:rsidP="002B0E29">
            <w:pPr>
              <w:pStyle w:val="TableText"/>
              <w:rPr>
                <w:rFonts w:ascii="Times" w:hAnsi="Times" w:cs="Times"/>
                <w:lang w:eastAsia="en-US"/>
              </w:rPr>
            </w:pPr>
            <w:r w:rsidRPr="0084495F">
              <w:rPr>
                <w:lang w:eastAsia="en-US"/>
              </w:rPr>
              <w:t>QALYs</w:t>
            </w:r>
          </w:p>
        </w:tc>
        <w:tc>
          <w:tcPr>
            <w:tcW w:w="956" w:type="pct"/>
            <w:tcMar>
              <w:top w:w="0" w:type="dxa"/>
              <w:left w:w="28" w:type="dxa"/>
              <w:bottom w:w="0" w:type="dxa"/>
              <w:right w:w="28" w:type="dxa"/>
            </w:tcMar>
            <w:vAlign w:val="bottom"/>
            <w:hideMark/>
          </w:tcPr>
          <w:p w14:paraId="5BB31967" w14:textId="77777777" w:rsidR="00537D02" w:rsidRPr="0084495F" w:rsidRDefault="00537D02" w:rsidP="002B0E29">
            <w:pPr>
              <w:pStyle w:val="TableText"/>
              <w:jc w:val="center"/>
              <w:rPr>
                <w:rFonts w:cs="Times New Roman"/>
                <w:lang w:eastAsia="en-US"/>
              </w:rPr>
            </w:pPr>
            <w:r w:rsidRPr="0084495F">
              <w:rPr>
                <w:lang w:eastAsia="en-US"/>
              </w:rPr>
              <w:t>3.9137</w:t>
            </w:r>
          </w:p>
        </w:tc>
        <w:tc>
          <w:tcPr>
            <w:tcW w:w="956" w:type="pct"/>
            <w:tcMar>
              <w:top w:w="0" w:type="dxa"/>
              <w:left w:w="28" w:type="dxa"/>
              <w:bottom w:w="0" w:type="dxa"/>
              <w:right w:w="28" w:type="dxa"/>
            </w:tcMar>
            <w:vAlign w:val="bottom"/>
            <w:hideMark/>
          </w:tcPr>
          <w:p w14:paraId="00E25F4F" w14:textId="77777777" w:rsidR="00537D02" w:rsidRPr="0084495F" w:rsidRDefault="00537D02" w:rsidP="002B0E29">
            <w:pPr>
              <w:pStyle w:val="TableText"/>
              <w:jc w:val="center"/>
              <w:rPr>
                <w:lang w:eastAsia="en-US"/>
              </w:rPr>
            </w:pPr>
            <w:r w:rsidRPr="0084495F">
              <w:rPr>
                <w:lang w:eastAsia="en-US"/>
              </w:rPr>
              <w:t>3.6938</w:t>
            </w:r>
          </w:p>
        </w:tc>
        <w:tc>
          <w:tcPr>
            <w:tcW w:w="1051" w:type="pct"/>
            <w:tcMar>
              <w:top w:w="0" w:type="dxa"/>
              <w:left w:w="28" w:type="dxa"/>
              <w:bottom w:w="0" w:type="dxa"/>
              <w:right w:w="28" w:type="dxa"/>
            </w:tcMar>
            <w:vAlign w:val="bottom"/>
            <w:hideMark/>
          </w:tcPr>
          <w:p w14:paraId="076F19D7" w14:textId="77777777" w:rsidR="00537D02" w:rsidRPr="0084495F" w:rsidRDefault="00537D02" w:rsidP="002B0E29">
            <w:pPr>
              <w:pStyle w:val="TableText"/>
              <w:jc w:val="center"/>
              <w:rPr>
                <w:lang w:eastAsia="en-US"/>
              </w:rPr>
            </w:pPr>
            <w:r w:rsidRPr="0084495F">
              <w:rPr>
                <w:lang w:eastAsia="en-US"/>
              </w:rPr>
              <w:t>0.2199</w:t>
            </w:r>
          </w:p>
        </w:tc>
        <w:tc>
          <w:tcPr>
            <w:tcW w:w="0" w:type="auto"/>
            <w:vMerge/>
            <w:vAlign w:val="center"/>
            <w:hideMark/>
          </w:tcPr>
          <w:p w14:paraId="4C3F132A" w14:textId="77777777" w:rsidR="00537D02" w:rsidRPr="0084495F" w:rsidRDefault="00537D02" w:rsidP="002B0E29">
            <w:pPr>
              <w:rPr>
                <w:rFonts w:ascii="Times" w:hAnsi="Times" w:cs="Times"/>
                <w:sz w:val="20"/>
                <w:szCs w:val="20"/>
                <w:lang w:eastAsia="en-US"/>
              </w:rPr>
            </w:pPr>
          </w:p>
        </w:tc>
      </w:tr>
      <w:tr w:rsidR="00537D02" w:rsidRPr="0084495F" w14:paraId="53D06714" w14:textId="77777777" w:rsidTr="002B0E29">
        <w:tc>
          <w:tcPr>
            <w:tcW w:w="5000" w:type="pct"/>
            <w:gridSpan w:val="5"/>
            <w:tcMar>
              <w:top w:w="0" w:type="dxa"/>
              <w:left w:w="28" w:type="dxa"/>
              <w:bottom w:w="0" w:type="dxa"/>
              <w:right w:w="28" w:type="dxa"/>
            </w:tcMar>
            <w:vAlign w:val="center"/>
            <w:hideMark/>
          </w:tcPr>
          <w:p w14:paraId="64D4D3DB" w14:textId="77777777" w:rsidR="00537D02" w:rsidRPr="0084495F" w:rsidRDefault="00537D02" w:rsidP="002B0E29">
            <w:pPr>
              <w:pStyle w:val="Tableheadingrow"/>
              <w:rPr>
                <w:lang w:val="en-AU" w:eastAsia="en-US"/>
              </w:rPr>
            </w:pPr>
            <w:r w:rsidRPr="0084495F">
              <w:rPr>
                <w:lang w:val="en-AU" w:eastAsia="en-US"/>
              </w:rPr>
              <w:t>Step 5: Hospitalisation costs included</w:t>
            </w:r>
          </w:p>
        </w:tc>
      </w:tr>
      <w:tr w:rsidR="00537D02" w:rsidRPr="0084495F" w14:paraId="6AC76F0A" w14:textId="77777777" w:rsidTr="002B0E29">
        <w:tc>
          <w:tcPr>
            <w:tcW w:w="1079" w:type="pct"/>
            <w:tcMar>
              <w:top w:w="0" w:type="dxa"/>
              <w:left w:w="28" w:type="dxa"/>
              <w:bottom w:w="0" w:type="dxa"/>
              <w:right w:w="28" w:type="dxa"/>
            </w:tcMar>
            <w:vAlign w:val="center"/>
            <w:hideMark/>
          </w:tcPr>
          <w:p w14:paraId="7D0F4107" w14:textId="77777777" w:rsidR="00537D02" w:rsidRPr="0084495F" w:rsidRDefault="00537D02" w:rsidP="002B0E29">
            <w:pPr>
              <w:pStyle w:val="TableText"/>
              <w:rPr>
                <w:rFonts w:ascii="Times" w:hAnsi="Times" w:cs="Times"/>
                <w:lang w:eastAsia="en-US"/>
              </w:rPr>
            </w:pPr>
            <w:r w:rsidRPr="0084495F">
              <w:rPr>
                <w:lang w:eastAsia="en-US"/>
              </w:rPr>
              <w:t>Costs</w:t>
            </w:r>
          </w:p>
        </w:tc>
        <w:tc>
          <w:tcPr>
            <w:tcW w:w="956" w:type="pct"/>
            <w:tcMar>
              <w:top w:w="0" w:type="dxa"/>
              <w:left w:w="28" w:type="dxa"/>
              <w:bottom w:w="0" w:type="dxa"/>
              <w:right w:w="28" w:type="dxa"/>
            </w:tcMar>
            <w:vAlign w:val="center"/>
            <w:hideMark/>
          </w:tcPr>
          <w:p w14:paraId="4D3EB6C8" w14:textId="02EA4D16"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4</w:t>
            </w:r>
          </w:p>
        </w:tc>
        <w:tc>
          <w:tcPr>
            <w:tcW w:w="956" w:type="pct"/>
            <w:tcMar>
              <w:top w:w="0" w:type="dxa"/>
              <w:left w:w="28" w:type="dxa"/>
              <w:bottom w:w="0" w:type="dxa"/>
              <w:right w:w="28" w:type="dxa"/>
            </w:tcMar>
            <w:vAlign w:val="center"/>
            <w:hideMark/>
          </w:tcPr>
          <w:p w14:paraId="79F6FFA1" w14:textId="07502579"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3</w:t>
            </w:r>
          </w:p>
        </w:tc>
        <w:tc>
          <w:tcPr>
            <w:tcW w:w="1051" w:type="pct"/>
            <w:tcMar>
              <w:top w:w="0" w:type="dxa"/>
              <w:left w:w="28" w:type="dxa"/>
              <w:bottom w:w="0" w:type="dxa"/>
              <w:right w:w="28" w:type="dxa"/>
            </w:tcMar>
            <w:vAlign w:val="center"/>
            <w:hideMark/>
          </w:tcPr>
          <w:p w14:paraId="13B9AFB0" w14:textId="4ED9EB36" w:rsidR="00537D02" w:rsidRPr="00E45780" w:rsidRDefault="00537D02" w:rsidP="002B0E29">
            <w:pPr>
              <w:pStyle w:val="TableText"/>
              <w:jc w:val="center"/>
              <w:rPr>
                <w:rFonts w:ascii="Times" w:hAnsi="Times" w:cs="Times"/>
                <w:vertAlign w:val="superscript"/>
                <w:lang w:eastAsia="en-US"/>
              </w:rPr>
            </w:pPr>
            <w:r w:rsidRPr="0084495F">
              <w:rPr>
                <w:lang w:eastAsia="en-US"/>
              </w:rPr>
              <w:t>$</w:t>
            </w:r>
            <w:r w:rsidR="009C6175" w:rsidRPr="009C6175">
              <w:rPr>
                <w:color w:val="000000"/>
                <w:shd w:val="solid" w:color="000000" w:fill="000000"/>
                <w:lang w:eastAsia="en-US"/>
                <w14:textFill>
                  <w14:solidFill>
                    <w14:srgbClr w14:val="000000">
                      <w14:alpha w14:val="100000"/>
                    </w14:srgbClr>
                  </w14:solidFill>
                </w14:textFill>
              </w:rPr>
              <w:t>|</w:t>
            </w:r>
            <w:r w:rsidR="00E45780">
              <w:rPr>
                <w:vertAlign w:val="superscript"/>
                <w:lang w:eastAsia="en-US"/>
              </w:rPr>
              <w:t>5</w:t>
            </w:r>
          </w:p>
        </w:tc>
        <w:tc>
          <w:tcPr>
            <w:tcW w:w="958" w:type="pct"/>
            <w:vMerge w:val="restart"/>
            <w:tcMar>
              <w:top w:w="0" w:type="dxa"/>
              <w:left w:w="28" w:type="dxa"/>
              <w:bottom w:w="0" w:type="dxa"/>
              <w:right w:w="28" w:type="dxa"/>
            </w:tcMar>
            <w:vAlign w:val="center"/>
            <w:hideMark/>
          </w:tcPr>
          <w:p w14:paraId="5595B180" w14:textId="054EAF12" w:rsidR="00537D02" w:rsidRPr="00E45780" w:rsidRDefault="00537D02" w:rsidP="002B0E29">
            <w:pPr>
              <w:pStyle w:val="TableText"/>
              <w:jc w:val="center"/>
              <w:rPr>
                <w:rFonts w:ascii="Times" w:hAnsi="Times" w:cs="Times"/>
                <w:vertAlign w:val="superscript"/>
                <w:lang w:eastAsia="en-US"/>
              </w:rPr>
            </w:pPr>
            <w:r w:rsidRPr="0084495F">
              <w:rPr>
                <w:b/>
                <w:bCs w:val="0"/>
                <w:lang w:eastAsia="en-US"/>
              </w:rPr>
              <w:t>$</w:t>
            </w:r>
            <w:r w:rsidR="009C6175" w:rsidRPr="009C6175">
              <w:rPr>
                <w:b/>
                <w:bCs w:val="0"/>
                <w:color w:val="000000"/>
                <w:shd w:val="solid" w:color="000000" w:fill="000000"/>
                <w:lang w:eastAsia="en-US"/>
                <w14:textFill>
                  <w14:solidFill>
                    <w14:srgbClr w14:val="000000">
                      <w14:alpha w14:val="100000"/>
                    </w14:srgbClr>
                  </w14:solidFill>
                </w14:textFill>
              </w:rPr>
              <w:t>|</w:t>
            </w:r>
            <w:r w:rsidR="00E45780">
              <w:rPr>
                <w:b/>
                <w:bCs w:val="0"/>
                <w:vertAlign w:val="superscript"/>
                <w:lang w:eastAsia="en-US"/>
              </w:rPr>
              <w:t>4</w:t>
            </w:r>
          </w:p>
        </w:tc>
      </w:tr>
      <w:tr w:rsidR="00537D02" w:rsidRPr="0084495F" w14:paraId="19D7F40E" w14:textId="77777777" w:rsidTr="002B0E29">
        <w:tc>
          <w:tcPr>
            <w:tcW w:w="1079" w:type="pct"/>
            <w:tcMar>
              <w:top w:w="0" w:type="dxa"/>
              <w:left w:w="28" w:type="dxa"/>
              <w:bottom w:w="0" w:type="dxa"/>
              <w:right w:w="28" w:type="dxa"/>
            </w:tcMar>
            <w:vAlign w:val="center"/>
            <w:hideMark/>
          </w:tcPr>
          <w:p w14:paraId="7FFBAFEA" w14:textId="77777777" w:rsidR="00537D02" w:rsidRPr="0084495F" w:rsidRDefault="00537D02" w:rsidP="002B0E29">
            <w:pPr>
              <w:pStyle w:val="TableText"/>
              <w:rPr>
                <w:rFonts w:ascii="Times" w:hAnsi="Times" w:cs="Times"/>
                <w:lang w:eastAsia="en-US"/>
              </w:rPr>
            </w:pPr>
            <w:r w:rsidRPr="0084495F">
              <w:rPr>
                <w:lang w:eastAsia="en-US"/>
              </w:rPr>
              <w:t>QALYs</w:t>
            </w:r>
          </w:p>
        </w:tc>
        <w:tc>
          <w:tcPr>
            <w:tcW w:w="956" w:type="pct"/>
            <w:tcMar>
              <w:top w:w="0" w:type="dxa"/>
              <w:left w:w="28" w:type="dxa"/>
              <w:bottom w:w="0" w:type="dxa"/>
              <w:right w:w="28" w:type="dxa"/>
            </w:tcMar>
            <w:vAlign w:val="bottom"/>
          </w:tcPr>
          <w:p w14:paraId="7598A9C0" w14:textId="77777777" w:rsidR="00537D02" w:rsidRPr="0084495F" w:rsidRDefault="00537D02" w:rsidP="002B0E29">
            <w:pPr>
              <w:pStyle w:val="TableText"/>
              <w:jc w:val="center"/>
              <w:rPr>
                <w:rFonts w:cs="Times New Roman"/>
                <w:lang w:eastAsia="en-US"/>
              </w:rPr>
            </w:pPr>
            <w:r w:rsidRPr="0084495F">
              <w:rPr>
                <w:lang w:eastAsia="en-US"/>
              </w:rPr>
              <w:t>3.9137</w:t>
            </w:r>
          </w:p>
        </w:tc>
        <w:tc>
          <w:tcPr>
            <w:tcW w:w="956" w:type="pct"/>
            <w:tcMar>
              <w:top w:w="0" w:type="dxa"/>
              <w:left w:w="28" w:type="dxa"/>
              <w:bottom w:w="0" w:type="dxa"/>
              <w:right w:w="28" w:type="dxa"/>
            </w:tcMar>
            <w:vAlign w:val="bottom"/>
          </w:tcPr>
          <w:p w14:paraId="7CB533CA" w14:textId="77777777" w:rsidR="00537D02" w:rsidRPr="0084495F" w:rsidRDefault="00537D02" w:rsidP="002B0E29">
            <w:pPr>
              <w:pStyle w:val="TableText"/>
              <w:jc w:val="center"/>
              <w:rPr>
                <w:lang w:eastAsia="en-US"/>
              </w:rPr>
            </w:pPr>
            <w:r w:rsidRPr="0084495F">
              <w:rPr>
                <w:lang w:eastAsia="en-US"/>
              </w:rPr>
              <w:t>3.6938</w:t>
            </w:r>
          </w:p>
        </w:tc>
        <w:tc>
          <w:tcPr>
            <w:tcW w:w="1051" w:type="pct"/>
            <w:tcMar>
              <w:top w:w="0" w:type="dxa"/>
              <w:left w:w="28" w:type="dxa"/>
              <w:bottom w:w="0" w:type="dxa"/>
              <w:right w:w="28" w:type="dxa"/>
            </w:tcMar>
            <w:vAlign w:val="bottom"/>
          </w:tcPr>
          <w:p w14:paraId="4E90D520" w14:textId="77777777" w:rsidR="00537D02" w:rsidRPr="0084495F" w:rsidRDefault="00537D02" w:rsidP="002B0E29">
            <w:pPr>
              <w:pStyle w:val="TableText"/>
              <w:jc w:val="center"/>
              <w:rPr>
                <w:lang w:eastAsia="en-US"/>
              </w:rPr>
            </w:pPr>
            <w:r w:rsidRPr="0084495F">
              <w:rPr>
                <w:lang w:eastAsia="en-US"/>
              </w:rPr>
              <w:t>0.2199</w:t>
            </w:r>
          </w:p>
        </w:tc>
        <w:tc>
          <w:tcPr>
            <w:tcW w:w="0" w:type="auto"/>
            <w:vMerge/>
            <w:vAlign w:val="center"/>
            <w:hideMark/>
          </w:tcPr>
          <w:p w14:paraId="254D197F" w14:textId="77777777" w:rsidR="00537D02" w:rsidRPr="0084495F" w:rsidRDefault="00537D02" w:rsidP="002B0E29">
            <w:pPr>
              <w:rPr>
                <w:rFonts w:ascii="Times" w:hAnsi="Times" w:cs="Times"/>
                <w:sz w:val="20"/>
                <w:szCs w:val="20"/>
                <w:lang w:eastAsia="en-US"/>
              </w:rPr>
            </w:pPr>
          </w:p>
        </w:tc>
      </w:tr>
    </w:tbl>
    <w:p w14:paraId="0CBA8B8A" w14:textId="77777777" w:rsidR="00537D02" w:rsidRPr="0084495F" w:rsidRDefault="00537D02" w:rsidP="00537D02">
      <w:pPr>
        <w:pStyle w:val="TableFigureFooter"/>
        <w:rPr>
          <w:rFonts w:eastAsiaTheme="minorHAnsi" w:cs="Times New Roman"/>
          <w:sz w:val="20"/>
          <w:szCs w:val="20"/>
          <w:lang w:eastAsia="en-US"/>
        </w:rPr>
      </w:pPr>
      <w:r w:rsidRPr="0084495F">
        <w:t>Source: Table 3-22, p186 of the submission</w:t>
      </w:r>
    </w:p>
    <w:p w14:paraId="6B87E76D" w14:textId="2C851A42" w:rsidR="00537D02" w:rsidRPr="0084495F" w:rsidRDefault="00537D02" w:rsidP="00537D02">
      <w:pPr>
        <w:pStyle w:val="TableFigureFooter"/>
      </w:pPr>
      <w:r w:rsidRPr="0084495F">
        <w:t>Abbreviations: ICER, incremental cost-effectiveness ratio; NT-</w:t>
      </w:r>
      <w:proofErr w:type="spellStart"/>
      <w:r w:rsidRPr="0084495F">
        <w:t>proBNP</w:t>
      </w:r>
      <w:proofErr w:type="spellEnd"/>
      <w:r w:rsidRPr="0084495F">
        <w:t>, N-terminal-pro B-type natriuretic peptide; QALY, quality-adjusted life year; SoC, standard of care</w:t>
      </w:r>
    </w:p>
    <w:p w14:paraId="094D24E1" w14:textId="7FEAFC4A" w:rsidR="00FF7C8E" w:rsidRDefault="00FF7C8E" w:rsidP="00F03A5C">
      <w:pPr>
        <w:pStyle w:val="TableFigureFooter"/>
        <w:spacing w:after="0"/>
        <w:rPr>
          <w:iCs/>
        </w:rPr>
      </w:pPr>
      <w:r w:rsidRPr="0084495F">
        <w:rPr>
          <w:iCs/>
        </w:rPr>
        <w:t xml:space="preserve">* The </w:t>
      </w:r>
      <w:r w:rsidR="002D4CFF" w:rsidRPr="0084495F">
        <w:rPr>
          <w:iCs/>
        </w:rPr>
        <w:t>submission’s stepped economic evaluation was based on QALY outcomes only. During the evaluation, the submission’s stepped analysis was adapted to assess the impact of health state utilities (life years were used as the outcome for the first two steps).</w:t>
      </w:r>
    </w:p>
    <w:p w14:paraId="76812C41" w14:textId="77777777" w:rsidR="00F03A5C" w:rsidRPr="009A6D58" w:rsidRDefault="00F03A5C" w:rsidP="00F03A5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48BBA1D" w14:textId="44682806" w:rsidR="00F03A5C" w:rsidRPr="009A6D58" w:rsidRDefault="00F03A5C" w:rsidP="00F03A5C">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E45780" w:rsidRPr="00E45780">
        <w:rPr>
          <w:rFonts w:ascii="Arial Narrow" w:hAnsi="Arial Narrow"/>
          <w:i/>
          <w:sz w:val="18"/>
          <w:szCs w:val="18"/>
        </w:rPr>
        <w:t>$0 to &lt; $5,000</w:t>
      </w:r>
    </w:p>
    <w:p w14:paraId="0F6FD829" w14:textId="77022B20" w:rsidR="00F03A5C" w:rsidRPr="009A6D58" w:rsidRDefault="00F03A5C" w:rsidP="00F03A5C">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E45780" w:rsidRPr="00E45780">
        <w:rPr>
          <w:rFonts w:ascii="Arial Narrow" w:hAnsi="Arial Narrow"/>
          <w:i/>
          <w:sz w:val="18"/>
          <w:szCs w:val="18"/>
        </w:rPr>
        <w:t>$15,000 to &lt; $25,000</w:t>
      </w:r>
    </w:p>
    <w:p w14:paraId="50C44667" w14:textId="670FADAE" w:rsidR="00F03A5C" w:rsidRDefault="00F03A5C" w:rsidP="00F03A5C">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E45780" w:rsidRPr="00E45780">
        <w:rPr>
          <w:rFonts w:ascii="Arial Narrow" w:hAnsi="Arial Narrow"/>
          <w:i/>
          <w:sz w:val="18"/>
          <w:szCs w:val="18"/>
        </w:rPr>
        <w:t>$25,000 to &lt; $35,000</w:t>
      </w:r>
    </w:p>
    <w:p w14:paraId="14CDCF63" w14:textId="2E8907D4" w:rsidR="00F03A5C" w:rsidRDefault="00F03A5C" w:rsidP="00F03A5C">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E45780" w:rsidRPr="00E45780">
        <w:rPr>
          <w:rFonts w:ascii="Arial Narrow" w:hAnsi="Arial Narrow"/>
          <w:i/>
          <w:sz w:val="18"/>
          <w:szCs w:val="18"/>
        </w:rPr>
        <w:t>$35,000 to &lt; $45,000</w:t>
      </w:r>
    </w:p>
    <w:p w14:paraId="3699C702" w14:textId="59D91407" w:rsidR="00F03A5C" w:rsidRDefault="00F03A5C" w:rsidP="00F03A5C">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E45780" w:rsidRPr="00E45780">
        <w:rPr>
          <w:rFonts w:ascii="Arial Narrow" w:hAnsi="Arial Narrow"/>
          <w:i/>
          <w:sz w:val="18"/>
          <w:szCs w:val="18"/>
        </w:rPr>
        <w:t>$5,000 to &lt; $15,000</w:t>
      </w:r>
    </w:p>
    <w:p w14:paraId="74DDA7F4" w14:textId="5E9573F6" w:rsidR="00F03A5C" w:rsidRDefault="00F03A5C" w:rsidP="00E45780">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E45780" w:rsidRPr="00E45780">
        <w:rPr>
          <w:rFonts w:ascii="Arial Narrow" w:hAnsi="Arial Narrow"/>
          <w:i/>
          <w:sz w:val="18"/>
          <w:szCs w:val="18"/>
        </w:rPr>
        <w:t>$255,000 to &lt; $355,000</w:t>
      </w:r>
    </w:p>
    <w:p w14:paraId="268E7FDB" w14:textId="34E98BF5" w:rsidR="00E45780" w:rsidRPr="00E45780" w:rsidRDefault="00E45780" w:rsidP="00F03A5C">
      <w:pPr>
        <w:spacing w:after="120"/>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E45780">
        <w:rPr>
          <w:rFonts w:ascii="Arial Narrow" w:hAnsi="Arial Narrow"/>
          <w:i/>
          <w:sz w:val="18"/>
          <w:szCs w:val="18"/>
        </w:rPr>
        <w:t>$45,000 to &lt; $55,000</w:t>
      </w:r>
    </w:p>
    <w:p w14:paraId="67C2B77B" w14:textId="5E1CDA2A" w:rsidR="00537D02" w:rsidRPr="0084495F" w:rsidRDefault="00537D02" w:rsidP="00537D02">
      <w:pPr>
        <w:pStyle w:val="ExecSumBodyText"/>
      </w:pPr>
      <w:r w:rsidRPr="0084495F">
        <w:t>The extrapolation of outcomes beyond the clinical trial duration and the introduction of health state utilities had the largest impact on the stepped economic evaluation.</w:t>
      </w:r>
    </w:p>
    <w:p w14:paraId="60946A86" w14:textId="7D47D25E" w:rsidR="00537D02" w:rsidRPr="0084495F" w:rsidRDefault="00FF0C6B" w:rsidP="00537D02">
      <w:pPr>
        <w:pStyle w:val="ExecSumBodyText"/>
      </w:pPr>
      <w:r w:rsidRPr="0084495F">
        <w:fldChar w:fldCharType="begin"/>
      </w:r>
      <w:r w:rsidRPr="0084495F">
        <w:instrText xml:space="preserve"> REF _Ref96002184 \h </w:instrText>
      </w:r>
      <w:r w:rsidR="00D55519" w:rsidRPr="0084495F">
        <w:instrText xml:space="preserve"> \* MERGEFORMAT </w:instrText>
      </w:r>
      <w:r w:rsidRPr="0084495F">
        <w:fldChar w:fldCharType="separate"/>
      </w:r>
      <w:r w:rsidR="0084495F" w:rsidRPr="0084495F">
        <w:t>Table 13</w:t>
      </w:r>
      <w:r w:rsidRPr="0084495F">
        <w:fldChar w:fldCharType="end"/>
      </w:r>
      <w:r w:rsidRPr="0084495F">
        <w:t xml:space="preserve"> </w:t>
      </w:r>
      <w:r w:rsidR="00537D02" w:rsidRPr="0084495F">
        <w:t>presents the results of the modelled economic evaluation for the base case NT-</w:t>
      </w:r>
      <w:proofErr w:type="spellStart"/>
      <w:r w:rsidR="00537D02" w:rsidRPr="0084495F">
        <w:t>proBNP</w:t>
      </w:r>
      <w:proofErr w:type="spellEnd"/>
      <w:r w:rsidR="00537D02" w:rsidRPr="0084495F">
        <w:t xml:space="preserve"> Q1-Q3 subgroup </w:t>
      </w:r>
      <w:r w:rsidR="007255B7" w:rsidRPr="0084495F">
        <w:t xml:space="preserve">compared to </w:t>
      </w:r>
      <w:r w:rsidR="00537D02" w:rsidRPr="0084495F">
        <w:t>the ITT population.</w:t>
      </w:r>
    </w:p>
    <w:p w14:paraId="38C78E1E" w14:textId="40ECC9CF" w:rsidR="00537D02" w:rsidRPr="0084495F" w:rsidRDefault="00537D02" w:rsidP="00FA6724">
      <w:pPr>
        <w:pStyle w:val="Caption"/>
      </w:pPr>
      <w:bookmarkStart w:id="25" w:name="_Ref96002184"/>
      <w:r w:rsidRPr="0084495F">
        <w:t xml:space="preserve">Table </w:t>
      </w:r>
      <w:r w:rsidR="00C16DA1">
        <w:fldChar w:fldCharType="begin"/>
      </w:r>
      <w:r w:rsidR="00C16DA1">
        <w:instrText xml:space="preserve"> SEQ Table \* ARABIC </w:instrText>
      </w:r>
      <w:r w:rsidR="00C16DA1">
        <w:fldChar w:fldCharType="separate"/>
      </w:r>
      <w:r w:rsidR="0084495F" w:rsidRPr="0084495F">
        <w:t>13</w:t>
      </w:r>
      <w:r w:rsidR="00C16DA1">
        <w:fldChar w:fldCharType="end"/>
      </w:r>
      <w:bookmarkEnd w:id="25"/>
      <w:r w:rsidRPr="0084495F">
        <w:t>: Results of the modelled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Results of the modelled economic evaluation"/>
      </w:tblPr>
      <w:tblGrid>
        <w:gridCol w:w="2757"/>
        <w:gridCol w:w="2087"/>
        <w:gridCol w:w="2079"/>
        <w:gridCol w:w="2094"/>
      </w:tblGrid>
      <w:tr w:rsidR="00537D02" w:rsidRPr="0084495F" w14:paraId="59D0082D" w14:textId="77777777" w:rsidTr="002B0E29">
        <w:trPr>
          <w:tblHeader/>
        </w:trPr>
        <w:tc>
          <w:tcPr>
            <w:tcW w:w="1529" w:type="pct"/>
            <w:vAlign w:val="center"/>
          </w:tcPr>
          <w:p w14:paraId="5AA3DCE7" w14:textId="77777777" w:rsidR="00537D02" w:rsidRPr="0084495F" w:rsidRDefault="00537D02" w:rsidP="002B0E29">
            <w:pPr>
              <w:pStyle w:val="Tableheadingrow"/>
              <w:rPr>
                <w:lang w:val="en-AU"/>
              </w:rPr>
            </w:pPr>
            <w:r w:rsidRPr="0084495F">
              <w:rPr>
                <w:lang w:val="en-AU"/>
              </w:rPr>
              <w:t>Component</w:t>
            </w:r>
          </w:p>
        </w:tc>
        <w:tc>
          <w:tcPr>
            <w:tcW w:w="1157" w:type="pct"/>
            <w:vAlign w:val="center"/>
          </w:tcPr>
          <w:p w14:paraId="5B5E791C" w14:textId="77777777" w:rsidR="00537D02" w:rsidRPr="0084495F" w:rsidRDefault="00537D02" w:rsidP="002B0E29">
            <w:pPr>
              <w:pStyle w:val="Tableheadingrow"/>
              <w:jc w:val="center"/>
              <w:rPr>
                <w:bCs/>
                <w:lang w:val="en-AU"/>
              </w:rPr>
            </w:pPr>
            <w:r w:rsidRPr="0084495F">
              <w:rPr>
                <w:rFonts w:cstheme="minorHAnsi"/>
                <w:bCs/>
                <w:szCs w:val="20"/>
                <w:lang w:val="en-AU"/>
              </w:rPr>
              <w:t>Vericiguat + SoC</w:t>
            </w:r>
          </w:p>
        </w:tc>
        <w:tc>
          <w:tcPr>
            <w:tcW w:w="1153" w:type="pct"/>
            <w:vAlign w:val="center"/>
          </w:tcPr>
          <w:p w14:paraId="5259164A" w14:textId="77777777" w:rsidR="00537D02" w:rsidRPr="0084495F" w:rsidRDefault="00537D02" w:rsidP="002B0E29">
            <w:pPr>
              <w:pStyle w:val="Tableheadingrow"/>
              <w:jc w:val="center"/>
              <w:rPr>
                <w:bCs/>
                <w:lang w:val="en-AU"/>
              </w:rPr>
            </w:pPr>
            <w:r w:rsidRPr="0084495F">
              <w:rPr>
                <w:rFonts w:cstheme="minorHAnsi"/>
                <w:bCs/>
                <w:szCs w:val="20"/>
                <w:lang w:val="en-AU"/>
              </w:rPr>
              <w:t>Placebo + SoC</w:t>
            </w:r>
          </w:p>
        </w:tc>
        <w:tc>
          <w:tcPr>
            <w:tcW w:w="1161" w:type="pct"/>
            <w:vAlign w:val="center"/>
          </w:tcPr>
          <w:p w14:paraId="3EB8FD09" w14:textId="77777777" w:rsidR="00537D02" w:rsidRPr="0084495F" w:rsidRDefault="00537D02" w:rsidP="002B0E29">
            <w:pPr>
              <w:pStyle w:val="Tableheadingrow"/>
              <w:jc w:val="center"/>
              <w:rPr>
                <w:bCs/>
                <w:lang w:val="en-AU"/>
              </w:rPr>
            </w:pPr>
            <w:r w:rsidRPr="0084495F">
              <w:rPr>
                <w:rFonts w:cstheme="minorHAnsi"/>
                <w:bCs/>
                <w:szCs w:val="20"/>
                <w:lang w:val="en-AU"/>
              </w:rPr>
              <w:t>Increment</w:t>
            </w:r>
          </w:p>
        </w:tc>
      </w:tr>
      <w:tr w:rsidR="00537D02" w:rsidRPr="0084495F" w14:paraId="6EB543F0" w14:textId="77777777" w:rsidTr="002B0E29">
        <w:tc>
          <w:tcPr>
            <w:tcW w:w="5000" w:type="pct"/>
            <w:gridSpan w:val="4"/>
            <w:vAlign w:val="center"/>
          </w:tcPr>
          <w:p w14:paraId="1CD6923F" w14:textId="77777777" w:rsidR="00537D02" w:rsidRPr="0084495F" w:rsidRDefault="00537D02" w:rsidP="002B0E29">
            <w:pPr>
              <w:pStyle w:val="Tableheadingrow"/>
              <w:rPr>
                <w:lang w:val="en-AU"/>
              </w:rPr>
            </w:pPr>
            <w:r w:rsidRPr="0084495F">
              <w:rPr>
                <w:lang w:val="en-AU"/>
              </w:rPr>
              <w:t>Base case (VICTORIA NT-</w:t>
            </w:r>
            <w:proofErr w:type="spellStart"/>
            <w:r w:rsidRPr="0084495F">
              <w:rPr>
                <w:lang w:val="en-AU"/>
              </w:rPr>
              <w:t>proBNP</w:t>
            </w:r>
            <w:proofErr w:type="spellEnd"/>
            <w:r w:rsidRPr="0084495F">
              <w:rPr>
                <w:lang w:val="en-AU"/>
              </w:rPr>
              <w:t xml:space="preserve"> Q1</w:t>
            </w:r>
            <w:r w:rsidRPr="0084495F">
              <w:rPr>
                <w:rFonts w:ascii="Arial" w:hAnsi="Arial"/>
                <w:lang w:val="en-AU"/>
              </w:rPr>
              <w:t>-</w:t>
            </w:r>
            <w:r w:rsidRPr="0084495F">
              <w:rPr>
                <w:lang w:val="en-AU"/>
              </w:rPr>
              <w:t>Q3 subgroup; discounted)</w:t>
            </w:r>
          </w:p>
        </w:tc>
      </w:tr>
      <w:tr w:rsidR="00537D02" w:rsidRPr="0084495F" w14:paraId="0303D24F" w14:textId="77777777" w:rsidTr="002B0E29">
        <w:tc>
          <w:tcPr>
            <w:tcW w:w="1529" w:type="pct"/>
            <w:vAlign w:val="center"/>
          </w:tcPr>
          <w:p w14:paraId="3AFC5236" w14:textId="77777777" w:rsidR="00537D02" w:rsidRPr="0084495F" w:rsidRDefault="00537D02" w:rsidP="002B0E29">
            <w:pPr>
              <w:pStyle w:val="TableText"/>
              <w:rPr>
                <w:rFonts w:ascii="Times" w:hAnsi="Times"/>
              </w:rPr>
            </w:pPr>
            <w:r w:rsidRPr="0084495F">
              <w:t>Costs</w:t>
            </w:r>
          </w:p>
        </w:tc>
        <w:tc>
          <w:tcPr>
            <w:tcW w:w="1157" w:type="pct"/>
            <w:vAlign w:val="center"/>
          </w:tcPr>
          <w:p w14:paraId="7CEABD8D" w14:textId="32093EBD" w:rsidR="00537D02" w:rsidRPr="00E45780" w:rsidRDefault="00537D02" w:rsidP="002B0E29">
            <w:pPr>
              <w:pStyle w:val="TableText"/>
              <w:jc w:val="center"/>
              <w:rPr>
                <w:rFonts w:ascii="Times" w:hAnsi="Times"/>
                <w:bCs w:val="0"/>
                <w:vertAlign w:val="superscript"/>
              </w:rPr>
            </w:pPr>
            <w:r w:rsidRPr="0084495F">
              <w:rPr>
                <w:rFonts w:cstheme="minorHAnsi"/>
                <w:bCs w:val="0"/>
                <w:szCs w:val="20"/>
              </w:rPr>
              <w:t>$</w:t>
            </w:r>
            <w:r w:rsidR="009C6175" w:rsidRPr="009C6175">
              <w:rPr>
                <w:rFonts w:cstheme="minorHAnsi"/>
                <w:bCs w:val="0"/>
                <w:color w:val="000000"/>
                <w:szCs w:val="20"/>
                <w:shd w:val="solid" w:color="000000" w:fill="000000"/>
                <w14:textFill>
                  <w14:solidFill>
                    <w14:srgbClr w14:val="000000">
                      <w14:alpha w14:val="100000"/>
                    </w14:srgbClr>
                  </w14:solidFill>
                </w14:textFill>
              </w:rPr>
              <w:t>|</w:t>
            </w:r>
            <w:r w:rsidR="00E45780">
              <w:rPr>
                <w:rFonts w:cstheme="minorHAnsi"/>
                <w:bCs w:val="0"/>
                <w:szCs w:val="20"/>
                <w:vertAlign w:val="superscript"/>
              </w:rPr>
              <w:t>1</w:t>
            </w:r>
          </w:p>
        </w:tc>
        <w:tc>
          <w:tcPr>
            <w:tcW w:w="1153" w:type="pct"/>
            <w:vAlign w:val="center"/>
          </w:tcPr>
          <w:p w14:paraId="5476C58E" w14:textId="76E91995" w:rsidR="00537D02" w:rsidRPr="00E45780" w:rsidRDefault="00537D02" w:rsidP="002B0E29">
            <w:pPr>
              <w:pStyle w:val="TableText"/>
              <w:jc w:val="center"/>
              <w:rPr>
                <w:rFonts w:ascii="Times" w:hAnsi="Times"/>
                <w:bCs w:val="0"/>
                <w:vertAlign w:val="superscript"/>
              </w:rPr>
            </w:pPr>
            <w:r w:rsidRPr="0084495F">
              <w:rPr>
                <w:rFonts w:cstheme="minorHAnsi"/>
                <w:bCs w:val="0"/>
                <w:szCs w:val="20"/>
              </w:rPr>
              <w:t>$</w:t>
            </w:r>
            <w:r w:rsidR="009C6175" w:rsidRPr="009C6175">
              <w:rPr>
                <w:rFonts w:cstheme="minorHAnsi"/>
                <w:bCs w:val="0"/>
                <w:color w:val="000000"/>
                <w:szCs w:val="20"/>
                <w:shd w:val="solid" w:color="000000" w:fill="000000"/>
                <w14:textFill>
                  <w14:solidFill>
                    <w14:srgbClr w14:val="000000">
                      <w14:alpha w14:val="100000"/>
                    </w14:srgbClr>
                  </w14:solidFill>
                </w14:textFill>
              </w:rPr>
              <w:t>|</w:t>
            </w:r>
            <w:r w:rsidR="00E45780">
              <w:rPr>
                <w:rFonts w:cstheme="minorHAnsi"/>
                <w:bCs w:val="0"/>
                <w:szCs w:val="20"/>
                <w:vertAlign w:val="superscript"/>
              </w:rPr>
              <w:t>2</w:t>
            </w:r>
          </w:p>
        </w:tc>
        <w:tc>
          <w:tcPr>
            <w:tcW w:w="1161" w:type="pct"/>
            <w:vAlign w:val="center"/>
          </w:tcPr>
          <w:p w14:paraId="6B85B1D3" w14:textId="2EA4B712" w:rsidR="00537D02" w:rsidRPr="00E45780" w:rsidRDefault="00537D02" w:rsidP="002B0E29">
            <w:pPr>
              <w:pStyle w:val="TableText"/>
              <w:jc w:val="center"/>
              <w:rPr>
                <w:rFonts w:ascii="Times" w:hAnsi="Times"/>
                <w:bCs w:val="0"/>
                <w:vertAlign w:val="superscript"/>
              </w:rPr>
            </w:pPr>
            <w:r w:rsidRPr="0084495F">
              <w:rPr>
                <w:rFonts w:cstheme="minorHAnsi"/>
                <w:bCs w:val="0"/>
                <w:szCs w:val="20"/>
              </w:rPr>
              <w:t>$</w:t>
            </w:r>
            <w:r w:rsidR="009C6175" w:rsidRPr="009C6175">
              <w:rPr>
                <w:rFonts w:cstheme="minorHAnsi"/>
                <w:bCs w:val="0"/>
                <w:color w:val="000000"/>
                <w:szCs w:val="20"/>
                <w:shd w:val="solid" w:color="000000" w:fill="000000"/>
                <w14:textFill>
                  <w14:solidFill>
                    <w14:srgbClr w14:val="000000">
                      <w14:alpha w14:val="100000"/>
                    </w14:srgbClr>
                  </w14:solidFill>
                </w14:textFill>
              </w:rPr>
              <w:t>|</w:t>
            </w:r>
            <w:r w:rsidR="00E45780">
              <w:rPr>
                <w:rFonts w:cstheme="minorHAnsi"/>
                <w:bCs w:val="0"/>
                <w:szCs w:val="20"/>
                <w:vertAlign w:val="superscript"/>
              </w:rPr>
              <w:t>3</w:t>
            </w:r>
          </w:p>
        </w:tc>
      </w:tr>
      <w:tr w:rsidR="00537D02" w:rsidRPr="0084495F" w14:paraId="4E87AED3" w14:textId="77777777" w:rsidTr="002B0E29">
        <w:tc>
          <w:tcPr>
            <w:tcW w:w="1529" w:type="pct"/>
            <w:vAlign w:val="center"/>
          </w:tcPr>
          <w:p w14:paraId="44A7CE7B" w14:textId="77777777" w:rsidR="00537D02" w:rsidRPr="0084495F" w:rsidRDefault="00537D02" w:rsidP="002B0E29">
            <w:pPr>
              <w:pStyle w:val="TableText"/>
              <w:rPr>
                <w:rFonts w:ascii="Times" w:hAnsi="Times"/>
              </w:rPr>
            </w:pPr>
            <w:r w:rsidRPr="0084495F">
              <w:t>QALYs</w:t>
            </w:r>
          </w:p>
        </w:tc>
        <w:tc>
          <w:tcPr>
            <w:tcW w:w="1157" w:type="pct"/>
            <w:vAlign w:val="center"/>
          </w:tcPr>
          <w:p w14:paraId="74A91DD9" w14:textId="77777777" w:rsidR="00537D02" w:rsidRPr="0084495F" w:rsidRDefault="00537D02" w:rsidP="002B0E29">
            <w:pPr>
              <w:pStyle w:val="TableText"/>
              <w:jc w:val="center"/>
              <w:rPr>
                <w:rFonts w:ascii="Times" w:hAnsi="Times"/>
                <w:bCs w:val="0"/>
              </w:rPr>
            </w:pPr>
            <w:r w:rsidRPr="0084495F">
              <w:rPr>
                <w:rFonts w:cstheme="minorHAnsi"/>
                <w:bCs w:val="0"/>
                <w:szCs w:val="20"/>
              </w:rPr>
              <w:t>3.9137</w:t>
            </w:r>
          </w:p>
        </w:tc>
        <w:tc>
          <w:tcPr>
            <w:tcW w:w="1153" w:type="pct"/>
            <w:vAlign w:val="center"/>
          </w:tcPr>
          <w:p w14:paraId="16EB0485" w14:textId="77777777" w:rsidR="00537D02" w:rsidRPr="0084495F" w:rsidRDefault="00537D02" w:rsidP="002B0E29">
            <w:pPr>
              <w:pStyle w:val="TableText"/>
              <w:jc w:val="center"/>
              <w:rPr>
                <w:rFonts w:ascii="Times" w:hAnsi="Times"/>
                <w:bCs w:val="0"/>
              </w:rPr>
            </w:pPr>
            <w:r w:rsidRPr="0084495F">
              <w:rPr>
                <w:rFonts w:cstheme="minorHAnsi"/>
                <w:bCs w:val="0"/>
                <w:szCs w:val="20"/>
              </w:rPr>
              <w:t>3.6938</w:t>
            </w:r>
          </w:p>
        </w:tc>
        <w:tc>
          <w:tcPr>
            <w:tcW w:w="1161" w:type="pct"/>
            <w:vAlign w:val="center"/>
          </w:tcPr>
          <w:p w14:paraId="5119315D" w14:textId="77777777" w:rsidR="00537D02" w:rsidRPr="0084495F" w:rsidRDefault="00537D02" w:rsidP="002B0E29">
            <w:pPr>
              <w:pStyle w:val="TableText"/>
              <w:jc w:val="center"/>
              <w:rPr>
                <w:bCs w:val="0"/>
              </w:rPr>
            </w:pPr>
            <w:r w:rsidRPr="0084495F">
              <w:rPr>
                <w:rFonts w:cstheme="minorHAnsi"/>
                <w:bCs w:val="0"/>
                <w:szCs w:val="20"/>
              </w:rPr>
              <w:t>0.2199</w:t>
            </w:r>
          </w:p>
        </w:tc>
      </w:tr>
      <w:tr w:rsidR="00537D02" w:rsidRPr="0084495F" w14:paraId="1BA95E39" w14:textId="77777777" w:rsidTr="002B0E29">
        <w:tc>
          <w:tcPr>
            <w:tcW w:w="3839" w:type="pct"/>
            <w:gridSpan w:val="3"/>
            <w:vAlign w:val="center"/>
          </w:tcPr>
          <w:p w14:paraId="464AC006" w14:textId="77777777" w:rsidR="00537D02" w:rsidRPr="0084495F" w:rsidRDefault="00537D02" w:rsidP="002B0E29">
            <w:pPr>
              <w:pStyle w:val="TableText"/>
              <w:rPr>
                <w:rFonts w:ascii="Times" w:hAnsi="Times"/>
                <w:b/>
              </w:rPr>
            </w:pPr>
            <w:r w:rsidRPr="0084495F">
              <w:rPr>
                <w:b/>
              </w:rPr>
              <w:t>Incremental cost/QALY gained</w:t>
            </w:r>
          </w:p>
        </w:tc>
        <w:tc>
          <w:tcPr>
            <w:tcW w:w="1161" w:type="pct"/>
            <w:vAlign w:val="center"/>
          </w:tcPr>
          <w:p w14:paraId="3CB58B2F" w14:textId="7707410E" w:rsidR="00537D02" w:rsidRPr="00E45780" w:rsidRDefault="00537D02" w:rsidP="002B0E29">
            <w:pPr>
              <w:pStyle w:val="TableText"/>
              <w:jc w:val="center"/>
              <w:rPr>
                <w:rFonts w:ascii="Times" w:hAnsi="Times"/>
                <w:b/>
                <w:vertAlign w:val="superscript"/>
              </w:rPr>
            </w:pPr>
            <w:r w:rsidRPr="0084495F">
              <w:rPr>
                <w:rFonts w:cstheme="minorHAnsi"/>
                <w:b/>
                <w:szCs w:val="20"/>
              </w:rPr>
              <w:t>$</w:t>
            </w:r>
            <w:r w:rsidR="009C6175" w:rsidRPr="009C6175">
              <w:rPr>
                <w:rFonts w:cstheme="minorHAnsi"/>
                <w:b/>
                <w:color w:val="000000"/>
                <w:szCs w:val="20"/>
                <w:shd w:val="solid" w:color="000000" w:fill="000000"/>
                <w14:textFill>
                  <w14:solidFill>
                    <w14:srgbClr w14:val="000000">
                      <w14:alpha w14:val="100000"/>
                    </w14:srgbClr>
                  </w14:solidFill>
                </w14:textFill>
              </w:rPr>
              <w:t>|</w:t>
            </w:r>
            <w:r w:rsidR="00E45780">
              <w:rPr>
                <w:rFonts w:cstheme="minorHAnsi"/>
                <w:b/>
                <w:szCs w:val="20"/>
                <w:vertAlign w:val="superscript"/>
              </w:rPr>
              <w:t>1</w:t>
            </w:r>
          </w:p>
        </w:tc>
      </w:tr>
      <w:tr w:rsidR="00537D02" w:rsidRPr="0084495F" w14:paraId="7D4651E8" w14:textId="77777777" w:rsidTr="002B0E29">
        <w:tc>
          <w:tcPr>
            <w:tcW w:w="5000" w:type="pct"/>
            <w:gridSpan w:val="4"/>
            <w:vAlign w:val="center"/>
          </w:tcPr>
          <w:p w14:paraId="4B906382" w14:textId="77777777" w:rsidR="00537D02" w:rsidRPr="0084495F" w:rsidRDefault="00537D02" w:rsidP="002B0E29">
            <w:pPr>
              <w:pStyle w:val="Tableheadingrow"/>
              <w:rPr>
                <w:lang w:val="en-AU"/>
              </w:rPr>
            </w:pPr>
            <w:r w:rsidRPr="0084495F">
              <w:rPr>
                <w:lang w:val="en-AU"/>
              </w:rPr>
              <w:t>Overall population (VICTORIA ITT; discounted)</w:t>
            </w:r>
          </w:p>
        </w:tc>
      </w:tr>
      <w:tr w:rsidR="00537D02" w:rsidRPr="0084495F" w14:paraId="0B033F73" w14:textId="77777777" w:rsidTr="002B0E29">
        <w:tc>
          <w:tcPr>
            <w:tcW w:w="1529" w:type="pct"/>
            <w:vAlign w:val="center"/>
          </w:tcPr>
          <w:p w14:paraId="0DC12FC3" w14:textId="77777777" w:rsidR="00537D02" w:rsidRPr="0084495F" w:rsidRDefault="00537D02" w:rsidP="002B0E29">
            <w:pPr>
              <w:pStyle w:val="TableText"/>
              <w:rPr>
                <w:rFonts w:ascii="Times" w:hAnsi="Times"/>
              </w:rPr>
            </w:pPr>
            <w:r w:rsidRPr="0084495F">
              <w:t>Costs</w:t>
            </w:r>
          </w:p>
        </w:tc>
        <w:tc>
          <w:tcPr>
            <w:tcW w:w="1157" w:type="pct"/>
            <w:vAlign w:val="center"/>
          </w:tcPr>
          <w:p w14:paraId="475216B1" w14:textId="769FA170" w:rsidR="00537D02" w:rsidRPr="00E45780" w:rsidRDefault="00537D02" w:rsidP="002B0E29">
            <w:pPr>
              <w:pStyle w:val="TableText"/>
              <w:jc w:val="center"/>
              <w:rPr>
                <w:rFonts w:ascii="Times" w:hAnsi="Times"/>
                <w:bCs w:val="0"/>
                <w:vertAlign w:val="superscript"/>
              </w:rPr>
            </w:pPr>
            <w:r w:rsidRPr="0084495F">
              <w:rPr>
                <w:rFonts w:cstheme="minorHAnsi"/>
                <w:bCs w:val="0"/>
                <w:szCs w:val="20"/>
              </w:rPr>
              <w:t>$</w:t>
            </w:r>
            <w:r w:rsidR="009C6175" w:rsidRPr="009C6175">
              <w:rPr>
                <w:rFonts w:cstheme="minorHAnsi"/>
                <w:bCs w:val="0"/>
                <w:color w:val="000000"/>
                <w:szCs w:val="20"/>
                <w:shd w:val="solid" w:color="000000" w:fill="000000"/>
                <w14:textFill>
                  <w14:solidFill>
                    <w14:srgbClr w14:val="000000">
                      <w14:alpha w14:val="100000"/>
                    </w14:srgbClr>
                  </w14:solidFill>
                </w14:textFill>
              </w:rPr>
              <w:t>|</w:t>
            </w:r>
            <w:r w:rsidR="00E45780">
              <w:rPr>
                <w:rFonts w:cstheme="minorHAnsi"/>
                <w:bCs w:val="0"/>
                <w:szCs w:val="20"/>
                <w:vertAlign w:val="superscript"/>
              </w:rPr>
              <w:t>1</w:t>
            </w:r>
          </w:p>
        </w:tc>
        <w:tc>
          <w:tcPr>
            <w:tcW w:w="1153" w:type="pct"/>
            <w:vAlign w:val="center"/>
          </w:tcPr>
          <w:p w14:paraId="333D6FC0" w14:textId="52640144" w:rsidR="00537D02" w:rsidRPr="00E45780" w:rsidRDefault="00537D02" w:rsidP="002B0E29">
            <w:pPr>
              <w:pStyle w:val="TableText"/>
              <w:jc w:val="center"/>
              <w:rPr>
                <w:rFonts w:ascii="Times" w:hAnsi="Times"/>
                <w:bCs w:val="0"/>
                <w:vertAlign w:val="superscript"/>
              </w:rPr>
            </w:pPr>
            <w:r w:rsidRPr="0084495F">
              <w:rPr>
                <w:rFonts w:cstheme="minorHAnsi"/>
                <w:bCs w:val="0"/>
                <w:szCs w:val="20"/>
              </w:rPr>
              <w:t>$</w:t>
            </w:r>
            <w:r w:rsidR="009C6175" w:rsidRPr="009C6175">
              <w:rPr>
                <w:rFonts w:cstheme="minorHAnsi"/>
                <w:bCs w:val="0"/>
                <w:color w:val="000000"/>
                <w:szCs w:val="20"/>
                <w:shd w:val="solid" w:color="000000" w:fill="000000"/>
                <w14:textFill>
                  <w14:solidFill>
                    <w14:srgbClr w14:val="000000">
                      <w14:alpha w14:val="100000"/>
                    </w14:srgbClr>
                  </w14:solidFill>
                </w14:textFill>
              </w:rPr>
              <w:t>|</w:t>
            </w:r>
            <w:r w:rsidR="00E45780">
              <w:rPr>
                <w:rFonts w:cstheme="minorHAnsi"/>
                <w:bCs w:val="0"/>
                <w:szCs w:val="20"/>
                <w:vertAlign w:val="superscript"/>
              </w:rPr>
              <w:t>2</w:t>
            </w:r>
          </w:p>
        </w:tc>
        <w:tc>
          <w:tcPr>
            <w:tcW w:w="1161" w:type="pct"/>
            <w:vAlign w:val="center"/>
          </w:tcPr>
          <w:p w14:paraId="56F4DE5B" w14:textId="4CC1E124" w:rsidR="00537D02" w:rsidRPr="00E45780" w:rsidRDefault="00537D02" w:rsidP="002B0E29">
            <w:pPr>
              <w:pStyle w:val="TableText"/>
              <w:jc w:val="center"/>
              <w:rPr>
                <w:rFonts w:ascii="Times" w:hAnsi="Times"/>
                <w:bCs w:val="0"/>
                <w:vertAlign w:val="superscript"/>
              </w:rPr>
            </w:pPr>
            <w:r w:rsidRPr="0084495F">
              <w:rPr>
                <w:rFonts w:cstheme="minorHAnsi"/>
                <w:bCs w:val="0"/>
                <w:szCs w:val="20"/>
              </w:rPr>
              <w:t>$</w:t>
            </w:r>
            <w:r w:rsidR="009C6175" w:rsidRPr="009C6175">
              <w:rPr>
                <w:rFonts w:cstheme="minorHAnsi"/>
                <w:bCs w:val="0"/>
                <w:color w:val="000000"/>
                <w:szCs w:val="20"/>
                <w:shd w:val="solid" w:color="000000" w:fill="000000"/>
                <w14:textFill>
                  <w14:solidFill>
                    <w14:srgbClr w14:val="000000">
                      <w14:alpha w14:val="100000"/>
                    </w14:srgbClr>
                  </w14:solidFill>
                </w14:textFill>
              </w:rPr>
              <w:t>|</w:t>
            </w:r>
            <w:r w:rsidR="00E45780">
              <w:rPr>
                <w:rFonts w:cstheme="minorHAnsi"/>
                <w:bCs w:val="0"/>
                <w:szCs w:val="20"/>
                <w:vertAlign w:val="superscript"/>
              </w:rPr>
              <w:t>3</w:t>
            </w:r>
          </w:p>
        </w:tc>
      </w:tr>
      <w:tr w:rsidR="00537D02" w:rsidRPr="0084495F" w14:paraId="3B6C9F3C" w14:textId="77777777" w:rsidTr="002B0E29">
        <w:tc>
          <w:tcPr>
            <w:tcW w:w="1529" w:type="pct"/>
            <w:vAlign w:val="center"/>
          </w:tcPr>
          <w:p w14:paraId="16A5D1F5" w14:textId="77777777" w:rsidR="00537D02" w:rsidRPr="0084495F" w:rsidRDefault="00537D02" w:rsidP="002B0E29">
            <w:pPr>
              <w:pStyle w:val="TableText"/>
              <w:rPr>
                <w:rFonts w:ascii="Times" w:hAnsi="Times"/>
              </w:rPr>
            </w:pPr>
            <w:r w:rsidRPr="0084495F">
              <w:t>QALYs</w:t>
            </w:r>
          </w:p>
        </w:tc>
        <w:tc>
          <w:tcPr>
            <w:tcW w:w="1157" w:type="pct"/>
            <w:vAlign w:val="center"/>
          </w:tcPr>
          <w:p w14:paraId="727459CD" w14:textId="77777777" w:rsidR="00537D02" w:rsidRPr="0084495F" w:rsidRDefault="00537D02" w:rsidP="002B0E29">
            <w:pPr>
              <w:pStyle w:val="TableText"/>
              <w:jc w:val="center"/>
              <w:rPr>
                <w:rFonts w:ascii="Times" w:hAnsi="Times"/>
                <w:bCs w:val="0"/>
              </w:rPr>
            </w:pPr>
            <w:r w:rsidRPr="0084495F">
              <w:rPr>
                <w:rFonts w:cstheme="minorHAnsi"/>
                <w:bCs w:val="0"/>
                <w:szCs w:val="20"/>
              </w:rPr>
              <w:t>3.5170</w:t>
            </w:r>
          </w:p>
        </w:tc>
        <w:tc>
          <w:tcPr>
            <w:tcW w:w="1153" w:type="pct"/>
            <w:vAlign w:val="center"/>
          </w:tcPr>
          <w:p w14:paraId="74A5F758" w14:textId="77777777" w:rsidR="00537D02" w:rsidRPr="0084495F" w:rsidRDefault="00537D02" w:rsidP="002B0E29">
            <w:pPr>
              <w:pStyle w:val="TableText"/>
              <w:jc w:val="center"/>
              <w:rPr>
                <w:rFonts w:ascii="Times" w:hAnsi="Times"/>
                <w:bCs w:val="0"/>
              </w:rPr>
            </w:pPr>
            <w:r w:rsidRPr="0084495F">
              <w:rPr>
                <w:rFonts w:cstheme="minorHAnsi"/>
                <w:bCs w:val="0"/>
                <w:szCs w:val="20"/>
              </w:rPr>
              <w:t>3.3538</w:t>
            </w:r>
          </w:p>
        </w:tc>
        <w:tc>
          <w:tcPr>
            <w:tcW w:w="1161" w:type="pct"/>
            <w:vAlign w:val="center"/>
          </w:tcPr>
          <w:p w14:paraId="1E0EDE23" w14:textId="77777777" w:rsidR="00537D02" w:rsidRPr="0084495F" w:rsidRDefault="00537D02" w:rsidP="002B0E29">
            <w:pPr>
              <w:pStyle w:val="TableText"/>
              <w:jc w:val="center"/>
              <w:rPr>
                <w:bCs w:val="0"/>
              </w:rPr>
            </w:pPr>
            <w:r w:rsidRPr="0084495F">
              <w:rPr>
                <w:rFonts w:cstheme="minorHAnsi"/>
                <w:bCs w:val="0"/>
                <w:szCs w:val="20"/>
              </w:rPr>
              <w:t>0.1632</w:t>
            </w:r>
          </w:p>
        </w:tc>
      </w:tr>
      <w:tr w:rsidR="00537D02" w:rsidRPr="0084495F" w14:paraId="489AEF9E" w14:textId="77777777" w:rsidTr="002B0E29">
        <w:tc>
          <w:tcPr>
            <w:tcW w:w="3839" w:type="pct"/>
            <w:gridSpan w:val="3"/>
            <w:vAlign w:val="center"/>
          </w:tcPr>
          <w:p w14:paraId="51259551" w14:textId="77777777" w:rsidR="00537D02" w:rsidRPr="0084495F" w:rsidRDefault="00537D02" w:rsidP="002B0E29">
            <w:pPr>
              <w:pStyle w:val="TableText"/>
              <w:rPr>
                <w:rFonts w:ascii="Times" w:hAnsi="Times"/>
                <w:b/>
              </w:rPr>
            </w:pPr>
            <w:r w:rsidRPr="0084495F">
              <w:rPr>
                <w:b/>
              </w:rPr>
              <w:t>Incremental cost/QALY gained</w:t>
            </w:r>
          </w:p>
        </w:tc>
        <w:tc>
          <w:tcPr>
            <w:tcW w:w="1161" w:type="pct"/>
            <w:vAlign w:val="center"/>
          </w:tcPr>
          <w:p w14:paraId="29DE1A12" w14:textId="1AF1390E" w:rsidR="00537D02" w:rsidRPr="00E45780" w:rsidRDefault="00537D02" w:rsidP="002B0E29">
            <w:pPr>
              <w:pStyle w:val="TableText"/>
              <w:jc w:val="center"/>
              <w:rPr>
                <w:rFonts w:ascii="Times" w:hAnsi="Times"/>
                <w:b/>
                <w:vertAlign w:val="superscript"/>
              </w:rPr>
            </w:pPr>
            <w:r w:rsidRPr="0084495F">
              <w:rPr>
                <w:rFonts w:cstheme="minorHAnsi"/>
                <w:b/>
                <w:szCs w:val="20"/>
              </w:rPr>
              <w:t>$</w:t>
            </w:r>
            <w:r w:rsidR="009C6175" w:rsidRPr="009C6175">
              <w:rPr>
                <w:rFonts w:cstheme="minorHAnsi"/>
                <w:b/>
                <w:color w:val="000000"/>
                <w:szCs w:val="20"/>
                <w:shd w:val="solid" w:color="000000" w:fill="000000"/>
                <w14:textFill>
                  <w14:solidFill>
                    <w14:srgbClr w14:val="000000">
                      <w14:alpha w14:val="100000"/>
                    </w14:srgbClr>
                  </w14:solidFill>
                </w14:textFill>
              </w:rPr>
              <w:t>|</w:t>
            </w:r>
            <w:r w:rsidR="00E45780">
              <w:rPr>
                <w:rFonts w:cstheme="minorHAnsi"/>
                <w:b/>
                <w:szCs w:val="20"/>
                <w:vertAlign w:val="superscript"/>
              </w:rPr>
              <w:t>4</w:t>
            </w:r>
          </w:p>
        </w:tc>
      </w:tr>
    </w:tbl>
    <w:p w14:paraId="7AE75A62" w14:textId="77777777" w:rsidR="00537D02" w:rsidRPr="0084495F" w:rsidRDefault="00537D02" w:rsidP="00537D02">
      <w:pPr>
        <w:pStyle w:val="TableFigureFooter"/>
      </w:pPr>
      <w:r w:rsidRPr="0084495F">
        <w:t>Source: Table 3-25, p187 of the resubmission</w:t>
      </w:r>
    </w:p>
    <w:p w14:paraId="18836793" w14:textId="7421EDD6" w:rsidR="00537D02" w:rsidRDefault="00537D02" w:rsidP="00E45780">
      <w:pPr>
        <w:pStyle w:val="TableFigureFooter"/>
        <w:spacing w:after="0"/>
      </w:pPr>
      <w:r w:rsidRPr="0084495F">
        <w:t>Abbreviations: QALY, quality-adjusted life year; SoC, standard care.</w:t>
      </w:r>
    </w:p>
    <w:p w14:paraId="14E0AAEE" w14:textId="77777777" w:rsidR="00E45780" w:rsidRPr="009A6D58" w:rsidRDefault="00E45780" w:rsidP="00E4578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A0A27BC" w14:textId="6792799E" w:rsidR="00E45780" w:rsidRPr="009A6D58" w:rsidRDefault="00E45780" w:rsidP="00E45780">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45780">
        <w:rPr>
          <w:rFonts w:ascii="Arial Narrow" w:hAnsi="Arial Narrow"/>
          <w:i/>
          <w:sz w:val="18"/>
          <w:szCs w:val="18"/>
        </w:rPr>
        <w:t>$35,000 to &lt; $45,000</w:t>
      </w:r>
    </w:p>
    <w:p w14:paraId="42A2FE69" w14:textId="6207067F" w:rsidR="00E45780" w:rsidRPr="009A6D58" w:rsidRDefault="00E45780" w:rsidP="00E45780">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E45780">
        <w:rPr>
          <w:rFonts w:ascii="Arial Narrow" w:hAnsi="Arial Narrow"/>
          <w:i/>
          <w:sz w:val="18"/>
          <w:szCs w:val="18"/>
        </w:rPr>
        <w:t>$25,000 to &lt; $35,000</w:t>
      </w:r>
    </w:p>
    <w:p w14:paraId="0206D4F2" w14:textId="6D414D5D" w:rsidR="00E45780" w:rsidRDefault="00E45780" w:rsidP="00E45780">
      <w:pPr>
        <w:rPr>
          <w:rFonts w:ascii="Arial Narrow" w:hAnsi="Arial Narrow"/>
          <w:i/>
          <w:sz w:val="18"/>
          <w:szCs w:val="18"/>
        </w:rPr>
      </w:pPr>
      <w:r w:rsidRPr="009A6D58">
        <w:rPr>
          <w:rFonts w:ascii="Arial Narrow" w:hAnsi="Arial Narrow"/>
          <w:i/>
          <w:sz w:val="18"/>
          <w:szCs w:val="18"/>
          <w:vertAlign w:val="superscript"/>
        </w:rPr>
        <w:lastRenderedPageBreak/>
        <w:t>3</w:t>
      </w:r>
      <w:r>
        <w:rPr>
          <w:rFonts w:ascii="Arial Narrow" w:hAnsi="Arial Narrow"/>
          <w:i/>
          <w:sz w:val="18"/>
          <w:szCs w:val="18"/>
        </w:rPr>
        <w:t xml:space="preserve"> </w:t>
      </w:r>
      <w:r w:rsidRPr="00E45780">
        <w:rPr>
          <w:rFonts w:ascii="Arial Narrow" w:hAnsi="Arial Narrow"/>
          <w:i/>
          <w:sz w:val="18"/>
          <w:szCs w:val="18"/>
        </w:rPr>
        <w:t>$5,000 to &lt; $15,000</w:t>
      </w:r>
    </w:p>
    <w:p w14:paraId="1151F0D3" w14:textId="7C269B3F" w:rsidR="00231AEC" w:rsidRPr="00E45780" w:rsidRDefault="00E45780" w:rsidP="00E45780">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E45780">
        <w:rPr>
          <w:rFonts w:ascii="Arial Narrow" w:hAnsi="Arial Narrow"/>
          <w:i/>
          <w:sz w:val="18"/>
          <w:szCs w:val="18"/>
        </w:rPr>
        <w:t xml:space="preserve">$55,000 to &lt; $75,000 </w:t>
      </w:r>
    </w:p>
    <w:p w14:paraId="0429438E" w14:textId="686570F6" w:rsidR="00537D02" w:rsidRPr="0084495F" w:rsidRDefault="00537D02" w:rsidP="00E45780">
      <w:pPr>
        <w:pStyle w:val="ExecSumBodyText"/>
      </w:pPr>
      <w:r w:rsidRPr="0084495F">
        <w:t>Based on the modelled economic evaluation of the base case population (NT-</w:t>
      </w:r>
      <w:proofErr w:type="spellStart"/>
      <w:r w:rsidRPr="0084495F">
        <w:t>proBNP</w:t>
      </w:r>
      <w:proofErr w:type="spellEnd"/>
      <w:r w:rsidRPr="0084495F">
        <w:t xml:space="preserve"> Q1-Q3 subgroup), treatment with vericiguat plus standard care was associated with an incremental cost per QALY gained of </w:t>
      </w:r>
      <w:r w:rsidR="00E45780" w:rsidRPr="00E45780">
        <w:t>$35,000 to &lt; $45,000</w:t>
      </w:r>
      <w:r w:rsidRPr="0084495F">
        <w:t xml:space="preserve">. Based on the ITT population, vericiguat plus standard care was associated with an incremental cost per QALY gained of </w:t>
      </w:r>
      <w:r w:rsidR="00E45780" w:rsidRPr="00E45780">
        <w:t>$55,000 to &lt; $75,000</w:t>
      </w:r>
      <w:r w:rsidRPr="0084495F">
        <w:t xml:space="preserve">. </w:t>
      </w:r>
    </w:p>
    <w:p w14:paraId="04DF2DA4" w14:textId="77777777" w:rsidR="00A3517A" w:rsidRPr="0084495F" w:rsidRDefault="00A3517A" w:rsidP="00D561DA">
      <w:pPr>
        <w:pStyle w:val="ExecSumBodyText"/>
        <w:keepNext/>
        <w:keepLines/>
        <w:contextualSpacing/>
        <w:rPr>
          <w:iCs/>
        </w:rPr>
      </w:pPr>
      <w:r w:rsidRPr="0084495F">
        <w:rPr>
          <w:iCs/>
        </w:rPr>
        <w:t>The cost-effectiveness estimate may not be reliable given that:</w:t>
      </w:r>
    </w:p>
    <w:p w14:paraId="00E68DA0" w14:textId="77777777" w:rsidR="00A3517A" w:rsidRPr="0084495F" w:rsidRDefault="00A3517A" w:rsidP="00D561DA">
      <w:pPr>
        <w:pStyle w:val="ExecSumBodyText"/>
        <w:keepNext/>
        <w:keepLines/>
        <w:numPr>
          <w:ilvl w:val="1"/>
          <w:numId w:val="11"/>
        </w:numPr>
        <w:ind w:left="1077" w:hanging="357"/>
        <w:contextualSpacing/>
        <w:rPr>
          <w:iCs/>
        </w:rPr>
      </w:pPr>
      <w:r w:rsidRPr="0084495F">
        <w:rPr>
          <w:iCs/>
        </w:rPr>
        <w:t xml:space="preserve">The structure of the economic model was </w:t>
      </w:r>
      <w:proofErr w:type="gramStart"/>
      <w:r w:rsidRPr="0084495F">
        <w:rPr>
          <w:iCs/>
        </w:rPr>
        <w:t>similar to</w:t>
      </w:r>
      <w:proofErr w:type="gramEnd"/>
      <w:r w:rsidRPr="0084495F">
        <w:rPr>
          <w:iCs/>
        </w:rPr>
        <w:t xml:space="preserve"> other models that the PBAC has previously considered were overly simplistic as they did not account for progressive nature of heart failure.</w:t>
      </w:r>
    </w:p>
    <w:p w14:paraId="70AC6EEE" w14:textId="7EC5F7EF" w:rsidR="003577DE" w:rsidRPr="0084495F" w:rsidRDefault="00FF0C6B" w:rsidP="00624423">
      <w:pPr>
        <w:pStyle w:val="ExecSumBodyText"/>
        <w:numPr>
          <w:ilvl w:val="1"/>
          <w:numId w:val="11"/>
        </w:numPr>
        <w:ind w:left="1077" w:hanging="357"/>
        <w:contextualSpacing/>
        <w:rPr>
          <w:iCs/>
        </w:rPr>
      </w:pPr>
      <w:r w:rsidRPr="0084495F">
        <w:rPr>
          <w:iCs/>
        </w:rPr>
        <w:t>The ESC considered i</w:t>
      </w:r>
      <w:r w:rsidR="00A3517A" w:rsidRPr="0084495F">
        <w:rPr>
          <w:iCs/>
        </w:rPr>
        <w:t xml:space="preserve">t </w:t>
      </w:r>
      <w:r w:rsidRPr="0084495F">
        <w:rPr>
          <w:iCs/>
        </w:rPr>
        <w:t>was</w:t>
      </w:r>
      <w:r w:rsidR="00A3517A" w:rsidRPr="0084495F">
        <w:rPr>
          <w:iCs/>
        </w:rPr>
        <w:t xml:space="preserve"> not appropriate to base the economic analysis on a subgroup of patients defined by NT-</w:t>
      </w:r>
      <w:proofErr w:type="spellStart"/>
      <w:r w:rsidR="00A3517A" w:rsidRPr="0084495F">
        <w:rPr>
          <w:iCs/>
        </w:rPr>
        <w:t>proBNP</w:t>
      </w:r>
      <w:proofErr w:type="spellEnd"/>
      <w:r w:rsidR="00A3517A" w:rsidRPr="0084495F">
        <w:rPr>
          <w:iCs/>
        </w:rPr>
        <w:t xml:space="preserve"> ≤5,314 </w:t>
      </w:r>
      <w:proofErr w:type="spellStart"/>
      <w:r w:rsidR="00A3517A" w:rsidRPr="0084495F">
        <w:rPr>
          <w:iCs/>
        </w:rPr>
        <w:t>pg</w:t>
      </w:r>
      <w:proofErr w:type="spellEnd"/>
      <w:r w:rsidR="00A3517A" w:rsidRPr="0084495F">
        <w:rPr>
          <w:iCs/>
        </w:rPr>
        <w:t>/mL, without having a similar criterion in the proposed restriction to identify these patients.</w:t>
      </w:r>
    </w:p>
    <w:p w14:paraId="07DACCC5" w14:textId="6A6690AF" w:rsidR="00A3517A" w:rsidRPr="0084495F" w:rsidRDefault="003577DE" w:rsidP="00624423">
      <w:pPr>
        <w:pStyle w:val="ExecSumBodyText"/>
        <w:numPr>
          <w:ilvl w:val="1"/>
          <w:numId w:val="11"/>
        </w:numPr>
        <w:ind w:left="1077" w:hanging="357"/>
        <w:rPr>
          <w:iCs/>
        </w:rPr>
      </w:pPr>
      <w:r w:rsidRPr="0084495F">
        <w:rPr>
          <w:iCs/>
        </w:rPr>
        <w:t>The transition probabilities estimated in the model (</w:t>
      </w:r>
      <w:proofErr w:type="gramStart"/>
      <w:r w:rsidRPr="0084495F">
        <w:rPr>
          <w:iCs/>
        </w:rPr>
        <w:t>through the use of</w:t>
      </w:r>
      <w:proofErr w:type="gramEnd"/>
      <w:r w:rsidRPr="0084495F">
        <w:rPr>
          <w:iCs/>
        </w:rPr>
        <w:t xml:space="preserve"> post-hoc regression analysis and parametric extrapolations) were poorly justified and do not appear to reliably predict observed outcomes during the trial period.</w:t>
      </w:r>
    </w:p>
    <w:p w14:paraId="100A8408" w14:textId="1F653362" w:rsidR="00F34FF5" w:rsidRPr="0084495F" w:rsidRDefault="008123DE" w:rsidP="00F34FF5">
      <w:pPr>
        <w:pStyle w:val="ExecSumBodyText"/>
      </w:pPr>
      <w:r w:rsidRPr="0084495F">
        <w:t xml:space="preserve">The results of key </w:t>
      </w:r>
      <w:r w:rsidR="000022AB" w:rsidRPr="0084495F">
        <w:t>sensitivity analyses presented in the submission and conducted during the evaluation</w:t>
      </w:r>
      <w:r w:rsidRPr="0084495F">
        <w:t xml:space="preserve"> are summarised in the table below</w:t>
      </w:r>
      <w:r w:rsidR="000022AB" w:rsidRPr="0084495F">
        <w:t>.</w:t>
      </w:r>
    </w:p>
    <w:p w14:paraId="5EE934C7" w14:textId="2B29E047" w:rsidR="000022AB" w:rsidRPr="0084495F" w:rsidRDefault="000022AB" w:rsidP="0047673B">
      <w:pPr>
        <w:pStyle w:val="Caption"/>
        <w:keepLines/>
      </w:pPr>
      <w:r w:rsidRPr="0084495F">
        <w:lastRenderedPageBreak/>
        <w:t xml:space="preserve">Table </w:t>
      </w:r>
      <w:r w:rsidR="00C16DA1">
        <w:fldChar w:fldCharType="begin"/>
      </w:r>
      <w:r w:rsidR="00C16DA1">
        <w:instrText xml:space="preserve"> SEQ Table \* ARABIC </w:instrText>
      </w:r>
      <w:r w:rsidR="00C16DA1">
        <w:fldChar w:fldCharType="separate"/>
      </w:r>
      <w:r w:rsidR="0084495F" w:rsidRPr="0084495F">
        <w:t>14</w:t>
      </w:r>
      <w:r w:rsidR="00C16DA1">
        <w:fldChar w:fldCharType="end"/>
      </w:r>
      <w:r w:rsidRPr="0084495F">
        <w:t>: Results of sensitivity analyses</w:t>
      </w:r>
      <w:r w:rsidR="00E375DE" w:rsidRPr="0084495F">
        <w:t xml:space="preserve"> based on the VICTORIA NT-</w:t>
      </w:r>
      <w:proofErr w:type="spellStart"/>
      <w:r w:rsidR="00E375DE" w:rsidRPr="0084495F">
        <w:t>proBNP</w:t>
      </w:r>
      <w:proofErr w:type="spellEnd"/>
      <w:r w:rsidR="00E375DE" w:rsidRPr="0084495F">
        <w:t xml:space="preserve"> Q1-Q3 subgroup</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Results of sensitivity analyses based on the VICTORIA NT-proBNP Q1-Q3 subgroup"/>
      </w:tblPr>
      <w:tblGrid>
        <w:gridCol w:w="4673"/>
        <w:gridCol w:w="1448"/>
        <w:gridCol w:w="1528"/>
        <w:gridCol w:w="1370"/>
      </w:tblGrid>
      <w:tr w:rsidR="000022AB" w:rsidRPr="0084495F" w14:paraId="5D58477C" w14:textId="77777777" w:rsidTr="002B0E29">
        <w:trPr>
          <w:tblHeader/>
        </w:trPr>
        <w:tc>
          <w:tcPr>
            <w:tcW w:w="4673" w:type="dxa"/>
          </w:tcPr>
          <w:p w14:paraId="339A9AB3" w14:textId="77777777" w:rsidR="000022AB" w:rsidRPr="0084495F" w:rsidRDefault="000022AB" w:rsidP="0047673B">
            <w:pPr>
              <w:pStyle w:val="Tableheadingrow"/>
              <w:keepLines/>
              <w:ind w:right="-60"/>
              <w:rPr>
                <w:szCs w:val="20"/>
                <w:lang w:val="en-AU"/>
              </w:rPr>
            </w:pPr>
            <w:r w:rsidRPr="0084495F">
              <w:rPr>
                <w:szCs w:val="20"/>
                <w:lang w:val="en-AU"/>
              </w:rPr>
              <w:t>Analyses</w:t>
            </w:r>
          </w:p>
        </w:tc>
        <w:tc>
          <w:tcPr>
            <w:tcW w:w="1448" w:type="dxa"/>
          </w:tcPr>
          <w:p w14:paraId="4D2D87CA" w14:textId="5B3797A5" w:rsidR="000022AB" w:rsidRPr="0084495F" w:rsidRDefault="000022AB" w:rsidP="0047673B">
            <w:pPr>
              <w:pStyle w:val="Tableheadingrow"/>
              <w:keepLines/>
              <w:ind w:left="-86" w:right="-69"/>
              <w:jc w:val="center"/>
              <w:rPr>
                <w:szCs w:val="20"/>
                <w:lang w:val="en-AU"/>
              </w:rPr>
            </w:pPr>
            <w:r w:rsidRPr="0084495F">
              <w:rPr>
                <w:szCs w:val="20"/>
                <w:lang w:val="en-AU"/>
              </w:rPr>
              <w:t>Incremental cost</w:t>
            </w:r>
            <w:r w:rsidR="00E45780">
              <w:rPr>
                <w:szCs w:val="20"/>
                <w:lang w:val="en-AU"/>
              </w:rPr>
              <w:t xml:space="preserve"> ($)</w:t>
            </w:r>
          </w:p>
        </w:tc>
        <w:tc>
          <w:tcPr>
            <w:tcW w:w="1528" w:type="dxa"/>
          </w:tcPr>
          <w:p w14:paraId="66BF2427" w14:textId="77777777" w:rsidR="000022AB" w:rsidRPr="0084495F" w:rsidRDefault="000022AB" w:rsidP="0047673B">
            <w:pPr>
              <w:pStyle w:val="Tableheadingrow"/>
              <w:keepLines/>
              <w:ind w:left="-86" w:right="-69"/>
              <w:jc w:val="center"/>
              <w:rPr>
                <w:szCs w:val="20"/>
                <w:lang w:val="en-AU"/>
              </w:rPr>
            </w:pPr>
            <w:r w:rsidRPr="0084495F">
              <w:rPr>
                <w:szCs w:val="20"/>
                <w:lang w:val="en-AU"/>
              </w:rPr>
              <w:t>Incremental QALY</w:t>
            </w:r>
          </w:p>
        </w:tc>
        <w:tc>
          <w:tcPr>
            <w:tcW w:w="1370" w:type="dxa"/>
          </w:tcPr>
          <w:p w14:paraId="4DDAC8DB" w14:textId="571185E6" w:rsidR="000022AB" w:rsidRPr="0084495F" w:rsidRDefault="000022AB" w:rsidP="0047673B">
            <w:pPr>
              <w:pStyle w:val="Tableheadingrow"/>
              <w:keepLines/>
              <w:ind w:left="-86" w:right="-69"/>
              <w:jc w:val="center"/>
              <w:rPr>
                <w:szCs w:val="20"/>
                <w:lang w:val="en-AU"/>
              </w:rPr>
            </w:pPr>
            <w:r w:rsidRPr="0084495F">
              <w:rPr>
                <w:szCs w:val="20"/>
                <w:lang w:val="en-AU"/>
              </w:rPr>
              <w:t>ICER</w:t>
            </w:r>
            <w:r w:rsidR="00E45780">
              <w:rPr>
                <w:szCs w:val="20"/>
                <w:lang w:val="en-AU"/>
              </w:rPr>
              <w:t xml:space="preserve"> </w:t>
            </w:r>
            <w:r w:rsidR="00E45780">
              <w:rPr>
                <w:szCs w:val="20"/>
                <w:lang w:val="en-AU"/>
              </w:rPr>
              <w:br/>
              <w:t>($)</w:t>
            </w:r>
          </w:p>
        </w:tc>
      </w:tr>
      <w:tr w:rsidR="000022AB" w:rsidRPr="0084495F" w14:paraId="4330844F" w14:textId="77777777" w:rsidTr="002B0E29">
        <w:tc>
          <w:tcPr>
            <w:tcW w:w="4673" w:type="dxa"/>
            <w:shd w:val="clear" w:color="auto" w:fill="auto"/>
          </w:tcPr>
          <w:p w14:paraId="1EBB364B" w14:textId="77777777" w:rsidR="000022AB" w:rsidRPr="0084495F" w:rsidRDefault="000022AB" w:rsidP="0047673B">
            <w:pPr>
              <w:pStyle w:val="TableText"/>
              <w:keepLines/>
              <w:ind w:right="-60"/>
              <w:rPr>
                <w:b/>
                <w:szCs w:val="20"/>
              </w:rPr>
            </w:pPr>
            <w:r w:rsidRPr="0084495F">
              <w:rPr>
                <w:b/>
                <w:szCs w:val="20"/>
              </w:rPr>
              <w:t>Base case (VICTORIA NT-</w:t>
            </w:r>
            <w:proofErr w:type="spellStart"/>
            <w:r w:rsidRPr="0084495F">
              <w:rPr>
                <w:b/>
                <w:szCs w:val="20"/>
              </w:rPr>
              <w:t>proBNP</w:t>
            </w:r>
            <w:proofErr w:type="spellEnd"/>
            <w:r w:rsidRPr="0084495F">
              <w:rPr>
                <w:b/>
                <w:szCs w:val="20"/>
              </w:rPr>
              <w:t xml:space="preserve"> Q1-Q3 subgroup)</w:t>
            </w:r>
          </w:p>
        </w:tc>
        <w:tc>
          <w:tcPr>
            <w:tcW w:w="1448" w:type="dxa"/>
            <w:shd w:val="clear" w:color="auto" w:fill="auto"/>
          </w:tcPr>
          <w:p w14:paraId="0F1E9159" w14:textId="3D4E0C61" w:rsidR="000022AB" w:rsidRPr="00BA0452" w:rsidRDefault="009C6175" w:rsidP="0047673B">
            <w:pPr>
              <w:pStyle w:val="TableText"/>
              <w:keepLines/>
              <w:ind w:left="-86" w:right="-69"/>
              <w:jc w:val="center"/>
              <w:rPr>
                <w:b/>
                <w:szCs w:val="20"/>
                <w:vertAlign w:val="superscript"/>
              </w:rPr>
            </w:pPr>
            <w:r w:rsidRPr="00C16DA1">
              <w:rPr>
                <w:rFonts w:hint="eastAsia"/>
                <w:b/>
                <w:color w:val="000000"/>
                <w:w w:val="15"/>
                <w:szCs w:val="20"/>
                <w:shd w:val="solid" w:color="000000" w:fill="000000"/>
                <w:fitText w:val="17" w:id="-1501344256"/>
                <w14:textFill>
                  <w14:solidFill>
                    <w14:srgbClr w14:val="000000">
                      <w14:alpha w14:val="100000"/>
                    </w14:srgbClr>
                  </w14:solidFill>
                </w14:textFill>
              </w:rPr>
              <w:t xml:space="preserve">　</w:t>
            </w:r>
            <w:r w:rsidRPr="00C16DA1">
              <w:rPr>
                <w:b/>
                <w:color w:val="000000"/>
                <w:w w:val="15"/>
                <w:szCs w:val="20"/>
                <w:shd w:val="solid" w:color="000000" w:fill="000000"/>
                <w:fitText w:val="17" w:id="-1501344256"/>
                <w14:textFill>
                  <w14:solidFill>
                    <w14:srgbClr w14:val="000000">
                      <w14:alpha w14:val="100000"/>
                    </w14:srgbClr>
                  </w14:solidFill>
                </w14:textFill>
              </w:rPr>
              <w:t>|</w:t>
            </w:r>
            <w:r w:rsidRPr="00C16DA1">
              <w:rPr>
                <w:rFonts w:hint="eastAsia"/>
                <w:b/>
                <w:color w:val="000000"/>
                <w:spacing w:val="-49"/>
                <w:w w:val="15"/>
                <w:szCs w:val="20"/>
                <w:shd w:val="solid" w:color="000000" w:fill="000000"/>
                <w:fitText w:val="17" w:id="-1501344256"/>
                <w14:textFill>
                  <w14:solidFill>
                    <w14:srgbClr w14:val="000000">
                      <w14:alpha w14:val="100000"/>
                    </w14:srgbClr>
                  </w14:solidFill>
                </w14:textFill>
              </w:rPr>
              <w:t xml:space="preserve">　</w:t>
            </w:r>
            <w:r w:rsidR="00BA0452">
              <w:rPr>
                <w:b/>
                <w:szCs w:val="20"/>
                <w:vertAlign w:val="superscript"/>
              </w:rPr>
              <w:t>1</w:t>
            </w:r>
          </w:p>
        </w:tc>
        <w:tc>
          <w:tcPr>
            <w:tcW w:w="1528" w:type="dxa"/>
            <w:shd w:val="clear" w:color="auto" w:fill="auto"/>
          </w:tcPr>
          <w:p w14:paraId="22BABC5B" w14:textId="77777777" w:rsidR="000022AB" w:rsidRPr="0084495F" w:rsidRDefault="000022AB" w:rsidP="0047673B">
            <w:pPr>
              <w:pStyle w:val="TableText"/>
              <w:keepLines/>
              <w:ind w:left="-86" w:right="-69"/>
              <w:jc w:val="center"/>
              <w:rPr>
                <w:b/>
                <w:szCs w:val="20"/>
              </w:rPr>
            </w:pPr>
            <w:r w:rsidRPr="0084495F">
              <w:rPr>
                <w:b/>
                <w:szCs w:val="20"/>
              </w:rPr>
              <w:t>0.2199</w:t>
            </w:r>
          </w:p>
        </w:tc>
        <w:tc>
          <w:tcPr>
            <w:tcW w:w="1370" w:type="dxa"/>
            <w:shd w:val="clear" w:color="auto" w:fill="auto"/>
          </w:tcPr>
          <w:p w14:paraId="70D8AB4C" w14:textId="33B14368" w:rsidR="000022AB" w:rsidRPr="00BA0452" w:rsidRDefault="009C6175" w:rsidP="0047673B">
            <w:pPr>
              <w:pStyle w:val="TableText"/>
              <w:keepLines/>
              <w:ind w:left="-86" w:right="-69"/>
              <w:jc w:val="center"/>
              <w:rPr>
                <w:b/>
                <w:szCs w:val="20"/>
                <w:vertAlign w:val="superscript"/>
              </w:rPr>
            </w:pPr>
            <w:r w:rsidRPr="00D23C96">
              <w:rPr>
                <w:rFonts w:hint="eastAsia"/>
                <w:b/>
                <w:color w:val="000000"/>
                <w:w w:val="15"/>
                <w:szCs w:val="20"/>
                <w:shd w:val="solid" w:color="000000" w:fill="000000"/>
                <w:fitText w:val="49" w:id="-1501344255"/>
                <w14:textFill>
                  <w14:solidFill>
                    <w14:srgbClr w14:val="000000">
                      <w14:alpha w14:val="100000"/>
                    </w14:srgbClr>
                  </w14:solidFill>
                </w14:textFill>
              </w:rPr>
              <w:t xml:space="preserve">　</w:t>
            </w:r>
            <w:r w:rsidRPr="00D23C96">
              <w:rPr>
                <w:b/>
                <w:color w:val="000000"/>
                <w:w w:val="15"/>
                <w:szCs w:val="20"/>
                <w:shd w:val="solid" w:color="000000" w:fill="000000"/>
                <w:fitText w:val="49" w:id="-1501344255"/>
                <w14:textFill>
                  <w14:solidFill>
                    <w14:srgbClr w14:val="000000">
                      <w14:alpha w14:val="100000"/>
                    </w14:srgbClr>
                  </w14:solidFill>
                </w14:textFill>
              </w:rPr>
              <w:t>|</w:t>
            </w:r>
            <w:r w:rsidRPr="00D23C96">
              <w:rPr>
                <w:rFonts w:hint="eastAsia"/>
                <w:b/>
                <w:color w:val="000000"/>
                <w:spacing w:val="-25"/>
                <w:w w:val="15"/>
                <w:szCs w:val="20"/>
                <w:shd w:val="solid" w:color="000000" w:fill="000000"/>
                <w:fitText w:val="49" w:id="-1501344255"/>
                <w14:textFill>
                  <w14:solidFill>
                    <w14:srgbClr w14:val="000000">
                      <w14:alpha w14:val="100000"/>
                    </w14:srgbClr>
                  </w14:solidFill>
                </w14:textFill>
              </w:rPr>
              <w:t xml:space="preserve">　</w:t>
            </w:r>
            <w:r w:rsidR="00BA0452">
              <w:rPr>
                <w:b/>
                <w:szCs w:val="20"/>
                <w:vertAlign w:val="superscript"/>
              </w:rPr>
              <w:t>2</w:t>
            </w:r>
          </w:p>
        </w:tc>
      </w:tr>
      <w:tr w:rsidR="000022AB" w:rsidRPr="0084495F" w14:paraId="65975B15" w14:textId="77777777" w:rsidTr="002B0E29">
        <w:tc>
          <w:tcPr>
            <w:tcW w:w="9019" w:type="dxa"/>
            <w:gridSpan w:val="4"/>
          </w:tcPr>
          <w:p w14:paraId="41EE148E" w14:textId="77777777" w:rsidR="000022AB" w:rsidRPr="0084495F" w:rsidRDefault="000022AB" w:rsidP="0047673B">
            <w:pPr>
              <w:pStyle w:val="TableText"/>
              <w:keepLines/>
              <w:ind w:right="-69"/>
              <w:rPr>
                <w:b/>
                <w:bCs w:val="0"/>
                <w:szCs w:val="20"/>
              </w:rPr>
            </w:pPr>
            <w:r w:rsidRPr="0084495F">
              <w:rPr>
                <w:b/>
                <w:bCs w:val="0"/>
                <w:szCs w:val="20"/>
              </w:rPr>
              <w:t xml:space="preserve">Discount rate (base case </w:t>
            </w:r>
            <w:r w:rsidRPr="00E45780">
              <w:rPr>
                <w:b/>
                <w:bCs w:val="0"/>
                <w:szCs w:val="20"/>
              </w:rPr>
              <w:t>5</w:t>
            </w:r>
            <w:r w:rsidRPr="0084495F">
              <w:rPr>
                <w:b/>
                <w:bCs w:val="0"/>
                <w:szCs w:val="20"/>
              </w:rPr>
              <w:t>% costs and outcomes)</w:t>
            </w:r>
          </w:p>
        </w:tc>
      </w:tr>
      <w:tr w:rsidR="000022AB" w:rsidRPr="0084495F" w14:paraId="1D3D3FB8" w14:textId="77777777" w:rsidTr="002B0E29">
        <w:tc>
          <w:tcPr>
            <w:tcW w:w="4673" w:type="dxa"/>
          </w:tcPr>
          <w:p w14:paraId="7A8E2A1D" w14:textId="77777777" w:rsidR="000022AB" w:rsidRPr="0084495F" w:rsidRDefault="000022AB" w:rsidP="0047673B">
            <w:pPr>
              <w:pStyle w:val="TableText"/>
              <w:keepLines/>
              <w:ind w:right="-60"/>
              <w:rPr>
                <w:szCs w:val="20"/>
              </w:rPr>
            </w:pPr>
            <w:r w:rsidRPr="0084495F">
              <w:rPr>
                <w:bCs w:val="0"/>
                <w:szCs w:val="20"/>
              </w:rPr>
              <w:t>-</w:t>
            </w:r>
            <w:r w:rsidRPr="0084495F">
              <w:rPr>
                <w:szCs w:val="20"/>
              </w:rPr>
              <w:t xml:space="preserve"> 0% costs and outcomes</w:t>
            </w:r>
          </w:p>
        </w:tc>
        <w:tc>
          <w:tcPr>
            <w:tcW w:w="1448" w:type="dxa"/>
          </w:tcPr>
          <w:p w14:paraId="3AF2938C" w14:textId="7DDDC8B4" w:rsidR="000022AB" w:rsidRPr="00BA0452" w:rsidRDefault="009C6175" w:rsidP="0047673B">
            <w:pPr>
              <w:pStyle w:val="TableText"/>
              <w:keepLines/>
              <w:ind w:left="-86" w:right="-69"/>
              <w:jc w:val="center"/>
              <w:rPr>
                <w:szCs w:val="20"/>
                <w:highlight w:val="yellow"/>
                <w:vertAlign w:val="superscript"/>
              </w:rPr>
            </w:pPr>
            <w:r w:rsidRPr="009C6175">
              <w:rPr>
                <w:color w:val="000000"/>
                <w:szCs w:val="20"/>
                <w:shd w:val="solid" w:color="000000" w:fill="000000"/>
                <w14:textFill>
                  <w14:solidFill>
                    <w14:srgbClr w14:val="000000">
                      <w14:alpha w14:val="100000"/>
                    </w14:srgbClr>
                  </w14:solidFill>
                </w14:textFill>
              </w:rPr>
              <w:t>|</w:t>
            </w:r>
            <w:r w:rsidR="00BA0452" w:rsidRPr="000606A1">
              <w:rPr>
                <w:szCs w:val="20"/>
                <w:vertAlign w:val="superscript"/>
              </w:rPr>
              <w:t>1</w:t>
            </w:r>
          </w:p>
        </w:tc>
        <w:tc>
          <w:tcPr>
            <w:tcW w:w="1528" w:type="dxa"/>
          </w:tcPr>
          <w:p w14:paraId="071322D3" w14:textId="77777777" w:rsidR="000022AB" w:rsidRPr="0084495F" w:rsidRDefault="000022AB" w:rsidP="0047673B">
            <w:pPr>
              <w:pStyle w:val="TableText"/>
              <w:keepLines/>
              <w:ind w:left="-86" w:right="-69"/>
              <w:jc w:val="center"/>
              <w:rPr>
                <w:szCs w:val="20"/>
              </w:rPr>
            </w:pPr>
            <w:r w:rsidRPr="0084495F">
              <w:rPr>
                <w:szCs w:val="20"/>
              </w:rPr>
              <w:t>0.2907</w:t>
            </w:r>
          </w:p>
        </w:tc>
        <w:tc>
          <w:tcPr>
            <w:tcW w:w="1370" w:type="dxa"/>
          </w:tcPr>
          <w:p w14:paraId="042BBEA4" w14:textId="1372F9F5" w:rsidR="000022AB" w:rsidRPr="00BA0452" w:rsidRDefault="009C6175" w:rsidP="0047673B">
            <w:pPr>
              <w:pStyle w:val="TableText"/>
              <w:keepLines/>
              <w:ind w:left="-86" w:right="-69"/>
              <w:jc w:val="center"/>
              <w:rPr>
                <w:szCs w:val="20"/>
                <w:highlight w:val="yellow"/>
                <w:vertAlign w:val="superscript"/>
              </w:rPr>
            </w:pPr>
            <w:r w:rsidRPr="00C16DA1">
              <w:rPr>
                <w:rFonts w:hint="eastAsia"/>
                <w:color w:val="000000"/>
                <w:w w:val="15"/>
                <w:szCs w:val="20"/>
                <w:shd w:val="solid" w:color="000000" w:fill="000000"/>
                <w:fitText w:val="8" w:id="-1501344254"/>
                <w14:textFill>
                  <w14:solidFill>
                    <w14:srgbClr w14:val="000000">
                      <w14:alpha w14:val="100000"/>
                    </w14:srgbClr>
                  </w14:solidFill>
                </w14:textFill>
              </w:rPr>
              <w:t xml:space="preserve">　</w:t>
            </w:r>
            <w:r w:rsidRPr="00C16DA1">
              <w:rPr>
                <w:color w:val="000000"/>
                <w:w w:val="15"/>
                <w:szCs w:val="20"/>
                <w:shd w:val="solid" w:color="000000" w:fill="000000"/>
                <w:fitText w:val="8" w:id="-1501344254"/>
                <w14:textFill>
                  <w14:solidFill>
                    <w14:srgbClr w14:val="000000">
                      <w14:alpha w14:val="100000"/>
                    </w14:srgbClr>
                  </w14:solidFill>
                </w14:textFill>
              </w:rPr>
              <w:t>|</w:t>
            </w:r>
            <w:r w:rsidRPr="00C16DA1">
              <w:rPr>
                <w:rFonts w:hint="eastAsia"/>
                <w:color w:val="000000"/>
                <w:spacing w:val="-58"/>
                <w:w w:val="15"/>
                <w:szCs w:val="20"/>
                <w:shd w:val="solid" w:color="000000" w:fill="000000"/>
                <w:fitText w:val="8" w:id="-1501344254"/>
                <w14:textFill>
                  <w14:solidFill>
                    <w14:srgbClr w14:val="000000">
                      <w14:alpha w14:val="100000"/>
                    </w14:srgbClr>
                  </w14:solidFill>
                </w14:textFill>
              </w:rPr>
              <w:t xml:space="preserve">　</w:t>
            </w:r>
            <w:r w:rsidR="00BA0452" w:rsidRPr="000606A1">
              <w:rPr>
                <w:szCs w:val="20"/>
                <w:vertAlign w:val="superscript"/>
              </w:rPr>
              <w:t>2</w:t>
            </w:r>
          </w:p>
        </w:tc>
      </w:tr>
      <w:tr w:rsidR="000022AB" w:rsidRPr="0084495F" w14:paraId="0A1C0D9F" w14:textId="77777777" w:rsidTr="002B0E29">
        <w:tc>
          <w:tcPr>
            <w:tcW w:w="4673" w:type="dxa"/>
            <w:tcBorders>
              <w:bottom w:val="single" w:sz="4" w:space="0" w:color="auto"/>
            </w:tcBorders>
          </w:tcPr>
          <w:p w14:paraId="51C23AC7" w14:textId="77777777" w:rsidR="000022AB" w:rsidRPr="0084495F" w:rsidRDefault="000022AB" w:rsidP="0047673B">
            <w:pPr>
              <w:pStyle w:val="TableText"/>
              <w:keepLines/>
              <w:ind w:right="-60"/>
              <w:rPr>
                <w:szCs w:val="20"/>
              </w:rPr>
            </w:pPr>
            <w:r w:rsidRPr="0084495F">
              <w:rPr>
                <w:bCs w:val="0"/>
                <w:szCs w:val="20"/>
              </w:rPr>
              <w:t>-</w:t>
            </w:r>
            <w:r w:rsidRPr="0084495F">
              <w:rPr>
                <w:szCs w:val="20"/>
              </w:rPr>
              <w:t xml:space="preserve"> 3.5% costs and outcomes</w:t>
            </w:r>
          </w:p>
        </w:tc>
        <w:tc>
          <w:tcPr>
            <w:tcW w:w="1448" w:type="dxa"/>
            <w:tcBorders>
              <w:bottom w:val="single" w:sz="4" w:space="0" w:color="auto"/>
            </w:tcBorders>
          </w:tcPr>
          <w:p w14:paraId="2355C254" w14:textId="5889F3C7" w:rsidR="000022AB" w:rsidRPr="00BA0452" w:rsidRDefault="009C6175" w:rsidP="0047673B">
            <w:pPr>
              <w:pStyle w:val="TableText"/>
              <w:keepLines/>
              <w:ind w:left="-86" w:right="-69"/>
              <w:jc w:val="center"/>
              <w:rPr>
                <w:szCs w:val="20"/>
                <w:highlight w:val="yellow"/>
                <w:vertAlign w:val="superscript"/>
              </w:rPr>
            </w:pPr>
            <w:r w:rsidRPr="009C6175">
              <w:rPr>
                <w:color w:val="000000"/>
                <w:szCs w:val="20"/>
                <w:shd w:val="solid" w:color="000000" w:fill="000000"/>
                <w14:textFill>
                  <w14:solidFill>
                    <w14:srgbClr w14:val="000000">
                      <w14:alpha w14:val="100000"/>
                    </w14:srgbClr>
                  </w14:solidFill>
                </w14:textFill>
              </w:rPr>
              <w:t>|</w:t>
            </w:r>
            <w:r w:rsidR="00BA0452" w:rsidRPr="000606A1">
              <w:rPr>
                <w:szCs w:val="20"/>
                <w:vertAlign w:val="superscript"/>
              </w:rPr>
              <w:t>1</w:t>
            </w:r>
          </w:p>
        </w:tc>
        <w:tc>
          <w:tcPr>
            <w:tcW w:w="1528" w:type="dxa"/>
            <w:tcBorders>
              <w:bottom w:val="single" w:sz="4" w:space="0" w:color="auto"/>
            </w:tcBorders>
          </w:tcPr>
          <w:p w14:paraId="2C0CE8C8" w14:textId="77777777" w:rsidR="000022AB" w:rsidRPr="0084495F" w:rsidRDefault="000022AB" w:rsidP="0047673B">
            <w:pPr>
              <w:pStyle w:val="TableText"/>
              <w:keepLines/>
              <w:ind w:left="-86" w:right="-69"/>
              <w:jc w:val="center"/>
              <w:rPr>
                <w:szCs w:val="20"/>
              </w:rPr>
            </w:pPr>
            <w:r w:rsidRPr="0084495F">
              <w:rPr>
                <w:szCs w:val="20"/>
              </w:rPr>
              <w:t>0.2384</w:t>
            </w:r>
          </w:p>
        </w:tc>
        <w:tc>
          <w:tcPr>
            <w:tcW w:w="1370" w:type="dxa"/>
          </w:tcPr>
          <w:p w14:paraId="064B1973" w14:textId="71FF15E4" w:rsidR="000022AB" w:rsidRPr="00BA0452" w:rsidRDefault="009C6175" w:rsidP="0047673B">
            <w:pPr>
              <w:pStyle w:val="TableText"/>
              <w:keepLines/>
              <w:ind w:left="-86" w:right="-69"/>
              <w:jc w:val="center"/>
              <w:rPr>
                <w:szCs w:val="20"/>
                <w:highlight w:val="yellow"/>
                <w:vertAlign w:val="superscript"/>
              </w:rPr>
            </w:pPr>
            <w:r w:rsidRPr="00C16DA1">
              <w:rPr>
                <w:rFonts w:hint="eastAsia"/>
                <w:color w:val="000000"/>
                <w:w w:val="15"/>
                <w:szCs w:val="20"/>
                <w:shd w:val="solid" w:color="000000" w:fill="000000"/>
                <w:fitText w:val="8" w:id="-1501344253"/>
                <w14:textFill>
                  <w14:solidFill>
                    <w14:srgbClr w14:val="000000">
                      <w14:alpha w14:val="100000"/>
                    </w14:srgbClr>
                  </w14:solidFill>
                </w14:textFill>
              </w:rPr>
              <w:t xml:space="preserve">　</w:t>
            </w:r>
            <w:r w:rsidRPr="00C16DA1">
              <w:rPr>
                <w:color w:val="000000"/>
                <w:w w:val="15"/>
                <w:szCs w:val="20"/>
                <w:shd w:val="solid" w:color="000000" w:fill="000000"/>
                <w:fitText w:val="8" w:id="-1501344253"/>
                <w14:textFill>
                  <w14:solidFill>
                    <w14:srgbClr w14:val="000000">
                      <w14:alpha w14:val="100000"/>
                    </w14:srgbClr>
                  </w14:solidFill>
                </w14:textFill>
              </w:rPr>
              <w:t>|</w:t>
            </w:r>
            <w:r w:rsidRPr="00C16DA1">
              <w:rPr>
                <w:rFonts w:hint="eastAsia"/>
                <w:color w:val="000000"/>
                <w:spacing w:val="-58"/>
                <w:w w:val="15"/>
                <w:szCs w:val="20"/>
                <w:shd w:val="solid" w:color="000000" w:fill="000000"/>
                <w:fitText w:val="8" w:id="-1501344253"/>
                <w14:textFill>
                  <w14:solidFill>
                    <w14:srgbClr w14:val="000000">
                      <w14:alpha w14:val="100000"/>
                    </w14:srgbClr>
                  </w14:solidFill>
                </w14:textFill>
              </w:rPr>
              <w:t xml:space="preserve">　</w:t>
            </w:r>
            <w:r w:rsidR="00BA0452" w:rsidRPr="000606A1">
              <w:rPr>
                <w:szCs w:val="20"/>
                <w:vertAlign w:val="superscript"/>
              </w:rPr>
              <w:t>2</w:t>
            </w:r>
          </w:p>
        </w:tc>
      </w:tr>
      <w:tr w:rsidR="000022AB" w:rsidRPr="0084495F" w14:paraId="3ED8953E" w14:textId="77777777" w:rsidTr="002B0E29">
        <w:tc>
          <w:tcPr>
            <w:tcW w:w="9019" w:type="dxa"/>
            <w:gridSpan w:val="4"/>
          </w:tcPr>
          <w:p w14:paraId="7143531E" w14:textId="77777777" w:rsidR="000022AB" w:rsidRPr="0084495F" w:rsidRDefault="000022AB" w:rsidP="0047673B">
            <w:pPr>
              <w:pStyle w:val="TableText"/>
              <w:keepLines/>
              <w:ind w:right="-69"/>
              <w:rPr>
                <w:b/>
                <w:bCs w:val="0"/>
                <w:szCs w:val="20"/>
              </w:rPr>
            </w:pPr>
            <w:r w:rsidRPr="0084495F">
              <w:rPr>
                <w:b/>
                <w:bCs w:val="0"/>
                <w:szCs w:val="20"/>
              </w:rPr>
              <w:t>Time horizon (base case 10 years)</w:t>
            </w:r>
          </w:p>
        </w:tc>
      </w:tr>
      <w:tr w:rsidR="000022AB" w:rsidRPr="0084495F" w14:paraId="10F5B3DE" w14:textId="77777777" w:rsidTr="002B0E29">
        <w:tc>
          <w:tcPr>
            <w:tcW w:w="4673" w:type="dxa"/>
          </w:tcPr>
          <w:p w14:paraId="15E2425E" w14:textId="77777777" w:rsidR="000022AB" w:rsidRPr="0084495F" w:rsidRDefault="000022AB" w:rsidP="0047673B">
            <w:pPr>
              <w:pStyle w:val="TableText"/>
              <w:keepLines/>
              <w:ind w:right="-60"/>
              <w:rPr>
                <w:bCs w:val="0"/>
                <w:szCs w:val="20"/>
              </w:rPr>
            </w:pPr>
            <w:r w:rsidRPr="0084495F">
              <w:rPr>
                <w:bCs w:val="0"/>
                <w:szCs w:val="20"/>
              </w:rPr>
              <w:t>- 5 years</w:t>
            </w:r>
          </w:p>
        </w:tc>
        <w:tc>
          <w:tcPr>
            <w:tcW w:w="1448" w:type="dxa"/>
          </w:tcPr>
          <w:p w14:paraId="2418D7A2" w14:textId="42930148" w:rsidR="000022AB" w:rsidRPr="00BA0452" w:rsidRDefault="009C6175" w:rsidP="0047673B">
            <w:pPr>
              <w:pStyle w:val="TableText"/>
              <w:keepLines/>
              <w:ind w:left="-86" w:right="-69"/>
              <w:jc w:val="center"/>
              <w:rPr>
                <w:szCs w:val="20"/>
                <w:highlight w:val="yellow"/>
                <w:vertAlign w:val="superscript"/>
              </w:rPr>
            </w:pPr>
            <w:r w:rsidRPr="009C6175">
              <w:rPr>
                <w:color w:val="000000"/>
                <w:szCs w:val="20"/>
                <w:shd w:val="solid" w:color="000000" w:fill="000000"/>
                <w14:textFill>
                  <w14:solidFill>
                    <w14:srgbClr w14:val="000000">
                      <w14:alpha w14:val="100000"/>
                    </w14:srgbClr>
                  </w14:solidFill>
                </w14:textFill>
              </w:rPr>
              <w:t>|</w:t>
            </w:r>
            <w:r w:rsidR="00BA0452" w:rsidRPr="000606A1">
              <w:rPr>
                <w:szCs w:val="20"/>
                <w:vertAlign w:val="superscript"/>
              </w:rPr>
              <w:t>1</w:t>
            </w:r>
          </w:p>
        </w:tc>
        <w:tc>
          <w:tcPr>
            <w:tcW w:w="1528" w:type="dxa"/>
          </w:tcPr>
          <w:p w14:paraId="68152044" w14:textId="77777777" w:rsidR="000022AB" w:rsidRPr="0084495F" w:rsidRDefault="000022AB" w:rsidP="0047673B">
            <w:pPr>
              <w:pStyle w:val="TableText"/>
              <w:keepLines/>
              <w:ind w:left="-86" w:right="-69"/>
              <w:jc w:val="center"/>
              <w:rPr>
                <w:szCs w:val="20"/>
              </w:rPr>
            </w:pPr>
            <w:r w:rsidRPr="0084495F">
              <w:rPr>
                <w:szCs w:val="20"/>
              </w:rPr>
              <w:t>0.0918</w:t>
            </w:r>
          </w:p>
        </w:tc>
        <w:tc>
          <w:tcPr>
            <w:tcW w:w="1370" w:type="dxa"/>
          </w:tcPr>
          <w:p w14:paraId="0D83B64F" w14:textId="15F642F6" w:rsidR="000022AB" w:rsidRPr="00BA0452" w:rsidRDefault="009C6175" w:rsidP="0047673B">
            <w:pPr>
              <w:pStyle w:val="TableText"/>
              <w:keepLines/>
              <w:ind w:left="-86" w:right="-69"/>
              <w:jc w:val="center"/>
              <w:rPr>
                <w:szCs w:val="20"/>
                <w:highlight w:val="yellow"/>
                <w:vertAlign w:val="superscript"/>
              </w:rPr>
            </w:pPr>
            <w:r w:rsidRPr="00C16DA1">
              <w:rPr>
                <w:rFonts w:hint="eastAsia"/>
                <w:color w:val="000000"/>
                <w:w w:val="15"/>
                <w:szCs w:val="20"/>
                <w:shd w:val="solid" w:color="000000" w:fill="000000"/>
                <w:fitText w:val="8" w:id="-1501344252"/>
                <w14:textFill>
                  <w14:solidFill>
                    <w14:srgbClr w14:val="000000">
                      <w14:alpha w14:val="100000"/>
                    </w14:srgbClr>
                  </w14:solidFill>
                </w14:textFill>
              </w:rPr>
              <w:t xml:space="preserve">　</w:t>
            </w:r>
            <w:r w:rsidRPr="00C16DA1">
              <w:rPr>
                <w:color w:val="000000"/>
                <w:w w:val="15"/>
                <w:szCs w:val="20"/>
                <w:shd w:val="solid" w:color="000000" w:fill="000000"/>
                <w:fitText w:val="8" w:id="-1501344252"/>
                <w14:textFill>
                  <w14:solidFill>
                    <w14:srgbClr w14:val="000000">
                      <w14:alpha w14:val="100000"/>
                    </w14:srgbClr>
                  </w14:solidFill>
                </w14:textFill>
              </w:rPr>
              <w:t>|</w:t>
            </w:r>
            <w:r w:rsidRPr="00C16DA1">
              <w:rPr>
                <w:rFonts w:hint="eastAsia"/>
                <w:color w:val="000000"/>
                <w:spacing w:val="-58"/>
                <w:w w:val="15"/>
                <w:szCs w:val="20"/>
                <w:shd w:val="solid" w:color="000000" w:fill="000000"/>
                <w:fitText w:val="8" w:id="-1501344252"/>
                <w14:textFill>
                  <w14:solidFill>
                    <w14:srgbClr w14:val="000000">
                      <w14:alpha w14:val="100000"/>
                    </w14:srgbClr>
                  </w14:solidFill>
                </w14:textFill>
              </w:rPr>
              <w:t xml:space="preserve">　</w:t>
            </w:r>
            <w:r w:rsidR="00BA0452" w:rsidRPr="000606A1">
              <w:rPr>
                <w:szCs w:val="20"/>
                <w:vertAlign w:val="superscript"/>
              </w:rPr>
              <w:t>3</w:t>
            </w:r>
          </w:p>
        </w:tc>
      </w:tr>
      <w:tr w:rsidR="000022AB" w:rsidRPr="0084495F" w14:paraId="690A3940" w14:textId="77777777" w:rsidTr="002B0E29">
        <w:tc>
          <w:tcPr>
            <w:tcW w:w="4673" w:type="dxa"/>
            <w:tcBorders>
              <w:bottom w:val="single" w:sz="4" w:space="0" w:color="auto"/>
            </w:tcBorders>
          </w:tcPr>
          <w:p w14:paraId="287B1CBD" w14:textId="77777777" w:rsidR="000022AB" w:rsidRPr="0084495F" w:rsidRDefault="000022AB" w:rsidP="0047673B">
            <w:pPr>
              <w:pStyle w:val="TableText"/>
              <w:keepLines/>
              <w:ind w:right="-60"/>
              <w:rPr>
                <w:szCs w:val="20"/>
              </w:rPr>
            </w:pPr>
            <w:r w:rsidRPr="0084495F">
              <w:rPr>
                <w:bCs w:val="0"/>
                <w:szCs w:val="20"/>
              </w:rPr>
              <w:t>- 20 years</w:t>
            </w:r>
          </w:p>
        </w:tc>
        <w:tc>
          <w:tcPr>
            <w:tcW w:w="1448" w:type="dxa"/>
            <w:tcBorders>
              <w:bottom w:val="single" w:sz="4" w:space="0" w:color="auto"/>
            </w:tcBorders>
          </w:tcPr>
          <w:p w14:paraId="160A3C1B" w14:textId="0FA072F9" w:rsidR="000022AB" w:rsidRPr="00BA0452" w:rsidRDefault="009C6175" w:rsidP="0047673B">
            <w:pPr>
              <w:pStyle w:val="TableText"/>
              <w:keepLines/>
              <w:ind w:left="-86" w:right="-69"/>
              <w:jc w:val="center"/>
              <w:rPr>
                <w:szCs w:val="20"/>
                <w:highlight w:val="yellow"/>
                <w:vertAlign w:val="superscript"/>
              </w:rPr>
            </w:pPr>
            <w:r w:rsidRPr="009C6175">
              <w:rPr>
                <w:color w:val="000000"/>
                <w:szCs w:val="20"/>
                <w:shd w:val="solid" w:color="000000" w:fill="000000"/>
                <w14:textFill>
                  <w14:solidFill>
                    <w14:srgbClr w14:val="000000">
                      <w14:alpha w14:val="100000"/>
                    </w14:srgbClr>
                  </w14:solidFill>
                </w14:textFill>
              </w:rPr>
              <w:t>|</w:t>
            </w:r>
            <w:r w:rsidR="00BA0452" w:rsidRPr="000606A1">
              <w:rPr>
                <w:szCs w:val="20"/>
                <w:vertAlign w:val="superscript"/>
              </w:rPr>
              <w:t>1</w:t>
            </w:r>
          </w:p>
        </w:tc>
        <w:tc>
          <w:tcPr>
            <w:tcW w:w="1528" w:type="dxa"/>
            <w:tcBorders>
              <w:bottom w:val="single" w:sz="4" w:space="0" w:color="auto"/>
            </w:tcBorders>
          </w:tcPr>
          <w:p w14:paraId="21B08930" w14:textId="77777777" w:rsidR="000022AB" w:rsidRPr="0084495F" w:rsidRDefault="000022AB" w:rsidP="0047673B">
            <w:pPr>
              <w:pStyle w:val="TableText"/>
              <w:keepLines/>
              <w:ind w:left="-86" w:right="-69"/>
              <w:jc w:val="center"/>
              <w:rPr>
                <w:szCs w:val="20"/>
              </w:rPr>
            </w:pPr>
            <w:r w:rsidRPr="0084495F">
              <w:rPr>
                <w:szCs w:val="20"/>
              </w:rPr>
              <w:t>0.3732</w:t>
            </w:r>
          </w:p>
        </w:tc>
        <w:tc>
          <w:tcPr>
            <w:tcW w:w="1370" w:type="dxa"/>
          </w:tcPr>
          <w:p w14:paraId="0C8BC4D1" w14:textId="32EDD12B" w:rsidR="000022AB" w:rsidRPr="00BA0452" w:rsidRDefault="009C6175" w:rsidP="0047673B">
            <w:pPr>
              <w:pStyle w:val="TableText"/>
              <w:keepLines/>
              <w:ind w:left="-86" w:right="-69"/>
              <w:jc w:val="center"/>
              <w:rPr>
                <w:szCs w:val="20"/>
                <w:highlight w:val="yellow"/>
                <w:vertAlign w:val="superscript"/>
              </w:rPr>
            </w:pPr>
            <w:r w:rsidRPr="00C16DA1">
              <w:rPr>
                <w:rFonts w:hint="eastAsia"/>
                <w:color w:val="000000"/>
                <w:w w:val="15"/>
                <w:szCs w:val="20"/>
                <w:shd w:val="solid" w:color="000000" w:fill="000000"/>
                <w:fitText w:val="8" w:id="-1501344251"/>
                <w14:textFill>
                  <w14:solidFill>
                    <w14:srgbClr w14:val="000000">
                      <w14:alpha w14:val="100000"/>
                    </w14:srgbClr>
                  </w14:solidFill>
                </w14:textFill>
              </w:rPr>
              <w:t xml:space="preserve">　</w:t>
            </w:r>
            <w:r w:rsidRPr="00C16DA1">
              <w:rPr>
                <w:color w:val="000000"/>
                <w:w w:val="15"/>
                <w:szCs w:val="20"/>
                <w:shd w:val="solid" w:color="000000" w:fill="000000"/>
                <w:fitText w:val="8" w:id="-1501344251"/>
                <w14:textFill>
                  <w14:solidFill>
                    <w14:srgbClr w14:val="000000">
                      <w14:alpha w14:val="100000"/>
                    </w14:srgbClr>
                  </w14:solidFill>
                </w14:textFill>
              </w:rPr>
              <w:t>|</w:t>
            </w:r>
            <w:r w:rsidRPr="00C16DA1">
              <w:rPr>
                <w:rFonts w:hint="eastAsia"/>
                <w:color w:val="000000"/>
                <w:spacing w:val="-58"/>
                <w:w w:val="15"/>
                <w:szCs w:val="20"/>
                <w:shd w:val="solid" w:color="000000" w:fill="000000"/>
                <w:fitText w:val="8" w:id="-1501344251"/>
                <w14:textFill>
                  <w14:solidFill>
                    <w14:srgbClr w14:val="000000">
                      <w14:alpha w14:val="100000"/>
                    </w14:srgbClr>
                  </w14:solidFill>
                </w14:textFill>
              </w:rPr>
              <w:t xml:space="preserve">　</w:t>
            </w:r>
            <w:r w:rsidR="00BA0452" w:rsidRPr="000606A1">
              <w:rPr>
                <w:szCs w:val="20"/>
                <w:vertAlign w:val="superscript"/>
              </w:rPr>
              <w:t>2</w:t>
            </w:r>
          </w:p>
        </w:tc>
      </w:tr>
      <w:tr w:rsidR="000022AB" w:rsidRPr="0084495F" w14:paraId="5588D5F6" w14:textId="77777777" w:rsidTr="002B0E29">
        <w:tc>
          <w:tcPr>
            <w:tcW w:w="9019" w:type="dxa"/>
            <w:gridSpan w:val="4"/>
          </w:tcPr>
          <w:p w14:paraId="48433659" w14:textId="77777777" w:rsidR="000022AB" w:rsidRPr="0084495F" w:rsidRDefault="000022AB" w:rsidP="0047673B">
            <w:pPr>
              <w:pStyle w:val="TableText"/>
              <w:keepLines/>
              <w:ind w:right="-69"/>
              <w:rPr>
                <w:b/>
                <w:bCs w:val="0"/>
                <w:szCs w:val="20"/>
              </w:rPr>
            </w:pPr>
            <w:r w:rsidRPr="0084495F">
              <w:rPr>
                <w:b/>
                <w:bCs w:val="0"/>
                <w:szCs w:val="20"/>
              </w:rPr>
              <w:t>Starting age of the patient population (base case: 66.65 years)</w:t>
            </w:r>
          </w:p>
        </w:tc>
      </w:tr>
      <w:tr w:rsidR="000022AB" w:rsidRPr="0084495F" w14:paraId="2A279BC6" w14:textId="77777777" w:rsidTr="002B0E29">
        <w:tc>
          <w:tcPr>
            <w:tcW w:w="4673" w:type="dxa"/>
          </w:tcPr>
          <w:p w14:paraId="7D853234" w14:textId="77777777" w:rsidR="000022AB" w:rsidRPr="0084495F" w:rsidRDefault="000022AB" w:rsidP="0047673B">
            <w:pPr>
              <w:pStyle w:val="TableText"/>
              <w:keepLines/>
              <w:ind w:right="-60"/>
              <w:rPr>
                <w:bCs w:val="0"/>
                <w:szCs w:val="20"/>
              </w:rPr>
            </w:pPr>
            <w:r w:rsidRPr="0084495F">
              <w:rPr>
                <w:bCs w:val="0"/>
                <w:szCs w:val="20"/>
              </w:rPr>
              <w:t>- 75 years (Ivabradine PSD, November 2011 PBAC)</w:t>
            </w:r>
          </w:p>
        </w:tc>
        <w:tc>
          <w:tcPr>
            <w:tcW w:w="1448" w:type="dxa"/>
            <w:vAlign w:val="center"/>
          </w:tcPr>
          <w:p w14:paraId="79E3EE0C" w14:textId="43BE8D30" w:rsidR="000022AB" w:rsidRPr="00BA0452" w:rsidRDefault="009C6175" w:rsidP="0047673B">
            <w:pPr>
              <w:pStyle w:val="TableText"/>
              <w:keepLines/>
              <w:ind w:left="-86" w:right="-69"/>
              <w:jc w:val="center"/>
              <w:rPr>
                <w:szCs w:val="20"/>
                <w:highlight w:val="yellow"/>
                <w:vertAlign w:val="superscript"/>
              </w:rPr>
            </w:pPr>
            <w:r w:rsidRPr="009C6175">
              <w:rPr>
                <w:color w:val="000000"/>
                <w:szCs w:val="20"/>
                <w:shd w:val="solid" w:color="000000" w:fill="000000"/>
                <w14:textFill>
                  <w14:solidFill>
                    <w14:srgbClr w14:val="000000">
                      <w14:alpha w14:val="100000"/>
                    </w14:srgbClr>
                  </w14:solidFill>
                </w14:textFill>
              </w:rPr>
              <w:t>|</w:t>
            </w:r>
            <w:r w:rsidR="00BA0452" w:rsidRPr="000606A1">
              <w:rPr>
                <w:szCs w:val="20"/>
                <w:vertAlign w:val="superscript"/>
              </w:rPr>
              <w:t>1</w:t>
            </w:r>
          </w:p>
        </w:tc>
        <w:tc>
          <w:tcPr>
            <w:tcW w:w="1528" w:type="dxa"/>
            <w:vAlign w:val="center"/>
          </w:tcPr>
          <w:p w14:paraId="3830379F" w14:textId="77777777" w:rsidR="000022AB" w:rsidRPr="0084495F" w:rsidRDefault="000022AB" w:rsidP="0047673B">
            <w:pPr>
              <w:pStyle w:val="TableText"/>
              <w:keepLines/>
              <w:ind w:left="-86" w:right="-69"/>
              <w:jc w:val="center"/>
              <w:rPr>
                <w:szCs w:val="20"/>
              </w:rPr>
            </w:pPr>
            <w:r w:rsidRPr="0084495F">
              <w:rPr>
                <w:szCs w:val="20"/>
              </w:rPr>
              <w:t>0.2038</w:t>
            </w:r>
          </w:p>
        </w:tc>
        <w:tc>
          <w:tcPr>
            <w:tcW w:w="1370" w:type="dxa"/>
            <w:vAlign w:val="center"/>
          </w:tcPr>
          <w:p w14:paraId="2CD2B2F1" w14:textId="4D7C1E71" w:rsidR="000022AB" w:rsidRPr="00BA0452" w:rsidRDefault="009C6175" w:rsidP="0047673B">
            <w:pPr>
              <w:pStyle w:val="TableText"/>
              <w:keepLines/>
              <w:ind w:left="-86" w:right="-69"/>
              <w:jc w:val="center"/>
              <w:rPr>
                <w:szCs w:val="20"/>
                <w:highlight w:val="yellow"/>
                <w:vertAlign w:val="superscript"/>
              </w:rPr>
            </w:pPr>
            <w:r w:rsidRPr="00C16DA1">
              <w:rPr>
                <w:rFonts w:hint="eastAsia"/>
                <w:color w:val="000000"/>
                <w:w w:val="15"/>
                <w:szCs w:val="20"/>
                <w:shd w:val="solid" w:color="000000" w:fill="000000"/>
                <w:fitText w:val="8" w:id="-1501344250"/>
                <w14:textFill>
                  <w14:solidFill>
                    <w14:srgbClr w14:val="000000">
                      <w14:alpha w14:val="100000"/>
                    </w14:srgbClr>
                  </w14:solidFill>
                </w14:textFill>
              </w:rPr>
              <w:t xml:space="preserve">　</w:t>
            </w:r>
            <w:r w:rsidRPr="00C16DA1">
              <w:rPr>
                <w:color w:val="000000"/>
                <w:w w:val="15"/>
                <w:szCs w:val="20"/>
                <w:shd w:val="solid" w:color="000000" w:fill="000000"/>
                <w:fitText w:val="8" w:id="-1501344250"/>
                <w14:textFill>
                  <w14:solidFill>
                    <w14:srgbClr w14:val="000000">
                      <w14:alpha w14:val="100000"/>
                    </w14:srgbClr>
                  </w14:solidFill>
                </w14:textFill>
              </w:rPr>
              <w:t>|</w:t>
            </w:r>
            <w:r w:rsidRPr="00C16DA1">
              <w:rPr>
                <w:rFonts w:hint="eastAsia"/>
                <w:color w:val="000000"/>
                <w:spacing w:val="-58"/>
                <w:w w:val="15"/>
                <w:szCs w:val="20"/>
                <w:shd w:val="solid" w:color="000000" w:fill="000000"/>
                <w:fitText w:val="8" w:id="-1501344250"/>
                <w14:textFill>
                  <w14:solidFill>
                    <w14:srgbClr w14:val="000000">
                      <w14:alpha w14:val="100000"/>
                    </w14:srgbClr>
                  </w14:solidFill>
                </w14:textFill>
              </w:rPr>
              <w:t xml:space="preserve">　</w:t>
            </w:r>
            <w:r w:rsidR="00BA0452" w:rsidRPr="000606A1">
              <w:rPr>
                <w:szCs w:val="20"/>
                <w:vertAlign w:val="superscript"/>
              </w:rPr>
              <w:t>4</w:t>
            </w:r>
          </w:p>
        </w:tc>
      </w:tr>
      <w:tr w:rsidR="000022AB" w:rsidRPr="0084495F" w14:paraId="5E943499" w14:textId="77777777" w:rsidTr="002B0E29">
        <w:tc>
          <w:tcPr>
            <w:tcW w:w="4673" w:type="dxa"/>
            <w:tcBorders>
              <w:bottom w:val="single" w:sz="4" w:space="0" w:color="auto"/>
            </w:tcBorders>
          </w:tcPr>
          <w:p w14:paraId="4C8FB4B3" w14:textId="77777777" w:rsidR="000022AB" w:rsidRPr="0084495F" w:rsidRDefault="000022AB" w:rsidP="0047673B">
            <w:pPr>
              <w:pStyle w:val="TableText"/>
              <w:keepLines/>
              <w:ind w:right="-60"/>
              <w:rPr>
                <w:szCs w:val="20"/>
              </w:rPr>
            </w:pPr>
            <w:r w:rsidRPr="0084495F">
              <w:rPr>
                <w:bCs w:val="0"/>
                <w:szCs w:val="20"/>
              </w:rPr>
              <w:t xml:space="preserve">- 85 years </w:t>
            </w:r>
          </w:p>
        </w:tc>
        <w:tc>
          <w:tcPr>
            <w:tcW w:w="1448" w:type="dxa"/>
            <w:tcBorders>
              <w:bottom w:val="single" w:sz="4" w:space="0" w:color="auto"/>
            </w:tcBorders>
          </w:tcPr>
          <w:p w14:paraId="40141297" w14:textId="7D870B2C" w:rsidR="000022AB" w:rsidRPr="00BA0452" w:rsidRDefault="009C6175" w:rsidP="0047673B">
            <w:pPr>
              <w:pStyle w:val="TableText"/>
              <w:keepLines/>
              <w:ind w:left="-86" w:right="-69"/>
              <w:jc w:val="center"/>
              <w:rPr>
                <w:szCs w:val="20"/>
                <w:highlight w:val="yellow"/>
                <w:vertAlign w:val="superscript"/>
              </w:rPr>
            </w:pPr>
            <w:r w:rsidRPr="009C6175">
              <w:rPr>
                <w:color w:val="000000"/>
                <w:szCs w:val="20"/>
                <w:shd w:val="solid" w:color="000000" w:fill="000000"/>
                <w14:textFill>
                  <w14:solidFill>
                    <w14:srgbClr w14:val="000000">
                      <w14:alpha w14:val="100000"/>
                    </w14:srgbClr>
                  </w14:solidFill>
                </w14:textFill>
              </w:rPr>
              <w:t>|</w:t>
            </w:r>
            <w:r w:rsidR="00BA0452" w:rsidRPr="000606A1">
              <w:rPr>
                <w:szCs w:val="20"/>
                <w:vertAlign w:val="superscript"/>
              </w:rPr>
              <w:t>1</w:t>
            </w:r>
          </w:p>
        </w:tc>
        <w:tc>
          <w:tcPr>
            <w:tcW w:w="1528" w:type="dxa"/>
            <w:tcBorders>
              <w:bottom w:val="single" w:sz="4" w:space="0" w:color="auto"/>
            </w:tcBorders>
          </w:tcPr>
          <w:p w14:paraId="5D1A0358" w14:textId="77777777" w:rsidR="000022AB" w:rsidRPr="0084495F" w:rsidRDefault="000022AB" w:rsidP="0047673B">
            <w:pPr>
              <w:pStyle w:val="TableText"/>
              <w:keepLines/>
              <w:ind w:left="-86" w:right="-69"/>
              <w:jc w:val="center"/>
              <w:rPr>
                <w:szCs w:val="20"/>
              </w:rPr>
            </w:pPr>
            <w:r w:rsidRPr="0084495F">
              <w:rPr>
                <w:szCs w:val="20"/>
              </w:rPr>
              <w:t>0.1556</w:t>
            </w:r>
          </w:p>
        </w:tc>
        <w:tc>
          <w:tcPr>
            <w:tcW w:w="1370" w:type="dxa"/>
          </w:tcPr>
          <w:p w14:paraId="49FF34AA" w14:textId="1E194D10" w:rsidR="000022AB" w:rsidRPr="00BA0452" w:rsidRDefault="009C6175" w:rsidP="0047673B">
            <w:pPr>
              <w:pStyle w:val="TableText"/>
              <w:keepLines/>
              <w:ind w:left="-86" w:right="-69"/>
              <w:jc w:val="center"/>
              <w:rPr>
                <w:szCs w:val="20"/>
                <w:highlight w:val="yellow"/>
                <w:vertAlign w:val="superscript"/>
              </w:rPr>
            </w:pPr>
            <w:r w:rsidRPr="00C16DA1">
              <w:rPr>
                <w:rFonts w:hint="eastAsia"/>
                <w:color w:val="000000"/>
                <w:w w:val="15"/>
                <w:szCs w:val="20"/>
                <w:shd w:val="solid" w:color="000000" w:fill="000000"/>
                <w:fitText w:val="8" w:id="-1501344249"/>
                <w14:textFill>
                  <w14:solidFill>
                    <w14:srgbClr w14:val="000000">
                      <w14:alpha w14:val="100000"/>
                    </w14:srgbClr>
                  </w14:solidFill>
                </w14:textFill>
              </w:rPr>
              <w:t xml:space="preserve">　</w:t>
            </w:r>
            <w:r w:rsidRPr="00C16DA1">
              <w:rPr>
                <w:color w:val="000000"/>
                <w:w w:val="15"/>
                <w:szCs w:val="20"/>
                <w:shd w:val="solid" w:color="000000" w:fill="000000"/>
                <w:fitText w:val="8" w:id="-1501344249"/>
                <w14:textFill>
                  <w14:solidFill>
                    <w14:srgbClr w14:val="000000">
                      <w14:alpha w14:val="100000"/>
                    </w14:srgbClr>
                  </w14:solidFill>
                </w14:textFill>
              </w:rPr>
              <w:t>|</w:t>
            </w:r>
            <w:r w:rsidRPr="00C16DA1">
              <w:rPr>
                <w:rFonts w:hint="eastAsia"/>
                <w:color w:val="000000"/>
                <w:spacing w:val="-58"/>
                <w:w w:val="15"/>
                <w:szCs w:val="20"/>
                <w:shd w:val="solid" w:color="000000" w:fill="000000"/>
                <w:fitText w:val="8" w:id="-1501344249"/>
                <w14:textFill>
                  <w14:solidFill>
                    <w14:srgbClr w14:val="000000">
                      <w14:alpha w14:val="100000"/>
                    </w14:srgbClr>
                  </w14:solidFill>
                </w14:textFill>
              </w:rPr>
              <w:t xml:space="preserve">　</w:t>
            </w:r>
            <w:r w:rsidR="00BA0452" w:rsidRPr="000606A1">
              <w:rPr>
                <w:szCs w:val="20"/>
                <w:vertAlign w:val="superscript"/>
              </w:rPr>
              <w:t>4</w:t>
            </w:r>
          </w:p>
        </w:tc>
      </w:tr>
      <w:tr w:rsidR="000022AB" w:rsidRPr="0084495F" w14:paraId="42669D60" w14:textId="77777777" w:rsidTr="002B0E29">
        <w:tc>
          <w:tcPr>
            <w:tcW w:w="9019" w:type="dxa"/>
            <w:gridSpan w:val="4"/>
          </w:tcPr>
          <w:p w14:paraId="76B2BF6D" w14:textId="2A569760" w:rsidR="000022AB" w:rsidRPr="0084495F" w:rsidRDefault="000022AB" w:rsidP="0047673B">
            <w:pPr>
              <w:pStyle w:val="TableText"/>
              <w:keepLines/>
              <w:ind w:right="-69"/>
              <w:rPr>
                <w:b/>
                <w:bCs w:val="0"/>
                <w:szCs w:val="20"/>
              </w:rPr>
            </w:pPr>
            <w:r w:rsidRPr="0084495F">
              <w:rPr>
                <w:b/>
                <w:bCs w:val="0"/>
                <w:szCs w:val="20"/>
              </w:rPr>
              <w:t>Transition 1: Probability of hospitalisation (base: case log-normal</w:t>
            </w:r>
            <w:r w:rsidR="009D5179" w:rsidRPr="0084495F">
              <w:rPr>
                <w:b/>
                <w:bCs w:val="0"/>
                <w:szCs w:val="20"/>
              </w:rPr>
              <w:t xml:space="preserve"> extrapolation function</w:t>
            </w:r>
            <w:r w:rsidRPr="0084495F">
              <w:rPr>
                <w:b/>
                <w:bCs w:val="0"/>
                <w:szCs w:val="20"/>
              </w:rPr>
              <w:t>)</w:t>
            </w:r>
          </w:p>
        </w:tc>
      </w:tr>
      <w:tr w:rsidR="000022AB" w:rsidRPr="0084495F" w14:paraId="72EEC666" w14:textId="77777777" w:rsidTr="002B0E29">
        <w:tc>
          <w:tcPr>
            <w:tcW w:w="4673" w:type="dxa"/>
          </w:tcPr>
          <w:p w14:paraId="75B0518D" w14:textId="5ED8493B" w:rsidR="000022AB" w:rsidRPr="0084495F" w:rsidRDefault="000022AB" w:rsidP="0047673B">
            <w:pPr>
              <w:pStyle w:val="TableText"/>
              <w:keepLines/>
              <w:ind w:right="-60"/>
              <w:rPr>
                <w:bCs w:val="0"/>
                <w:szCs w:val="20"/>
              </w:rPr>
            </w:pPr>
            <w:r w:rsidRPr="0084495F">
              <w:rPr>
                <w:szCs w:val="20"/>
              </w:rPr>
              <w:t>- Exponential extrapolation</w:t>
            </w:r>
            <w:r w:rsidR="009F4FAE" w:rsidRPr="0084495F">
              <w:rPr>
                <w:szCs w:val="20"/>
              </w:rPr>
              <w:t xml:space="preserve"> (most favourable)</w:t>
            </w:r>
          </w:p>
        </w:tc>
        <w:tc>
          <w:tcPr>
            <w:tcW w:w="1448" w:type="dxa"/>
            <w:vAlign w:val="center"/>
          </w:tcPr>
          <w:p w14:paraId="08357AB9" w14:textId="23C80A64" w:rsidR="000022AB" w:rsidRPr="00BA0452" w:rsidRDefault="009C6175" w:rsidP="0047673B">
            <w:pPr>
              <w:pStyle w:val="TableText"/>
              <w:keepLines/>
              <w:ind w:left="-86" w:right="-69"/>
              <w:jc w:val="center"/>
              <w:rPr>
                <w:szCs w:val="20"/>
                <w:highlight w:val="yellow"/>
                <w:vertAlign w:val="superscript"/>
              </w:rPr>
            </w:pPr>
            <w:r w:rsidRPr="009C6175">
              <w:rPr>
                <w:rFonts w:cstheme="minorHAnsi"/>
                <w:color w:val="000000"/>
                <w:szCs w:val="20"/>
                <w:shd w:val="solid" w:color="000000" w:fill="000000"/>
                <w14:textFill>
                  <w14:solidFill>
                    <w14:srgbClr w14:val="000000">
                      <w14:alpha w14:val="100000"/>
                    </w14:srgbClr>
                  </w14:solidFill>
                </w14:textFill>
              </w:rPr>
              <w:t>|</w:t>
            </w:r>
            <w:r w:rsidR="00BA0452" w:rsidRPr="000606A1">
              <w:rPr>
                <w:rFonts w:cstheme="minorHAnsi"/>
                <w:szCs w:val="20"/>
                <w:vertAlign w:val="superscript"/>
              </w:rPr>
              <w:t>1</w:t>
            </w:r>
          </w:p>
        </w:tc>
        <w:tc>
          <w:tcPr>
            <w:tcW w:w="1528" w:type="dxa"/>
            <w:vAlign w:val="center"/>
          </w:tcPr>
          <w:p w14:paraId="06B1BF49" w14:textId="77777777" w:rsidR="000022AB" w:rsidRPr="0084495F" w:rsidRDefault="000022AB" w:rsidP="0047673B">
            <w:pPr>
              <w:pStyle w:val="TableText"/>
              <w:keepLines/>
              <w:ind w:left="-86" w:right="-69"/>
              <w:jc w:val="center"/>
              <w:rPr>
                <w:szCs w:val="20"/>
              </w:rPr>
            </w:pPr>
            <w:r w:rsidRPr="0084495F">
              <w:rPr>
                <w:rFonts w:cstheme="minorHAnsi"/>
                <w:szCs w:val="20"/>
              </w:rPr>
              <w:t>0.2508</w:t>
            </w:r>
          </w:p>
        </w:tc>
        <w:tc>
          <w:tcPr>
            <w:tcW w:w="1370" w:type="dxa"/>
            <w:vAlign w:val="center"/>
          </w:tcPr>
          <w:p w14:paraId="6C041036" w14:textId="594E8A46" w:rsidR="000022AB" w:rsidRPr="00BA0452" w:rsidRDefault="009C6175" w:rsidP="0047673B">
            <w:pPr>
              <w:pStyle w:val="TableText"/>
              <w:keepLines/>
              <w:ind w:left="-86" w:right="-69"/>
              <w:jc w:val="center"/>
              <w:rPr>
                <w:szCs w:val="20"/>
                <w:highlight w:val="yellow"/>
                <w:vertAlign w:val="superscript"/>
              </w:rPr>
            </w:pPr>
            <w:r w:rsidRPr="00C16DA1">
              <w:rPr>
                <w:rFonts w:cstheme="minorHAnsi" w:hint="eastAsia"/>
                <w:color w:val="000000"/>
                <w:w w:val="15"/>
                <w:szCs w:val="20"/>
                <w:shd w:val="solid" w:color="000000" w:fill="000000"/>
                <w:fitText w:val="8" w:id="-1501344000"/>
                <w14:textFill>
                  <w14:solidFill>
                    <w14:srgbClr w14:val="000000">
                      <w14:alpha w14:val="100000"/>
                    </w14:srgbClr>
                  </w14:solidFill>
                </w14:textFill>
              </w:rPr>
              <w:t xml:space="preserve">　</w:t>
            </w:r>
            <w:r w:rsidRPr="00C16DA1">
              <w:rPr>
                <w:rFonts w:cstheme="minorHAnsi"/>
                <w:color w:val="000000"/>
                <w:w w:val="15"/>
                <w:szCs w:val="20"/>
                <w:shd w:val="solid" w:color="000000" w:fill="000000"/>
                <w:fitText w:val="8" w:id="-1501344000"/>
                <w14:textFill>
                  <w14:solidFill>
                    <w14:srgbClr w14:val="000000">
                      <w14:alpha w14:val="100000"/>
                    </w14:srgbClr>
                  </w14:solidFill>
                </w14:textFill>
              </w:rPr>
              <w:t>|</w:t>
            </w:r>
            <w:r w:rsidRPr="00C16DA1">
              <w:rPr>
                <w:rFonts w:cstheme="minorHAnsi" w:hint="eastAsia"/>
                <w:color w:val="000000"/>
                <w:spacing w:val="-58"/>
                <w:w w:val="15"/>
                <w:szCs w:val="20"/>
                <w:shd w:val="solid" w:color="000000" w:fill="000000"/>
                <w:fitText w:val="8" w:id="-1501344000"/>
                <w14:textFill>
                  <w14:solidFill>
                    <w14:srgbClr w14:val="000000">
                      <w14:alpha w14:val="100000"/>
                    </w14:srgbClr>
                  </w14:solidFill>
                </w14:textFill>
              </w:rPr>
              <w:t xml:space="preserve">　</w:t>
            </w:r>
            <w:r w:rsidR="00BA0452" w:rsidRPr="000606A1">
              <w:rPr>
                <w:rFonts w:cstheme="minorHAnsi"/>
                <w:szCs w:val="20"/>
                <w:vertAlign w:val="superscript"/>
              </w:rPr>
              <w:t>5</w:t>
            </w:r>
          </w:p>
        </w:tc>
      </w:tr>
      <w:tr w:rsidR="000022AB" w:rsidRPr="0084495F" w14:paraId="725EEEA9" w14:textId="77777777" w:rsidTr="002B0E29">
        <w:tc>
          <w:tcPr>
            <w:tcW w:w="4673" w:type="dxa"/>
            <w:tcBorders>
              <w:bottom w:val="single" w:sz="4" w:space="0" w:color="auto"/>
            </w:tcBorders>
          </w:tcPr>
          <w:p w14:paraId="6E9B94BC" w14:textId="4F7CC22E" w:rsidR="000022AB" w:rsidRPr="0084495F" w:rsidRDefault="000022AB" w:rsidP="0047673B">
            <w:pPr>
              <w:pStyle w:val="TableText"/>
              <w:keepLines/>
              <w:ind w:right="-60"/>
              <w:rPr>
                <w:b/>
                <w:bCs w:val="0"/>
                <w:iCs/>
                <w:szCs w:val="20"/>
              </w:rPr>
            </w:pPr>
            <w:r w:rsidRPr="0084495F">
              <w:rPr>
                <w:iCs/>
                <w:szCs w:val="20"/>
              </w:rPr>
              <w:t>- Generalised gamma extrapolation</w:t>
            </w:r>
            <w:r w:rsidR="009F4FAE" w:rsidRPr="0084495F">
              <w:rPr>
                <w:iCs/>
                <w:szCs w:val="20"/>
              </w:rPr>
              <w:t xml:space="preserve"> (least favourable)</w:t>
            </w:r>
          </w:p>
        </w:tc>
        <w:tc>
          <w:tcPr>
            <w:tcW w:w="1448" w:type="dxa"/>
            <w:tcBorders>
              <w:bottom w:val="single" w:sz="4" w:space="0" w:color="auto"/>
            </w:tcBorders>
          </w:tcPr>
          <w:p w14:paraId="61A5ED0D" w14:textId="6000A5F5" w:rsidR="000022AB" w:rsidRPr="00BA0452" w:rsidRDefault="009C6175" w:rsidP="0047673B">
            <w:pPr>
              <w:pStyle w:val="TableText"/>
              <w:keepLines/>
              <w:ind w:left="-86" w:right="-69"/>
              <w:jc w:val="center"/>
              <w:rPr>
                <w:iCs/>
                <w:szCs w:val="20"/>
                <w:highlight w:val="yellow"/>
                <w:vertAlign w:val="superscript"/>
              </w:rPr>
            </w:pPr>
            <w:r w:rsidRPr="009C6175">
              <w:rPr>
                <w:iCs/>
                <w:color w:val="000000"/>
                <w:szCs w:val="20"/>
                <w:shd w:val="solid" w:color="000000" w:fill="000000"/>
                <w14:textFill>
                  <w14:solidFill>
                    <w14:srgbClr w14:val="000000">
                      <w14:alpha w14:val="100000"/>
                    </w14:srgbClr>
                  </w14:solidFill>
                </w14:textFill>
              </w:rPr>
              <w:t>|</w:t>
            </w:r>
            <w:r w:rsidR="00BA0452" w:rsidRPr="000606A1">
              <w:rPr>
                <w:iCs/>
                <w:szCs w:val="20"/>
                <w:vertAlign w:val="superscript"/>
              </w:rPr>
              <w:t>1</w:t>
            </w:r>
          </w:p>
        </w:tc>
        <w:tc>
          <w:tcPr>
            <w:tcW w:w="1528" w:type="dxa"/>
            <w:tcBorders>
              <w:bottom w:val="single" w:sz="4" w:space="0" w:color="auto"/>
            </w:tcBorders>
          </w:tcPr>
          <w:p w14:paraId="3583F632" w14:textId="77777777" w:rsidR="000022AB" w:rsidRPr="0084495F" w:rsidRDefault="000022AB" w:rsidP="0047673B">
            <w:pPr>
              <w:pStyle w:val="TableText"/>
              <w:keepLines/>
              <w:ind w:left="-86" w:right="-69"/>
              <w:jc w:val="center"/>
              <w:rPr>
                <w:iCs/>
                <w:szCs w:val="20"/>
              </w:rPr>
            </w:pPr>
            <w:r w:rsidRPr="0084495F">
              <w:rPr>
                <w:iCs/>
                <w:szCs w:val="20"/>
              </w:rPr>
              <w:t>0.2145</w:t>
            </w:r>
          </w:p>
        </w:tc>
        <w:tc>
          <w:tcPr>
            <w:tcW w:w="1370" w:type="dxa"/>
          </w:tcPr>
          <w:p w14:paraId="2288BA47" w14:textId="1B85538F" w:rsidR="000022AB" w:rsidRPr="00BA0452" w:rsidRDefault="009C6175" w:rsidP="0047673B">
            <w:pPr>
              <w:pStyle w:val="TableText"/>
              <w:keepLines/>
              <w:ind w:left="-86" w:right="-69"/>
              <w:jc w:val="center"/>
              <w:rPr>
                <w:iCs/>
                <w:szCs w:val="20"/>
                <w:highlight w:val="yellow"/>
                <w:vertAlign w:val="superscript"/>
              </w:rPr>
            </w:pPr>
            <w:r w:rsidRPr="00C16DA1">
              <w:rPr>
                <w:rFonts w:hint="eastAsia"/>
                <w:iCs/>
                <w:color w:val="000000"/>
                <w:w w:val="15"/>
                <w:szCs w:val="20"/>
                <w:shd w:val="solid" w:color="000000" w:fill="000000"/>
                <w:fitText w:val="8" w:id="-1501343999"/>
                <w14:textFill>
                  <w14:solidFill>
                    <w14:srgbClr w14:val="000000">
                      <w14:alpha w14:val="100000"/>
                    </w14:srgbClr>
                  </w14:solidFill>
                </w14:textFill>
              </w:rPr>
              <w:t xml:space="preserve">　</w:t>
            </w:r>
            <w:r w:rsidRPr="00C16DA1">
              <w:rPr>
                <w:iCs/>
                <w:color w:val="000000"/>
                <w:w w:val="15"/>
                <w:szCs w:val="20"/>
                <w:shd w:val="solid" w:color="000000" w:fill="000000"/>
                <w:fitText w:val="8" w:id="-1501343999"/>
                <w14:textFill>
                  <w14:solidFill>
                    <w14:srgbClr w14:val="000000">
                      <w14:alpha w14:val="100000"/>
                    </w14:srgbClr>
                  </w14:solidFill>
                </w14:textFill>
              </w:rPr>
              <w:t>|</w:t>
            </w:r>
            <w:r w:rsidRPr="00C16DA1">
              <w:rPr>
                <w:rFonts w:hint="eastAsia"/>
                <w:iCs/>
                <w:color w:val="000000"/>
                <w:spacing w:val="-58"/>
                <w:w w:val="15"/>
                <w:szCs w:val="20"/>
                <w:shd w:val="solid" w:color="000000" w:fill="000000"/>
                <w:fitText w:val="8" w:id="-1501343999"/>
                <w14:textFill>
                  <w14:solidFill>
                    <w14:srgbClr w14:val="000000">
                      <w14:alpha w14:val="100000"/>
                    </w14:srgbClr>
                  </w14:solidFill>
                </w14:textFill>
              </w:rPr>
              <w:t xml:space="preserve">　</w:t>
            </w:r>
            <w:r w:rsidR="00BA0452" w:rsidRPr="000606A1">
              <w:rPr>
                <w:iCs/>
                <w:szCs w:val="20"/>
                <w:vertAlign w:val="superscript"/>
              </w:rPr>
              <w:t>4</w:t>
            </w:r>
          </w:p>
        </w:tc>
      </w:tr>
      <w:tr w:rsidR="000022AB" w:rsidRPr="0084495F" w14:paraId="1BDA6D54" w14:textId="77777777" w:rsidTr="002B0E29">
        <w:tc>
          <w:tcPr>
            <w:tcW w:w="9019" w:type="dxa"/>
            <w:gridSpan w:val="4"/>
          </w:tcPr>
          <w:p w14:paraId="3EF6C46D" w14:textId="5363F98A" w:rsidR="000022AB" w:rsidRPr="0084495F" w:rsidRDefault="000022AB" w:rsidP="0047673B">
            <w:pPr>
              <w:pStyle w:val="TableText"/>
              <w:keepLines/>
              <w:ind w:right="-69"/>
              <w:rPr>
                <w:b/>
                <w:bCs w:val="0"/>
                <w:szCs w:val="20"/>
              </w:rPr>
            </w:pPr>
            <w:r w:rsidRPr="0084495F">
              <w:rPr>
                <w:b/>
                <w:bCs w:val="0"/>
                <w:szCs w:val="20"/>
              </w:rPr>
              <w:t xml:space="preserve">Transition 2: </w:t>
            </w:r>
            <w:r w:rsidRPr="0084495F">
              <w:rPr>
                <w:rFonts w:cstheme="minorHAnsi"/>
                <w:b/>
                <w:bCs w:val="0"/>
                <w:szCs w:val="20"/>
              </w:rPr>
              <w:t>Pre-hospitalisation to death</w:t>
            </w:r>
            <w:r w:rsidRPr="0084495F">
              <w:rPr>
                <w:b/>
                <w:bCs w:val="0"/>
                <w:szCs w:val="20"/>
              </w:rPr>
              <w:t xml:space="preserve"> (base case: generalised gamma</w:t>
            </w:r>
            <w:r w:rsidR="009D5179" w:rsidRPr="0084495F">
              <w:rPr>
                <w:b/>
                <w:bCs w:val="0"/>
                <w:szCs w:val="20"/>
              </w:rPr>
              <w:t xml:space="preserve"> extrapolation function</w:t>
            </w:r>
            <w:r w:rsidRPr="0084495F">
              <w:rPr>
                <w:b/>
                <w:bCs w:val="0"/>
                <w:szCs w:val="20"/>
              </w:rPr>
              <w:t>)</w:t>
            </w:r>
          </w:p>
        </w:tc>
      </w:tr>
      <w:tr w:rsidR="000022AB" w:rsidRPr="0084495F" w14:paraId="626AC357" w14:textId="77777777" w:rsidTr="002B0E29">
        <w:tc>
          <w:tcPr>
            <w:tcW w:w="4673" w:type="dxa"/>
          </w:tcPr>
          <w:p w14:paraId="25A1004A" w14:textId="44378581" w:rsidR="000022AB" w:rsidRPr="0084495F" w:rsidRDefault="000022AB" w:rsidP="0047673B">
            <w:pPr>
              <w:pStyle w:val="TableText"/>
              <w:keepLines/>
              <w:ind w:right="-60"/>
              <w:rPr>
                <w:bCs w:val="0"/>
                <w:szCs w:val="20"/>
              </w:rPr>
            </w:pPr>
            <w:r w:rsidRPr="0084495F">
              <w:rPr>
                <w:szCs w:val="20"/>
              </w:rPr>
              <w:t>- Exponential extrapolation</w:t>
            </w:r>
            <w:r w:rsidR="009F4FAE" w:rsidRPr="0084495F">
              <w:rPr>
                <w:szCs w:val="20"/>
              </w:rPr>
              <w:t xml:space="preserve"> (most favourable)</w:t>
            </w:r>
          </w:p>
        </w:tc>
        <w:tc>
          <w:tcPr>
            <w:tcW w:w="1448" w:type="dxa"/>
            <w:vAlign w:val="center"/>
          </w:tcPr>
          <w:p w14:paraId="2C94E961" w14:textId="440F6DCB" w:rsidR="000022AB" w:rsidRPr="00BA0452" w:rsidRDefault="009C6175" w:rsidP="0047673B">
            <w:pPr>
              <w:pStyle w:val="TableText"/>
              <w:keepLines/>
              <w:ind w:left="-86" w:right="-69"/>
              <w:jc w:val="center"/>
              <w:rPr>
                <w:szCs w:val="20"/>
                <w:highlight w:val="yellow"/>
                <w:vertAlign w:val="superscript"/>
              </w:rPr>
            </w:pPr>
            <w:r w:rsidRPr="009C6175">
              <w:rPr>
                <w:rFonts w:cstheme="minorHAnsi"/>
                <w:color w:val="000000"/>
                <w:szCs w:val="20"/>
                <w:shd w:val="solid" w:color="000000" w:fill="000000"/>
                <w14:textFill>
                  <w14:solidFill>
                    <w14:srgbClr w14:val="000000">
                      <w14:alpha w14:val="100000"/>
                    </w14:srgbClr>
                  </w14:solidFill>
                </w14:textFill>
              </w:rPr>
              <w:t>|</w:t>
            </w:r>
            <w:r w:rsidR="00BA0452" w:rsidRPr="000606A1">
              <w:rPr>
                <w:rFonts w:cstheme="minorHAnsi"/>
                <w:szCs w:val="20"/>
                <w:vertAlign w:val="superscript"/>
              </w:rPr>
              <w:t>1</w:t>
            </w:r>
          </w:p>
        </w:tc>
        <w:tc>
          <w:tcPr>
            <w:tcW w:w="1528" w:type="dxa"/>
            <w:vAlign w:val="center"/>
          </w:tcPr>
          <w:p w14:paraId="67CA078D" w14:textId="77777777" w:rsidR="000022AB" w:rsidRPr="0084495F" w:rsidRDefault="000022AB" w:rsidP="0047673B">
            <w:pPr>
              <w:pStyle w:val="TableText"/>
              <w:keepLines/>
              <w:ind w:left="-86" w:right="-69"/>
              <w:jc w:val="center"/>
              <w:rPr>
                <w:szCs w:val="20"/>
              </w:rPr>
            </w:pPr>
            <w:r w:rsidRPr="0084495F">
              <w:rPr>
                <w:rFonts w:cstheme="minorHAnsi"/>
                <w:szCs w:val="20"/>
              </w:rPr>
              <w:t>0.2331</w:t>
            </w:r>
          </w:p>
        </w:tc>
        <w:tc>
          <w:tcPr>
            <w:tcW w:w="1370" w:type="dxa"/>
            <w:vAlign w:val="center"/>
          </w:tcPr>
          <w:p w14:paraId="4C9099D8" w14:textId="530012F2" w:rsidR="000022AB" w:rsidRPr="00BA0452" w:rsidRDefault="009C6175" w:rsidP="0047673B">
            <w:pPr>
              <w:pStyle w:val="TableText"/>
              <w:keepLines/>
              <w:ind w:left="-86" w:right="-69"/>
              <w:jc w:val="center"/>
              <w:rPr>
                <w:szCs w:val="20"/>
                <w:highlight w:val="yellow"/>
                <w:vertAlign w:val="superscript"/>
              </w:rPr>
            </w:pPr>
            <w:r w:rsidRPr="00C16DA1">
              <w:rPr>
                <w:rFonts w:cstheme="minorHAnsi" w:hint="eastAsia"/>
                <w:color w:val="000000"/>
                <w:w w:val="15"/>
                <w:szCs w:val="20"/>
                <w:shd w:val="solid" w:color="000000" w:fill="000000"/>
                <w:fitText w:val="8" w:id="-1501343998"/>
                <w14:textFill>
                  <w14:solidFill>
                    <w14:srgbClr w14:val="000000">
                      <w14:alpha w14:val="100000"/>
                    </w14:srgbClr>
                  </w14:solidFill>
                </w14:textFill>
              </w:rPr>
              <w:t xml:space="preserve">　</w:t>
            </w:r>
            <w:r w:rsidRPr="00C16DA1">
              <w:rPr>
                <w:rFonts w:cstheme="minorHAnsi"/>
                <w:color w:val="000000"/>
                <w:w w:val="15"/>
                <w:szCs w:val="20"/>
                <w:shd w:val="solid" w:color="000000" w:fill="000000"/>
                <w:fitText w:val="8" w:id="-1501343998"/>
                <w14:textFill>
                  <w14:solidFill>
                    <w14:srgbClr w14:val="000000">
                      <w14:alpha w14:val="100000"/>
                    </w14:srgbClr>
                  </w14:solidFill>
                </w14:textFill>
              </w:rPr>
              <w:t>|</w:t>
            </w:r>
            <w:r w:rsidRPr="00C16DA1">
              <w:rPr>
                <w:rFonts w:cstheme="minorHAnsi" w:hint="eastAsia"/>
                <w:color w:val="000000"/>
                <w:spacing w:val="-58"/>
                <w:w w:val="15"/>
                <w:szCs w:val="20"/>
                <w:shd w:val="solid" w:color="000000" w:fill="000000"/>
                <w:fitText w:val="8" w:id="-1501343998"/>
                <w14:textFill>
                  <w14:solidFill>
                    <w14:srgbClr w14:val="000000">
                      <w14:alpha w14:val="100000"/>
                    </w14:srgbClr>
                  </w14:solidFill>
                </w14:textFill>
              </w:rPr>
              <w:t xml:space="preserve">　</w:t>
            </w:r>
            <w:r w:rsidR="00BA0452" w:rsidRPr="000606A1">
              <w:rPr>
                <w:rFonts w:cstheme="minorHAnsi"/>
                <w:szCs w:val="20"/>
                <w:vertAlign w:val="superscript"/>
              </w:rPr>
              <w:t>2</w:t>
            </w:r>
          </w:p>
        </w:tc>
      </w:tr>
      <w:tr w:rsidR="000022AB" w:rsidRPr="0084495F" w14:paraId="4BA95219" w14:textId="77777777" w:rsidTr="002B0E29">
        <w:tc>
          <w:tcPr>
            <w:tcW w:w="4673" w:type="dxa"/>
          </w:tcPr>
          <w:p w14:paraId="55E0032A" w14:textId="190DB386" w:rsidR="000022AB" w:rsidRPr="0084495F" w:rsidRDefault="000022AB" w:rsidP="0047673B">
            <w:pPr>
              <w:pStyle w:val="TableText"/>
              <w:keepLines/>
              <w:ind w:right="-60"/>
              <w:rPr>
                <w:bCs w:val="0"/>
                <w:szCs w:val="20"/>
              </w:rPr>
            </w:pPr>
            <w:r w:rsidRPr="0084495F">
              <w:rPr>
                <w:szCs w:val="20"/>
              </w:rPr>
              <w:t>- L</w:t>
            </w:r>
            <w:r w:rsidRPr="0084495F">
              <w:rPr>
                <w:rFonts w:cstheme="minorHAnsi"/>
                <w:szCs w:val="20"/>
              </w:rPr>
              <w:t>og-normal</w:t>
            </w:r>
            <w:r w:rsidRPr="0084495F">
              <w:rPr>
                <w:szCs w:val="20"/>
              </w:rPr>
              <w:t xml:space="preserve"> extrapolation</w:t>
            </w:r>
            <w:r w:rsidR="009F4FAE" w:rsidRPr="0084495F">
              <w:rPr>
                <w:szCs w:val="20"/>
              </w:rPr>
              <w:t xml:space="preserve"> (least favourable)</w:t>
            </w:r>
          </w:p>
        </w:tc>
        <w:tc>
          <w:tcPr>
            <w:tcW w:w="1448" w:type="dxa"/>
            <w:vAlign w:val="center"/>
          </w:tcPr>
          <w:p w14:paraId="0DE636EE" w14:textId="7E71155D" w:rsidR="000022AB" w:rsidRPr="00BA0452" w:rsidRDefault="009C6175" w:rsidP="0047673B">
            <w:pPr>
              <w:pStyle w:val="TableText"/>
              <w:keepLines/>
              <w:ind w:left="-86" w:right="-69"/>
              <w:jc w:val="center"/>
              <w:rPr>
                <w:szCs w:val="20"/>
                <w:highlight w:val="yellow"/>
                <w:vertAlign w:val="superscript"/>
              </w:rPr>
            </w:pPr>
            <w:r w:rsidRPr="009C6175">
              <w:rPr>
                <w:rFonts w:cstheme="minorHAnsi"/>
                <w:color w:val="000000"/>
                <w:szCs w:val="20"/>
                <w:shd w:val="solid" w:color="000000" w:fill="000000"/>
                <w14:textFill>
                  <w14:solidFill>
                    <w14:srgbClr w14:val="000000">
                      <w14:alpha w14:val="100000"/>
                    </w14:srgbClr>
                  </w14:solidFill>
                </w14:textFill>
              </w:rPr>
              <w:t>|</w:t>
            </w:r>
            <w:r w:rsidR="00BA0452" w:rsidRPr="000606A1">
              <w:rPr>
                <w:rFonts w:cstheme="minorHAnsi"/>
                <w:szCs w:val="20"/>
                <w:vertAlign w:val="superscript"/>
              </w:rPr>
              <w:t>1</w:t>
            </w:r>
          </w:p>
        </w:tc>
        <w:tc>
          <w:tcPr>
            <w:tcW w:w="1528" w:type="dxa"/>
            <w:vAlign w:val="center"/>
          </w:tcPr>
          <w:p w14:paraId="53D605AD" w14:textId="77777777" w:rsidR="000022AB" w:rsidRPr="0084495F" w:rsidRDefault="000022AB" w:rsidP="0047673B">
            <w:pPr>
              <w:pStyle w:val="TableText"/>
              <w:keepLines/>
              <w:ind w:left="-86" w:right="-69"/>
              <w:jc w:val="center"/>
              <w:rPr>
                <w:szCs w:val="20"/>
              </w:rPr>
            </w:pPr>
            <w:r w:rsidRPr="0084495F">
              <w:rPr>
                <w:rFonts w:cstheme="minorHAnsi"/>
                <w:szCs w:val="20"/>
              </w:rPr>
              <w:t>0.2186</w:t>
            </w:r>
          </w:p>
        </w:tc>
        <w:tc>
          <w:tcPr>
            <w:tcW w:w="1370" w:type="dxa"/>
            <w:vAlign w:val="center"/>
          </w:tcPr>
          <w:p w14:paraId="54A4A70C" w14:textId="3B95B551" w:rsidR="000022AB" w:rsidRPr="00BA0452" w:rsidRDefault="009C6175" w:rsidP="0047673B">
            <w:pPr>
              <w:pStyle w:val="TableText"/>
              <w:keepLines/>
              <w:ind w:left="-86" w:right="-69"/>
              <w:jc w:val="center"/>
              <w:rPr>
                <w:szCs w:val="20"/>
                <w:highlight w:val="yellow"/>
                <w:vertAlign w:val="superscript"/>
              </w:rPr>
            </w:pPr>
            <w:r w:rsidRPr="00C16DA1">
              <w:rPr>
                <w:rFonts w:cstheme="minorHAnsi" w:hint="eastAsia"/>
                <w:color w:val="000000"/>
                <w:w w:val="15"/>
                <w:szCs w:val="20"/>
                <w:shd w:val="solid" w:color="000000" w:fill="000000"/>
                <w:fitText w:val="8" w:id="-1501343997"/>
                <w14:textFill>
                  <w14:solidFill>
                    <w14:srgbClr w14:val="000000">
                      <w14:alpha w14:val="100000"/>
                    </w14:srgbClr>
                  </w14:solidFill>
                </w14:textFill>
              </w:rPr>
              <w:t xml:space="preserve">　</w:t>
            </w:r>
            <w:r w:rsidRPr="00C16DA1">
              <w:rPr>
                <w:rFonts w:cstheme="minorHAnsi"/>
                <w:color w:val="000000"/>
                <w:w w:val="15"/>
                <w:szCs w:val="20"/>
                <w:shd w:val="solid" w:color="000000" w:fill="000000"/>
                <w:fitText w:val="8" w:id="-1501343997"/>
                <w14:textFill>
                  <w14:solidFill>
                    <w14:srgbClr w14:val="000000">
                      <w14:alpha w14:val="100000"/>
                    </w14:srgbClr>
                  </w14:solidFill>
                </w14:textFill>
              </w:rPr>
              <w:t>|</w:t>
            </w:r>
            <w:r w:rsidRPr="00C16DA1">
              <w:rPr>
                <w:rFonts w:cstheme="minorHAnsi" w:hint="eastAsia"/>
                <w:color w:val="000000"/>
                <w:spacing w:val="-58"/>
                <w:w w:val="15"/>
                <w:szCs w:val="20"/>
                <w:shd w:val="solid" w:color="000000" w:fill="000000"/>
                <w:fitText w:val="8" w:id="-1501343997"/>
                <w14:textFill>
                  <w14:solidFill>
                    <w14:srgbClr w14:val="000000">
                      <w14:alpha w14:val="100000"/>
                    </w14:srgbClr>
                  </w14:solidFill>
                </w14:textFill>
              </w:rPr>
              <w:t xml:space="preserve">　</w:t>
            </w:r>
            <w:r w:rsidR="00BA0452" w:rsidRPr="000606A1">
              <w:rPr>
                <w:rFonts w:cstheme="minorHAnsi"/>
                <w:szCs w:val="20"/>
                <w:vertAlign w:val="superscript"/>
              </w:rPr>
              <w:t>4</w:t>
            </w:r>
          </w:p>
        </w:tc>
      </w:tr>
      <w:tr w:rsidR="000022AB" w:rsidRPr="0084495F" w14:paraId="7E11EB9A" w14:textId="77777777" w:rsidTr="002B0E29">
        <w:tc>
          <w:tcPr>
            <w:tcW w:w="9019" w:type="dxa"/>
            <w:gridSpan w:val="4"/>
          </w:tcPr>
          <w:p w14:paraId="39BF61A6" w14:textId="77777777" w:rsidR="000022AB" w:rsidRPr="0084495F" w:rsidRDefault="000022AB" w:rsidP="0047673B">
            <w:pPr>
              <w:pStyle w:val="TableText"/>
              <w:keepLines/>
              <w:ind w:right="-69"/>
              <w:rPr>
                <w:b/>
                <w:bCs w:val="0"/>
                <w:szCs w:val="20"/>
              </w:rPr>
            </w:pPr>
            <w:r w:rsidRPr="0084495F">
              <w:rPr>
                <w:b/>
                <w:bCs w:val="0"/>
                <w:szCs w:val="20"/>
              </w:rPr>
              <w:t xml:space="preserve">Transition 5: </w:t>
            </w:r>
            <w:r w:rsidRPr="0084495F">
              <w:rPr>
                <w:rFonts w:cstheme="minorHAnsi"/>
                <w:b/>
                <w:bCs w:val="0"/>
                <w:szCs w:val="20"/>
              </w:rPr>
              <w:t>Post-hospitalisation to death</w:t>
            </w:r>
            <w:r w:rsidRPr="0084495F">
              <w:rPr>
                <w:b/>
                <w:bCs w:val="0"/>
                <w:szCs w:val="20"/>
              </w:rPr>
              <w:t xml:space="preserve"> (base case: log-normal)</w:t>
            </w:r>
          </w:p>
        </w:tc>
      </w:tr>
      <w:tr w:rsidR="000022AB" w:rsidRPr="0084495F" w14:paraId="181EAEAB" w14:textId="77777777" w:rsidTr="002B0E29">
        <w:tc>
          <w:tcPr>
            <w:tcW w:w="4673" w:type="dxa"/>
          </w:tcPr>
          <w:p w14:paraId="10886C08" w14:textId="00FE3E3F" w:rsidR="000022AB" w:rsidRPr="0084495F" w:rsidRDefault="000022AB" w:rsidP="0047673B">
            <w:pPr>
              <w:pStyle w:val="TableText"/>
              <w:keepLines/>
              <w:ind w:right="-60"/>
              <w:rPr>
                <w:iCs/>
                <w:szCs w:val="20"/>
              </w:rPr>
            </w:pPr>
            <w:r w:rsidRPr="0084495F">
              <w:rPr>
                <w:szCs w:val="20"/>
              </w:rPr>
              <w:t xml:space="preserve">- </w:t>
            </w:r>
            <w:proofErr w:type="spellStart"/>
            <w:r w:rsidRPr="0084495F">
              <w:rPr>
                <w:rFonts w:cstheme="minorHAnsi"/>
                <w:szCs w:val="20"/>
              </w:rPr>
              <w:t>Gompertz</w:t>
            </w:r>
            <w:proofErr w:type="spellEnd"/>
            <w:r w:rsidRPr="0084495F">
              <w:rPr>
                <w:szCs w:val="20"/>
              </w:rPr>
              <w:t xml:space="preserve"> extrapolation</w:t>
            </w:r>
            <w:r w:rsidR="009F4FAE" w:rsidRPr="0084495F">
              <w:rPr>
                <w:szCs w:val="20"/>
              </w:rPr>
              <w:t xml:space="preserve"> (most favourable)</w:t>
            </w:r>
          </w:p>
        </w:tc>
        <w:tc>
          <w:tcPr>
            <w:tcW w:w="1448" w:type="dxa"/>
            <w:vAlign w:val="center"/>
          </w:tcPr>
          <w:p w14:paraId="5CA536C3" w14:textId="2E32E849" w:rsidR="000022AB" w:rsidRPr="00BA0452" w:rsidRDefault="009C6175" w:rsidP="0047673B">
            <w:pPr>
              <w:pStyle w:val="TableText"/>
              <w:keepLines/>
              <w:ind w:left="-86" w:right="-69"/>
              <w:jc w:val="center"/>
              <w:rPr>
                <w:iCs/>
                <w:szCs w:val="20"/>
                <w:highlight w:val="yellow"/>
                <w:vertAlign w:val="superscript"/>
              </w:rPr>
            </w:pPr>
            <w:r w:rsidRPr="009C6175">
              <w:rPr>
                <w:rFonts w:cstheme="minorHAnsi"/>
                <w:color w:val="000000"/>
                <w:szCs w:val="20"/>
                <w:shd w:val="solid" w:color="000000" w:fill="000000"/>
                <w14:textFill>
                  <w14:solidFill>
                    <w14:srgbClr w14:val="000000">
                      <w14:alpha w14:val="100000"/>
                    </w14:srgbClr>
                  </w14:solidFill>
                </w14:textFill>
              </w:rPr>
              <w:t>|</w:t>
            </w:r>
            <w:r w:rsidR="00BA0452" w:rsidRPr="000606A1">
              <w:rPr>
                <w:rFonts w:cstheme="minorHAnsi"/>
                <w:szCs w:val="20"/>
                <w:vertAlign w:val="superscript"/>
              </w:rPr>
              <w:t>1</w:t>
            </w:r>
          </w:p>
        </w:tc>
        <w:tc>
          <w:tcPr>
            <w:tcW w:w="1528" w:type="dxa"/>
            <w:vAlign w:val="center"/>
          </w:tcPr>
          <w:p w14:paraId="4932B819" w14:textId="77777777" w:rsidR="000022AB" w:rsidRPr="0084495F" w:rsidRDefault="000022AB" w:rsidP="0047673B">
            <w:pPr>
              <w:pStyle w:val="TableText"/>
              <w:keepLines/>
              <w:ind w:left="-86" w:right="-69"/>
              <w:jc w:val="center"/>
              <w:rPr>
                <w:iCs/>
                <w:szCs w:val="20"/>
              </w:rPr>
            </w:pPr>
            <w:r w:rsidRPr="0084495F">
              <w:rPr>
                <w:rFonts w:cstheme="minorHAnsi"/>
                <w:szCs w:val="20"/>
              </w:rPr>
              <w:t>0.2942</w:t>
            </w:r>
          </w:p>
        </w:tc>
        <w:tc>
          <w:tcPr>
            <w:tcW w:w="1370" w:type="dxa"/>
            <w:vAlign w:val="center"/>
          </w:tcPr>
          <w:p w14:paraId="39CD6815" w14:textId="557F3E37" w:rsidR="000022AB" w:rsidRPr="00BA0452" w:rsidRDefault="009C6175" w:rsidP="0047673B">
            <w:pPr>
              <w:pStyle w:val="TableText"/>
              <w:keepLines/>
              <w:ind w:left="-86" w:right="-69"/>
              <w:jc w:val="center"/>
              <w:rPr>
                <w:iCs/>
                <w:szCs w:val="20"/>
                <w:highlight w:val="yellow"/>
                <w:vertAlign w:val="superscript"/>
              </w:rPr>
            </w:pPr>
            <w:r w:rsidRPr="00C16DA1">
              <w:rPr>
                <w:rFonts w:cstheme="minorHAnsi" w:hint="eastAsia"/>
                <w:color w:val="000000"/>
                <w:w w:val="15"/>
                <w:szCs w:val="20"/>
                <w:shd w:val="solid" w:color="000000" w:fill="000000"/>
                <w:fitText w:val="8" w:id="-1501343996"/>
                <w14:textFill>
                  <w14:solidFill>
                    <w14:srgbClr w14:val="000000">
                      <w14:alpha w14:val="100000"/>
                    </w14:srgbClr>
                  </w14:solidFill>
                </w14:textFill>
              </w:rPr>
              <w:t xml:space="preserve">　</w:t>
            </w:r>
            <w:r w:rsidRPr="00C16DA1">
              <w:rPr>
                <w:rFonts w:cstheme="minorHAnsi"/>
                <w:color w:val="000000"/>
                <w:w w:val="15"/>
                <w:szCs w:val="20"/>
                <w:shd w:val="solid" w:color="000000" w:fill="000000"/>
                <w:fitText w:val="8" w:id="-1501343996"/>
                <w14:textFill>
                  <w14:solidFill>
                    <w14:srgbClr w14:val="000000">
                      <w14:alpha w14:val="100000"/>
                    </w14:srgbClr>
                  </w14:solidFill>
                </w14:textFill>
              </w:rPr>
              <w:t>|</w:t>
            </w:r>
            <w:r w:rsidRPr="00C16DA1">
              <w:rPr>
                <w:rFonts w:cstheme="minorHAnsi" w:hint="eastAsia"/>
                <w:color w:val="000000"/>
                <w:spacing w:val="-58"/>
                <w:w w:val="15"/>
                <w:szCs w:val="20"/>
                <w:shd w:val="solid" w:color="000000" w:fill="000000"/>
                <w:fitText w:val="8" w:id="-1501343996"/>
                <w14:textFill>
                  <w14:solidFill>
                    <w14:srgbClr w14:val="000000">
                      <w14:alpha w14:val="100000"/>
                    </w14:srgbClr>
                  </w14:solidFill>
                </w14:textFill>
              </w:rPr>
              <w:t xml:space="preserve">　</w:t>
            </w:r>
            <w:r w:rsidR="00BA0452" w:rsidRPr="000606A1">
              <w:rPr>
                <w:rFonts w:cstheme="minorHAnsi"/>
                <w:szCs w:val="20"/>
                <w:vertAlign w:val="superscript"/>
              </w:rPr>
              <w:t>5</w:t>
            </w:r>
          </w:p>
        </w:tc>
      </w:tr>
      <w:tr w:rsidR="000022AB" w:rsidRPr="0084495F" w14:paraId="10C0AD2F" w14:textId="77777777" w:rsidTr="002B0E29">
        <w:tc>
          <w:tcPr>
            <w:tcW w:w="4673" w:type="dxa"/>
          </w:tcPr>
          <w:p w14:paraId="03630349" w14:textId="06806378" w:rsidR="000022AB" w:rsidRPr="0084495F" w:rsidRDefault="000022AB" w:rsidP="0047673B">
            <w:pPr>
              <w:pStyle w:val="TableText"/>
              <w:keepLines/>
              <w:ind w:right="-60"/>
              <w:rPr>
                <w:b/>
                <w:bCs w:val="0"/>
                <w:szCs w:val="20"/>
              </w:rPr>
            </w:pPr>
            <w:r w:rsidRPr="0084495F">
              <w:rPr>
                <w:iCs/>
                <w:szCs w:val="20"/>
              </w:rPr>
              <w:t>- Generalised gamma extrapolation</w:t>
            </w:r>
            <w:r w:rsidR="009F4FAE" w:rsidRPr="0084495F">
              <w:rPr>
                <w:iCs/>
                <w:szCs w:val="20"/>
              </w:rPr>
              <w:t xml:space="preserve"> (least favourable)</w:t>
            </w:r>
          </w:p>
        </w:tc>
        <w:tc>
          <w:tcPr>
            <w:tcW w:w="1448" w:type="dxa"/>
          </w:tcPr>
          <w:p w14:paraId="0881B022" w14:textId="4051484A" w:rsidR="000022AB" w:rsidRPr="00E45780" w:rsidRDefault="009C6175" w:rsidP="0047673B">
            <w:pPr>
              <w:pStyle w:val="TableText"/>
              <w:keepLines/>
              <w:ind w:left="-86" w:right="-69"/>
              <w:jc w:val="center"/>
              <w:rPr>
                <w:iCs/>
                <w:szCs w:val="20"/>
                <w:highlight w:val="yellow"/>
              </w:rPr>
            </w:pPr>
            <w:r w:rsidRPr="009C6175">
              <w:rPr>
                <w:iCs/>
                <w:color w:val="000000"/>
                <w:szCs w:val="20"/>
                <w:shd w:val="solid" w:color="000000" w:fill="000000"/>
                <w14:textFill>
                  <w14:solidFill>
                    <w14:srgbClr w14:val="000000">
                      <w14:alpha w14:val="100000"/>
                    </w14:srgbClr>
                  </w14:solidFill>
                </w14:textFill>
              </w:rPr>
              <w:t>|</w:t>
            </w:r>
            <w:r w:rsidR="00BA0452" w:rsidRPr="000606A1">
              <w:rPr>
                <w:iCs/>
                <w:szCs w:val="20"/>
                <w:vertAlign w:val="superscript"/>
              </w:rPr>
              <w:t>1</w:t>
            </w:r>
          </w:p>
        </w:tc>
        <w:tc>
          <w:tcPr>
            <w:tcW w:w="1528" w:type="dxa"/>
          </w:tcPr>
          <w:p w14:paraId="724ECD0F" w14:textId="77777777" w:rsidR="000022AB" w:rsidRPr="0084495F" w:rsidRDefault="000022AB" w:rsidP="0047673B">
            <w:pPr>
              <w:pStyle w:val="TableText"/>
              <w:keepLines/>
              <w:ind w:left="-86" w:right="-69"/>
              <w:jc w:val="center"/>
              <w:rPr>
                <w:iCs/>
                <w:szCs w:val="20"/>
              </w:rPr>
            </w:pPr>
            <w:r w:rsidRPr="0084495F">
              <w:rPr>
                <w:iCs/>
                <w:szCs w:val="20"/>
              </w:rPr>
              <w:t>0.2135</w:t>
            </w:r>
          </w:p>
        </w:tc>
        <w:tc>
          <w:tcPr>
            <w:tcW w:w="1370" w:type="dxa"/>
          </w:tcPr>
          <w:p w14:paraId="541DA7F1" w14:textId="1593D9DF" w:rsidR="000022AB" w:rsidRPr="00BA0452" w:rsidRDefault="009C6175" w:rsidP="0047673B">
            <w:pPr>
              <w:pStyle w:val="TableText"/>
              <w:keepLines/>
              <w:ind w:left="-86" w:right="-69"/>
              <w:jc w:val="center"/>
              <w:rPr>
                <w:iCs/>
                <w:szCs w:val="20"/>
                <w:highlight w:val="yellow"/>
                <w:vertAlign w:val="superscript"/>
              </w:rPr>
            </w:pPr>
            <w:r w:rsidRPr="00C16DA1">
              <w:rPr>
                <w:rFonts w:hint="eastAsia"/>
                <w:iCs/>
                <w:color w:val="000000"/>
                <w:w w:val="15"/>
                <w:szCs w:val="20"/>
                <w:shd w:val="solid" w:color="000000" w:fill="000000"/>
                <w:fitText w:val="8" w:id="-1501343995"/>
                <w14:textFill>
                  <w14:solidFill>
                    <w14:srgbClr w14:val="000000">
                      <w14:alpha w14:val="100000"/>
                    </w14:srgbClr>
                  </w14:solidFill>
                </w14:textFill>
              </w:rPr>
              <w:t xml:space="preserve">　</w:t>
            </w:r>
            <w:r w:rsidRPr="00C16DA1">
              <w:rPr>
                <w:iCs/>
                <w:color w:val="000000"/>
                <w:w w:val="15"/>
                <w:szCs w:val="20"/>
                <w:shd w:val="solid" w:color="000000" w:fill="000000"/>
                <w:fitText w:val="8" w:id="-1501343995"/>
                <w14:textFill>
                  <w14:solidFill>
                    <w14:srgbClr w14:val="000000">
                      <w14:alpha w14:val="100000"/>
                    </w14:srgbClr>
                  </w14:solidFill>
                </w14:textFill>
              </w:rPr>
              <w:t>|</w:t>
            </w:r>
            <w:r w:rsidRPr="00C16DA1">
              <w:rPr>
                <w:rFonts w:hint="eastAsia"/>
                <w:iCs/>
                <w:color w:val="000000"/>
                <w:spacing w:val="-58"/>
                <w:w w:val="15"/>
                <w:szCs w:val="20"/>
                <w:shd w:val="solid" w:color="000000" w:fill="000000"/>
                <w:fitText w:val="8" w:id="-1501343995"/>
                <w14:textFill>
                  <w14:solidFill>
                    <w14:srgbClr w14:val="000000">
                      <w14:alpha w14:val="100000"/>
                    </w14:srgbClr>
                  </w14:solidFill>
                </w14:textFill>
              </w:rPr>
              <w:t xml:space="preserve">　</w:t>
            </w:r>
            <w:r w:rsidR="00BA0452" w:rsidRPr="000606A1">
              <w:rPr>
                <w:iCs/>
                <w:szCs w:val="20"/>
                <w:vertAlign w:val="superscript"/>
              </w:rPr>
              <w:t>4</w:t>
            </w:r>
          </w:p>
        </w:tc>
      </w:tr>
      <w:tr w:rsidR="000022AB" w:rsidRPr="0084495F" w14:paraId="592F71A5" w14:textId="77777777" w:rsidTr="002B0E29">
        <w:tc>
          <w:tcPr>
            <w:tcW w:w="9019" w:type="dxa"/>
            <w:gridSpan w:val="4"/>
          </w:tcPr>
          <w:p w14:paraId="4AC09560" w14:textId="3D6908E3" w:rsidR="000022AB" w:rsidRPr="0084495F" w:rsidRDefault="000022AB" w:rsidP="0047673B">
            <w:pPr>
              <w:pStyle w:val="TableText"/>
              <w:keepLines/>
              <w:ind w:right="-69"/>
              <w:rPr>
                <w:b/>
                <w:bCs w:val="0"/>
                <w:szCs w:val="20"/>
              </w:rPr>
            </w:pPr>
            <w:r w:rsidRPr="0084495F">
              <w:rPr>
                <w:b/>
                <w:bCs w:val="0"/>
                <w:szCs w:val="20"/>
              </w:rPr>
              <w:t>Risk of hospitalisation or death (base case: no increased risk post hospitalisation</w:t>
            </w:r>
            <w:r w:rsidR="009D5179" w:rsidRPr="0084495F">
              <w:rPr>
                <w:b/>
                <w:bCs w:val="0"/>
                <w:szCs w:val="20"/>
              </w:rPr>
              <w:t xml:space="preserve"> extrapolation function</w:t>
            </w:r>
            <w:r w:rsidRPr="0084495F">
              <w:rPr>
                <w:b/>
                <w:bCs w:val="0"/>
                <w:szCs w:val="20"/>
              </w:rPr>
              <w:t>)</w:t>
            </w:r>
          </w:p>
        </w:tc>
      </w:tr>
      <w:tr w:rsidR="000022AB" w:rsidRPr="00E45780" w14:paraId="1AABA08A" w14:textId="77777777" w:rsidTr="002B0E29">
        <w:tc>
          <w:tcPr>
            <w:tcW w:w="4673" w:type="dxa"/>
            <w:tcBorders>
              <w:bottom w:val="single" w:sz="4" w:space="0" w:color="auto"/>
            </w:tcBorders>
          </w:tcPr>
          <w:p w14:paraId="0C27A4C1" w14:textId="77777777" w:rsidR="000022AB" w:rsidRPr="0084495F" w:rsidRDefault="000022AB" w:rsidP="0047673B">
            <w:pPr>
              <w:pStyle w:val="TableText"/>
              <w:keepLines/>
              <w:ind w:right="-60"/>
              <w:rPr>
                <w:b/>
                <w:bCs w:val="0"/>
                <w:szCs w:val="20"/>
              </w:rPr>
            </w:pPr>
            <w:r w:rsidRPr="0084495F">
              <w:rPr>
                <w:szCs w:val="20"/>
              </w:rPr>
              <w:t>- 46% increased risk (</w:t>
            </w:r>
            <w:proofErr w:type="spellStart"/>
            <w:r w:rsidRPr="0084495F">
              <w:rPr>
                <w:szCs w:val="20"/>
              </w:rPr>
              <w:t>Voors</w:t>
            </w:r>
            <w:proofErr w:type="spellEnd"/>
            <w:r w:rsidRPr="0084495F">
              <w:rPr>
                <w:szCs w:val="20"/>
              </w:rPr>
              <w:t xml:space="preserve"> et al., 2017)</w:t>
            </w:r>
          </w:p>
        </w:tc>
        <w:tc>
          <w:tcPr>
            <w:tcW w:w="1448" w:type="dxa"/>
            <w:tcBorders>
              <w:bottom w:val="single" w:sz="4" w:space="0" w:color="auto"/>
            </w:tcBorders>
          </w:tcPr>
          <w:p w14:paraId="67E84379" w14:textId="24229FFD" w:rsidR="000022AB" w:rsidRPr="00BA0452" w:rsidRDefault="009C6175" w:rsidP="0047673B">
            <w:pPr>
              <w:pStyle w:val="TableText"/>
              <w:keepLines/>
              <w:ind w:left="-86" w:right="-69"/>
              <w:jc w:val="center"/>
              <w:rPr>
                <w:rFonts w:cstheme="minorHAnsi"/>
                <w:szCs w:val="20"/>
                <w:vertAlign w:val="superscript"/>
              </w:rPr>
            </w:pPr>
            <w:r w:rsidRPr="009C6175">
              <w:rPr>
                <w:rFonts w:cstheme="minorHAnsi"/>
                <w:color w:val="000000"/>
                <w:szCs w:val="20"/>
                <w:shd w:val="solid" w:color="000000" w:fill="000000"/>
                <w14:textFill>
                  <w14:solidFill>
                    <w14:srgbClr w14:val="000000">
                      <w14:alpha w14:val="100000"/>
                    </w14:srgbClr>
                  </w14:solidFill>
                </w14:textFill>
              </w:rPr>
              <w:t>|</w:t>
            </w:r>
            <w:r w:rsidR="00BA0452">
              <w:rPr>
                <w:rFonts w:cstheme="minorHAnsi"/>
                <w:szCs w:val="20"/>
                <w:vertAlign w:val="superscript"/>
              </w:rPr>
              <w:t>1</w:t>
            </w:r>
          </w:p>
        </w:tc>
        <w:tc>
          <w:tcPr>
            <w:tcW w:w="1528" w:type="dxa"/>
            <w:tcBorders>
              <w:bottom w:val="single" w:sz="4" w:space="0" w:color="auto"/>
            </w:tcBorders>
          </w:tcPr>
          <w:p w14:paraId="54715E1C" w14:textId="77777777" w:rsidR="000022AB" w:rsidRPr="0084495F" w:rsidRDefault="000022AB" w:rsidP="0047673B">
            <w:pPr>
              <w:pStyle w:val="TableText"/>
              <w:keepLines/>
              <w:ind w:left="-86" w:right="-69"/>
              <w:jc w:val="center"/>
              <w:rPr>
                <w:rFonts w:cstheme="minorHAnsi"/>
                <w:szCs w:val="20"/>
              </w:rPr>
            </w:pPr>
            <w:r w:rsidRPr="0084495F">
              <w:rPr>
                <w:rFonts w:cstheme="minorHAnsi"/>
                <w:szCs w:val="20"/>
              </w:rPr>
              <w:t>0.2364</w:t>
            </w:r>
          </w:p>
        </w:tc>
        <w:tc>
          <w:tcPr>
            <w:tcW w:w="1370" w:type="dxa"/>
          </w:tcPr>
          <w:p w14:paraId="1C343A41" w14:textId="6BA65508" w:rsidR="000022AB" w:rsidRPr="00BA0452" w:rsidRDefault="009C6175" w:rsidP="0047673B">
            <w:pPr>
              <w:pStyle w:val="TableText"/>
              <w:keepLines/>
              <w:ind w:left="-86" w:right="-69"/>
              <w:jc w:val="center"/>
              <w:rPr>
                <w:rFonts w:cstheme="minorHAnsi"/>
                <w:szCs w:val="20"/>
                <w:highlight w:val="yellow"/>
                <w:vertAlign w:val="superscript"/>
              </w:rPr>
            </w:pPr>
            <w:r w:rsidRPr="00C16DA1">
              <w:rPr>
                <w:rFonts w:cstheme="minorHAnsi" w:hint="eastAsia"/>
                <w:color w:val="000000"/>
                <w:w w:val="15"/>
                <w:szCs w:val="20"/>
                <w:shd w:val="solid" w:color="000000" w:fill="000000"/>
                <w:fitText w:val="8" w:id="-1501343994"/>
                <w14:textFill>
                  <w14:solidFill>
                    <w14:srgbClr w14:val="000000">
                      <w14:alpha w14:val="100000"/>
                    </w14:srgbClr>
                  </w14:solidFill>
                </w14:textFill>
              </w:rPr>
              <w:t xml:space="preserve">　</w:t>
            </w:r>
            <w:r w:rsidRPr="00C16DA1">
              <w:rPr>
                <w:rFonts w:cstheme="minorHAnsi"/>
                <w:color w:val="000000"/>
                <w:w w:val="15"/>
                <w:szCs w:val="20"/>
                <w:shd w:val="solid" w:color="000000" w:fill="000000"/>
                <w:fitText w:val="8" w:id="-1501343994"/>
                <w14:textFill>
                  <w14:solidFill>
                    <w14:srgbClr w14:val="000000">
                      <w14:alpha w14:val="100000"/>
                    </w14:srgbClr>
                  </w14:solidFill>
                </w14:textFill>
              </w:rPr>
              <w:t>|</w:t>
            </w:r>
            <w:r w:rsidRPr="00C16DA1">
              <w:rPr>
                <w:rFonts w:cstheme="minorHAnsi" w:hint="eastAsia"/>
                <w:color w:val="000000"/>
                <w:spacing w:val="-58"/>
                <w:w w:val="15"/>
                <w:szCs w:val="20"/>
                <w:shd w:val="solid" w:color="000000" w:fill="000000"/>
                <w:fitText w:val="8" w:id="-1501343994"/>
                <w14:textFill>
                  <w14:solidFill>
                    <w14:srgbClr w14:val="000000">
                      <w14:alpha w14:val="100000"/>
                    </w14:srgbClr>
                  </w14:solidFill>
                </w14:textFill>
              </w:rPr>
              <w:t xml:space="preserve">　</w:t>
            </w:r>
            <w:r w:rsidR="00BA0452" w:rsidRPr="000606A1">
              <w:rPr>
                <w:rFonts w:cstheme="minorHAnsi"/>
                <w:szCs w:val="20"/>
                <w:vertAlign w:val="superscript"/>
              </w:rPr>
              <w:t>2</w:t>
            </w:r>
          </w:p>
        </w:tc>
      </w:tr>
      <w:tr w:rsidR="000022AB" w:rsidRPr="0084495F" w14:paraId="70C8E876" w14:textId="77777777" w:rsidTr="002B0E29">
        <w:tc>
          <w:tcPr>
            <w:tcW w:w="9019" w:type="dxa"/>
            <w:gridSpan w:val="4"/>
          </w:tcPr>
          <w:p w14:paraId="33C03BF5" w14:textId="77777777" w:rsidR="000022AB" w:rsidRPr="0084495F" w:rsidRDefault="000022AB" w:rsidP="0047673B">
            <w:pPr>
              <w:pStyle w:val="TableText"/>
              <w:keepLines/>
              <w:ind w:right="-69"/>
              <w:rPr>
                <w:b/>
                <w:bCs w:val="0"/>
                <w:szCs w:val="20"/>
              </w:rPr>
            </w:pPr>
            <w:r w:rsidRPr="0084495F">
              <w:rPr>
                <w:b/>
                <w:bCs w:val="0"/>
                <w:szCs w:val="20"/>
              </w:rPr>
              <w:t>Hospitalisation case fatality rate (base case: 5.78%)</w:t>
            </w:r>
          </w:p>
        </w:tc>
      </w:tr>
      <w:tr w:rsidR="000022AB" w:rsidRPr="0084495F" w14:paraId="6A20454F" w14:textId="77777777" w:rsidTr="002B0E29">
        <w:tc>
          <w:tcPr>
            <w:tcW w:w="4673" w:type="dxa"/>
          </w:tcPr>
          <w:p w14:paraId="668AFB7D" w14:textId="77777777" w:rsidR="000022AB" w:rsidRPr="0084495F" w:rsidRDefault="000022AB" w:rsidP="0047673B">
            <w:pPr>
              <w:pStyle w:val="TableText"/>
              <w:keepLines/>
              <w:ind w:right="-60"/>
              <w:rPr>
                <w:iCs/>
                <w:szCs w:val="20"/>
              </w:rPr>
            </w:pPr>
            <w:r w:rsidRPr="0084495F">
              <w:rPr>
                <w:iCs/>
                <w:szCs w:val="20"/>
              </w:rPr>
              <w:t>- decrease by 50%</w:t>
            </w:r>
          </w:p>
        </w:tc>
        <w:tc>
          <w:tcPr>
            <w:tcW w:w="1448" w:type="dxa"/>
          </w:tcPr>
          <w:p w14:paraId="7CDED7BA" w14:textId="54AAEEBF" w:rsidR="000022AB" w:rsidRPr="00BA0452" w:rsidRDefault="009C6175" w:rsidP="0047673B">
            <w:pPr>
              <w:pStyle w:val="TableText"/>
              <w:keepLines/>
              <w:ind w:left="-86" w:right="-69"/>
              <w:jc w:val="center"/>
              <w:rPr>
                <w:iCs/>
                <w:szCs w:val="20"/>
                <w:highlight w:val="yellow"/>
                <w:vertAlign w:val="superscript"/>
              </w:rPr>
            </w:pPr>
            <w:r w:rsidRPr="009C6175">
              <w:rPr>
                <w:iCs/>
                <w:color w:val="000000"/>
                <w:szCs w:val="20"/>
                <w:shd w:val="solid" w:color="000000" w:fill="000000"/>
                <w14:textFill>
                  <w14:solidFill>
                    <w14:srgbClr w14:val="000000">
                      <w14:alpha w14:val="100000"/>
                    </w14:srgbClr>
                  </w14:solidFill>
                </w14:textFill>
              </w:rPr>
              <w:t>|</w:t>
            </w:r>
            <w:r w:rsidR="00BA0452" w:rsidRPr="000606A1">
              <w:rPr>
                <w:iCs/>
                <w:szCs w:val="20"/>
                <w:vertAlign w:val="superscript"/>
              </w:rPr>
              <w:t>1</w:t>
            </w:r>
          </w:p>
        </w:tc>
        <w:tc>
          <w:tcPr>
            <w:tcW w:w="1528" w:type="dxa"/>
          </w:tcPr>
          <w:p w14:paraId="0C06FB4D" w14:textId="77777777" w:rsidR="000022AB" w:rsidRPr="0084495F" w:rsidRDefault="000022AB" w:rsidP="0047673B">
            <w:pPr>
              <w:pStyle w:val="TableText"/>
              <w:keepLines/>
              <w:ind w:left="-86" w:right="-69"/>
              <w:jc w:val="center"/>
              <w:rPr>
                <w:iCs/>
                <w:szCs w:val="20"/>
              </w:rPr>
            </w:pPr>
            <w:r w:rsidRPr="0084495F">
              <w:rPr>
                <w:iCs/>
                <w:szCs w:val="20"/>
              </w:rPr>
              <w:t>0.2154</w:t>
            </w:r>
          </w:p>
        </w:tc>
        <w:tc>
          <w:tcPr>
            <w:tcW w:w="1370" w:type="dxa"/>
          </w:tcPr>
          <w:p w14:paraId="02E36EDA" w14:textId="2BF026DB" w:rsidR="000022AB" w:rsidRPr="00BA0452" w:rsidRDefault="009C6175" w:rsidP="0047673B">
            <w:pPr>
              <w:pStyle w:val="TableText"/>
              <w:keepLines/>
              <w:ind w:left="-86" w:right="-69"/>
              <w:jc w:val="center"/>
              <w:rPr>
                <w:iCs/>
                <w:szCs w:val="20"/>
                <w:highlight w:val="yellow"/>
                <w:vertAlign w:val="superscript"/>
              </w:rPr>
            </w:pPr>
            <w:r w:rsidRPr="00C16DA1">
              <w:rPr>
                <w:rFonts w:hint="eastAsia"/>
                <w:iCs/>
                <w:color w:val="000000"/>
                <w:w w:val="15"/>
                <w:szCs w:val="20"/>
                <w:shd w:val="solid" w:color="000000" w:fill="000000"/>
                <w:fitText w:val="8" w:id="-1501343993"/>
                <w14:textFill>
                  <w14:solidFill>
                    <w14:srgbClr w14:val="000000">
                      <w14:alpha w14:val="100000"/>
                    </w14:srgbClr>
                  </w14:solidFill>
                </w14:textFill>
              </w:rPr>
              <w:t xml:space="preserve">　</w:t>
            </w:r>
            <w:r w:rsidRPr="00C16DA1">
              <w:rPr>
                <w:iCs/>
                <w:color w:val="000000"/>
                <w:w w:val="15"/>
                <w:szCs w:val="20"/>
                <w:shd w:val="solid" w:color="000000" w:fill="000000"/>
                <w:fitText w:val="8" w:id="-1501343993"/>
                <w14:textFill>
                  <w14:solidFill>
                    <w14:srgbClr w14:val="000000">
                      <w14:alpha w14:val="100000"/>
                    </w14:srgbClr>
                  </w14:solidFill>
                </w14:textFill>
              </w:rPr>
              <w:t>|</w:t>
            </w:r>
            <w:r w:rsidRPr="00C16DA1">
              <w:rPr>
                <w:rFonts w:hint="eastAsia"/>
                <w:iCs/>
                <w:color w:val="000000"/>
                <w:spacing w:val="-58"/>
                <w:w w:val="15"/>
                <w:szCs w:val="20"/>
                <w:shd w:val="solid" w:color="000000" w:fill="000000"/>
                <w:fitText w:val="8" w:id="-1501343993"/>
                <w14:textFill>
                  <w14:solidFill>
                    <w14:srgbClr w14:val="000000">
                      <w14:alpha w14:val="100000"/>
                    </w14:srgbClr>
                  </w14:solidFill>
                </w14:textFill>
              </w:rPr>
              <w:t xml:space="preserve">　</w:t>
            </w:r>
            <w:r w:rsidR="00BA0452" w:rsidRPr="000606A1">
              <w:rPr>
                <w:iCs/>
                <w:szCs w:val="20"/>
                <w:vertAlign w:val="superscript"/>
              </w:rPr>
              <w:t>4</w:t>
            </w:r>
          </w:p>
        </w:tc>
      </w:tr>
      <w:tr w:rsidR="000022AB" w:rsidRPr="0084495F" w14:paraId="7D47AC8E" w14:textId="77777777" w:rsidTr="002B0E29">
        <w:tc>
          <w:tcPr>
            <w:tcW w:w="4673" w:type="dxa"/>
            <w:tcBorders>
              <w:bottom w:val="single" w:sz="4" w:space="0" w:color="auto"/>
            </w:tcBorders>
          </w:tcPr>
          <w:p w14:paraId="730FD6AB" w14:textId="77777777" w:rsidR="000022AB" w:rsidRPr="0084495F" w:rsidRDefault="000022AB" w:rsidP="0047673B">
            <w:pPr>
              <w:pStyle w:val="TableText"/>
              <w:keepLines/>
              <w:ind w:right="-60"/>
              <w:rPr>
                <w:iCs/>
                <w:szCs w:val="20"/>
              </w:rPr>
            </w:pPr>
            <w:r w:rsidRPr="0084495F">
              <w:rPr>
                <w:iCs/>
                <w:szCs w:val="20"/>
              </w:rPr>
              <w:t>- increase by 50%</w:t>
            </w:r>
          </w:p>
        </w:tc>
        <w:tc>
          <w:tcPr>
            <w:tcW w:w="1448" w:type="dxa"/>
            <w:tcBorders>
              <w:bottom w:val="single" w:sz="4" w:space="0" w:color="auto"/>
            </w:tcBorders>
          </w:tcPr>
          <w:p w14:paraId="41AB4F57" w14:textId="4BB80701" w:rsidR="000022AB" w:rsidRPr="00BA0452" w:rsidRDefault="009C6175" w:rsidP="0047673B">
            <w:pPr>
              <w:pStyle w:val="TableText"/>
              <w:keepLines/>
              <w:ind w:left="-86" w:right="-69"/>
              <w:jc w:val="center"/>
              <w:rPr>
                <w:iCs/>
                <w:szCs w:val="20"/>
                <w:highlight w:val="yellow"/>
                <w:vertAlign w:val="superscript"/>
              </w:rPr>
            </w:pPr>
            <w:r w:rsidRPr="009C6175">
              <w:rPr>
                <w:iCs/>
                <w:color w:val="000000"/>
                <w:szCs w:val="20"/>
                <w:shd w:val="solid" w:color="000000" w:fill="000000"/>
                <w14:textFill>
                  <w14:solidFill>
                    <w14:srgbClr w14:val="000000">
                      <w14:alpha w14:val="100000"/>
                    </w14:srgbClr>
                  </w14:solidFill>
                </w14:textFill>
              </w:rPr>
              <w:t>|</w:t>
            </w:r>
            <w:r w:rsidR="00BA0452" w:rsidRPr="000606A1">
              <w:rPr>
                <w:iCs/>
                <w:szCs w:val="20"/>
                <w:vertAlign w:val="superscript"/>
              </w:rPr>
              <w:t>1</w:t>
            </w:r>
          </w:p>
        </w:tc>
        <w:tc>
          <w:tcPr>
            <w:tcW w:w="1528" w:type="dxa"/>
            <w:tcBorders>
              <w:bottom w:val="single" w:sz="4" w:space="0" w:color="auto"/>
            </w:tcBorders>
          </w:tcPr>
          <w:p w14:paraId="640F81C3" w14:textId="77777777" w:rsidR="000022AB" w:rsidRPr="0084495F" w:rsidRDefault="000022AB" w:rsidP="0047673B">
            <w:pPr>
              <w:pStyle w:val="TableText"/>
              <w:keepLines/>
              <w:ind w:left="-86" w:right="-69"/>
              <w:jc w:val="center"/>
              <w:rPr>
                <w:iCs/>
                <w:szCs w:val="20"/>
              </w:rPr>
            </w:pPr>
            <w:r w:rsidRPr="0084495F">
              <w:rPr>
                <w:iCs/>
                <w:szCs w:val="20"/>
              </w:rPr>
              <w:t>0.2242</w:t>
            </w:r>
          </w:p>
        </w:tc>
        <w:tc>
          <w:tcPr>
            <w:tcW w:w="1370" w:type="dxa"/>
          </w:tcPr>
          <w:p w14:paraId="41F208C8" w14:textId="44E77C1B" w:rsidR="000022AB" w:rsidRPr="00BA0452" w:rsidRDefault="009C6175" w:rsidP="0047673B">
            <w:pPr>
              <w:pStyle w:val="TableText"/>
              <w:keepLines/>
              <w:ind w:left="-86" w:right="-69"/>
              <w:jc w:val="center"/>
              <w:rPr>
                <w:iCs/>
                <w:szCs w:val="20"/>
                <w:highlight w:val="yellow"/>
                <w:vertAlign w:val="superscript"/>
              </w:rPr>
            </w:pPr>
            <w:r w:rsidRPr="00C16DA1">
              <w:rPr>
                <w:rFonts w:hint="eastAsia"/>
                <w:iCs/>
                <w:color w:val="000000"/>
                <w:w w:val="15"/>
                <w:szCs w:val="20"/>
                <w:shd w:val="solid" w:color="000000" w:fill="000000"/>
                <w:fitText w:val="8" w:id="-1501343992"/>
                <w14:textFill>
                  <w14:solidFill>
                    <w14:srgbClr w14:val="000000">
                      <w14:alpha w14:val="100000"/>
                    </w14:srgbClr>
                  </w14:solidFill>
                </w14:textFill>
              </w:rPr>
              <w:t xml:space="preserve">　</w:t>
            </w:r>
            <w:r w:rsidRPr="00C16DA1">
              <w:rPr>
                <w:iCs/>
                <w:color w:val="000000"/>
                <w:w w:val="15"/>
                <w:szCs w:val="20"/>
                <w:shd w:val="solid" w:color="000000" w:fill="000000"/>
                <w:fitText w:val="8" w:id="-1501343992"/>
                <w14:textFill>
                  <w14:solidFill>
                    <w14:srgbClr w14:val="000000">
                      <w14:alpha w14:val="100000"/>
                    </w14:srgbClr>
                  </w14:solidFill>
                </w14:textFill>
              </w:rPr>
              <w:t>|</w:t>
            </w:r>
            <w:r w:rsidRPr="00C16DA1">
              <w:rPr>
                <w:rFonts w:hint="eastAsia"/>
                <w:iCs/>
                <w:color w:val="000000"/>
                <w:spacing w:val="-58"/>
                <w:w w:val="15"/>
                <w:szCs w:val="20"/>
                <w:shd w:val="solid" w:color="000000" w:fill="000000"/>
                <w:fitText w:val="8" w:id="-1501343992"/>
                <w14:textFill>
                  <w14:solidFill>
                    <w14:srgbClr w14:val="000000">
                      <w14:alpha w14:val="100000"/>
                    </w14:srgbClr>
                  </w14:solidFill>
                </w14:textFill>
              </w:rPr>
              <w:t xml:space="preserve">　</w:t>
            </w:r>
            <w:r w:rsidR="00BA0452" w:rsidRPr="000606A1">
              <w:rPr>
                <w:iCs/>
                <w:szCs w:val="20"/>
                <w:vertAlign w:val="superscript"/>
              </w:rPr>
              <w:t>2</w:t>
            </w:r>
          </w:p>
        </w:tc>
      </w:tr>
      <w:tr w:rsidR="000022AB" w:rsidRPr="0084495F" w14:paraId="27E7C09C" w14:textId="77777777" w:rsidTr="002B0E29">
        <w:tc>
          <w:tcPr>
            <w:tcW w:w="9019" w:type="dxa"/>
            <w:gridSpan w:val="4"/>
          </w:tcPr>
          <w:p w14:paraId="1242CE0F" w14:textId="77777777" w:rsidR="000022AB" w:rsidRPr="0084495F" w:rsidRDefault="000022AB" w:rsidP="0047673B">
            <w:pPr>
              <w:pStyle w:val="TableText"/>
              <w:keepLines/>
              <w:ind w:right="-69"/>
              <w:rPr>
                <w:b/>
                <w:bCs w:val="0"/>
                <w:szCs w:val="20"/>
              </w:rPr>
            </w:pPr>
            <w:r w:rsidRPr="0084495F">
              <w:rPr>
                <w:b/>
                <w:bCs w:val="0"/>
                <w:szCs w:val="20"/>
              </w:rPr>
              <w:t>Hospitalisation costs (base case: $8,707)</w:t>
            </w:r>
          </w:p>
        </w:tc>
      </w:tr>
      <w:tr w:rsidR="000022AB" w:rsidRPr="0084495F" w14:paraId="61F70FFA" w14:textId="77777777" w:rsidTr="002B0E29">
        <w:tc>
          <w:tcPr>
            <w:tcW w:w="4673" w:type="dxa"/>
          </w:tcPr>
          <w:p w14:paraId="00D4EC21" w14:textId="77777777" w:rsidR="000022AB" w:rsidRPr="0084495F" w:rsidRDefault="000022AB" w:rsidP="0047673B">
            <w:pPr>
              <w:pStyle w:val="TableText"/>
              <w:keepLines/>
              <w:ind w:right="-60"/>
              <w:rPr>
                <w:iCs/>
                <w:szCs w:val="20"/>
              </w:rPr>
            </w:pPr>
            <w:r w:rsidRPr="0084495F">
              <w:rPr>
                <w:iCs/>
                <w:szCs w:val="20"/>
              </w:rPr>
              <w:t>- decrease by 50%</w:t>
            </w:r>
          </w:p>
        </w:tc>
        <w:tc>
          <w:tcPr>
            <w:tcW w:w="1448" w:type="dxa"/>
          </w:tcPr>
          <w:p w14:paraId="03735E19" w14:textId="560D225B" w:rsidR="000022AB" w:rsidRPr="00BA0452" w:rsidRDefault="009C6175" w:rsidP="0047673B">
            <w:pPr>
              <w:pStyle w:val="TableText"/>
              <w:keepLines/>
              <w:ind w:left="-86" w:right="-69"/>
              <w:jc w:val="center"/>
              <w:rPr>
                <w:iCs/>
                <w:szCs w:val="20"/>
                <w:highlight w:val="yellow"/>
                <w:vertAlign w:val="superscript"/>
              </w:rPr>
            </w:pPr>
            <w:r w:rsidRPr="009C6175">
              <w:rPr>
                <w:iCs/>
                <w:color w:val="000000"/>
                <w:szCs w:val="20"/>
                <w:shd w:val="solid" w:color="000000" w:fill="000000"/>
                <w14:textFill>
                  <w14:solidFill>
                    <w14:srgbClr w14:val="000000">
                      <w14:alpha w14:val="100000"/>
                    </w14:srgbClr>
                  </w14:solidFill>
                </w14:textFill>
              </w:rPr>
              <w:t>|</w:t>
            </w:r>
            <w:r w:rsidR="00BA0452" w:rsidRPr="000606A1">
              <w:rPr>
                <w:iCs/>
                <w:szCs w:val="20"/>
                <w:vertAlign w:val="superscript"/>
              </w:rPr>
              <w:t>1</w:t>
            </w:r>
          </w:p>
        </w:tc>
        <w:tc>
          <w:tcPr>
            <w:tcW w:w="1528" w:type="dxa"/>
          </w:tcPr>
          <w:p w14:paraId="7BED89B8" w14:textId="77777777" w:rsidR="000022AB" w:rsidRPr="0084495F" w:rsidRDefault="000022AB" w:rsidP="0047673B">
            <w:pPr>
              <w:pStyle w:val="TableText"/>
              <w:keepLines/>
              <w:ind w:left="-86" w:right="-69"/>
              <w:jc w:val="center"/>
              <w:rPr>
                <w:iCs/>
                <w:szCs w:val="20"/>
              </w:rPr>
            </w:pPr>
            <w:r w:rsidRPr="0084495F">
              <w:rPr>
                <w:iCs/>
                <w:szCs w:val="20"/>
              </w:rPr>
              <w:t>0.2199</w:t>
            </w:r>
          </w:p>
        </w:tc>
        <w:tc>
          <w:tcPr>
            <w:tcW w:w="1370" w:type="dxa"/>
          </w:tcPr>
          <w:p w14:paraId="62C95CB9" w14:textId="0B317182" w:rsidR="000022AB" w:rsidRPr="00BA0452" w:rsidRDefault="009C6175" w:rsidP="0047673B">
            <w:pPr>
              <w:pStyle w:val="TableText"/>
              <w:keepLines/>
              <w:ind w:left="-86" w:right="-69"/>
              <w:jc w:val="center"/>
              <w:rPr>
                <w:iCs/>
                <w:szCs w:val="20"/>
                <w:highlight w:val="yellow"/>
                <w:vertAlign w:val="superscript"/>
              </w:rPr>
            </w:pPr>
            <w:r w:rsidRPr="00C16DA1">
              <w:rPr>
                <w:rFonts w:hint="eastAsia"/>
                <w:iCs/>
                <w:color w:val="000000"/>
                <w:w w:val="15"/>
                <w:szCs w:val="20"/>
                <w:shd w:val="solid" w:color="000000" w:fill="000000"/>
                <w:fitText w:val="8" w:id="-1501343991"/>
                <w14:textFill>
                  <w14:solidFill>
                    <w14:srgbClr w14:val="000000">
                      <w14:alpha w14:val="100000"/>
                    </w14:srgbClr>
                  </w14:solidFill>
                </w14:textFill>
              </w:rPr>
              <w:t xml:space="preserve">　</w:t>
            </w:r>
            <w:r w:rsidRPr="00C16DA1">
              <w:rPr>
                <w:iCs/>
                <w:color w:val="000000"/>
                <w:w w:val="15"/>
                <w:szCs w:val="20"/>
                <w:shd w:val="solid" w:color="000000" w:fill="000000"/>
                <w:fitText w:val="8" w:id="-1501343991"/>
                <w14:textFill>
                  <w14:solidFill>
                    <w14:srgbClr w14:val="000000">
                      <w14:alpha w14:val="100000"/>
                    </w14:srgbClr>
                  </w14:solidFill>
                </w14:textFill>
              </w:rPr>
              <w:t>|</w:t>
            </w:r>
            <w:r w:rsidRPr="00C16DA1">
              <w:rPr>
                <w:rFonts w:hint="eastAsia"/>
                <w:iCs/>
                <w:color w:val="000000"/>
                <w:spacing w:val="-58"/>
                <w:w w:val="15"/>
                <w:szCs w:val="20"/>
                <w:shd w:val="solid" w:color="000000" w:fill="000000"/>
                <w:fitText w:val="8" w:id="-1501343991"/>
                <w14:textFill>
                  <w14:solidFill>
                    <w14:srgbClr w14:val="000000">
                      <w14:alpha w14:val="100000"/>
                    </w14:srgbClr>
                  </w14:solidFill>
                </w14:textFill>
              </w:rPr>
              <w:t xml:space="preserve">　</w:t>
            </w:r>
            <w:r w:rsidR="00BA0452" w:rsidRPr="000606A1">
              <w:rPr>
                <w:iCs/>
                <w:szCs w:val="20"/>
                <w:vertAlign w:val="superscript"/>
              </w:rPr>
              <w:t>4</w:t>
            </w:r>
          </w:p>
        </w:tc>
      </w:tr>
      <w:tr w:rsidR="000022AB" w:rsidRPr="0084495F" w14:paraId="42C7B3B6" w14:textId="77777777" w:rsidTr="002B0E29">
        <w:tc>
          <w:tcPr>
            <w:tcW w:w="4673" w:type="dxa"/>
            <w:tcBorders>
              <w:bottom w:val="single" w:sz="4" w:space="0" w:color="auto"/>
            </w:tcBorders>
          </w:tcPr>
          <w:p w14:paraId="5E2CE3CD" w14:textId="77777777" w:rsidR="000022AB" w:rsidRPr="0084495F" w:rsidRDefault="000022AB" w:rsidP="0047673B">
            <w:pPr>
              <w:pStyle w:val="TableText"/>
              <w:keepLines/>
              <w:ind w:right="-60"/>
              <w:rPr>
                <w:iCs/>
                <w:szCs w:val="20"/>
              </w:rPr>
            </w:pPr>
            <w:r w:rsidRPr="0084495F">
              <w:rPr>
                <w:iCs/>
                <w:szCs w:val="20"/>
              </w:rPr>
              <w:t>- increase by 50%</w:t>
            </w:r>
          </w:p>
        </w:tc>
        <w:tc>
          <w:tcPr>
            <w:tcW w:w="1448" w:type="dxa"/>
            <w:tcBorders>
              <w:bottom w:val="single" w:sz="4" w:space="0" w:color="auto"/>
            </w:tcBorders>
          </w:tcPr>
          <w:p w14:paraId="7B2C2495" w14:textId="7EF1E957" w:rsidR="000022AB" w:rsidRPr="00BA0452" w:rsidRDefault="009C6175" w:rsidP="0047673B">
            <w:pPr>
              <w:pStyle w:val="TableText"/>
              <w:keepLines/>
              <w:ind w:left="-86" w:right="-69"/>
              <w:jc w:val="center"/>
              <w:rPr>
                <w:iCs/>
                <w:szCs w:val="20"/>
                <w:highlight w:val="yellow"/>
                <w:vertAlign w:val="superscript"/>
              </w:rPr>
            </w:pPr>
            <w:r w:rsidRPr="009C6175">
              <w:rPr>
                <w:iCs/>
                <w:color w:val="000000"/>
                <w:szCs w:val="20"/>
                <w:shd w:val="solid" w:color="000000" w:fill="000000"/>
                <w14:textFill>
                  <w14:solidFill>
                    <w14:srgbClr w14:val="000000">
                      <w14:alpha w14:val="100000"/>
                    </w14:srgbClr>
                  </w14:solidFill>
                </w14:textFill>
              </w:rPr>
              <w:t>|</w:t>
            </w:r>
            <w:r w:rsidR="00BA0452" w:rsidRPr="000606A1">
              <w:rPr>
                <w:iCs/>
                <w:szCs w:val="20"/>
                <w:vertAlign w:val="superscript"/>
              </w:rPr>
              <w:t>1</w:t>
            </w:r>
          </w:p>
        </w:tc>
        <w:tc>
          <w:tcPr>
            <w:tcW w:w="1528" w:type="dxa"/>
            <w:tcBorders>
              <w:bottom w:val="single" w:sz="4" w:space="0" w:color="auto"/>
            </w:tcBorders>
          </w:tcPr>
          <w:p w14:paraId="678464A8" w14:textId="77777777" w:rsidR="000022AB" w:rsidRPr="0084495F" w:rsidRDefault="000022AB" w:rsidP="0047673B">
            <w:pPr>
              <w:pStyle w:val="TableText"/>
              <w:keepLines/>
              <w:ind w:left="-86" w:right="-69"/>
              <w:jc w:val="center"/>
              <w:rPr>
                <w:iCs/>
                <w:szCs w:val="20"/>
              </w:rPr>
            </w:pPr>
            <w:r w:rsidRPr="0084495F">
              <w:rPr>
                <w:iCs/>
                <w:szCs w:val="20"/>
              </w:rPr>
              <w:t>0.2199</w:t>
            </w:r>
          </w:p>
        </w:tc>
        <w:tc>
          <w:tcPr>
            <w:tcW w:w="1370" w:type="dxa"/>
          </w:tcPr>
          <w:p w14:paraId="5D167D09" w14:textId="3026EA61" w:rsidR="000022AB" w:rsidRPr="00BA0452" w:rsidRDefault="009C6175" w:rsidP="0047673B">
            <w:pPr>
              <w:pStyle w:val="TableText"/>
              <w:keepLines/>
              <w:ind w:left="-86" w:right="-69"/>
              <w:jc w:val="center"/>
              <w:rPr>
                <w:iCs/>
                <w:szCs w:val="20"/>
                <w:highlight w:val="yellow"/>
                <w:vertAlign w:val="superscript"/>
              </w:rPr>
            </w:pPr>
            <w:r w:rsidRPr="00C16DA1">
              <w:rPr>
                <w:rFonts w:hint="eastAsia"/>
                <w:iCs/>
                <w:color w:val="000000"/>
                <w:w w:val="15"/>
                <w:szCs w:val="20"/>
                <w:shd w:val="solid" w:color="000000" w:fill="000000"/>
                <w:fitText w:val="8" w:id="-1501343990"/>
                <w14:textFill>
                  <w14:solidFill>
                    <w14:srgbClr w14:val="000000">
                      <w14:alpha w14:val="100000"/>
                    </w14:srgbClr>
                  </w14:solidFill>
                </w14:textFill>
              </w:rPr>
              <w:t xml:space="preserve">　</w:t>
            </w:r>
            <w:r w:rsidRPr="00C16DA1">
              <w:rPr>
                <w:iCs/>
                <w:color w:val="000000"/>
                <w:w w:val="15"/>
                <w:szCs w:val="20"/>
                <w:shd w:val="solid" w:color="000000" w:fill="000000"/>
                <w:fitText w:val="8" w:id="-1501343990"/>
                <w14:textFill>
                  <w14:solidFill>
                    <w14:srgbClr w14:val="000000">
                      <w14:alpha w14:val="100000"/>
                    </w14:srgbClr>
                  </w14:solidFill>
                </w14:textFill>
              </w:rPr>
              <w:t>|</w:t>
            </w:r>
            <w:r w:rsidRPr="00C16DA1">
              <w:rPr>
                <w:rFonts w:hint="eastAsia"/>
                <w:iCs/>
                <w:color w:val="000000"/>
                <w:spacing w:val="-58"/>
                <w:w w:val="15"/>
                <w:szCs w:val="20"/>
                <w:shd w:val="solid" w:color="000000" w:fill="000000"/>
                <w:fitText w:val="8" w:id="-1501343990"/>
                <w14:textFill>
                  <w14:solidFill>
                    <w14:srgbClr w14:val="000000">
                      <w14:alpha w14:val="100000"/>
                    </w14:srgbClr>
                  </w14:solidFill>
                </w14:textFill>
              </w:rPr>
              <w:t xml:space="preserve">　</w:t>
            </w:r>
            <w:r w:rsidR="00BA0452" w:rsidRPr="000606A1">
              <w:rPr>
                <w:iCs/>
                <w:szCs w:val="20"/>
                <w:vertAlign w:val="superscript"/>
              </w:rPr>
              <w:t>2</w:t>
            </w:r>
          </w:p>
        </w:tc>
      </w:tr>
      <w:tr w:rsidR="000022AB" w:rsidRPr="0084495F" w14:paraId="5857166A" w14:textId="77777777" w:rsidTr="002B0E29">
        <w:tc>
          <w:tcPr>
            <w:tcW w:w="9019" w:type="dxa"/>
            <w:gridSpan w:val="4"/>
          </w:tcPr>
          <w:p w14:paraId="0246271C" w14:textId="77777777" w:rsidR="000022AB" w:rsidRPr="0084495F" w:rsidRDefault="000022AB" w:rsidP="0047673B">
            <w:pPr>
              <w:pStyle w:val="TableText"/>
              <w:keepLines/>
              <w:ind w:right="-69"/>
              <w:rPr>
                <w:b/>
                <w:bCs w:val="0"/>
                <w:szCs w:val="20"/>
              </w:rPr>
            </w:pPr>
            <w:r w:rsidRPr="0084495F">
              <w:rPr>
                <w:b/>
                <w:bCs w:val="0"/>
                <w:szCs w:val="20"/>
              </w:rPr>
              <w:t>Terminal care costs (base case: $14,232)</w:t>
            </w:r>
          </w:p>
        </w:tc>
      </w:tr>
      <w:tr w:rsidR="000022AB" w:rsidRPr="0084495F" w14:paraId="484A94BB" w14:textId="77777777" w:rsidTr="002B0E29">
        <w:tc>
          <w:tcPr>
            <w:tcW w:w="4673" w:type="dxa"/>
          </w:tcPr>
          <w:p w14:paraId="2003D806" w14:textId="77777777" w:rsidR="000022AB" w:rsidRPr="0084495F" w:rsidRDefault="000022AB" w:rsidP="0047673B">
            <w:pPr>
              <w:pStyle w:val="TableText"/>
              <w:keepLines/>
              <w:ind w:right="-60"/>
              <w:rPr>
                <w:iCs/>
                <w:szCs w:val="20"/>
              </w:rPr>
            </w:pPr>
            <w:r w:rsidRPr="0084495F">
              <w:rPr>
                <w:iCs/>
                <w:szCs w:val="20"/>
              </w:rPr>
              <w:t>- decrease by 50%</w:t>
            </w:r>
          </w:p>
        </w:tc>
        <w:tc>
          <w:tcPr>
            <w:tcW w:w="1448" w:type="dxa"/>
          </w:tcPr>
          <w:p w14:paraId="4E831DCB" w14:textId="0DFF9B89" w:rsidR="000022AB" w:rsidRPr="00BA0452" w:rsidRDefault="009C6175" w:rsidP="0047673B">
            <w:pPr>
              <w:pStyle w:val="TableText"/>
              <w:keepLines/>
              <w:ind w:left="-86" w:right="-69"/>
              <w:jc w:val="center"/>
              <w:rPr>
                <w:iCs/>
                <w:szCs w:val="20"/>
                <w:highlight w:val="yellow"/>
                <w:vertAlign w:val="superscript"/>
              </w:rPr>
            </w:pPr>
            <w:r w:rsidRPr="009C6175">
              <w:rPr>
                <w:iCs/>
                <w:color w:val="000000"/>
                <w:szCs w:val="20"/>
                <w:shd w:val="solid" w:color="000000" w:fill="000000"/>
                <w14:textFill>
                  <w14:solidFill>
                    <w14:srgbClr w14:val="000000">
                      <w14:alpha w14:val="100000"/>
                    </w14:srgbClr>
                  </w14:solidFill>
                </w14:textFill>
              </w:rPr>
              <w:t>|</w:t>
            </w:r>
            <w:r w:rsidR="00BA0452" w:rsidRPr="000606A1">
              <w:rPr>
                <w:iCs/>
                <w:szCs w:val="20"/>
                <w:vertAlign w:val="superscript"/>
              </w:rPr>
              <w:t>1</w:t>
            </w:r>
          </w:p>
        </w:tc>
        <w:tc>
          <w:tcPr>
            <w:tcW w:w="1528" w:type="dxa"/>
          </w:tcPr>
          <w:p w14:paraId="171AD6C1" w14:textId="77777777" w:rsidR="000022AB" w:rsidRPr="0084495F" w:rsidRDefault="000022AB" w:rsidP="0047673B">
            <w:pPr>
              <w:pStyle w:val="TableText"/>
              <w:keepLines/>
              <w:ind w:left="-86" w:right="-69"/>
              <w:jc w:val="center"/>
              <w:rPr>
                <w:iCs/>
                <w:szCs w:val="20"/>
              </w:rPr>
            </w:pPr>
            <w:r w:rsidRPr="0084495F">
              <w:rPr>
                <w:iCs/>
                <w:szCs w:val="20"/>
              </w:rPr>
              <w:t>0.2199</w:t>
            </w:r>
          </w:p>
        </w:tc>
        <w:tc>
          <w:tcPr>
            <w:tcW w:w="1370" w:type="dxa"/>
          </w:tcPr>
          <w:p w14:paraId="7BAD7410" w14:textId="6E224749" w:rsidR="000022AB" w:rsidRPr="00BA0452" w:rsidRDefault="009C6175" w:rsidP="0047673B">
            <w:pPr>
              <w:pStyle w:val="TableText"/>
              <w:keepLines/>
              <w:ind w:left="-86" w:right="-69"/>
              <w:jc w:val="center"/>
              <w:rPr>
                <w:iCs/>
                <w:szCs w:val="20"/>
                <w:highlight w:val="yellow"/>
                <w:vertAlign w:val="superscript"/>
              </w:rPr>
            </w:pPr>
            <w:r w:rsidRPr="00C16DA1">
              <w:rPr>
                <w:rFonts w:hint="eastAsia"/>
                <w:iCs/>
                <w:color w:val="000000"/>
                <w:w w:val="15"/>
                <w:szCs w:val="20"/>
                <w:shd w:val="solid" w:color="000000" w:fill="000000"/>
                <w:fitText w:val="8" w:id="-1501343989"/>
                <w14:textFill>
                  <w14:solidFill>
                    <w14:srgbClr w14:val="000000">
                      <w14:alpha w14:val="100000"/>
                    </w14:srgbClr>
                  </w14:solidFill>
                </w14:textFill>
              </w:rPr>
              <w:t xml:space="preserve">　</w:t>
            </w:r>
            <w:r w:rsidRPr="00C16DA1">
              <w:rPr>
                <w:iCs/>
                <w:color w:val="000000"/>
                <w:w w:val="15"/>
                <w:szCs w:val="20"/>
                <w:shd w:val="solid" w:color="000000" w:fill="000000"/>
                <w:fitText w:val="8" w:id="-1501343989"/>
                <w14:textFill>
                  <w14:solidFill>
                    <w14:srgbClr w14:val="000000">
                      <w14:alpha w14:val="100000"/>
                    </w14:srgbClr>
                  </w14:solidFill>
                </w14:textFill>
              </w:rPr>
              <w:t>|</w:t>
            </w:r>
            <w:r w:rsidRPr="00C16DA1">
              <w:rPr>
                <w:rFonts w:hint="eastAsia"/>
                <w:iCs/>
                <w:color w:val="000000"/>
                <w:spacing w:val="-58"/>
                <w:w w:val="15"/>
                <w:szCs w:val="20"/>
                <w:shd w:val="solid" w:color="000000" w:fill="000000"/>
                <w:fitText w:val="8" w:id="-1501343989"/>
                <w14:textFill>
                  <w14:solidFill>
                    <w14:srgbClr w14:val="000000">
                      <w14:alpha w14:val="100000"/>
                    </w14:srgbClr>
                  </w14:solidFill>
                </w14:textFill>
              </w:rPr>
              <w:t xml:space="preserve">　</w:t>
            </w:r>
            <w:r w:rsidR="00BA0452" w:rsidRPr="000606A1">
              <w:rPr>
                <w:iCs/>
                <w:szCs w:val="20"/>
                <w:vertAlign w:val="superscript"/>
              </w:rPr>
              <w:t>4</w:t>
            </w:r>
          </w:p>
        </w:tc>
      </w:tr>
      <w:tr w:rsidR="000022AB" w:rsidRPr="0084495F" w14:paraId="355E8CD9" w14:textId="77777777" w:rsidTr="002B0E29">
        <w:tc>
          <w:tcPr>
            <w:tcW w:w="4673" w:type="dxa"/>
            <w:tcBorders>
              <w:bottom w:val="single" w:sz="4" w:space="0" w:color="auto"/>
            </w:tcBorders>
          </w:tcPr>
          <w:p w14:paraId="70389AC7" w14:textId="77777777" w:rsidR="000022AB" w:rsidRPr="0084495F" w:rsidRDefault="000022AB" w:rsidP="0047673B">
            <w:pPr>
              <w:pStyle w:val="TableText"/>
              <w:keepLines/>
              <w:ind w:right="-60"/>
              <w:rPr>
                <w:iCs/>
                <w:szCs w:val="20"/>
              </w:rPr>
            </w:pPr>
            <w:r w:rsidRPr="0084495F">
              <w:rPr>
                <w:iCs/>
                <w:szCs w:val="20"/>
              </w:rPr>
              <w:t>- remove terminal care costs</w:t>
            </w:r>
          </w:p>
        </w:tc>
        <w:tc>
          <w:tcPr>
            <w:tcW w:w="1448" w:type="dxa"/>
            <w:tcBorders>
              <w:bottom w:val="single" w:sz="4" w:space="0" w:color="auto"/>
            </w:tcBorders>
          </w:tcPr>
          <w:p w14:paraId="4696C41F" w14:textId="2D1DCA1B" w:rsidR="000022AB" w:rsidRPr="00BA0452" w:rsidRDefault="009C6175" w:rsidP="0047673B">
            <w:pPr>
              <w:pStyle w:val="TableText"/>
              <w:keepLines/>
              <w:ind w:left="-86" w:right="-69"/>
              <w:jc w:val="center"/>
              <w:rPr>
                <w:iCs/>
                <w:szCs w:val="20"/>
                <w:highlight w:val="yellow"/>
                <w:vertAlign w:val="superscript"/>
              </w:rPr>
            </w:pPr>
            <w:r w:rsidRPr="009C6175">
              <w:rPr>
                <w:iCs/>
                <w:color w:val="000000"/>
                <w:szCs w:val="20"/>
                <w:shd w:val="solid" w:color="000000" w:fill="000000"/>
                <w14:textFill>
                  <w14:solidFill>
                    <w14:srgbClr w14:val="000000">
                      <w14:alpha w14:val="100000"/>
                    </w14:srgbClr>
                  </w14:solidFill>
                </w14:textFill>
              </w:rPr>
              <w:t>|</w:t>
            </w:r>
            <w:r w:rsidR="00BA0452" w:rsidRPr="000606A1">
              <w:rPr>
                <w:iCs/>
                <w:szCs w:val="20"/>
                <w:vertAlign w:val="superscript"/>
              </w:rPr>
              <w:t>1</w:t>
            </w:r>
          </w:p>
        </w:tc>
        <w:tc>
          <w:tcPr>
            <w:tcW w:w="1528" w:type="dxa"/>
            <w:tcBorders>
              <w:bottom w:val="single" w:sz="4" w:space="0" w:color="auto"/>
            </w:tcBorders>
          </w:tcPr>
          <w:p w14:paraId="20EEAE9B" w14:textId="77777777" w:rsidR="000022AB" w:rsidRPr="0084495F" w:rsidRDefault="000022AB" w:rsidP="0047673B">
            <w:pPr>
              <w:pStyle w:val="TableText"/>
              <w:keepLines/>
              <w:ind w:left="-86" w:right="-69"/>
              <w:jc w:val="center"/>
              <w:rPr>
                <w:iCs/>
                <w:szCs w:val="20"/>
              </w:rPr>
            </w:pPr>
            <w:r w:rsidRPr="0084495F">
              <w:rPr>
                <w:iCs/>
                <w:szCs w:val="20"/>
              </w:rPr>
              <w:t>0.2199</w:t>
            </w:r>
          </w:p>
        </w:tc>
        <w:tc>
          <w:tcPr>
            <w:tcW w:w="1370" w:type="dxa"/>
          </w:tcPr>
          <w:p w14:paraId="7FAD45E0" w14:textId="0EA38076" w:rsidR="000022AB" w:rsidRPr="00BA0452" w:rsidRDefault="009C6175" w:rsidP="0047673B">
            <w:pPr>
              <w:pStyle w:val="TableText"/>
              <w:keepLines/>
              <w:ind w:left="-86" w:right="-69"/>
              <w:jc w:val="center"/>
              <w:rPr>
                <w:iCs/>
                <w:szCs w:val="20"/>
                <w:highlight w:val="yellow"/>
                <w:vertAlign w:val="superscript"/>
              </w:rPr>
            </w:pPr>
            <w:r w:rsidRPr="00C16DA1">
              <w:rPr>
                <w:rFonts w:hint="eastAsia"/>
                <w:iCs/>
                <w:color w:val="000000"/>
                <w:w w:val="15"/>
                <w:szCs w:val="20"/>
                <w:shd w:val="solid" w:color="000000" w:fill="000000"/>
                <w:fitText w:val="8" w:id="-1501343988"/>
                <w14:textFill>
                  <w14:solidFill>
                    <w14:srgbClr w14:val="000000">
                      <w14:alpha w14:val="100000"/>
                    </w14:srgbClr>
                  </w14:solidFill>
                </w14:textFill>
              </w:rPr>
              <w:t xml:space="preserve">　</w:t>
            </w:r>
            <w:r w:rsidRPr="00C16DA1">
              <w:rPr>
                <w:iCs/>
                <w:color w:val="000000"/>
                <w:w w:val="15"/>
                <w:szCs w:val="20"/>
                <w:shd w:val="solid" w:color="000000" w:fill="000000"/>
                <w:fitText w:val="8" w:id="-1501343988"/>
                <w14:textFill>
                  <w14:solidFill>
                    <w14:srgbClr w14:val="000000">
                      <w14:alpha w14:val="100000"/>
                    </w14:srgbClr>
                  </w14:solidFill>
                </w14:textFill>
              </w:rPr>
              <w:t>|</w:t>
            </w:r>
            <w:r w:rsidRPr="00C16DA1">
              <w:rPr>
                <w:rFonts w:hint="eastAsia"/>
                <w:iCs/>
                <w:color w:val="000000"/>
                <w:spacing w:val="-58"/>
                <w:w w:val="15"/>
                <w:szCs w:val="20"/>
                <w:shd w:val="solid" w:color="000000" w:fill="000000"/>
                <w:fitText w:val="8" w:id="-1501343988"/>
                <w14:textFill>
                  <w14:solidFill>
                    <w14:srgbClr w14:val="000000">
                      <w14:alpha w14:val="100000"/>
                    </w14:srgbClr>
                  </w14:solidFill>
                </w14:textFill>
              </w:rPr>
              <w:t xml:space="preserve">　</w:t>
            </w:r>
            <w:r w:rsidR="00BA0452" w:rsidRPr="000606A1">
              <w:rPr>
                <w:iCs/>
                <w:szCs w:val="20"/>
                <w:vertAlign w:val="superscript"/>
              </w:rPr>
              <w:t>4</w:t>
            </w:r>
          </w:p>
        </w:tc>
      </w:tr>
      <w:tr w:rsidR="000022AB" w:rsidRPr="0084495F" w14:paraId="5FD462A7" w14:textId="77777777" w:rsidTr="002B0E29">
        <w:tc>
          <w:tcPr>
            <w:tcW w:w="9019" w:type="dxa"/>
            <w:gridSpan w:val="4"/>
            <w:tcBorders>
              <w:bottom w:val="single" w:sz="4" w:space="0" w:color="auto"/>
            </w:tcBorders>
          </w:tcPr>
          <w:p w14:paraId="074E3F05" w14:textId="77777777" w:rsidR="000022AB" w:rsidRPr="0084495F" w:rsidRDefault="000022AB" w:rsidP="0047673B">
            <w:pPr>
              <w:pStyle w:val="TableText"/>
              <w:keepLines/>
              <w:ind w:left="-86" w:right="-69"/>
              <w:rPr>
                <w:b/>
                <w:bCs w:val="0"/>
                <w:szCs w:val="20"/>
              </w:rPr>
            </w:pPr>
            <w:r w:rsidRPr="0084495F">
              <w:rPr>
                <w:b/>
                <w:bCs w:val="0"/>
                <w:szCs w:val="20"/>
              </w:rPr>
              <w:t>Utility of alive (no hospitalisation) health state (base case: 0.737)</w:t>
            </w:r>
          </w:p>
        </w:tc>
      </w:tr>
      <w:tr w:rsidR="000022AB" w:rsidRPr="0084495F" w14:paraId="3CBEDFC8" w14:textId="77777777" w:rsidTr="002B0E29">
        <w:tc>
          <w:tcPr>
            <w:tcW w:w="4673" w:type="dxa"/>
            <w:tcBorders>
              <w:bottom w:val="single" w:sz="4" w:space="0" w:color="auto"/>
            </w:tcBorders>
          </w:tcPr>
          <w:p w14:paraId="71D99794" w14:textId="77777777" w:rsidR="000022AB" w:rsidRPr="0084495F" w:rsidRDefault="000022AB" w:rsidP="0047673B">
            <w:pPr>
              <w:pStyle w:val="TableText"/>
              <w:keepLines/>
              <w:ind w:right="-60"/>
              <w:rPr>
                <w:iCs/>
                <w:szCs w:val="20"/>
              </w:rPr>
            </w:pPr>
            <w:r w:rsidRPr="0084495F">
              <w:rPr>
                <w:iCs/>
                <w:szCs w:val="20"/>
              </w:rPr>
              <w:t>- decrease by 20% (disutility of hospitalisation health states remains constant)</w:t>
            </w:r>
          </w:p>
        </w:tc>
        <w:tc>
          <w:tcPr>
            <w:tcW w:w="1448" w:type="dxa"/>
            <w:tcBorders>
              <w:bottom w:val="single" w:sz="4" w:space="0" w:color="auto"/>
            </w:tcBorders>
            <w:vAlign w:val="center"/>
          </w:tcPr>
          <w:p w14:paraId="4398ECB8" w14:textId="5B29C2C5" w:rsidR="000022AB" w:rsidRPr="00BA0452" w:rsidRDefault="009C6175" w:rsidP="0047673B">
            <w:pPr>
              <w:pStyle w:val="TableText"/>
              <w:keepLines/>
              <w:ind w:left="-86" w:right="-69"/>
              <w:jc w:val="center"/>
              <w:rPr>
                <w:iCs/>
                <w:szCs w:val="20"/>
                <w:highlight w:val="yellow"/>
                <w:vertAlign w:val="superscript"/>
              </w:rPr>
            </w:pPr>
            <w:r w:rsidRPr="009C6175">
              <w:rPr>
                <w:iCs/>
                <w:color w:val="000000"/>
                <w:szCs w:val="20"/>
                <w:shd w:val="solid" w:color="000000" w:fill="000000"/>
                <w14:textFill>
                  <w14:solidFill>
                    <w14:srgbClr w14:val="000000">
                      <w14:alpha w14:val="100000"/>
                    </w14:srgbClr>
                  </w14:solidFill>
                </w14:textFill>
              </w:rPr>
              <w:t>|</w:t>
            </w:r>
            <w:r w:rsidR="00BA0452" w:rsidRPr="000606A1">
              <w:rPr>
                <w:iCs/>
                <w:szCs w:val="20"/>
                <w:vertAlign w:val="superscript"/>
              </w:rPr>
              <w:t>1</w:t>
            </w:r>
          </w:p>
        </w:tc>
        <w:tc>
          <w:tcPr>
            <w:tcW w:w="1528" w:type="dxa"/>
            <w:tcBorders>
              <w:bottom w:val="single" w:sz="4" w:space="0" w:color="auto"/>
            </w:tcBorders>
            <w:vAlign w:val="center"/>
          </w:tcPr>
          <w:p w14:paraId="5CBE34AB" w14:textId="77777777" w:rsidR="000022AB" w:rsidRPr="0084495F" w:rsidRDefault="000022AB" w:rsidP="0047673B">
            <w:pPr>
              <w:pStyle w:val="TableText"/>
              <w:keepLines/>
              <w:ind w:left="-86" w:right="-69"/>
              <w:jc w:val="center"/>
              <w:rPr>
                <w:iCs/>
                <w:szCs w:val="20"/>
              </w:rPr>
            </w:pPr>
            <w:r w:rsidRPr="0084495F">
              <w:rPr>
                <w:iCs/>
                <w:szCs w:val="20"/>
              </w:rPr>
              <w:t>0.1771</w:t>
            </w:r>
          </w:p>
        </w:tc>
        <w:tc>
          <w:tcPr>
            <w:tcW w:w="1370" w:type="dxa"/>
            <w:vAlign w:val="center"/>
          </w:tcPr>
          <w:p w14:paraId="07F77E8F" w14:textId="05B1DE77" w:rsidR="000022AB" w:rsidRPr="00BA0452" w:rsidRDefault="009C6175" w:rsidP="0047673B">
            <w:pPr>
              <w:pStyle w:val="TableText"/>
              <w:keepLines/>
              <w:ind w:left="-86" w:right="-69"/>
              <w:jc w:val="center"/>
              <w:rPr>
                <w:iCs/>
                <w:szCs w:val="20"/>
                <w:highlight w:val="yellow"/>
                <w:vertAlign w:val="superscript"/>
              </w:rPr>
            </w:pPr>
            <w:r w:rsidRPr="00C16DA1">
              <w:rPr>
                <w:rFonts w:hint="eastAsia"/>
                <w:iCs/>
                <w:color w:val="000000"/>
                <w:w w:val="15"/>
                <w:szCs w:val="20"/>
                <w:shd w:val="solid" w:color="000000" w:fill="000000"/>
                <w:fitText w:val="8" w:id="-1501343987"/>
                <w14:textFill>
                  <w14:solidFill>
                    <w14:srgbClr w14:val="000000">
                      <w14:alpha w14:val="100000"/>
                    </w14:srgbClr>
                  </w14:solidFill>
                </w14:textFill>
              </w:rPr>
              <w:t xml:space="preserve">　</w:t>
            </w:r>
            <w:r w:rsidRPr="00C16DA1">
              <w:rPr>
                <w:iCs/>
                <w:color w:val="000000"/>
                <w:w w:val="15"/>
                <w:szCs w:val="20"/>
                <w:shd w:val="solid" w:color="000000" w:fill="000000"/>
                <w:fitText w:val="8" w:id="-1501343987"/>
                <w14:textFill>
                  <w14:solidFill>
                    <w14:srgbClr w14:val="000000">
                      <w14:alpha w14:val="100000"/>
                    </w14:srgbClr>
                  </w14:solidFill>
                </w14:textFill>
              </w:rPr>
              <w:t>|</w:t>
            </w:r>
            <w:r w:rsidRPr="00C16DA1">
              <w:rPr>
                <w:rFonts w:hint="eastAsia"/>
                <w:iCs/>
                <w:color w:val="000000"/>
                <w:spacing w:val="-58"/>
                <w:w w:val="15"/>
                <w:szCs w:val="20"/>
                <w:shd w:val="solid" w:color="000000" w:fill="000000"/>
                <w:fitText w:val="8" w:id="-1501343987"/>
                <w14:textFill>
                  <w14:solidFill>
                    <w14:srgbClr w14:val="000000">
                      <w14:alpha w14:val="100000"/>
                    </w14:srgbClr>
                  </w14:solidFill>
                </w14:textFill>
              </w:rPr>
              <w:t xml:space="preserve">　</w:t>
            </w:r>
            <w:r w:rsidR="00BA0452" w:rsidRPr="000606A1">
              <w:rPr>
                <w:iCs/>
                <w:szCs w:val="20"/>
                <w:vertAlign w:val="superscript"/>
              </w:rPr>
              <w:t>3</w:t>
            </w:r>
          </w:p>
        </w:tc>
      </w:tr>
      <w:tr w:rsidR="000022AB" w:rsidRPr="0084495F" w14:paraId="6E1B64AB" w14:textId="77777777" w:rsidTr="002B0E29">
        <w:tc>
          <w:tcPr>
            <w:tcW w:w="4673" w:type="dxa"/>
            <w:tcBorders>
              <w:bottom w:val="single" w:sz="4" w:space="0" w:color="auto"/>
            </w:tcBorders>
          </w:tcPr>
          <w:p w14:paraId="019BDF77" w14:textId="77777777" w:rsidR="000022AB" w:rsidRPr="0084495F" w:rsidRDefault="000022AB" w:rsidP="0047673B">
            <w:pPr>
              <w:pStyle w:val="TableText"/>
              <w:keepLines/>
              <w:ind w:right="-60"/>
              <w:rPr>
                <w:iCs/>
                <w:szCs w:val="20"/>
              </w:rPr>
            </w:pPr>
            <w:r w:rsidRPr="0084495F">
              <w:rPr>
                <w:iCs/>
                <w:szCs w:val="20"/>
              </w:rPr>
              <w:t>- increase by 20% (disutility of hospitalisation health states remains constant)</w:t>
            </w:r>
          </w:p>
        </w:tc>
        <w:tc>
          <w:tcPr>
            <w:tcW w:w="1448" w:type="dxa"/>
            <w:tcBorders>
              <w:bottom w:val="single" w:sz="4" w:space="0" w:color="auto"/>
            </w:tcBorders>
            <w:vAlign w:val="center"/>
          </w:tcPr>
          <w:p w14:paraId="53D8899B" w14:textId="72A05901" w:rsidR="000022AB" w:rsidRPr="00BA0452" w:rsidRDefault="009C6175" w:rsidP="0047673B">
            <w:pPr>
              <w:pStyle w:val="TableText"/>
              <w:keepLines/>
              <w:ind w:left="-86" w:right="-69"/>
              <w:jc w:val="center"/>
              <w:rPr>
                <w:iCs/>
                <w:szCs w:val="20"/>
                <w:highlight w:val="yellow"/>
                <w:vertAlign w:val="superscript"/>
              </w:rPr>
            </w:pPr>
            <w:r w:rsidRPr="009C6175">
              <w:rPr>
                <w:iCs/>
                <w:color w:val="000000"/>
                <w:szCs w:val="20"/>
                <w:shd w:val="solid" w:color="000000" w:fill="000000"/>
                <w14:textFill>
                  <w14:solidFill>
                    <w14:srgbClr w14:val="000000">
                      <w14:alpha w14:val="100000"/>
                    </w14:srgbClr>
                  </w14:solidFill>
                </w14:textFill>
              </w:rPr>
              <w:t>|</w:t>
            </w:r>
            <w:r w:rsidR="00BA0452" w:rsidRPr="000606A1">
              <w:rPr>
                <w:iCs/>
                <w:szCs w:val="20"/>
                <w:vertAlign w:val="superscript"/>
              </w:rPr>
              <w:t>1</w:t>
            </w:r>
          </w:p>
        </w:tc>
        <w:tc>
          <w:tcPr>
            <w:tcW w:w="1528" w:type="dxa"/>
            <w:tcBorders>
              <w:bottom w:val="single" w:sz="4" w:space="0" w:color="auto"/>
            </w:tcBorders>
            <w:vAlign w:val="center"/>
          </w:tcPr>
          <w:p w14:paraId="3523F40D" w14:textId="77777777" w:rsidR="000022AB" w:rsidRPr="0084495F" w:rsidRDefault="000022AB" w:rsidP="0047673B">
            <w:pPr>
              <w:pStyle w:val="TableText"/>
              <w:keepLines/>
              <w:ind w:left="-86" w:right="-69"/>
              <w:jc w:val="center"/>
              <w:rPr>
                <w:iCs/>
                <w:szCs w:val="20"/>
              </w:rPr>
            </w:pPr>
            <w:r w:rsidRPr="0084495F">
              <w:rPr>
                <w:iCs/>
                <w:szCs w:val="20"/>
              </w:rPr>
              <w:t>0.2627</w:t>
            </w:r>
          </w:p>
        </w:tc>
        <w:tc>
          <w:tcPr>
            <w:tcW w:w="1370" w:type="dxa"/>
            <w:vAlign w:val="center"/>
          </w:tcPr>
          <w:p w14:paraId="3F565583" w14:textId="79E8059B" w:rsidR="000022AB" w:rsidRPr="00BA0452" w:rsidRDefault="009C6175" w:rsidP="0047673B">
            <w:pPr>
              <w:pStyle w:val="TableText"/>
              <w:keepLines/>
              <w:ind w:left="-86" w:right="-69"/>
              <w:jc w:val="center"/>
              <w:rPr>
                <w:iCs/>
                <w:szCs w:val="20"/>
                <w:highlight w:val="yellow"/>
                <w:vertAlign w:val="superscript"/>
              </w:rPr>
            </w:pPr>
            <w:r w:rsidRPr="00C16DA1">
              <w:rPr>
                <w:rFonts w:hint="eastAsia"/>
                <w:iCs/>
                <w:color w:val="000000"/>
                <w:w w:val="15"/>
                <w:szCs w:val="20"/>
                <w:shd w:val="solid" w:color="000000" w:fill="000000"/>
                <w:fitText w:val="8" w:id="-1501343986"/>
                <w14:textFill>
                  <w14:solidFill>
                    <w14:srgbClr w14:val="000000">
                      <w14:alpha w14:val="100000"/>
                    </w14:srgbClr>
                  </w14:solidFill>
                </w14:textFill>
              </w:rPr>
              <w:t xml:space="preserve">　</w:t>
            </w:r>
            <w:r w:rsidRPr="00C16DA1">
              <w:rPr>
                <w:iCs/>
                <w:color w:val="000000"/>
                <w:w w:val="15"/>
                <w:szCs w:val="20"/>
                <w:shd w:val="solid" w:color="000000" w:fill="000000"/>
                <w:fitText w:val="8" w:id="-1501343986"/>
                <w14:textFill>
                  <w14:solidFill>
                    <w14:srgbClr w14:val="000000">
                      <w14:alpha w14:val="100000"/>
                    </w14:srgbClr>
                  </w14:solidFill>
                </w14:textFill>
              </w:rPr>
              <w:t>|</w:t>
            </w:r>
            <w:r w:rsidRPr="00C16DA1">
              <w:rPr>
                <w:rFonts w:hint="eastAsia"/>
                <w:iCs/>
                <w:color w:val="000000"/>
                <w:spacing w:val="-58"/>
                <w:w w:val="15"/>
                <w:szCs w:val="20"/>
                <w:shd w:val="solid" w:color="000000" w:fill="000000"/>
                <w:fitText w:val="8" w:id="-1501343986"/>
                <w14:textFill>
                  <w14:solidFill>
                    <w14:srgbClr w14:val="000000">
                      <w14:alpha w14:val="100000"/>
                    </w14:srgbClr>
                  </w14:solidFill>
                </w14:textFill>
              </w:rPr>
              <w:t xml:space="preserve">　</w:t>
            </w:r>
            <w:r w:rsidR="00BA0452" w:rsidRPr="000606A1">
              <w:rPr>
                <w:iCs/>
                <w:szCs w:val="20"/>
                <w:vertAlign w:val="superscript"/>
              </w:rPr>
              <w:t>2</w:t>
            </w:r>
          </w:p>
        </w:tc>
      </w:tr>
    </w:tbl>
    <w:p w14:paraId="659FD87A" w14:textId="77777777" w:rsidR="000022AB" w:rsidRPr="0084495F" w:rsidRDefault="000022AB" w:rsidP="0047673B">
      <w:pPr>
        <w:pStyle w:val="TableFigureFooter"/>
        <w:keepNext/>
        <w:keepLines/>
      </w:pPr>
      <w:r w:rsidRPr="0084495F">
        <w:t>Source: Table 3-26, pp188-189 of the submission and additional calculations performed during the evaluation using A7.1_Vericiguat_CEM_PBAC_Nov21_v3.0 spreadsheet provided with the submission</w:t>
      </w:r>
    </w:p>
    <w:p w14:paraId="4040AFD0" w14:textId="03AAE8CE" w:rsidR="000022AB" w:rsidRDefault="000022AB" w:rsidP="00BA0452">
      <w:pPr>
        <w:pStyle w:val="TableFigureFooter"/>
        <w:keepNext/>
        <w:keepLines/>
        <w:spacing w:after="0"/>
      </w:pPr>
      <w:r w:rsidRPr="0084495F">
        <w:t>Abbreviations: HF, heart failure; ITT, intention-to-treat; NT-</w:t>
      </w:r>
      <w:proofErr w:type="spellStart"/>
      <w:r w:rsidRPr="0084495F">
        <w:t>proBNP</w:t>
      </w:r>
      <w:proofErr w:type="spellEnd"/>
      <w:r w:rsidRPr="0084495F">
        <w:t>, N-terminal prohormone B-type natriuretic peptide; Q, quartile</w:t>
      </w:r>
    </w:p>
    <w:p w14:paraId="3D2496F6" w14:textId="77777777" w:rsidR="00BA0452" w:rsidRPr="009A6D58" w:rsidRDefault="00BA0452" w:rsidP="00BA0452">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FC02B17" w14:textId="4C38A800" w:rsidR="00BA0452" w:rsidRPr="009A6D58" w:rsidRDefault="00BA0452" w:rsidP="00BA0452">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45780">
        <w:rPr>
          <w:rFonts w:ascii="Arial Narrow" w:hAnsi="Arial Narrow"/>
          <w:i/>
          <w:sz w:val="18"/>
          <w:szCs w:val="18"/>
        </w:rPr>
        <w:t>$5,000 to &lt; $15,000</w:t>
      </w:r>
    </w:p>
    <w:p w14:paraId="4A41F562" w14:textId="64B3546B" w:rsidR="00BA0452" w:rsidRPr="009A6D58" w:rsidRDefault="00BA0452" w:rsidP="00BA0452">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E45780">
        <w:rPr>
          <w:rFonts w:ascii="Arial Narrow" w:hAnsi="Arial Narrow"/>
          <w:i/>
          <w:sz w:val="18"/>
          <w:szCs w:val="18"/>
        </w:rPr>
        <w:t>$35,000 to &lt; $45,000</w:t>
      </w:r>
    </w:p>
    <w:p w14:paraId="16B0EF62" w14:textId="77777777" w:rsidR="00BA0452" w:rsidRDefault="00BA0452" w:rsidP="00BA0452">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E45780">
        <w:rPr>
          <w:rFonts w:ascii="Arial Narrow" w:hAnsi="Arial Narrow"/>
          <w:i/>
          <w:sz w:val="18"/>
          <w:szCs w:val="18"/>
        </w:rPr>
        <w:t xml:space="preserve">$55,000 to &lt; $75,000 </w:t>
      </w:r>
    </w:p>
    <w:p w14:paraId="57F06243" w14:textId="72C07896" w:rsidR="00BA0452" w:rsidRDefault="00BA0452" w:rsidP="00BA0452">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E45780">
        <w:rPr>
          <w:rFonts w:ascii="Arial Narrow" w:hAnsi="Arial Narrow"/>
          <w:i/>
          <w:sz w:val="18"/>
          <w:szCs w:val="18"/>
        </w:rPr>
        <w:t>$45,000 to &lt; $55,000</w:t>
      </w:r>
    </w:p>
    <w:p w14:paraId="4EB1CE06" w14:textId="79545BDC" w:rsidR="00E45780" w:rsidRPr="00BA0452" w:rsidRDefault="00BA0452" w:rsidP="00BA0452">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E45780">
        <w:rPr>
          <w:rFonts w:ascii="Arial Narrow" w:hAnsi="Arial Narrow"/>
          <w:i/>
          <w:sz w:val="18"/>
          <w:szCs w:val="18"/>
        </w:rPr>
        <w:t>$25,000 to &lt; $35,000</w:t>
      </w:r>
    </w:p>
    <w:p w14:paraId="0CA5A332" w14:textId="46A48081" w:rsidR="000022AB" w:rsidRPr="0084495F" w:rsidRDefault="000022AB" w:rsidP="002E542C">
      <w:pPr>
        <w:pStyle w:val="ExecSumBodyText"/>
      </w:pPr>
      <w:r w:rsidRPr="0084495F">
        <w:t>The economic model was most sensitive to changes in the VICTORIA trial population (ITT versus NT-</w:t>
      </w:r>
      <w:proofErr w:type="spellStart"/>
      <w:r w:rsidRPr="0084495F">
        <w:t>proBNP</w:t>
      </w:r>
      <w:proofErr w:type="spellEnd"/>
      <w:r w:rsidRPr="0084495F">
        <w:t xml:space="preserve"> Q1-Q3 subgroup), the time horizon, and the utility of the alive (no hospitalisation health state).</w:t>
      </w:r>
    </w:p>
    <w:p w14:paraId="472842D7" w14:textId="5552AAFA" w:rsidR="00C25D9C" w:rsidRPr="0084495F" w:rsidRDefault="00C25D9C" w:rsidP="00BB732D">
      <w:pPr>
        <w:pStyle w:val="3-SubsectionHeading"/>
      </w:pPr>
      <w:bookmarkStart w:id="26" w:name="_Toc22897646"/>
      <w:bookmarkStart w:id="27" w:name="_Toc92732982"/>
      <w:r w:rsidRPr="0084495F">
        <w:lastRenderedPageBreak/>
        <w:t>Drug cost/patient</w:t>
      </w:r>
      <w:bookmarkEnd w:id="26"/>
      <w:bookmarkEnd w:id="27"/>
    </w:p>
    <w:p w14:paraId="47CD2197" w14:textId="77777777" w:rsidR="008270BA" w:rsidRPr="0084495F" w:rsidRDefault="008270BA" w:rsidP="008270BA">
      <w:pPr>
        <w:pStyle w:val="ExecSumBodyText"/>
      </w:pPr>
      <w:r w:rsidRPr="0084495F">
        <w:t>Drug costs in the economic model and financial estimates differed due to differences in adherence and treatment discontinuation estimates, as summarised in the table below.</w:t>
      </w:r>
      <w:r w:rsidRPr="0084495F">
        <w:rPr>
          <w:iCs/>
        </w:rPr>
        <w:t xml:space="preserve"> Both costing approaches were inadequately justified in the submission and were inconsistent with trial data.</w:t>
      </w:r>
    </w:p>
    <w:p w14:paraId="603343C8" w14:textId="3D906167" w:rsidR="00466834" w:rsidRPr="0084495F" w:rsidRDefault="00466834" w:rsidP="00FA6724">
      <w:pPr>
        <w:pStyle w:val="Caption"/>
      </w:pPr>
      <w:r w:rsidRPr="0084495F">
        <w:t xml:space="preserve">Table </w:t>
      </w:r>
      <w:r w:rsidR="00C16DA1">
        <w:fldChar w:fldCharType="begin"/>
      </w:r>
      <w:r w:rsidR="00C16DA1">
        <w:instrText xml:space="preserve"> SEQ Table \* ARABIC </w:instrText>
      </w:r>
      <w:r w:rsidR="00C16DA1">
        <w:fldChar w:fldCharType="separate"/>
      </w:r>
      <w:r w:rsidR="0084495F" w:rsidRPr="0084495F">
        <w:t>15</w:t>
      </w:r>
      <w:r w:rsidR="00C16DA1">
        <w:fldChar w:fldCharType="end"/>
      </w:r>
      <w:r w:rsidRPr="0084495F">
        <w:t>: Drug cost per patient for vericiguat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Drug cost per patient for vericiguat"/>
      </w:tblPr>
      <w:tblGrid>
        <w:gridCol w:w="1469"/>
        <w:gridCol w:w="2516"/>
        <w:gridCol w:w="2516"/>
        <w:gridCol w:w="2516"/>
      </w:tblGrid>
      <w:tr w:rsidR="00466834" w:rsidRPr="0084495F" w14:paraId="0A218274" w14:textId="77777777" w:rsidTr="002B0E29">
        <w:trPr>
          <w:cantSplit/>
          <w:tblHeader/>
          <w:jc w:val="center"/>
        </w:trPr>
        <w:tc>
          <w:tcPr>
            <w:tcW w:w="815" w:type="pct"/>
            <w:shd w:val="clear" w:color="auto" w:fill="auto"/>
            <w:vAlign w:val="center"/>
          </w:tcPr>
          <w:p w14:paraId="29BC400D" w14:textId="77777777" w:rsidR="00466834" w:rsidRPr="0084495F" w:rsidRDefault="00466834" w:rsidP="002B0E29">
            <w:pPr>
              <w:pStyle w:val="Tableheadingrow"/>
              <w:jc w:val="center"/>
              <w:rPr>
                <w:lang w:val="en-AU"/>
              </w:rPr>
            </w:pPr>
          </w:p>
        </w:tc>
        <w:tc>
          <w:tcPr>
            <w:tcW w:w="1395" w:type="pct"/>
            <w:shd w:val="clear" w:color="auto" w:fill="auto"/>
            <w:vAlign w:val="center"/>
          </w:tcPr>
          <w:p w14:paraId="35F1F7E2" w14:textId="77777777" w:rsidR="00466834" w:rsidRPr="0084495F" w:rsidRDefault="00466834" w:rsidP="002B0E29">
            <w:pPr>
              <w:pStyle w:val="Tableheadingrow"/>
              <w:jc w:val="center"/>
              <w:rPr>
                <w:lang w:val="en-AU"/>
              </w:rPr>
            </w:pPr>
            <w:r w:rsidRPr="0084495F">
              <w:rPr>
                <w:lang w:val="en-AU"/>
              </w:rPr>
              <w:t>VICTORIA trial</w:t>
            </w:r>
          </w:p>
        </w:tc>
        <w:tc>
          <w:tcPr>
            <w:tcW w:w="1395" w:type="pct"/>
            <w:shd w:val="clear" w:color="auto" w:fill="auto"/>
            <w:vAlign w:val="center"/>
          </w:tcPr>
          <w:p w14:paraId="1EBF65AE" w14:textId="77777777" w:rsidR="00466834" w:rsidRPr="0084495F" w:rsidRDefault="00466834" w:rsidP="002B0E29">
            <w:pPr>
              <w:pStyle w:val="Tableheadingrow"/>
              <w:jc w:val="center"/>
              <w:rPr>
                <w:lang w:val="en-AU"/>
              </w:rPr>
            </w:pPr>
            <w:r w:rsidRPr="0084495F">
              <w:rPr>
                <w:lang w:val="en-AU"/>
              </w:rPr>
              <w:t>Economic model</w:t>
            </w:r>
          </w:p>
        </w:tc>
        <w:tc>
          <w:tcPr>
            <w:tcW w:w="1395" w:type="pct"/>
            <w:shd w:val="clear" w:color="auto" w:fill="auto"/>
            <w:vAlign w:val="center"/>
          </w:tcPr>
          <w:p w14:paraId="2FAC901D" w14:textId="77777777" w:rsidR="00466834" w:rsidRPr="0084495F" w:rsidRDefault="00466834" w:rsidP="002B0E29">
            <w:pPr>
              <w:pStyle w:val="Tableheadingrow"/>
              <w:jc w:val="center"/>
              <w:rPr>
                <w:lang w:val="en-AU"/>
              </w:rPr>
            </w:pPr>
            <w:r w:rsidRPr="0084495F">
              <w:rPr>
                <w:lang w:val="en-AU"/>
              </w:rPr>
              <w:t>Financial estimates</w:t>
            </w:r>
          </w:p>
        </w:tc>
      </w:tr>
      <w:tr w:rsidR="00466834" w:rsidRPr="0084495F" w14:paraId="6BDFCA06" w14:textId="77777777" w:rsidTr="002B0E29">
        <w:trPr>
          <w:cantSplit/>
          <w:jc w:val="center"/>
        </w:trPr>
        <w:tc>
          <w:tcPr>
            <w:tcW w:w="815" w:type="pct"/>
            <w:shd w:val="clear" w:color="auto" w:fill="auto"/>
            <w:vAlign w:val="center"/>
          </w:tcPr>
          <w:p w14:paraId="42964E6B" w14:textId="77777777" w:rsidR="00466834" w:rsidRPr="0084495F" w:rsidRDefault="00466834" w:rsidP="002B0E29">
            <w:pPr>
              <w:pStyle w:val="TableText"/>
            </w:pPr>
            <w:r w:rsidRPr="0084495F">
              <w:t xml:space="preserve">Daily dose </w:t>
            </w:r>
            <w:r w:rsidRPr="0084495F">
              <w:rPr>
                <w:vertAlign w:val="superscript"/>
              </w:rPr>
              <w:t>a</w:t>
            </w:r>
          </w:p>
        </w:tc>
        <w:tc>
          <w:tcPr>
            <w:tcW w:w="1395" w:type="pct"/>
            <w:shd w:val="clear" w:color="auto" w:fill="auto"/>
            <w:vAlign w:val="center"/>
          </w:tcPr>
          <w:p w14:paraId="1B4B3424" w14:textId="77777777" w:rsidR="00466834" w:rsidRPr="0084495F" w:rsidRDefault="00466834" w:rsidP="002B0E29">
            <w:pPr>
              <w:pStyle w:val="TableText"/>
              <w:jc w:val="center"/>
              <w:rPr>
                <w:bCs w:val="0"/>
              </w:rPr>
            </w:pPr>
            <w:r w:rsidRPr="0084495F">
              <w:rPr>
                <w:bCs w:val="0"/>
              </w:rPr>
              <w:t>2.5 mg: 9.1%</w:t>
            </w:r>
          </w:p>
          <w:p w14:paraId="2F1C17AE" w14:textId="77777777" w:rsidR="00466834" w:rsidRPr="0084495F" w:rsidRDefault="00466834" w:rsidP="002B0E29">
            <w:pPr>
              <w:pStyle w:val="TableText"/>
              <w:jc w:val="center"/>
              <w:rPr>
                <w:bCs w:val="0"/>
              </w:rPr>
            </w:pPr>
            <w:r w:rsidRPr="0084495F">
              <w:rPr>
                <w:bCs w:val="0"/>
              </w:rPr>
              <w:t>5 mg: 9.0%</w:t>
            </w:r>
          </w:p>
          <w:p w14:paraId="63C53671" w14:textId="77777777" w:rsidR="00466834" w:rsidRPr="0084495F" w:rsidRDefault="00466834" w:rsidP="002B0E29">
            <w:pPr>
              <w:pStyle w:val="TableText"/>
              <w:jc w:val="center"/>
              <w:rPr>
                <w:b/>
              </w:rPr>
            </w:pPr>
            <w:r w:rsidRPr="0084495F">
              <w:rPr>
                <w:bCs w:val="0"/>
              </w:rPr>
              <w:t>10 mg: 81.9%</w:t>
            </w:r>
          </w:p>
        </w:tc>
        <w:tc>
          <w:tcPr>
            <w:tcW w:w="1395" w:type="pct"/>
            <w:shd w:val="clear" w:color="auto" w:fill="auto"/>
            <w:vAlign w:val="center"/>
          </w:tcPr>
          <w:p w14:paraId="1FC66ACA" w14:textId="77777777" w:rsidR="00466834" w:rsidRPr="0084495F" w:rsidRDefault="00466834" w:rsidP="002B0E29">
            <w:pPr>
              <w:pStyle w:val="TableText"/>
              <w:jc w:val="center"/>
              <w:rPr>
                <w:b/>
              </w:rPr>
            </w:pPr>
            <w:r w:rsidRPr="0084495F">
              <w:t>10 mg</w:t>
            </w:r>
          </w:p>
        </w:tc>
        <w:tc>
          <w:tcPr>
            <w:tcW w:w="1395" w:type="pct"/>
            <w:shd w:val="clear" w:color="auto" w:fill="auto"/>
            <w:vAlign w:val="center"/>
          </w:tcPr>
          <w:p w14:paraId="19FB83C7" w14:textId="77777777" w:rsidR="00466834" w:rsidRPr="0084495F" w:rsidRDefault="00466834" w:rsidP="002B0E29">
            <w:pPr>
              <w:pStyle w:val="TableText"/>
              <w:jc w:val="center"/>
              <w:rPr>
                <w:bCs w:val="0"/>
              </w:rPr>
            </w:pPr>
            <w:r w:rsidRPr="0084495F">
              <w:rPr>
                <w:bCs w:val="0"/>
              </w:rPr>
              <w:t>2.5 mg: 9.1%</w:t>
            </w:r>
          </w:p>
          <w:p w14:paraId="60FB2C34" w14:textId="77777777" w:rsidR="00466834" w:rsidRPr="0084495F" w:rsidRDefault="00466834" w:rsidP="002B0E29">
            <w:pPr>
              <w:pStyle w:val="TableText"/>
              <w:jc w:val="center"/>
              <w:rPr>
                <w:bCs w:val="0"/>
              </w:rPr>
            </w:pPr>
            <w:r w:rsidRPr="0084495F">
              <w:rPr>
                <w:bCs w:val="0"/>
              </w:rPr>
              <w:t>5 mg: 9.0%</w:t>
            </w:r>
          </w:p>
          <w:p w14:paraId="1EDBA899" w14:textId="77777777" w:rsidR="00466834" w:rsidRPr="0084495F" w:rsidRDefault="00466834" w:rsidP="002B0E29">
            <w:pPr>
              <w:pStyle w:val="TableText"/>
              <w:jc w:val="center"/>
              <w:rPr>
                <w:b/>
              </w:rPr>
            </w:pPr>
            <w:r w:rsidRPr="0084495F">
              <w:rPr>
                <w:bCs w:val="0"/>
              </w:rPr>
              <w:t>10 mg: 81.9%</w:t>
            </w:r>
          </w:p>
        </w:tc>
      </w:tr>
      <w:tr w:rsidR="00466834" w:rsidRPr="0084495F" w14:paraId="29201B22" w14:textId="77777777" w:rsidTr="002B0E29">
        <w:trPr>
          <w:cantSplit/>
          <w:jc w:val="center"/>
        </w:trPr>
        <w:tc>
          <w:tcPr>
            <w:tcW w:w="815" w:type="pct"/>
            <w:shd w:val="clear" w:color="auto" w:fill="auto"/>
            <w:vAlign w:val="center"/>
          </w:tcPr>
          <w:p w14:paraId="03563D39" w14:textId="77777777" w:rsidR="00466834" w:rsidRPr="0084495F" w:rsidRDefault="00466834" w:rsidP="002B0E29">
            <w:pPr>
              <w:pStyle w:val="TableText"/>
            </w:pPr>
            <w:r w:rsidRPr="0084495F">
              <w:t>Adherence</w:t>
            </w:r>
          </w:p>
        </w:tc>
        <w:tc>
          <w:tcPr>
            <w:tcW w:w="1395" w:type="pct"/>
            <w:shd w:val="clear" w:color="auto" w:fill="auto"/>
            <w:vAlign w:val="center"/>
          </w:tcPr>
          <w:p w14:paraId="1E775CB2" w14:textId="77777777" w:rsidR="00466834" w:rsidRPr="0084495F" w:rsidRDefault="00466834" w:rsidP="002B0E29">
            <w:pPr>
              <w:pStyle w:val="TableText"/>
              <w:jc w:val="center"/>
              <w:rPr>
                <w:b/>
              </w:rPr>
            </w:pPr>
            <w:r w:rsidRPr="0084495F">
              <w:t xml:space="preserve">95.3% </w:t>
            </w:r>
            <w:r w:rsidRPr="0084495F">
              <w:rPr>
                <w:vertAlign w:val="superscript"/>
              </w:rPr>
              <w:t>b</w:t>
            </w:r>
          </w:p>
        </w:tc>
        <w:tc>
          <w:tcPr>
            <w:tcW w:w="1395" w:type="pct"/>
            <w:shd w:val="clear" w:color="auto" w:fill="auto"/>
            <w:vAlign w:val="center"/>
          </w:tcPr>
          <w:p w14:paraId="642BD9DA" w14:textId="77777777" w:rsidR="00466834" w:rsidRPr="0084495F" w:rsidRDefault="00466834" w:rsidP="002B0E29">
            <w:pPr>
              <w:pStyle w:val="TableText"/>
              <w:jc w:val="center"/>
              <w:rPr>
                <w:b/>
              </w:rPr>
            </w:pPr>
            <w:r w:rsidRPr="0084495F">
              <w:t>100%</w:t>
            </w:r>
          </w:p>
        </w:tc>
        <w:tc>
          <w:tcPr>
            <w:tcW w:w="1395" w:type="pct"/>
            <w:shd w:val="clear" w:color="auto" w:fill="auto"/>
            <w:vAlign w:val="center"/>
          </w:tcPr>
          <w:p w14:paraId="01515B16" w14:textId="77777777" w:rsidR="00466834" w:rsidRPr="0084495F" w:rsidRDefault="00466834" w:rsidP="002B0E29">
            <w:pPr>
              <w:pStyle w:val="TableText"/>
              <w:jc w:val="center"/>
              <w:rPr>
                <w:b/>
              </w:rPr>
            </w:pPr>
            <w:r w:rsidRPr="0084495F">
              <w:t xml:space="preserve">95.3% </w:t>
            </w:r>
            <w:r w:rsidRPr="0084495F">
              <w:rPr>
                <w:vertAlign w:val="superscript"/>
              </w:rPr>
              <w:t>b</w:t>
            </w:r>
          </w:p>
        </w:tc>
      </w:tr>
      <w:tr w:rsidR="00466834" w:rsidRPr="0084495F" w14:paraId="16DA878B" w14:textId="77777777" w:rsidTr="002B0E29">
        <w:trPr>
          <w:cantSplit/>
          <w:jc w:val="center"/>
        </w:trPr>
        <w:tc>
          <w:tcPr>
            <w:tcW w:w="815" w:type="pct"/>
            <w:shd w:val="clear" w:color="auto" w:fill="auto"/>
            <w:vAlign w:val="center"/>
          </w:tcPr>
          <w:p w14:paraId="4FBDAD69" w14:textId="77777777" w:rsidR="00466834" w:rsidRPr="0084495F" w:rsidRDefault="00466834" w:rsidP="002B0E29">
            <w:pPr>
              <w:pStyle w:val="TableText"/>
            </w:pPr>
            <w:r w:rsidRPr="0084495F">
              <w:t>Treatment discontinuations</w:t>
            </w:r>
          </w:p>
        </w:tc>
        <w:tc>
          <w:tcPr>
            <w:tcW w:w="1395" w:type="pct"/>
            <w:shd w:val="clear" w:color="auto" w:fill="auto"/>
            <w:vAlign w:val="center"/>
          </w:tcPr>
          <w:p w14:paraId="3AB2741E" w14:textId="77777777" w:rsidR="00466834" w:rsidRPr="0084495F" w:rsidRDefault="00466834" w:rsidP="002B0E29">
            <w:pPr>
              <w:pStyle w:val="TableText"/>
              <w:jc w:val="center"/>
            </w:pPr>
            <w:r w:rsidRPr="0084495F">
              <w:t>38.6% including 14.2% due to deaths over mean duration of follow-up of 12.5 months</w:t>
            </w:r>
          </w:p>
        </w:tc>
        <w:tc>
          <w:tcPr>
            <w:tcW w:w="1395" w:type="pct"/>
            <w:shd w:val="clear" w:color="auto" w:fill="auto"/>
            <w:vAlign w:val="center"/>
          </w:tcPr>
          <w:p w14:paraId="6B1D7252" w14:textId="77777777" w:rsidR="00466834" w:rsidRPr="0084495F" w:rsidRDefault="00466834" w:rsidP="002B0E29">
            <w:pPr>
              <w:pStyle w:val="TableText"/>
              <w:jc w:val="center"/>
            </w:pPr>
            <w:r w:rsidRPr="0084495F">
              <w:t>No discontinuations. Modelled cardiovascular and non-cardiovascular deaths</w:t>
            </w:r>
          </w:p>
        </w:tc>
        <w:tc>
          <w:tcPr>
            <w:tcW w:w="1395" w:type="pct"/>
            <w:shd w:val="clear" w:color="auto" w:fill="auto"/>
            <w:vAlign w:val="center"/>
          </w:tcPr>
          <w:p w14:paraId="63B7A24E" w14:textId="77777777" w:rsidR="00466834" w:rsidRPr="0084495F" w:rsidRDefault="00466834" w:rsidP="002B0E29">
            <w:pPr>
              <w:pStyle w:val="TableText"/>
              <w:jc w:val="center"/>
            </w:pPr>
            <w:r w:rsidRPr="0084495F">
              <w:t xml:space="preserve">42.9% discontinuations including deaths at 12 months </w:t>
            </w:r>
            <w:r w:rsidRPr="0084495F">
              <w:rPr>
                <w:vertAlign w:val="superscript"/>
              </w:rPr>
              <w:t>c</w:t>
            </w:r>
          </w:p>
        </w:tc>
      </w:tr>
      <w:tr w:rsidR="00466834" w:rsidRPr="0084495F" w14:paraId="673D1A81" w14:textId="77777777" w:rsidTr="002B0E29">
        <w:trPr>
          <w:cantSplit/>
          <w:jc w:val="center"/>
        </w:trPr>
        <w:tc>
          <w:tcPr>
            <w:tcW w:w="815" w:type="pct"/>
            <w:shd w:val="clear" w:color="auto" w:fill="auto"/>
            <w:vAlign w:val="center"/>
          </w:tcPr>
          <w:p w14:paraId="588EA6FA" w14:textId="77777777" w:rsidR="00466834" w:rsidRPr="0084495F" w:rsidRDefault="00466834" w:rsidP="002B0E29">
            <w:pPr>
              <w:pStyle w:val="TableText"/>
            </w:pPr>
            <w:r w:rsidRPr="0084495F">
              <w:t>Treatment duration</w:t>
            </w:r>
          </w:p>
        </w:tc>
        <w:tc>
          <w:tcPr>
            <w:tcW w:w="1395" w:type="pct"/>
            <w:shd w:val="clear" w:color="auto" w:fill="auto"/>
            <w:vAlign w:val="center"/>
          </w:tcPr>
          <w:p w14:paraId="73A8A999" w14:textId="77777777" w:rsidR="00466834" w:rsidRPr="0084495F" w:rsidRDefault="00466834" w:rsidP="002B0E29">
            <w:pPr>
              <w:pStyle w:val="TableText"/>
              <w:jc w:val="center"/>
            </w:pPr>
            <w:r w:rsidRPr="0084495F">
              <w:t>Mean duration of treatment 12.34 months, over mean duration of follow-up of 12.5 months</w:t>
            </w:r>
          </w:p>
        </w:tc>
        <w:tc>
          <w:tcPr>
            <w:tcW w:w="1395" w:type="pct"/>
            <w:shd w:val="clear" w:color="auto" w:fill="auto"/>
            <w:vAlign w:val="center"/>
          </w:tcPr>
          <w:p w14:paraId="287F3830" w14:textId="48D390C7" w:rsidR="00466834" w:rsidRPr="0084495F" w:rsidRDefault="00466834" w:rsidP="002B0E29">
            <w:pPr>
              <w:pStyle w:val="TableText"/>
              <w:jc w:val="center"/>
            </w:pPr>
            <w:r w:rsidRPr="0084495F">
              <w:t>Ongoing in surviving patients</w:t>
            </w:r>
            <w:r w:rsidR="00B53149" w:rsidRPr="0084495F">
              <w:t xml:space="preserve"> (average duration </w:t>
            </w:r>
            <w:r w:rsidR="00377D24" w:rsidRPr="0084495F">
              <w:t>6.67 years)</w:t>
            </w:r>
          </w:p>
        </w:tc>
        <w:tc>
          <w:tcPr>
            <w:tcW w:w="1395" w:type="pct"/>
            <w:shd w:val="clear" w:color="auto" w:fill="auto"/>
            <w:vAlign w:val="center"/>
          </w:tcPr>
          <w:p w14:paraId="339B489A" w14:textId="77777777" w:rsidR="00466834" w:rsidRPr="0084495F" w:rsidRDefault="00466834" w:rsidP="002B0E29">
            <w:pPr>
              <w:pStyle w:val="TableText"/>
              <w:jc w:val="center"/>
              <w:rPr>
                <w:vertAlign w:val="superscript"/>
              </w:rPr>
            </w:pPr>
            <w:r w:rsidRPr="0084495F">
              <w:t xml:space="preserve">14 months fixed duration </w:t>
            </w:r>
            <w:r w:rsidRPr="0084495F">
              <w:rPr>
                <w:vertAlign w:val="superscript"/>
              </w:rPr>
              <w:t>d</w:t>
            </w:r>
          </w:p>
        </w:tc>
      </w:tr>
      <w:tr w:rsidR="00466834" w:rsidRPr="0084495F" w14:paraId="2A05C29B" w14:textId="77777777" w:rsidTr="002B0E29">
        <w:trPr>
          <w:cantSplit/>
          <w:jc w:val="center"/>
        </w:trPr>
        <w:tc>
          <w:tcPr>
            <w:tcW w:w="815" w:type="pct"/>
            <w:shd w:val="clear" w:color="auto" w:fill="auto"/>
            <w:vAlign w:val="center"/>
          </w:tcPr>
          <w:p w14:paraId="2E2EA98C" w14:textId="77777777" w:rsidR="00466834" w:rsidRPr="0084495F" w:rsidRDefault="00466834" w:rsidP="002B0E29">
            <w:pPr>
              <w:pStyle w:val="TableText"/>
            </w:pPr>
            <w:r w:rsidRPr="0084495F">
              <w:t>Number of scripts</w:t>
            </w:r>
          </w:p>
        </w:tc>
        <w:tc>
          <w:tcPr>
            <w:tcW w:w="1395" w:type="pct"/>
            <w:shd w:val="clear" w:color="auto" w:fill="auto"/>
            <w:vAlign w:val="center"/>
          </w:tcPr>
          <w:p w14:paraId="4F2B1BCD" w14:textId="77777777" w:rsidR="00466834" w:rsidRPr="0084495F" w:rsidRDefault="00466834" w:rsidP="002B0E29">
            <w:pPr>
              <w:pStyle w:val="TableText"/>
              <w:jc w:val="center"/>
            </w:pPr>
            <w:r w:rsidRPr="0084495F">
              <w:t>-</w:t>
            </w:r>
          </w:p>
        </w:tc>
        <w:tc>
          <w:tcPr>
            <w:tcW w:w="1395" w:type="pct"/>
            <w:shd w:val="clear" w:color="auto" w:fill="auto"/>
            <w:vAlign w:val="center"/>
          </w:tcPr>
          <w:p w14:paraId="43D66D4D" w14:textId="77777777" w:rsidR="00466834" w:rsidRPr="0084495F" w:rsidRDefault="00466834" w:rsidP="002B0E29">
            <w:pPr>
              <w:pStyle w:val="TableText"/>
              <w:jc w:val="center"/>
              <w:rPr>
                <w:vertAlign w:val="superscript"/>
              </w:rPr>
            </w:pPr>
            <w:r w:rsidRPr="0084495F">
              <w:t xml:space="preserve">13.04 per year </w:t>
            </w:r>
            <w:r w:rsidRPr="0084495F">
              <w:rPr>
                <w:vertAlign w:val="superscript"/>
              </w:rPr>
              <w:t>e</w:t>
            </w:r>
          </w:p>
        </w:tc>
        <w:tc>
          <w:tcPr>
            <w:tcW w:w="1395" w:type="pct"/>
            <w:shd w:val="clear" w:color="auto" w:fill="auto"/>
            <w:vAlign w:val="center"/>
          </w:tcPr>
          <w:p w14:paraId="142BF70C" w14:textId="77777777" w:rsidR="00466834" w:rsidRPr="0084495F" w:rsidRDefault="00466834" w:rsidP="002B0E29">
            <w:pPr>
              <w:pStyle w:val="TableText"/>
              <w:jc w:val="center"/>
              <w:rPr>
                <w:vertAlign w:val="superscript"/>
              </w:rPr>
            </w:pPr>
            <w:r w:rsidRPr="0084495F">
              <w:t xml:space="preserve">Initial year: 12.43 </w:t>
            </w:r>
            <w:r w:rsidRPr="0084495F">
              <w:rPr>
                <w:vertAlign w:val="superscript"/>
              </w:rPr>
              <w:t>f</w:t>
            </w:r>
          </w:p>
          <w:p w14:paraId="75B13331" w14:textId="77777777" w:rsidR="00466834" w:rsidRPr="0084495F" w:rsidRDefault="00466834" w:rsidP="002B0E29">
            <w:pPr>
              <w:pStyle w:val="TableText"/>
              <w:jc w:val="center"/>
              <w:rPr>
                <w:vertAlign w:val="superscript"/>
              </w:rPr>
            </w:pPr>
            <w:r w:rsidRPr="0084495F">
              <w:t xml:space="preserve">Subsequent year: 2.06 </w:t>
            </w:r>
            <w:r w:rsidRPr="0084495F">
              <w:rPr>
                <w:vertAlign w:val="superscript"/>
              </w:rPr>
              <w:t>g</w:t>
            </w:r>
          </w:p>
        </w:tc>
      </w:tr>
      <w:tr w:rsidR="00466834" w:rsidRPr="0084495F" w14:paraId="38D91764" w14:textId="77777777" w:rsidTr="002B0E29">
        <w:trPr>
          <w:cantSplit/>
          <w:jc w:val="center"/>
        </w:trPr>
        <w:tc>
          <w:tcPr>
            <w:tcW w:w="815" w:type="pct"/>
            <w:shd w:val="clear" w:color="auto" w:fill="auto"/>
            <w:vAlign w:val="center"/>
          </w:tcPr>
          <w:p w14:paraId="3A078C0D" w14:textId="77777777" w:rsidR="00466834" w:rsidRPr="0084495F" w:rsidRDefault="00466834" w:rsidP="002B0E29">
            <w:pPr>
              <w:pStyle w:val="TableText"/>
            </w:pPr>
            <w:r w:rsidRPr="0084495F">
              <w:t>Cost per script</w:t>
            </w:r>
          </w:p>
        </w:tc>
        <w:tc>
          <w:tcPr>
            <w:tcW w:w="1395" w:type="pct"/>
            <w:shd w:val="clear" w:color="auto" w:fill="auto"/>
            <w:vAlign w:val="center"/>
          </w:tcPr>
          <w:p w14:paraId="4E949D19" w14:textId="77777777" w:rsidR="00466834" w:rsidRPr="0084495F" w:rsidRDefault="00466834" w:rsidP="002B0E29">
            <w:pPr>
              <w:pStyle w:val="TableText"/>
              <w:jc w:val="center"/>
              <w:rPr>
                <w:b/>
              </w:rPr>
            </w:pPr>
            <w:r w:rsidRPr="0084495F">
              <w:t>-</w:t>
            </w:r>
          </w:p>
        </w:tc>
        <w:tc>
          <w:tcPr>
            <w:tcW w:w="1395" w:type="pct"/>
            <w:shd w:val="clear" w:color="auto" w:fill="auto"/>
            <w:vAlign w:val="center"/>
          </w:tcPr>
          <w:p w14:paraId="365BA1C6" w14:textId="093BF151" w:rsidR="00466834" w:rsidRPr="0084495F" w:rsidRDefault="00466834" w:rsidP="002B0E29">
            <w:pPr>
              <w:pStyle w:val="TableText"/>
              <w:jc w:val="center"/>
              <w:rPr>
                <w:b/>
              </w:rPr>
            </w:pPr>
            <w:r w:rsidRPr="0084495F">
              <w:t>DPMQ $</w:t>
            </w:r>
            <w:r w:rsidR="009C6175" w:rsidRPr="009C6175">
              <w:rPr>
                <w:color w:val="000000"/>
                <w:shd w:val="solid" w:color="000000" w:fill="000000"/>
                <w14:textFill>
                  <w14:solidFill>
                    <w14:srgbClr w14:val="000000">
                      <w14:alpha w14:val="100000"/>
                    </w14:srgbClr>
                  </w14:solidFill>
                </w14:textFill>
              </w:rPr>
              <w:t>|</w:t>
            </w:r>
          </w:p>
        </w:tc>
        <w:tc>
          <w:tcPr>
            <w:tcW w:w="1395" w:type="pct"/>
            <w:shd w:val="clear" w:color="auto" w:fill="auto"/>
            <w:vAlign w:val="center"/>
          </w:tcPr>
          <w:p w14:paraId="7459ECA9" w14:textId="088EA7AB" w:rsidR="00466834" w:rsidRPr="0084495F" w:rsidRDefault="00466834" w:rsidP="002B0E29">
            <w:pPr>
              <w:pStyle w:val="TableText"/>
              <w:jc w:val="center"/>
              <w:rPr>
                <w:b/>
              </w:rPr>
            </w:pPr>
            <w:r w:rsidRPr="0084495F">
              <w:t>DPMQ $</w:t>
            </w:r>
            <w:r w:rsidR="009C6175" w:rsidRPr="009C6175">
              <w:rPr>
                <w:color w:val="000000"/>
                <w:shd w:val="solid" w:color="000000" w:fill="000000"/>
                <w14:textFill>
                  <w14:solidFill>
                    <w14:srgbClr w14:val="000000">
                      <w14:alpha w14:val="100000"/>
                    </w14:srgbClr>
                  </w14:solidFill>
                </w14:textFill>
              </w:rPr>
              <w:t>|</w:t>
            </w:r>
          </w:p>
        </w:tc>
      </w:tr>
      <w:tr w:rsidR="00466834" w:rsidRPr="0084495F" w14:paraId="257A9B12" w14:textId="77777777" w:rsidTr="002B0E29">
        <w:trPr>
          <w:cantSplit/>
          <w:jc w:val="center"/>
        </w:trPr>
        <w:tc>
          <w:tcPr>
            <w:tcW w:w="815" w:type="pct"/>
            <w:shd w:val="clear" w:color="auto" w:fill="auto"/>
            <w:vAlign w:val="center"/>
          </w:tcPr>
          <w:p w14:paraId="7B6324E0" w14:textId="77777777" w:rsidR="00466834" w:rsidRPr="0084495F" w:rsidRDefault="00466834" w:rsidP="002B0E29">
            <w:pPr>
              <w:pStyle w:val="TableText"/>
            </w:pPr>
            <w:r w:rsidRPr="0084495F">
              <w:t>Cost per patient</w:t>
            </w:r>
          </w:p>
        </w:tc>
        <w:tc>
          <w:tcPr>
            <w:tcW w:w="1395" w:type="pct"/>
            <w:shd w:val="clear" w:color="auto" w:fill="auto"/>
            <w:vAlign w:val="center"/>
          </w:tcPr>
          <w:p w14:paraId="258AA581" w14:textId="77777777" w:rsidR="00466834" w:rsidRPr="0084495F" w:rsidRDefault="00466834" w:rsidP="002B0E29">
            <w:pPr>
              <w:pStyle w:val="TableText"/>
              <w:jc w:val="center"/>
            </w:pPr>
            <w:r w:rsidRPr="0084495F">
              <w:t>-</w:t>
            </w:r>
          </w:p>
        </w:tc>
        <w:tc>
          <w:tcPr>
            <w:tcW w:w="1395" w:type="pct"/>
            <w:shd w:val="clear" w:color="auto" w:fill="auto"/>
            <w:vAlign w:val="center"/>
          </w:tcPr>
          <w:p w14:paraId="52FC10B7" w14:textId="5193E73C" w:rsidR="00466834" w:rsidRPr="0084495F" w:rsidRDefault="00466834" w:rsidP="00351341">
            <w:pPr>
              <w:pStyle w:val="TableText"/>
              <w:jc w:val="center"/>
            </w:pPr>
            <w:r w:rsidRPr="0084495F">
              <w:t>$</w:t>
            </w:r>
            <w:r w:rsidR="009C6175" w:rsidRPr="009C6175">
              <w:rPr>
                <w:color w:val="000000"/>
                <w:shd w:val="solid" w:color="000000" w:fill="000000"/>
                <w14:textFill>
                  <w14:solidFill>
                    <w14:srgbClr w14:val="000000">
                      <w14:alpha w14:val="100000"/>
                    </w14:srgbClr>
                  </w14:solidFill>
                </w14:textFill>
              </w:rPr>
              <w:t>|</w:t>
            </w:r>
            <w:r w:rsidRPr="0084495F">
              <w:t xml:space="preserve"> per year</w:t>
            </w:r>
          </w:p>
        </w:tc>
        <w:tc>
          <w:tcPr>
            <w:tcW w:w="1395" w:type="pct"/>
            <w:shd w:val="clear" w:color="auto" w:fill="auto"/>
            <w:vAlign w:val="center"/>
          </w:tcPr>
          <w:p w14:paraId="2B1A27EE" w14:textId="411B1451" w:rsidR="00466834" w:rsidRPr="0084495F" w:rsidRDefault="00466834" w:rsidP="00351341">
            <w:pPr>
              <w:pStyle w:val="TableText"/>
              <w:jc w:val="center"/>
              <w:rPr>
                <w:vertAlign w:val="superscript"/>
              </w:rPr>
            </w:pPr>
            <w:r w:rsidRPr="0084495F">
              <w:t>$</w:t>
            </w:r>
            <w:r w:rsidR="009C6175" w:rsidRPr="00D23C96">
              <w:rPr>
                <w:rFonts w:hint="eastAsia"/>
                <w:color w:val="000000"/>
                <w:w w:val="18"/>
                <w:shd w:val="solid" w:color="000000" w:fill="000000"/>
                <w:fitText w:val="83" w:id="-1501343985"/>
                <w14:textFill>
                  <w14:solidFill>
                    <w14:srgbClr w14:val="000000">
                      <w14:alpha w14:val="100000"/>
                    </w14:srgbClr>
                  </w14:solidFill>
                </w14:textFill>
              </w:rPr>
              <w:t xml:space="preserve">　</w:t>
            </w:r>
            <w:proofErr w:type="gramStart"/>
            <w:r w:rsidR="009C6175" w:rsidRPr="00D23C96">
              <w:rPr>
                <w:color w:val="000000"/>
                <w:w w:val="18"/>
                <w:shd w:val="solid" w:color="000000" w:fill="000000"/>
                <w:fitText w:val="83" w:id="-1501343985"/>
                <w14:textFill>
                  <w14:solidFill>
                    <w14:srgbClr w14:val="000000">
                      <w14:alpha w14:val="100000"/>
                    </w14:srgbClr>
                  </w14:solidFill>
                </w14:textFill>
              </w:rPr>
              <w:t>|</w:t>
            </w:r>
            <w:r w:rsidR="009C6175" w:rsidRPr="00D23C96">
              <w:rPr>
                <w:rFonts w:hint="eastAsia"/>
                <w:color w:val="000000"/>
                <w:spacing w:val="12"/>
                <w:w w:val="18"/>
                <w:shd w:val="solid" w:color="000000" w:fill="000000"/>
                <w:fitText w:val="83" w:id="-1501343985"/>
                <w14:textFill>
                  <w14:solidFill>
                    <w14:srgbClr w14:val="000000">
                      <w14:alpha w14:val="100000"/>
                    </w14:srgbClr>
                  </w14:solidFill>
                </w14:textFill>
              </w:rPr>
              <w:t xml:space="preserve">　</w:t>
            </w:r>
            <w:r w:rsidRPr="0084495F">
              <w:t xml:space="preserve"> per</w:t>
            </w:r>
            <w:proofErr w:type="gramEnd"/>
            <w:r w:rsidRPr="0084495F">
              <w:t xml:space="preserve"> patient (fixed) </w:t>
            </w:r>
            <w:r w:rsidRPr="0084495F">
              <w:rPr>
                <w:vertAlign w:val="superscript"/>
              </w:rPr>
              <w:t>h</w:t>
            </w:r>
          </w:p>
        </w:tc>
      </w:tr>
    </w:tbl>
    <w:p w14:paraId="6B9BD18F" w14:textId="77777777" w:rsidR="00466834" w:rsidRPr="0084495F" w:rsidRDefault="00466834" w:rsidP="00466834">
      <w:pPr>
        <w:pStyle w:val="TableFigureFooter"/>
      </w:pPr>
      <w:r w:rsidRPr="0084495F">
        <w:t>Source: Table 2-18, pp90-92 of the submission; ‘A7.1_Vericiguat_CEM_PBAC_Nov21_v3.0’ spreadsheet provided with the submission; ‘A8_Vericiguat_Section 4 UCM_PBAC_Nov2021_V3.0’ spreadsheet provided with the submission; Table 10-1, p58 of the VICTORIA trial clinical study report.</w:t>
      </w:r>
    </w:p>
    <w:p w14:paraId="53C35ADA" w14:textId="77777777" w:rsidR="00466834" w:rsidRPr="0084495F" w:rsidRDefault="00466834" w:rsidP="00466834">
      <w:pPr>
        <w:pStyle w:val="TableFigureFooter"/>
      </w:pPr>
      <w:r w:rsidRPr="0084495F">
        <w:rPr>
          <w:vertAlign w:val="superscript"/>
        </w:rPr>
        <w:t>a</w:t>
      </w:r>
      <w:r w:rsidRPr="0084495F">
        <w:t xml:space="preserve"> Patients in the VICTORIA trial initiated on vericiguat 2.5 mg daily with titration to a target dose of 10 mg daily based on blood pressure and symptom criteria. The mean average dose of study drug reported over the course of the study was 7.8 mg. Population split across doses (2.5mg, 5mg, and 10mg) based on the status over the entire treatment period.</w:t>
      </w:r>
    </w:p>
    <w:p w14:paraId="08813970" w14:textId="77777777" w:rsidR="00466834" w:rsidRPr="0084495F" w:rsidRDefault="00466834" w:rsidP="00466834">
      <w:pPr>
        <w:pStyle w:val="TableFigureFooter"/>
      </w:pPr>
      <w:r w:rsidRPr="0084495F">
        <w:rPr>
          <w:vertAlign w:val="superscript"/>
        </w:rPr>
        <w:t>b</w:t>
      </w:r>
      <w:r w:rsidRPr="0084495F">
        <w:t xml:space="preserve"> Mean treatment compliance reported in the VICTORIA trial.</w:t>
      </w:r>
    </w:p>
    <w:p w14:paraId="608521CD" w14:textId="77777777" w:rsidR="00466834" w:rsidRPr="0084495F" w:rsidRDefault="00466834" w:rsidP="00466834">
      <w:pPr>
        <w:pStyle w:val="TableFigureFooter"/>
      </w:pPr>
      <w:r w:rsidRPr="0084495F">
        <w:rPr>
          <w:vertAlign w:val="superscript"/>
        </w:rPr>
        <w:t>c</w:t>
      </w:r>
      <w:r w:rsidRPr="0084495F">
        <w:t xml:space="preserve"> </w:t>
      </w:r>
      <w:proofErr w:type="gramStart"/>
      <w:r w:rsidRPr="0084495F">
        <w:t>The</w:t>
      </w:r>
      <w:proofErr w:type="gramEnd"/>
      <w:r w:rsidRPr="0084495F">
        <w:t xml:space="preserve"> proportion of patients who discontinued or died after 1 year was extrapolated based on the median follow-up duration of 10.8 months in the trial (calculated as 38.6% ÷ 10.8 x 12 = 42.9%).</w:t>
      </w:r>
    </w:p>
    <w:p w14:paraId="6E6EA470" w14:textId="77777777" w:rsidR="00466834" w:rsidRPr="0084495F" w:rsidRDefault="00466834" w:rsidP="00466834">
      <w:pPr>
        <w:pStyle w:val="TableFigureFooter"/>
      </w:pPr>
      <w:r w:rsidRPr="0084495F">
        <w:rPr>
          <w:vertAlign w:val="superscript"/>
        </w:rPr>
        <w:t>d</w:t>
      </w:r>
      <w:r w:rsidRPr="0084495F">
        <w:t xml:space="preserve"> </w:t>
      </w:r>
      <w:proofErr w:type="gramStart"/>
      <w:r w:rsidRPr="0084495F">
        <w:t>The</w:t>
      </w:r>
      <w:proofErr w:type="gramEnd"/>
      <w:r w:rsidRPr="0084495F">
        <w:t xml:space="preserve"> submission calculated a monthly discontinuation rate of 3.57% based on 38.6% of patients discontinuing vericiguat over a median follow-up duration of 10.8 months. Assuming a fixed, linear trend, the submission estimated that all patients would discontinue treatment by 28 months. The submission assumed the mid-point of 28 months would represent the average treatment duration of all patients (calculated as 0.5 x 28 = 14 months).</w:t>
      </w:r>
    </w:p>
    <w:p w14:paraId="25A75D44" w14:textId="77777777" w:rsidR="00466834" w:rsidRPr="0084495F" w:rsidRDefault="00466834" w:rsidP="00466834">
      <w:pPr>
        <w:pStyle w:val="TableFigureFooter"/>
      </w:pPr>
      <w:r w:rsidRPr="0084495F">
        <w:rPr>
          <w:vertAlign w:val="superscript"/>
        </w:rPr>
        <w:t xml:space="preserve">e </w:t>
      </w:r>
      <w:r w:rsidRPr="0084495F">
        <w:t xml:space="preserve">Calculated as 365.25 days ÷ 28 days script coverage </w:t>
      </w:r>
    </w:p>
    <w:p w14:paraId="20B1C7DB" w14:textId="77777777" w:rsidR="00466834" w:rsidRPr="0084495F" w:rsidRDefault="00466834" w:rsidP="00466834">
      <w:pPr>
        <w:pStyle w:val="TableFigureFooter"/>
      </w:pPr>
      <w:r w:rsidRPr="0084495F">
        <w:rPr>
          <w:vertAlign w:val="superscript"/>
        </w:rPr>
        <w:t>f</w:t>
      </w:r>
      <w:r w:rsidRPr="0084495F">
        <w:t xml:space="preserve"> Calculated as 365.25 days ÷ 28 days script coverage x 95.3% adherence</w:t>
      </w:r>
    </w:p>
    <w:p w14:paraId="5F4CE157" w14:textId="77777777" w:rsidR="00466834" w:rsidRPr="0084495F" w:rsidRDefault="00466834" w:rsidP="00466834">
      <w:pPr>
        <w:pStyle w:val="TableFigureFooter"/>
      </w:pPr>
      <w:r w:rsidRPr="0084495F">
        <w:rPr>
          <w:vertAlign w:val="superscript"/>
        </w:rPr>
        <w:t>g</w:t>
      </w:r>
      <w:r w:rsidRPr="0084495F">
        <w:t xml:space="preserve"> </w:t>
      </w:r>
      <w:proofErr w:type="gramStart"/>
      <w:r w:rsidRPr="0084495F">
        <w:t>The</w:t>
      </w:r>
      <w:proofErr w:type="gramEnd"/>
      <w:r w:rsidRPr="0084495F">
        <w:t xml:space="preserve"> submission assumed that continuing patients would receive a further 2 months of treatment based on an average treatment duration of 14 months. The number of scripts per patient was estimated as 2.06 based on 2.17 scripts to cover 2 months of treatment, adjusted by 95.3% adherence.</w:t>
      </w:r>
    </w:p>
    <w:p w14:paraId="236DBD12" w14:textId="3B1130EB" w:rsidR="00466834" w:rsidRPr="0084495F" w:rsidRDefault="00466834" w:rsidP="00466834">
      <w:pPr>
        <w:pStyle w:val="TableFigureFooter"/>
      </w:pPr>
      <w:r w:rsidRPr="0084495F">
        <w:rPr>
          <w:vertAlign w:val="superscript"/>
        </w:rPr>
        <w:t>h</w:t>
      </w:r>
      <w:r w:rsidRPr="0084495F">
        <w:t xml:space="preserve"> Total scripts per patient calculated as 12.43 + 2.06 = 14.49. Cost per patient calculated as 14.49 x DPMQ $</w:t>
      </w:r>
      <w:proofErr w:type="gramStart"/>
      <w:r w:rsidR="009C6175" w:rsidRPr="00D23C96">
        <w:rPr>
          <w:color w:val="000000"/>
          <w:spacing w:val="37"/>
          <w:shd w:val="solid" w:color="000000" w:fill="000000"/>
          <w:fitText w:val="279" w:id="-1501343984"/>
          <w14:textFill>
            <w14:solidFill>
              <w14:srgbClr w14:val="000000">
                <w14:alpha w14:val="100000"/>
              </w14:srgbClr>
            </w14:solidFill>
          </w14:textFill>
        </w:rPr>
        <w:t xml:space="preserve">|  </w:t>
      </w:r>
      <w:r w:rsidR="009C6175" w:rsidRPr="00D23C96">
        <w:rPr>
          <w:color w:val="000000"/>
          <w:spacing w:val="12"/>
          <w:shd w:val="solid" w:color="000000" w:fill="000000"/>
          <w:fitText w:val="279" w:id="-1501343984"/>
          <w14:textFill>
            <w14:solidFill>
              <w14:srgbClr w14:val="000000">
                <w14:alpha w14:val="100000"/>
              </w14:srgbClr>
            </w14:solidFill>
          </w14:textFill>
        </w:rPr>
        <w:t>|</w:t>
      </w:r>
      <w:proofErr w:type="gramEnd"/>
      <w:r w:rsidRPr="0084495F">
        <w:t xml:space="preserve"> = $</w:t>
      </w:r>
      <w:r w:rsidR="009C6175" w:rsidRPr="009C6175">
        <w:rPr>
          <w:color w:val="000000"/>
          <w:spacing w:val="37"/>
          <w:shd w:val="solid" w:color="000000" w:fill="000000"/>
          <w:fitText w:val="272" w:id="-1501344000"/>
          <w14:textFill>
            <w14:solidFill>
              <w14:srgbClr w14:val="000000">
                <w14:alpha w14:val="100000"/>
              </w14:srgbClr>
            </w14:solidFill>
          </w14:textFill>
        </w:rPr>
        <w:t xml:space="preserve">|  </w:t>
      </w:r>
      <w:r w:rsidR="009C6175" w:rsidRPr="009C6175">
        <w:rPr>
          <w:color w:val="000000"/>
          <w:spacing w:val="3"/>
          <w:shd w:val="solid" w:color="000000" w:fill="000000"/>
          <w:fitText w:val="272" w:id="-1501344000"/>
          <w14:textFill>
            <w14:solidFill>
              <w14:srgbClr w14:val="000000">
                <w14:alpha w14:val="100000"/>
              </w14:srgbClr>
            </w14:solidFill>
          </w14:textFill>
        </w:rPr>
        <w:t>|</w:t>
      </w:r>
    </w:p>
    <w:p w14:paraId="268768EF" w14:textId="3626F292" w:rsidR="00B60939" w:rsidRPr="0084495F" w:rsidRDefault="00B60939" w:rsidP="002B05A1">
      <w:pPr>
        <w:pStyle w:val="3-SubsectionHeading"/>
      </w:pPr>
      <w:bookmarkStart w:id="28" w:name="_Toc22897647"/>
      <w:bookmarkStart w:id="29" w:name="_Toc92732983"/>
      <w:r w:rsidRPr="0084495F">
        <w:t>Estimated PBS usage &amp; financial implications</w:t>
      </w:r>
      <w:bookmarkEnd w:id="28"/>
      <w:bookmarkEnd w:id="29"/>
    </w:p>
    <w:p w14:paraId="36D1B685" w14:textId="51F2774D" w:rsidR="00624423" w:rsidRPr="0084495F" w:rsidRDefault="00936F22" w:rsidP="00624423">
      <w:pPr>
        <w:pStyle w:val="ExecSumBodyText"/>
      </w:pPr>
      <w:bookmarkStart w:id="30" w:name="_Toc22897650"/>
      <w:bookmarkStart w:id="31" w:name="_Toc92732986"/>
      <w:r w:rsidRPr="0084495F">
        <w:rPr>
          <w:rFonts w:cstheme="minorHAnsi"/>
          <w:bCs/>
          <w:iCs/>
        </w:rPr>
        <w:t>The submission was considered by DUSC</w:t>
      </w:r>
      <w:r w:rsidRPr="0084495F">
        <w:rPr>
          <w:rFonts w:ascii="Arial" w:hAnsi="Arial"/>
          <w:bCs/>
          <w:iCs/>
          <w:sz w:val="22"/>
          <w:szCs w:val="22"/>
        </w:rPr>
        <w:t>.</w:t>
      </w:r>
      <w:r w:rsidRPr="0084495F">
        <w:rPr>
          <w:rFonts w:ascii="Arial" w:hAnsi="Arial"/>
          <w:bCs/>
          <w:sz w:val="22"/>
          <w:szCs w:val="22"/>
        </w:rPr>
        <w:t xml:space="preserve"> </w:t>
      </w:r>
      <w:r w:rsidR="00624423" w:rsidRPr="0084495F">
        <w:t>The submission used an epidemiological approach to estimate the utilisation and financial impact.</w:t>
      </w:r>
    </w:p>
    <w:p w14:paraId="2653D48D" w14:textId="01F8D44C" w:rsidR="00624423" w:rsidRPr="0084495F" w:rsidRDefault="00624423" w:rsidP="001D1543">
      <w:pPr>
        <w:pStyle w:val="Caption"/>
        <w:keepNext w:val="0"/>
      </w:pPr>
      <w:r w:rsidRPr="0084495F">
        <w:t xml:space="preserve">Table </w:t>
      </w:r>
      <w:r w:rsidR="00C16DA1">
        <w:fldChar w:fldCharType="begin"/>
      </w:r>
      <w:r w:rsidR="00C16DA1">
        <w:instrText xml:space="preserve"> SEQ Table \* ARABIC </w:instrText>
      </w:r>
      <w:r w:rsidR="00C16DA1">
        <w:fldChar w:fldCharType="separate"/>
      </w:r>
      <w:r w:rsidR="0084495F" w:rsidRPr="0084495F">
        <w:t>16</w:t>
      </w:r>
      <w:r w:rsidR="00C16DA1">
        <w:fldChar w:fldCharType="end"/>
      </w:r>
      <w:r w:rsidRPr="0084495F">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Key inputs for financial estimates"/>
      </w:tblPr>
      <w:tblGrid>
        <w:gridCol w:w="1436"/>
        <w:gridCol w:w="3473"/>
        <w:gridCol w:w="4108"/>
      </w:tblGrid>
      <w:tr w:rsidR="00624423" w:rsidRPr="0084495F" w14:paraId="2FCD5962" w14:textId="77777777" w:rsidTr="00AB18E5">
        <w:trPr>
          <w:cantSplit/>
          <w:tblHeader/>
        </w:trPr>
        <w:tc>
          <w:tcPr>
            <w:tcW w:w="796" w:type="pct"/>
            <w:shd w:val="clear" w:color="auto" w:fill="auto"/>
            <w:vAlign w:val="center"/>
          </w:tcPr>
          <w:p w14:paraId="790DDC97" w14:textId="77777777" w:rsidR="00624423" w:rsidRPr="0084495F" w:rsidRDefault="00624423" w:rsidP="001D1543">
            <w:pPr>
              <w:pStyle w:val="Tableheadingrow"/>
              <w:keepNext w:val="0"/>
              <w:rPr>
                <w:lang w:val="en-AU"/>
              </w:rPr>
            </w:pPr>
            <w:r w:rsidRPr="0084495F">
              <w:rPr>
                <w:lang w:val="en-AU"/>
              </w:rPr>
              <w:t>Parameter</w:t>
            </w:r>
          </w:p>
        </w:tc>
        <w:tc>
          <w:tcPr>
            <w:tcW w:w="1926" w:type="pct"/>
            <w:shd w:val="clear" w:color="auto" w:fill="auto"/>
            <w:vAlign w:val="center"/>
          </w:tcPr>
          <w:p w14:paraId="23D495FA" w14:textId="77777777" w:rsidR="00624423" w:rsidRPr="0084495F" w:rsidRDefault="00624423" w:rsidP="001D1543">
            <w:pPr>
              <w:pStyle w:val="Tableheadingrow"/>
              <w:keepNext w:val="0"/>
              <w:jc w:val="center"/>
              <w:rPr>
                <w:lang w:val="en-AU"/>
              </w:rPr>
            </w:pPr>
            <w:r w:rsidRPr="0084495F">
              <w:rPr>
                <w:lang w:val="en-AU"/>
              </w:rPr>
              <w:t>Value applied and source</w:t>
            </w:r>
          </w:p>
        </w:tc>
        <w:tc>
          <w:tcPr>
            <w:tcW w:w="2278" w:type="pct"/>
            <w:shd w:val="clear" w:color="auto" w:fill="auto"/>
            <w:vAlign w:val="center"/>
          </w:tcPr>
          <w:p w14:paraId="2D8A5AE2" w14:textId="77777777" w:rsidR="00624423" w:rsidRPr="0084495F" w:rsidRDefault="00624423" w:rsidP="001D1543">
            <w:pPr>
              <w:pStyle w:val="Tableheadingrow"/>
              <w:keepNext w:val="0"/>
              <w:jc w:val="center"/>
              <w:rPr>
                <w:lang w:val="en-AU"/>
              </w:rPr>
            </w:pPr>
            <w:r w:rsidRPr="0084495F">
              <w:rPr>
                <w:lang w:val="en-AU"/>
              </w:rPr>
              <w:t>Comment</w:t>
            </w:r>
          </w:p>
        </w:tc>
      </w:tr>
      <w:tr w:rsidR="00624423" w:rsidRPr="0084495F" w14:paraId="12593E43" w14:textId="77777777" w:rsidTr="00AB18E5">
        <w:trPr>
          <w:cantSplit/>
          <w:trHeight w:val="46"/>
        </w:trPr>
        <w:tc>
          <w:tcPr>
            <w:tcW w:w="5000" w:type="pct"/>
            <w:gridSpan w:val="3"/>
            <w:shd w:val="clear" w:color="auto" w:fill="auto"/>
            <w:vAlign w:val="center"/>
          </w:tcPr>
          <w:p w14:paraId="73EAD0CD" w14:textId="77777777" w:rsidR="00624423" w:rsidRPr="0084495F" w:rsidRDefault="00624423" w:rsidP="001D1543">
            <w:pPr>
              <w:pStyle w:val="TableText"/>
              <w:keepNext w:val="0"/>
              <w:rPr>
                <w:b/>
                <w:bCs w:val="0"/>
              </w:rPr>
            </w:pPr>
            <w:r w:rsidRPr="0084495F">
              <w:rPr>
                <w:b/>
                <w:bCs w:val="0"/>
              </w:rPr>
              <w:t>Eligible population</w:t>
            </w:r>
          </w:p>
        </w:tc>
      </w:tr>
      <w:tr w:rsidR="00624423" w:rsidRPr="0084495F" w14:paraId="12414EA6" w14:textId="77777777" w:rsidTr="00AB18E5">
        <w:trPr>
          <w:cantSplit/>
          <w:trHeight w:val="46"/>
        </w:trPr>
        <w:tc>
          <w:tcPr>
            <w:tcW w:w="796" w:type="pct"/>
            <w:shd w:val="clear" w:color="auto" w:fill="auto"/>
            <w:vAlign w:val="center"/>
          </w:tcPr>
          <w:p w14:paraId="04B65880" w14:textId="77777777" w:rsidR="00624423" w:rsidRPr="0084495F" w:rsidRDefault="00624423" w:rsidP="001D1543">
            <w:pPr>
              <w:pStyle w:val="TableText"/>
              <w:keepNext w:val="0"/>
            </w:pPr>
            <w:r w:rsidRPr="0084495F">
              <w:lastRenderedPageBreak/>
              <w:t>Prevalence of HF</w:t>
            </w:r>
          </w:p>
        </w:tc>
        <w:tc>
          <w:tcPr>
            <w:tcW w:w="1926" w:type="pct"/>
            <w:shd w:val="clear" w:color="auto" w:fill="auto"/>
            <w:vAlign w:val="center"/>
          </w:tcPr>
          <w:p w14:paraId="626DD6E7" w14:textId="77777777" w:rsidR="00624423" w:rsidRPr="0084495F" w:rsidRDefault="00624423" w:rsidP="001D1543">
            <w:pPr>
              <w:pStyle w:val="TableText"/>
              <w:keepNext w:val="0"/>
            </w:pPr>
            <w:r w:rsidRPr="0084495F">
              <w:t>1.5%; based on a systematic review of the prevalence or incidence of heart failure in Australia published between 1990 and 2015 (</w:t>
            </w:r>
            <w:proofErr w:type="spellStart"/>
            <w:r w:rsidRPr="0084495F">
              <w:t>Sahle</w:t>
            </w:r>
            <w:proofErr w:type="spellEnd"/>
            <w:r w:rsidRPr="0084495F">
              <w:t xml:space="preserve"> 2016). The submission used 1.5% as the midpoint of the range of prevalence estimates (1.0-2.0%).  </w:t>
            </w:r>
          </w:p>
        </w:tc>
        <w:tc>
          <w:tcPr>
            <w:tcW w:w="2278" w:type="pct"/>
            <w:shd w:val="clear" w:color="auto" w:fill="auto"/>
            <w:vAlign w:val="center"/>
          </w:tcPr>
          <w:p w14:paraId="2ADA42CC" w14:textId="2E683CA5" w:rsidR="00624423" w:rsidRPr="0084495F" w:rsidRDefault="00624423" w:rsidP="001D1543">
            <w:pPr>
              <w:pStyle w:val="TableText"/>
              <w:keepNext w:val="0"/>
              <w:rPr>
                <w:iCs/>
              </w:rPr>
            </w:pPr>
            <w:r w:rsidRPr="0084495F">
              <w:rPr>
                <w:iCs/>
              </w:rPr>
              <w:t xml:space="preserve">In November 2020, DUSC </w:t>
            </w:r>
            <w:r w:rsidR="001D1855" w:rsidRPr="0084495F">
              <w:rPr>
                <w:iCs/>
              </w:rPr>
              <w:t>advis</w:t>
            </w:r>
            <w:r w:rsidRPr="0084495F">
              <w:rPr>
                <w:iCs/>
              </w:rPr>
              <w:t xml:space="preserve">ed the prevalence estimate of 1.5% to be an underestimate of heart failure in Australia (para 6.60, dapagliflozin PSD, November 2020 PBAC meeting). DUSC considered an alternative prevalence of 2.199% reported in the SHAPE study, a retrospective analysis of heart failure patients in Australian primary care (Liew 2020). </w:t>
            </w:r>
          </w:p>
        </w:tc>
      </w:tr>
      <w:tr w:rsidR="00624423" w:rsidRPr="0084495F" w14:paraId="4A3D6B11" w14:textId="77777777" w:rsidTr="00AB18E5">
        <w:trPr>
          <w:cantSplit/>
          <w:trHeight w:val="46"/>
        </w:trPr>
        <w:tc>
          <w:tcPr>
            <w:tcW w:w="796" w:type="pct"/>
            <w:shd w:val="clear" w:color="auto" w:fill="auto"/>
            <w:vAlign w:val="center"/>
          </w:tcPr>
          <w:p w14:paraId="6E72F52B" w14:textId="77777777" w:rsidR="00624423" w:rsidRPr="0084495F" w:rsidRDefault="00624423" w:rsidP="001D1543">
            <w:pPr>
              <w:pStyle w:val="TableText"/>
              <w:keepNext w:val="0"/>
            </w:pPr>
            <w:r w:rsidRPr="0084495F">
              <w:t xml:space="preserve">Proportion of patients with </w:t>
            </w:r>
            <w:proofErr w:type="spellStart"/>
            <w:r w:rsidRPr="0084495F">
              <w:t>HFrEF</w:t>
            </w:r>
            <w:proofErr w:type="spellEnd"/>
            <w:r w:rsidRPr="0084495F">
              <w:t>, LVEF &lt;45%</w:t>
            </w:r>
          </w:p>
        </w:tc>
        <w:tc>
          <w:tcPr>
            <w:tcW w:w="1926" w:type="pct"/>
            <w:shd w:val="clear" w:color="auto" w:fill="auto"/>
            <w:vAlign w:val="center"/>
          </w:tcPr>
          <w:p w14:paraId="4B345BAC" w14:textId="77777777" w:rsidR="00624423" w:rsidRPr="0084495F" w:rsidRDefault="00624423" w:rsidP="001D1543">
            <w:pPr>
              <w:pStyle w:val="TableText"/>
              <w:keepNext w:val="0"/>
            </w:pPr>
            <w:r w:rsidRPr="0084495F">
              <w:t>59.9%; based on an unpublished retrospective analysis of acute care heart failure admissions to South Australian public hospitals between January 2012 and December 2019 (Chew et al, September 2021 South Australia Heart Failure Registry final study report). At the index admission, 59.85% of all heart failure patients had LVEF &lt;45%.</w:t>
            </w:r>
          </w:p>
        </w:tc>
        <w:tc>
          <w:tcPr>
            <w:tcW w:w="2278" w:type="pct"/>
            <w:shd w:val="clear" w:color="auto" w:fill="auto"/>
            <w:vAlign w:val="center"/>
          </w:tcPr>
          <w:p w14:paraId="32ADA270" w14:textId="77777777" w:rsidR="00624423" w:rsidRPr="0084495F" w:rsidRDefault="00624423" w:rsidP="001D1543">
            <w:pPr>
              <w:pStyle w:val="TableText"/>
              <w:keepNext w:val="0"/>
              <w:rPr>
                <w:iCs/>
              </w:rPr>
            </w:pPr>
            <w:r w:rsidRPr="0084495F">
              <w:rPr>
                <w:iCs/>
              </w:rPr>
              <w:t xml:space="preserve">This proportion was </w:t>
            </w:r>
            <w:proofErr w:type="gramStart"/>
            <w:r w:rsidRPr="0084495F">
              <w:rPr>
                <w:iCs/>
              </w:rPr>
              <w:t>similar to</w:t>
            </w:r>
            <w:proofErr w:type="gramEnd"/>
            <w:r w:rsidRPr="0084495F">
              <w:rPr>
                <w:iCs/>
              </w:rPr>
              <w:t xml:space="preserve"> the proportion of patients with </w:t>
            </w:r>
            <w:proofErr w:type="spellStart"/>
            <w:r w:rsidRPr="0084495F">
              <w:rPr>
                <w:iCs/>
              </w:rPr>
              <w:t>HFrEF</w:t>
            </w:r>
            <w:proofErr w:type="spellEnd"/>
            <w:r w:rsidRPr="0084495F">
              <w:rPr>
                <w:iCs/>
              </w:rPr>
              <w:t xml:space="preserve"> (LVEF ≤40%) of 57% previously considered by the PBAC in the September 2021 dapagliflozin submission (Table 15, dapagliflozin PSD, September 2021 PBAC meeting). DUSC has previously noted alternative estimates of </w:t>
            </w:r>
            <w:proofErr w:type="spellStart"/>
            <w:r w:rsidRPr="0084495F">
              <w:rPr>
                <w:iCs/>
              </w:rPr>
              <w:t>HFrEF</w:t>
            </w:r>
            <w:proofErr w:type="spellEnd"/>
            <w:r w:rsidRPr="0084495F">
              <w:rPr>
                <w:iCs/>
              </w:rPr>
              <w:t xml:space="preserve"> from an analysis of the SHAPE study of primary care records (62%) and SNAPSHOT-HF study based on acute heart failure admissions (58%) (para 6.60, dapagliflozin PSD, November 2020 PBAC meeting).</w:t>
            </w:r>
          </w:p>
        </w:tc>
      </w:tr>
      <w:tr w:rsidR="00624423" w:rsidRPr="0084495F" w14:paraId="6D9D44EF" w14:textId="77777777" w:rsidTr="00AB18E5">
        <w:trPr>
          <w:cantSplit/>
          <w:trHeight w:val="46"/>
        </w:trPr>
        <w:tc>
          <w:tcPr>
            <w:tcW w:w="796" w:type="pct"/>
            <w:shd w:val="clear" w:color="auto" w:fill="auto"/>
            <w:vAlign w:val="center"/>
          </w:tcPr>
          <w:p w14:paraId="314156D9" w14:textId="77777777" w:rsidR="00624423" w:rsidRPr="0084495F" w:rsidRDefault="00624423" w:rsidP="001D1543">
            <w:pPr>
              <w:pStyle w:val="TableText"/>
              <w:keepNext w:val="0"/>
            </w:pPr>
            <w:r w:rsidRPr="0084495F">
              <w:t>Proportion of patients with NYHA class II-IV</w:t>
            </w:r>
          </w:p>
        </w:tc>
        <w:tc>
          <w:tcPr>
            <w:tcW w:w="1926" w:type="pct"/>
            <w:shd w:val="clear" w:color="auto" w:fill="auto"/>
            <w:vAlign w:val="center"/>
          </w:tcPr>
          <w:p w14:paraId="32AD9D59" w14:textId="77777777" w:rsidR="00624423" w:rsidRPr="0084495F" w:rsidRDefault="00624423" w:rsidP="001D1543">
            <w:pPr>
              <w:pStyle w:val="TableText"/>
              <w:keepNext w:val="0"/>
            </w:pPr>
            <w:r w:rsidRPr="0084495F">
              <w:t>88%; based on a survey of the sponsor’s advisory board (Attachment 9.2 of the submission). The submission used the mean estimate of proportion of patients in NYHA class II-IV with a worsening HF event in the last 6 months.</w:t>
            </w:r>
          </w:p>
        </w:tc>
        <w:tc>
          <w:tcPr>
            <w:tcW w:w="2278" w:type="pct"/>
            <w:shd w:val="clear" w:color="auto" w:fill="auto"/>
            <w:vAlign w:val="center"/>
          </w:tcPr>
          <w:p w14:paraId="497A22FE" w14:textId="77777777" w:rsidR="00624423" w:rsidRPr="0084495F" w:rsidRDefault="00624423" w:rsidP="001D1543">
            <w:pPr>
              <w:pStyle w:val="TableText"/>
              <w:keepNext w:val="0"/>
            </w:pPr>
            <w:r w:rsidRPr="0084495F">
              <w:rPr>
                <w:iCs/>
              </w:rPr>
              <w:t xml:space="preserve">The applicability of this estimate was uncertain as the range of responses varied between 70-100%. The PBAC previously considered a 95% estimate of patients with </w:t>
            </w:r>
            <w:proofErr w:type="spellStart"/>
            <w:r w:rsidRPr="0084495F">
              <w:rPr>
                <w:iCs/>
              </w:rPr>
              <w:t>HFrEF</w:t>
            </w:r>
            <w:proofErr w:type="spellEnd"/>
            <w:r w:rsidRPr="0084495F">
              <w:rPr>
                <w:iCs/>
              </w:rPr>
              <w:t xml:space="preserve"> with LVEF ≤40% are in NYHA class II-IV, used in the September 2021 dapagliflozin submission and July 2016 sacubitril/valsartan submission (Table 15, dapagliflozin PSD, September 2021 PBAC meeting).</w:t>
            </w:r>
          </w:p>
        </w:tc>
      </w:tr>
      <w:tr w:rsidR="00624423" w:rsidRPr="0084495F" w14:paraId="65704052" w14:textId="77777777" w:rsidTr="00AB18E5">
        <w:trPr>
          <w:cantSplit/>
          <w:trHeight w:val="46"/>
        </w:trPr>
        <w:tc>
          <w:tcPr>
            <w:tcW w:w="796" w:type="pct"/>
            <w:shd w:val="clear" w:color="auto" w:fill="auto"/>
            <w:vAlign w:val="center"/>
          </w:tcPr>
          <w:p w14:paraId="456A7CC9" w14:textId="77777777" w:rsidR="00624423" w:rsidRPr="0084495F" w:rsidRDefault="00624423" w:rsidP="001D1543">
            <w:pPr>
              <w:pStyle w:val="TableText"/>
              <w:keepNext w:val="0"/>
            </w:pPr>
            <w:r w:rsidRPr="0084495F">
              <w:t>Proportion of patients with a worsening HF event</w:t>
            </w:r>
          </w:p>
        </w:tc>
        <w:tc>
          <w:tcPr>
            <w:tcW w:w="1926" w:type="pct"/>
            <w:shd w:val="clear" w:color="auto" w:fill="auto"/>
            <w:vAlign w:val="center"/>
          </w:tcPr>
          <w:p w14:paraId="2141FD85" w14:textId="23BB1448" w:rsidR="00624423" w:rsidRPr="0084495F" w:rsidRDefault="00624423" w:rsidP="001D1543">
            <w:pPr>
              <w:pStyle w:val="TableText"/>
              <w:keepNext w:val="0"/>
            </w:pPr>
            <w:r w:rsidRPr="0084495F">
              <w:t>26.6%; based on an unpublished retrospective analysis of the South Australian Heart Failure Registry (Chew et al, September 2021). The submission used the estimated event rate for re</w:t>
            </w:r>
            <w:r w:rsidR="001D1855" w:rsidRPr="0084495F">
              <w:t>-</w:t>
            </w:r>
            <w:r w:rsidRPr="0084495F">
              <w:t>hospitalisation for heart failure within 12 months</w:t>
            </w:r>
            <w:r w:rsidR="0004541C" w:rsidRPr="0084495F">
              <w:t xml:space="preserve"> of the index event</w:t>
            </w:r>
            <w:r w:rsidRPr="0084495F">
              <w:t xml:space="preserve"> in all patients with heart failure. </w:t>
            </w:r>
          </w:p>
        </w:tc>
        <w:tc>
          <w:tcPr>
            <w:tcW w:w="2278" w:type="pct"/>
            <w:shd w:val="clear" w:color="auto" w:fill="auto"/>
            <w:vAlign w:val="center"/>
          </w:tcPr>
          <w:p w14:paraId="7BA78A44" w14:textId="5CD1CF4B" w:rsidR="00624423" w:rsidRPr="0084495F" w:rsidRDefault="00624423" w:rsidP="001D1543">
            <w:pPr>
              <w:pStyle w:val="TableText"/>
              <w:keepNext w:val="0"/>
              <w:rPr>
                <w:iCs/>
              </w:rPr>
            </w:pPr>
            <w:r w:rsidRPr="0084495F">
              <w:rPr>
                <w:iCs/>
              </w:rPr>
              <w:t>The applicability of this estimate was uncertain as it was based on re-hospitalisations within 12 months of the index hospitalisation, which is narrower in definition than in the</w:t>
            </w:r>
            <w:r w:rsidR="0004541C" w:rsidRPr="0084495F">
              <w:rPr>
                <w:iCs/>
              </w:rPr>
              <w:t xml:space="preserve"> proposed</w:t>
            </w:r>
            <w:r w:rsidRPr="0084495F">
              <w:rPr>
                <w:iCs/>
              </w:rPr>
              <w:t xml:space="preserve"> restriction (any recent decompensation event, no timeframe specified). The estimate was also based on all HF patients in the study which may not be applicable to the target population with symptomatic </w:t>
            </w:r>
            <w:proofErr w:type="spellStart"/>
            <w:r w:rsidRPr="0084495F">
              <w:rPr>
                <w:iCs/>
              </w:rPr>
              <w:t>HFrEF</w:t>
            </w:r>
            <w:proofErr w:type="spellEnd"/>
            <w:r w:rsidRPr="0084495F">
              <w:rPr>
                <w:iCs/>
              </w:rPr>
              <w:t>. The Chew study indicated increasing rates of re</w:t>
            </w:r>
            <w:r w:rsidR="001D1855" w:rsidRPr="0084495F">
              <w:rPr>
                <w:iCs/>
              </w:rPr>
              <w:t>-</w:t>
            </w:r>
            <w:r w:rsidRPr="0084495F">
              <w:rPr>
                <w:iCs/>
              </w:rPr>
              <w:t>hospitalisations based on subgroups simulating the trial inclusion criteria (</w:t>
            </w:r>
            <w:r w:rsidRPr="0084495F">
              <w:t>51.8% in the subgroup with recent hospitalisation (≤6 months) and 76.4% in the subgroup with recent hospitalisation, LVEF &lt;45%, elevated NT-</w:t>
            </w:r>
            <w:proofErr w:type="spellStart"/>
            <w:r w:rsidRPr="0084495F">
              <w:t>proBNP</w:t>
            </w:r>
            <w:proofErr w:type="spellEnd"/>
            <w:r w:rsidRPr="0084495F">
              <w:t xml:space="preserve"> and eGFR&gt;15 mL/min/1.73m</w:t>
            </w:r>
            <w:r w:rsidRPr="0084495F">
              <w:rPr>
                <w:vertAlign w:val="superscript"/>
              </w:rPr>
              <w:t>2</w:t>
            </w:r>
            <w:r w:rsidRPr="0084495F">
              <w:t>.</w:t>
            </w:r>
            <w:r w:rsidR="0004541C" w:rsidRPr="0084495F">
              <w:t xml:space="preserve"> The PBAC considered that</w:t>
            </w:r>
            <w:r w:rsidR="00D70EC6" w:rsidRPr="0084495F">
              <w:t xml:space="preserve"> this estimate was likely overestimated </w:t>
            </w:r>
            <w:r w:rsidR="00533628" w:rsidRPr="0084495F">
              <w:t>even with</w:t>
            </w:r>
            <w:r w:rsidR="00D70EC6" w:rsidRPr="0084495F">
              <w:t xml:space="preserve"> t</w:t>
            </w:r>
            <w:r w:rsidR="0004541C" w:rsidRPr="0084495F">
              <w:t xml:space="preserve">he narrower </w:t>
            </w:r>
            <w:r w:rsidR="00533628" w:rsidRPr="0084495F">
              <w:t xml:space="preserve">revised </w:t>
            </w:r>
            <w:r w:rsidR="0004541C" w:rsidRPr="0084495F">
              <w:t>restriction</w:t>
            </w:r>
            <w:r w:rsidR="00D70EC6" w:rsidRPr="0084495F">
              <w:t xml:space="preserve"> in which timeframes were specified for the decompensation event</w:t>
            </w:r>
            <w:r w:rsidR="00533628" w:rsidRPr="0084495F">
              <w:t xml:space="preserve"> (</w:t>
            </w:r>
            <w:r w:rsidR="00533628" w:rsidRPr="0084495F">
              <w:rPr>
                <w:iCs/>
              </w:rPr>
              <w:t xml:space="preserve">hospitalisation in the past 6 months or intravenous diuretic therapy </w:t>
            </w:r>
            <w:r w:rsidR="00533628" w:rsidRPr="0084495F">
              <w:rPr>
                <w:rFonts w:cstheme="minorHAnsi"/>
              </w:rPr>
              <w:t xml:space="preserve">for heart failure (without hospitalisation) </w:t>
            </w:r>
            <w:r w:rsidR="00533628" w:rsidRPr="0084495F">
              <w:rPr>
                <w:iCs/>
              </w:rPr>
              <w:t>in the past 3 months)</w:t>
            </w:r>
            <w:r w:rsidR="00D70EC6" w:rsidRPr="0084495F">
              <w:t>.</w:t>
            </w:r>
          </w:p>
        </w:tc>
      </w:tr>
      <w:tr w:rsidR="00624423" w:rsidRPr="0084495F" w14:paraId="4ADF02DF" w14:textId="77777777" w:rsidTr="00AB18E5">
        <w:trPr>
          <w:cantSplit/>
          <w:trHeight w:val="46"/>
        </w:trPr>
        <w:tc>
          <w:tcPr>
            <w:tcW w:w="796" w:type="pct"/>
            <w:shd w:val="clear" w:color="auto" w:fill="auto"/>
            <w:vAlign w:val="center"/>
          </w:tcPr>
          <w:p w14:paraId="1E60801A" w14:textId="77777777" w:rsidR="00624423" w:rsidRPr="0084495F" w:rsidRDefault="00624423" w:rsidP="001D1543">
            <w:pPr>
              <w:pStyle w:val="TableText"/>
              <w:keepNext w:val="0"/>
            </w:pPr>
            <w:r w:rsidRPr="0084495F">
              <w:rPr>
                <w:rFonts w:cs="Calibri"/>
                <w:color w:val="000000"/>
                <w:szCs w:val="20"/>
              </w:rPr>
              <w:lastRenderedPageBreak/>
              <w:t xml:space="preserve">Treated with </w:t>
            </w:r>
            <w:proofErr w:type="spellStart"/>
            <w:r w:rsidRPr="0084495F">
              <w:rPr>
                <w:rFonts w:cs="Calibri"/>
                <w:color w:val="000000"/>
                <w:szCs w:val="20"/>
              </w:rPr>
              <w:t>ACEi</w:t>
            </w:r>
            <w:proofErr w:type="spellEnd"/>
            <w:r w:rsidRPr="0084495F">
              <w:rPr>
                <w:rFonts w:cs="Calibri"/>
                <w:color w:val="000000"/>
                <w:szCs w:val="20"/>
              </w:rPr>
              <w:t xml:space="preserve">/ARB or </w:t>
            </w:r>
            <w:proofErr w:type="spellStart"/>
            <w:r w:rsidRPr="0084495F">
              <w:rPr>
                <w:rFonts w:cs="Calibri"/>
                <w:color w:val="000000"/>
                <w:szCs w:val="20"/>
              </w:rPr>
              <w:t>ARNi</w:t>
            </w:r>
            <w:proofErr w:type="spellEnd"/>
          </w:p>
        </w:tc>
        <w:tc>
          <w:tcPr>
            <w:tcW w:w="1926" w:type="pct"/>
            <w:shd w:val="clear" w:color="auto" w:fill="auto"/>
            <w:vAlign w:val="center"/>
          </w:tcPr>
          <w:p w14:paraId="771F3803" w14:textId="1CA5B10A" w:rsidR="00624423" w:rsidRPr="0084495F" w:rsidRDefault="00624423" w:rsidP="001D1543">
            <w:pPr>
              <w:pStyle w:val="TableText"/>
              <w:keepNext w:val="0"/>
            </w:pPr>
            <w:r w:rsidRPr="0084495F">
              <w:t xml:space="preserve">90%; based on a survey of the sponsor’s advisory board. The sum of mean percentages for patients with </w:t>
            </w:r>
            <w:proofErr w:type="spellStart"/>
            <w:r w:rsidRPr="0084495F">
              <w:t>HFrEF</w:t>
            </w:r>
            <w:proofErr w:type="spellEnd"/>
            <w:r w:rsidRPr="0084495F">
              <w:t xml:space="preserve"> who are on an </w:t>
            </w:r>
            <w:proofErr w:type="spellStart"/>
            <w:r w:rsidRPr="0084495F">
              <w:t>ACEi</w:t>
            </w:r>
            <w:proofErr w:type="spellEnd"/>
            <w:r w:rsidRPr="0084495F">
              <w:t xml:space="preserve">/ARB or </w:t>
            </w:r>
            <w:proofErr w:type="spellStart"/>
            <w:r w:rsidRPr="0084495F">
              <w:t>ARNi</w:t>
            </w:r>
            <w:proofErr w:type="spellEnd"/>
            <w:r w:rsidRPr="0084495F">
              <w:t xml:space="preserve"> was 90% prior to a worsening event and 89% after a worsening event.</w:t>
            </w:r>
          </w:p>
        </w:tc>
        <w:tc>
          <w:tcPr>
            <w:tcW w:w="2278" w:type="pct"/>
            <w:shd w:val="clear" w:color="auto" w:fill="auto"/>
            <w:vAlign w:val="center"/>
          </w:tcPr>
          <w:p w14:paraId="03B4D1BD" w14:textId="106E5E5C" w:rsidR="00624423" w:rsidRPr="0084495F" w:rsidRDefault="00624423" w:rsidP="001D1543">
            <w:pPr>
              <w:pStyle w:val="TableText"/>
              <w:keepNext w:val="0"/>
              <w:rPr>
                <w:iCs/>
              </w:rPr>
            </w:pPr>
            <w:r w:rsidRPr="0084495F">
              <w:rPr>
                <w:iCs/>
              </w:rPr>
              <w:t xml:space="preserve">The requested restriction requires patients to be on the maximum tolerated dose of a beta-blocker and mineralocorticoid receptor antagonist in addition to an </w:t>
            </w:r>
            <w:proofErr w:type="spellStart"/>
            <w:r w:rsidRPr="0084495F">
              <w:rPr>
                <w:iCs/>
              </w:rPr>
              <w:t>ACEi</w:t>
            </w:r>
            <w:proofErr w:type="spellEnd"/>
            <w:r w:rsidRPr="0084495F">
              <w:rPr>
                <w:iCs/>
              </w:rPr>
              <w:t>/ARB/</w:t>
            </w:r>
            <w:proofErr w:type="spellStart"/>
            <w:r w:rsidRPr="0084495F">
              <w:rPr>
                <w:iCs/>
              </w:rPr>
              <w:t>ARNi</w:t>
            </w:r>
            <w:proofErr w:type="spellEnd"/>
            <w:r w:rsidRPr="0084495F">
              <w:rPr>
                <w:iCs/>
              </w:rPr>
              <w:t>. The proportion of patients who are receiving standard care was uncertain as it also allows for treatment of patients who are contraindicated/ intolerant to standard care therapies.</w:t>
            </w:r>
            <w:r w:rsidR="006D46D0" w:rsidRPr="0084495F">
              <w:rPr>
                <w:iCs/>
              </w:rPr>
              <w:t xml:space="preserve"> DUSC considered that 90% would be an overestimate and noted that the submission indicated 58.7% of patients in the vericiguat treatment group of the VICTORIA trial were using a beta-blocker, mineralocorticoid receptor antagonist (MRA) and an </w:t>
            </w:r>
            <w:proofErr w:type="spellStart"/>
            <w:r w:rsidR="006D46D0" w:rsidRPr="0084495F">
              <w:rPr>
                <w:iCs/>
              </w:rPr>
              <w:t>ACEi</w:t>
            </w:r>
            <w:proofErr w:type="spellEnd"/>
            <w:r w:rsidR="006D46D0" w:rsidRPr="0084495F">
              <w:rPr>
                <w:iCs/>
              </w:rPr>
              <w:t>/ARB/</w:t>
            </w:r>
            <w:proofErr w:type="spellStart"/>
            <w:r w:rsidR="006D46D0" w:rsidRPr="0084495F">
              <w:rPr>
                <w:iCs/>
              </w:rPr>
              <w:t>ARNi</w:t>
            </w:r>
            <w:proofErr w:type="spellEnd"/>
            <w:r w:rsidR="006D46D0" w:rsidRPr="0084495F">
              <w:rPr>
                <w:iCs/>
              </w:rPr>
              <w:t>.</w:t>
            </w:r>
          </w:p>
        </w:tc>
      </w:tr>
      <w:tr w:rsidR="00624423" w:rsidRPr="0084495F" w14:paraId="21FC8EC3" w14:textId="77777777" w:rsidTr="00AB18E5">
        <w:trPr>
          <w:cantSplit/>
          <w:trHeight w:val="46"/>
        </w:trPr>
        <w:tc>
          <w:tcPr>
            <w:tcW w:w="796" w:type="pct"/>
            <w:shd w:val="clear" w:color="auto" w:fill="auto"/>
            <w:vAlign w:val="center"/>
          </w:tcPr>
          <w:p w14:paraId="687DFC3A" w14:textId="77777777" w:rsidR="00624423" w:rsidRPr="0084495F" w:rsidRDefault="00624423" w:rsidP="001D1543">
            <w:pPr>
              <w:pStyle w:val="TableText"/>
              <w:keepNext w:val="0"/>
              <w:rPr>
                <w:rFonts w:cs="Calibri"/>
                <w:color w:val="000000"/>
                <w:szCs w:val="20"/>
              </w:rPr>
            </w:pPr>
            <w:r w:rsidRPr="0084495F">
              <w:rPr>
                <w:rFonts w:cs="Calibri"/>
                <w:color w:val="000000"/>
                <w:szCs w:val="20"/>
              </w:rPr>
              <w:t>Proportion of patients stabilised after a worsening HF event</w:t>
            </w:r>
          </w:p>
        </w:tc>
        <w:tc>
          <w:tcPr>
            <w:tcW w:w="1926" w:type="pct"/>
            <w:shd w:val="clear" w:color="auto" w:fill="auto"/>
            <w:vAlign w:val="center"/>
          </w:tcPr>
          <w:p w14:paraId="44422765" w14:textId="77777777" w:rsidR="00624423" w:rsidRPr="0084495F" w:rsidRDefault="00624423" w:rsidP="001D1543">
            <w:pPr>
              <w:pStyle w:val="TableText"/>
              <w:keepNext w:val="0"/>
            </w:pPr>
            <w:r w:rsidRPr="0084495F">
              <w:t>77.2%; based on an unpublished retrospective analysis of the South Australia Heart Failure Registry (Chew et al, September 2021 report). An NT-</w:t>
            </w:r>
            <w:proofErr w:type="spellStart"/>
            <w:r w:rsidRPr="0084495F">
              <w:t>proBNP</w:t>
            </w:r>
            <w:proofErr w:type="spellEnd"/>
            <w:r w:rsidRPr="0084495F">
              <w:t xml:space="preserve"> quartile analysis of all patients with test results at the index presentation indicated 77.17% of patients were in the first three quartiles (see Table 4.1.3, Attachment 4 of the commentary). This estimate was used as a proxy for patients who have stabilised after a worsening event.  </w:t>
            </w:r>
          </w:p>
        </w:tc>
        <w:tc>
          <w:tcPr>
            <w:tcW w:w="2278" w:type="pct"/>
            <w:shd w:val="clear" w:color="auto" w:fill="auto"/>
            <w:vAlign w:val="center"/>
          </w:tcPr>
          <w:p w14:paraId="38EE1DDE" w14:textId="6FE3320D" w:rsidR="00624423" w:rsidRPr="0084495F" w:rsidRDefault="00624423" w:rsidP="001D1543">
            <w:pPr>
              <w:pStyle w:val="TableText"/>
              <w:keepNext w:val="0"/>
              <w:rPr>
                <w:iCs/>
              </w:rPr>
            </w:pPr>
            <w:r w:rsidRPr="0084495F">
              <w:rPr>
                <w:iCs/>
              </w:rPr>
              <w:t>The clinical relevance of NT-</w:t>
            </w:r>
            <w:proofErr w:type="spellStart"/>
            <w:r w:rsidRPr="0084495F">
              <w:rPr>
                <w:iCs/>
              </w:rPr>
              <w:t>proBNP</w:t>
            </w:r>
            <w:proofErr w:type="spellEnd"/>
            <w:r w:rsidRPr="0084495F">
              <w:rPr>
                <w:iCs/>
              </w:rPr>
              <w:t xml:space="preserve"> levels and stabilisation following a worsening event was uncertain. The quartile analysis is a statistical tool used to determine the range of NT-</w:t>
            </w:r>
            <w:proofErr w:type="spellStart"/>
            <w:r w:rsidRPr="0084495F">
              <w:rPr>
                <w:iCs/>
              </w:rPr>
              <w:t>proBNP</w:t>
            </w:r>
            <w:proofErr w:type="spellEnd"/>
            <w:r w:rsidRPr="0084495F">
              <w:rPr>
                <w:iCs/>
              </w:rPr>
              <w:t xml:space="preserve"> estimates that would divide the patient numbers into four quartiles. The estimate used in the submission appeared arbitrary, with the range of NT-</w:t>
            </w:r>
            <w:proofErr w:type="spellStart"/>
            <w:r w:rsidRPr="0084495F">
              <w:rPr>
                <w:iCs/>
              </w:rPr>
              <w:t>proBNP</w:t>
            </w:r>
            <w:proofErr w:type="spellEnd"/>
            <w:r w:rsidRPr="0084495F">
              <w:rPr>
                <w:iCs/>
              </w:rPr>
              <w:t xml:space="preserve"> estimates representing each quartile varying between the VICTORIA trial and Chew analyses of all patients and subgroup analyses of cohorts emulating the VICTORIA trial. Data from the Chew analyses were also limited due to the relatively small proportion of patients with NT-</w:t>
            </w:r>
            <w:proofErr w:type="spellStart"/>
            <w:r w:rsidRPr="0084495F">
              <w:rPr>
                <w:iCs/>
              </w:rPr>
              <w:t>proBNP</w:t>
            </w:r>
            <w:proofErr w:type="spellEnd"/>
            <w:r w:rsidRPr="0084495F">
              <w:rPr>
                <w:iCs/>
              </w:rPr>
              <w:t xml:space="preserve"> results (32%).</w:t>
            </w:r>
            <w:r w:rsidR="006D46D0" w:rsidRPr="0084495F">
              <w:rPr>
                <w:iCs/>
              </w:rPr>
              <w:t xml:space="preserve"> DUSC considered that due to the </w:t>
            </w:r>
            <w:proofErr w:type="gramStart"/>
            <w:r w:rsidR="006D46D0" w:rsidRPr="0084495F">
              <w:rPr>
                <w:iCs/>
              </w:rPr>
              <w:t>aforementioned issues</w:t>
            </w:r>
            <w:proofErr w:type="gramEnd"/>
            <w:r w:rsidR="006D46D0" w:rsidRPr="0084495F">
              <w:rPr>
                <w:iCs/>
              </w:rPr>
              <w:t xml:space="preserve"> and the MBS restrictions</w:t>
            </w:r>
            <w:r w:rsidR="00CD094F" w:rsidRPr="0084495F">
              <w:rPr>
                <w:iCs/>
              </w:rPr>
              <w:t>,</w:t>
            </w:r>
            <w:r w:rsidR="006D46D0" w:rsidRPr="0084495F">
              <w:rPr>
                <w:iCs/>
              </w:rPr>
              <w:t xml:space="preserve"> the </w:t>
            </w:r>
            <w:r w:rsidR="00CD094F" w:rsidRPr="0084495F">
              <w:rPr>
                <w:iCs/>
              </w:rPr>
              <w:t>value of 77.2% wa</w:t>
            </w:r>
            <w:r w:rsidR="006D46D0" w:rsidRPr="0084495F">
              <w:rPr>
                <w:iCs/>
              </w:rPr>
              <w:t>s likely underestimated. However, the PBAC considered that other restriction criteria would be required to target use to stabilised patients, and thus the estimate of 77.2% was unlikely to be an underestimate.</w:t>
            </w:r>
          </w:p>
        </w:tc>
      </w:tr>
      <w:tr w:rsidR="00624423" w:rsidRPr="0084495F" w14:paraId="4D59D719" w14:textId="77777777" w:rsidTr="00AB18E5">
        <w:trPr>
          <w:cantSplit/>
          <w:trHeight w:val="46"/>
        </w:trPr>
        <w:tc>
          <w:tcPr>
            <w:tcW w:w="5000" w:type="pct"/>
            <w:gridSpan w:val="3"/>
            <w:shd w:val="clear" w:color="auto" w:fill="auto"/>
            <w:vAlign w:val="center"/>
          </w:tcPr>
          <w:p w14:paraId="70FDA2C2" w14:textId="77777777" w:rsidR="00624423" w:rsidRPr="0084495F" w:rsidRDefault="00624423" w:rsidP="001D1543">
            <w:pPr>
              <w:pStyle w:val="TableText"/>
              <w:keepNext w:val="0"/>
              <w:rPr>
                <w:b/>
                <w:bCs w:val="0"/>
              </w:rPr>
            </w:pPr>
            <w:r w:rsidRPr="0084495F">
              <w:rPr>
                <w:b/>
                <w:bCs w:val="0"/>
              </w:rPr>
              <w:t>Treatment utilisation</w:t>
            </w:r>
          </w:p>
        </w:tc>
      </w:tr>
      <w:tr w:rsidR="00624423" w:rsidRPr="0084495F" w14:paraId="401290AF" w14:textId="77777777" w:rsidTr="00AB18E5">
        <w:trPr>
          <w:cantSplit/>
          <w:trHeight w:val="46"/>
        </w:trPr>
        <w:tc>
          <w:tcPr>
            <w:tcW w:w="796" w:type="pct"/>
            <w:shd w:val="clear" w:color="auto" w:fill="auto"/>
            <w:vAlign w:val="center"/>
          </w:tcPr>
          <w:p w14:paraId="0A9DC635" w14:textId="77777777" w:rsidR="00624423" w:rsidRPr="0084495F" w:rsidRDefault="00624423" w:rsidP="001D1543">
            <w:pPr>
              <w:pStyle w:val="TableText"/>
              <w:keepNext w:val="0"/>
              <w:rPr>
                <w:rFonts w:cs="Calibri"/>
                <w:color w:val="000000"/>
                <w:szCs w:val="20"/>
              </w:rPr>
            </w:pPr>
            <w:r w:rsidRPr="0084495F">
              <w:rPr>
                <w:rFonts w:cs="Calibri"/>
                <w:color w:val="000000"/>
                <w:szCs w:val="20"/>
              </w:rPr>
              <w:t>Uptake rate</w:t>
            </w:r>
          </w:p>
        </w:tc>
        <w:tc>
          <w:tcPr>
            <w:tcW w:w="1926" w:type="pct"/>
            <w:shd w:val="clear" w:color="auto" w:fill="auto"/>
            <w:vAlign w:val="center"/>
          </w:tcPr>
          <w:p w14:paraId="61C996D9" w14:textId="5B493D8B" w:rsidR="00624423" w:rsidRPr="0084495F" w:rsidRDefault="00630114" w:rsidP="001D1543">
            <w:pPr>
              <w:pStyle w:val="TableText"/>
              <w:keepNext w:val="0"/>
            </w:pPr>
            <w:r w:rsidRPr="00630114">
              <w:rPr>
                <w:rFonts w:hint="eastAsia"/>
                <w:color w:val="000000"/>
                <w:w w:val="15"/>
                <w:shd w:val="solid" w:color="000000" w:fill="000000"/>
                <w:fitText w:val="60" w:id="-1498662400"/>
                <w14:textFill>
                  <w14:solidFill>
                    <w14:srgbClr w14:val="000000">
                      <w14:alpha w14:val="100000"/>
                    </w14:srgbClr>
                  </w14:solidFill>
                </w14:textFill>
              </w:rPr>
              <w:t xml:space="preserve">　</w:t>
            </w:r>
            <w:r w:rsidRPr="00630114">
              <w:rPr>
                <w:color w:val="000000"/>
                <w:w w:val="15"/>
                <w:shd w:val="solid" w:color="000000" w:fill="000000"/>
                <w:fitText w:val="60" w:id="-1498662400"/>
                <w14:textFill>
                  <w14:solidFill>
                    <w14:srgbClr w14:val="000000">
                      <w14:alpha w14:val="100000"/>
                    </w14:srgbClr>
                  </w14:solidFill>
                </w14:textFill>
              </w:rPr>
              <w:t>|</w:t>
            </w:r>
            <w:r w:rsidRPr="00630114">
              <w:rPr>
                <w:rFonts w:hint="eastAsia"/>
                <w:color w:val="000000"/>
                <w:w w:val="15"/>
                <w:shd w:val="solid" w:color="000000" w:fill="000000"/>
                <w:fitText w:val="60" w:id="-1498662400"/>
                <w14:textFill>
                  <w14:solidFill>
                    <w14:srgbClr w14:val="000000">
                      <w14:alpha w14:val="100000"/>
                    </w14:srgbClr>
                  </w14:solidFill>
                </w14:textFill>
              </w:rPr>
              <w:t xml:space="preserve">　</w:t>
            </w:r>
            <w:r w:rsidR="00624423" w:rsidRPr="009A2717">
              <w:t xml:space="preserve">% in Yr 1, increasing to </w:t>
            </w:r>
            <w:r w:rsidR="009C6175" w:rsidRPr="00D23C96">
              <w:rPr>
                <w:color w:val="000000"/>
                <w:spacing w:val="54"/>
                <w:shd w:val="solid" w:color="000000" w:fill="000000"/>
                <w:fitText w:val="333" w:id="-1501343999"/>
                <w14:textFill>
                  <w14:solidFill>
                    <w14:srgbClr w14:val="000000">
                      <w14:alpha w14:val="100000"/>
                    </w14:srgbClr>
                  </w14:solidFill>
                </w14:textFill>
              </w:rPr>
              <w:t>|||</w:t>
            </w:r>
            <w:r w:rsidR="009C6175" w:rsidRPr="00D23C96">
              <w:rPr>
                <w:color w:val="000000"/>
                <w:spacing w:val="1"/>
                <w:shd w:val="solid" w:color="000000" w:fill="000000"/>
                <w:fitText w:val="333" w:id="-1501343999"/>
                <w14:textFill>
                  <w14:solidFill>
                    <w14:srgbClr w14:val="000000">
                      <w14:alpha w14:val="100000"/>
                    </w14:srgbClr>
                  </w14:solidFill>
                </w14:textFill>
              </w:rPr>
              <w:t>|</w:t>
            </w:r>
            <w:r w:rsidR="00624423" w:rsidRPr="009A2717">
              <w:t>% in Yr 6. The uptake rate in Year 6 was based on the mean estimate of treatment uptake (</w:t>
            </w:r>
            <w:r w:rsidR="009C6175" w:rsidRPr="00D23C96">
              <w:rPr>
                <w:color w:val="000000"/>
                <w:spacing w:val="50"/>
                <w:shd w:val="solid" w:color="000000" w:fill="000000"/>
                <w:fitText w:val="325" w:id="-1501343998"/>
                <w14:textFill>
                  <w14:solidFill>
                    <w14:srgbClr w14:val="000000">
                      <w14:alpha w14:val="100000"/>
                    </w14:srgbClr>
                  </w14:solidFill>
                </w14:textFill>
              </w:rPr>
              <w:t>|||</w:t>
            </w:r>
            <w:r w:rsidR="009C6175" w:rsidRPr="00D23C96">
              <w:rPr>
                <w:color w:val="000000"/>
                <w:spacing w:val="13"/>
                <w:shd w:val="solid" w:color="000000" w:fill="000000"/>
                <w:fitText w:val="325" w:id="-1501343998"/>
                <w14:textFill>
                  <w14:solidFill>
                    <w14:srgbClr w14:val="000000">
                      <w14:alpha w14:val="100000"/>
                    </w14:srgbClr>
                  </w14:solidFill>
                </w14:textFill>
              </w:rPr>
              <w:t>|</w:t>
            </w:r>
            <w:r w:rsidR="00624423" w:rsidRPr="009A2717">
              <w:t>%)</w:t>
            </w:r>
            <w:r w:rsidR="00624423" w:rsidRPr="0084495F">
              <w:t xml:space="preserve"> if vericiguat is PBS-listed without NT-</w:t>
            </w:r>
            <w:proofErr w:type="spellStart"/>
            <w:r w:rsidR="00624423" w:rsidRPr="0084495F">
              <w:t>proBNP</w:t>
            </w:r>
            <w:proofErr w:type="spellEnd"/>
            <w:r w:rsidR="00624423" w:rsidRPr="0084495F">
              <w:t xml:space="preserve"> testing requirements, based on a survey of the sponsor’s advisory board.</w:t>
            </w:r>
          </w:p>
        </w:tc>
        <w:tc>
          <w:tcPr>
            <w:tcW w:w="2278" w:type="pct"/>
            <w:shd w:val="clear" w:color="auto" w:fill="auto"/>
            <w:vAlign w:val="center"/>
          </w:tcPr>
          <w:p w14:paraId="0DACFA7F" w14:textId="73D5C7A8" w:rsidR="00624423" w:rsidRPr="0084495F" w:rsidRDefault="00624423" w:rsidP="001D1543">
            <w:pPr>
              <w:pStyle w:val="TableText"/>
              <w:keepNext w:val="0"/>
              <w:rPr>
                <w:iCs/>
              </w:rPr>
            </w:pPr>
            <w:r w:rsidRPr="0084495F">
              <w:rPr>
                <w:iCs/>
              </w:rPr>
              <w:t xml:space="preserve">The survey responses to treatment uptake were wide-ranging, </w:t>
            </w:r>
            <w:proofErr w:type="gramStart"/>
            <w:r w:rsidRPr="0084495F">
              <w:rPr>
                <w:iCs/>
              </w:rPr>
              <w:t xml:space="preserve">from </w:t>
            </w:r>
            <w:r w:rsidR="00630114" w:rsidRPr="00630114">
              <w:rPr>
                <w:rFonts w:hint="eastAsia"/>
                <w:iCs/>
                <w:color w:val="000000"/>
                <w:w w:val="21"/>
                <w:shd w:val="solid" w:color="000000" w:fill="000000"/>
                <w:fitText w:val="93" w:id="-1498662399"/>
                <w14:textFill>
                  <w14:solidFill>
                    <w14:srgbClr w14:val="000000">
                      <w14:alpha w14:val="100000"/>
                    </w14:srgbClr>
                  </w14:solidFill>
                </w14:textFill>
              </w:rPr>
              <w:t xml:space="preserve">　</w:t>
            </w:r>
            <w:r w:rsidR="00630114" w:rsidRPr="00630114">
              <w:rPr>
                <w:iCs/>
                <w:color w:val="000000"/>
                <w:w w:val="21"/>
                <w:shd w:val="solid" w:color="000000" w:fill="000000"/>
                <w:fitText w:val="93" w:id="-1498662399"/>
                <w14:textFill>
                  <w14:solidFill>
                    <w14:srgbClr w14:val="000000">
                      <w14:alpha w14:val="100000"/>
                    </w14:srgbClr>
                  </w14:solidFill>
                </w14:textFill>
              </w:rPr>
              <w:t>|</w:t>
            </w:r>
            <w:proofErr w:type="gramEnd"/>
            <w:r w:rsidR="00630114" w:rsidRPr="00630114">
              <w:rPr>
                <w:rFonts w:hint="eastAsia"/>
                <w:iCs/>
                <w:color w:val="000000"/>
                <w:w w:val="21"/>
                <w:shd w:val="solid" w:color="000000" w:fill="000000"/>
                <w:fitText w:val="93" w:id="-1498662399"/>
                <w14:textFill>
                  <w14:solidFill>
                    <w14:srgbClr w14:val="000000">
                      <w14:alpha w14:val="100000"/>
                    </w14:srgbClr>
                  </w14:solidFill>
                </w14:textFill>
              </w:rPr>
              <w:t xml:space="preserve">　</w:t>
            </w:r>
            <w:r w:rsidRPr="0084495F">
              <w:rPr>
                <w:iCs/>
              </w:rPr>
              <w:t xml:space="preserve">% to </w:t>
            </w:r>
            <w:r w:rsidR="009C6175" w:rsidRPr="00D23C96">
              <w:rPr>
                <w:iCs/>
                <w:color w:val="000000"/>
                <w:spacing w:val="50"/>
                <w:shd w:val="solid" w:color="000000" w:fill="000000"/>
                <w:fitText w:val="324" w:id="-1501343997"/>
                <w14:textFill>
                  <w14:solidFill>
                    <w14:srgbClr w14:val="000000">
                      <w14:alpha w14:val="100000"/>
                    </w14:srgbClr>
                  </w14:solidFill>
                </w14:textFill>
              </w:rPr>
              <w:t>|||</w:t>
            </w:r>
            <w:r w:rsidR="009C6175" w:rsidRPr="00D23C96">
              <w:rPr>
                <w:iCs/>
                <w:color w:val="000000"/>
                <w:spacing w:val="2"/>
                <w:shd w:val="solid" w:color="000000" w:fill="000000"/>
                <w:fitText w:val="324" w:id="-1501343997"/>
                <w14:textFill>
                  <w14:solidFill>
                    <w14:srgbClr w14:val="000000">
                      <w14:alpha w14:val="100000"/>
                    </w14:srgbClr>
                  </w14:solidFill>
                </w14:textFill>
              </w:rPr>
              <w:t>|</w:t>
            </w:r>
            <w:r w:rsidRPr="0084495F">
              <w:rPr>
                <w:iCs/>
              </w:rPr>
              <w:t>%. In addition, uptake of vericiguat is uncertain given the lack of clarity regarding its use as an add-on to SoC including SGLT2 inhibitors.</w:t>
            </w:r>
            <w:r w:rsidR="006D46D0" w:rsidRPr="0084495F">
              <w:rPr>
                <w:iCs/>
              </w:rPr>
              <w:t xml:space="preserve"> DUSC considered the uptake rates to be overestimated </w:t>
            </w:r>
            <w:r w:rsidR="001C3482" w:rsidRPr="0084495F">
              <w:rPr>
                <w:iCs/>
              </w:rPr>
              <w:t>and stated that</w:t>
            </w:r>
            <w:r w:rsidR="006D46D0" w:rsidRPr="0084495F">
              <w:rPr>
                <w:iCs/>
              </w:rPr>
              <w:t xml:space="preserve"> </w:t>
            </w:r>
            <w:r w:rsidR="001C3482" w:rsidRPr="0084495F">
              <w:rPr>
                <w:iCs/>
              </w:rPr>
              <w:t>“</w:t>
            </w:r>
            <w:r w:rsidR="006D46D0" w:rsidRPr="0084495F">
              <w:rPr>
                <w:iCs/>
              </w:rPr>
              <w:t>clinicians are likely to prefer the well-known SGLT2 inhibitors over a novel and unfamiliar treatment</w:t>
            </w:r>
            <w:r w:rsidR="001C3482" w:rsidRPr="0084495F">
              <w:rPr>
                <w:iCs/>
              </w:rPr>
              <w:t>”</w:t>
            </w:r>
            <w:r w:rsidR="006D46D0" w:rsidRPr="0084495F">
              <w:rPr>
                <w:iCs/>
              </w:rPr>
              <w:t>.</w:t>
            </w:r>
            <w:r w:rsidR="006A5728" w:rsidRPr="0084495F">
              <w:rPr>
                <w:iCs/>
              </w:rPr>
              <w:t xml:space="preserve"> The PBAC considered vericiguat would be used after SGLT2 inhibitors in the treatment algorithm, </w:t>
            </w:r>
            <w:r w:rsidR="001C3482" w:rsidRPr="0084495F">
              <w:rPr>
                <w:iCs/>
              </w:rPr>
              <w:t>which would comprise</w:t>
            </w:r>
            <w:r w:rsidR="00737745" w:rsidRPr="0084495F">
              <w:rPr>
                <w:iCs/>
              </w:rPr>
              <w:t xml:space="preserve"> a very small, late-line</w:t>
            </w:r>
            <w:r w:rsidR="006A5728" w:rsidRPr="0084495F">
              <w:rPr>
                <w:iCs/>
              </w:rPr>
              <w:t xml:space="preserve"> place in therapy</w:t>
            </w:r>
            <w:r w:rsidR="00824556" w:rsidRPr="0084495F">
              <w:rPr>
                <w:iCs/>
              </w:rPr>
              <w:t xml:space="preserve"> and thus uptake would likely be substantially lower than estimated by the submission</w:t>
            </w:r>
            <w:r w:rsidR="006A5728" w:rsidRPr="0084495F">
              <w:rPr>
                <w:iCs/>
              </w:rPr>
              <w:t>.</w:t>
            </w:r>
          </w:p>
        </w:tc>
      </w:tr>
      <w:tr w:rsidR="00624423" w:rsidRPr="0084495F" w14:paraId="30569501" w14:textId="77777777" w:rsidTr="00AB18E5">
        <w:trPr>
          <w:cantSplit/>
          <w:trHeight w:val="46"/>
        </w:trPr>
        <w:tc>
          <w:tcPr>
            <w:tcW w:w="796" w:type="pct"/>
            <w:shd w:val="clear" w:color="auto" w:fill="auto"/>
            <w:vAlign w:val="center"/>
          </w:tcPr>
          <w:p w14:paraId="23456C68" w14:textId="77777777" w:rsidR="00624423" w:rsidRPr="0084495F" w:rsidRDefault="00624423" w:rsidP="001D1543">
            <w:pPr>
              <w:pStyle w:val="TableText"/>
              <w:keepNext w:val="0"/>
              <w:rPr>
                <w:rFonts w:cs="Calibri"/>
                <w:color w:val="000000"/>
                <w:szCs w:val="20"/>
              </w:rPr>
            </w:pPr>
            <w:r w:rsidRPr="0084495F">
              <w:rPr>
                <w:rFonts w:cs="Calibri"/>
                <w:color w:val="000000"/>
                <w:szCs w:val="20"/>
              </w:rPr>
              <w:lastRenderedPageBreak/>
              <w:t>Initial year scripts</w:t>
            </w:r>
          </w:p>
        </w:tc>
        <w:tc>
          <w:tcPr>
            <w:tcW w:w="1926" w:type="pct"/>
            <w:shd w:val="clear" w:color="auto" w:fill="auto"/>
            <w:vAlign w:val="center"/>
          </w:tcPr>
          <w:p w14:paraId="395C9BA9" w14:textId="77777777" w:rsidR="00624423" w:rsidRPr="0084495F" w:rsidRDefault="00624423" w:rsidP="001D1543">
            <w:pPr>
              <w:pStyle w:val="TableText"/>
              <w:keepNext w:val="0"/>
            </w:pPr>
            <w:r w:rsidRPr="0084495F">
              <w:t>12.43 per patient; based on 13.04 scripts per year, adjusted for 95.3% adherence in the trial.</w:t>
            </w:r>
          </w:p>
        </w:tc>
        <w:tc>
          <w:tcPr>
            <w:tcW w:w="2278" w:type="pct"/>
            <w:shd w:val="clear" w:color="auto" w:fill="auto"/>
            <w:vAlign w:val="center"/>
          </w:tcPr>
          <w:p w14:paraId="30CC7FFB" w14:textId="7846CE6F" w:rsidR="00624423" w:rsidRPr="0084495F" w:rsidRDefault="00624423" w:rsidP="001D1543">
            <w:pPr>
              <w:pStyle w:val="TableText"/>
              <w:keepNext w:val="0"/>
              <w:rPr>
                <w:iCs/>
              </w:rPr>
            </w:pPr>
            <w:r w:rsidRPr="0084495F">
              <w:rPr>
                <w:iCs/>
              </w:rPr>
              <w:t xml:space="preserve">Trial-based treatment adherence may not be applicable to clinical practice. </w:t>
            </w:r>
            <w:r w:rsidR="0099454A" w:rsidRPr="0084495F">
              <w:rPr>
                <w:iCs/>
              </w:rPr>
              <w:t>DUSC considered adherence of 95.3% was likely overestimated considering that the proportion of patients on any dose of sacubitril/valsartan (including once daily or twice daily dosing) was approximately 86-89%</w:t>
            </w:r>
            <w:r w:rsidR="0099454A" w:rsidRPr="0084495F">
              <w:rPr>
                <w:i/>
                <w:iCs/>
              </w:rPr>
              <w:t>.</w:t>
            </w:r>
            <w:r w:rsidR="0099454A" w:rsidRPr="0084495F">
              <w:rPr>
                <w:rStyle w:val="FootnoteReference"/>
                <w:i/>
                <w:iCs/>
              </w:rPr>
              <w:footnoteReference w:id="3"/>
            </w:r>
          </w:p>
        </w:tc>
      </w:tr>
      <w:tr w:rsidR="00624423" w:rsidRPr="0084495F" w14:paraId="06A819E1" w14:textId="77777777" w:rsidTr="00AB18E5">
        <w:trPr>
          <w:cantSplit/>
          <w:trHeight w:val="46"/>
        </w:trPr>
        <w:tc>
          <w:tcPr>
            <w:tcW w:w="796" w:type="pct"/>
            <w:shd w:val="clear" w:color="auto" w:fill="auto"/>
            <w:vAlign w:val="center"/>
          </w:tcPr>
          <w:p w14:paraId="049F1285" w14:textId="77777777" w:rsidR="00624423" w:rsidRPr="0084495F" w:rsidRDefault="00624423" w:rsidP="001D1543">
            <w:pPr>
              <w:pStyle w:val="TableText"/>
              <w:keepNext w:val="0"/>
              <w:rPr>
                <w:rFonts w:cs="Calibri"/>
                <w:color w:val="000000"/>
                <w:szCs w:val="20"/>
              </w:rPr>
            </w:pPr>
            <w:r w:rsidRPr="0084495F">
              <w:t>Proportion of surviving patients continuing treatment after 1 year</w:t>
            </w:r>
          </w:p>
        </w:tc>
        <w:tc>
          <w:tcPr>
            <w:tcW w:w="1926" w:type="pct"/>
            <w:shd w:val="clear" w:color="auto" w:fill="auto"/>
            <w:vAlign w:val="center"/>
          </w:tcPr>
          <w:p w14:paraId="659632E9" w14:textId="77777777" w:rsidR="00624423" w:rsidRPr="0084495F" w:rsidRDefault="00624423" w:rsidP="001D1543">
            <w:pPr>
              <w:pStyle w:val="TableText"/>
              <w:keepNext w:val="0"/>
            </w:pPr>
            <w:r w:rsidRPr="0084495F">
              <w:t>57.1%; based on the proportion who discontinued treatment in the vericiguat arm of the trial of 38.6% inclusive of deaths (14.2%), adjusted to 1 year based on median follow-up duration of 10.8 months in the trial (calculated as 38.6% ÷ 10.8 x 12 = 42.9%). The proportion of surviving patients who continued treatment was calculated as 100% - 42.9% = 57.1%.</w:t>
            </w:r>
          </w:p>
        </w:tc>
        <w:tc>
          <w:tcPr>
            <w:tcW w:w="2278" w:type="pct"/>
            <w:shd w:val="clear" w:color="auto" w:fill="auto"/>
            <w:vAlign w:val="center"/>
          </w:tcPr>
          <w:p w14:paraId="4E2BF022" w14:textId="67496900" w:rsidR="00624423" w:rsidRPr="0084495F" w:rsidRDefault="00624423" w:rsidP="001D1543">
            <w:pPr>
              <w:pStyle w:val="TableText"/>
              <w:keepNext w:val="0"/>
              <w:rPr>
                <w:iCs/>
              </w:rPr>
            </w:pPr>
            <w:r w:rsidRPr="0084495F">
              <w:rPr>
                <w:iCs/>
              </w:rPr>
              <w:t>The estimated proportion of surviving patients who continued treatment was inappropriately calculated assuming a fixed, linear trend in discontinuation rates over time. The submission did not adequately justify the use of median follow-up duration that required extrapolation given the trial reported a mean follow-up duration of 12.5 months. The incorporation of deaths in treatment discontinuations may result in double-counting as deaths are already considered in prevalence estimates.</w:t>
            </w:r>
            <w:r w:rsidR="006D46D0" w:rsidRPr="0084495F">
              <w:rPr>
                <w:iCs/>
              </w:rPr>
              <w:t xml:space="preserve"> DUSC considered it likely that there would be a high number of initial discontinuations soon after initiating treatment followed by long term survivors whose treatment duration would be underestimated by the application of a linear trend.</w:t>
            </w:r>
            <w:r w:rsidRPr="0084495F">
              <w:rPr>
                <w:iCs/>
              </w:rPr>
              <w:t xml:space="preserve">   </w:t>
            </w:r>
          </w:p>
        </w:tc>
      </w:tr>
      <w:tr w:rsidR="00624423" w:rsidRPr="0084495F" w14:paraId="4C424D7C" w14:textId="77777777" w:rsidTr="00AB18E5">
        <w:trPr>
          <w:cantSplit/>
          <w:trHeight w:val="46"/>
        </w:trPr>
        <w:tc>
          <w:tcPr>
            <w:tcW w:w="796" w:type="pct"/>
            <w:shd w:val="clear" w:color="auto" w:fill="auto"/>
            <w:vAlign w:val="center"/>
          </w:tcPr>
          <w:p w14:paraId="79F571D3" w14:textId="77777777" w:rsidR="00624423" w:rsidRPr="0084495F" w:rsidRDefault="00624423" w:rsidP="001D1543">
            <w:pPr>
              <w:pStyle w:val="TableText"/>
              <w:keepNext w:val="0"/>
              <w:rPr>
                <w:rFonts w:cs="Calibri"/>
                <w:color w:val="000000"/>
                <w:szCs w:val="20"/>
              </w:rPr>
            </w:pPr>
            <w:r w:rsidRPr="0084495F">
              <w:t>Average treatment duration</w:t>
            </w:r>
          </w:p>
        </w:tc>
        <w:tc>
          <w:tcPr>
            <w:tcW w:w="1926" w:type="pct"/>
            <w:shd w:val="clear" w:color="auto" w:fill="auto"/>
            <w:vAlign w:val="center"/>
          </w:tcPr>
          <w:p w14:paraId="581CA87B" w14:textId="77777777" w:rsidR="00624423" w:rsidRPr="0084495F" w:rsidRDefault="00624423" w:rsidP="001D1543">
            <w:pPr>
              <w:pStyle w:val="TableText"/>
              <w:keepNext w:val="0"/>
            </w:pPr>
            <w:r w:rsidRPr="0084495F">
              <w:t>14 months. The monthly discontinuation/death rate was estimated as 3.57% based on 38.6% treatment discontinuations/deaths in the trial over a median follow-up duration of 10.8 months. Assuming a fixed, linear trend, the submission estimated that all patients would discontinue treatment by 28 months. The submission assumed the mid-point of 28 months would represent the average treatment duration of all patients.</w:t>
            </w:r>
          </w:p>
        </w:tc>
        <w:tc>
          <w:tcPr>
            <w:tcW w:w="2278" w:type="pct"/>
            <w:shd w:val="clear" w:color="auto" w:fill="auto"/>
            <w:vAlign w:val="center"/>
          </w:tcPr>
          <w:p w14:paraId="5E786833" w14:textId="79939E0E" w:rsidR="00624423" w:rsidRPr="0084495F" w:rsidRDefault="00624423" w:rsidP="001D1543">
            <w:pPr>
              <w:pStyle w:val="TableText"/>
              <w:keepNext w:val="0"/>
              <w:rPr>
                <w:iCs/>
              </w:rPr>
            </w:pPr>
            <w:r w:rsidRPr="0084495F">
              <w:rPr>
                <w:iCs/>
              </w:rPr>
              <w:t>No data were provided in support of the assumption of a fixed discontinuation/death rate over time, which was also inappropriately derived using median duration of follow-up rather than mean duration of follow-up. The average treatment duration was based on unsupported assumptions and unlikely to reflect the duration of treatment in practice. The assumed circumstances of use were inconsistent with the economic model that was based on 100% treatment adherence a</w:t>
            </w:r>
            <w:r w:rsidR="00520BFB" w:rsidRPr="0084495F">
              <w:rPr>
                <w:iCs/>
              </w:rPr>
              <w:t>nd persistence.</w:t>
            </w:r>
            <w:r w:rsidRPr="0084495F">
              <w:rPr>
                <w:iCs/>
              </w:rPr>
              <w:t xml:space="preserve"> </w:t>
            </w:r>
          </w:p>
        </w:tc>
      </w:tr>
      <w:tr w:rsidR="00624423" w:rsidRPr="0084495F" w14:paraId="4D2F7F7E" w14:textId="77777777" w:rsidTr="00AB18E5">
        <w:trPr>
          <w:cantSplit/>
          <w:trHeight w:val="46"/>
        </w:trPr>
        <w:tc>
          <w:tcPr>
            <w:tcW w:w="796" w:type="pct"/>
            <w:shd w:val="clear" w:color="auto" w:fill="auto"/>
            <w:vAlign w:val="center"/>
          </w:tcPr>
          <w:p w14:paraId="26A36989" w14:textId="77777777" w:rsidR="00624423" w:rsidRPr="0084495F" w:rsidRDefault="00624423" w:rsidP="001D1543">
            <w:pPr>
              <w:pStyle w:val="TableText"/>
              <w:keepNext w:val="0"/>
              <w:rPr>
                <w:rFonts w:cs="Calibri"/>
                <w:color w:val="000000"/>
                <w:szCs w:val="20"/>
              </w:rPr>
            </w:pPr>
            <w:r w:rsidRPr="0084495F">
              <w:t>Continuing year scripts</w:t>
            </w:r>
          </w:p>
        </w:tc>
        <w:tc>
          <w:tcPr>
            <w:tcW w:w="1926" w:type="pct"/>
            <w:shd w:val="clear" w:color="auto" w:fill="auto"/>
            <w:vAlign w:val="center"/>
          </w:tcPr>
          <w:p w14:paraId="66147E4A" w14:textId="77777777" w:rsidR="00624423" w:rsidRPr="0084495F" w:rsidRDefault="00624423" w:rsidP="001D1543">
            <w:pPr>
              <w:pStyle w:val="TableText"/>
              <w:keepNext w:val="0"/>
            </w:pPr>
            <w:r w:rsidRPr="0084495F">
              <w:t>The submission assumed that continuing patients would receive a further 2 months of treatment based on an average treatment duration of 14 months. The number of scripts per patient was estimated as 2.06 based on 2.17 scripts to cover 2 months of treatment, adjusted by 95.3% adherence.</w:t>
            </w:r>
          </w:p>
        </w:tc>
        <w:tc>
          <w:tcPr>
            <w:tcW w:w="2278" w:type="pct"/>
            <w:shd w:val="clear" w:color="auto" w:fill="auto"/>
            <w:vAlign w:val="center"/>
          </w:tcPr>
          <w:p w14:paraId="3B3DCEB3" w14:textId="77777777" w:rsidR="00624423" w:rsidRPr="0084495F" w:rsidRDefault="00624423" w:rsidP="001D1543">
            <w:pPr>
              <w:pStyle w:val="TableText"/>
              <w:keepNext w:val="0"/>
              <w:rPr>
                <w:iCs/>
              </w:rPr>
            </w:pPr>
            <w:r w:rsidRPr="0084495F">
              <w:rPr>
                <w:iCs/>
              </w:rPr>
              <w:t>The estimated number of scripts was reliant on the assumed average treatment duration that was inappropriately derived (see above).</w:t>
            </w:r>
          </w:p>
        </w:tc>
      </w:tr>
    </w:tbl>
    <w:p w14:paraId="323AF624" w14:textId="77777777" w:rsidR="00624423" w:rsidRPr="0084495F" w:rsidRDefault="00624423" w:rsidP="001D1543">
      <w:pPr>
        <w:pStyle w:val="TableFigureFooter"/>
      </w:pPr>
      <w:r w:rsidRPr="0084495F">
        <w:t>Source: Sections 4.1 to 4.2, pp 191-200 of the submission</w:t>
      </w:r>
    </w:p>
    <w:p w14:paraId="1B01961A" w14:textId="77777777" w:rsidR="00624423" w:rsidRPr="0084495F" w:rsidRDefault="00624423" w:rsidP="001D1543">
      <w:pPr>
        <w:pStyle w:val="TableFigureFooter"/>
      </w:pPr>
      <w:r w:rsidRPr="0084495F">
        <w:t xml:space="preserve">Abbreviations: </w:t>
      </w:r>
      <w:proofErr w:type="spellStart"/>
      <w:r w:rsidRPr="0084495F">
        <w:t>ACEi</w:t>
      </w:r>
      <w:proofErr w:type="spellEnd"/>
      <w:r w:rsidRPr="0084495F">
        <w:t xml:space="preserve">, angiotensin converting enzyme inhibitor; ARB, angiotensin receptor blocker; </w:t>
      </w:r>
      <w:proofErr w:type="spellStart"/>
      <w:r w:rsidRPr="0084495F">
        <w:t>ARNi</w:t>
      </w:r>
      <w:proofErr w:type="spellEnd"/>
      <w:r w:rsidRPr="0084495F">
        <w:t>, angiotensin receptor-</w:t>
      </w:r>
      <w:proofErr w:type="spellStart"/>
      <w:r w:rsidRPr="0084495F">
        <w:t>neprilysin</w:t>
      </w:r>
      <w:proofErr w:type="spellEnd"/>
      <w:r w:rsidRPr="0084495F">
        <w:t xml:space="preserve"> inhibitor; HF, heart failure; </w:t>
      </w:r>
      <w:proofErr w:type="spellStart"/>
      <w:r w:rsidRPr="0084495F">
        <w:t>HRrEF</w:t>
      </w:r>
      <w:proofErr w:type="spellEnd"/>
      <w:r w:rsidRPr="0084495F">
        <w:t>, heart failure with reduced ejection fraction; LVEF, left ventricular ejection fraction; NYHA, New York Heart Association; NT-</w:t>
      </w:r>
      <w:proofErr w:type="spellStart"/>
      <w:r w:rsidRPr="0084495F">
        <w:t>proBNP</w:t>
      </w:r>
      <w:proofErr w:type="spellEnd"/>
      <w:r w:rsidRPr="0084495F">
        <w:t>, N-terminal -pro hormone brain natriuretic peptide</w:t>
      </w:r>
    </w:p>
    <w:p w14:paraId="4D5D61BD" w14:textId="17F26F9F" w:rsidR="00624423" w:rsidRPr="0084495F" w:rsidRDefault="00624423" w:rsidP="00691C80">
      <w:pPr>
        <w:pStyle w:val="ExecSumBodyText"/>
        <w:rPr>
          <w:iCs/>
        </w:rPr>
      </w:pPr>
      <w:r w:rsidRPr="0084495F">
        <w:t>The submission did not request a grandfathering provision. However, the submission noted that a planned vericiguat Patient Access Program (PAP) for approximately</w:t>
      </w:r>
      <w:r w:rsidR="00B1569E">
        <w:t xml:space="preserve"> &lt;500</w:t>
      </w:r>
      <w:r w:rsidRPr="0084495F">
        <w:t xml:space="preserve"> patients will be </w:t>
      </w:r>
      <w:r w:rsidR="0099454A" w:rsidRPr="0084495F">
        <w:t xml:space="preserve">commenced </w:t>
      </w:r>
      <w:r w:rsidRPr="0084495F">
        <w:t xml:space="preserve">after TGA approval and prior to PBS listing. The submission claimed treatment eligibility criteria for the PAP would be identical to the </w:t>
      </w:r>
      <w:r w:rsidRPr="0084495F">
        <w:lastRenderedPageBreak/>
        <w:t>proposed PBS restriction, which would allow for these patients to transition to PBS-subsidised treatment after listing.</w:t>
      </w:r>
      <w:r w:rsidRPr="0084495F">
        <w:rPr>
          <w:iCs/>
        </w:rPr>
        <w:t xml:space="preserve"> Details of the PAP eligibility criteria were not provided in the submission. </w:t>
      </w:r>
      <w:r w:rsidRPr="0084495F">
        <w:t>The submission claimed these patients are already included in the prevalent population estimates and the uptake rates were assumed to include patients who would switch from the PAP to PBS-subsidised treatment following PBS-listing.</w:t>
      </w:r>
    </w:p>
    <w:p w14:paraId="127B68FA" w14:textId="77777777" w:rsidR="00624423" w:rsidRPr="0084495F" w:rsidRDefault="00624423" w:rsidP="00624423">
      <w:pPr>
        <w:pStyle w:val="ExecSumBodyText"/>
        <w:rPr>
          <w:iCs/>
        </w:rPr>
      </w:pPr>
      <w:r w:rsidRPr="0084495F">
        <w:t xml:space="preserve">The table below presents the estimated financial impact of listing vericiguat. </w:t>
      </w:r>
    </w:p>
    <w:p w14:paraId="23770614" w14:textId="4A66F106" w:rsidR="00624423" w:rsidRPr="0084495F" w:rsidRDefault="00624423" w:rsidP="00624423">
      <w:pPr>
        <w:pStyle w:val="Caption"/>
      </w:pPr>
      <w:r w:rsidRPr="0084495F">
        <w:t xml:space="preserve">Table </w:t>
      </w:r>
      <w:r w:rsidR="00C16DA1">
        <w:fldChar w:fldCharType="begin"/>
      </w:r>
      <w:r w:rsidR="00C16DA1">
        <w:instrText xml:space="preserve"> SEQ Table \* ARABIC </w:instrText>
      </w:r>
      <w:r w:rsidR="00C16DA1">
        <w:fldChar w:fldCharType="separate"/>
      </w:r>
      <w:r w:rsidR="0084495F" w:rsidRPr="0084495F">
        <w:t>17</w:t>
      </w:r>
      <w:r w:rsidR="00C16DA1">
        <w:fldChar w:fldCharType="end"/>
      </w:r>
      <w:r w:rsidRPr="0084495F">
        <w:t>: Estimated number of treated patients and prescriptions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Estimated number of treated patients and prescriptions"/>
      </w:tblPr>
      <w:tblGrid>
        <w:gridCol w:w="2838"/>
        <w:gridCol w:w="1026"/>
        <w:gridCol w:w="1030"/>
        <w:gridCol w:w="1030"/>
        <w:gridCol w:w="1030"/>
        <w:gridCol w:w="1030"/>
        <w:gridCol w:w="1033"/>
      </w:tblGrid>
      <w:tr w:rsidR="00624423" w:rsidRPr="0084495F" w14:paraId="4B7E4FF7" w14:textId="77777777" w:rsidTr="000606A1">
        <w:trPr>
          <w:tblHeader/>
        </w:trPr>
        <w:tc>
          <w:tcPr>
            <w:tcW w:w="1574" w:type="pct"/>
            <w:shd w:val="clear" w:color="auto" w:fill="auto"/>
            <w:vAlign w:val="center"/>
          </w:tcPr>
          <w:p w14:paraId="2830FD24" w14:textId="77777777" w:rsidR="00624423" w:rsidRPr="0084495F" w:rsidRDefault="00624423" w:rsidP="00AB18E5">
            <w:pPr>
              <w:pStyle w:val="Tableheadingrow"/>
              <w:rPr>
                <w:lang w:val="en-AU"/>
              </w:rPr>
            </w:pPr>
          </w:p>
        </w:tc>
        <w:tc>
          <w:tcPr>
            <w:tcW w:w="569" w:type="pct"/>
            <w:shd w:val="clear" w:color="auto" w:fill="auto"/>
            <w:vAlign w:val="center"/>
          </w:tcPr>
          <w:p w14:paraId="20220C9E" w14:textId="68296282" w:rsidR="00624423" w:rsidRPr="0084495F" w:rsidRDefault="00624423" w:rsidP="00196AFE">
            <w:pPr>
              <w:pStyle w:val="Tableheadingrow"/>
              <w:jc w:val="center"/>
              <w:rPr>
                <w:lang w:val="en-AU"/>
              </w:rPr>
            </w:pPr>
            <w:r w:rsidRPr="0084495F">
              <w:rPr>
                <w:lang w:val="en-AU"/>
              </w:rPr>
              <w:t>Year 1</w:t>
            </w:r>
          </w:p>
        </w:tc>
        <w:tc>
          <w:tcPr>
            <w:tcW w:w="571" w:type="pct"/>
            <w:shd w:val="clear" w:color="auto" w:fill="auto"/>
            <w:vAlign w:val="center"/>
          </w:tcPr>
          <w:p w14:paraId="318714AA" w14:textId="2F63D0CA" w:rsidR="00624423" w:rsidRPr="0084495F" w:rsidRDefault="00624423" w:rsidP="00196AFE">
            <w:pPr>
              <w:pStyle w:val="Tableheadingrow"/>
              <w:jc w:val="center"/>
              <w:rPr>
                <w:lang w:val="en-AU"/>
              </w:rPr>
            </w:pPr>
            <w:r w:rsidRPr="0084495F">
              <w:rPr>
                <w:lang w:val="en-AU"/>
              </w:rPr>
              <w:t>Year 2</w:t>
            </w:r>
          </w:p>
        </w:tc>
        <w:tc>
          <w:tcPr>
            <w:tcW w:w="571" w:type="pct"/>
            <w:shd w:val="clear" w:color="auto" w:fill="auto"/>
            <w:vAlign w:val="center"/>
          </w:tcPr>
          <w:p w14:paraId="31A1D557" w14:textId="03BDD0F7" w:rsidR="00624423" w:rsidRPr="0084495F" w:rsidRDefault="00624423" w:rsidP="00196AFE">
            <w:pPr>
              <w:pStyle w:val="Tableheadingrow"/>
              <w:jc w:val="center"/>
              <w:rPr>
                <w:lang w:val="en-AU"/>
              </w:rPr>
            </w:pPr>
            <w:r w:rsidRPr="0084495F">
              <w:rPr>
                <w:lang w:val="en-AU"/>
              </w:rPr>
              <w:t>Year 3</w:t>
            </w:r>
          </w:p>
        </w:tc>
        <w:tc>
          <w:tcPr>
            <w:tcW w:w="571" w:type="pct"/>
            <w:shd w:val="clear" w:color="auto" w:fill="auto"/>
            <w:vAlign w:val="center"/>
          </w:tcPr>
          <w:p w14:paraId="27FEA14C" w14:textId="6A9ADB98" w:rsidR="00624423" w:rsidRPr="0084495F" w:rsidRDefault="00624423" w:rsidP="00196AFE">
            <w:pPr>
              <w:pStyle w:val="Tableheadingrow"/>
              <w:jc w:val="center"/>
              <w:rPr>
                <w:lang w:val="en-AU"/>
              </w:rPr>
            </w:pPr>
            <w:r w:rsidRPr="0084495F">
              <w:rPr>
                <w:lang w:val="en-AU"/>
              </w:rPr>
              <w:t>Year 4</w:t>
            </w:r>
          </w:p>
        </w:tc>
        <w:tc>
          <w:tcPr>
            <w:tcW w:w="571" w:type="pct"/>
            <w:shd w:val="clear" w:color="auto" w:fill="auto"/>
            <w:vAlign w:val="center"/>
          </w:tcPr>
          <w:p w14:paraId="09D89819" w14:textId="0E70F52E" w:rsidR="00624423" w:rsidRPr="0084495F" w:rsidRDefault="00624423" w:rsidP="00196AFE">
            <w:pPr>
              <w:pStyle w:val="Tableheadingrow"/>
              <w:jc w:val="center"/>
              <w:rPr>
                <w:lang w:val="en-AU"/>
              </w:rPr>
            </w:pPr>
            <w:r w:rsidRPr="0084495F">
              <w:rPr>
                <w:lang w:val="en-AU"/>
              </w:rPr>
              <w:t>Year 5</w:t>
            </w:r>
          </w:p>
        </w:tc>
        <w:tc>
          <w:tcPr>
            <w:tcW w:w="573" w:type="pct"/>
            <w:shd w:val="clear" w:color="auto" w:fill="auto"/>
            <w:vAlign w:val="center"/>
          </w:tcPr>
          <w:p w14:paraId="6C887F08" w14:textId="5248AF30" w:rsidR="00624423" w:rsidRPr="0084495F" w:rsidRDefault="00624423" w:rsidP="00196AFE">
            <w:pPr>
              <w:pStyle w:val="Tableheadingrow"/>
              <w:jc w:val="center"/>
              <w:rPr>
                <w:lang w:val="en-AU"/>
              </w:rPr>
            </w:pPr>
            <w:r w:rsidRPr="0084495F">
              <w:rPr>
                <w:lang w:val="en-AU"/>
              </w:rPr>
              <w:t>Year 6</w:t>
            </w:r>
          </w:p>
        </w:tc>
      </w:tr>
      <w:tr w:rsidR="00624423" w:rsidRPr="0084495F" w14:paraId="59F1C9B1" w14:textId="77777777" w:rsidTr="000606A1">
        <w:tc>
          <w:tcPr>
            <w:tcW w:w="5000" w:type="pct"/>
            <w:gridSpan w:val="7"/>
            <w:shd w:val="clear" w:color="auto" w:fill="auto"/>
            <w:vAlign w:val="center"/>
          </w:tcPr>
          <w:p w14:paraId="47CE8C86" w14:textId="77777777" w:rsidR="00624423" w:rsidRPr="0084495F" w:rsidRDefault="00624423" w:rsidP="00AB18E5">
            <w:pPr>
              <w:pStyle w:val="TableText"/>
              <w:rPr>
                <w:b/>
                <w:bCs w:val="0"/>
              </w:rPr>
            </w:pPr>
            <w:r w:rsidRPr="0084495F">
              <w:rPr>
                <w:b/>
                <w:bCs w:val="0"/>
              </w:rPr>
              <w:t>Eligible population</w:t>
            </w:r>
          </w:p>
        </w:tc>
      </w:tr>
      <w:tr w:rsidR="00624423" w:rsidRPr="0084495F" w14:paraId="1F13E6D9" w14:textId="77777777" w:rsidTr="000606A1">
        <w:tc>
          <w:tcPr>
            <w:tcW w:w="1574" w:type="pct"/>
            <w:shd w:val="clear" w:color="auto" w:fill="auto"/>
            <w:vAlign w:val="center"/>
          </w:tcPr>
          <w:p w14:paraId="2BD3836A" w14:textId="77777777" w:rsidR="00624423" w:rsidRPr="0084495F" w:rsidRDefault="00624423" w:rsidP="00AB18E5">
            <w:pPr>
              <w:pStyle w:val="TableText"/>
            </w:pPr>
            <w:r w:rsidRPr="0084495F">
              <w:t>Australian population age ≥18 years</w:t>
            </w:r>
          </w:p>
        </w:tc>
        <w:tc>
          <w:tcPr>
            <w:tcW w:w="569" w:type="pct"/>
            <w:shd w:val="clear" w:color="auto" w:fill="auto"/>
          </w:tcPr>
          <w:p w14:paraId="6C653380" w14:textId="77777777" w:rsidR="00624423" w:rsidRPr="0084495F" w:rsidRDefault="00624423" w:rsidP="00AB18E5">
            <w:pPr>
              <w:pStyle w:val="TableText"/>
              <w:jc w:val="center"/>
              <w:rPr>
                <w:rFonts w:cs="Arial"/>
                <w:color w:val="000000"/>
              </w:rPr>
            </w:pPr>
            <w:r w:rsidRPr="0084495F">
              <w:t xml:space="preserve">20,757,917 </w:t>
            </w:r>
          </w:p>
        </w:tc>
        <w:tc>
          <w:tcPr>
            <w:tcW w:w="571" w:type="pct"/>
            <w:shd w:val="clear" w:color="auto" w:fill="auto"/>
          </w:tcPr>
          <w:p w14:paraId="0175A5F9" w14:textId="77777777" w:rsidR="00624423" w:rsidRPr="0084495F" w:rsidRDefault="00624423" w:rsidP="00AB18E5">
            <w:pPr>
              <w:pStyle w:val="TableText"/>
              <w:jc w:val="center"/>
              <w:rPr>
                <w:rFonts w:cs="Arial"/>
                <w:color w:val="000000"/>
              </w:rPr>
            </w:pPr>
            <w:r w:rsidRPr="0084495F">
              <w:t xml:space="preserve">21,082,471 </w:t>
            </w:r>
          </w:p>
        </w:tc>
        <w:tc>
          <w:tcPr>
            <w:tcW w:w="571" w:type="pct"/>
            <w:shd w:val="clear" w:color="auto" w:fill="auto"/>
          </w:tcPr>
          <w:p w14:paraId="196CE74C" w14:textId="77777777" w:rsidR="00624423" w:rsidRPr="0084495F" w:rsidRDefault="00624423" w:rsidP="00AB18E5">
            <w:pPr>
              <w:pStyle w:val="TableText"/>
              <w:jc w:val="center"/>
              <w:rPr>
                <w:rFonts w:cs="Arial"/>
                <w:color w:val="000000"/>
              </w:rPr>
            </w:pPr>
            <w:r w:rsidRPr="0084495F">
              <w:t xml:space="preserve">21,411,852 </w:t>
            </w:r>
          </w:p>
        </w:tc>
        <w:tc>
          <w:tcPr>
            <w:tcW w:w="571" w:type="pct"/>
            <w:shd w:val="clear" w:color="auto" w:fill="auto"/>
          </w:tcPr>
          <w:p w14:paraId="01F21E0A" w14:textId="77777777" w:rsidR="00624423" w:rsidRPr="0084495F" w:rsidRDefault="00624423" w:rsidP="00AB18E5">
            <w:pPr>
              <w:pStyle w:val="TableText"/>
              <w:jc w:val="center"/>
              <w:rPr>
                <w:rFonts w:cs="Arial"/>
                <w:color w:val="000000"/>
              </w:rPr>
            </w:pPr>
            <w:r w:rsidRPr="0084495F">
              <w:t xml:space="preserve">21,744,502 </w:t>
            </w:r>
          </w:p>
        </w:tc>
        <w:tc>
          <w:tcPr>
            <w:tcW w:w="571" w:type="pct"/>
            <w:shd w:val="clear" w:color="auto" w:fill="auto"/>
          </w:tcPr>
          <w:p w14:paraId="407712ED" w14:textId="77777777" w:rsidR="00624423" w:rsidRPr="0084495F" w:rsidRDefault="00624423" w:rsidP="00AB18E5">
            <w:pPr>
              <w:pStyle w:val="TableText"/>
              <w:jc w:val="center"/>
              <w:rPr>
                <w:rFonts w:cs="Arial"/>
                <w:color w:val="000000"/>
              </w:rPr>
            </w:pPr>
            <w:r w:rsidRPr="0084495F">
              <w:t xml:space="preserve">22,073,220 </w:t>
            </w:r>
          </w:p>
        </w:tc>
        <w:tc>
          <w:tcPr>
            <w:tcW w:w="573" w:type="pct"/>
            <w:shd w:val="clear" w:color="auto" w:fill="auto"/>
          </w:tcPr>
          <w:p w14:paraId="331DF384" w14:textId="77777777" w:rsidR="00624423" w:rsidRPr="0084495F" w:rsidRDefault="00624423" w:rsidP="00AB18E5">
            <w:pPr>
              <w:pStyle w:val="TableText"/>
              <w:jc w:val="center"/>
              <w:rPr>
                <w:rFonts w:cs="Arial"/>
                <w:color w:val="000000"/>
              </w:rPr>
            </w:pPr>
            <w:r w:rsidRPr="0084495F">
              <w:t xml:space="preserve">22,393,101 </w:t>
            </w:r>
          </w:p>
        </w:tc>
      </w:tr>
      <w:tr w:rsidR="00624423" w:rsidRPr="0084495F" w14:paraId="501F1D59" w14:textId="77777777" w:rsidTr="000606A1">
        <w:tc>
          <w:tcPr>
            <w:tcW w:w="1574" w:type="pct"/>
            <w:shd w:val="clear" w:color="auto" w:fill="auto"/>
            <w:vAlign w:val="center"/>
          </w:tcPr>
          <w:p w14:paraId="598BC8C7" w14:textId="77777777" w:rsidR="00624423" w:rsidRPr="0084495F" w:rsidRDefault="00624423" w:rsidP="00AB18E5">
            <w:pPr>
              <w:pStyle w:val="TableText"/>
            </w:pPr>
            <w:r w:rsidRPr="0084495F">
              <w:t>Heart failure prevalence (1.5%)</w:t>
            </w:r>
          </w:p>
        </w:tc>
        <w:tc>
          <w:tcPr>
            <w:tcW w:w="569" w:type="pct"/>
            <w:shd w:val="clear" w:color="auto" w:fill="auto"/>
          </w:tcPr>
          <w:p w14:paraId="62A2721A" w14:textId="77777777" w:rsidR="00624423" w:rsidRPr="0084495F" w:rsidRDefault="00624423" w:rsidP="00AB18E5">
            <w:pPr>
              <w:pStyle w:val="TableText"/>
              <w:jc w:val="center"/>
            </w:pPr>
            <w:r w:rsidRPr="0084495F">
              <w:t>311,369</w:t>
            </w:r>
          </w:p>
        </w:tc>
        <w:tc>
          <w:tcPr>
            <w:tcW w:w="571" w:type="pct"/>
            <w:shd w:val="clear" w:color="auto" w:fill="auto"/>
          </w:tcPr>
          <w:p w14:paraId="0D003A4C" w14:textId="77777777" w:rsidR="00624423" w:rsidRPr="0084495F" w:rsidRDefault="00624423" w:rsidP="00AB18E5">
            <w:pPr>
              <w:pStyle w:val="TableText"/>
              <w:jc w:val="center"/>
            </w:pPr>
            <w:r w:rsidRPr="0084495F">
              <w:t>316,237</w:t>
            </w:r>
          </w:p>
        </w:tc>
        <w:tc>
          <w:tcPr>
            <w:tcW w:w="571" w:type="pct"/>
            <w:shd w:val="clear" w:color="auto" w:fill="auto"/>
          </w:tcPr>
          <w:p w14:paraId="5CC929D5" w14:textId="77777777" w:rsidR="00624423" w:rsidRPr="0084495F" w:rsidRDefault="00624423" w:rsidP="00AB18E5">
            <w:pPr>
              <w:pStyle w:val="TableText"/>
              <w:jc w:val="center"/>
            </w:pPr>
            <w:r w:rsidRPr="0084495F">
              <w:t>321,178</w:t>
            </w:r>
          </w:p>
        </w:tc>
        <w:tc>
          <w:tcPr>
            <w:tcW w:w="571" w:type="pct"/>
            <w:shd w:val="clear" w:color="auto" w:fill="auto"/>
          </w:tcPr>
          <w:p w14:paraId="2C56C15F" w14:textId="77777777" w:rsidR="00624423" w:rsidRPr="0084495F" w:rsidRDefault="00624423" w:rsidP="00AB18E5">
            <w:pPr>
              <w:pStyle w:val="TableText"/>
              <w:jc w:val="center"/>
            </w:pPr>
            <w:r w:rsidRPr="0084495F">
              <w:t>326,168</w:t>
            </w:r>
          </w:p>
        </w:tc>
        <w:tc>
          <w:tcPr>
            <w:tcW w:w="571" w:type="pct"/>
            <w:shd w:val="clear" w:color="auto" w:fill="auto"/>
          </w:tcPr>
          <w:p w14:paraId="1745300F" w14:textId="77777777" w:rsidR="00624423" w:rsidRPr="0084495F" w:rsidRDefault="00624423" w:rsidP="00AB18E5">
            <w:pPr>
              <w:pStyle w:val="TableText"/>
              <w:jc w:val="center"/>
            </w:pPr>
            <w:r w:rsidRPr="0084495F">
              <w:t>331,098</w:t>
            </w:r>
          </w:p>
        </w:tc>
        <w:tc>
          <w:tcPr>
            <w:tcW w:w="573" w:type="pct"/>
            <w:shd w:val="clear" w:color="auto" w:fill="auto"/>
          </w:tcPr>
          <w:p w14:paraId="54515B0E" w14:textId="77777777" w:rsidR="00624423" w:rsidRPr="0084495F" w:rsidRDefault="00624423" w:rsidP="00AB18E5">
            <w:pPr>
              <w:pStyle w:val="TableText"/>
              <w:jc w:val="center"/>
            </w:pPr>
            <w:r w:rsidRPr="0084495F">
              <w:t>335,897</w:t>
            </w:r>
          </w:p>
        </w:tc>
      </w:tr>
      <w:tr w:rsidR="00624423" w:rsidRPr="0084495F" w14:paraId="2E607C7B" w14:textId="77777777" w:rsidTr="000606A1">
        <w:tc>
          <w:tcPr>
            <w:tcW w:w="1574" w:type="pct"/>
            <w:shd w:val="clear" w:color="auto" w:fill="auto"/>
            <w:vAlign w:val="center"/>
          </w:tcPr>
          <w:p w14:paraId="54B5C36F" w14:textId="77777777" w:rsidR="00624423" w:rsidRPr="0084495F" w:rsidRDefault="00624423" w:rsidP="00AB18E5">
            <w:pPr>
              <w:pStyle w:val="TableText"/>
            </w:pPr>
            <w:r w:rsidRPr="0084495F">
              <w:t>LVEF &lt;45% (59.9%)</w:t>
            </w:r>
          </w:p>
        </w:tc>
        <w:tc>
          <w:tcPr>
            <w:tcW w:w="569" w:type="pct"/>
            <w:shd w:val="clear" w:color="auto" w:fill="auto"/>
          </w:tcPr>
          <w:p w14:paraId="5C176CF0" w14:textId="77777777" w:rsidR="00624423" w:rsidRPr="0084495F" w:rsidRDefault="00624423" w:rsidP="00AB18E5">
            <w:pPr>
              <w:pStyle w:val="TableText"/>
              <w:jc w:val="center"/>
            </w:pPr>
            <w:r w:rsidRPr="0084495F">
              <w:t>186,354</w:t>
            </w:r>
          </w:p>
        </w:tc>
        <w:tc>
          <w:tcPr>
            <w:tcW w:w="571" w:type="pct"/>
            <w:shd w:val="clear" w:color="auto" w:fill="auto"/>
          </w:tcPr>
          <w:p w14:paraId="09BB1772" w14:textId="77777777" w:rsidR="00624423" w:rsidRPr="0084495F" w:rsidRDefault="00624423" w:rsidP="00AB18E5">
            <w:pPr>
              <w:pStyle w:val="TableText"/>
              <w:jc w:val="center"/>
            </w:pPr>
            <w:r w:rsidRPr="0084495F">
              <w:t>189,268</w:t>
            </w:r>
          </w:p>
        </w:tc>
        <w:tc>
          <w:tcPr>
            <w:tcW w:w="571" w:type="pct"/>
            <w:shd w:val="clear" w:color="auto" w:fill="auto"/>
          </w:tcPr>
          <w:p w14:paraId="697F253C" w14:textId="77777777" w:rsidR="00624423" w:rsidRPr="0084495F" w:rsidRDefault="00624423" w:rsidP="00AB18E5">
            <w:pPr>
              <w:pStyle w:val="TableText"/>
              <w:jc w:val="center"/>
            </w:pPr>
            <w:r w:rsidRPr="0084495F">
              <w:t>192,225</w:t>
            </w:r>
          </w:p>
        </w:tc>
        <w:tc>
          <w:tcPr>
            <w:tcW w:w="571" w:type="pct"/>
            <w:shd w:val="clear" w:color="auto" w:fill="auto"/>
          </w:tcPr>
          <w:p w14:paraId="4DC4712C" w14:textId="77777777" w:rsidR="00624423" w:rsidRPr="0084495F" w:rsidRDefault="00624423" w:rsidP="00AB18E5">
            <w:pPr>
              <w:pStyle w:val="TableText"/>
              <w:jc w:val="center"/>
            </w:pPr>
            <w:r w:rsidRPr="0084495F">
              <w:t>195,212</w:t>
            </w:r>
          </w:p>
        </w:tc>
        <w:tc>
          <w:tcPr>
            <w:tcW w:w="571" w:type="pct"/>
            <w:shd w:val="clear" w:color="auto" w:fill="auto"/>
          </w:tcPr>
          <w:p w14:paraId="043680ED" w14:textId="77777777" w:rsidR="00624423" w:rsidRPr="0084495F" w:rsidRDefault="00624423" w:rsidP="00AB18E5">
            <w:pPr>
              <w:pStyle w:val="TableText"/>
              <w:jc w:val="center"/>
            </w:pPr>
            <w:r w:rsidRPr="0084495F">
              <w:t>198,162</w:t>
            </w:r>
          </w:p>
        </w:tc>
        <w:tc>
          <w:tcPr>
            <w:tcW w:w="573" w:type="pct"/>
            <w:shd w:val="clear" w:color="auto" w:fill="auto"/>
          </w:tcPr>
          <w:p w14:paraId="39FCB2B4" w14:textId="77777777" w:rsidR="00624423" w:rsidRPr="0084495F" w:rsidRDefault="00624423" w:rsidP="00AB18E5">
            <w:pPr>
              <w:pStyle w:val="TableText"/>
              <w:jc w:val="center"/>
            </w:pPr>
            <w:r w:rsidRPr="0084495F">
              <w:t>201,034</w:t>
            </w:r>
          </w:p>
        </w:tc>
      </w:tr>
      <w:tr w:rsidR="00624423" w:rsidRPr="0084495F" w14:paraId="4091A4C1" w14:textId="77777777" w:rsidTr="000606A1">
        <w:tc>
          <w:tcPr>
            <w:tcW w:w="1574" w:type="pct"/>
            <w:shd w:val="clear" w:color="auto" w:fill="auto"/>
            <w:vAlign w:val="center"/>
          </w:tcPr>
          <w:p w14:paraId="46945366" w14:textId="77777777" w:rsidR="00624423" w:rsidRPr="0084495F" w:rsidRDefault="00624423" w:rsidP="00AB18E5">
            <w:pPr>
              <w:pStyle w:val="TableText"/>
            </w:pPr>
            <w:r w:rsidRPr="0084495F">
              <w:t>NYHA class II-IV (88%)</w:t>
            </w:r>
          </w:p>
        </w:tc>
        <w:tc>
          <w:tcPr>
            <w:tcW w:w="569" w:type="pct"/>
            <w:shd w:val="clear" w:color="auto" w:fill="auto"/>
          </w:tcPr>
          <w:p w14:paraId="43504C4B" w14:textId="77777777" w:rsidR="00624423" w:rsidRPr="0084495F" w:rsidRDefault="00624423" w:rsidP="00AB18E5">
            <w:pPr>
              <w:pStyle w:val="TableText"/>
              <w:jc w:val="center"/>
            </w:pPr>
            <w:r w:rsidRPr="0084495F">
              <w:t>163,992</w:t>
            </w:r>
          </w:p>
        </w:tc>
        <w:tc>
          <w:tcPr>
            <w:tcW w:w="571" w:type="pct"/>
            <w:shd w:val="clear" w:color="auto" w:fill="auto"/>
          </w:tcPr>
          <w:p w14:paraId="7A8BA3B9" w14:textId="77777777" w:rsidR="00624423" w:rsidRPr="0084495F" w:rsidRDefault="00624423" w:rsidP="00AB18E5">
            <w:pPr>
              <w:pStyle w:val="TableText"/>
              <w:jc w:val="center"/>
            </w:pPr>
            <w:r w:rsidRPr="0084495F">
              <w:t>166,556</w:t>
            </w:r>
          </w:p>
        </w:tc>
        <w:tc>
          <w:tcPr>
            <w:tcW w:w="571" w:type="pct"/>
            <w:shd w:val="clear" w:color="auto" w:fill="auto"/>
          </w:tcPr>
          <w:p w14:paraId="5A14DF2D" w14:textId="77777777" w:rsidR="00624423" w:rsidRPr="0084495F" w:rsidRDefault="00624423" w:rsidP="00AB18E5">
            <w:pPr>
              <w:pStyle w:val="TableText"/>
              <w:jc w:val="center"/>
            </w:pPr>
            <w:r w:rsidRPr="0084495F">
              <w:t>169,158</w:t>
            </w:r>
          </w:p>
        </w:tc>
        <w:tc>
          <w:tcPr>
            <w:tcW w:w="571" w:type="pct"/>
            <w:shd w:val="clear" w:color="auto" w:fill="auto"/>
          </w:tcPr>
          <w:p w14:paraId="6DC29BA2" w14:textId="77777777" w:rsidR="00624423" w:rsidRPr="0084495F" w:rsidRDefault="00624423" w:rsidP="00AB18E5">
            <w:pPr>
              <w:pStyle w:val="TableText"/>
              <w:jc w:val="center"/>
            </w:pPr>
            <w:r w:rsidRPr="0084495F">
              <w:t>171,786</w:t>
            </w:r>
          </w:p>
        </w:tc>
        <w:tc>
          <w:tcPr>
            <w:tcW w:w="571" w:type="pct"/>
            <w:shd w:val="clear" w:color="auto" w:fill="auto"/>
          </w:tcPr>
          <w:p w14:paraId="5DD99155" w14:textId="77777777" w:rsidR="00624423" w:rsidRPr="0084495F" w:rsidRDefault="00624423" w:rsidP="00AB18E5">
            <w:pPr>
              <w:pStyle w:val="TableText"/>
              <w:jc w:val="center"/>
            </w:pPr>
            <w:r w:rsidRPr="0084495F">
              <w:t>174,383</w:t>
            </w:r>
          </w:p>
        </w:tc>
        <w:tc>
          <w:tcPr>
            <w:tcW w:w="573" w:type="pct"/>
            <w:shd w:val="clear" w:color="auto" w:fill="auto"/>
          </w:tcPr>
          <w:p w14:paraId="7EA950E7" w14:textId="77777777" w:rsidR="00624423" w:rsidRPr="0084495F" w:rsidRDefault="00624423" w:rsidP="00AB18E5">
            <w:pPr>
              <w:pStyle w:val="TableText"/>
              <w:jc w:val="center"/>
            </w:pPr>
            <w:r w:rsidRPr="0084495F">
              <w:t>176,910</w:t>
            </w:r>
          </w:p>
        </w:tc>
      </w:tr>
      <w:tr w:rsidR="00624423" w:rsidRPr="0084495F" w14:paraId="5D63FD14" w14:textId="77777777" w:rsidTr="000606A1">
        <w:tc>
          <w:tcPr>
            <w:tcW w:w="1574" w:type="pct"/>
            <w:shd w:val="clear" w:color="auto" w:fill="auto"/>
            <w:vAlign w:val="center"/>
          </w:tcPr>
          <w:p w14:paraId="2E6A5D40" w14:textId="77777777" w:rsidR="00624423" w:rsidRPr="0084495F" w:rsidRDefault="00624423" w:rsidP="00AB18E5">
            <w:pPr>
              <w:pStyle w:val="TableText"/>
            </w:pPr>
            <w:r w:rsidRPr="0084495F">
              <w:t>Worsening HF event (26.6%)</w:t>
            </w:r>
          </w:p>
        </w:tc>
        <w:tc>
          <w:tcPr>
            <w:tcW w:w="569" w:type="pct"/>
            <w:shd w:val="clear" w:color="auto" w:fill="auto"/>
          </w:tcPr>
          <w:p w14:paraId="4188319F" w14:textId="77777777" w:rsidR="00624423" w:rsidRPr="0084495F" w:rsidRDefault="00624423" w:rsidP="00AB18E5">
            <w:pPr>
              <w:pStyle w:val="TableText"/>
              <w:jc w:val="center"/>
            </w:pPr>
            <w:r w:rsidRPr="0084495F">
              <w:t>43,622</w:t>
            </w:r>
          </w:p>
        </w:tc>
        <w:tc>
          <w:tcPr>
            <w:tcW w:w="571" w:type="pct"/>
            <w:shd w:val="clear" w:color="auto" w:fill="auto"/>
          </w:tcPr>
          <w:p w14:paraId="20E484A5" w14:textId="77777777" w:rsidR="00624423" w:rsidRPr="0084495F" w:rsidRDefault="00624423" w:rsidP="00AB18E5">
            <w:pPr>
              <w:pStyle w:val="TableText"/>
              <w:jc w:val="center"/>
            </w:pPr>
            <w:r w:rsidRPr="0084495F">
              <w:t>44,304</w:t>
            </w:r>
          </w:p>
        </w:tc>
        <w:tc>
          <w:tcPr>
            <w:tcW w:w="571" w:type="pct"/>
            <w:shd w:val="clear" w:color="auto" w:fill="auto"/>
          </w:tcPr>
          <w:p w14:paraId="79C16649" w14:textId="77777777" w:rsidR="00624423" w:rsidRPr="0084495F" w:rsidRDefault="00624423" w:rsidP="00AB18E5">
            <w:pPr>
              <w:pStyle w:val="TableText"/>
              <w:jc w:val="center"/>
            </w:pPr>
            <w:r w:rsidRPr="0084495F">
              <w:t>44,996</w:t>
            </w:r>
          </w:p>
        </w:tc>
        <w:tc>
          <w:tcPr>
            <w:tcW w:w="571" w:type="pct"/>
            <w:shd w:val="clear" w:color="auto" w:fill="auto"/>
          </w:tcPr>
          <w:p w14:paraId="0B7DEF24" w14:textId="77777777" w:rsidR="00624423" w:rsidRPr="0084495F" w:rsidRDefault="00624423" w:rsidP="00AB18E5">
            <w:pPr>
              <w:pStyle w:val="TableText"/>
              <w:jc w:val="center"/>
            </w:pPr>
            <w:r w:rsidRPr="0084495F">
              <w:t>45,695</w:t>
            </w:r>
          </w:p>
        </w:tc>
        <w:tc>
          <w:tcPr>
            <w:tcW w:w="571" w:type="pct"/>
            <w:shd w:val="clear" w:color="auto" w:fill="auto"/>
          </w:tcPr>
          <w:p w14:paraId="794BEBDA" w14:textId="77777777" w:rsidR="00624423" w:rsidRPr="0084495F" w:rsidRDefault="00624423" w:rsidP="00AB18E5">
            <w:pPr>
              <w:pStyle w:val="TableText"/>
              <w:jc w:val="center"/>
            </w:pPr>
            <w:r w:rsidRPr="0084495F">
              <w:t>46,386</w:t>
            </w:r>
          </w:p>
        </w:tc>
        <w:tc>
          <w:tcPr>
            <w:tcW w:w="573" w:type="pct"/>
            <w:shd w:val="clear" w:color="auto" w:fill="auto"/>
          </w:tcPr>
          <w:p w14:paraId="70A3F7BD" w14:textId="77777777" w:rsidR="00624423" w:rsidRPr="0084495F" w:rsidRDefault="00624423" w:rsidP="00AB18E5">
            <w:pPr>
              <w:pStyle w:val="TableText"/>
              <w:jc w:val="center"/>
            </w:pPr>
            <w:r w:rsidRPr="0084495F">
              <w:t>47,058</w:t>
            </w:r>
          </w:p>
        </w:tc>
      </w:tr>
      <w:tr w:rsidR="00624423" w:rsidRPr="0084495F" w14:paraId="24458EB3" w14:textId="77777777" w:rsidTr="000606A1">
        <w:tc>
          <w:tcPr>
            <w:tcW w:w="1574" w:type="pct"/>
            <w:shd w:val="clear" w:color="auto" w:fill="auto"/>
            <w:vAlign w:val="center"/>
          </w:tcPr>
          <w:p w14:paraId="5FF0C600" w14:textId="77777777" w:rsidR="00624423" w:rsidRPr="0084495F" w:rsidRDefault="00624423" w:rsidP="00AB18E5">
            <w:pPr>
              <w:keepNext/>
              <w:jc w:val="left"/>
              <w:rPr>
                <w:rFonts w:ascii="Arial Narrow" w:hAnsi="Arial Narrow" w:cs="Calibri"/>
                <w:color w:val="000000"/>
                <w:sz w:val="20"/>
                <w:szCs w:val="20"/>
              </w:rPr>
            </w:pPr>
            <w:r w:rsidRPr="0084495F">
              <w:rPr>
                <w:rFonts w:ascii="Arial Narrow" w:hAnsi="Arial Narrow" w:cs="Calibri"/>
                <w:color w:val="000000"/>
                <w:sz w:val="20"/>
                <w:szCs w:val="20"/>
              </w:rPr>
              <w:t xml:space="preserve">Treated with </w:t>
            </w:r>
            <w:proofErr w:type="spellStart"/>
            <w:r w:rsidRPr="0084495F">
              <w:rPr>
                <w:rFonts w:ascii="Arial Narrow" w:hAnsi="Arial Narrow" w:cs="Calibri"/>
                <w:color w:val="000000"/>
                <w:sz w:val="20"/>
                <w:szCs w:val="20"/>
              </w:rPr>
              <w:t>ACEi</w:t>
            </w:r>
            <w:proofErr w:type="spellEnd"/>
            <w:r w:rsidRPr="0084495F">
              <w:rPr>
                <w:rFonts w:ascii="Arial Narrow" w:hAnsi="Arial Narrow" w:cs="Calibri"/>
                <w:color w:val="000000"/>
                <w:sz w:val="20"/>
                <w:szCs w:val="20"/>
              </w:rPr>
              <w:t>/ARB/</w:t>
            </w:r>
            <w:proofErr w:type="spellStart"/>
            <w:r w:rsidRPr="0084495F">
              <w:rPr>
                <w:rFonts w:ascii="Arial Narrow" w:hAnsi="Arial Narrow" w:cs="Calibri"/>
                <w:color w:val="000000"/>
                <w:sz w:val="20"/>
                <w:szCs w:val="20"/>
              </w:rPr>
              <w:t>ARNi</w:t>
            </w:r>
            <w:proofErr w:type="spellEnd"/>
            <w:r w:rsidRPr="0084495F">
              <w:rPr>
                <w:rFonts w:ascii="Arial Narrow" w:hAnsi="Arial Narrow" w:cs="Calibri"/>
                <w:color w:val="000000"/>
                <w:sz w:val="20"/>
                <w:szCs w:val="20"/>
              </w:rPr>
              <w:t xml:space="preserve"> (90%)</w:t>
            </w:r>
          </w:p>
        </w:tc>
        <w:tc>
          <w:tcPr>
            <w:tcW w:w="569" w:type="pct"/>
            <w:shd w:val="clear" w:color="auto" w:fill="auto"/>
          </w:tcPr>
          <w:p w14:paraId="32E8D0C2" w14:textId="77777777" w:rsidR="00624423" w:rsidRPr="0084495F" w:rsidRDefault="00624423" w:rsidP="00AB18E5">
            <w:pPr>
              <w:pStyle w:val="TableText"/>
              <w:jc w:val="center"/>
            </w:pPr>
            <w:r w:rsidRPr="0084495F">
              <w:t>39,260</w:t>
            </w:r>
          </w:p>
        </w:tc>
        <w:tc>
          <w:tcPr>
            <w:tcW w:w="571" w:type="pct"/>
            <w:shd w:val="clear" w:color="auto" w:fill="auto"/>
          </w:tcPr>
          <w:p w14:paraId="289D6564" w14:textId="77777777" w:rsidR="00624423" w:rsidRPr="0084495F" w:rsidRDefault="00624423" w:rsidP="00AB18E5">
            <w:pPr>
              <w:pStyle w:val="TableText"/>
              <w:jc w:val="center"/>
            </w:pPr>
            <w:r w:rsidRPr="0084495F">
              <w:t>39,873</w:t>
            </w:r>
          </w:p>
        </w:tc>
        <w:tc>
          <w:tcPr>
            <w:tcW w:w="571" w:type="pct"/>
            <w:shd w:val="clear" w:color="auto" w:fill="auto"/>
          </w:tcPr>
          <w:p w14:paraId="394768AC" w14:textId="77777777" w:rsidR="00624423" w:rsidRPr="0084495F" w:rsidRDefault="00624423" w:rsidP="00AB18E5">
            <w:pPr>
              <w:pStyle w:val="TableText"/>
              <w:jc w:val="center"/>
            </w:pPr>
            <w:r w:rsidRPr="0084495F">
              <w:t>40,496</w:t>
            </w:r>
          </w:p>
        </w:tc>
        <w:tc>
          <w:tcPr>
            <w:tcW w:w="571" w:type="pct"/>
            <w:shd w:val="clear" w:color="auto" w:fill="auto"/>
          </w:tcPr>
          <w:p w14:paraId="038762EF" w14:textId="77777777" w:rsidR="00624423" w:rsidRPr="0084495F" w:rsidRDefault="00624423" w:rsidP="00AB18E5">
            <w:pPr>
              <w:pStyle w:val="TableText"/>
              <w:jc w:val="center"/>
            </w:pPr>
            <w:r w:rsidRPr="0084495F">
              <w:t>41,126</w:t>
            </w:r>
          </w:p>
        </w:tc>
        <w:tc>
          <w:tcPr>
            <w:tcW w:w="571" w:type="pct"/>
            <w:shd w:val="clear" w:color="auto" w:fill="auto"/>
          </w:tcPr>
          <w:p w14:paraId="7BEB1322" w14:textId="77777777" w:rsidR="00624423" w:rsidRPr="0084495F" w:rsidRDefault="00624423" w:rsidP="00AB18E5">
            <w:pPr>
              <w:pStyle w:val="TableText"/>
              <w:jc w:val="center"/>
            </w:pPr>
            <w:r w:rsidRPr="0084495F">
              <w:t>41,747</w:t>
            </w:r>
          </w:p>
        </w:tc>
        <w:tc>
          <w:tcPr>
            <w:tcW w:w="573" w:type="pct"/>
            <w:shd w:val="clear" w:color="auto" w:fill="auto"/>
          </w:tcPr>
          <w:p w14:paraId="0449F4EB" w14:textId="77777777" w:rsidR="00624423" w:rsidRPr="0084495F" w:rsidRDefault="00624423" w:rsidP="00AB18E5">
            <w:pPr>
              <w:pStyle w:val="TableText"/>
              <w:jc w:val="center"/>
            </w:pPr>
            <w:r w:rsidRPr="0084495F">
              <w:t>42,352</w:t>
            </w:r>
          </w:p>
        </w:tc>
      </w:tr>
      <w:tr w:rsidR="00624423" w:rsidRPr="0084495F" w14:paraId="2E07E74D" w14:textId="77777777" w:rsidTr="000606A1">
        <w:tc>
          <w:tcPr>
            <w:tcW w:w="1574" w:type="pct"/>
            <w:shd w:val="clear" w:color="auto" w:fill="auto"/>
            <w:vAlign w:val="center"/>
          </w:tcPr>
          <w:p w14:paraId="1B802CC4" w14:textId="77777777" w:rsidR="00624423" w:rsidRPr="0084495F" w:rsidRDefault="00624423" w:rsidP="00AB18E5">
            <w:pPr>
              <w:pStyle w:val="TableText"/>
            </w:pPr>
            <w:r w:rsidRPr="0084495F">
              <w:t>Stabilised after HF event (77.2%)</w:t>
            </w:r>
          </w:p>
        </w:tc>
        <w:tc>
          <w:tcPr>
            <w:tcW w:w="569" w:type="pct"/>
            <w:shd w:val="clear" w:color="auto" w:fill="auto"/>
          </w:tcPr>
          <w:p w14:paraId="1F421679" w14:textId="77777777" w:rsidR="00624423" w:rsidRPr="0084495F" w:rsidRDefault="00624423" w:rsidP="00AB18E5">
            <w:pPr>
              <w:pStyle w:val="TableText"/>
              <w:jc w:val="center"/>
            </w:pPr>
            <w:r w:rsidRPr="0084495F">
              <w:t xml:space="preserve">30,296 </w:t>
            </w:r>
          </w:p>
        </w:tc>
        <w:tc>
          <w:tcPr>
            <w:tcW w:w="571" w:type="pct"/>
            <w:shd w:val="clear" w:color="auto" w:fill="auto"/>
          </w:tcPr>
          <w:p w14:paraId="4564ED6F" w14:textId="77777777" w:rsidR="00624423" w:rsidRPr="0084495F" w:rsidRDefault="00624423" w:rsidP="00AB18E5">
            <w:pPr>
              <w:pStyle w:val="TableText"/>
              <w:jc w:val="center"/>
            </w:pPr>
            <w:r w:rsidRPr="0084495F">
              <w:t xml:space="preserve">30,769 </w:t>
            </w:r>
          </w:p>
        </w:tc>
        <w:tc>
          <w:tcPr>
            <w:tcW w:w="571" w:type="pct"/>
            <w:shd w:val="clear" w:color="auto" w:fill="auto"/>
          </w:tcPr>
          <w:p w14:paraId="4BF58E1F" w14:textId="77777777" w:rsidR="00624423" w:rsidRPr="0084495F" w:rsidRDefault="00624423" w:rsidP="00AB18E5">
            <w:pPr>
              <w:pStyle w:val="TableText"/>
              <w:jc w:val="center"/>
            </w:pPr>
            <w:r w:rsidRPr="0084495F">
              <w:t xml:space="preserve">31,250 </w:t>
            </w:r>
          </w:p>
        </w:tc>
        <w:tc>
          <w:tcPr>
            <w:tcW w:w="571" w:type="pct"/>
            <w:shd w:val="clear" w:color="auto" w:fill="auto"/>
          </w:tcPr>
          <w:p w14:paraId="265A0A17" w14:textId="77777777" w:rsidR="00624423" w:rsidRPr="0084495F" w:rsidRDefault="00624423" w:rsidP="00AB18E5">
            <w:pPr>
              <w:pStyle w:val="TableText"/>
              <w:jc w:val="center"/>
            </w:pPr>
            <w:r w:rsidRPr="0084495F">
              <w:t xml:space="preserve">31,736 </w:t>
            </w:r>
          </w:p>
        </w:tc>
        <w:tc>
          <w:tcPr>
            <w:tcW w:w="571" w:type="pct"/>
            <w:shd w:val="clear" w:color="auto" w:fill="auto"/>
          </w:tcPr>
          <w:p w14:paraId="6741CB20" w14:textId="77777777" w:rsidR="00624423" w:rsidRPr="0084495F" w:rsidRDefault="00624423" w:rsidP="00AB18E5">
            <w:pPr>
              <w:pStyle w:val="TableText"/>
              <w:jc w:val="center"/>
            </w:pPr>
            <w:r w:rsidRPr="0084495F">
              <w:t xml:space="preserve">32,215 </w:t>
            </w:r>
          </w:p>
        </w:tc>
        <w:tc>
          <w:tcPr>
            <w:tcW w:w="573" w:type="pct"/>
            <w:shd w:val="clear" w:color="auto" w:fill="auto"/>
          </w:tcPr>
          <w:p w14:paraId="621A825C" w14:textId="77777777" w:rsidR="00624423" w:rsidRPr="0084495F" w:rsidRDefault="00624423" w:rsidP="00AB18E5">
            <w:pPr>
              <w:pStyle w:val="TableText"/>
              <w:jc w:val="center"/>
            </w:pPr>
            <w:r w:rsidRPr="0084495F">
              <w:t xml:space="preserve">32,682 </w:t>
            </w:r>
          </w:p>
        </w:tc>
      </w:tr>
      <w:tr w:rsidR="00624423" w:rsidRPr="0084495F" w14:paraId="65342AD4" w14:textId="77777777" w:rsidTr="000606A1">
        <w:tc>
          <w:tcPr>
            <w:tcW w:w="5000" w:type="pct"/>
            <w:gridSpan w:val="7"/>
            <w:shd w:val="clear" w:color="auto" w:fill="auto"/>
            <w:vAlign w:val="center"/>
          </w:tcPr>
          <w:p w14:paraId="004153B0" w14:textId="77777777" w:rsidR="00624423" w:rsidRPr="0084495F" w:rsidRDefault="00624423" w:rsidP="00AB18E5">
            <w:pPr>
              <w:pStyle w:val="TableText"/>
              <w:rPr>
                <w:b/>
                <w:bCs w:val="0"/>
              </w:rPr>
            </w:pPr>
            <w:r w:rsidRPr="0084495F">
              <w:rPr>
                <w:b/>
                <w:bCs w:val="0"/>
              </w:rPr>
              <w:t>Utilisation estimates</w:t>
            </w:r>
          </w:p>
        </w:tc>
      </w:tr>
      <w:tr w:rsidR="00624423" w:rsidRPr="0084495F" w14:paraId="4E1C58CC" w14:textId="77777777" w:rsidTr="000606A1">
        <w:tc>
          <w:tcPr>
            <w:tcW w:w="1574" w:type="pct"/>
            <w:shd w:val="clear" w:color="auto" w:fill="auto"/>
            <w:vAlign w:val="center"/>
          </w:tcPr>
          <w:p w14:paraId="1D5BE115" w14:textId="4FACA048" w:rsidR="00624423" w:rsidRPr="0084495F" w:rsidRDefault="00624423" w:rsidP="00AB18E5">
            <w:pPr>
              <w:pStyle w:val="TableText"/>
            </w:pPr>
            <w:r w:rsidRPr="0084495F">
              <w:t>Treatment uptake</w:t>
            </w:r>
          </w:p>
        </w:tc>
        <w:tc>
          <w:tcPr>
            <w:tcW w:w="569" w:type="pct"/>
            <w:shd w:val="clear" w:color="auto" w:fill="auto"/>
          </w:tcPr>
          <w:p w14:paraId="68D6B13A" w14:textId="226352F4" w:rsidR="00624423" w:rsidRPr="00B1569E" w:rsidRDefault="009C6175" w:rsidP="00AB18E5">
            <w:pPr>
              <w:pStyle w:val="TableText"/>
              <w:jc w:val="center"/>
              <w:rPr>
                <w:highlight w:val="yellow"/>
              </w:rPr>
            </w:pPr>
            <w:r w:rsidRPr="00D23C96">
              <w:rPr>
                <w:rFonts w:hint="eastAsia"/>
                <w:color w:val="000000"/>
                <w:w w:val="32"/>
                <w:shd w:val="solid" w:color="000000" w:fill="000000"/>
                <w:fitText w:val="142" w:id="-1501343996"/>
                <w14:textFill>
                  <w14:solidFill>
                    <w14:srgbClr w14:val="000000">
                      <w14:alpha w14:val="100000"/>
                    </w14:srgbClr>
                  </w14:solidFill>
                </w14:textFill>
              </w:rPr>
              <w:t xml:space="preserve">　</w:t>
            </w:r>
            <w:r w:rsidRPr="00D23C96">
              <w:rPr>
                <w:color w:val="000000"/>
                <w:w w:val="32"/>
                <w:shd w:val="solid" w:color="000000" w:fill="000000"/>
                <w:fitText w:val="142" w:id="-1501343996"/>
                <w14:textFill>
                  <w14:solidFill>
                    <w14:srgbClr w14:val="000000">
                      <w14:alpha w14:val="100000"/>
                    </w14:srgbClr>
                  </w14:solidFill>
                </w14:textFill>
              </w:rPr>
              <w:t>|</w:t>
            </w:r>
            <w:r w:rsidRPr="00D23C96">
              <w:rPr>
                <w:rFonts w:hint="eastAsia"/>
                <w:color w:val="000000"/>
                <w:spacing w:val="3"/>
                <w:w w:val="32"/>
                <w:shd w:val="solid" w:color="000000" w:fill="000000"/>
                <w:fitText w:val="142" w:id="-1501343996"/>
                <w14:textFill>
                  <w14:solidFill>
                    <w14:srgbClr w14:val="000000">
                      <w14:alpha w14:val="100000"/>
                    </w14:srgbClr>
                  </w14:solidFill>
                </w14:textFill>
              </w:rPr>
              <w:t xml:space="preserve">　</w:t>
            </w:r>
            <w:r w:rsidR="00624423" w:rsidRPr="000606A1">
              <w:t>%</w:t>
            </w:r>
          </w:p>
        </w:tc>
        <w:tc>
          <w:tcPr>
            <w:tcW w:w="571" w:type="pct"/>
            <w:shd w:val="clear" w:color="auto" w:fill="auto"/>
          </w:tcPr>
          <w:p w14:paraId="0F59ECAB" w14:textId="5BE87733" w:rsidR="00624423" w:rsidRPr="00B1569E" w:rsidRDefault="009C6175" w:rsidP="00AB18E5">
            <w:pPr>
              <w:pStyle w:val="TableText"/>
              <w:jc w:val="center"/>
              <w:rPr>
                <w:highlight w:val="yellow"/>
              </w:rPr>
            </w:pPr>
            <w:r w:rsidRPr="00D23C96">
              <w:rPr>
                <w:rFonts w:hint="eastAsia"/>
                <w:color w:val="000000"/>
                <w:w w:val="30"/>
                <w:shd w:val="solid" w:color="000000" w:fill="000000"/>
                <w:fitText w:val="134" w:id="-1501343995"/>
                <w14:textFill>
                  <w14:solidFill>
                    <w14:srgbClr w14:val="000000">
                      <w14:alpha w14:val="100000"/>
                    </w14:srgbClr>
                  </w14:solidFill>
                </w14:textFill>
              </w:rPr>
              <w:t xml:space="preserve">　</w:t>
            </w:r>
            <w:r w:rsidRPr="00D23C96">
              <w:rPr>
                <w:color w:val="000000"/>
                <w:w w:val="30"/>
                <w:shd w:val="solid" w:color="000000" w:fill="000000"/>
                <w:fitText w:val="134" w:id="-1501343995"/>
                <w14:textFill>
                  <w14:solidFill>
                    <w14:srgbClr w14:val="000000">
                      <w14:alpha w14:val="100000"/>
                    </w14:srgbClr>
                  </w14:solidFill>
                </w14:textFill>
              </w:rPr>
              <w:t>|</w:t>
            </w:r>
            <w:r w:rsidRPr="00D23C96">
              <w:rPr>
                <w:rFonts w:hint="eastAsia"/>
                <w:color w:val="000000"/>
                <w:spacing w:val="1"/>
                <w:w w:val="30"/>
                <w:shd w:val="solid" w:color="000000" w:fill="000000"/>
                <w:fitText w:val="134" w:id="-1501343995"/>
                <w14:textFill>
                  <w14:solidFill>
                    <w14:srgbClr w14:val="000000">
                      <w14:alpha w14:val="100000"/>
                    </w14:srgbClr>
                  </w14:solidFill>
                </w14:textFill>
              </w:rPr>
              <w:t xml:space="preserve">　</w:t>
            </w:r>
            <w:r w:rsidR="00624423" w:rsidRPr="000606A1">
              <w:t>%</w:t>
            </w:r>
          </w:p>
        </w:tc>
        <w:tc>
          <w:tcPr>
            <w:tcW w:w="571" w:type="pct"/>
            <w:shd w:val="clear" w:color="auto" w:fill="auto"/>
          </w:tcPr>
          <w:p w14:paraId="07D9137F" w14:textId="700A788F" w:rsidR="00624423" w:rsidRPr="00B1569E" w:rsidRDefault="009C6175" w:rsidP="00AB18E5">
            <w:pPr>
              <w:pStyle w:val="TableText"/>
              <w:jc w:val="center"/>
              <w:rPr>
                <w:highlight w:val="yellow"/>
              </w:rPr>
            </w:pPr>
            <w:r w:rsidRPr="00D23C96">
              <w:rPr>
                <w:rFonts w:hint="eastAsia"/>
                <w:color w:val="000000"/>
                <w:w w:val="30"/>
                <w:shd w:val="solid" w:color="000000" w:fill="000000"/>
                <w:fitText w:val="133" w:id="-1501343994"/>
                <w14:textFill>
                  <w14:solidFill>
                    <w14:srgbClr w14:val="000000">
                      <w14:alpha w14:val="100000"/>
                    </w14:srgbClr>
                  </w14:solidFill>
                </w14:textFill>
              </w:rPr>
              <w:t xml:space="preserve">　</w:t>
            </w:r>
            <w:r w:rsidRPr="00D23C96">
              <w:rPr>
                <w:color w:val="000000"/>
                <w:w w:val="30"/>
                <w:shd w:val="solid" w:color="000000" w:fill="000000"/>
                <w:fitText w:val="133" w:id="-1501343994"/>
                <w14:textFill>
                  <w14:solidFill>
                    <w14:srgbClr w14:val="000000">
                      <w14:alpha w14:val="100000"/>
                    </w14:srgbClr>
                  </w14:solidFill>
                </w14:textFill>
              </w:rPr>
              <w:t>|</w:t>
            </w:r>
            <w:r w:rsidRPr="00D23C96">
              <w:rPr>
                <w:rFonts w:hint="eastAsia"/>
                <w:color w:val="000000"/>
                <w:spacing w:val="1"/>
                <w:w w:val="30"/>
                <w:shd w:val="solid" w:color="000000" w:fill="000000"/>
                <w:fitText w:val="133" w:id="-1501343994"/>
                <w14:textFill>
                  <w14:solidFill>
                    <w14:srgbClr w14:val="000000">
                      <w14:alpha w14:val="100000"/>
                    </w14:srgbClr>
                  </w14:solidFill>
                </w14:textFill>
              </w:rPr>
              <w:t xml:space="preserve">　</w:t>
            </w:r>
            <w:r w:rsidR="00624423" w:rsidRPr="000606A1">
              <w:t>%</w:t>
            </w:r>
          </w:p>
        </w:tc>
        <w:tc>
          <w:tcPr>
            <w:tcW w:w="571" w:type="pct"/>
            <w:shd w:val="clear" w:color="auto" w:fill="auto"/>
          </w:tcPr>
          <w:p w14:paraId="2DCDAB88" w14:textId="0EC6D053" w:rsidR="00624423" w:rsidRPr="00B1569E" w:rsidRDefault="009C6175" w:rsidP="00AB18E5">
            <w:pPr>
              <w:pStyle w:val="TableText"/>
              <w:jc w:val="center"/>
              <w:rPr>
                <w:highlight w:val="yellow"/>
              </w:rPr>
            </w:pPr>
            <w:r w:rsidRPr="00D23C96">
              <w:rPr>
                <w:rFonts w:hint="eastAsia"/>
                <w:color w:val="000000"/>
                <w:w w:val="30"/>
                <w:shd w:val="solid" w:color="000000" w:fill="000000"/>
                <w:fitText w:val="133" w:id="-1501343993"/>
                <w14:textFill>
                  <w14:solidFill>
                    <w14:srgbClr w14:val="000000">
                      <w14:alpha w14:val="100000"/>
                    </w14:srgbClr>
                  </w14:solidFill>
                </w14:textFill>
              </w:rPr>
              <w:t xml:space="preserve">　</w:t>
            </w:r>
            <w:r w:rsidRPr="00D23C96">
              <w:rPr>
                <w:color w:val="000000"/>
                <w:w w:val="30"/>
                <w:shd w:val="solid" w:color="000000" w:fill="000000"/>
                <w:fitText w:val="133" w:id="-1501343993"/>
                <w14:textFill>
                  <w14:solidFill>
                    <w14:srgbClr w14:val="000000">
                      <w14:alpha w14:val="100000"/>
                    </w14:srgbClr>
                  </w14:solidFill>
                </w14:textFill>
              </w:rPr>
              <w:t>|</w:t>
            </w:r>
            <w:r w:rsidRPr="00D23C96">
              <w:rPr>
                <w:rFonts w:hint="eastAsia"/>
                <w:color w:val="000000"/>
                <w:spacing w:val="1"/>
                <w:w w:val="30"/>
                <w:shd w:val="solid" w:color="000000" w:fill="000000"/>
                <w:fitText w:val="133" w:id="-1501343993"/>
                <w14:textFill>
                  <w14:solidFill>
                    <w14:srgbClr w14:val="000000">
                      <w14:alpha w14:val="100000"/>
                    </w14:srgbClr>
                  </w14:solidFill>
                </w14:textFill>
              </w:rPr>
              <w:t xml:space="preserve">　</w:t>
            </w:r>
            <w:r w:rsidR="00624423" w:rsidRPr="000606A1">
              <w:t>%</w:t>
            </w:r>
          </w:p>
        </w:tc>
        <w:tc>
          <w:tcPr>
            <w:tcW w:w="571" w:type="pct"/>
            <w:shd w:val="clear" w:color="auto" w:fill="auto"/>
          </w:tcPr>
          <w:p w14:paraId="463A4351" w14:textId="4F50E13B" w:rsidR="00624423" w:rsidRPr="00B1569E" w:rsidRDefault="009C6175" w:rsidP="00AB18E5">
            <w:pPr>
              <w:pStyle w:val="TableText"/>
              <w:jc w:val="center"/>
              <w:rPr>
                <w:highlight w:val="yellow"/>
              </w:rPr>
            </w:pPr>
            <w:r w:rsidRPr="00D23C96">
              <w:rPr>
                <w:rFonts w:hint="eastAsia"/>
                <w:color w:val="000000"/>
                <w:w w:val="30"/>
                <w:shd w:val="solid" w:color="000000" w:fill="000000"/>
                <w:fitText w:val="133" w:id="-1501343992"/>
                <w14:textFill>
                  <w14:solidFill>
                    <w14:srgbClr w14:val="000000">
                      <w14:alpha w14:val="100000"/>
                    </w14:srgbClr>
                  </w14:solidFill>
                </w14:textFill>
              </w:rPr>
              <w:t xml:space="preserve">　</w:t>
            </w:r>
            <w:r w:rsidRPr="00D23C96">
              <w:rPr>
                <w:color w:val="000000"/>
                <w:w w:val="30"/>
                <w:shd w:val="solid" w:color="000000" w:fill="000000"/>
                <w:fitText w:val="133" w:id="-1501343992"/>
                <w14:textFill>
                  <w14:solidFill>
                    <w14:srgbClr w14:val="000000">
                      <w14:alpha w14:val="100000"/>
                    </w14:srgbClr>
                  </w14:solidFill>
                </w14:textFill>
              </w:rPr>
              <w:t>|</w:t>
            </w:r>
            <w:r w:rsidRPr="00D23C96">
              <w:rPr>
                <w:rFonts w:hint="eastAsia"/>
                <w:color w:val="000000"/>
                <w:spacing w:val="1"/>
                <w:w w:val="30"/>
                <w:shd w:val="solid" w:color="000000" w:fill="000000"/>
                <w:fitText w:val="133" w:id="-1501343992"/>
                <w14:textFill>
                  <w14:solidFill>
                    <w14:srgbClr w14:val="000000">
                      <w14:alpha w14:val="100000"/>
                    </w14:srgbClr>
                  </w14:solidFill>
                </w14:textFill>
              </w:rPr>
              <w:t xml:space="preserve">　</w:t>
            </w:r>
            <w:r w:rsidR="00624423" w:rsidRPr="000606A1">
              <w:t>%</w:t>
            </w:r>
          </w:p>
        </w:tc>
        <w:tc>
          <w:tcPr>
            <w:tcW w:w="573" w:type="pct"/>
            <w:shd w:val="clear" w:color="auto" w:fill="auto"/>
          </w:tcPr>
          <w:p w14:paraId="44355C22" w14:textId="3B5876E2" w:rsidR="00624423" w:rsidRPr="00B1569E" w:rsidRDefault="009C6175" w:rsidP="00AB18E5">
            <w:pPr>
              <w:pStyle w:val="TableText"/>
              <w:jc w:val="center"/>
              <w:rPr>
                <w:highlight w:val="yellow"/>
              </w:rPr>
            </w:pPr>
            <w:r w:rsidRPr="009C6175">
              <w:rPr>
                <w:rFonts w:hint="eastAsia"/>
                <w:color w:val="000000"/>
                <w:w w:val="28"/>
                <w:shd w:val="solid" w:color="000000" w:fill="000000"/>
                <w:fitText w:val="125" w:id="-1501343991"/>
                <w14:textFill>
                  <w14:solidFill>
                    <w14:srgbClr w14:val="000000">
                      <w14:alpha w14:val="100000"/>
                    </w14:srgbClr>
                  </w14:solidFill>
                </w14:textFill>
              </w:rPr>
              <w:t xml:space="preserve">　</w:t>
            </w:r>
            <w:r w:rsidRPr="009C6175">
              <w:rPr>
                <w:color w:val="000000"/>
                <w:w w:val="28"/>
                <w:shd w:val="solid" w:color="000000" w:fill="000000"/>
                <w:fitText w:val="125" w:id="-1501343991"/>
                <w14:textFill>
                  <w14:solidFill>
                    <w14:srgbClr w14:val="000000">
                      <w14:alpha w14:val="100000"/>
                    </w14:srgbClr>
                  </w14:solidFill>
                </w14:textFill>
              </w:rPr>
              <w:t>|</w:t>
            </w:r>
            <w:r w:rsidRPr="009C6175">
              <w:rPr>
                <w:rFonts w:hint="eastAsia"/>
                <w:color w:val="000000"/>
                <w:spacing w:val="3"/>
                <w:w w:val="28"/>
                <w:shd w:val="solid" w:color="000000" w:fill="000000"/>
                <w:fitText w:val="125" w:id="-1501343991"/>
                <w14:textFill>
                  <w14:solidFill>
                    <w14:srgbClr w14:val="000000">
                      <w14:alpha w14:val="100000"/>
                    </w14:srgbClr>
                  </w14:solidFill>
                </w14:textFill>
              </w:rPr>
              <w:t xml:space="preserve">　</w:t>
            </w:r>
            <w:r w:rsidR="00624423" w:rsidRPr="000606A1">
              <w:t>%</w:t>
            </w:r>
          </w:p>
        </w:tc>
      </w:tr>
      <w:tr w:rsidR="00624423" w:rsidRPr="0084495F" w14:paraId="5143B7CC" w14:textId="77777777" w:rsidTr="000606A1">
        <w:tc>
          <w:tcPr>
            <w:tcW w:w="1574" w:type="pct"/>
            <w:shd w:val="clear" w:color="auto" w:fill="auto"/>
            <w:vAlign w:val="center"/>
          </w:tcPr>
          <w:p w14:paraId="308758C9" w14:textId="77777777" w:rsidR="00624423" w:rsidRPr="0084495F" w:rsidRDefault="00624423" w:rsidP="00AB18E5">
            <w:pPr>
              <w:pStyle w:val="TableText"/>
            </w:pPr>
            <w:r w:rsidRPr="0084495F">
              <w:t>Initiating patients</w:t>
            </w:r>
          </w:p>
        </w:tc>
        <w:tc>
          <w:tcPr>
            <w:tcW w:w="569" w:type="pct"/>
            <w:shd w:val="clear" w:color="auto" w:fill="auto"/>
          </w:tcPr>
          <w:p w14:paraId="5365E638" w14:textId="3BCD512E" w:rsidR="00624423" w:rsidRPr="00E818AB" w:rsidRDefault="009C6175" w:rsidP="00AB18E5">
            <w:pPr>
              <w:pStyle w:val="TableText"/>
              <w:jc w:val="center"/>
              <w:rPr>
                <w:highlight w:val="yellow"/>
              </w:rPr>
            </w:pPr>
            <w:r w:rsidRPr="00D23C96">
              <w:rPr>
                <w:rFonts w:hint="eastAsia"/>
                <w:color w:val="000000"/>
                <w:w w:val="20"/>
                <w:shd w:val="solid" w:color="000000" w:fill="000000"/>
                <w:fitText w:val="92" w:id="-1501343990"/>
                <w14:textFill>
                  <w14:solidFill>
                    <w14:srgbClr w14:val="000000">
                      <w14:alpha w14:val="100000"/>
                    </w14:srgbClr>
                  </w14:solidFill>
                </w14:textFill>
              </w:rPr>
              <w:t xml:space="preserve">　</w:t>
            </w:r>
            <w:r w:rsidRPr="00D23C96">
              <w:rPr>
                <w:color w:val="000000"/>
                <w:w w:val="20"/>
                <w:shd w:val="solid" w:color="000000" w:fill="000000"/>
                <w:fitText w:val="92" w:id="-1501343990"/>
                <w14:textFill>
                  <w14:solidFill>
                    <w14:srgbClr w14:val="000000">
                      <w14:alpha w14:val="100000"/>
                    </w14:srgbClr>
                  </w14:solidFill>
                </w14:textFill>
              </w:rPr>
              <w:t>|</w:t>
            </w:r>
            <w:r w:rsidRPr="00D23C96">
              <w:rPr>
                <w:rFonts w:hint="eastAsia"/>
                <w:color w:val="000000"/>
                <w:spacing w:val="5"/>
                <w:w w:val="20"/>
                <w:shd w:val="solid" w:color="000000" w:fill="000000"/>
                <w:fitText w:val="92" w:id="-1501343990"/>
                <w14:textFill>
                  <w14:solidFill>
                    <w14:srgbClr w14:val="000000">
                      <w14:alpha w14:val="100000"/>
                    </w14:srgbClr>
                  </w14:solidFill>
                </w14:textFill>
              </w:rPr>
              <w:t xml:space="preserve">　</w:t>
            </w:r>
            <w:r w:rsidR="00E818AB" w:rsidRPr="000606A1">
              <w:rPr>
                <w:vertAlign w:val="superscript"/>
              </w:rPr>
              <w:t>1</w:t>
            </w:r>
          </w:p>
        </w:tc>
        <w:tc>
          <w:tcPr>
            <w:tcW w:w="571" w:type="pct"/>
            <w:shd w:val="clear" w:color="auto" w:fill="auto"/>
          </w:tcPr>
          <w:p w14:paraId="073DCBF6" w14:textId="5C22ADB4" w:rsidR="00624423" w:rsidRPr="00E818AB" w:rsidRDefault="009C6175" w:rsidP="00AB18E5">
            <w:pPr>
              <w:pStyle w:val="TableText"/>
              <w:jc w:val="center"/>
              <w:rPr>
                <w:highlight w:val="yellow"/>
              </w:rPr>
            </w:pPr>
            <w:r w:rsidRPr="00D23C96">
              <w:rPr>
                <w:rFonts w:hint="eastAsia"/>
                <w:color w:val="000000"/>
                <w:w w:val="18"/>
                <w:shd w:val="solid" w:color="000000" w:fill="000000"/>
                <w:fitText w:val="83" w:id="-1501343989"/>
                <w14:textFill>
                  <w14:solidFill>
                    <w14:srgbClr w14:val="000000">
                      <w14:alpha w14:val="100000"/>
                    </w14:srgbClr>
                  </w14:solidFill>
                </w14:textFill>
              </w:rPr>
              <w:t xml:space="preserve">　</w:t>
            </w:r>
            <w:r w:rsidRPr="00D23C96">
              <w:rPr>
                <w:color w:val="000000"/>
                <w:w w:val="18"/>
                <w:shd w:val="solid" w:color="000000" w:fill="000000"/>
                <w:fitText w:val="83" w:id="-1501343989"/>
                <w14:textFill>
                  <w14:solidFill>
                    <w14:srgbClr w14:val="000000">
                      <w14:alpha w14:val="100000"/>
                    </w14:srgbClr>
                  </w14:solidFill>
                </w14:textFill>
              </w:rPr>
              <w:t>|</w:t>
            </w:r>
            <w:r w:rsidRPr="00D23C96">
              <w:rPr>
                <w:rFonts w:hint="eastAsia"/>
                <w:color w:val="000000"/>
                <w:spacing w:val="12"/>
                <w:w w:val="18"/>
                <w:shd w:val="solid" w:color="000000" w:fill="000000"/>
                <w:fitText w:val="83" w:id="-1501343989"/>
                <w14:textFill>
                  <w14:solidFill>
                    <w14:srgbClr w14:val="000000">
                      <w14:alpha w14:val="100000"/>
                    </w14:srgbClr>
                  </w14:solidFill>
                </w14:textFill>
              </w:rPr>
              <w:t xml:space="preserve">　</w:t>
            </w:r>
            <w:r w:rsidR="00E818AB" w:rsidRPr="000606A1">
              <w:rPr>
                <w:vertAlign w:val="superscript"/>
              </w:rPr>
              <w:t>1</w:t>
            </w:r>
          </w:p>
        </w:tc>
        <w:tc>
          <w:tcPr>
            <w:tcW w:w="571" w:type="pct"/>
            <w:shd w:val="clear" w:color="auto" w:fill="auto"/>
          </w:tcPr>
          <w:p w14:paraId="68C65922" w14:textId="67F4178F" w:rsidR="00624423" w:rsidRPr="00E818AB" w:rsidRDefault="009C6175" w:rsidP="00AB18E5">
            <w:pPr>
              <w:pStyle w:val="TableText"/>
              <w:jc w:val="center"/>
              <w:rPr>
                <w:highlight w:val="yellow"/>
              </w:rPr>
            </w:pPr>
            <w:r w:rsidRPr="00D23C96">
              <w:rPr>
                <w:rFonts w:hint="eastAsia"/>
                <w:color w:val="000000"/>
                <w:w w:val="18"/>
                <w:shd w:val="solid" w:color="000000" w:fill="000000"/>
                <w:fitText w:val="83" w:id="-1501343988"/>
                <w14:textFill>
                  <w14:solidFill>
                    <w14:srgbClr w14:val="000000">
                      <w14:alpha w14:val="100000"/>
                    </w14:srgbClr>
                  </w14:solidFill>
                </w14:textFill>
              </w:rPr>
              <w:t xml:space="preserve">　</w:t>
            </w:r>
            <w:r w:rsidRPr="00D23C96">
              <w:rPr>
                <w:color w:val="000000"/>
                <w:w w:val="18"/>
                <w:shd w:val="solid" w:color="000000" w:fill="000000"/>
                <w:fitText w:val="83" w:id="-1501343988"/>
                <w14:textFill>
                  <w14:solidFill>
                    <w14:srgbClr w14:val="000000">
                      <w14:alpha w14:val="100000"/>
                    </w14:srgbClr>
                  </w14:solidFill>
                </w14:textFill>
              </w:rPr>
              <w:t>|</w:t>
            </w:r>
            <w:r w:rsidRPr="00D23C96">
              <w:rPr>
                <w:rFonts w:hint="eastAsia"/>
                <w:color w:val="000000"/>
                <w:spacing w:val="12"/>
                <w:w w:val="18"/>
                <w:shd w:val="solid" w:color="000000" w:fill="000000"/>
                <w:fitText w:val="83" w:id="-1501343988"/>
                <w14:textFill>
                  <w14:solidFill>
                    <w14:srgbClr w14:val="000000">
                      <w14:alpha w14:val="100000"/>
                    </w14:srgbClr>
                  </w14:solidFill>
                </w14:textFill>
              </w:rPr>
              <w:t xml:space="preserve">　</w:t>
            </w:r>
            <w:r w:rsidR="00A73D92" w:rsidRPr="000606A1">
              <w:rPr>
                <w:vertAlign w:val="superscript"/>
              </w:rPr>
              <w:t>5</w:t>
            </w:r>
          </w:p>
        </w:tc>
        <w:tc>
          <w:tcPr>
            <w:tcW w:w="571" w:type="pct"/>
            <w:shd w:val="clear" w:color="auto" w:fill="auto"/>
          </w:tcPr>
          <w:p w14:paraId="1C56531B" w14:textId="48CCC5FA" w:rsidR="00624423" w:rsidRPr="00E818AB" w:rsidRDefault="009C6175" w:rsidP="00AB18E5">
            <w:pPr>
              <w:pStyle w:val="TableText"/>
              <w:jc w:val="center"/>
              <w:rPr>
                <w:highlight w:val="yellow"/>
              </w:rPr>
            </w:pPr>
            <w:r w:rsidRPr="00D23C96">
              <w:rPr>
                <w:rFonts w:hint="eastAsia"/>
                <w:color w:val="000000"/>
                <w:w w:val="18"/>
                <w:shd w:val="solid" w:color="000000" w:fill="000000"/>
                <w:fitText w:val="84" w:id="-1501343987"/>
                <w14:textFill>
                  <w14:solidFill>
                    <w14:srgbClr w14:val="000000">
                      <w14:alpha w14:val="100000"/>
                    </w14:srgbClr>
                  </w14:solidFill>
                </w14:textFill>
              </w:rPr>
              <w:t xml:space="preserve">　</w:t>
            </w:r>
            <w:r w:rsidRPr="00D23C96">
              <w:rPr>
                <w:color w:val="000000"/>
                <w:w w:val="18"/>
                <w:shd w:val="solid" w:color="000000" w:fill="000000"/>
                <w:fitText w:val="84" w:id="-1501343987"/>
                <w14:textFill>
                  <w14:solidFill>
                    <w14:srgbClr w14:val="000000">
                      <w14:alpha w14:val="100000"/>
                    </w14:srgbClr>
                  </w14:solidFill>
                </w14:textFill>
              </w:rPr>
              <w:t>|</w:t>
            </w:r>
            <w:r w:rsidRPr="00D23C96">
              <w:rPr>
                <w:rFonts w:hint="eastAsia"/>
                <w:color w:val="000000"/>
                <w:spacing w:val="12"/>
                <w:w w:val="18"/>
                <w:shd w:val="solid" w:color="000000" w:fill="000000"/>
                <w:fitText w:val="84" w:id="-1501343987"/>
                <w14:textFill>
                  <w14:solidFill>
                    <w14:srgbClr w14:val="000000">
                      <w14:alpha w14:val="100000"/>
                    </w14:srgbClr>
                  </w14:solidFill>
                </w14:textFill>
              </w:rPr>
              <w:t xml:space="preserve">　</w:t>
            </w:r>
            <w:r w:rsidR="00A73D92" w:rsidRPr="000606A1">
              <w:rPr>
                <w:vertAlign w:val="superscript"/>
              </w:rPr>
              <w:t>5</w:t>
            </w:r>
          </w:p>
        </w:tc>
        <w:tc>
          <w:tcPr>
            <w:tcW w:w="571" w:type="pct"/>
            <w:shd w:val="clear" w:color="auto" w:fill="auto"/>
          </w:tcPr>
          <w:p w14:paraId="36BEFFE9" w14:textId="6334422E" w:rsidR="00624423" w:rsidRPr="00E818AB" w:rsidRDefault="009C6175" w:rsidP="00AB18E5">
            <w:pPr>
              <w:pStyle w:val="TableText"/>
              <w:jc w:val="center"/>
              <w:rPr>
                <w:highlight w:val="yellow"/>
              </w:rPr>
            </w:pPr>
            <w:r w:rsidRPr="00D23C96">
              <w:rPr>
                <w:rFonts w:hint="eastAsia"/>
                <w:color w:val="000000"/>
                <w:w w:val="18"/>
                <w:shd w:val="solid" w:color="000000" w:fill="000000"/>
                <w:fitText w:val="83" w:id="-1501343986"/>
                <w14:textFill>
                  <w14:solidFill>
                    <w14:srgbClr w14:val="000000">
                      <w14:alpha w14:val="100000"/>
                    </w14:srgbClr>
                  </w14:solidFill>
                </w14:textFill>
              </w:rPr>
              <w:t xml:space="preserve">　</w:t>
            </w:r>
            <w:r w:rsidRPr="00D23C96">
              <w:rPr>
                <w:color w:val="000000"/>
                <w:w w:val="18"/>
                <w:shd w:val="solid" w:color="000000" w:fill="000000"/>
                <w:fitText w:val="83" w:id="-1501343986"/>
                <w14:textFill>
                  <w14:solidFill>
                    <w14:srgbClr w14:val="000000">
                      <w14:alpha w14:val="100000"/>
                    </w14:srgbClr>
                  </w14:solidFill>
                </w14:textFill>
              </w:rPr>
              <w:t>|</w:t>
            </w:r>
            <w:r w:rsidRPr="00D23C96">
              <w:rPr>
                <w:rFonts w:hint="eastAsia"/>
                <w:color w:val="000000"/>
                <w:spacing w:val="12"/>
                <w:w w:val="18"/>
                <w:shd w:val="solid" w:color="000000" w:fill="000000"/>
                <w:fitText w:val="83" w:id="-1501343986"/>
                <w14:textFill>
                  <w14:solidFill>
                    <w14:srgbClr w14:val="000000">
                      <w14:alpha w14:val="100000"/>
                    </w14:srgbClr>
                  </w14:solidFill>
                </w14:textFill>
              </w:rPr>
              <w:t xml:space="preserve">　</w:t>
            </w:r>
            <w:r w:rsidR="00A73D92" w:rsidRPr="000606A1">
              <w:rPr>
                <w:vertAlign w:val="superscript"/>
              </w:rPr>
              <w:t>5</w:t>
            </w:r>
            <w:r w:rsidR="00624423" w:rsidRPr="000606A1">
              <w:t xml:space="preserve"> </w:t>
            </w:r>
          </w:p>
        </w:tc>
        <w:tc>
          <w:tcPr>
            <w:tcW w:w="573" w:type="pct"/>
            <w:shd w:val="clear" w:color="auto" w:fill="auto"/>
          </w:tcPr>
          <w:p w14:paraId="586C63F6" w14:textId="43FC32BE" w:rsidR="00624423" w:rsidRPr="00E818AB" w:rsidRDefault="009C6175" w:rsidP="00AB18E5">
            <w:pPr>
              <w:pStyle w:val="TableText"/>
              <w:jc w:val="center"/>
              <w:rPr>
                <w:highlight w:val="yellow"/>
              </w:rPr>
            </w:pPr>
            <w:r w:rsidRPr="00D23C96">
              <w:rPr>
                <w:rFonts w:hint="eastAsia"/>
                <w:color w:val="000000"/>
                <w:w w:val="18"/>
                <w:shd w:val="solid" w:color="000000" w:fill="000000"/>
                <w:fitText w:val="84" w:id="-1501343985"/>
                <w14:textFill>
                  <w14:solidFill>
                    <w14:srgbClr w14:val="000000">
                      <w14:alpha w14:val="100000"/>
                    </w14:srgbClr>
                  </w14:solidFill>
                </w14:textFill>
              </w:rPr>
              <w:t xml:space="preserve">　</w:t>
            </w:r>
            <w:r w:rsidRPr="00D23C96">
              <w:rPr>
                <w:color w:val="000000"/>
                <w:w w:val="18"/>
                <w:shd w:val="solid" w:color="000000" w:fill="000000"/>
                <w:fitText w:val="84" w:id="-1501343985"/>
                <w14:textFill>
                  <w14:solidFill>
                    <w14:srgbClr w14:val="000000">
                      <w14:alpha w14:val="100000"/>
                    </w14:srgbClr>
                  </w14:solidFill>
                </w14:textFill>
              </w:rPr>
              <w:t>|</w:t>
            </w:r>
            <w:r w:rsidRPr="00D23C96">
              <w:rPr>
                <w:rFonts w:hint="eastAsia"/>
                <w:color w:val="000000"/>
                <w:spacing w:val="12"/>
                <w:w w:val="18"/>
                <w:shd w:val="solid" w:color="000000" w:fill="000000"/>
                <w:fitText w:val="84" w:id="-1501343985"/>
                <w14:textFill>
                  <w14:solidFill>
                    <w14:srgbClr w14:val="000000">
                      <w14:alpha w14:val="100000"/>
                    </w14:srgbClr>
                  </w14:solidFill>
                </w14:textFill>
              </w:rPr>
              <w:t xml:space="preserve">　</w:t>
            </w:r>
            <w:r w:rsidR="00E818AB" w:rsidRPr="000606A1">
              <w:rPr>
                <w:vertAlign w:val="superscript"/>
              </w:rPr>
              <w:t>2</w:t>
            </w:r>
          </w:p>
        </w:tc>
      </w:tr>
      <w:tr w:rsidR="00624423" w:rsidRPr="0084495F" w14:paraId="4E77F1E1" w14:textId="77777777" w:rsidTr="000606A1">
        <w:tc>
          <w:tcPr>
            <w:tcW w:w="1574" w:type="pct"/>
            <w:shd w:val="clear" w:color="auto" w:fill="auto"/>
            <w:vAlign w:val="center"/>
          </w:tcPr>
          <w:p w14:paraId="2DEEE860" w14:textId="77777777" w:rsidR="00624423" w:rsidRPr="0084495F" w:rsidRDefault="00624423" w:rsidP="00AB18E5">
            <w:pPr>
              <w:pStyle w:val="TableText"/>
            </w:pPr>
            <w:r w:rsidRPr="0084495F">
              <w:t>Initial year scripts (12.43/patient)</w:t>
            </w:r>
          </w:p>
        </w:tc>
        <w:tc>
          <w:tcPr>
            <w:tcW w:w="569" w:type="pct"/>
            <w:shd w:val="clear" w:color="auto" w:fill="auto"/>
          </w:tcPr>
          <w:p w14:paraId="4155677E" w14:textId="45E23C0F" w:rsidR="00624423" w:rsidRPr="00E818AB" w:rsidRDefault="009C6175" w:rsidP="00AB18E5">
            <w:pPr>
              <w:pStyle w:val="TableText"/>
              <w:jc w:val="center"/>
              <w:rPr>
                <w:highlight w:val="yellow"/>
              </w:rPr>
            </w:pPr>
            <w:r w:rsidRPr="00D23C96">
              <w:rPr>
                <w:rFonts w:hint="eastAsia"/>
                <w:color w:val="000000"/>
                <w:w w:val="20"/>
                <w:shd w:val="solid" w:color="000000" w:fill="000000"/>
                <w:fitText w:val="92" w:id="-1501343984"/>
                <w14:textFill>
                  <w14:solidFill>
                    <w14:srgbClr w14:val="000000">
                      <w14:alpha w14:val="100000"/>
                    </w14:srgbClr>
                  </w14:solidFill>
                </w14:textFill>
              </w:rPr>
              <w:t xml:space="preserve">　</w:t>
            </w:r>
            <w:r w:rsidRPr="00D23C96">
              <w:rPr>
                <w:color w:val="000000"/>
                <w:w w:val="20"/>
                <w:shd w:val="solid" w:color="000000" w:fill="000000"/>
                <w:fitText w:val="92" w:id="-1501343984"/>
                <w14:textFill>
                  <w14:solidFill>
                    <w14:srgbClr w14:val="000000">
                      <w14:alpha w14:val="100000"/>
                    </w14:srgbClr>
                  </w14:solidFill>
                </w14:textFill>
              </w:rPr>
              <w:t>|</w:t>
            </w:r>
            <w:r w:rsidRPr="00D23C96">
              <w:rPr>
                <w:rFonts w:hint="eastAsia"/>
                <w:color w:val="000000"/>
                <w:spacing w:val="5"/>
                <w:w w:val="20"/>
                <w:shd w:val="solid" w:color="000000" w:fill="000000"/>
                <w:fitText w:val="92" w:id="-1501343984"/>
                <w14:textFill>
                  <w14:solidFill>
                    <w14:srgbClr w14:val="000000">
                      <w14:alpha w14:val="100000"/>
                    </w14:srgbClr>
                  </w14:solidFill>
                </w14:textFill>
              </w:rPr>
              <w:t xml:space="preserve">　</w:t>
            </w:r>
            <w:r w:rsidR="00E818AB" w:rsidRPr="000606A1">
              <w:rPr>
                <w:vertAlign w:val="superscript"/>
              </w:rPr>
              <w:t>2</w:t>
            </w:r>
          </w:p>
        </w:tc>
        <w:tc>
          <w:tcPr>
            <w:tcW w:w="571" w:type="pct"/>
            <w:shd w:val="clear" w:color="auto" w:fill="auto"/>
          </w:tcPr>
          <w:p w14:paraId="04702498" w14:textId="5B462A7A" w:rsidR="00624423" w:rsidRPr="00E818AB" w:rsidRDefault="009C6175" w:rsidP="00AB18E5">
            <w:pPr>
              <w:pStyle w:val="TableText"/>
              <w:jc w:val="center"/>
              <w:rPr>
                <w:highlight w:val="yellow"/>
              </w:rPr>
            </w:pPr>
            <w:r w:rsidRPr="00D23C96">
              <w:rPr>
                <w:rFonts w:hint="eastAsia"/>
                <w:color w:val="000000"/>
                <w:w w:val="18"/>
                <w:shd w:val="solid" w:color="000000" w:fill="000000"/>
                <w:fitText w:val="83" w:id="-1501344000"/>
                <w14:textFill>
                  <w14:solidFill>
                    <w14:srgbClr w14:val="000000">
                      <w14:alpha w14:val="100000"/>
                    </w14:srgbClr>
                  </w14:solidFill>
                </w14:textFill>
              </w:rPr>
              <w:t xml:space="preserve">　</w:t>
            </w:r>
            <w:r w:rsidRPr="00D23C96">
              <w:rPr>
                <w:color w:val="000000"/>
                <w:w w:val="18"/>
                <w:shd w:val="solid" w:color="000000" w:fill="000000"/>
                <w:fitText w:val="83" w:id="-1501344000"/>
                <w14:textFill>
                  <w14:solidFill>
                    <w14:srgbClr w14:val="000000">
                      <w14:alpha w14:val="100000"/>
                    </w14:srgbClr>
                  </w14:solidFill>
                </w14:textFill>
              </w:rPr>
              <w:t>|</w:t>
            </w:r>
            <w:r w:rsidRPr="00D23C96">
              <w:rPr>
                <w:rFonts w:hint="eastAsia"/>
                <w:color w:val="000000"/>
                <w:spacing w:val="12"/>
                <w:w w:val="18"/>
                <w:shd w:val="solid" w:color="000000" w:fill="000000"/>
                <w:fitText w:val="83" w:id="-1501344000"/>
                <w14:textFill>
                  <w14:solidFill>
                    <w14:srgbClr w14:val="000000">
                      <w14:alpha w14:val="100000"/>
                    </w14:srgbClr>
                  </w14:solidFill>
                </w14:textFill>
              </w:rPr>
              <w:t xml:space="preserve">　</w:t>
            </w:r>
            <w:r w:rsidR="00E818AB" w:rsidRPr="000606A1">
              <w:rPr>
                <w:vertAlign w:val="superscript"/>
              </w:rPr>
              <w:t>4</w:t>
            </w:r>
          </w:p>
        </w:tc>
        <w:tc>
          <w:tcPr>
            <w:tcW w:w="571" w:type="pct"/>
            <w:shd w:val="clear" w:color="auto" w:fill="auto"/>
          </w:tcPr>
          <w:p w14:paraId="5D388A33" w14:textId="7DFF159D" w:rsidR="00624423" w:rsidRPr="00E818AB" w:rsidRDefault="009C6175" w:rsidP="00AB18E5">
            <w:pPr>
              <w:pStyle w:val="TableText"/>
              <w:jc w:val="center"/>
              <w:rPr>
                <w:highlight w:val="yellow"/>
              </w:rPr>
            </w:pPr>
            <w:r w:rsidRPr="00D23C96">
              <w:rPr>
                <w:rFonts w:hint="eastAsia"/>
                <w:color w:val="000000"/>
                <w:w w:val="18"/>
                <w:shd w:val="solid" w:color="000000" w:fill="000000"/>
                <w:fitText w:val="83" w:id="-1501343999"/>
                <w14:textFill>
                  <w14:solidFill>
                    <w14:srgbClr w14:val="000000">
                      <w14:alpha w14:val="100000"/>
                    </w14:srgbClr>
                  </w14:solidFill>
                </w14:textFill>
              </w:rPr>
              <w:t xml:space="preserve">　</w:t>
            </w:r>
            <w:r w:rsidRPr="00D23C96">
              <w:rPr>
                <w:color w:val="000000"/>
                <w:w w:val="18"/>
                <w:shd w:val="solid" w:color="000000" w:fill="000000"/>
                <w:fitText w:val="83" w:id="-1501343999"/>
                <w14:textFill>
                  <w14:solidFill>
                    <w14:srgbClr w14:val="000000">
                      <w14:alpha w14:val="100000"/>
                    </w14:srgbClr>
                  </w14:solidFill>
                </w14:textFill>
              </w:rPr>
              <w:t>|</w:t>
            </w:r>
            <w:r w:rsidRPr="00D23C96">
              <w:rPr>
                <w:rFonts w:hint="eastAsia"/>
                <w:color w:val="000000"/>
                <w:spacing w:val="12"/>
                <w:w w:val="18"/>
                <w:shd w:val="solid" w:color="000000" w:fill="000000"/>
                <w:fitText w:val="83" w:id="-1501343999"/>
                <w14:textFill>
                  <w14:solidFill>
                    <w14:srgbClr w14:val="000000">
                      <w14:alpha w14:val="100000"/>
                    </w14:srgbClr>
                  </w14:solidFill>
                </w14:textFill>
              </w:rPr>
              <w:t xml:space="preserve">　</w:t>
            </w:r>
            <w:r w:rsidR="00A73D92" w:rsidRPr="000606A1">
              <w:rPr>
                <w:vertAlign w:val="superscript"/>
              </w:rPr>
              <w:t>6</w:t>
            </w:r>
            <w:r w:rsidR="00624423" w:rsidRPr="000606A1">
              <w:t xml:space="preserve"> </w:t>
            </w:r>
          </w:p>
        </w:tc>
        <w:tc>
          <w:tcPr>
            <w:tcW w:w="571" w:type="pct"/>
            <w:shd w:val="clear" w:color="auto" w:fill="auto"/>
          </w:tcPr>
          <w:p w14:paraId="5D1A9C18" w14:textId="05DC43BA" w:rsidR="00624423" w:rsidRPr="00E818AB" w:rsidRDefault="009C6175" w:rsidP="00AB18E5">
            <w:pPr>
              <w:pStyle w:val="TableText"/>
              <w:jc w:val="center"/>
              <w:rPr>
                <w:highlight w:val="yellow"/>
              </w:rPr>
            </w:pPr>
            <w:r w:rsidRPr="00D23C96">
              <w:rPr>
                <w:rFonts w:hint="eastAsia"/>
                <w:color w:val="000000"/>
                <w:w w:val="18"/>
                <w:shd w:val="solid" w:color="000000" w:fill="000000"/>
                <w:fitText w:val="84" w:id="-1501343998"/>
                <w14:textFill>
                  <w14:solidFill>
                    <w14:srgbClr w14:val="000000">
                      <w14:alpha w14:val="100000"/>
                    </w14:srgbClr>
                  </w14:solidFill>
                </w14:textFill>
              </w:rPr>
              <w:t xml:space="preserve">　</w:t>
            </w:r>
            <w:r w:rsidRPr="00D23C96">
              <w:rPr>
                <w:color w:val="000000"/>
                <w:w w:val="18"/>
                <w:shd w:val="solid" w:color="000000" w:fill="000000"/>
                <w:fitText w:val="84" w:id="-1501343998"/>
                <w14:textFill>
                  <w14:solidFill>
                    <w14:srgbClr w14:val="000000">
                      <w14:alpha w14:val="100000"/>
                    </w14:srgbClr>
                  </w14:solidFill>
                </w14:textFill>
              </w:rPr>
              <w:t>|</w:t>
            </w:r>
            <w:r w:rsidRPr="00D23C96">
              <w:rPr>
                <w:rFonts w:hint="eastAsia"/>
                <w:color w:val="000000"/>
                <w:spacing w:val="12"/>
                <w:w w:val="18"/>
                <w:shd w:val="solid" w:color="000000" w:fill="000000"/>
                <w:fitText w:val="84" w:id="-1501343998"/>
                <w14:textFill>
                  <w14:solidFill>
                    <w14:srgbClr w14:val="000000">
                      <w14:alpha w14:val="100000"/>
                    </w14:srgbClr>
                  </w14:solidFill>
                </w14:textFill>
              </w:rPr>
              <w:t xml:space="preserve">　</w:t>
            </w:r>
            <w:r w:rsidR="00A73D92" w:rsidRPr="000606A1">
              <w:rPr>
                <w:vertAlign w:val="superscript"/>
              </w:rPr>
              <w:t>9</w:t>
            </w:r>
            <w:r w:rsidR="00624423" w:rsidRPr="000606A1">
              <w:t xml:space="preserve"> </w:t>
            </w:r>
          </w:p>
        </w:tc>
        <w:tc>
          <w:tcPr>
            <w:tcW w:w="571" w:type="pct"/>
            <w:shd w:val="clear" w:color="auto" w:fill="auto"/>
          </w:tcPr>
          <w:p w14:paraId="60E32F31" w14:textId="20DE5338" w:rsidR="00624423" w:rsidRPr="00E818AB" w:rsidRDefault="009C6175" w:rsidP="00AB18E5">
            <w:pPr>
              <w:pStyle w:val="TableText"/>
              <w:jc w:val="center"/>
              <w:rPr>
                <w:highlight w:val="yellow"/>
              </w:rPr>
            </w:pPr>
            <w:r w:rsidRPr="009C6175">
              <w:rPr>
                <w:rFonts w:hint="eastAsia"/>
                <w:color w:val="000000"/>
                <w:w w:val="28"/>
                <w:shd w:val="solid" w:color="000000" w:fill="000000"/>
                <w:fitText w:val="125" w:id="-1501343997"/>
                <w14:textFill>
                  <w14:solidFill>
                    <w14:srgbClr w14:val="000000">
                      <w14:alpha w14:val="100000"/>
                    </w14:srgbClr>
                  </w14:solidFill>
                </w14:textFill>
              </w:rPr>
              <w:t xml:space="preserve">　</w:t>
            </w:r>
            <w:r w:rsidRPr="009C6175">
              <w:rPr>
                <w:color w:val="000000"/>
                <w:w w:val="28"/>
                <w:shd w:val="solid" w:color="000000" w:fill="000000"/>
                <w:fitText w:val="125" w:id="-1501343997"/>
                <w14:textFill>
                  <w14:solidFill>
                    <w14:srgbClr w14:val="000000">
                      <w14:alpha w14:val="100000"/>
                    </w14:srgbClr>
                  </w14:solidFill>
                </w14:textFill>
              </w:rPr>
              <w:t>|</w:t>
            </w:r>
            <w:r w:rsidRPr="009C6175">
              <w:rPr>
                <w:rFonts w:hint="eastAsia"/>
                <w:color w:val="000000"/>
                <w:spacing w:val="3"/>
                <w:w w:val="28"/>
                <w:shd w:val="solid" w:color="000000" w:fill="000000"/>
                <w:fitText w:val="125" w:id="-1501343997"/>
                <w14:textFill>
                  <w14:solidFill>
                    <w14:srgbClr w14:val="000000">
                      <w14:alpha w14:val="100000"/>
                    </w14:srgbClr>
                  </w14:solidFill>
                </w14:textFill>
              </w:rPr>
              <w:t xml:space="preserve">　</w:t>
            </w:r>
            <w:r w:rsidR="00A73D92" w:rsidRPr="000606A1">
              <w:rPr>
                <w:vertAlign w:val="superscript"/>
              </w:rPr>
              <w:t>10</w:t>
            </w:r>
            <w:r w:rsidR="00624423" w:rsidRPr="000606A1">
              <w:t xml:space="preserve"> </w:t>
            </w:r>
          </w:p>
        </w:tc>
        <w:tc>
          <w:tcPr>
            <w:tcW w:w="573" w:type="pct"/>
            <w:shd w:val="clear" w:color="auto" w:fill="auto"/>
          </w:tcPr>
          <w:p w14:paraId="069648EA" w14:textId="4E799B72" w:rsidR="00624423" w:rsidRPr="00E818AB" w:rsidRDefault="009C6175" w:rsidP="00AB18E5">
            <w:pPr>
              <w:pStyle w:val="TableText"/>
              <w:jc w:val="center"/>
              <w:rPr>
                <w:highlight w:val="yellow"/>
              </w:rPr>
            </w:pPr>
            <w:r w:rsidRPr="009C6175">
              <w:rPr>
                <w:rFonts w:hint="eastAsia"/>
                <w:color w:val="000000"/>
                <w:w w:val="28"/>
                <w:shd w:val="solid" w:color="000000" w:fill="000000"/>
                <w:fitText w:val="125" w:id="-1501343996"/>
                <w14:textFill>
                  <w14:solidFill>
                    <w14:srgbClr w14:val="000000">
                      <w14:alpha w14:val="100000"/>
                    </w14:srgbClr>
                  </w14:solidFill>
                </w14:textFill>
              </w:rPr>
              <w:t xml:space="preserve">　</w:t>
            </w:r>
            <w:r w:rsidRPr="009C6175">
              <w:rPr>
                <w:color w:val="000000"/>
                <w:w w:val="28"/>
                <w:shd w:val="solid" w:color="000000" w:fill="000000"/>
                <w:fitText w:val="125" w:id="-1501343996"/>
                <w14:textFill>
                  <w14:solidFill>
                    <w14:srgbClr w14:val="000000">
                      <w14:alpha w14:val="100000"/>
                    </w14:srgbClr>
                  </w14:solidFill>
                </w14:textFill>
              </w:rPr>
              <w:t>|</w:t>
            </w:r>
            <w:r w:rsidRPr="009C6175">
              <w:rPr>
                <w:rFonts w:hint="eastAsia"/>
                <w:color w:val="000000"/>
                <w:spacing w:val="3"/>
                <w:w w:val="28"/>
                <w:shd w:val="solid" w:color="000000" w:fill="000000"/>
                <w:fitText w:val="125" w:id="-1501343996"/>
                <w14:textFill>
                  <w14:solidFill>
                    <w14:srgbClr w14:val="000000">
                      <w14:alpha w14:val="100000"/>
                    </w14:srgbClr>
                  </w14:solidFill>
                </w14:textFill>
              </w:rPr>
              <w:t xml:space="preserve">　</w:t>
            </w:r>
            <w:r w:rsidR="00A73D92" w:rsidRPr="000606A1">
              <w:rPr>
                <w:vertAlign w:val="superscript"/>
              </w:rPr>
              <w:t>10</w:t>
            </w:r>
            <w:r w:rsidR="00624423" w:rsidRPr="000606A1">
              <w:t xml:space="preserve"> </w:t>
            </w:r>
          </w:p>
        </w:tc>
      </w:tr>
      <w:tr w:rsidR="00624423" w:rsidRPr="0084495F" w14:paraId="0C3BBFDB" w14:textId="77777777" w:rsidTr="000606A1">
        <w:tc>
          <w:tcPr>
            <w:tcW w:w="1574" w:type="pct"/>
            <w:shd w:val="clear" w:color="auto" w:fill="auto"/>
            <w:vAlign w:val="center"/>
          </w:tcPr>
          <w:p w14:paraId="6A871968" w14:textId="77777777" w:rsidR="00624423" w:rsidRPr="0084495F" w:rsidRDefault="00624423" w:rsidP="00AB18E5">
            <w:pPr>
              <w:pStyle w:val="TableText"/>
            </w:pPr>
            <w:r w:rsidRPr="0084495F">
              <w:t>Surviving patients who continued treatment (57.1% from prior year)</w:t>
            </w:r>
          </w:p>
        </w:tc>
        <w:tc>
          <w:tcPr>
            <w:tcW w:w="569" w:type="pct"/>
            <w:shd w:val="clear" w:color="auto" w:fill="auto"/>
            <w:vAlign w:val="center"/>
          </w:tcPr>
          <w:p w14:paraId="5BE68E5C" w14:textId="77777777" w:rsidR="00624423" w:rsidRPr="0084495F" w:rsidRDefault="00624423" w:rsidP="00AB18E5">
            <w:pPr>
              <w:pStyle w:val="TableText"/>
              <w:jc w:val="center"/>
            </w:pPr>
            <w:r w:rsidRPr="0084495F">
              <w:t>-</w:t>
            </w:r>
          </w:p>
        </w:tc>
        <w:tc>
          <w:tcPr>
            <w:tcW w:w="571" w:type="pct"/>
            <w:shd w:val="clear" w:color="auto" w:fill="auto"/>
            <w:vAlign w:val="center"/>
          </w:tcPr>
          <w:p w14:paraId="36F0489F" w14:textId="4F8B553A" w:rsidR="00624423" w:rsidRPr="00E818AB" w:rsidRDefault="009C6175" w:rsidP="00AB18E5">
            <w:pPr>
              <w:pStyle w:val="TableText"/>
              <w:jc w:val="center"/>
              <w:rPr>
                <w:highlight w:val="yellow"/>
                <w:vertAlign w:val="superscript"/>
              </w:rPr>
            </w:pPr>
            <w:r w:rsidRPr="00D23C96">
              <w:rPr>
                <w:rFonts w:hint="eastAsia"/>
                <w:color w:val="000000"/>
                <w:w w:val="18"/>
                <w:shd w:val="solid" w:color="000000" w:fill="000000"/>
                <w:fitText w:val="83" w:id="-1501343995"/>
                <w14:textFill>
                  <w14:solidFill>
                    <w14:srgbClr w14:val="000000">
                      <w14:alpha w14:val="100000"/>
                    </w14:srgbClr>
                  </w14:solidFill>
                </w14:textFill>
              </w:rPr>
              <w:t xml:space="preserve">　</w:t>
            </w:r>
            <w:r w:rsidRPr="00D23C96">
              <w:rPr>
                <w:color w:val="000000"/>
                <w:w w:val="18"/>
                <w:shd w:val="solid" w:color="000000" w:fill="000000"/>
                <w:fitText w:val="83" w:id="-1501343995"/>
                <w14:textFill>
                  <w14:solidFill>
                    <w14:srgbClr w14:val="000000">
                      <w14:alpha w14:val="100000"/>
                    </w14:srgbClr>
                  </w14:solidFill>
                </w14:textFill>
              </w:rPr>
              <w:t>|</w:t>
            </w:r>
            <w:r w:rsidRPr="00D23C96">
              <w:rPr>
                <w:rFonts w:hint="eastAsia"/>
                <w:color w:val="000000"/>
                <w:spacing w:val="12"/>
                <w:w w:val="18"/>
                <w:shd w:val="solid" w:color="000000" w:fill="000000"/>
                <w:fitText w:val="83" w:id="-1501343995"/>
                <w14:textFill>
                  <w14:solidFill>
                    <w14:srgbClr w14:val="000000">
                      <w14:alpha w14:val="100000"/>
                    </w14:srgbClr>
                  </w14:solidFill>
                </w14:textFill>
              </w:rPr>
              <w:t xml:space="preserve">　</w:t>
            </w:r>
            <w:r w:rsidR="00E818AB" w:rsidRPr="000606A1">
              <w:rPr>
                <w:vertAlign w:val="superscript"/>
              </w:rPr>
              <w:t>1</w:t>
            </w:r>
          </w:p>
        </w:tc>
        <w:tc>
          <w:tcPr>
            <w:tcW w:w="571" w:type="pct"/>
            <w:shd w:val="clear" w:color="auto" w:fill="auto"/>
            <w:vAlign w:val="center"/>
          </w:tcPr>
          <w:p w14:paraId="3B1ED680" w14:textId="60AEA0FA" w:rsidR="00624423" w:rsidRPr="00E818AB" w:rsidRDefault="009C6175" w:rsidP="00AB18E5">
            <w:pPr>
              <w:pStyle w:val="TableText"/>
              <w:jc w:val="center"/>
              <w:rPr>
                <w:highlight w:val="yellow"/>
                <w:vertAlign w:val="superscript"/>
              </w:rPr>
            </w:pPr>
            <w:r w:rsidRPr="00D23C96">
              <w:rPr>
                <w:rFonts w:hint="eastAsia"/>
                <w:color w:val="000000"/>
                <w:w w:val="18"/>
                <w:shd w:val="solid" w:color="000000" w:fill="000000"/>
                <w:fitText w:val="83" w:id="-1501343994"/>
                <w14:textFill>
                  <w14:solidFill>
                    <w14:srgbClr w14:val="000000">
                      <w14:alpha w14:val="100000"/>
                    </w14:srgbClr>
                  </w14:solidFill>
                </w14:textFill>
              </w:rPr>
              <w:t xml:space="preserve">　</w:t>
            </w:r>
            <w:r w:rsidRPr="00D23C96">
              <w:rPr>
                <w:color w:val="000000"/>
                <w:w w:val="18"/>
                <w:shd w:val="solid" w:color="000000" w:fill="000000"/>
                <w:fitText w:val="83" w:id="-1501343994"/>
                <w14:textFill>
                  <w14:solidFill>
                    <w14:srgbClr w14:val="000000">
                      <w14:alpha w14:val="100000"/>
                    </w14:srgbClr>
                  </w14:solidFill>
                </w14:textFill>
              </w:rPr>
              <w:t>|</w:t>
            </w:r>
            <w:r w:rsidRPr="00D23C96">
              <w:rPr>
                <w:rFonts w:hint="eastAsia"/>
                <w:color w:val="000000"/>
                <w:spacing w:val="12"/>
                <w:w w:val="18"/>
                <w:shd w:val="solid" w:color="000000" w:fill="000000"/>
                <w:fitText w:val="83" w:id="-1501343994"/>
                <w14:textFill>
                  <w14:solidFill>
                    <w14:srgbClr w14:val="000000">
                      <w14:alpha w14:val="100000"/>
                    </w14:srgbClr>
                  </w14:solidFill>
                </w14:textFill>
              </w:rPr>
              <w:t xml:space="preserve">　</w:t>
            </w:r>
            <w:r w:rsidR="00E818AB" w:rsidRPr="000606A1">
              <w:rPr>
                <w:vertAlign w:val="superscript"/>
              </w:rPr>
              <w:t>1</w:t>
            </w:r>
          </w:p>
        </w:tc>
        <w:tc>
          <w:tcPr>
            <w:tcW w:w="571" w:type="pct"/>
            <w:shd w:val="clear" w:color="auto" w:fill="auto"/>
            <w:vAlign w:val="center"/>
          </w:tcPr>
          <w:p w14:paraId="2917C511" w14:textId="6DB5986D" w:rsidR="00624423" w:rsidRPr="00E818AB" w:rsidRDefault="009C6175" w:rsidP="00AB18E5">
            <w:pPr>
              <w:pStyle w:val="TableText"/>
              <w:jc w:val="center"/>
              <w:rPr>
                <w:highlight w:val="yellow"/>
                <w:vertAlign w:val="superscript"/>
              </w:rPr>
            </w:pPr>
            <w:r w:rsidRPr="00D23C96">
              <w:rPr>
                <w:rFonts w:hint="eastAsia"/>
                <w:color w:val="000000"/>
                <w:w w:val="18"/>
                <w:shd w:val="solid" w:color="000000" w:fill="000000"/>
                <w:fitText w:val="84" w:id="-1501343993"/>
                <w14:textFill>
                  <w14:solidFill>
                    <w14:srgbClr w14:val="000000">
                      <w14:alpha w14:val="100000"/>
                    </w14:srgbClr>
                  </w14:solidFill>
                </w14:textFill>
              </w:rPr>
              <w:t xml:space="preserve">　</w:t>
            </w:r>
            <w:r w:rsidRPr="00D23C96">
              <w:rPr>
                <w:color w:val="000000"/>
                <w:w w:val="18"/>
                <w:shd w:val="solid" w:color="000000" w:fill="000000"/>
                <w:fitText w:val="84" w:id="-1501343993"/>
                <w14:textFill>
                  <w14:solidFill>
                    <w14:srgbClr w14:val="000000">
                      <w14:alpha w14:val="100000"/>
                    </w14:srgbClr>
                  </w14:solidFill>
                </w14:textFill>
              </w:rPr>
              <w:t>|</w:t>
            </w:r>
            <w:r w:rsidRPr="00D23C96">
              <w:rPr>
                <w:rFonts w:hint="eastAsia"/>
                <w:color w:val="000000"/>
                <w:spacing w:val="12"/>
                <w:w w:val="18"/>
                <w:shd w:val="solid" w:color="000000" w:fill="000000"/>
                <w:fitText w:val="84" w:id="-1501343993"/>
                <w14:textFill>
                  <w14:solidFill>
                    <w14:srgbClr w14:val="000000">
                      <w14:alpha w14:val="100000"/>
                    </w14:srgbClr>
                  </w14:solidFill>
                </w14:textFill>
              </w:rPr>
              <w:t xml:space="preserve">　</w:t>
            </w:r>
            <w:r w:rsidR="00E818AB" w:rsidRPr="000606A1">
              <w:rPr>
                <w:vertAlign w:val="superscript"/>
              </w:rPr>
              <w:t>1</w:t>
            </w:r>
          </w:p>
        </w:tc>
        <w:tc>
          <w:tcPr>
            <w:tcW w:w="571" w:type="pct"/>
            <w:shd w:val="clear" w:color="auto" w:fill="auto"/>
            <w:vAlign w:val="center"/>
          </w:tcPr>
          <w:p w14:paraId="0FEFEB7B" w14:textId="476D674A" w:rsidR="00624423" w:rsidRPr="00E818AB" w:rsidRDefault="009C6175" w:rsidP="00AB18E5">
            <w:pPr>
              <w:pStyle w:val="TableText"/>
              <w:jc w:val="center"/>
              <w:rPr>
                <w:highlight w:val="yellow"/>
                <w:vertAlign w:val="superscript"/>
              </w:rPr>
            </w:pPr>
            <w:r w:rsidRPr="00D23C96">
              <w:rPr>
                <w:rFonts w:hint="eastAsia"/>
                <w:color w:val="000000"/>
                <w:w w:val="18"/>
                <w:shd w:val="solid" w:color="000000" w:fill="000000"/>
                <w:fitText w:val="83" w:id="-1501343992"/>
                <w14:textFill>
                  <w14:solidFill>
                    <w14:srgbClr w14:val="000000">
                      <w14:alpha w14:val="100000"/>
                    </w14:srgbClr>
                  </w14:solidFill>
                </w14:textFill>
              </w:rPr>
              <w:t xml:space="preserve">　</w:t>
            </w:r>
            <w:r w:rsidRPr="00D23C96">
              <w:rPr>
                <w:color w:val="000000"/>
                <w:w w:val="18"/>
                <w:shd w:val="solid" w:color="000000" w:fill="000000"/>
                <w:fitText w:val="83" w:id="-1501343992"/>
                <w14:textFill>
                  <w14:solidFill>
                    <w14:srgbClr w14:val="000000">
                      <w14:alpha w14:val="100000"/>
                    </w14:srgbClr>
                  </w14:solidFill>
                </w14:textFill>
              </w:rPr>
              <w:t>|</w:t>
            </w:r>
            <w:r w:rsidRPr="00D23C96">
              <w:rPr>
                <w:rFonts w:hint="eastAsia"/>
                <w:color w:val="000000"/>
                <w:spacing w:val="12"/>
                <w:w w:val="18"/>
                <w:shd w:val="solid" w:color="000000" w:fill="000000"/>
                <w:fitText w:val="83" w:id="-1501343992"/>
                <w14:textFill>
                  <w14:solidFill>
                    <w14:srgbClr w14:val="000000">
                      <w14:alpha w14:val="100000"/>
                    </w14:srgbClr>
                  </w14:solidFill>
                </w14:textFill>
              </w:rPr>
              <w:t xml:space="preserve">　</w:t>
            </w:r>
            <w:r w:rsidR="00E818AB" w:rsidRPr="000606A1">
              <w:rPr>
                <w:vertAlign w:val="superscript"/>
              </w:rPr>
              <w:t>1</w:t>
            </w:r>
          </w:p>
        </w:tc>
        <w:tc>
          <w:tcPr>
            <w:tcW w:w="573" w:type="pct"/>
            <w:shd w:val="clear" w:color="auto" w:fill="auto"/>
            <w:vAlign w:val="center"/>
          </w:tcPr>
          <w:p w14:paraId="02297A0C" w14:textId="7E17CEE5" w:rsidR="00624423" w:rsidRPr="00A73D92" w:rsidRDefault="009C6175" w:rsidP="00AB18E5">
            <w:pPr>
              <w:pStyle w:val="TableText"/>
              <w:jc w:val="center"/>
              <w:rPr>
                <w:highlight w:val="yellow"/>
                <w:vertAlign w:val="superscript"/>
              </w:rPr>
            </w:pPr>
            <w:r w:rsidRPr="00D23C96">
              <w:rPr>
                <w:rFonts w:hint="eastAsia"/>
                <w:color w:val="000000"/>
                <w:w w:val="18"/>
                <w:shd w:val="solid" w:color="000000" w:fill="000000"/>
                <w:fitText w:val="84" w:id="-1501343991"/>
                <w14:textFill>
                  <w14:solidFill>
                    <w14:srgbClr w14:val="000000">
                      <w14:alpha w14:val="100000"/>
                    </w14:srgbClr>
                  </w14:solidFill>
                </w14:textFill>
              </w:rPr>
              <w:t xml:space="preserve">　</w:t>
            </w:r>
            <w:r w:rsidRPr="00D23C96">
              <w:rPr>
                <w:color w:val="000000"/>
                <w:w w:val="18"/>
                <w:shd w:val="solid" w:color="000000" w:fill="000000"/>
                <w:fitText w:val="84" w:id="-1501343991"/>
                <w14:textFill>
                  <w14:solidFill>
                    <w14:srgbClr w14:val="000000">
                      <w14:alpha w14:val="100000"/>
                    </w14:srgbClr>
                  </w14:solidFill>
                </w14:textFill>
              </w:rPr>
              <w:t>|</w:t>
            </w:r>
            <w:r w:rsidRPr="00D23C96">
              <w:rPr>
                <w:rFonts w:hint="eastAsia"/>
                <w:color w:val="000000"/>
                <w:spacing w:val="12"/>
                <w:w w:val="18"/>
                <w:shd w:val="solid" w:color="000000" w:fill="000000"/>
                <w:fitText w:val="84" w:id="-1501343991"/>
                <w14:textFill>
                  <w14:solidFill>
                    <w14:srgbClr w14:val="000000">
                      <w14:alpha w14:val="100000"/>
                    </w14:srgbClr>
                  </w14:solidFill>
                </w14:textFill>
              </w:rPr>
              <w:t xml:space="preserve">　</w:t>
            </w:r>
            <w:r w:rsidR="00A73D92" w:rsidRPr="000606A1">
              <w:rPr>
                <w:vertAlign w:val="superscript"/>
              </w:rPr>
              <w:t>5</w:t>
            </w:r>
          </w:p>
        </w:tc>
      </w:tr>
      <w:tr w:rsidR="00624423" w:rsidRPr="0084495F" w14:paraId="05CBB807" w14:textId="77777777" w:rsidTr="000606A1">
        <w:tc>
          <w:tcPr>
            <w:tcW w:w="1574" w:type="pct"/>
            <w:shd w:val="clear" w:color="auto" w:fill="auto"/>
            <w:vAlign w:val="center"/>
          </w:tcPr>
          <w:p w14:paraId="6B3BEF74" w14:textId="77777777" w:rsidR="00624423" w:rsidRPr="0084495F" w:rsidRDefault="00624423" w:rsidP="00AB18E5">
            <w:pPr>
              <w:pStyle w:val="TableText"/>
            </w:pPr>
            <w:r w:rsidRPr="0084495F">
              <w:t>Continuing year scripts (2.06/patient)</w:t>
            </w:r>
          </w:p>
        </w:tc>
        <w:tc>
          <w:tcPr>
            <w:tcW w:w="569" w:type="pct"/>
            <w:shd w:val="clear" w:color="auto" w:fill="auto"/>
          </w:tcPr>
          <w:p w14:paraId="755E1D21" w14:textId="77777777" w:rsidR="00624423" w:rsidRPr="0084495F" w:rsidRDefault="00624423" w:rsidP="00AB18E5">
            <w:pPr>
              <w:pStyle w:val="TableText"/>
              <w:jc w:val="center"/>
            </w:pPr>
            <w:r w:rsidRPr="0084495F">
              <w:t>-</w:t>
            </w:r>
          </w:p>
        </w:tc>
        <w:tc>
          <w:tcPr>
            <w:tcW w:w="571" w:type="pct"/>
            <w:shd w:val="clear" w:color="auto" w:fill="auto"/>
          </w:tcPr>
          <w:p w14:paraId="3690708D" w14:textId="62A3FA41" w:rsidR="00624423" w:rsidRPr="00E818AB" w:rsidRDefault="009C6175" w:rsidP="00AB18E5">
            <w:pPr>
              <w:pStyle w:val="TableText"/>
              <w:jc w:val="center"/>
              <w:rPr>
                <w:highlight w:val="yellow"/>
              </w:rPr>
            </w:pPr>
            <w:r w:rsidRPr="00D23C96">
              <w:rPr>
                <w:rFonts w:hint="eastAsia"/>
                <w:color w:val="000000"/>
                <w:w w:val="18"/>
                <w:shd w:val="solid" w:color="000000" w:fill="000000"/>
                <w:fitText w:val="83" w:id="-1501343990"/>
                <w14:textFill>
                  <w14:solidFill>
                    <w14:srgbClr w14:val="000000">
                      <w14:alpha w14:val="100000"/>
                    </w14:srgbClr>
                  </w14:solidFill>
                </w14:textFill>
              </w:rPr>
              <w:t xml:space="preserve">　</w:t>
            </w:r>
            <w:r w:rsidRPr="00D23C96">
              <w:rPr>
                <w:color w:val="000000"/>
                <w:w w:val="18"/>
                <w:shd w:val="solid" w:color="000000" w:fill="000000"/>
                <w:fitText w:val="83" w:id="-1501343990"/>
                <w14:textFill>
                  <w14:solidFill>
                    <w14:srgbClr w14:val="000000">
                      <w14:alpha w14:val="100000"/>
                    </w14:srgbClr>
                  </w14:solidFill>
                </w14:textFill>
              </w:rPr>
              <w:t>|</w:t>
            </w:r>
            <w:r w:rsidRPr="00D23C96">
              <w:rPr>
                <w:rFonts w:hint="eastAsia"/>
                <w:color w:val="000000"/>
                <w:spacing w:val="12"/>
                <w:w w:val="18"/>
                <w:shd w:val="solid" w:color="000000" w:fill="000000"/>
                <w:fitText w:val="83" w:id="-1501343990"/>
                <w14:textFill>
                  <w14:solidFill>
                    <w14:srgbClr w14:val="000000">
                      <w14:alpha w14:val="100000"/>
                    </w14:srgbClr>
                  </w14:solidFill>
                </w14:textFill>
              </w:rPr>
              <w:t xml:space="preserve">　</w:t>
            </w:r>
            <w:r w:rsidR="00E818AB" w:rsidRPr="000606A1">
              <w:rPr>
                <w:vertAlign w:val="superscript"/>
              </w:rPr>
              <w:t>1</w:t>
            </w:r>
          </w:p>
        </w:tc>
        <w:tc>
          <w:tcPr>
            <w:tcW w:w="571" w:type="pct"/>
            <w:shd w:val="clear" w:color="auto" w:fill="auto"/>
          </w:tcPr>
          <w:p w14:paraId="5E3AAAE9" w14:textId="6B82DAFF" w:rsidR="00624423" w:rsidRPr="00E818AB" w:rsidRDefault="009C6175" w:rsidP="00AB18E5">
            <w:pPr>
              <w:pStyle w:val="TableText"/>
              <w:jc w:val="center"/>
              <w:rPr>
                <w:highlight w:val="yellow"/>
              </w:rPr>
            </w:pPr>
            <w:r w:rsidRPr="00D23C96">
              <w:rPr>
                <w:rFonts w:hint="eastAsia"/>
                <w:color w:val="000000"/>
                <w:w w:val="18"/>
                <w:shd w:val="solid" w:color="000000" w:fill="000000"/>
                <w:fitText w:val="83" w:id="-1501343989"/>
                <w14:textFill>
                  <w14:solidFill>
                    <w14:srgbClr w14:val="000000">
                      <w14:alpha w14:val="100000"/>
                    </w14:srgbClr>
                  </w14:solidFill>
                </w14:textFill>
              </w:rPr>
              <w:t xml:space="preserve">　</w:t>
            </w:r>
            <w:r w:rsidRPr="00D23C96">
              <w:rPr>
                <w:color w:val="000000"/>
                <w:w w:val="18"/>
                <w:shd w:val="solid" w:color="000000" w:fill="000000"/>
                <w:fitText w:val="83" w:id="-1501343989"/>
                <w14:textFill>
                  <w14:solidFill>
                    <w14:srgbClr w14:val="000000">
                      <w14:alpha w14:val="100000"/>
                    </w14:srgbClr>
                  </w14:solidFill>
                </w14:textFill>
              </w:rPr>
              <w:t>|</w:t>
            </w:r>
            <w:r w:rsidRPr="00D23C96">
              <w:rPr>
                <w:rFonts w:hint="eastAsia"/>
                <w:color w:val="000000"/>
                <w:spacing w:val="12"/>
                <w:w w:val="18"/>
                <w:shd w:val="solid" w:color="000000" w:fill="000000"/>
                <w:fitText w:val="83" w:id="-1501343989"/>
                <w14:textFill>
                  <w14:solidFill>
                    <w14:srgbClr w14:val="000000">
                      <w14:alpha w14:val="100000"/>
                    </w14:srgbClr>
                  </w14:solidFill>
                </w14:textFill>
              </w:rPr>
              <w:t xml:space="preserve">　</w:t>
            </w:r>
            <w:r w:rsidR="00A73D92" w:rsidRPr="000606A1">
              <w:rPr>
                <w:vertAlign w:val="superscript"/>
              </w:rPr>
              <w:t>5</w:t>
            </w:r>
          </w:p>
        </w:tc>
        <w:tc>
          <w:tcPr>
            <w:tcW w:w="571" w:type="pct"/>
            <w:shd w:val="clear" w:color="auto" w:fill="auto"/>
          </w:tcPr>
          <w:p w14:paraId="0BBB96BF" w14:textId="605D4795" w:rsidR="00624423" w:rsidRPr="00E818AB" w:rsidRDefault="009C6175" w:rsidP="00AB18E5">
            <w:pPr>
              <w:pStyle w:val="TableText"/>
              <w:jc w:val="center"/>
              <w:rPr>
                <w:highlight w:val="yellow"/>
              </w:rPr>
            </w:pPr>
            <w:r w:rsidRPr="00D23C96">
              <w:rPr>
                <w:rFonts w:hint="eastAsia"/>
                <w:color w:val="000000"/>
                <w:w w:val="18"/>
                <w:shd w:val="solid" w:color="000000" w:fill="000000"/>
                <w:fitText w:val="84" w:id="-1501343988"/>
                <w14:textFill>
                  <w14:solidFill>
                    <w14:srgbClr w14:val="000000">
                      <w14:alpha w14:val="100000"/>
                    </w14:srgbClr>
                  </w14:solidFill>
                </w14:textFill>
              </w:rPr>
              <w:t xml:space="preserve">　</w:t>
            </w:r>
            <w:r w:rsidRPr="00D23C96">
              <w:rPr>
                <w:color w:val="000000"/>
                <w:w w:val="18"/>
                <w:shd w:val="solid" w:color="000000" w:fill="000000"/>
                <w:fitText w:val="84" w:id="-1501343988"/>
                <w14:textFill>
                  <w14:solidFill>
                    <w14:srgbClr w14:val="000000">
                      <w14:alpha w14:val="100000"/>
                    </w14:srgbClr>
                  </w14:solidFill>
                </w14:textFill>
              </w:rPr>
              <w:t>|</w:t>
            </w:r>
            <w:r w:rsidRPr="00D23C96">
              <w:rPr>
                <w:rFonts w:hint="eastAsia"/>
                <w:color w:val="000000"/>
                <w:spacing w:val="12"/>
                <w:w w:val="18"/>
                <w:shd w:val="solid" w:color="000000" w:fill="000000"/>
                <w:fitText w:val="84" w:id="-1501343988"/>
                <w14:textFill>
                  <w14:solidFill>
                    <w14:srgbClr w14:val="000000">
                      <w14:alpha w14:val="100000"/>
                    </w14:srgbClr>
                  </w14:solidFill>
                </w14:textFill>
              </w:rPr>
              <w:t xml:space="preserve">　</w:t>
            </w:r>
            <w:r w:rsidR="00A73D92" w:rsidRPr="000606A1">
              <w:rPr>
                <w:vertAlign w:val="superscript"/>
              </w:rPr>
              <w:t>5</w:t>
            </w:r>
          </w:p>
        </w:tc>
        <w:tc>
          <w:tcPr>
            <w:tcW w:w="571" w:type="pct"/>
            <w:shd w:val="clear" w:color="auto" w:fill="auto"/>
          </w:tcPr>
          <w:p w14:paraId="3692D8A8" w14:textId="7E5327CE" w:rsidR="00624423" w:rsidRPr="00E818AB" w:rsidRDefault="009C6175" w:rsidP="00AB18E5">
            <w:pPr>
              <w:pStyle w:val="TableText"/>
              <w:jc w:val="center"/>
              <w:rPr>
                <w:highlight w:val="yellow"/>
              </w:rPr>
            </w:pPr>
            <w:r w:rsidRPr="00D23C96">
              <w:rPr>
                <w:rFonts w:hint="eastAsia"/>
                <w:color w:val="000000"/>
                <w:w w:val="18"/>
                <w:shd w:val="solid" w:color="000000" w:fill="000000"/>
                <w:fitText w:val="83" w:id="-1501343987"/>
                <w14:textFill>
                  <w14:solidFill>
                    <w14:srgbClr w14:val="000000">
                      <w14:alpha w14:val="100000"/>
                    </w14:srgbClr>
                  </w14:solidFill>
                </w14:textFill>
              </w:rPr>
              <w:t xml:space="preserve">　</w:t>
            </w:r>
            <w:r w:rsidRPr="00D23C96">
              <w:rPr>
                <w:color w:val="000000"/>
                <w:w w:val="18"/>
                <w:shd w:val="solid" w:color="000000" w:fill="000000"/>
                <w:fitText w:val="83" w:id="-1501343987"/>
                <w14:textFill>
                  <w14:solidFill>
                    <w14:srgbClr w14:val="000000">
                      <w14:alpha w14:val="100000"/>
                    </w14:srgbClr>
                  </w14:solidFill>
                </w14:textFill>
              </w:rPr>
              <w:t>|</w:t>
            </w:r>
            <w:r w:rsidRPr="00D23C96">
              <w:rPr>
                <w:rFonts w:hint="eastAsia"/>
                <w:color w:val="000000"/>
                <w:spacing w:val="12"/>
                <w:w w:val="18"/>
                <w:shd w:val="solid" w:color="000000" w:fill="000000"/>
                <w:fitText w:val="83" w:id="-1501343987"/>
                <w14:textFill>
                  <w14:solidFill>
                    <w14:srgbClr w14:val="000000">
                      <w14:alpha w14:val="100000"/>
                    </w14:srgbClr>
                  </w14:solidFill>
                </w14:textFill>
              </w:rPr>
              <w:t xml:space="preserve">　</w:t>
            </w:r>
            <w:r w:rsidR="00A73D92" w:rsidRPr="000606A1">
              <w:rPr>
                <w:vertAlign w:val="superscript"/>
              </w:rPr>
              <w:t>5</w:t>
            </w:r>
            <w:r w:rsidR="00624423" w:rsidRPr="000606A1">
              <w:t xml:space="preserve"> </w:t>
            </w:r>
          </w:p>
        </w:tc>
        <w:tc>
          <w:tcPr>
            <w:tcW w:w="573" w:type="pct"/>
            <w:shd w:val="clear" w:color="auto" w:fill="auto"/>
          </w:tcPr>
          <w:p w14:paraId="3A8E7282" w14:textId="732ACBF0" w:rsidR="00624423" w:rsidRPr="00E818AB" w:rsidRDefault="009C6175" w:rsidP="00AB18E5">
            <w:pPr>
              <w:pStyle w:val="TableText"/>
              <w:jc w:val="center"/>
              <w:rPr>
                <w:highlight w:val="yellow"/>
              </w:rPr>
            </w:pPr>
            <w:r w:rsidRPr="00D23C96">
              <w:rPr>
                <w:rFonts w:hint="eastAsia"/>
                <w:color w:val="000000"/>
                <w:w w:val="18"/>
                <w:shd w:val="solid" w:color="000000" w:fill="000000"/>
                <w:fitText w:val="84" w:id="-1501343986"/>
                <w14:textFill>
                  <w14:solidFill>
                    <w14:srgbClr w14:val="000000">
                      <w14:alpha w14:val="100000"/>
                    </w14:srgbClr>
                  </w14:solidFill>
                </w14:textFill>
              </w:rPr>
              <w:t xml:space="preserve">　</w:t>
            </w:r>
            <w:r w:rsidRPr="00D23C96">
              <w:rPr>
                <w:color w:val="000000"/>
                <w:w w:val="18"/>
                <w:shd w:val="solid" w:color="000000" w:fill="000000"/>
                <w:fitText w:val="84" w:id="-1501343986"/>
                <w14:textFill>
                  <w14:solidFill>
                    <w14:srgbClr w14:val="000000">
                      <w14:alpha w14:val="100000"/>
                    </w14:srgbClr>
                  </w14:solidFill>
                </w14:textFill>
              </w:rPr>
              <w:t>|</w:t>
            </w:r>
            <w:r w:rsidRPr="00D23C96">
              <w:rPr>
                <w:rFonts w:hint="eastAsia"/>
                <w:color w:val="000000"/>
                <w:spacing w:val="12"/>
                <w:w w:val="18"/>
                <w:shd w:val="solid" w:color="000000" w:fill="000000"/>
                <w:fitText w:val="84" w:id="-1501343986"/>
                <w14:textFill>
                  <w14:solidFill>
                    <w14:srgbClr w14:val="000000">
                      <w14:alpha w14:val="100000"/>
                    </w14:srgbClr>
                  </w14:solidFill>
                </w14:textFill>
              </w:rPr>
              <w:t xml:space="preserve">　</w:t>
            </w:r>
            <w:r w:rsidR="00A73D92" w:rsidRPr="000606A1">
              <w:rPr>
                <w:vertAlign w:val="superscript"/>
              </w:rPr>
              <w:t>2</w:t>
            </w:r>
            <w:r w:rsidR="00624423" w:rsidRPr="000606A1">
              <w:t xml:space="preserve"> </w:t>
            </w:r>
          </w:p>
        </w:tc>
      </w:tr>
      <w:tr w:rsidR="00624423" w:rsidRPr="0084495F" w14:paraId="4E972807" w14:textId="77777777" w:rsidTr="000606A1">
        <w:tc>
          <w:tcPr>
            <w:tcW w:w="1574" w:type="pct"/>
            <w:shd w:val="clear" w:color="auto" w:fill="auto"/>
            <w:vAlign w:val="center"/>
          </w:tcPr>
          <w:p w14:paraId="735F8D00" w14:textId="77777777" w:rsidR="00624423" w:rsidRPr="0084495F" w:rsidRDefault="00624423" w:rsidP="00AB18E5">
            <w:pPr>
              <w:pStyle w:val="TableText"/>
            </w:pPr>
            <w:r w:rsidRPr="0084495F">
              <w:t>Total scripts</w:t>
            </w:r>
          </w:p>
        </w:tc>
        <w:tc>
          <w:tcPr>
            <w:tcW w:w="569" w:type="pct"/>
            <w:shd w:val="clear" w:color="auto" w:fill="auto"/>
          </w:tcPr>
          <w:p w14:paraId="33B13C80" w14:textId="7A1D2C43" w:rsidR="00624423" w:rsidRPr="00E818AB" w:rsidRDefault="009C6175" w:rsidP="00AB18E5">
            <w:pPr>
              <w:pStyle w:val="TableText"/>
              <w:jc w:val="center"/>
              <w:rPr>
                <w:highlight w:val="yellow"/>
              </w:rPr>
            </w:pPr>
            <w:r w:rsidRPr="00D23C96">
              <w:rPr>
                <w:rFonts w:hint="eastAsia"/>
                <w:color w:val="000000"/>
                <w:w w:val="20"/>
                <w:shd w:val="solid" w:color="000000" w:fill="000000"/>
                <w:fitText w:val="92" w:id="-1501343985"/>
                <w14:textFill>
                  <w14:solidFill>
                    <w14:srgbClr w14:val="000000">
                      <w14:alpha w14:val="100000"/>
                    </w14:srgbClr>
                  </w14:solidFill>
                </w14:textFill>
              </w:rPr>
              <w:t xml:space="preserve">　</w:t>
            </w:r>
            <w:r w:rsidRPr="00D23C96">
              <w:rPr>
                <w:color w:val="000000"/>
                <w:w w:val="20"/>
                <w:shd w:val="solid" w:color="000000" w:fill="000000"/>
                <w:fitText w:val="92" w:id="-1501343985"/>
                <w14:textFill>
                  <w14:solidFill>
                    <w14:srgbClr w14:val="000000">
                      <w14:alpha w14:val="100000"/>
                    </w14:srgbClr>
                  </w14:solidFill>
                </w14:textFill>
              </w:rPr>
              <w:t>|</w:t>
            </w:r>
            <w:r w:rsidRPr="00D23C96">
              <w:rPr>
                <w:rFonts w:hint="eastAsia"/>
                <w:color w:val="000000"/>
                <w:spacing w:val="5"/>
                <w:w w:val="20"/>
                <w:shd w:val="solid" w:color="000000" w:fill="000000"/>
                <w:fitText w:val="92" w:id="-1501343985"/>
                <w14:textFill>
                  <w14:solidFill>
                    <w14:srgbClr w14:val="000000">
                      <w14:alpha w14:val="100000"/>
                    </w14:srgbClr>
                  </w14:solidFill>
                </w14:textFill>
              </w:rPr>
              <w:t xml:space="preserve">　</w:t>
            </w:r>
            <w:r w:rsidR="00E818AB" w:rsidRPr="000606A1">
              <w:rPr>
                <w:vertAlign w:val="superscript"/>
              </w:rPr>
              <w:t>2</w:t>
            </w:r>
          </w:p>
        </w:tc>
        <w:tc>
          <w:tcPr>
            <w:tcW w:w="571" w:type="pct"/>
            <w:shd w:val="clear" w:color="auto" w:fill="auto"/>
          </w:tcPr>
          <w:p w14:paraId="316ACBF3" w14:textId="30CC91FE" w:rsidR="00624423" w:rsidRPr="00E818AB" w:rsidRDefault="009C6175" w:rsidP="00AB18E5">
            <w:pPr>
              <w:pStyle w:val="TableText"/>
              <w:jc w:val="center"/>
              <w:rPr>
                <w:highlight w:val="yellow"/>
              </w:rPr>
            </w:pPr>
            <w:r w:rsidRPr="00D23C96">
              <w:rPr>
                <w:rFonts w:hint="eastAsia"/>
                <w:color w:val="000000"/>
                <w:w w:val="18"/>
                <w:shd w:val="solid" w:color="000000" w:fill="000000"/>
                <w:fitText w:val="83" w:id="-1501343984"/>
                <w14:textFill>
                  <w14:solidFill>
                    <w14:srgbClr w14:val="000000">
                      <w14:alpha w14:val="100000"/>
                    </w14:srgbClr>
                  </w14:solidFill>
                </w14:textFill>
              </w:rPr>
              <w:t xml:space="preserve">　</w:t>
            </w:r>
            <w:r w:rsidRPr="00D23C96">
              <w:rPr>
                <w:color w:val="000000"/>
                <w:w w:val="18"/>
                <w:shd w:val="solid" w:color="000000" w:fill="000000"/>
                <w:fitText w:val="83" w:id="-1501343984"/>
                <w14:textFill>
                  <w14:solidFill>
                    <w14:srgbClr w14:val="000000">
                      <w14:alpha w14:val="100000"/>
                    </w14:srgbClr>
                  </w14:solidFill>
                </w14:textFill>
              </w:rPr>
              <w:t>|</w:t>
            </w:r>
            <w:r w:rsidRPr="00D23C96">
              <w:rPr>
                <w:rFonts w:hint="eastAsia"/>
                <w:color w:val="000000"/>
                <w:spacing w:val="12"/>
                <w:w w:val="18"/>
                <w:shd w:val="solid" w:color="000000" w:fill="000000"/>
                <w:fitText w:val="83" w:id="-1501343984"/>
                <w14:textFill>
                  <w14:solidFill>
                    <w14:srgbClr w14:val="000000">
                      <w14:alpha w14:val="100000"/>
                    </w14:srgbClr>
                  </w14:solidFill>
                </w14:textFill>
              </w:rPr>
              <w:t xml:space="preserve">　</w:t>
            </w:r>
            <w:r w:rsidR="00E818AB" w:rsidRPr="000606A1">
              <w:rPr>
                <w:vertAlign w:val="superscript"/>
              </w:rPr>
              <w:t>4</w:t>
            </w:r>
          </w:p>
        </w:tc>
        <w:tc>
          <w:tcPr>
            <w:tcW w:w="571" w:type="pct"/>
            <w:shd w:val="clear" w:color="auto" w:fill="auto"/>
          </w:tcPr>
          <w:p w14:paraId="691EEDC2" w14:textId="007CC566" w:rsidR="00624423" w:rsidRPr="00E818AB" w:rsidRDefault="009C6175" w:rsidP="00AB18E5">
            <w:pPr>
              <w:pStyle w:val="TableText"/>
              <w:jc w:val="center"/>
              <w:rPr>
                <w:highlight w:val="yellow"/>
              </w:rPr>
            </w:pPr>
            <w:r w:rsidRPr="00D23C96">
              <w:rPr>
                <w:rFonts w:hint="eastAsia"/>
                <w:color w:val="000000"/>
                <w:w w:val="18"/>
                <w:shd w:val="solid" w:color="000000" w:fill="000000"/>
                <w:fitText w:val="83" w:id="-1501344000"/>
                <w14:textFill>
                  <w14:solidFill>
                    <w14:srgbClr w14:val="000000">
                      <w14:alpha w14:val="100000"/>
                    </w14:srgbClr>
                  </w14:solidFill>
                </w14:textFill>
              </w:rPr>
              <w:t xml:space="preserve">　</w:t>
            </w:r>
            <w:r w:rsidRPr="00D23C96">
              <w:rPr>
                <w:color w:val="000000"/>
                <w:w w:val="18"/>
                <w:shd w:val="solid" w:color="000000" w:fill="000000"/>
                <w:fitText w:val="83" w:id="-1501344000"/>
                <w14:textFill>
                  <w14:solidFill>
                    <w14:srgbClr w14:val="000000">
                      <w14:alpha w14:val="100000"/>
                    </w14:srgbClr>
                  </w14:solidFill>
                </w14:textFill>
              </w:rPr>
              <w:t>|</w:t>
            </w:r>
            <w:r w:rsidRPr="00D23C96">
              <w:rPr>
                <w:rFonts w:hint="eastAsia"/>
                <w:color w:val="000000"/>
                <w:spacing w:val="12"/>
                <w:w w:val="18"/>
                <w:shd w:val="solid" w:color="000000" w:fill="000000"/>
                <w:fitText w:val="83" w:id="-1501344000"/>
                <w14:textFill>
                  <w14:solidFill>
                    <w14:srgbClr w14:val="000000">
                      <w14:alpha w14:val="100000"/>
                    </w14:srgbClr>
                  </w14:solidFill>
                </w14:textFill>
              </w:rPr>
              <w:t xml:space="preserve">　</w:t>
            </w:r>
            <w:r w:rsidR="00A73D92" w:rsidRPr="000606A1">
              <w:rPr>
                <w:vertAlign w:val="superscript"/>
              </w:rPr>
              <w:t>7</w:t>
            </w:r>
            <w:r w:rsidR="00624423" w:rsidRPr="000606A1">
              <w:t xml:space="preserve"> </w:t>
            </w:r>
          </w:p>
        </w:tc>
        <w:tc>
          <w:tcPr>
            <w:tcW w:w="571" w:type="pct"/>
            <w:shd w:val="clear" w:color="auto" w:fill="auto"/>
          </w:tcPr>
          <w:p w14:paraId="62942C6D" w14:textId="545A7EDB" w:rsidR="00624423" w:rsidRPr="00E818AB" w:rsidRDefault="009C6175" w:rsidP="00AB18E5">
            <w:pPr>
              <w:pStyle w:val="TableText"/>
              <w:jc w:val="center"/>
              <w:rPr>
                <w:highlight w:val="yellow"/>
              </w:rPr>
            </w:pPr>
            <w:r w:rsidRPr="009C6175">
              <w:rPr>
                <w:rFonts w:hint="eastAsia"/>
                <w:color w:val="000000"/>
                <w:w w:val="28"/>
                <w:shd w:val="solid" w:color="000000" w:fill="000000"/>
                <w:fitText w:val="125" w:id="-1501343999"/>
                <w14:textFill>
                  <w14:solidFill>
                    <w14:srgbClr w14:val="000000">
                      <w14:alpha w14:val="100000"/>
                    </w14:srgbClr>
                  </w14:solidFill>
                </w14:textFill>
              </w:rPr>
              <w:t xml:space="preserve">　</w:t>
            </w:r>
            <w:r w:rsidRPr="009C6175">
              <w:rPr>
                <w:color w:val="000000"/>
                <w:w w:val="28"/>
                <w:shd w:val="solid" w:color="000000" w:fill="000000"/>
                <w:fitText w:val="125" w:id="-1501343999"/>
                <w14:textFill>
                  <w14:solidFill>
                    <w14:srgbClr w14:val="000000">
                      <w14:alpha w14:val="100000"/>
                    </w14:srgbClr>
                  </w14:solidFill>
                </w14:textFill>
              </w:rPr>
              <w:t>|</w:t>
            </w:r>
            <w:r w:rsidRPr="009C6175">
              <w:rPr>
                <w:rFonts w:hint="eastAsia"/>
                <w:color w:val="000000"/>
                <w:spacing w:val="3"/>
                <w:w w:val="28"/>
                <w:shd w:val="solid" w:color="000000" w:fill="000000"/>
                <w:fitText w:val="125" w:id="-1501343999"/>
                <w14:textFill>
                  <w14:solidFill>
                    <w14:srgbClr w14:val="000000">
                      <w14:alpha w14:val="100000"/>
                    </w14:srgbClr>
                  </w14:solidFill>
                </w14:textFill>
              </w:rPr>
              <w:t xml:space="preserve">　</w:t>
            </w:r>
            <w:r w:rsidR="00A73D92" w:rsidRPr="000606A1">
              <w:rPr>
                <w:vertAlign w:val="superscript"/>
              </w:rPr>
              <w:t>10</w:t>
            </w:r>
            <w:r w:rsidR="00624423" w:rsidRPr="000606A1">
              <w:t xml:space="preserve"> </w:t>
            </w:r>
          </w:p>
        </w:tc>
        <w:tc>
          <w:tcPr>
            <w:tcW w:w="571" w:type="pct"/>
            <w:shd w:val="clear" w:color="auto" w:fill="auto"/>
          </w:tcPr>
          <w:p w14:paraId="69794296" w14:textId="4E4FBFDA" w:rsidR="00624423" w:rsidRPr="00E818AB" w:rsidRDefault="009C6175" w:rsidP="00AB18E5">
            <w:pPr>
              <w:pStyle w:val="TableText"/>
              <w:jc w:val="center"/>
              <w:rPr>
                <w:highlight w:val="yellow"/>
              </w:rPr>
            </w:pPr>
            <w:r w:rsidRPr="009C6175">
              <w:rPr>
                <w:rFonts w:hint="eastAsia"/>
                <w:color w:val="000000"/>
                <w:w w:val="28"/>
                <w:shd w:val="solid" w:color="000000" w:fill="000000"/>
                <w:fitText w:val="125" w:id="-1501343998"/>
                <w14:textFill>
                  <w14:solidFill>
                    <w14:srgbClr w14:val="000000">
                      <w14:alpha w14:val="100000"/>
                    </w14:srgbClr>
                  </w14:solidFill>
                </w14:textFill>
              </w:rPr>
              <w:t xml:space="preserve">　</w:t>
            </w:r>
            <w:r w:rsidRPr="009C6175">
              <w:rPr>
                <w:color w:val="000000"/>
                <w:w w:val="28"/>
                <w:shd w:val="solid" w:color="000000" w:fill="000000"/>
                <w:fitText w:val="125" w:id="-1501343998"/>
                <w14:textFill>
                  <w14:solidFill>
                    <w14:srgbClr w14:val="000000">
                      <w14:alpha w14:val="100000"/>
                    </w14:srgbClr>
                  </w14:solidFill>
                </w14:textFill>
              </w:rPr>
              <w:t>|</w:t>
            </w:r>
            <w:r w:rsidRPr="009C6175">
              <w:rPr>
                <w:rFonts w:hint="eastAsia"/>
                <w:color w:val="000000"/>
                <w:spacing w:val="3"/>
                <w:w w:val="28"/>
                <w:shd w:val="solid" w:color="000000" w:fill="000000"/>
                <w:fitText w:val="125" w:id="-1501343998"/>
                <w14:textFill>
                  <w14:solidFill>
                    <w14:srgbClr w14:val="000000">
                      <w14:alpha w14:val="100000"/>
                    </w14:srgbClr>
                  </w14:solidFill>
                </w14:textFill>
              </w:rPr>
              <w:t xml:space="preserve">　</w:t>
            </w:r>
            <w:r w:rsidR="00A73D92" w:rsidRPr="000606A1">
              <w:rPr>
                <w:vertAlign w:val="superscript"/>
              </w:rPr>
              <w:t>10</w:t>
            </w:r>
            <w:r w:rsidR="00624423" w:rsidRPr="000606A1">
              <w:t xml:space="preserve"> </w:t>
            </w:r>
          </w:p>
        </w:tc>
        <w:tc>
          <w:tcPr>
            <w:tcW w:w="573" w:type="pct"/>
            <w:shd w:val="clear" w:color="auto" w:fill="auto"/>
          </w:tcPr>
          <w:p w14:paraId="6BFC7165" w14:textId="42892F9C" w:rsidR="00624423" w:rsidRPr="00E818AB" w:rsidRDefault="009C6175" w:rsidP="00AB18E5">
            <w:pPr>
              <w:pStyle w:val="TableText"/>
              <w:jc w:val="center"/>
              <w:rPr>
                <w:highlight w:val="yellow"/>
              </w:rPr>
            </w:pPr>
            <w:r w:rsidRPr="009C6175">
              <w:rPr>
                <w:rFonts w:hint="eastAsia"/>
                <w:color w:val="000000"/>
                <w:w w:val="28"/>
                <w:shd w:val="solid" w:color="000000" w:fill="000000"/>
                <w:fitText w:val="125" w:id="-1501343997"/>
                <w14:textFill>
                  <w14:solidFill>
                    <w14:srgbClr w14:val="000000">
                      <w14:alpha w14:val="100000"/>
                    </w14:srgbClr>
                  </w14:solidFill>
                </w14:textFill>
              </w:rPr>
              <w:t xml:space="preserve">　</w:t>
            </w:r>
            <w:r w:rsidRPr="009C6175">
              <w:rPr>
                <w:color w:val="000000"/>
                <w:w w:val="28"/>
                <w:shd w:val="solid" w:color="000000" w:fill="000000"/>
                <w:fitText w:val="125" w:id="-1501343997"/>
                <w14:textFill>
                  <w14:solidFill>
                    <w14:srgbClr w14:val="000000">
                      <w14:alpha w14:val="100000"/>
                    </w14:srgbClr>
                  </w14:solidFill>
                </w14:textFill>
              </w:rPr>
              <w:t>|</w:t>
            </w:r>
            <w:r w:rsidRPr="009C6175">
              <w:rPr>
                <w:rFonts w:hint="eastAsia"/>
                <w:color w:val="000000"/>
                <w:spacing w:val="3"/>
                <w:w w:val="28"/>
                <w:shd w:val="solid" w:color="000000" w:fill="000000"/>
                <w:fitText w:val="125" w:id="-1501343997"/>
                <w14:textFill>
                  <w14:solidFill>
                    <w14:srgbClr w14:val="000000">
                      <w14:alpha w14:val="100000"/>
                    </w14:srgbClr>
                  </w14:solidFill>
                </w14:textFill>
              </w:rPr>
              <w:t xml:space="preserve">　</w:t>
            </w:r>
            <w:r w:rsidR="00A73D92" w:rsidRPr="000606A1">
              <w:rPr>
                <w:vertAlign w:val="superscript"/>
              </w:rPr>
              <w:t>10</w:t>
            </w:r>
          </w:p>
        </w:tc>
      </w:tr>
      <w:tr w:rsidR="00624423" w:rsidRPr="0084495F" w14:paraId="0653FCD5" w14:textId="77777777" w:rsidTr="000606A1">
        <w:tc>
          <w:tcPr>
            <w:tcW w:w="1574" w:type="pct"/>
            <w:shd w:val="clear" w:color="auto" w:fill="auto"/>
          </w:tcPr>
          <w:p w14:paraId="1D3D84EC" w14:textId="77777777" w:rsidR="00624423" w:rsidRPr="0084495F" w:rsidRDefault="00624423" w:rsidP="00AB18E5">
            <w:pPr>
              <w:pStyle w:val="TableText"/>
            </w:pPr>
            <w:r w:rsidRPr="0084495F">
              <w:t>Net PBS/RPBS cost</w:t>
            </w:r>
          </w:p>
        </w:tc>
        <w:tc>
          <w:tcPr>
            <w:tcW w:w="569" w:type="pct"/>
            <w:shd w:val="clear" w:color="auto" w:fill="auto"/>
          </w:tcPr>
          <w:p w14:paraId="5C212547" w14:textId="55644ED6" w:rsidR="00624423" w:rsidRPr="00E818AB" w:rsidRDefault="00624423" w:rsidP="00AB18E5">
            <w:pPr>
              <w:pStyle w:val="TableText"/>
              <w:jc w:val="center"/>
              <w:rPr>
                <w:iCs/>
                <w:vertAlign w:val="superscript"/>
              </w:rPr>
            </w:pPr>
            <w:r w:rsidRPr="0084495F">
              <w:rPr>
                <w:iCs/>
              </w:rPr>
              <w:t>$</w:t>
            </w:r>
            <w:r w:rsidR="009C6175" w:rsidRPr="00D23C96">
              <w:rPr>
                <w:rFonts w:hint="eastAsia"/>
                <w:iCs/>
                <w:color w:val="000000"/>
                <w:w w:val="30"/>
                <w:shd w:val="solid" w:color="000000" w:fill="000000"/>
                <w:fitText w:val="133" w:id="-1501343996"/>
                <w14:textFill>
                  <w14:solidFill>
                    <w14:srgbClr w14:val="000000">
                      <w14:alpha w14:val="100000"/>
                    </w14:srgbClr>
                  </w14:solidFill>
                </w14:textFill>
              </w:rPr>
              <w:t xml:space="preserve">　</w:t>
            </w:r>
            <w:r w:rsidR="009C6175" w:rsidRPr="00D23C96">
              <w:rPr>
                <w:iCs/>
                <w:color w:val="000000"/>
                <w:w w:val="30"/>
                <w:shd w:val="solid" w:color="000000" w:fill="000000"/>
                <w:fitText w:val="133" w:id="-1501343996"/>
                <w14:textFill>
                  <w14:solidFill>
                    <w14:srgbClr w14:val="000000">
                      <w14:alpha w14:val="100000"/>
                    </w14:srgbClr>
                  </w14:solidFill>
                </w14:textFill>
              </w:rPr>
              <w:t>|</w:t>
            </w:r>
            <w:r w:rsidR="009C6175" w:rsidRPr="00D23C96">
              <w:rPr>
                <w:rFonts w:hint="eastAsia"/>
                <w:iCs/>
                <w:color w:val="000000"/>
                <w:spacing w:val="1"/>
                <w:w w:val="30"/>
                <w:shd w:val="solid" w:color="000000" w:fill="000000"/>
                <w:fitText w:val="133" w:id="-1501343996"/>
                <w14:textFill>
                  <w14:solidFill>
                    <w14:srgbClr w14:val="000000">
                      <w14:alpha w14:val="100000"/>
                    </w14:srgbClr>
                  </w14:solidFill>
                </w14:textFill>
              </w:rPr>
              <w:t xml:space="preserve">　</w:t>
            </w:r>
            <w:r w:rsidR="00E818AB">
              <w:rPr>
                <w:iCs/>
                <w:vertAlign w:val="superscript"/>
              </w:rPr>
              <w:t>3</w:t>
            </w:r>
          </w:p>
        </w:tc>
        <w:tc>
          <w:tcPr>
            <w:tcW w:w="571" w:type="pct"/>
            <w:shd w:val="clear" w:color="auto" w:fill="auto"/>
          </w:tcPr>
          <w:p w14:paraId="7EA002EF" w14:textId="6367254A" w:rsidR="00624423" w:rsidRPr="00E818AB" w:rsidRDefault="00624423" w:rsidP="00AB18E5">
            <w:pPr>
              <w:pStyle w:val="TableText"/>
              <w:jc w:val="center"/>
              <w:rPr>
                <w:iCs/>
                <w:vertAlign w:val="superscript"/>
              </w:rPr>
            </w:pPr>
            <w:r w:rsidRPr="0084495F">
              <w:rPr>
                <w:iCs/>
              </w:rPr>
              <w:t>$</w:t>
            </w:r>
            <w:r w:rsidR="009C6175" w:rsidRPr="00D23C96">
              <w:rPr>
                <w:rFonts w:hint="eastAsia"/>
                <w:iCs/>
                <w:color w:val="000000"/>
                <w:w w:val="31"/>
                <w:shd w:val="solid" w:color="000000" w:fill="000000"/>
                <w:fitText w:val="141" w:id="-1501343995"/>
                <w14:textFill>
                  <w14:solidFill>
                    <w14:srgbClr w14:val="000000">
                      <w14:alpha w14:val="100000"/>
                    </w14:srgbClr>
                  </w14:solidFill>
                </w14:textFill>
              </w:rPr>
              <w:t xml:space="preserve">　</w:t>
            </w:r>
            <w:r w:rsidR="009C6175" w:rsidRPr="00D23C96">
              <w:rPr>
                <w:iCs/>
                <w:color w:val="000000"/>
                <w:w w:val="31"/>
                <w:shd w:val="solid" w:color="000000" w:fill="000000"/>
                <w:fitText w:val="141" w:id="-1501343995"/>
                <w14:textFill>
                  <w14:solidFill>
                    <w14:srgbClr w14:val="000000">
                      <w14:alpha w14:val="100000"/>
                    </w14:srgbClr>
                  </w14:solidFill>
                </w14:textFill>
              </w:rPr>
              <w:t>|</w:t>
            </w:r>
            <w:r w:rsidR="009C6175" w:rsidRPr="00D23C96">
              <w:rPr>
                <w:rFonts w:hint="eastAsia"/>
                <w:iCs/>
                <w:color w:val="000000"/>
                <w:spacing w:val="5"/>
                <w:w w:val="31"/>
                <w:shd w:val="solid" w:color="000000" w:fill="000000"/>
                <w:fitText w:val="141" w:id="-1501343995"/>
                <w14:textFill>
                  <w14:solidFill>
                    <w14:srgbClr w14:val="000000">
                      <w14:alpha w14:val="100000"/>
                    </w14:srgbClr>
                  </w14:solidFill>
                </w14:textFill>
              </w:rPr>
              <w:t xml:space="preserve">　</w:t>
            </w:r>
            <w:r w:rsidR="00E818AB">
              <w:rPr>
                <w:iCs/>
                <w:vertAlign w:val="superscript"/>
              </w:rPr>
              <w:t>3</w:t>
            </w:r>
          </w:p>
        </w:tc>
        <w:tc>
          <w:tcPr>
            <w:tcW w:w="571" w:type="pct"/>
            <w:shd w:val="clear" w:color="auto" w:fill="auto"/>
          </w:tcPr>
          <w:p w14:paraId="5B9D8B7A" w14:textId="007E70D8" w:rsidR="00624423" w:rsidRPr="00A73D92" w:rsidRDefault="00624423" w:rsidP="00AB18E5">
            <w:pPr>
              <w:pStyle w:val="TableText"/>
              <w:jc w:val="center"/>
              <w:rPr>
                <w:iCs/>
                <w:vertAlign w:val="superscript"/>
              </w:rPr>
            </w:pPr>
            <w:r w:rsidRPr="0084495F">
              <w:rPr>
                <w:iCs/>
              </w:rPr>
              <w:t>$</w:t>
            </w:r>
            <w:r w:rsidR="009C6175" w:rsidRPr="00D23C96">
              <w:rPr>
                <w:rFonts w:hint="eastAsia"/>
                <w:iCs/>
                <w:color w:val="000000"/>
                <w:w w:val="31"/>
                <w:shd w:val="solid" w:color="000000" w:fill="000000"/>
                <w:fitText w:val="141" w:id="-1501343994"/>
                <w14:textFill>
                  <w14:solidFill>
                    <w14:srgbClr w14:val="000000">
                      <w14:alpha w14:val="100000"/>
                    </w14:srgbClr>
                  </w14:solidFill>
                </w14:textFill>
              </w:rPr>
              <w:t xml:space="preserve">　</w:t>
            </w:r>
            <w:r w:rsidR="009C6175" w:rsidRPr="00D23C96">
              <w:rPr>
                <w:iCs/>
                <w:color w:val="000000"/>
                <w:w w:val="31"/>
                <w:shd w:val="solid" w:color="000000" w:fill="000000"/>
                <w:fitText w:val="141" w:id="-1501343994"/>
                <w14:textFill>
                  <w14:solidFill>
                    <w14:srgbClr w14:val="000000">
                      <w14:alpha w14:val="100000"/>
                    </w14:srgbClr>
                  </w14:solidFill>
                </w14:textFill>
              </w:rPr>
              <w:t>|</w:t>
            </w:r>
            <w:r w:rsidR="009C6175" w:rsidRPr="00D23C96">
              <w:rPr>
                <w:rFonts w:hint="eastAsia"/>
                <w:iCs/>
                <w:color w:val="000000"/>
                <w:spacing w:val="5"/>
                <w:w w:val="31"/>
                <w:shd w:val="solid" w:color="000000" w:fill="000000"/>
                <w:fitText w:val="141" w:id="-1501343994"/>
                <w14:textFill>
                  <w14:solidFill>
                    <w14:srgbClr w14:val="000000">
                      <w14:alpha w14:val="100000"/>
                    </w14:srgbClr>
                  </w14:solidFill>
                </w14:textFill>
              </w:rPr>
              <w:t xml:space="preserve">　</w:t>
            </w:r>
            <w:r w:rsidR="00A73D92">
              <w:rPr>
                <w:iCs/>
                <w:vertAlign w:val="superscript"/>
              </w:rPr>
              <w:t>8</w:t>
            </w:r>
          </w:p>
        </w:tc>
        <w:tc>
          <w:tcPr>
            <w:tcW w:w="571" w:type="pct"/>
            <w:shd w:val="clear" w:color="auto" w:fill="auto"/>
          </w:tcPr>
          <w:p w14:paraId="45FC9C84" w14:textId="6A08642A" w:rsidR="00624423" w:rsidRPr="00A73D92" w:rsidRDefault="00624423" w:rsidP="00AB18E5">
            <w:pPr>
              <w:pStyle w:val="TableText"/>
              <w:jc w:val="center"/>
              <w:rPr>
                <w:iCs/>
                <w:vertAlign w:val="superscript"/>
              </w:rPr>
            </w:pPr>
            <w:r w:rsidRPr="0084495F">
              <w:rPr>
                <w:iCs/>
              </w:rPr>
              <w:t>$</w:t>
            </w:r>
            <w:r w:rsidR="009C6175" w:rsidRPr="00D23C96">
              <w:rPr>
                <w:rFonts w:hint="eastAsia"/>
                <w:iCs/>
                <w:color w:val="000000"/>
                <w:w w:val="31"/>
                <w:shd w:val="solid" w:color="000000" w:fill="000000"/>
                <w:fitText w:val="141" w:id="-1501343993"/>
                <w14:textFill>
                  <w14:solidFill>
                    <w14:srgbClr w14:val="000000">
                      <w14:alpha w14:val="100000"/>
                    </w14:srgbClr>
                  </w14:solidFill>
                </w14:textFill>
              </w:rPr>
              <w:t xml:space="preserve">　</w:t>
            </w:r>
            <w:r w:rsidR="009C6175" w:rsidRPr="00D23C96">
              <w:rPr>
                <w:iCs/>
                <w:color w:val="000000"/>
                <w:w w:val="31"/>
                <w:shd w:val="solid" w:color="000000" w:fill="000000"/>
                <w:fitText w:val="141" w:id="-1501343993"/>
                <w14:textFill>
                  <w14:solidFill>
                    <w14:srgbClr w14:val="000000">
                      <w14:alpha w14:val="100000"/>
                    </w14:srgbClr>
                  </w14:solidFill>
                </w14:textFill>
              </w:rPr>
              <w:t>|</w:t>
            </w:r>
            <w:r w:rsidR="009C6175" w:rsidRPr="00D23C96">
              <w:rPr>
                <w:rFonts w:hint="eastAsia"/>
                <w:iCs/>
                <w:color w:val="000000"/>
                <w:spacing w:val="5"/>
                <w:w w:val="31"/>
                <w:shd w:val="solid" w:color="000000" w:fill="000000"/>
                <w:fitText w:val="141" w:id="-1501343993"/>
                <w14:textFill>
                  <w14:solidFill>
                    <w14:srgbClr w14:val="000000">
                      <w14:alpha w14:val="100000"/>
                    </w14:srgbClr>
                  </w14:solidFill>
                </w14:textFill>
              </w:rPr>
              <w:t xml:space="preserve">　</w:t>
            </w:r>
            <w:r w:rsidR="00A73D92">
              <w:rPr>
                <w:iCs/>
                <w:vertAlign w:val="superscript"/>
              </w:rPr>
              <w:t>8</w:t>
            </w:r>
          </w:p>
        </w:tc>
        <w:tc>
          <w:tcPr>
            <w:tcW w:w="571" w:type="pct"/>
            <w:shd w:val="clear" w:color="auto" w:fill="auto"/>
          </w:tcPr>
          <w:p w14:paraId="070D3B97" w14:textId="4E6FCA61" w:rsidR="00624423" w:rsidRPr="00A73D92" w:rsidRDefault="00624423" w:rsidP="00AB18E5">
            <w:pPr>
              <w:pStyle w:val="TableText"/>
              <w:jc w:val="center"/>
              <w:rPr>
                <w:iCs/>
                <w:vertAlign w:val="superscript"/>
              </w:rPr>
            </w:pPr>
            <w:r w:rsidRPr="0084495F">
              <w:rPr>
                <w:iCs/>
              </w:rPr>
              <w:t>$</w:t>
            </w:r>
            <w:r w:rsidR="009C6175" w:rsidRPr="00D23C96">
              <w:rPr>
                <w:rFonts w:hint="eastAsia"/>
                <w:iCs/>
                <w:color w:val="000000"/>
                <w:w w:val="31"/>
                <w:shd w:val="solid" w:color="000000" w:fill="000000"/>
                <w:fitText w:val="141" w:id="-1501343992"/>
                <w14:textFill>
                  <w14:solidFill>
                    <w14:srgbClr w14:val="000000">
                      <w14:alpha w14:val="100000"/>
                    </w14:srgbClr>
                  </w14:solidFill>
                </w14:textFill>
              </w:rPr>
              <w:t xml:space="preserve">　</w:t>
            </w:r>
            <w:r w:rsidR="009C6175" w:rsidRPr="00D23C96">
              <w:rPr>
                <w:iCs/>
                <w:color w:val="000000"/>
                <w:w w:val="31"/>
                <w:shd w:val="solid" w:color="000000" w:fill="000000"/>
                <w:fitText w:val="141" w:id="-1501343992"/>
                <w14:textFill>
                  <w14:solidFill>
                    <w14:srgbClr w14:val="000000">
                      <w14:alpha w14:val="100000"/>
                    </w14:srgbClr>
                  </w14:solidFill>
                </w14:textFill>
              </w:rPr>
              <w:t>|</w:t>
            </w:r>
            <w:r w:rsidR="009C6175" w:rsidRPr="00D23C96">
              <w:rPr>
                <w:rFonts w:hint="eastAsia"/>
                <w:iCs/>
                <w:color w:val="000000"/>
                <w:spacing w:val="5"/>
                <w:w w:val="31"/>
                <w:shd w:val="solid" w:color="000000" w:fill="000000"/>
                <w:fitText w:val="141" w:id="-1501343992"/>
                <w14:textFill>
                  <w14:solidFill>
                    <w14:srgbClr w14:val="000000">
                      <w14:alpha w14:val="100000"/>
                    </w14:srgbClr>
                  </w14:solidFill>
                </w14:textFill>
              </w:rPr>
              <w:t xml:space="preserve">　</w:t>
            </w:r>
            <w:r w:rsidR="00A73D92">
              <w:rPr>
                <w:iCs/>
                <w:vertAlign w:val="superscript"/>
              </w:rPr>
              <w:t>8</w:t>
            </w:r>
          </w:p>
        </w:tc>
        <w:tc>
          <w:tcPr>
            <w:tcW w:w="573" w:type="pct"/>
            <w:shd w:val="clear" w:color="auto" w:fill="auto"/>
          </w:tcPr>
          <w:p w14:paraId="21B3B5D9" w14:textId="387645FD" w:rsidR="00624423" w:rsidRPr="00A73D92" w:rsidRDefault="00624423" w:rsidP="00AB18E5">
            <w:pPr>
              <w:pStyle w:val="TableText"/>
              <w:jc w:val="center"/>
              <w:rPr>
                <w:iCs/>
                <w:vertAlign w:val="superscript"/>
              </w:rPr>
            </w:pPr>
            <w:r w:rsidRPr="0084495F">
              <w:rPr>
                <w:iCs/>
              </w:rPr>
              <w:t>$</w:t>
            </w:r>
            <w:r w:rsidR="009C6175" w:rsidRPr="00D23C96">
              <w:rPr>
                <w:rFonts w:hint="eastAsia"/>
                <w:iCs/>
                <w:color w:val="000000"/>
                <w:w w:val="31"/>
                <w:shd w:val="solid" w:color="000000" w:fill="000000"/>
                <w:fitText w:val="141" w:id="-1501343991"/>
                <w14:textFill>
                  <w14:solidFill>
                    <w14:srgbClr w14:val="000000">
                      <w14:alpha w14:val="100000"/>
                    </w14:srgbClr>
                  </w14:solidFill>
                </w14:textFill>
              </w:rPr>
              <w:t xml:space="preserve">　</w:t>
            </w:r>
            <w:r w:rsidR="009C6175" w:rsidRPr="00D23C96">
              <w:rPr>
                <w:iCs/>
                <w:color w:val="000000"/>
                <w:w w:val="31"/>
                <w:shd w:val="solid" w:color="000000" w:fill="000000"/>
                <w:fitText w:val="141" w:id="-1501343991"/>
                <w14:textFill>
                  <w14:solidFill>
                    <w14:srgbClr w14:val="000000">
                      <w14:alpha w14:val="100000"/>
                    </w14:srgbClr>
                  </w14:solidFill>
                </w14:textFill>
              </w:rPr>
              <w:t>|</w:t>
            </w:r>
            <w:r w:rsidR="009C6175" w:rsidRPr="00D23C96">
              <w:rPr>
                <w:rFonts w:hint="eastAsia"/>
                <w:iCs/>
                <w:color w:val="000000"/>
                <w:spacing w:val="5"/>
                <w:w w:val="31"/>
                <w:shd w:val="solid" w:color="000000" w:fill="000000"/>
                <w:fitText w:val="141" w:id="-1501343991"/>
                <w14:textFill>
                  <w14:solidFill>
                    <w14:srgbClr w14:val="000000">
                      <w14:alpha w14:val="100000"/>
                    </w14:srgbClr>
                  </w14:solidFill>
                </w14:textFill>
              </w:rPr>
              <w:t xml:space="preserve">　</w:t>
            </w:r>
            <w:r w:rsidR="00A73D92">
              <w:rPr>
                <w:iCs/>
                <w:vertAlign w:val="superscript"/>
              </w:rPr>
              <w:t>8</w:t>
            </w:r>
          </w:p>
        </w:tc>
      </w:tr>
    </w:tbl>
    <w:p w14:paraId="5F17374B" w14:textId="77777777" w:rsidR="00624423" w:rsidRPr="0084495F" w:rsidRDefault="00624423" w:rsidP="00624423">
      <w:pPr>
        <w:pStyle w:val="TableFigureFooter"/>
      </w:pPr>
      <w:r w:rsidRPr="0084495F">
        <w:t>Source: Sections 4.1-4.2 (pp 191-200) of the submission</w:t>
      </w:r>
    </w:p>
    <w:p w14:paraId="18B10FC4" w14:textId="716DDF96" w:rsidR="00624423" w:rsidRDefault="00624423" w:rsidP="00E818AB">
      <w:pPr>
        <w:pStyle w:val="TableFigureFooter"/>
        <w:spacing w:after="0"/>
      </w:pPr>
      <w:r w:rsidRPr="0084495F">
        <w:t xml:space="preserve">Abbreviations: </w:t>
      </w:r>
      <w:proofErr w:type="spellStart"/>
      <w:r w:rsidRPr="0084495F">
        <w:t>ACEi</w:t>
      </w:r>
      <w:proofErr w:type="spellEnd"/>
      <w:r w:rsidRPr="0084495F">
        <w:t xml:space="preserve">, angiotensin converting enzyme inhibitor; ARB, angiotensin receptor blocker; </w:t>
      </w:r>
      <w:proofErr w:type="spellStart"/>
      <w:r w:rsidRPr="0084495F">
        <w:t>ARNi</w:t>
      </w:r>
      <w:proofErr w:type="spellEnd"/>
      <w:r w:rsidRPr="0084495F">
        <w:t>, angiotensin receptor-</w:t>
      </w:r>
      <w:proofErr w:type="spellStart"/>
      <w:r w:rsidRPr="0084495F">
        <w:t>neprilysin</w:t>
      </w:r>
      <w:proofErr w:type="spellEnd"/>
      <w:r w:rsidRPr="0084495F">
        <w:t xml:space="preserve"> inhibitor; HF, heart failure; LVEF, left ventricular ejection fraction; NYHA, New York Heart Association</w:t>
      </w:r>
    </w:p>
    <w:p w14:paraId="45B26E01" w14:textId="77777777" w:rsidR="00E818AB" w:rsidRPr="009A6D58" w:rsidRDefault="00E818AB" w:rsidP="00E818A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E024380" w14:textId="77777777" w:rsidR="00E818AB" w:rsidRDefault="00E818AB" w:rsidP="00E818A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818AB">
        <w:rPr>
          <w:rFonts w:ascii="Arial Narrow" w:hAnsi="Arial Narrow"/>
          <w:i/>
          <w:sz w:val="18"/>
          <w:szCs w:val="18"/>
        </w:rPr>
        <w:t>500 to &lt; 5,000</w:t>
      </w:r>
    </w:p>
    <w:p w14:paraId="63BA1373" w14:textId="051198C3" w:rsidR="00E818AB" w:rsidRPr="009A6D58" w:rsidRDefault="00E818AB" w:rsidP="00E818A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E818AB">
        <w:rPr>
          <w:rFonts w:ascii="Arial Narrow" w:hAnsi="Arial Narrow"/>
          <w:i/>
          <w:sz w:val="18"/>
          <w:szCs w:val="18"/>
        </w:rPr>
        <w:t>10,000 to &lt; 20,000</w:t>
      </w:r>
    </w:p>
    <w:p w14:paraId="7488FFAF" w14:textId="61A81549" w:rsidR="00E818AB" w:rsidRDefault="00E818AB" w:rsidP="00E818A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E818AB">
        <w:rPr>
          <w:rFonts w:ascii="Arial Narrow" w:hAnsi="Arial Narrow"/>
          <w:i/>
          <w:sz w:val="18"/>
          <w:szCs w:val="18"/>
        </w:rPr>
        <w:t>$0 to &lt; $10 million</w:t>
      </w:r>
      <w:r w:rsidRPr="00E45780">
        <w:rPr>
          <w:rFonts w:ascii="Arial Narrow" w:hAnsi="Arial Narrow"/>
          <w:i/>
          <w:sz w:val="18"/>
          <w:szCs w:val="18"/>
        </w:rPr>
        <w:t xml:space="preserve"> </w:t>
      </w:r>
    </w:p>
    <w:p w14:paraId="46C5E5C5" w14:textId="2250CBBA" w:rsidR="00E818AB" w:rsidRDefault="00E818AB" w:rsidP="00E818AB">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E818AB">
        <w:rPr>
          <w:rFonts w:ascii="Arial Narrow" w:hAnsi="Arial Narrow"/>
          <w:i/>
          <w:sz w:val="18"/>
          <w:szCs w:val="18"/>
        </w:rPr>
        <w:t>50,000 to &lt; 60,000</w:t>
      </w:r>
    </w:p>
    <w:p w14:paraId="1F27674B" w14:textId="7E88C9E4" w:rsidR="00E818AB" w:rsidRDefault="00E818AB" w:rsidP="00A73D92">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A73D92" w:rsidRPr="00A73D92">
        <w:rPr>
          <w:rFonts w:ascii="Arial Narrow" w:hAnsi="Arial Narrow"/>
          <w:i/>
          <w:sz w:val="18"/>
          <w:szCs w:val="18"/>
        </w:rPr>
        <w:t>5,000 to &lt; 10,000</w:t>
      </w:r>
    </w:p>
    <w:p w14:paraId="60B633A0" w14:textId="495127B7" w:rsidR="00A73D92" w:rsidRDefault="00A73D92" w:rsidP="00A73D92">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A73D92">
        <w:rPr>
          <w:rFonts w:ascii="Arial Narrow" w:hAnsi="Arial Narrow"/>
          <w:i/>
          <w:sz w:val="18"/>
          <w:szCs w:val="18"/>
        </w:rPr>
        <w:t>70,000 to &lt; 80,000</w:t>
      </w:r>
    </w:p>
    <w:p w14:paraId="5F0612CD" w14:textId="5E282D03" w:rsidR="00A73D92" w:rsidRDefault="00A73D92" w:rsidP="00A73D92">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A73D92">
        <w:rPr>
          <w:rFonts w:ascii="Arial Narrow" w:hAnsi="Arial Narrow"/>
          <w:i/>
          <w:sz w:val="18"/>
          <w:szCs w:val="18"/>
        </w:rPr>
        <w:t>80,000 to &lt; 90,000</w:t>
      </w:r>
    </w:p>
    <w:p w14:paraId="656CE38D" w14:textId="65CCE375" w:rsidR="00A73D92" w:rsidRDefault="00A73D92" w:rsidP="00A73D92">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A73D92">
        <w:rPr>
          <w:rFonts w:ascii="Arial Narrow" w:hAnsi="Arial Narrow"/>
          <w:i/>
          <w:sz w:val="18"/>
          <w:szCs w:val="18"/>
        </w:rPr>
        <w:t>$10 million to &lt; $20 million</w:t>
      </w:r>
    </w:p>
    <w:p w14:paraId="3D0296AB" w14:textId="0FD21FDB" w:rsidR="00A73D92" w:rsidRDefault="00A73D92" w:rsidP="00A73D92">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A73D92">
        <w:rPr>
          <w:rFonts w:ascii="Arial Narrow" w:hAnsi="Arial Narrow"/>
          <w:i/>
          <w:sz w:val="18"/>
          <w:szCs w:val="18"/>
        </w:rPr>
        <w:t>90,000 to &lt; 100,000</w:t>
      </w:r>
    </w:p>
    <w:p w14:paraId="5E09AFA1" w14:textId="4208446F" w:rsidR="00536C15" w:rsidRPr="00E818AB" w:rsidRDefault="00A73D92" w:rsidP="00A73D92">
      <w:pPr>
        <w:spacing w:after="120"/>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Pr="00A73D92">
        <w:rPr>
          <w:rFonts w:ascii="Arial Narrow" w:hAnsi="Arial Narrow"/>
          <w:i/>
          <w:sz w:val="18"/>
          <w:szCs w:val="18"/>
        </w:rPr>
        <w:t>100,000 to &lt; 200,000</w:t>
      </w:r>
    </w:p>
    <w:p w14:paraId="31A80FBF" w14:textId="1231E072" w:rsidR="00624423" w:rsidRPr="00A73D92" w:rsidRDefault="00624423" w:rsidP="00A73D92">
      <w:pPr>
        <w:pStyle w:val="ExecSumBodyText"/>
      </w:pPr>
      <w:r w:rsidRPr="0084495F">
        <w:t xml:space="preserve">The estimated net cost to the PBS/RPBS was </w:t>
      </w:r>
      <w:r w:rsidR="00A73D92" w:rsidRPr="00A73D92">
        <w:t>$0 to &lt; $10 million</w:t>
      </w:r>
      <w:r w:rsidR="00A73D92" w:rsidRPr="0084495F" w:rsidDel="00A73D92">
        <w:t xml:space="preserve"> </w:t>
      </w:r>
      <w:r w:rsidRPr="0084495F">
        <w:t xml:space="preserve">in Year 1, increasing to </w:t>
      </w:r>
      <w:r w:rsidR="00A73D92" w:rsidRPr="00A73D92">
        <w:t>$10 million to &lt; $20 million</w:t>
      </w:r>
      <w:r w:rsidRPr="0084495F">
        <w:t xml:space="preserve"> in Year 6, a total of </w:t>
      </w:r>
      <w:r w:rsidR="00A73D92" w:rsidRPr="00A73D92">
        <w:t>$60 million to &lt; $70 million</w:t>
      </w:r>
      <w:r w:rsidR="00A73D92" w:rsidRPr="0084495F" w:rsidDel="00A73D92">
        <w:t xml:space="preserve"> </w:t>
      </w:r>
      <w:r w:rsidRPr="0084495F">
        <w:t xml:space="preserve">over 6 years. </w:t>
      </w:r>
    </w:p>
    <w:p w14:paraId="4E314567" w14:textId="530345A8" w:rsidR="00624423" w:rsidRPr="0084495F" w:rsidRDefault="00624423" w:rsidP="00624423">
      <w:pPr>
        <w:pStyle w:val="ExecSumBodyText"/>
      </w:pPr>
      <w:r w:rsidRPr="0084495F">
        <w:t>DUSC consider</w:t>
      </w:r>
      <w:r w:rsidR="009B6C78" w:rsidRPr="0084495F">
        <w:t>ed</w:t>
      </w:r>
      <w:r w:rsidRPr="0084495F">
        <w:t xml:space="preserve"> the estimates presented in the submission </w:t>
      </w:r>
      <w:r w:rsidR="006A5A59" w:rsidRPr="0084495F">
        <w:t>were</w:t>
      </w:r>
      <w:r w:rsidRPr="0084495F">
        <w:t xml:space="preserve"> uncertain</w:t>
      </w:r>
      <w:r w:rsidR="006A5A59" w:rsidRPr="0084495F">
        <w:t xml:space="preserve"> and that the</w:t>
      </w:r>
      <w:r w:rsidRPr="0084495F">
        <w:t xml:space="preserve"> main issues </w:t>
      </w:r>
      <w:r w:rsidR="006A5A59" w:rsidRPr="0084495F">
        <w:t>we</w:t>
      </w:r>
      <w:r w:rsidRPr="0084495F">
        <w:t>re:</w:t>
      </w:r>
    </w:p>
    <w:p w14:paraId="53406D5D" w14:textId="3BD62BD6" w:rsidR="00624423" w:rsidRPr="0084495F" w:rsidRDefault="00387AA6" w:rsidP="00624423">
      <w:pPr>
        <w:pStyle w:val="ExecSumBodyText"/>
        <w:numPr>
          <w:ilvl w:val="1"/>
          <w:numId w:val="11"/>
        </w:numPr>
        <w:ind w:left="1077" w:hanging="357"/>
      </w:pPr>
      <w:r w:rsidRPr="0084495F">
        <w:t>T</w:t>
      </w:r>
      <w:r w:rsidR="00624423" w:rsidRPr="0084495F">
        <w:t>he proposed restriction was broader than the VICTORIA trial inclusion criteria and open to the interpretation of the prescriber. DUSC suggested changes be made to the restriction to define a more appropriate population.</w:t>
      </w:r>
    </w:p>
    <w:p w14:paraId="69B066AB" w14:textId="51F8766A" w:rsidR="00624423" w:rsidRPr="0084495F" w:rsidRDefault="00624423" w:rsidP="00624423">
      <w:pPr>
        <w:pStyle w:val="ExecSumBodyText"/>
        <w:numPr>
          <w:ilvl w:val="1"/>
          <w:numId w:val="11"/>
        </w:numPr>
        <w:ind w:left="1077" w:hanging="357"/>
      </w:pPr>
      <w:r w:rsidRPr="0084495F">
        <w:lastRenderedPageBreak/>
        <w:t xml:space="preserve">The financial estimates presented in the submission </w:t>
      </w:r>
      <w:r w:rsidR="00387AA6" w:rsidRPr="0084495F">
        <w:t>we</w:t>
      </w:r>
      <w:r w:rsidRPr="0084495F">
        <w:t xml:space="preserve">re uncertain with several inputs underestimated including the prevalence of heart failure and treatment duration. Other inputs such as the number of stabilised patients, treatment uptake and compliance </w:t>
      </w:r>
      <w:r w:rsidR="00387AA6" w:rsidRPr="0084495F">
        <w:t>we</w:t>
      </w:r>
      <w:r w:rsidRPr="0084495F">
        <w:t>re likely overestimated in part due to the changing landscape of heart failure treatment with the positive recommendation of SGLT2 inhibitors for this condition.</w:t>
      </w:r>
    </w:p>
    <w:p w14:paraId="2F5F9ED1" w14:textId="35CFC2FF" w:rsidR="00624423" w:rsidRPr="0084495F" w:rsidRDefault="00624423" w:rsidP="00624423">
      <w:pPr>
        <w:pStyle w:val="ExecSumBodyText"/>
        <w:numPr>
          <w:ilvl w:val="1"/>
          <w:numId w:val="11"/>
        </w:numPr>
        <w:ind w:left="1077" w:hanging="357"/>
      </w:pPr>
      <w:r w:rsidRPr="0084495F">
        <w:t xml:space="preserve">Previously DUSC </w:t>
      </w:r>
      <w:r w:rsidR="001D1855" w:rsidRPr="0084495F">
        <w:t>advis</w:t>
      </w:r>
      <w:r w:rsidRPr="0084495F">
        <w:t xml:space="preserve">ed a prevalence of heart failure with reduced ejection fraction of 2.199% reported in the SHAPE study (Liew 2020) to be appropriate. Increasing prevalence </w:t>
      </w:r>
      <w:r w:rsidR="00607FE5" w:rsidRPr="0084495F">
        <w:t xml:space="preserve">from 1.5% </w:t>
      </w:r>
      <w:r w:rsidR="006E34A9" w:rsidRPr="0084495F">
        <w:t xml:space="preserve">up </w:t>
      </w:r>
      <w:r w:rsidRPr="0084495F">
        <w:t xml:space="preserve">to 2% will increase the total cost </w:t>
      </w:r>
      <w:r w:rsidR="00936F22" w:rsidRPr="0084495F">
        <w:t xml:space="preserve">in year 6 </w:t>
      </w:r>
      <w:r w:rsidRPr="0084495F">
        <w:t>from $</w:t>
      </w:r>
      <w:r w:rsidR="00936F22" w:rsidRPr="0084495F">
        <w:t>18.9</w:t>
      </w:r>
      <w:r w:rsidRPr="0084495F">
        <w:t xml:space="preserve"> million to $23.6 million.</w:t>
      </w:r>
    </w:p>
    <w:p w14:paraId="025C7299" w14:textId="64222E13" w:rsidR="00624423" w:rsidRPr="0084495F" w:rsidRDefault="00624423" w:rsidP="00624423">
      <w:pPr>
        <w:pStyle w:val="ExecSumBodyText"/>
        <w:numPr>
          <w:ilvl w:val="1"/>
          <w:numId w:val="11"/>
        </w:numPr>
        <w:ind w:left="1077" w:hanging="357"/>
      </w:pPr>
      <w:r w:rsidRPr="0084495F">
        <w:t>Due to the uncertainty and current MBS restrictions of the N-terminal pro hormone B-type natriuretic peptide (NT-</w:t>
      </w:r>
      <w:proofErr w:type="spellStart"/>
      <w:r w:rsidRPr="0084495F">
        <w:t>proBNP</w:t>
      </w:r>
      <w:proofErr w:type="spellEnd"/>
      <w:r w:rsidRPr="0084495F">
        <w:t xml:space="preserve">) test as a measure of stability in current clinical practice the proportion of patients stabilised after a heart failure event </w:t>
      </w:r>
      <w:r w:rsidR="00387AA6" w:rsidRPr="0084495F">
        <w:t>wa</w:t>
      </w:r>
      <w:r w:rsidRPr="0084495F">
        <w:t>s likely to be underestimated.</w:t>
      </w:r>
    </w:p>
    <w:p w14:paraId="3EA112F6" w14:textId="6D226161" w:rsidR="006A5A59" w:rsidRPr="0084495F" w:rsidRDefault="00387AA6" w:rsidP="00691C80">
      <w:pPr>
        <w:pStyle w:val="ExecSumBodyText"/>
        <w:numPr>
          <w:ilvl w:val="1"/>
          <w:numId w:val="11"/>
        </w:numPr>
        <w:ind w:left="1077" w:hanging="357"/>
        <w:rPr>
          <w:rFonts w:cs="Calibri"/>
        </w:rPr>
      </w:pPr>
      <w:r w:rsidRPr="0084495F">
        <w:t>T</w:t>
      </w:r>
      <w:r w:rsidR="00624423" w:rsidRPr="0084495F">
        <w:t xml:space="preserve">he treatment uptake rates </w:t>
      </w:r>
      <w:r w:rsidRPr="0084495F">
        <w:t>were</w:t>
      </w:r>
      <w:r w:rsidR="00624423" w:rsidRPr="0084495F">
        <w:t xml:space="preserve"> overestimated as clinicians and patients are likely to prefer the well-known SGLT2 inhibitors over a novel and unfamiliar treatment.</w:t>
      </w:r>
      <w:r w:rsidR="006151F7" w:rsidRPr="0084495F">
        <w:rPr>
          <w:rFonts w:cs="Calibri"/>
        </w:rPr>
        <w:t xml:space="preserve"> </w:t>
      </w:r>
    </w:p>
    <w:p w14:paraId="1770D839" w14:textId="01C1A90C" w:rsidR="00624423" w:rsidRPr="0084495F" w:rsidRDefault="00624423" w:rsidP="00624423">
      <w:pPr>
        <w:pStyle w:val="3-SubsectionHeading"/>
      </w:pPr>
      <w:bookmarkStart w:id="32" w:name="_Toc22897648"/>
      <w:bookmarkStart w:id="33" w:name="_Toc92732984"/>
      <w:r w:rsidRPr="0084495F">
        <w:t>Quality Use of Medicines</w:t>
      </w:r>
      <w:bookmarkEnd w:id="32"/>
      <w:bookmarkEnd w:id="33"/>
    </w:p>
    <w:p w14:paraId="5F23C145" w14:textId="2F4E761C" w:rsidR="00624423" w:rsidRPr="0084495F" w:rsidRDefault="00624423" w:rsidP="00624423">
      <w:pPr>
        <w:pStyle w:val="ExecSumBodyText"/>
      </w:pPr>
      <w:r w:rsidRPr="0084495F">
        <w:t>The submission stated that the sponsor will promot</w:t>
      </w:r>
      <w:r w:rsidR="003454FA" w:rsidRPr="0084495F">
        <w:t>e</w:t>
      </w:r>
      <w:r w:rsidRPr="0084495F">
        <w:t xml:space="preserve"> quality use of medicines through medical education for health professionals and consumers. </w:t>
      </w:r>
      <w:r w:rsidRPr="0084495F">
        <w:t> </w:t>
      </w:r>
    </w:p>
    <w:p w14:paraId="16361B7F" w14:textId="73A9982A" w:rsidR="00E718D9" w:rsidRPr="0084495F" w:rsidRDefault="00E718D9" w:rsidP="00E718D9">
      <w:pPr>
        <w:pStyle w:val="3-SubsectionHeading"/>
      </w:pPr>
      <w:bookmarkStart w:id="34" w:name="_Toc22897649"/>
      <w:bookmarkStart w:id="35" w:name="_Toc92732985"/>
      <w:bookmarkEnd w:id="30"/>
      <w:bookmarkEnd w:id="31"/>
      <w:r w:rsidRPr="0084495F">
        <w:t>Financial Management – Risk Sharing Arrangements</w:t>
      </w:r>
      <w:bookmarkEnd w:id="34"/>
      <w:bookmarkEnd w:id="35"/>
    </w:p>
    <w:p w14:paraId="34C999AD" w14:textId="77777777" w:rsidR="00E718D9" w:rsidRPr="0084495F" w:rsidRDefault="00E718D9" w:rsidP="00E718D9">
      <w:pPr>
        <w:pStyle w:val="ExecSumBodyText"/>
      </w:pPr>
      <w:r w:rsidRPr="0084495F">
        <w:t>No risk sharing arrangement was proposed in the submission.</w:t>
      </w:r>
    </w:p>
    <w:p w14:paraId="1A0F8CD6" w14:textId="77777777" w:rsidR="00624423" w:rsidRPr="0084495F" w:rsidRDefault="00624423" w:rsidP="00624423">
      <w:pPr>
        <w:pStyle w:val="2-SectionHeading"/>
      </w:pPr>
      <w:r w:rsidRPr="0084495F">
        <w:t>PBAC Outcome</w:t>
      </w:r>
    </w:p>
    <w:p w14:paraId="05994AA4" w14:textId="411A2239" w:rsidR="00793CF0" w:rsidRPr="0084495F" w:rsidRDefault="009F6D81" w:rsidP="003454FA">
      <w:pPr>
        <w:pStyle w:val="ExecSumBodyText"/>
      </w:pPr>
      <w:r w:rsidRPr="0084495F">
        <w:t>The PBAC did not recommend vericiguat for the treatment of patients with symptomatic chronic heart failure who are stabilised after a recent decompensation event</w:t>
      </w:r>
      <w:r w:rsidR="00B2421B" w:rsidRPr="0084495F">
        <w:t xml:space="preserve"> </w:t>
      </w:r>
      <w:r w:rsidR="00B2421B" w:rsidRPr="0084495F">
        <w:rPr>
          <w:rFonts w:cs="Calibri"/>
        </w:rPr>
        <w:t>requiring hospitalisation and/or intravenous diuretic therapy and are on concomitant standard of care (SoC) therapies</w:t>
      </w:r>
      <w:r w:rsidR="00B2421B" w:rsidRPr="0084495F">
        <w:rPr>
          <w:snapToGrid/>
        </w:rPr>
        <w:t>.</w:t>
      </w:r>
      <w:r w:rsidRPr="0084495F">
        <w:t xml:space="preserve"> The PBAC considered that vericiguat was associated with modest ef</w:t>
      </w:r>
      <w:r w:rsidR="00DB5318" w:rsidRPr="0084495F">
        <w:t>ficacy in a small group of high-</w:t>
      </w:r>
      <w:r w:rsidRPr="0084495F">
        <w:t xml:space="preserve">risk patients. The PBAC advised that the </w:t>
      </w:r>
      <w:r w:rsidR="005D6DE7" w:rsidRPr="0084495F">
        <w:t xml:space="preserve">proposed PBS restriction required revision to align </w:t>
      </w:r>
      <w:r w:rsidR="00F27E71" w:rsidRPr="0084495F">
        <w:t xml:space="preserve">more closely </w:t>
      </w:r>
      <w:r w:rsidR="005D6DE7" w:rsidRPr="0084495F">
        <w:t xml:space="preserve">with </w:t>
      </w:r>
      <w:r w:rsidR="0053540A" w:rsidRPr="0084495F">
        <w:t>the</w:t>
      </w:r>
      <w:r w:rsidR="00FF4FE6" w:rsidRPr="0084495F">
        <w:t>se</w:t>
      </w:r>
      <w:r w:rsidR="0053540A" w:rsidRPr="0084495F">
        <w:t xml:space="preserve"> high-risk patients</w:t>
      </w:r>
      <w:r w:rsidR="00CA17C2" w:rsidRPr="0084495F">
        <w:t xml:space="preserve">. Further, </w:t>
      </w:r>
      <w:r w:rsidR="005D6DE7" w:rsidRPr="0084495F">
        <w:t xml:space="preserve">the </w:t>
      </w:r>
      <w:r w:rsidR="00CA17C2" w:rsidRPr="0084495F">
        <w:t xml:space="preserve">PBAC considered the </w:t>
      </w:r>
      <w:r w:rsidR="005D6DE7" w:rsidRPr="0084495F">
        <w:t xml:space="preserve">subgroup of patients included in the economic evaluation </w:t>
      </w:r>
      <w:r w:rsidR="0053540A" w:rsidRPr="0084495F">
        <w:t xml:space="preserve">as a proxy for </w:t>
      </w:r>
      <w:r w:rsidR="00F27E71" w:rsidRPr="0084495F">
        <w:t>identifying stabilised patients</w:t>
      </w:r>
      <w:r w:rsidR="0053540A" w:rsidRPr="0084495F">
        <w:t xml:space="preserve"> </w:t>
      </w:r>
      <w:r w:rsidR="005D6DE7" w:rsidRPr="0084495F">
        <w:t xml:space="preserve">was not an </w:t>
      </w:r>
      <w:r w:rsidR="00607FE5" w:rsidRPr="0084495F">
        <w:t xml:space="preserve">appropriate </w:t>
      </w:r>
      <w:r w:rsidR="0053540A" w:rsidRPr="0084495F">
        <w:t>approach</w:t>
      </w:r>
      <w:r w:rsidR="005D6DE7" w:rsidRPr="0084495F">
        <w:t xml:space="preserve"> </w:t>
      </w:r>
      <w:r w:rsidR="0053540A" w:rsidRPr="0084495F">
        <w:t xml:space="preserve">to the assessment </w:t>
      </w:r>
      <w:r w:rsidR="005D6DE7" w:rsidRPr="0084495F">
        <w:t xml:space="preserve">of cost-effectiveness. The PBAC considered that the economic model should be revised to reflect the ITT population of the key trial and that the incremental cost-effectiveness ratio (ICER) was unacceptably high </w:t>
      </w:r>
      <w:r w:rsidR="00607FE5" w:rsidRPr="0084495F">
        <w:t xml:space="preserve">and uncertain </w:t>
      </w:r>
      <w:r w:rsidR="005D6DE7" w:rsidRPr="0084495F">
        <w:t xml:space="preserve">at the proposed price. The PBAC considered, therefore, that a price reduction would be required to achieve a cost-effective listing </w:t>
      </w:r>
      <w:r w:rsidR="005D6DE7" w:rsidRPr="0084495F">
        <w:lastRenderedPageBreak/>
        <w:t xml:space="preserve">and the </w:t>
      </w:r>
      <w:r w:rsidRPr="0084495F">
        <w:t xml:space="preserve">financial estimates </w:t>
      </w:r>
      <w:r w:rsidR="00793CF0" w:rsidRPr="0084495F">
        <w:t>would need to be revised, along with an RSA, to</w:t>
      </w:r>
      <w:r w:rsidRPr="0084495F">
        <w:t xml:space="preserve"> </w:t>
      </w:r>
      <w:r w:rsidR="00FF4FE6" w:rsidRPr="0084495F">
        <w:t xml:space="preserve">ensure </w:t>
      </w:r>
      <w:r w:rsidR="004A1161" w:rsidRPr="0084495F">
        <w:t>PBS expenditure</w:t>
      </w:r>
      <w:r w:rsidR="00FF4FE6" w:rsidRPr="0084495F">
        <w:t xml:space="preserve"> </w:t>
      </w:r>
      <w:r w:rsidR="004A1161" w:rsidRPr="0084495F">
        <w:t>was restricted to</w:t>
      </w:r>
      <w:r w:rsidR="00FF4FE6" w:rsidRPr="0084495F">
        <w:t xml:space="preserve"> </w:t>
      </w:r>
      <w:r w:rsidRPr="0084495F">
        <w:t>this sma</w:t>
      </w:r>
      <w:r w:rsidR="00793CF0" w:rsidRPr="0084495F">
        <w:t xml:space="preserve">ll group of patients. </w:t>
      </w:r>
    </w:p>
    <w:p w14:paraId="1F8633BB" w14:textId="6DAAB617" w:rsidR="005B4A6C" w:rsidRPr="0084495F" w:rsidRDefault="00231397" w:rsidP="003454FA">
      <w:pPr>
        <w:pStyle w:val="ExecSumBodyText"/>
        <w:autoSpaceDE w:val="0"/>
        <w:autoSpaceDN w:val="0"/>
        <w:adjustRightInd w:val="0"/>
        <w:rPr>
          <w:rFonts w:ascii="Times New Roman" w:hAnsi="Times New Roman" w:cs="Times New Roman"/>
        </w:rPr>
      </w:pPr>
      <w:r w:rsidRPr="0084495F">
        <w:t xml:space="preserve">The PBAC </w:t>
      </w:r>
      <w:r w:rsidR="00FE2DF0" w:rsidRPr="0084495F">
        <w:t xml:space="preserve">noted that a </w:t>
      </w:r>
      <w:r w:rsidRPr="0084495F">
        <w:t xml:space="preserve">range of therapies </w:t>
      </w:r>
      <w:r w:rsidR="00FE2DF0" w:rsidRPr="0084495F">
        <w:t xml:space="preserve">are </w:t>
      </w:r>
      <w:r w:rsidRPr="0084495F">
        <w:t xml:space="preserve">available for this patient group but </w:t>
      </w:r>
      <w:r w:rsidR="002D40C0" w:rsidRPr="0084495F">
        <w:t>considere</w:t>
      </w:r>
      <w:r w:rsidRPr="0084495F">
        <w:t xml:space="preserve">d </w:t>
      </w:r>
      <w:r w:rsidR="0099510B" w:rsidRPr="0084495F">
        <w:t xml:space="preserve">there </w:t>
      </w:r>
      <w:r w:rsidR="00D9390A" w:rsidRPr="0084495F">
        <w:t>remain</w:t>
      </w:r>
      <w:r w:rsidR="009E1F04" w:rsidRPr="0084495F">
        <w:t>ed</w:t>
      </w:r>
      <w:r w:rsidR="00D9390A" w:rsidRPr="0084495F">
        <w:t xml:space="preserve"> </w:t>
      </w:r>
      <w:r w:rsidR="0099510B" w:rsidRPr="0084495F">
        <w:t xml:space="preserve">a </w:t>
      </w:r>
      <w:r w:rsidR="002D40C0" w:rsidRPr="0084495F">
        <w:t xml:space="preserve">clinical need </w:t>
      </w:r>
      <w:r w:rsidR="00FA0BB9" w:rsidRPr="0084495F">
        <w:t>for a</w:t>
      </w:r>
      <w:r w:rsidR="00D9390A" w:rsidRPr="0084495F">
        <w:t xml:space="preserve"> therapy with a different mechanism of action</w:t>
      </w:r>
      <w:r w:rsidR="00FA0BB9" w:rsidRPr="0084495F">
        <w:t xml:space="preserve"> </w:t>
      </w:r>
      <w:r w:rsidR="002D40C0" w:rsidRPr="0084495F">
        <w:t xml:space="preserve">in a specific, narrowly defined group of </w:t>
      </w:r>
      <w:r w:rsidR="0099510B" w:rsidRPr="0084495F">
        <w:t xml:space="preserve">high-risk </w:t>
      </w:r>
      <w:r w:rsidR="002D40C0" w:rsidRPr="0084495F">
        <w:t>patients</w:t>
      </w:r>
      <w:r w:rsidR="005B4A6C" w:rsidRPr="0084495F">
        <w:t xml:space="preserve"> with acute decompensated heart failure who are </w:t>
      </w:r>
      <w:proofErr w:type="spellStart"/>
      <w:r w:rsidR="00607FE5" w:rsidRPr="0084495F">
        <w:t>haemodynamically</w:t>
      </w:r>
      <w:proofErr w:type="spellEnd"/>
      <w:r w:rsidR="00607FE5" w:rsidRPr="0084495F">
        <w:t xml:space="preserve"> </w:t>
      </w:r>
      <w:r w:rsidR="005B4A6C" w:rsidRPr="0084495F">
        <w:t>stable</w:t>
      </w:r>
      <w:r w:rsidR="00607FE5" w:rsidRPr="0084495F">
        <w:t xml:space="preserve"> and clinically </w:t>
      </w:r>
      <w:proofErr w:type="spellStart"/>
      <w:r w:rsidR="00607FE5" w:rsidRPr="0084495F">
        <w:t>euvolaemic</w:t>
      </w:r>
      <w:proofErr w:type="spellEnd"/>
      <w:r w:rsidR="002D40C0" w:rsidRPr="0084495F">
        <w:t xml:space="preserve">. </w:t>
      </w:r>
    </w:p>
    <w:p w14:paraId="2B18DC0A" w14:textId="1D378F27" w:rsidR="002D40C0" w:rsidRPr="0084495F" w:rsidRDefault="005B4A6C" w:rsidP="003454FA">
      <w:pPr>
        <w:pStyle w:val="ExecSumBodyText"/>
        <w:autoSpaceDE w:val="0"/>
        <w:autoSpaceDN w:val="0"/>
        <w:adjustRightInd w:val="0"/>
        <w:rPr>
          <w:rFonts w:ascii="Times New Roman" w:hAnsi="Times New Roman" w:cs="Times New Roman"/>
        </w:rPr>
      </w:pPr>
      <w:r w:rsidRPr="0084495F">
        <w:rPr>
          <w:rFonts w:cs="Calibri"/>
        </w:rPr>
        <w:t xml:space="preserve">The PBAC considered that the proposed place in therapy, after </w:t>
      </w:r>
      <w:proofErr w:type="spellStart"/>
      <w:r w:rsidRPr="0084495F">
        <w:rPr>
          <w:rFonts w:cs="Calibri"/>
        </w:rPr>
        <w:t>ACEi</w:t>
      </w:r>
      <w:proofErr w:type="spellEnd"/>
      <w:r w:rsidRPr="0084495F">
        <w:rPr>
          <w:rFonts w:cs="Calibri"/>
        </w:rPr>
        <w:t>/ARBs/</w:t>
      </w:r>
      <w:proofErr w:type="spellStart"/>
      <w:r w:rsidRPr="0084495F">
        <w:rPr>
          <w:rFonts w:cs="Calibri"/>
        </w:rPr>
        <w:t>ARNis</w:t>
      </w:r>
      <w:proofErr w:type="spellEnd"/>
      <w:r w:rsidRPr="0084495F">
        <w:rPr>
          <w:rFonts w:cs="Calibri"/>
        </w:rPr>
        <w:t>, beta-blockers, MRAs, SGLT2</w:t>
      </w:r>
      <w:r w:rsidR="0093508E" w:rsidRPr="0084495F">
        <w:rPr>
          <w:rFonts w:cs="Calibri"/>
        </w:rPr>
        <w:t xml:space="preserve"> </w:t>
      </w:r>
      <w:r w:rsidRPr="0084495F">
        <w:rPr>
          <w:rFonts w:cs="Calibri"/>
        </w:rPr>
        <w:t>i</w:t>
      </w:r>
      <w:r w:rsidR="00CB26D0" w:rsidRPr="0084495F">
        <w:rPr>
          <w:rFonts w:cs="Calibri"/>
        </w:rPr>
        <w:t>n</w:t>
      </w:r>
      <w:r w:rsidR="0093508E" w:rsidRPr="0084495F">
        <w:rPr>
          <w:rFonts w:cs="Calibri"/>
        </w:rPr>
        <w:t>hibitors</w:t>
      </w:r>
      <w:r w:rsidRPr="0084495F">
        <w:rPr>
          <w:rFonts w:cs="Calibri"/>
        </w:rPr>
        <w:t xml:space="preserve"> and diuretics, in patients who are stable after a recent decompensation event, was appropriate and considered this would be a </w:t>
      </w:r>
      <w:r w:rsidR="00B418C4" w:rsidRPr="0084495F">
        <w:rPr>
          <w:rFonts w:cs="Calibri"/>
        </w:rPr>
        <w:t xml:space="preserve">late-line </w:t>
      </w:r>
      <w:r w:rsidRPr="0084495F">
        <w:rPr>
          <w:rFonts w:cs="Calibri"/>
        </w:rPr>
        <w:t xml:space="preserve">niche place in therapy. </w:t>
      </w:r>
      <w:r w:rsidR="0099510B" w:rsidRPr="0084495F">
        <w:rPr>
          <w:rFonts w:cs="Calibri"/>
        </w:rPr>
        <w:t xml:space="preserve">The PBAC considered that </w:t>
      </w:r>
      <w:r w:rsidR="00607FE5" w:rsidRPr="0084495F">
        <w:rPr>
          <w:rFonts w:cs="Calibri"/>
        </w:rPr>
        <w:t xml:space="preserve">it </w:t>
      </w:r>
      <w:r w:rsidR="0099510B" w:rsidRPr="0084495F">
        <w:rPr>
          <w:rFonts w:cs="Calibri"/>
        </w:rPr>
        <w:t>was important that the restriction appropriately identify this small group of patients.</w:t>
      </w:r>
    </w:p>
    <w:p w14:paraId="4D3DAC71" w14:textId="08ADC0B1" w:rsidR="002A151B" w:rsidRPr="0084495F" w:rsidRDefault="00CC0EB2" w:rsidP="00F340D2">
      <w:pPr>
        <w:pStyle w:val="ExecSumBodyText"/>
      </w:pPr>
      <w:bookmarkStart w:id="36" w:name="_Ref100058192"/>
      <w:r w:rsidRPr="0084495F">
        <w:t>The PBAC noted that the proposed restriction did not align with the population identified as most likely to benefit from vericiguat</w:t>
      </w:r>
      <w:r w:rsidR="00FE2DF0" w:rsidRPr="0084495F">
        <w:t xml:space="preserve"> in the key trial. In the VICTORIA</w:t>
      </w:r>
      <w:r w:rsidRPr="0084495F">
        <w:t xml:space="preserve"> trial</w:t>
      </w:r>
      <w:r w:rsidR="00FE2DF0" w:rsidRPr="0084495F">
        <w:t>, the</w:t>
      </w:r>
      <w:r w:rsidRPr="0084495F">
        <w:t xml:space="preserve"> NT-</w:t>
      </w:r>
      <w:proofErr w:type="spellStart"/>
      <w:r w:rsidRPr="0084495F">
        <w:t>proBNP</w:t>
      </w:r>
      <w:proofErr w:type="spellEnd"/>
      <w:r w:rsidRPr="0084495F">
        <w:t xml:space="preserve"> Q1-Q3 post-hoc subgroup popu</w:t>
      </w:r>
      <w:r w:rsidR="00FE2DF0" w:rsidRPr="0084495F">
        <w:t>lation (NT-</w:t>
      </w:r>
      <w:proofErr w:type="spellStart"/>
      <w:r w:rsidR="00FE2DF0" w:rsidRPr="0084495F">
        <w:t>proBNP</w:t>
      </w:r>
      <w:proofErr w:type="spellEnd"/>
      <w:r w:rsidR="00FE2DF0" w:rsidRPr="0084495F">
        <w:t xml:space="preserve"> ≤5,314 </w:t>
      </w:r>
      <w:proofErr w:type="spellStart"/>
      <w:r w:rsidR="00FE2DF0" w:rsidRPr="0084495F">
        <w:t>pg</w:t>
      </w:r>
      <w:proofErr w:type="spellEnd"/>
      <w:r w:rsidR="00FE2DF0" w:rsidRPr="0084495F">
        <w:t>/mL</w:t>
      </w:r>
      <w:r w:rsidR="00936F22" w:rsidRPr="0084495F">
        <w:t>)</w:t>
      </w:r>
      <w:r w:rsidR="00F340D2" w:rsidRPr="0084495F">
        <w:t xml:space="preserve"> was used to inform the economic evaluation base case</w:t>
      </w:r>
      <w:r w:rsidRPr="0084495F">
        <w:t xml:space="preserve">. </w:t>
      </w:r>
      <w:r w:rsidR="00FE2DF0" w:rsidRPr="0084495F">
        <w:t>The PBAC noted that NT-</w:t>
      </w:r>
      <w:proofErr w:type="spellStart"/>
      <w:r w:rsidR="00FE2DF0" w:rsidRPr="0084495F">
        <w:t>proBNP</w:t>
      </w:r>
      <w:proofErr w:type="spellEnd"/>
      <w:r w:rsidR="00FE2DF0" w:rsidRPr="0084495F">
        <w:t xml:space="preserve"> </w:t>
      </w:r>
      <w:r w:rsidR="00CA17C2" w:rsidRPr="0084495F">
        <w:t xml:space="preserve">is not a validated </w:t>
      </w:r>
      <w:r w:rsidR="00451320" w:rsidRPr="0084495F">
        <w:t>indicator of stabilisation post-</w:t>
      </w:r>
      <w:r w:rsidR="00B57052" w:rsidRPr="0084495F">
        <w:t>ADHF</w:t>
      </w:r>
      <w:r w:rsidR="00451320" w:rsidRPr="0084495F">
        <w:t xml:space="preserve"> and </w:t>
      </w:r>
      <w:r w:rsidR="00FE2DF0" w:rsidRPr="0084495F">
        <w:t>testing is not currently funded through the MBS for the required purpose</w:t>
      </w:r>
      <w:r w:rsidR="002A151B" w:rsidRPr="0084495F">
        <w:t>.</w:t>
      </w:r>
      <w:r w:rsidR="00456ED1" w:rsidRPr="0084495F">
        <w:t xml:space="preserve"> </w:t>
      </w:r>
      <w:r w:rsidR="002A151B" w:rsidRPr="0084495F">
        <w:t>The sponsor had argued that the NT-</w:t>
      </w:r>
      <w:proofErr w:type="spellStart"/>
      <w:r w:rsidR="002A151B" w:rsidRPr="0084495F">
        <w:t>proBNP</w:t>
      </w:r>
      <w:proofErr w:type="spellEnd"/>
      <w:r w:rsidR="002A151B" w:rsidRPr="0084495F">
        <w:t xml:space="preserve"> Q1-Q3 subgroup was a proxy for identifying ‘stabilised’ patients, however the PBAC </w:t>
      </w:r>
      <w:r w:rsidR="00CB26D0" w:rsidRPr="0084495F">
        <w:t xml:space="preserve">also </w:t>
      </w:r>
      <w:r w:rsidR="002A151B" w:rsidRPr="0084495F">
        <w:t>noted the ESC’s advice that it would be difficult to reliably identify this population in clinical practice without measuring NT-</w:t>
      </w:r>
      <w:proofErr w:type="spellStart"/>
      <w:r w:rsidR="002A151B" w:rsidRPr="0084495F">
        <w:t>proBNP</w:t>
      </w:r>
      <w:proofErr w:type="spellEnd"/>
      <w:r w:rsidR="002A151B" w:rsidRPr="0084495F">
        <w:t xml:space="preserve"> (for example, </w:t>
      </w:r>
      <w:r w:rsidR="002A151B" w:rsidRPr="0084495F">
        <w:rPr>
          <w:iCs/>
        </w:rPr>
        <w:t>the VICTORIA trial excluded patients who were considered clinically unstable at baseline</w:t>
      </w:r>
      <w:r w:rsidR="00607FE5" w:rsidRPr="0084495F">
        <w:rPr>
          <w:iCs/>
        </w:rPr>
        <w:t>,</w:t>
      </w:r>
      <w:r w:rsidR="002A151B" w:rsidRPr="0084495F">
        <w:rPr>
          <w:iCs/>
        </w:rPr>
        <w:t xml:space="preserve"> </w:t>
      </w:r>
      <w:r w:rsidR="00607FE5" w:rsidRPr="0084495F">
        <w:rPr>
          <w:iCs/>
        </w:rPr>
        <w:t>however</w:t>
      </w:r>
      <w:r w:rsidR="002A151B" w:rsidRPr="0084495F">
        <w:rPr>
          <w:iCs/>
        </w:rPr>
        <w:t xml:space="preserve"> 24% of patients enrolled </w:t>
      </w:r>
      <w:r w:rsidR="00607FE5" w:rsidRPr="0084495F">
        <w:rPr>
          <w:iCs/>
        </w:rPr>
        <w:t xml:space="preserve">still </w:t>
      </w:r>
      <w:r w:rsidR="002A151B" w:rsidRPr="0084495F">
        <w:rPr>
          <w:iCs/>
        </w:rPr>
        <w:t>had a NT-</w:t>
      </w:r>
      <w:proofErr w:type="spellStart"/>
      <w:r w:rsidR="002A151B" w:rsidRPr="0084495F">
        <w:rPr>
          <w:iCs/>
        </w:rPr>
        <w:t>proBNP</w:t>
      </w:r>
      <w:proofErr w:type="spellEnd"/>
      <w:r w:rsidR="002A151B" w:rsidRPr="0084495F">
        <w:rPr>
          <w:iCs/>
        </w:rPr>
        <w:t xml:space="preserve"> &gt;5,314 </w:t>
      </w:r>
      <w:proofErr w:type="spellStart"/>
      <w:r w:rsidR="002A151B" w:rsidRPr="0084495F">
        <w:rPr>
          <w:iCs/>
        </w:rPr>
        <w:t>pg</w:t>
      </w:r>
      <w:proofErr w:type="spellEnd"/>
      <w:r w:rsidR="002A151B" w:rsidRPr="0084495F">
        <w:rPr>
          <w:iCs/>
        </w:rPr>
        <w:t>/mL)</w:t>
      </w:r>
      <w:r w:rsidR="002A151B" w:rsidRPr="0084495F">
        <w:t xml:space="preserve">. </w:t>
      </w:r>
    </w:p>
    <w:p w14:paraId="4924F7A2" w14:textId="643D6C21" w:rsidR="00CC0EB2" w:rsidRPr="0084495F" w:rsidRDefault="002A151B" w:rsidP="00691C80">
      <w:pPr>
        <w:pStyle w:val="ExecSumBodyText"/>
      </w:pPr>
      <w:r w:rsidRPr="0084495F">
        <w:t>T</w:t>
      </w:r>
      <w:r w:rsidR="00456ED1" w:rsidRPr="0084495F">
        <w:t xml:space="preserve">he </w:t>
      </w:r>
      <w:r w:rsidR="00CC0EB2" w:rsidRPr="0084495F">
        <w:t xml:space="preserve">ESC </w:t>
      </w:r>
      <w:r w:rsidR="00456ED1" w:rsidRPr="0084495F">
        <w:t xml:space="preserve">had considered that </w:t>
      </w:r>
      <w:r w:rsidR="00451320" w:rsidRPr="0084495F">
        <w:t xml:space="preserve">unless </w:t>
      </w:r>
      <w:r w:rsidR="00456ED1" w:rsidRPr="0084495F">
        <w:t xml:space="preserve">this issue </w:t>
      </w:r>
      <w:r w:rsidR="00451320" w:rsidRPr="0084495F">
        <w:t>was</w:t>
      </w:r>
      <w:r w:rsidR="00456ED1" w:rsidRPr="0084495F">
        <w:t xml:space="preserve"> explored through a new integrated </w:t>
      </w:r>
      <w:proofErr w:type="spellStart"/>
      <w:r w:rsidR="00456ED1" w:rsidRPr="0084495F">
        <w:t>codependent</w:t>
      </w:r>
      <w:proofErr w:type="spellEnd"/>
      <w:r w:rsidR="00456ED1" w:rsidRPr="0084495F">
        <w:t xml:space="preserve"> submission, input of the ITT population into the economic model would be </w:t>
      </w:r>
      <w:r w:rsidR="003755D0" w:rsidRPr="0084495F">
        <w:t>appropriate</w:t>
      </w:r>
      <w:r w:rsidR="00456ED1" w:rsidRPr="0084495F">
        <w:t>.</w:t>
      </w:r>
      <w:r w:rsidR="0099510B" w:rsidRPr="0084495F">
        <w:t xml:space="preserve"> </w:t>
      </w:r>
      <w:r w:rsidR="00A65E92" w:rsidRPr="0084495F">
        <w:t>On balance, t</w:t>
      </w:r>
      <w:r w:rsidR="0099510B" w:rsidRPr="0084495F">
        <w:t xml:space="preserve">he PBAC </w:t>
      </w:r>
      <w:r w:rsidR="00451320" w:rsidRPr="0084495F">
        <w:t>did not consider</w:t>
      </w:r>
      <w:r w:rsidR="0099510B" w:rsidRPr="0084495F">
        <w:t xml:space="preserve"> that an integrated </w:t>
      </w:r>
      <w:proofErr w:type="spellStart"/>
      <w:r w:rsidR="0099510B" w:rsidRPr="0084495F">
        <w:t>codependent</w:t>
      </w:r>
      <w:proofErr w:type="spellEnd"/>
      <w:r w:rsidR="0099510B" w:rsidRPr="0084495F">
        <w:t xml:space="preserve"> submission</w:t>
      </w:r>
      <w:r w:rsidR="00A65E92" w:rsidRPr="0084495F">
        <w:t xml:space="preserve"> </w:t>
      </w:r>
      <w:r w:rsidR="00451320" w:rsidRPr="0084495F">
        <w:t xml:space="preserve">was clinically appropriate </w:t>
      </w:r>
      <w:r w:rsidR="00A65E92" w:rsidRPr="0084495F">
        <w:t xml:space="preserve">and </w:t>
      </w:r>
      <w:r w:rsidR="00451320" w:rsidRPr="0084495F">
        <w:t>that the ITT population should be considered for the clinical and cost effectiveness. G</w:t>
      </w:r>
      <w:r w:rsidR="00A65E92" w:rsidRPr="0084495F">
        <w:t xml:space="preserve">iven the clinical need </w:t>
      </w:r>
      <w:r w:rsidR="009E1F04" w:rsidRPr="0084495F">
        <w:t xml:space="preserve">was </w:t>
      </w:r>
      <w:r w:rsidR="00A65E92" w:rsidRPr="0084495F">
        <w:t>in a s</w:t>
      </w:r>
      <w:r w:rsidR="0093508E" w:rsidRPr="0084495F">
        <w:t>mall</w:t>
      </w:r>
      <w:r w:rsidR="00A65E92" w:rsidRPr="0084495F">
        <w:t xml:space="preserve"> group of high-risk patients</w:t>
      </w:r>
      <w:r w:rsidR="0099510B" w:rsidRPr="0084495F">
        <w:t xml:space="preserve">, the </w:t>
      </w:r>
      <w:r w:rsidR="003454FA" w:rsidRPr="0084495F">
        <w:t xml:space="preserve">listing should restrict use to </w:t>
      </w:r>
      <w:r w:rsidR="0099510B" w:rsidRPr="0084495F">
        <w:t>patients</w:t>
      </w:r>
      <w:r w:rsidR="00FC7906" w:rsidRPr="0084495F">
        <w:t xml:space="preserve"> </w:t>
      </w:r>
      <w:r w:rsidR="00F97AED" w:rsidRPr="0084495F">
        <w:t xml:space="preserve">who match the VICTORIA trial population </w:t>
      </w:r>
      <w:r w:rsidR="00FC7906" w:rsidRPr="0084495F">
        <w:t xml:space="preserve">as </w:t>
      </w:r>
      <w:r w:rsidR="00A65E92" w:rsidRPr="0084495F">
        <w:t>much</w:t>
      </w:r>
      <w:r w:rsidR="00FC7906" w:rsidRPr="0084495F">
        <w:t xml:space="preserve"> as </w:t>
      </w:r>
      <w:r w:rsidR="005B4A6C" w:rsidRPr="0084495F">
        <w:t>practical</w:t>
      </w:r>
      <w:r w:rsidR="00FC7906" w:rsidRPr="0084495F">
        <w:t>, with</w:t>
      </w:r>
      <w:r w:rsidR="00451320" w:rsidRPr="0084495F">
        <w:t xml:space="preserve">out reference to </w:t>
      </w:r>
      <w:r w:rsidR="00F97AED" w:rsidRPr="0084495F">
        <w:t xml:space="preserve">baseline </w:t>
      </w:r>
      <w:r w:rsidR="00451320" w:rsidRPr="0084495F">
        <w:t>NT-</w:t>
      </w:r>
      <w:proofErr w:type="spellStart"/>
      <w:r w:rsidR="00451320" w:rsidRPr="0084495F">
        <w:t>proBNP</w:t>
      </w:r>
      <w:proofErr w:type="spellEnd"/>
      <w:r w:rsidR="00451320" w:rsidRPr="0084495F">
        <w:t>, and with</w:t>
      </w:r>
      <w:r w:rsidR="00FC7906" w:rsidRPr="0084495F">
        <w:t xml:space="preserve"> initiation limited to cardiologists</w:t>
      </w:r>
      <w:r w:rsidR="00451320" w:rsidRPr="0084495F">
        <w:t>.</w:t>
      </w:r>
      <w:bookmarkEnd w:id="36"/>
    </w:p>
    <w:p w14:paraId="0F1130C9" w14:textId="5C476C55" w:rsidR="002D40C0" w:rsidRPr="0084495F" w:rsidRDefault="00A65E92" w:rsidP="002D40C0">
      <w:pPr>
        <w:pStyle w:val="ExecSumBodyText"/>
        <w:autoSpaceDE w:val="0"/>
        <w:autoSpaceDN w:val="0"/>
        <w:adjustRightInd w:val="0"/>
        <w:rPr>
          <w:rFonts w:ascii="Times New Roman" w:hAnsi="Times New Roman" w:cs="Times New Roman"/>
        </w:rPr>
      </w:pPr>
      <w:bookmarkStart w:id="37" w:name="_Ref100061268"/>
      <w:r w:rsidRPr="0084495F">
        <w:rPr>
          <w:rFonts w:cs="Calibri"/>
        </w:rPr>
        <w:t>As such</w:t>
      </w:r>
      <w:r w:rsidR="002D40C0" w:rsidRPr="0084495F">
        <w:rPr>
          <w:rFonts w:cs="Calibri"/>
        </w:rPr>
        <w:t xml:space="preserve">, the PBAC </w:t>
      </w:r>
      <w:r w:rsidR="00A62D65" w:rsidRPr="0084495F">
        <w:rPr>
          <w:rFonts w:cs="Calibri"/>
        </w:rPr>
        <w:t>advis</w:t>
      </w:r>
      <w:r w:rsidR="002D40C0" w:rsidRPr="0084495F">
        <w:rPr>
          <w:rFonts w:cs="Calibri"/>
        </w:rPr>
        <w:t>ed</w:t>
      </w:r>
      <w:r w:rsidR="00A62D65" w:rsidRPr="0084495F">
        <w:rPr>
          <w:rFonts w:cs="Calibri"/>
        </w:rPr>
        <w:t xml:space="preserve"> that the listing for vericiguat should specify</w:t>
      </w:r>
      <w:r w:rsidR="002D40C0" w:rsidRPr="0084495F">
        <w:rPr>
          <w:rFonts w:cs="Calibri"/>
        </w:rPr>
        <w:t>:</w:t>
      </w:r>
      <w:bookmarkEnd w:id="37"/>
    </w:p>
    <w:p w14:paraId="64E2A94F" w14:textId="2EBBC18F" w:rsidR="00A62D65" w:rsidRPr="0084495F" w:rsidRDefault="0099510B" w:rsidP="002D40C0">
      <w:pPr>
        <w:pStyle w:val="Bulletpoints"/>
        <w:ind w:left="1276"/>
        <w:rPr>
          <w:rFonts w:ascii="Times New Roman" w:hAnsi="Times New Roman" w:cs="Times New Roman"/>
        </w:rPr>
      </w:pPr>
      <w:r w:rsidRPr="0084495F">
        <w:t>v</w:t>
      </w:r>
      <w:r w:rsidR="00A62D65" w:rsidRPr="0084495F">
        <w:t xml:space="preserve">ericiguat must be initiated under the supervision of a </w:t>
      </w:r>
      <w:r w:rsidR="00737745" w:rsidRPr="0084495F">
        <w:t xml:space="preserve">specialist </w:t>
      </w:r>
      <w:proofErr w:type="gramStart"/>
      <w:r w:rsidR="00A62D65" w:rsidRPr="0084495F">
        <w:t>cardiologist;</w:t>
      </w:r>
      <w:proofErr w:type="gramEnd"/>
    </w:p>
    <w:p w14:paraId="7B38D277" w14:textId="1A84DEE7" w:rsidR="00A62D65" w:rsidRPr="0084495F" w:rsidRDefault="0099510B" w:rsidP="002D40C0">
      <w:pPr>
        <w:pStyle w:val="Bulletpoints"/>
        <w:ind w:left="1276"/>
        <w:rPr>
          <w:rFonts w:ascii="Times New Roman" w:hAnsi="Times New Roman" w:cs="Times New Roman"/>
        </w:rPr>
      </w:pPr>
      <w:r w:rsidRPr="0084495F">
        <w:t>t</w:t>
      </w:r>
      <w:r w:rsidR="00A62D65" w:rsidRPr="0084495F">
        <w:t xml:space="preserve">he initial restriction should be Authority Required (telephone/online), and the continuing restriction should be </w:t>
      </w:r>
      <w:r w:rsidR="00A62D65" w:rsidRPr="0084495F">
        <w:rPr>
          <w:rFonts w:cstheme="minorHAnsi"/>
        </w:rPr>
        <w:t>Authority Required (Streamlined</w:t>
      </w:r>
      <w:proofErr w:type="gramStart"/>
      <w:r w:rsidR="00A62D65" w:rsidRPr="0084495F">
        <w:rPr>
          <w:rFonts w:cstheme="minorHAnsi"/>
        </w:rPr>
        <w:t>)</w:t>
      </w:r>
      <w:r w:rsidR="00FF1092" w:rsidRPr="0084495F">
        <w:rPr>
          <w:rFonts w:cstheme="minorHAnsi"/>
        </w:rPr>
        <w:t>;</w:t>
      </w:r>
      <w:proofErr w:type="gramEnd"/>
    </w:p>
    <w:p w14:paraId="083BA4A0" w14:textId="400A9BBB" w:rsidR="00C4700A" w:rsidRPr="0084495F" w:rsidRDefault="0099510B" w:rsidP="00C4700A">
      <w:pPr>
        <w:pStyle w:val="Bulletpoints"/>
        <w:ind w:left="1276"/>
      </w:pPr>
      <w:r w:rsidRPr="0084495F">
        <w:rPr>
          <w:iCs/>
        </w:rPr>
        <w:t>a</w:t>
      </w:r>
      <w:r w:rsidR="00A62D65" w:rsidRPr="0084495F">
        <w:rPr>
          <w:iCs/>
        </w:rPr>
        <w:t xml:space="preserve"> time frame for the recent decompensation event </w:t>
      </w:r>
      <w:r w:rsidR="00FF1092" w:rsidRPr="0084495F">
        <w:rPr>
          <w:iCs/>
        </w:rPr>
        <w:t xml:space="preserve">consistent with the VICTORIA trial, which required patients to have had a heart failure hospitalisation in the past 6 months or intravenous diuretic therapy </w:t>
      </w:r>
      <w:r w:rsidR="00FF1092" w:rsidRPr="0084495F">
        <w:rPr>
          <w:rFonts w:cstheme="minorHAnsi"/>
        </w:rPr>
        <w:t xml:space="preserve">for heart failure (without hospitalisation) </w:t>
      </w:r>
      <w:r w:rsidR="00FF1092" w:rsidRPr="0084495F">
        <w:rPr>
          <w:iCs/>
        </w:rPr>
        <w:t xml:space="preserve">in the past 3 </w:t>
      </w:r>
      <w:proofErr w:type="gramStart"/>
      <w:r w:rsidR="00FF1092" w:rsidRPr="0084495F">
        <w:rPr>
          <w:iCs/>
        </w:rPr>
        <w:t>months;</w:t>
      </w:r>
      <w:proofErr w:type="gramEnd"/>
    </w:p>
    <w:p w14:paraId="7EB8D5BF" w14:textId="70FA5CD2" w:rsidR="00A62D65" w:rsidRPr="0084495F" w:rsidRDefault="0099510B" w:rsidP="00737745">
      <w:pPr>
        <w:pStyle w:val="Bulletpoints"/>
        <w:ind w:left="1276"/>
      </w:pPr>
      <w:r w:rsidRPr="0084495F">
        <w:lastRenderedPageBreak/>
        <w:t>c</w:t>
      </w:r>
      <w:r w:rsidR="00A62D65" w:rsidRPr="0084495F">
        <w:t>riteria to identify stabilised patients</w:t>
      </w:r>
      <w:r w:rsidR="00FF1092" w:rsidRPr="0084495F">
        <w:t xml:space="preserve">, namely that the patient must be </w:t>
      </w:r>
      <w:proofErr w:type="spellStart"/>
      <w:r w:rsidR="00F97AED" w:rsidRPr="0084495F">
        <w:t>haemodynamically</w:t>
      </w:r>
      <w:proofErr w:type="spellEnd"/>
      <w:r w:rsidR="00F97AED" w:rsidRPr="0084495F">
        <w:t xml:space="preserve"> stable and clinically </w:t>
      </w:r>
      <w:proofErr w:type="spellStart"/>
      <w:r w:rsidR="00FF1092" w:rsidRPr="0084495F">
        <w:t>euvolaemic</w:t>
      </w:r>
      <w:proofErr w:type="spellEnd"/>
      <w:r w:rsidR="00737745" w:rsidRPr="0084495F">
        <w:t xml:space="preserve"> (</w:t>
      </w:r>
      <w:proofErr w:type="gramStart"/>
      <w:r w:rsidR="000B5252" w:rsidRPr="0084495F">
        <w:t>i.e.</w:t>
      </w:r>
      <w:proofErr w:type="gramEnd"/>
      <w:r w:rsidR="000B5252" w:rsidRPr="0084495F">
        <w:t xml:space="preserve"> </w:t>
      </w:r>
      <w:r w:rsidR="00737745" w:rsidRPr="0084495F">
        <w:t xml:space="preserve">the patient must </w:t>
      </w:r>
      <w:r w:rsidR="000B5252" w:rsidRPr="0084495F">
        <w:t xml:space="preserve">not </w:t>
      </w:r>
      <w:r w:rsidR="00737745" w:rsidRPr="0084495F">
        <w:t>have</w:t>
      </w:r>
      <w:r w:rsidR="000B5252" w:rsidRPr="0084495F">
        <w:t xml:space="preserve">: clinical signs of fluid overload; </w:t>
      </w:r>
      <w:r w:rsidR="000B5252" w:rsidRPr="0084495F">
        <w:rPr>
          <w:iCs/>
        </w:rPr>
        <w:t>received IV t</w:t>
      </w:r>
      <w:r w:rsidR="003D0886" w:rsidRPr="0084495F">
        <w:rPr>
          <w:iCs/>
        </w:rPr>
        <w:t>reatment</w:t>
      </w:r>
      <w:r w:rsidR="000B5252" w:rsidRPr="0084495F">
        <w:rPr>
          <w:iCs/>
        </w:rPr>
        <w:t xml:space="preserve"> in the previous 24 hours; or have a</w:t>
      </w:r>
      <w:r w:rsidR="00737745" w:rsidRPr="0084495F">
        <w:t xml:space="preserve"> </w:t>
      </w:r>
      <w:r w:rsidR="00737745" w:rsidRPr="0084495F">
        <w:rPr>
          <w:iCs/>
        </w:rPr>
        <w:t>systolic blood pressure less than 100 mmHg</w:t>
      </w:r>
      <w:r w:rsidR="000B5252" w:rsidRPr="0084495F">
        <w:rPr>
          <w:iCs/>
        </w:rPr>
        <w:t>)</w:t>
      </w:r>
      <w:r w:rsidR="00FF1092" w:rsidRPr="0084495F">
        <w:t>;</w:t>
      </w:r>
    </w:p>
    <w:p w14:paraId="602AB4C5" w14:textId="62397AB5" w:rsidR="00FF1092" w:rsidRPr="0084495F" w:rsidRDefault="0099510B" w:rsidP="00C4700A">
      <w:pPr>
        <w:pStyle w:val="Bulletpoints"/>
        <w:ind w:left="1276"/>
        <w:rPr>
          <w:iCs/>
        </w:rPr>
      </w:pPr>
      <w:r w:rsidRPr="0084495F">
        <w:rPr>
          <w:iCs/>
        </w:rPr>
        <w:t>v</w:t>
      </w:r>
      <w:r w:rsidR="00FF1092" w:rsidRPr="0084495F">
        <w:rPr>
          <w:iCs/>
        </w:rPr>
        <w:t xml:space="preserve">ericiguat must be an add-on therapy to optimal standard chronic heart failure treatment including a beta-blocker and an </w:t>
      </w:r>
      <w:proofErr w:type="spellStart"/>
      <w:r w:rsidR="00FF1092" w:rsidRPr="0084495F">
        <w:rPr>
          <w:iCs/>
        </w:rPr>
        <w:t>ACEi</w:t>
      </w:r>
      <w:proofErr w:type="spellEnd"/>
      <w:r w:rsidR="00FF1092" w:rsidRPr="0084495F">
        <w:rPr>
          <w:iCs/>
        </w:rPr>
        <w:t>/ARBs/</w:t>
      </w:r>
      <w:proofErr w:type="spellStart"/>
      <w:r w:rsidR="00FF1092" w:rsidRPr="0084495F">
        <w:rPr>
          <w:iCs/>
        </w:rPr>
        <w:t>ARNi</w:t>
      </w:r>
      <w:proofErr w:type="spellEnd"/>
      <w:r w:rsidR="00FF1092" w:rsidRPr="0084495F">
        <w:rPr>
          <w:iCs/>
        </w:rPr>
        <w:t xml:space="preserve"> unless </w:t>
      </w:r>
      <w:proofErr w:type="gramStart"/>
      <w:r w:rsidR="00FF1092" w:rsidRPr="0084495F">
        <w:rPr>
          <w:iCs/>
        </w:rPr>
        <w:t>contraindicated;</w:t>
      </w:r>
      <w:proofErr w:type="gramEnd"/>
      <w:r w:rsidR="00FF1092" w:rsidRPr="0084495F">
        <w:rPr>
          <w:iCs/>
        </w:rPr>
        <w:t xml:space="preserve"> </w:t>
      </w:r>
    </w:p>
    <w:p w14:paraId="7E239455" w14:textId="4E6CF44D" w:rsidR="00FF1092" w:rsidRPr="0084495F" w:rsidRDefault="0099510B" w:rsidP="00C4700A">
      <w:pPr>
        <w:pStyle w:val="Bulletpoints"/>
        <w:ind w:left="1276"/>
        <w:rPr>
          <w:iCs/>
        </w:rPr>
      </w:pPr>
      <w:r w:rsidRPr="0084495F">
        <w:rPr>
          <w:iCs/>
        </w:rPr>
        <w:t>t</w:t>
      </w:r>
      <w:r w:rsidR="00FF1092" w:rsidRPr="0084495F">
        <w:rPr>
          <w:iCs/>
        </w:rPr>
        <w:t>hat the patient is symptomatic with NYHA class II, III or IV, and has documented LVEF of less than 45% (as proposed in the submission); and</w:t>
      </w:r>
    </w:p>
    <w:p w14:paraId="1EDF9E17" w14:textId="030572FD" w:rsidR="00FF1092" w:rsidRPr="0084495F" w:rsidRDefault="00FF1092" w:rsidP="00C4700A">
      <w:pPr>
        <w:pStyle w:val="Bulletpoints"/>
        <w:ind w:left="1276"/>
        <w:rPr>
          <w:iCs/>
        </w:rPr>
      </w:pPr>
      <w:r w:rsidRPr="0084495F">
        <w:rPr>
          <w:iCs/>
        </w:rPr>
        <w:t xml:space="preserve">a grandfather restriction to ensure that, at initiation of therapy, patients enrolled in the patient access program met the PBS criteria around experiencing a recent decompensation event and being </w:t>
      </w:r>
      <w:proofErr w:type="spellStart"/>
      <w:r w:rsidRPr="0084495F">
        <w:rPr>
          <w:iCs/>
        </w:rPr>
        <w:t>euvolaemic</w:t>
      </w:r>
      <w:proofErr w:type="spellEnd"/>
      <w:r w:rsidRPr="0084495F">
        <w:rPr>
          <w:iCs/>
        </w:rPr>
        <w:t>.</w:t>
      </w:r>
    </w:p>
    <w:p w14:paraId="54B7D78C" w14:textId="5B383531" w:rsidR="00842AE9" w:rsidRPr="0084495F" w:rsidRDefault="00842AE9" w:rsidP="00842AE9">
      <w:pPr>
        <w:pStyle w:val="ExecSumBodyText"/>
        <w:rPr>
          <w:rFonts w:cs="Calibri"/>
        </w:rPr>
      </w:pPr>
      <w:r w:rsidRPr="0084495F">
        <w:rPr>
          <w:rFonts w:cs="Calibri"/>
        </w:rPr>
        <w:t xml:space="preserve">The PBAC considered that the comparator nominated by the submission, </w:t>
      </w:r>
      <w:r w:rsidR="00A65E92" w:rsidRPr="0084495F">
        <w:rPr>
          <w:rFonts w:cs="Calibri"/>
        </w:rPr>
        <w:t xml:space="preserve">which </w:t>
      </w:r>
      <w:r w:rsidR="0093508E" w:rsidRPr="0084495F">
        <w:rPr>
          <w:rFonts w:cs="Calibri"/>
        </w:rPr>
        <w:t xml:space="preserve">effectively </w:t>
      </w:r>
      <w:r w:rsidR="00A65E92" w:rsidRPr="0084495F">
        <w:rPr>
          <w:rFonts w:cs="Calibri"/>
        </w:rPr>
        <w:t xml:space="preserve">was </w:t>
      </w:r>
      <w:r w:rsidRPr="0084495F">
        <w:rPr>
          <w:rFonts w:cs="Calibri"/>
        </w:rPr>
        <w:t>standard of care (SoC)</w:t>
      </w:r>
      <w:r w:rsidR="00CB26D0" w:rsidRPr="0084495F">
        <w:rPr>
          <w:rFonts w:cs="Calibri"/>
        </w:rPr>
        <w:t xml:space="preserve"> (including </w:t>
      </w:r>
      <w:proofErr w:type="spellStart"/>
      <w:r w:rsidR="00CB26D0" w:rsidRPr="0084495F">
        <w:rPr>
          <w:rFonts w:cs="Calibri"/>
        </w:rPr>
        <w:t>ACEi</w:t>
      </w:r>
      <w:proofErr w:type="spellEnd"/>
      <w:r w:rsidR="00CB26D0" w:rsidRPr="0084495F">
        <w:rPr>
          <w:rFonts w:cs="Calibri"/>
        </w:rPr>
        <w:t>/ARBs/</w:t>
      </w:r>
      <w:proofErr w:type="spellStart"/>
      <w:r w:rsidRPr="0084495F">
        <w:rPr>
          <w:rFonts w:cs="Calibri"/>
        </w:rPr>
        <w:t>ARNis</w:t>
      </w:r>
      <w:proofErr w:type="spellEnd"/>
      <w:r w:rsidRPr="0084495F">
        <w:rPr>
          <w:rFonts w:cs="Calibri"/>
        </w:rPr>
        <w:t>, beta-blockers, MRAs, and diuretics) was appropriate</w:t>
      </w:r>
      <w:r w:rsidR="008723B9" w:rsidRPr="0084495F">
        <w:rPr>
          <w:rFonts w:cs="Calibri"/>
        </w:rPr>
        <w:t xml:space="preserve">, noting vericiguat would be used in addition to </w:t>
      </w:r>
      <w:proofErr w:type="spellStart"/>
      <w:r w:rsidR="008723B9" w:rsidRPr="0084495F">
        <w:rPr>
          <w:rFonts w:cs="Calibri"/>
        </w:rPr>
        <w:t>SoC</w:t>
      </w:r>
      <w:r w:rsidRPr="0084495F">
        <w:rPr>
          <w:rFonts w:cs="Calibri"/>
        </w:rPr>
        <w:t>.</w:t>
      </w:r>
      <w:proofErr w:type="spellEnd"/>
      <w:r w:rsidRPr="0084495F">
        <w:rPr>
          <w:rFonts w:cs="Calibri"/>
        </w:rPr>
        <w:t xml:space="preserve"> The PBAC considered that, in clinical practice, it is likely that SGLT2</w:t>
      </w:r>
      <w:r w:rsidR="0093508E" w:rsidRPr="0084495F">
        <w:rPr>
          <w:rFonts w:cs="Calibri"/>
        </w:rPr>
        <w:t xml:space="preserve"> </w:t>
      </w:r>
      <w:r w:rsidRPr="0084495F">
        <w:rPr>
          <w:rFonts w:cs="Calibri"/>
        </w:rPr>
        <w:t>i</w:t>
      </w:r>
      <w:r w:rsidR="0093508E" w:rsidRPr="0084495F">
        <w:rPr>
          <w:rFonts w:cs="Calibri"/>
        </w:rPr>
        <w:t>nhibitors</w:t>
      </w:r>
      <w:r w:rsidRPr="0084495F">
        <w:rPr>
          <w:rFonts w:cs="Calibri"/>
        </w:rPr>
        <w:t xml:space="preserve"> (dapagliflozin and empagliflozin) will be used as SoC, prior to vericiguat.</w:t>
      </w:r>
    </w:p>
    <w:p w14:paraId="3645C3CA" w14:textId="5EE8E909" w:rsidR="002D40C0" w:rsidRPr="0084495F" w:rsidRDefault="0089789E" w:rsidP="0046020D">
      <w:pPr>
        <w:pStyle w:val="ExecSumBodyText"/>
      </w:pPr>
      <w:r w:rsidRPr="0084495F">
        <w:t xml:space="preserve">The PBAC noted that the </w:t>
      </w:r>
      <w:r w:rsidR="002D40C0" w:rsidRPr="0084495F">
        <w:t xml:space="preserve">VICTORIA trial </w:t>
      </w:r>
      <w:r w:rsidRPr="0084495F">
        <w:t>recruited a</w:t>
      </w:r>
      <w:r w:rsidR="002D40C0" w:rsidRPr="0084495F">
        <w:t xml:space="preserve"> higher risk population than other recent trials</w:t>
      </w:r>
      <w:r w:rsidRPr="0084495F">
        <w:t xml:space="preserve"> in heart failure </w:t>
      </w:r>
      <w:r w:rsidR="0046020D" w:rsidRPr="0084495F">
        <w:t xml:space="preserve">(including the </w:t>
      </w:r>
      <w:r w:rsidR="0046020D" w:rsidRPr="0084495F">
        <w:rPr>
          <w:rFonts w:cs="Calibri"/>
        </w:rPr>
        <w:t>SGLT2</w:t>
      </w:r>
      <w:r w:rsidR="00CB26D0" w:rsidRPr="0084495F">
        <w:rPr>
          <w:rFonts w:cs="Calibri"/>
        </w:rPr>
        <w:t xml:space="preserve"> </w:t>
      </w:r>
      <w:r w:rsidR="0046020D" w:rsidRPr="0084495F">
        <w:rPr>
          <w:rFonts w:cs="Calibri"/>
        </w:rPr>
        <w:t>i</w:t>
      </w:r>
      <w:r w:rsidR="00CB26D0" w:rsidRPr="0084495F">
        <w:rPr>
          <w:rFonts w:cs="Calibri"/>
        </w:rPr>
        <w:t>nhibitor</w:t>
      </w:r>
      <w:r w:rsidR="0046020D" w:rsidRPr="0084495F">
        <w:rPr>
          <w:rFonts w:cs="Calibri"/>
        </w:rPr>
        <w:t xml:space="preserve"> </w:t>
      </w:r>
      <w:proofErr w:type="spellStart"/>
      <w:r w:rsidR="0046020D" w:rsidRPr="0084495F">
        <w:rPr>
          <w:rFonts w:cs="Calibri"/>
        </w:rPr>
        <w:t>HFrEF</w:t>
      </w:r>
      <w:proofErr w:type="spellEnd"/>
      <w:r w:rsidR="0046020D" w:rsidRPr="0084495F">
        <w:rPr>
          <w:rFonts w:cs="Calibri"/>
        </w:rPr>
        <w:t xml:space="preserve"> trials DAPA-HF and EMPEROR-Reduced), </w:t>
      </w:r>
      <w:r w:rsidRPr="0084495F">
        <w:t xml:space="preserve">given it </w:t>
      </w:r>
      <w:r w:rsidR="007B7309" w:rsidRPr="0084495F">
        <w:t>enrolled</w:t>
      </w:r>
      <w:r w:rsidRPr="0084495F">
        <w:t xml:space="preserve"> patients who were stabilised following a recent </w:t>
      </w:r>
      <w:r w:rsidR="00D01F5F" w:rsidRPr="0084495F">
        <w:t xml:space="preserve">acute </w:t>
      </w:r>
      <w:r w:rsidRPr="0084495F">
        <w:t>decompensation event.</w:t>
      </w:r>
      <w:r w:rsidR="002D40C0" w:rsidRPr="0084495F">
        <w:t xml:space="preserve"> </w:t>
      </w:r>
      <w:r w:rsidR="00764C0F" w:rsidRPr="0084495F">
        <w:t xml:space="preserve">The PBAC considered the </w:t>
      </w:r>
      <w:r w:rsidR="007B7309" w:rsidRPr="0084495F">
        <w:t xml:space="preserve">median </w:t>
      </w:r>
      <w:r w:rsidR="00764C0F" w:rsidRPr="0084495F">
        <w:t>duration of follow-up</w:t>
      </w:r>
      <w:r w:rsidR="007B7309" w:rsidRPr="0084495F">
        <w:t xml:space="preserve"> in the trial</w:t>
      </w:r>
      <w:r w:rsidR="00764C0F" w:rsidRPr="0084495F">
        <w:t xml:space="preserve">, at 10.8 months, was short for a therapy intended for chronic usage, but </w:t>
      </w:r>
      <w:r w:rsidR="00D01F5F" w:rsidRPr="0084495F">
        <w:t>acknowledg</w:t>
      </w:r>
      <w:r w:rsidR="00DB5318" w:rsidRPr="0084495F">
        <w:t>ed this was due to the high-</w:t>
      </w:r>
      <w:r w:rsidR="00764C0F" w:rsidRPr="0084495F">
        <w:t>risk population targeted</w:t>
      </w:r>
      <w:r w:rsidR="007B7309" w:rsidRPr="0084495F">
        <w:t xml:space="preserve"> who experienced</w:t>
      </w:r>
      <w:r w:rsidR="00764C0F" w:rsidRPr="0084495F">
        <w:t xml:space="preserve"> high event </w:t>
      </w:r>
      <w:r w:rsidR="00D01F5F" w:rsidRPr="0084495F">
        <w:t xml:space="preserve">rates, in the context of an </w:t>
      </w:r>
      <w:r w:rsidRPr="0084495F">
        <w:t>event-driven trial.</w:t>
      </w:r>
    </w:p>
    <w:p w14:paraId="6CAD5077" w14:textId="02B10662" w:rsidR="00842AE9" w:rsidRPr="0084495F" w:rsidRDefault="00764C0F" w:rsidP="00764C0F">
      <w:pPr>
        <w:pStyle w:val="ExecSumBodyText"/>
        <w:rPr>
          <w:rFonts w:cs="Calibri"/>
        </w:rPr>
      </w:pPr>
      <w:r w:rsidRPr="0084495F">
        <w:rPr>
          <w:rFonts w:cs="Calibri"/>
        </w:rPr>
        <w:t xml:space="preserve">The PBAC considered that the magnitude of benefit associated with vericiguat plus SoC in the VICTORIA ITT population was </w:t>
      </w:r>
      <w:r w:rsidR="00164016" w:rsidRPr="0084495F">
        <w:rPr>
          <w:rFonts w:cs="Calibri"/>
        </w:rPr>
        <w:t>modest</w:t>
      </w:r>
      <w:r w:rsidRPr="0084495F">
        <w:rPr>
          <w:rFonts w:cs="Calibri"/>
        </w:rPr>
        <w:t xml:space="preserve"> and primarily driven by differences in the rate of hospitalisation for heart failure. </w:t>
      </w:r>
      <w:r w:rsidR="00105E1B" w:rsidRPr="0084495F">
        <w:rPr>
          <w:rFonts w:cs="Calibri"/>
        </w:rPr>
        <w:t>The PBAC noted that the absolute risk reduction</w:t>
      </w:r>
      <w:r w:rsidR="00BB2648" w:rsidRPr="0084495F">
        <w:rPr>
          <w:rFonts w:cs="Calibri"/>
        </w:rPr>
        <w:t xml:space="preserve"> (ARR)</w:t>
      </w:r>
      <w:r w:rsidR="00105E1B" w:rsidRPr="0084495F">
        <w:rPr>
          <w:rFonts w:cs="Calibri"/>
        </w:rPr>
        <w:t xml:space="preserve"> for the</w:t>
      </w:r>
      <w:r w:rsidR="003873E2" w:rsidRPr="0084495F">
        <w:rPr>
          <w:rFonts w:cs="Calibri"/>
        </w:rPr>
        <w:t xml:space="preserve"> primary outcome</w:t>
      </w:r>
      <w:r w:rsidR="00BB2648" w:rsidRPr="0084495F">
        <w:rPr>
          <w:rFonts w:cs="Calibri"/>
        </w:rPr>
        <w:t>,</w:t>
      </w:r>
      <w:r w:rsidR="00105E1B" w:rsidRPr="0084495F">
        <w:rPr>
          <w:rFonts w:cs="Calibri"/>
        </w:rPr>
        <w:t xml:space="preserve"> </w:t>
      </w:r>
      <w:r w:rsidR="00BB2648" w:rsidRPr="0084495F">
        <w:rPr>
          <w:rFonts w:cs="Calibri"/>
        </w:rPr>
        <w:t xml:space="preserve">a </w:t>
      </w:r>
      <w:r w:rsidR="00105E1B" w:rsidRPr="0084495F">
        <w:rPr>
          <w:rFonts w:cs="Calibri"/>
        </w:rPr>
        <w:t>composite of time to cardiovascular death or heart failure hospitalisation</w:t>
      </w:r>
      <w:r w:rsidR="00BB2648" w:rsidRPr="0084495F">
        <w:rPr>
          <w:rFonts w:cs="Calibri"/>
        </w:rPr>
        <w:t>,</w:t>
      </w:r>
      <w:r w:rsidR="00105E1B" w:rsidRPr="0084495F">
        <w:rPr>
          <w:rFonts w:cs="Calibri"/>
        </w:rPr>
        <w:t xml:space="preserve"> was 3% (event rate of 35.5% in the vericiguat arm versus 38.5% in the placebo arm) </w:t>
      </w:r>
      <w:r w:rsidR="00B510BC" w:rsidRPr="0084495F">
        <w:rPr>
          <w:rFonts w:cs="Calibri"/>
        </w:rPr>
        <w:t>which</w:t>
      </w:r>
      <w:r w:rsidR="00824556" w:rsidRPr="0084495F">
        <w:rPr>
          <w:rFonts w:cs="Calibri"/>
        </w:rPr>
        <w:t xml:space="preserve"> was similar </w:t>
      </w:r>
      <w:r w:rsidR="00F97AED" w:rsidRPr="0084495F">
        <w:rPr>
          <w:rFonts w:cs="Calibri"/>
        </w:rPr>
        <w:t xml:space="preserve">in magnitude </w:t>
      </w:r>
      <w:r w:rsidR="00824556" w:rsidRPr="0084495F">
        <w:rPr>
          <w:rFonts w:cs="Calibri"/>
        </w:rPr>
        <w:t xml:space="preserve">to recent trials of other </w:t>
      </w:r>
      <w:r w:rsidR="00B510BC" w:rsidRPr="0084495F">
        <w:rPr>
          <w:rFonts w:cs="Calibri"/>
        </w:rPr>
        <w:t>heart failure</w:t>
      </w:r>
      <w:r w:rsidR="00824556" w:rsidRPr="0084495F">
        <w:rPr>
          <w:rFonts w:cs="Calibri"/>
        </w:rPr>
        <w:t xml:space="preserve"> therapies</w:t>
      </w:r>
      <w:r w:rsidR="005710ED" w:rsidRPr="0084495F">
        <w:rPr>
          <w:rFonts w:cs="Calibri"/>
        </w:rPr>
        <w:t xml:space="preserve"> (DAPA-HF</w:t>
      </w:r>
      <w:r w:rsidR="00A106D6" w:rsidRPr="0084495F">
        <w:rPr>
          <w:rFonts w:cs="Calibri"/>
        </w:rPr>
        <w:t xml:space="preserve"> and</w:t>
      </w:r>
      <w:r w:rsidR="00BB2648" w:rsidRPr="0084495F">
        <w:rPr>
          <w:rFonts w:cs="Calibri"/>
        </w:rPr>
        <w:t xml:space="preserve"> </w:t>
      </w:r>
      <w:r w:rsidR="005710ED" w:rsidRPr="0084495F">
        <w:rPr>
          <w:rFonts w:cs="Calibri"/>
        </w:rPr>
        <w:t>EMPA-</w:t>
      </w:r>
      <w:r w:rsidR="00BB2648" w:rsidRPr="0084495F">
        <w:rPr>
          <w:rFonts w:cs="Calibri"/>
        </w:rPr>
        <w:t>Reduced had</w:t>
      </w:r>
      <w:r w:rsidR="005710ED" w:rsidRPr="0084495F">
        <w:rPr>
          <w:rFonts w:cs="Calibri"/>
        </w:rPr>
        <w:t xml:space="preserve"> approximately 5</w:t>
      </w:r>
      <w:r w:rsidR="00BB2648" w:rsidRPr="0084495F">
        <w:rPr>
          <w:rFonts w:cs="Calibri"/>
        </w:rPr>
        <w:t>% ARR)</w:t>
      </w:r>
      <w:r w:rsidR="00B510BC" w:rsidRPr="0084495F">
        <w:rPr>
          <w:rFonts w:cs="Calibri"/>
        </w:rPr>
        <w:t>, but</w:t>
      </w:r>
      <w:r w:rsidR="00F97AED" w:rsidRPr="0084495F">
        <w:rPr>
          <w:rFonts w:cs="Calibri"/>
        </w:rPr>
        <w:t xml:space="preserve"> this</w:t>
      </w:r>
      <w:r w:rsidR="00B510BC" w:rsidRPr="0084495F">
        <w:rPr>
          <w:rFonts w:cs="Calibri"/>
        </w:rPr>
        <w:t xml:space="preserve"> was in the context of a higher risk population as evidenced by the high event rate in the placebo arm. </w:t>
      </w:r>
      <w:r w:rsidRPr="0084495F">
        <w:rPr>
          <w:rFonts w:cs="Calibri"/>
        </w:rPr>
        <w:t xml:space="preserve">Overall, the PBAC considered that the clinical data indicated modest </w:t>
      </w:r>
      <w:r w:rsidR="00842AE9" w:rsidRPr="0084495F">
        <w:rPr>
          <w:rFonts w:cs="Calibri"/>
        </w:rPr>
        <w:t xml:space="preserve">efficacy in </w:t>
      </w:r>
      <w:r w:rsidR="0001271C" w:rsidRPr="0084495F">
        <w:rPr>
          <w:rFonts w:cs="Calibri"/>
        </w:rPr>
        <w:t>high</w:t>
      </w:r>
      <w:r w:rsidR="00DB5318" w:rsidRPr="0084495F">
        <w:rPr>
          <w:rFonts w:cs="Calibri"/>
        </w:rPr>
        <w:t>-</w:t>
      </w:r>
      <w:r w:rsidR="0001271C" w:rsidRPr="0084495F">
        <w:rPr>
          <w:rFonts w:cs="Calibri"/>
        </w:rPr>
        <w:t xml:space="preserve">risk patients in </w:t>
      </w:r>
      <w:r w:rsidR="00D01F5F" w:rsidRPr="0084495F">
        <w:rPr>
          <w:rFonts w:cs="Calibri"/>
        </w:rPr>
        <w:t xml:space="preserve">a </w:t>
      </w:r>
      <w:proofErr w:type="gramStart"/>
      <w:r w:rsidR="00842AE9" w:rsidRPr="0084495F">
        <w:rPr>
          <w:rFonts w:cs="Calibri"/>
        </w:rPr>
        <w:t>late</w:t>
      </w:r>
      <w:r w:rsidR="00D01F5F" w:rsidRPr="0084495F">
        <w:rPr>
          <w:rFonts w:cs="Calibri"/>
        </w:rPr>
        <w:t>-</w:t>
      </w:r>
      <w:r w:rsidR="00842AE9" w:rsidRPr="0084495F">
        <w:rPr>
          <w:rFonts w:cs="Calibri"/>
        </w:rPr>
        <w:t>line</w:t>
      </w:r>
      <w:proofErr w:type="gramEnd"/>
      <w:r w:rsidR="00D01F5F" w:rsidRPr="0084495F">
        <w:rPr>
          <w:rFonts w:cs="Calibri"/>
        </w:rPr>
        <w:t xml:space="preserve"> of</w:t>
      </w:r>
      <w:r w:rsidR="00842AE9" w:rsidRPr="0084495F">
        <w:rPr>
          <w:rFonts w:cs="Calibri"/>
        </w:rPr>
        <w:t xml:space="preserve"> therapy</w:t>
      </w:r>
      <w:r w:rsidR="00BB2648" w:rsidRPr="0084495F">
        <w:rPr>
          <w:rFonts w:cs="Calibri"/>
        </w:rPr>
        <w:t xml:space="preserve"> in the ITT population</w:t>
      </w:r>
      <w:r w:rsidRPr="0084495F">
        <w:rPr>
          <w:rFonts w:cs="Calibri"/>
        </w:rPr>
        <w:t>.</w:t>
      </w:r>
    </w:p>
    <w:p w14:paraId="78F80F32" w14:textId="7FD2628C" w:rsidR="00CC0EB2" w:rsidRPr="0084495F" w:rsidRDefault="0001271C" w:rsidP="00146E4E">
      <w:pPr>
        <w:pStyle w:val="ExecSumBodyText"/>
        <w:rPr>
          <w:rFonts w:cs="Calibri"/>
        </w:rPr>
      </w:pPr>
      <w:bookmarkStart w:id="38" w:name="_Ref99992574"/>
      <w:r w:rsidRPr="0084495F">
        <w:rPr>
          <w:rFonts w:cs="Calibri"/>
        </w:rPr>
        <w:t>The PBAC considered that the magnitud</w:t>
      </w:r>
      <w:r w:rsidR="00CC0EB2" w:rsidRPr="0084495F">
        <w:rPr>
          <w:rFonts w:cs="Calibri"/>
        </w:rPr>
        <w:t xml:space="preserve">e of the incremental benefit </w:t>
      </w:r>
      <w:r w:rsidR="00756CAF" w:rsidRPr="0084495F">
        <w:rPr>
          <w:rFonts w:cs="Calibri"/>
        </w:rPr>
        <w:t xml:space="preserve">seen in the VICTORIA Trial </w:t>
      </w:r>
      <w:r w:rsidR="00CC0EB2" w:rsidRPr="0084495F">
        <w:rPr>
          <w:rFonts w:cs="Calibri"/>
        </w:rPr>
        <w:t>may overestimate</w:t>
      </w:r>
      <w:r w:rsidR="00756CAF" w:rsidRPr="0084495F">
        <w:rPr>
          <w:rFonts w:cs="Calibri"/>
        </w:rPr>
        <w:t xml:space="preserve"> the potential benefit in the proposed PBS </w:t>
      </w:r>
      <w:proofErr w:type="gramStart"/>
      <w:r w:rsidR="00756CAF" w:rsidRPr="0084495F">
        <w:rPr>
          <w:rFonts w:cs="Calibri"/>
        </w:rPr>
        <w:t xml:space="preserve">population </w:t>
      </w:r>
      <w:r w:rsidR="00CC0EB2" w:rsidRPr="0084495F">
        <w:rPr>
          <w:rFonts w:cs="Calibri"/>
        </w:rPr>
        <w:t xml:space="preserve"> given</w:t>
      </w:r>
      <w:proofErr w:type="gramEnd"/>
      <w:r w:rsidR="00CC0EB2" w:rsidRPr="0084495F">
        <w:rPr>
          <w:rFonts w:cs="Calibri"/>
        </w:rPr>
        <w:t>:</w:t>
      </w:r>
      <w:bookmarkEnd w:id="38"/>
    </w:p>
    <w:p w14:paraId="4CEFB693" w14:textId="3B7B593C" w:rsidR="00CC0EB2" w:rsidRPr="0084495F" w:rsidRDefault="00A373D1" w:rsidP="00CC0EB2">
      <w:pPr>
        <w:pStyle w:val="ExecSumBodyText"/>
        <w:numPr>
          <w:ilvl w:val="1"/>
          <w:numId w:val="9"/>
        </w:numPr>
        <w:ind w:left="1077" w:hanging="357"/>
        <w:contextualSpacing/>
        <w:rPr>
          <w:rFonts w:cs="Calibri"/>
        </w:rPr>
      </w:pPr>
      <w:r w:rsidRPr="0084495F">
        <w:rPr>
          <w:rFonts w:cs="Calibri"/>
        </w:rPr>
        <w:t>T</w:t>
      </w:r>
      <w:r w:rsidR="00224686" w:rsidRPr="0084495F">
        <w:rPr>
          <w:rFonts w:cs="Calibri"/>
        </w:rPr>
        <w:t xml:space="preserve">here were key differences between the trial population and the likely </w:t>
      </w:r>
      <w:r w:rsidR="00842AE9" w:rsidRPr="0084495F">
        <w:rPr>
          <w:rFonts w:cs="Calibri"/>
        </w:rPr>
        <w:t>PBS population</w:t>
      </w:r>
      <w:r w:rsidR="00591FFC" w:rsidRPr="0084495F">
        <w:rPr>
          <w:rFonts w:cs="Calibri"/>
        </w:rPr>
        <w:t xml:space="preserve"> in terms of </w:t>
      </w:r>
      <w:r w:rsidR="007B7309" w:rsidRPr="0084495F">
        <w:rPr>
          <w:rFonts w:cs="Calibri"/>
        </w:rPr>
        <w:t xml:space="preserve">baseline </w:t>
      </w:r>
      <w:r w:rsidR="00591FFC" w:rsidRPr="0084495F">
        <w:rPr>
          <w:rFonts w:cs="Calibri"/>
        </w:rPr>
        <w:t>NT-</w:t>
      </w:r>
      <w:proofErr w:type="spellStart"/>
      <w:r w:rsidR="00591FFC" w:rsidRPr="0084495F">
        <w:rPr>
          <w:rFonts w:cs="Calibri"/>
        </w:rPr>
        <w:t>proBNP</w:t>
      </w:r>
      <w:proofErr w:type="spellEnd"/>
      <w:r w:rsidR="00591FFC" w:rsidRPr="0084495F">
        <w:rPr>
          <w:rFonts w:cs="Calibri"/>
        </w:rPr>
        <w:t xml:space="preserve">, age, gender, eGFR </w:t>
      </w:r>
      <w:r w:rsidR="007B7309" w:rsidRPr="0084495F">
        <w:rPr>
          <w:rFonts w:cs="Calibri"/>
        </w:rPr>
        <w:t xml:space="preserve">and concomitant </w:t>
      </w:r>
      <w:r w:rsidR="007B7309" w:rsidRPr="0084495F">
        <w:rPr>
          <w:rFonts w:cs="Calibri"/>
        </w:rPr>
        <w:lastRenderedPageBreak/>
        <w:t xml:space="preserve">medicines </w:t>
      </w:r>
      <w:r w:rsidR="00591FFC" w:rsidRPr="0084495F">
        <w:rPr>
          <w:rFonts w:cs="Calibri"/>
        </w:rPr>
        <w:t xml:space="preserve">(as outlined in Paragraph </w:t>
      </w:r>
      <w:r w:rsidR="00591FFC" w:rsidRPr="0084495F">
        <w:rPr>
          <w:rFonts w:cs="Calibri"/>
        </w:rPr>
        <w:fldChar w:fldCharType="begin"/>
      </w:r>
      <w:r w:rsidR="00591FFC" w:rsidRPr="0084495F">
        <w:rPr>
          <w:rFonts w:cs="Calibri"/>
        </w:rPr>
        <w:instrText xml:space="preserve"> REF _Ref99714176 \r \h </w:instrText>
      </w:r>
      <w:r w:rsidR="00591FFC" w:rsidRPr="0084495F">
        <w:rPr>
          <w:rFonts w:cs="Calibri"/>
        </w:rPr>
      </w:r>
      <w:r w:rsidR="00591FFC" w:rsidRPr="0084495F">
        <w:rPr>
          <w:rFonts w:cs="Calibri"/>
        </w:rPr>
        <w:fldChar w:fldCharType="separate"/>
      </w:r>
      <w:r w:rsidR="0084495F" w:rsidRPr="0084495F">
        <w:rPr>
          <w:rFonts w:cs="Calibri"/>
        </w:rPr>
        <w:t>6.8</w:t>
      </w:r>
      <w:r w:rsidR="00591FFC" w:rsidRPr="0084495F">
        <w:rPr>
          <w:rFonts w:cs="Calibri"/>
        </w:rPr>
        <w:fldChar w:fldCharType="end"/>
      </w:r>
      <w:r w:rsidR="00591FFC" w:rsidRPr="0084495F">
        <w:rPr>
          <w:rFonts w:cs="Calibri"/>
        </w:rPr>
        <w:t xml:space="preserve">) which suggest that the </w:t>
      </w:r>
      <w:r w:rsidR="007B7309" w:rsidRPr="0084495F">
        <w:rPr>
          <w:rFonts w:cs="Calibri"/>
        </w:rPr>
        <w:t xml:space="preserve">likely </w:t>
      </w:r>
      <w:r w:rsidR="00591FFC" w:rsidRPr="0084495F">
        <w:rPr>
          <w:rFonts w:cs="Calibri"/>
        </w:rPr>
        <w:t>PBS population may include patients with more severe disease, who may not achieve the same benefits associated with vericiguat observed in the VICTORIA trial</w:t>
      </w:r>
      <w:r w:rsidR="00224686" w:rsidRPr="0084495F">
        <w:rPr>
          <w:rFonts w:cs="Calibri"/>
        </w:rPr>
        <w:t xml:space="preserve">. The PBAC </w:t>
      </w:r>
      <w:r w:rsidR="00591FFC" w:rsidRPr="0084495F">
        <w:rPr>
          <w:rFonts w:cs="Calibri"/>
        </w:rPr>
        <w:t>noted that p</w:t>
      </w:r>
      <w:r w:rsidR="00224686" w:rsidRPr="0084495F">
        <w:rPr>
          <w:rFonts w:cs="Calibri"/>
        </w:rPr>
        <w:t>re-specified subgroup analyses demonstrated that NT-</w:t>
      </w:r>
      <w:proofErr w:type="spellStart"/>
      <w:r w:rsidR="00224686" w:rsidRPr="0084495F">
        <w:rPr>
          <w:rFonts w:cs="Calibri"/>
        </w:rPr>
        <w:t>proBNP</w:t>
      </w:r>
      <w:proofErr w:type="spellEnd"/>
      <w:r w:rsidR="00224686" w:rsidRPr="0084495F">
        <w:rPr>
          <w:rFonts w:cs="Calibri"/>
        </w:rPr>
        <w:t xml:space="preserve"> and age were treatment effect modifiers, with worse outcomes experienced in patients with higher NT-</w:t>
      </w:r>
      <w:proofErr w:type="spellStart"/>
      <w:r w:rsidR="00224686" w:rsidRPr="0084495F">
        <w:rPr>
          <w:rFonts w:cs="Calibri"/>
        </w:rPr>
        <w:t>proBNP</w:t>
      </w:r>
      <w:proofErr w:type="spellEnd"/>
      <w:r w:rsidR="00224686" w:rsidRPr="0084495F">
        <w:rPr>
          <w:rFonts w:cs="Calibri"/>
        </w:rPr>
        <w:t xml:space="preserve"> and older age. </w:t>
      </w:r>
    </w:p>
    <w:p w14:paraId="47F2B504" w14:textId="25A1536D" w:rsidR="00842AE9" w:rsidRPr="0084495F" w:rsidRDefault="00A373D1" w:rsidP="00A373D1">
      <w:pPr>
        <w:pStyle w:val="ExecSumBodyText"/>
        <w:numPr>
          <w:ilvl w:val="1"/>
          <w:numId w:val="9"/>
        </w:numPr>
        <w:ind w:left="1077" w:hanging="357"/>
        <w:rPr>
          <w:rFonts w:cs="Calibri"/>
        </w:rPr>
      </w:pPr>
      <w:r w:rsidRPr="0084495F">
        <w:rPr>
          <w:rFonts w:cs="Calibri"/>
        </w:rPr>
        <w:t>T</w:t>
      </w:r>
      <w:r w:rsidR="00224686" w:rsidRPr="0084495F">
        <w:rPr>
          <w:rFonts w:cs="Calibri"/>
        </w:rPr>
        <w:t xml:space="preserve">he estimated </w:t>
      </w:r>
      <w:r w:rsidR="00224686" w:rsidRPr="0084495F">
        <w:rPr>
          <w:color w:val="000000" w:themeColor="text1"/>
        </w:rPr>
        <w:t>treatment</w:t>
      </w:r>
      <w:r w:rsidR="00224686" w:rsidRPr="0084495F">
        <w:rPr>
          <w:rFonts w:cs="Calibri"/>
        </w:rPr>
        <w:t xml:space="preserve"> effects were based on a population with substantially lower use of </w:t>
      </w:r>
      <w:proofErr w:type="spellStart"/>
      <w:r w:rsidR="00224686" w:rsidRPr="0084495F">
        <w:rPr>
          <w:rFonts w:cs="Calibri"/>
        </w:rPr>
        <w:t>ARNi</w:t>
      </w:r>
      <w:proofErr w:type="spellEnd"/>
      <w:r w:rsidR="00224686" w:rsidRPr="0084495F">
        <w:rPr>
          <w:rFonts w:cs="Calibri"/>
        </w:rPr>
        <w:t xml:space="preserve"> therapies (sacubitril/valsartan) and limited exposure to SGLT2</w:t>
      </w:r>
      <w:r w:rsidR="00CB26D0" w:rsidRPr="0084495F">
        <w:rPr>
          <w:rFonts w:cs="Calibri"/>
        </w:rPr>
        <w:t xml:space="preserve"> </w:t>
      </w:r>
      <w:r w:rsidR="00224686" w:rsidRPr="0084495F">
        <w:rPr>
          <w:rFonts w:cs="Calibri"/>
        </w:rPr>
        <w:t>i</w:t>
      </w:r>
      <w:r w:rsidR="00CB26D0" w:rsidRPr="0084495F">
        <w:rPr>
          <w:rFonts w:cs="Calibri"/>
        </w:rPr>
        <w:t>nhibitors</w:t>
      </w:r>
      <w:r w:rsidR="00224686" w:rsidRPr="0084495F">
        <w:rPr>
          <w:rFonts w:cs="Calibri"/>
        </w:rPr>
        <w:t>, which is no longer reflective of clinical guidelines. The magnitude of benefit associated with the addition of vericiguat to standard therapy including SGLT2 inhibitors is unknown.</w:t>
      </w:r>
    </w:p>
    <w:p w14:paraId="7101CCFC" w14:textId="7A07F575" w:rsidR="00BB2648" w:rsidRPr="0084495F" w:rsidRDefault="00BB2648" w:rsidP="00BB2648">
      <w:pPr>
        <w:pStyle w:val="ExecSumBodyText"/>
        <w:rPr>
          <w:iCs/>
        </w:rPr>
      </w:pPr>
      <w:bookmarkStart w:id="39" w:name="_Ref99993506"/>
      <w:r w:rsidRPr="0084495F">
        <w:rPr>
          <w:iCs/>
        </w:rPr>
        <w:t>The PBAC noted that while the magnitude of the vericiguat treatment effect was larger in the post-hoc Q1-3 NT-</w:t>
      </w:r>
      <w:proofErr w:type="spellStart"/>
      <w:r w:rsidRPr="0084495F">
        <w:rPr>
          <w:iCs/>
        </w:rPr>
        <w:t>proBNP</w:t>
      </w:r>
      <w:proofErr w:type="spellEnd"/>
      <w:r w:rsidRPr="0084495F">
        <w:rPr>
          <w:iCs/>
        </w:rPr>
        <w:t xml:space="preserve"> subgroup</w:t>
      </w:r>
      <w:r w:rsidR="00164016" w:rsidRPr="0084495F">
        <w:rPr>
          <w:iCs/>
        </w:rPr>
        <w:t xml:space="preserve"> tha</w:t>
      </w:r>
      <w:r w:rsidR="00936F22" w:rsidRPr="0084495F">
        <w:rPr>
          <w:iCs/>
        </w:rPr>
        <w:t>n</w:t>
      </w:r>
      <w:r w:rsidR="00164016" w:rsidRPr="0084495F">
        <w:rPr>
          <w:iCs/>
        </w:rPr>
        <w:t xml:space="preserve"> the Q4 subgroup</w:t>
      </w:r>
      <w:r w:rsidRPr="0084495F">
        <w:rPr>
          <w:iCs/>
        </w:rPr>
        <w:t>, there was no formal test for interaction</w:t>
      </w:r>
      <w:r w:rsidR="00936F22" w:rsidRPr="0084495F">
        <w:rPr>
          <w:iCs/>
        </w:rPr>
        <w:t xml:space="preserve"> for </w:t>
      </w:r>
      <w:r w:rsidR="00E070D9" w:rsidRPr="0084495F">
        <w:t>NT-</w:t>
      </w:r>
      <w:proofErr w:type="spellStart"/>
      <w:r w:rsidR="00E070D9" w:rsidRPr="0084495F">
        <w:t>proBNP</w:t>
      </w:r>
      <w:proofErr w:type="spellEnd"/>
      <w:r w:rsidR="00E070D9" w:rsidRPr="0084495F">
        <w:t xml:space="preserve"> Q1-Q3 </w:t>
      </w:r>
      <w:r w:rsidRPr="0084495F">
        <w:rPr>
          <w:iCs/>
        </w:rPr>
        <w:t xml:space="preserve">or adjustments for multiplicity. Also, </w:t>
      </w:r>
      <w:r w:rsidR="00756CAF" w:rsidRPr="0084495F">
        <w:rPr>
          <w:iCs/>
        </w:rPr>
        <w:t xml:space="preserve">the PBAC </w:t>
      </w:r>
      <w:r w:rsidR="00CB10FB" w:rsidRPr="0084495F">
        <w:rPr>
          <w:iCs/>
        </w:rPr>
        <w:t>considered</w:t>
      </w:r>
      <w:r w:rsidR="00756CAF" w:rsidRPr="0084495F">
        <w:rPr>
          <w:iCs/>
        </w:rPr>
        <w:t xml:space="preserve"> that </w:t>
      </w:r>
      <w:r w:rsidRPr="0084495F">
        <w:rPr>
          <w:iCs/>
        </w:rPr>
        <w:t xml:space="preserve">this population </w:t>
      </w:r>
      <w:r w:rsidR="00756CAF" w:rsidRPr="0084495F">
        <w:rPr>
          <w:iCs/>
        </w:rPr>
        <w:t xml:space="preserve">would </w:t>
      </w:r>
      <w:r w:rsidRPr="0084495F">
        <w:rPr>
          <w:iCs/>
        </w:rPr>
        <w:t xml:space="preserve">be </w:t>
      </w:r>
      <w:r w:rsidR="00756CAF" w:rsidRPr="0084495F">
        <w:rPr>
          <w:iCs/>
        </w:rPr>
        <w:t xml:space="preserve">difficult to </w:t>
      </w:r>
      <w:r w:rsidRPr="0084495F">
        <w:rPr>
          <w:iCs/>
        </w:rPr>
        <w:t>adequately identif</w:t>
      </w:r>
      <w:r w:rsidR="00756CAF" w:rsidRPr="0084495F">
        <w:rPr>
          <w:iCs/>
        </w:rPr>
        <w:t>y</w:t>
      </w:r>
      <w:r w:rsidRPr="0084495F">
        <w:rPr>
          <w:iCs/>
        </w:rPr>
        <w:t xml:space="preserve"> in clinical practice, given NT-</w:t>
      </w:r>
      <w:proofErr w:type="spellStart"/>
      <w:r w:rsidRPr="0084495F">
        <w:rPr>
          <w:iCs/>
        </w:rPr>
        <w:t>proBNP</w:t>
      </w:r>
      <w:proofErr w:type="spellEnd"/>
      <w:r w:rsidRPr="0084495F">
        <w:rPr>
          <w:iCs/>
        </w:rPr>
        <w:t xml:space="preserve"> is not routinely measured in Australian clinical practice and is not reimbursed by the MBS for this indication (as outlined in Paragraph 7.4). </w:t>
      </w:r>
      <w:r w:rsidR="00756CAF" w:rsidRPr="0084495F">
        <w:rPr>
          <w:iCs/>
        </w:rPr>
        <w:t xml:space="preserve">The PBAC </w:t>
      </w:r>
      <w:r w:rsidR="00CB10FB" w:rsidRPr="0084495F">
        <w:rPr>
          <w:iCs/>
        </w:rPr>
        <w:t>considered that</w:t>
      </w:r>
      <w:r w:rsidR="00756CAF" w:rsidRPr="0084495F">
        <w:rPr>
          <w:iCs/>
        </w:rPr>
        <w:t xml:space="preserve"> this subgroup may be more readily identified if initiation was restricted to cardiologists, but overall </w:t>
      </w:r>
      <w:r w:rsidRPr="0084495F">
        <w:rPr>
          <w:iCs/>
        </w:rPr>
        <w:t>did</w:t>
      </w:r>
      <w:r w:rsidR="00F27E71" w:rsidRPr="0084495F">
        <w:rPr>
          <w:iCs/>
        </w:rPr>
        <w:t xml:space="preserve"> not</w:t>
      </w:r>
      <w:r w:rsidRPr="0084495F">
        <w:rPr>
          <w:iCs/>
        </w:rPr>
        <w:t xml:space="preserve"> accept this subgroup was an appropriate basis for assessing the clinical or cost effectiveness of vericiguat.</w:t>
      </w:r>
    </w:p>
    <w:p w14:paraId="6A749D16" w14:textId="77777777" w:rsidR="006E34A9" w:rsidRPr="0084495F" w:rsidRDefault="006E34A9" w:rsidP="006E34A9">
      <w:pPr>
        <w:pStyle w:val="ExecSumBodyText"/>
        <w:rPr>
          <w:iCs/>
        </w:rPr>
      </w:pPr>
      <w:r w:rsidRPr="0084495F">
        <w:rPr>
          <w:iCs/>
        </w:rPr>
        <w:t xml:space="preserve">The PBAC considered that the claim of comparable safety was likely reasonable but noted that vericiguat was associated with a slight increase in </w:t>
      </w:r>
      <w:r w:rsidRPr="0084495F">
        <w:t>drug-related adverse events compared with placebo (14.6% versus 11.7%, respectively). Overall, the PBAC considered that vericiguat appeared to be reasonably well tolerated</w:t>
      </w:r>
      <w:r w:rsidRPr="0084495F">
        <w:rPr>
          <w:iCs/>
        </w:rPr>
        <w:t>.</w:t>
      </w:r>
    </w:p>
    <w:p w14:paraId="74928CC2" w14:textId="7F777BB6" w:rsidR="00B5354E" w:rsidRPr="0084495F" w:rsidRDefault="00B5354E" w:rsidP="009B6C78">
      <w:pPr>
        <w:pStyle w:val="ExecSumBodyText"/>
      </w:pPr>
      <w:r w:rsidRPr="0084495F">
        <w:t>The PBAC noted the issues with the economic model that had been raised by the</w:t>
      </w:r>
      <w:r w:rsidRPr="0084495F">
        <w:rPr>
          <w:rFonts w:cs="Calibri"/>
        </w:rPr>
        <w:t xml:space="preserve"> commentary and the ESC</w:t>
      </w:r>
      <w:r w:rsidR="009B6C78" w:rsidRPr="0084495F">
        <w:rPr>
          <w:rFonts w:cs="Calibri"/>
        </w:rPr>
        <w:t xml:space="preserve"> including</w:t>
      </w:r>
      <w:r w:rsidR="009B6C78" w:rsidRPr="0084495F">
        <w:t>:</w:t>
      </w:r>
      <w:bookmarkEnd w:id="39"/>
      <w:r w:rsidRPr="0084495F">
        <w:rPr>
          <w:rFonts w:cs="Calibri"/>
        </w:rPr>
        <w:t xml:space="preserve"> </w:t>
      </w:r>
    </w:p>
    <w:p w14:paraId="352EE10B" w14:textId="73E047CE" w:rsidR="00B5354E" w:rsidRPr="0084495F" w:rsidRDefault="00B5354E" w:rsidP="00520BFB">
      <w:pPr>
        <w:pStyle w:val="ExecSumBodyText"/>
        <w:numPr>
          <w:ilvl w:val="1"/>
          <w:numId w:val="9"/>
        </w:numPr>
        <w:ind w:left="1077" w:hanging="357"/>
        <w:contextualSpacing/>
      </w:pPr>
      <w:r w:rsidRPr="0084495F">
        <w:t xml:space="preserve">The structure of the economic model was overly simplistic as it did not account for progressive nature of heart failure. </w:t>
      </w:r>
    </w:p>
    <w:p w14:paraId="627C327E" w14:textId="5885E333" w:rsidR="00B5354E" w:rsidRPr="0084495F" w:rsidRDefault="00B5354E" w:rsidP="00520BFB">
      <w:pPr>
        <w:pStyle w:val="ExecSumBodyText"/>
        <w:numPr>
          <w:ilvl w:val="1"/>
          <w:numId w:val="9"/>
        </w:numPr>
        <w:ind w:left="1077" w:hanging="357"/>
        <w:contextualSpacing/>
      </w:pPr>
      <w:r w:rsidRPr="0084495F">
        <w:t xml:space="preserve">The transition probabilities estimated in the model (through the use of post-hoc regression analyses and parametric extrapolations) were poorly justified and did not appear to reliably predict observed outcomes during the trial period </w:t>
      </w:r>
      <w:proofErr w:type="gramStart"/>
      <w:r w:rsidRPr="0084495F">
        <w:t>i.e.</w:t>
      </w:r>
      <w:proofErr w:type="gramEnd"/>
      <w:r w:rsidRPr="0084495F">
        <w:t xml:space="preserve"> the model significantly underestimated hospitalisation and mortality events, and over-estimated the mortality benefit associated with vericiguat.</w:t>
      </w:r>
    </w:p>
    <w:p w14:paraId="51AA0143" w14:textId="5AB6E0C3" w:rsidR="00B5354E" w:rsidRPr="0084495F" w:rsidRDefault="00B5354E" w:rsidP="00A231C4">
      <w:pPr>
        <w:pStyle w:val="ExecSumBodyText"/>
        <w:numPr>
          <w:ilvl w:val="1"/>
          <w:numId w:val="9"/>
        </w:numPr>
        <w:ind w:left="1077" w:hanging="357"/>
      </w:pPr>
      <w:r w:rsidRPr="0084495F">
        <w:t xml:space="preserve">The submission assumed perfect adherence and compliance to vericiguat in surviving patients over the 10-year duration of the model (an average treatment duration of 6.67 years). </w:t>
      </w:r>
      <w:r w:rsidR="003454FA" w:rsidRPr="0084495F">
        <w:t xml:space="preserve">This </w:t>
      </w:r>
      <w:r w:rsidRPr="0084495F">
        <w:t>will not reflect persistence in clinical practice and will overestimate the costs and benefits of vericiguat treatment.</w:t>
      </w:r>
    </w:p>
    <w:p w14:paraId="3EC8DAC3" w14:textId="1B704D8E" w:rsidR="00C122EC" w:rsidRPr="0084495F" w:rsidRDefault="00C122EC" w:rsidP="00C4720E">
      <w:pPr>
        <w:pStyle w:val="ExecSumBodyText"/>
      </w:pPr>
      <w:r w:rsidRPr="0084495F">
        <w:t>The PBAC noted that the economic analysis was based on a subgroup of patients defined by NT-</w:t>
      </w:r>
      <w:proofErr w:type="spellStart"/>
      <w:r w:rsidRPr="0084495F">
        <w:t>proBNP</w:t>
      </w:r>
      <w:proofErr w:type="spellEnd"/>
      <w:r w:rsidRPr="0084495F">
        <w:t xml:space="preserve"> ≤</w:t>
      </w:r>
      <w:r w:rsidRPr="0084495F">
        <w:rPr>
          <w:rFonts w:cstheme="minorHAnsi"/>
        </w:rPr>
        <w:t xml:space="preserve">5,314 </w:t>
      </w:r>
      <w:proofErr w:type="spellStart"/>
      <w:r w:rsidRPr="0084495F">
        <w:rPr>
          <w:rFonts w:cstheme="minorHAnsi"/>
        </w:rPr>
        <w:t>pg</w:t>
      </w:r>
      <w:proofErr w:type="spellEnd"/>
      <w:r w:rsidRPr="0084495F">
        <w:rPr>
          <w:rFonts w:cstheme="minorHAnsi"/>
        </w:rPr>
        <w:t xml:space="preserve">/mL </w:t>
      </w:r>
      <w:r w:rsidRPr="0084495F">
        <w:t>(the NT-</w:t>
      </w:r>
      <w:proofErr w:type="spellStart"/>
      <w:r w:rsidRPr="0084495F">
        <w:t>proBNP</w:t>
      </w:r>
      <w:proofErr w:type="spellEnd"/>
      <w:r w:rsidRPr="0084495F">
        <w:t xml:space="preserve"> Q1-Q3 subgroup</w:t>
      </w:r>
      <w:proofErr w:type="gramStart"/>
      <w:r w:rsidRPr="0084495F">
        <w:t>),</w:t>
      </w:r>
      <w:r w:rsidR="00756CAF" w:rsidRPr="0084495F">
        <w:t xml:space="preserve"> </w:t>
      </w:r>
      <w:r w:rsidRPr="0084495F">
        <w:t>and</w:t>
      </w:r>
      <w:proofErr w:type="gramEnd"/>
      <w:r w:rsidRPr="0084495F">
        <w:t xml:space="preserve"> considered this was inappropriate in the absence of a corresponding criterion in the </w:t>
      </w:r>
      <w:r w:rsidRPr="0084495F">
        <w:lastRenderedPageBreak/>
        <w:t xml:space="preserve">restriction to identify these patients. </w:t>
      </w:r>
      <w:r w:rsidR="00A231C4" w:rsidRPr="0084495F">
        <w:t>While the PBAC proposed a narrower restriction identifying stable patients, this was unlikely to correspond</w:t>
      </w:r>
      <w:r w:rsidR="00E718D9" w:rsidRPr="0084495F">
        <w:t xml:space="preserve"> exactly with</w:t>
      </w:r>
      <w:r w:rsidR="00A231C4" w:rsidRPr="0084495F">
        <w:t xml:space="preserve"> the</w:t>
      </w:r>
      <w:r w:rsidR="00B0648B" w:rsidRPr="0084495F">
        <w:t xml:space="preserve"> exclusion of the</w:t>
      </w:r>
      <w:r w:rsidR="00A231C4" w:rsidRPr="0084495F">
        <w:t xml:space="preserve"> Q4 subgroup. </w:t>
      </w:r>
      <w:r w:rsidRPr="0084495F">
        <w:t>Thus, the PBAC considered that the ITT results of the VICTORIA trial should be applied in the model</w:t>
      </w:r>
      <w:r w:rsidR="00747723" w:rsidRPr="0084495F">
        <w:t xml:space="preserve">, which </w:t>
      </w:r>
      <w:r w:rsidRPr="0084495F">
        <w:t xml:space="preserve">increased the ICER from </w:t>
      </w:r>
      <w:r w:rsidR="00C4720E" w:rsidRPr="00C4720E">
        <w:t>$35,000 to &lt; $45,000</w:t>
      </w:r>
      <w:r w:rsidRPr="0084495F">
        <w:t xml:space="preserve">/QALY </w:t>
      </w:r>
      <w:r w:rsidR="00520EF8" w:rsidRPr="0084495F">
        <w:t xml:space="preserve">gained </w:t>
      </w:r>
      <w:r w:rsidRPr="0084495F">
        <w:t xml:space="preserve">to </w:t>
      </w:r>
      <w:r w:rsidR="00C4720E" w:rsidRPr="00C4720E">
        <w:t>$55,000 to &lt; $75,000</w:t>
      </w:r>
      <w:r w:rsidRPr="0084495F">
        <w:t xml:space="preserve">/QALY </w:t>
      </w:r>
      <w:r w:rsidR="00520EF8" w:rsidRPr="0084495F">
        <w:t xml:space="preserve">gained </w:t>
      </w:r>
      <w:r w:rsidRPr="0084495F">
        <w:t xml:space="preserve">(refer to </w:t>
      </w:r>
      <w:r w:rsidRPr="0084495F">
        <w:fldChar w:fldCharType="begin"/>
      </w:r>
      <w:r w:rsidRPr="0084495F">
        <w:instrText xml:space="preserve"> REF _Ref96002184 \h  \* MERGEFORMAT </w:instrText>
      </w:r>
      <w:r w:rsidRPr="0084495F">
        <w:fldChar w:fldCharType="separate"/>
      </w:r>
      <w:r w:rsidR="0084495F" w:rsidRPr="0084495F">
        <w:t>Table 13</w:t>
      </w:r>
      <w:r w:rsidRPr="0084495F">
        <w:fldChar w:fldCharType="end"/>
      </w:r>
      <w:r w:rsidRPr="0084495F">
        <w:t xml:space="preserve">).  </w:t>
      </w:r>
    </w:p>
    <w:p w14:paraId="7165BD1E" w14:textId="3E5C078B" w:rsidR="00E95D18" w:rsidRPr="0084495F" w:rsidRDefault="00C122EC" w:rsidP="00FE2DF0">
      <w:pPr>
        <w:pStyle w:val="ExecSumBodyText"/>
      </w:pPr>
      <w:r w:rsidRPr="0084495F">
        <w:t xml:space="preserve">The PBAC </w:t>
      </w:r>
      <w:r w:rsidRPr="0084495F">
        <w:rPr>
          <w:rFonts w:cs="Calibri"/>
        </w:rPr>
        <w:t>considered</w:t>
      </w:r>
      <w:r w:rsidRPr="0084495F">
        <w:t xml:space="preserve"> that an ICER of </w:t>
      </w:r>
      <w:r w:rsidR="00C4720E" w:rsidRPr="00C4720E">
        <w:t>$55,000 to &lt; $75,000</w:t>
      </w:r>
      <w:r w:rsidR="00747723" w:rsidRPr="0084495F">
        <w:t>/QALY</w:t>
      </w:r>
      <w:r w:rsidRPr="0084495F">
        <w:t xml:space="preserve"> </w:t>
      </w:r>
      <w:r w:rsidR="00520EF8" w:rsidRPr="0084495F">
        <w:t xml:space="preserve">gained </w:t>
      </w:r>
      <w:r w:rsidRPr="0084495F">
        <w:t xml:space="preserve">was </w:t>
      </w:r>
      <w:r w:rsidR="009B6C78" w:rsidRPr="0084495F">
        <w:t>overly</w:t>
      </w:r>
      <w:r w:rsidRPr="0084495F">
        <w:t xml:space="preserve"> high in the context of the </w:t>
      </w:r>
      <w:r w:rsidR="00E95D18" w:rsidRPr="0084495F">
        <w:t>likely overestimated</w:t>
      </w:r>
      <w:r w:rsidRPr="0084495F">
        <w:t xml:space="preserve"> magnitude of mortality benefit </w:t>
      </w:r>
      <w:r w:rsidR="00E95D18" w:rsidRPr="0084495F">
        <w:t xml:space="preserve">(refer to paragraph </w:t>
      </w:r>
      <w:r w:rsidR="00E95D18" w:rsidRPr="0084495F">
        <w:fldChar w:fldCharType="begin"/>
      </w:r>
      <w:r w:rsidR="00E95D18" w:rsidRPr="0084495F">
        <w:instrText xml:space="preserve"> REF _Ref99992574 \r \h </w:instrText>
      </w:r>
      <w:r w:rsidR="00E95D18" w:rsidRPr="0084495F">
        <w:fldChar w:fldCharType="separate"/>
      </w:r>
      <w:r w:rsidR="0084495F" w:rsidRPr="0084495F">
        <w:t>7.10</w:t>
      </w:r>
      <w:r w:rsidR="00E95D18" w:rsidRPr="0084495F">
        <w:fldChar w:fldCharType="end"/>
      </w:r>
      <w:r w:rsidR="00E95D18" w:rsidRPr="0084495F">
        <w:t>)</w:t>
      </w:r>
      <w:r w:rsidR="003454FA" w:rsidRPr="0084495F">
        <w:t xml:space="preserve"> and the uncertain estimate of the ICER given the </w:t>
      </w:r>
      <w:proofErr w:type="gramStart"/>
      <w:r w:rsidR="003454FA" w:rsidRPr="0084495F">
        <w:t>aforementioned issues</w:t>
      </w:r>
      <w:proofErr w:type="gramEnd"/>
      <w:r w:rsidR="003454FA" w:rsidRPr="0084495F">
        <w:t xml:space="preserve"> with the model</w:t>
      </w:r>
      <w:r w:rsidR="009B6C78" w:rsidRPr="0084495F">
        <w:t xml:space="preserve">. The PBAC </w:t>
      </w:r>
      <w:r w:rsidRPr="0084495F">
        <w:t xml:space="preserve">advised that an ICER of up to $40,000/QALY </w:t>
      </w:r>
      <w:r w:rsidR="00520EF8" w:rsidRPr="0084495F">
        <w:t xml:space="preserve">gained </w:t>
      </w:r>
      <w:r w:rsidR="00A231C4" w:rsidRPr="0084495F">
        <w:t xml:space="preserve">(using the ITT results of the VICTORIA trial in the model) </w:t>
      </w:r>
      <w:r w:rsidRPr="0084495F">
        <w:t xml:space="preserve">would be required for vericiguat to be considered suitably cost-effective. </w:t>
      </w:r>
      <w:r w:rsidR="00E95D18" w:rsidRPr="0084495F">
        <w:t>The PBAC noted that a price reduction would be required to achieve this</w:t>
      </w:r>
      <w:r w:rsidR="00A231C4" w:rsidRPr="0084495F">
        <w:t xml:space="preserve"> ICER</w:t>
      </w:r>
      <w:r w:rsidR="00E95D18" w:rsidRPr="0084495F">
        <w:t>. In the context of this price reduction, a narrow</w:t>
      </w:r>
      <w:r w:rsidR="00E1364A" w:rsidRPr="0084495F">
        <w:t>er</w:t>
      </w:r>
      <w:r w:rsidR="00E95D18" w:rsidRPr="0084495F">
        <w:t xml:space="preserve"> restriction limiting use to a l</w:t>
      </w:r>
      <w:r w:rsidR="00A231C4" w:rsidRPr="0084495F">
        <w:t>at</w:t>
      </w:r>
      <w:r w:rsidR="00B418C4" w:rsidRPr="0084495F">
        <w:t>e</w:t>
      </w:r>
      <w:r w:rsidR="00A231C4" w:rsidRPr="0084495F">
        <w:t>-line place in therapy and</w:t>
      </w:r>
      <w:r w:rsidR="00E95D18" w:rsidRPr="0084495F">
        <w:t xml:space="preserve"> financial estimates</w:t>
      </w:r>
      <w:r w:rsidR="00A231C4" w:rsidRPr="0084495F">
        <w:t xml:space="preserve"> </w:t>
      </w:r>
      <w:r w:rsidR="00E95D18" w:rsidRPr="0084495F">
        <w:t xml:space="preserve">that reflect this niche </w:t>
      </w:r>
      <w:r w:rsidR="00E1364A" w:rsidRPr="0084495F">
        <w:t>positioning</w:t>
      </w:r>
      <w:r w:rsidR="00E95D18" w:rsidRPr="0084495F">
        <w:t xml:space="preserve">, </w:t>
      </w:r>
      <w:r w:rsidR="00F6778F" w:rsidRPr="0084495F">
        <w:t xml:space="preserve">the PBAC considered that the </w:t>
      </w:r>
      <w:r w:rsidR="00E95D18" w:rsidRPr="0084495F">
        <w:t>submission’s model may provide a</w:t>
      </w:r>
      <w:r w:rsidR="00A231C4" w:rsidRPr="0084495F">
        <w:t>n acceptable</w:t>
      </w:r>
      <w:r w:rsidR="00E95D18" w:rsidRPr="0084495F">
        <w:t xml:space="preserve"> basis for decision making.</w:t>
      </w:r>
    </w:p>
    <w:p w14:paraId="1843D289" w14:textId="6C05481A" w:rsidR="00CC0EB2" w:rsidRPr="0084495F" w:rsidRDefault="0099454A" w:rsidP="00C122EC">
      <w:pPr>
        <w:pStyle w:val="ExecSumBodyText"/>
        <w:rPr>
          <w:rFonts w:cs="Calibri"/>
        </w:rPr>
      </w:pPr>
      <w:bookmarkStart w:id="40" w:name="_Ref99991829"/>
      <w:r w:rsidRPr="0084495F">
        <w:rPr>
          <w:rFonts w:cs="Calibri"/>
        </w:rPr>
        <w:t>The PBAC considered that</w:t>
      </w:r>
      <w:r w:rsidR="009F6D81" w:rsidRPr="0084495F">
        <w:rPr>
          <w:rFonts w:cs="Calibri"/>
        </w:rPr>
        <w:t>, overall,</w:t>
      </w:r>
      <w:r w:rsidRPr="0084495F">
        <w:rPr>
          <w:rFonts w:cs="Calibri"/>
        </w:rPr>
        <w:t xml:space="preserve"> the financial estimates presented in the submission were overestimated and that the following parameters should be amended:</w:t>
      </w:r>
      <w:bookmarkEnd w:id="40"/>
    </w:p>
    <w:p w14:paraId="7E8F6F30" w14:textId="77777777" w:rsidR="00E070D9" w:rsidRPr="009A2717" w:rsidRDefault="00E070D9" w:rsidP="00737745">
      <w:pPr>
        <w:pStyle w:val="ExecSumBodyText"/>
        <w:numPr>
          <w:ilvl w:val="1"/>
          <w:numId w:val="9"/>
        </w:numPr>
        <w:ind w:left="1077" w:hanging="357"/>
        <w:contextualSpacing/>
        <w:rPr>
          <w:rFonts w:cs="Calibri"/>
        </w:rPr>
      </w:pPr>
      <w:r w:rsidRPr="0084495F">
        <w:rPr>
          <w:rFonts w:cs="Calibri"/>
        </w:rPr>
        <w:t xml:space="preserve">the prevalence rate should be increased from 1.5% to 1.85%, to be the mid-point between the submission’s estimate of 1.5% and the alternate estimate discussed in the DUSC advice of 2.2% which was reported in the SHAPE </w:t>
      </w:r>
      <w:proofErr w:type="gramStart"/>
      <w:r w:rsidRPr="0084495F">
        <w:rPr>
          <w:rFonts w:cs="Calibri"/>
        </w:rPr>
        <w:t xml:space="preserve">study </w:t>
      </w:r>
      <w:r w:rsidRPr="0084495F">
        <w:rPr>
          <w:iCs/>
        </w:rPr>
        <w:t>,</w:t>
      </w:r>
      <w:proofErr w:type="gramEnd"/>
      <w:r w:rsidRPr="0084495F">
        <w:rPr>
          <w:iCs/>
        </w:rPr>
        <w:t xml:space="preserve"> a retrospective analysis of heart failure patients in Australian </w:t>
      </w:r>
      <w:r w:rsidRPr="009A2717">
        <w:rPr>
          <w:iCs/>
        </w:rPr>
        <w:t>primary care (Liew 2020).</w:t>
      </w:r>
    </w:p>
    <w:p w14:paraId="396480D7" w14:textId="57F28B9D" w:rsidR="0099454A" w:rsidRPr="0084495F" w:rsidRDefault="004D3CA1" w:rsidP="00520BFB">
      <w:pPr>
        <w:pStyle w:val="ExecSumBodyText"/>
        <w:numPr>
          <w:ilvl w:val="1"/>
          <w:numId w:val="9"/>
        </w:numPr>
        <w:ind w:left="1077" w:hanging="357"/>
        <w:contextualSpacing/>
        <w:rPr>
          <w:rFonts w:cs="Calibri"/>
        </w:rPr>
      </w:pPr>
      <w:r w:rsidRPr="009A2717">
        <w:rPr>
          <w:rFonts w:cs="Calibri"/>
        </w:rPr>
        <w:t>t</w:t>
      </w:r>
      <w:r w:rsidR="00520BFB" w:rsidRPr="009A2717">
        <w:rPr>
          <w:rFonts w:cs="Calibri"/>
        </w:rPr>
        <w:t xml:space="preserve">he uptake rate, which the submission assumed to be </w:t>
      </w:r>
      <w:proofErr w:type="gramStart"/>
      <w:r w:rsidR="009C6175" w:rsidRPr="00C16DA1">
        <w:rPr>
          <w:rFonts w:cs="Calibri"/>
          <w:color w:val="000000"/>
          <w:w w:val="15"/>
          <w:shd w:val="solid" w:color="000000" w:fill="000000"/>
          <w:fitText w:val="-20" w:id="-1501343990"/>
          <w14:textFill>
            <w14:solidFill>
              <w14:srgbClr w14:val="000000">
                <w14:alpha w14:val="100000"/>
              </w14:srgbClr>
            </w14:solidFill>
          </w14:textFill>
        </w:rPr>
        <w:t xml:space="preserve">|  </w:t>
      </w:r>
      <w:r w:rsidR="009C6175" w:rsidRPr="00C16DA1">
        <w:rPr>
          <w:rFonts w:cs="Calibri"/>
          <w:color w:val="000000"/>
          <w:spacing w:val="-69"/>
          <w:w w:val="15"/>
          <w:shd w:val="solid" w:color="000000" w:fill="000000"/>
          <w:fitText w:val="-20" w:id="-1501343990"/>
          <w14:textFill>
            <w14:solidFill>
              <w14:srgbClr w14:val="000000">
                <w14:alpha w14:val="100000"/>
              </w14:srgbClr>
            </w14:solidFill>
          </w14:textFill>
        </w:rPr>
        <w:t>|</w:t>
      </w:r>
      <w:proofErr w:type="gramEnd"/>
      <w:r w:rsidR="00520BFB" w:rsidRPr="009A2717">
        <w:rPr>
          <w:rFonts w:cs="Calibri"/>
        </w:rPr>
        <w:t xml:space="preserve">% in Year 1 increasing to </w:t>
      </w:r>
      <w:r w:rsidR="009C6175" w:rsidRPr="00C16DA1">
        <w:rPr>
          <w:rFonts w:cs="Calibri"/>
          <w:color w:val="000000"/>
          <w:w w:val="15"/>
          <w:shd w:val="solid" w:color="000000" w:fill="000000"/>
          <w:fitText w:val="-20" w:id="-1501343989"/>
          <w14:textFill>
            <w14:solidFill>
              <w14:srgbClr w14:val="000000">
                <w14:alpha w14:val="100000"/>
              </w14:srgbClr>
            </w14:solidFill>
          </w14:textFill>
        </w:rPr>
        <w:t xml:space="preserve">|  </w:t>
      </w:r>
      <w:r w:rsidR="009C6175" w:rsidRPr="00C16DA1">
        <w:rPr>
          <w:rFonts w:cs="Calibri"/>
          <w:color w:val="000000"/>
          <w:spacing w:val="-69"/>
          <w:w w:val="15"/>
          <w:shd w:val="solid" w:color="000000" w:fill="000000"/>
          <w:fitText w:val="-20" w:id="-1501343989"/>
          <w14:textFill>
            <w14:solidFill>
              <w14:srgbClr w14:val="000000">
                <w14:alpha w14:val="100000"/>
              </w14:srgbClr>
            </w14:solidFill>
          </w14:textFill>
        </w:rPr>
        <w:t>|</w:t>
      </w:r>
      <w:r w:rsidR="00520BFB" w:rsidRPr="009A2717">
        <w:rPr>
          <w:rFonts w:cs="Calibri"/>
        </w:rPr>
        <w:t>% in Year 6</w:t>
      </w:r>
      <w:r w:rsidRPr="009A2717">
        <w:rPr>
          <w:rFonts w:cs="Calibri"/>
        </w:rPr>
        <w:t>,</w:t>
      </w:r>
      <w:r w:rsidR="00520BFB" w:rsidRPr="009A2717">
        <w:rPr>
          <w:rFonts w:cs="Calibri"/>
        </w:rPr>
        <w:t xml:space="preserve"> based on a clinician survey. </w:t>
      </w:r>
      <w:r w:rsidR="001C3482" w:rsidRPr="009A2717">
        <w:rPr>
          <w:iCs/>
        </w:rPr>
        <w:t xml:space="preserve">The PBAC considered vericiguat would be used after SGLT2 inhibitors in the treatment </w:t>
      </w:r>
      <w:proofErr w:type="gramStart"/>
      <w:r w:rsidR="001C3482" w:rsidRPr="009A2717">
        <w:rPr>
          <w:iCs/>
        </w:rPr>
        <w:t>al</w:t>
      </w:r>
      <w:r w:rsidR="001C3482" w:rsidRPr="0084495F">
        <w:rPr>
          <w:iCs/>
        </w:rPr>
        <w:t>gorithm,</w:t>
      </w:r>
      <w:r w:rsidR="002A7136" w:rsidRPr="0084495F">
        <w:rPr>
          <w:iCs/>
        </w:rPr>
        <w:t xml:space="preserve"> and</w:t>
      </w:r>
      <w:proofErr w:type="gramEnd"/>
      <w:r w:rsidR="002A7136" w:rsidRPr="0084495F">
        <w:rPr>
          <w:iCs/>
        </w:rPr>
        <w:t xml:space="preserve"> noted that the submission</w:t>
      </w:r>
      <w:r w:rsidR="0081612A" w:rsidRPr="0084495F">
        <w:rPr>
          <w:iCs/>
        </w:rPr>
        <w:t xml:space="preserve"> had not accounted for this place in therapy given </w:t>
      </w:r>
      <w:r w:rsidR="0081612A" w:rsidRPr="0084495F">
        <w:t xml:space="preserve">the estimates only included the proportion of patients treated with an </w:t>
      </w:r>
      <w:proofErr w:type="spellStart"/>
      <w:r w:rsidR="0081612A" w:rsidRPr="0084495F">
        <w:t>ACEi</w:t>
      </w:r>
      <w:proofErr w:type="spellEnd"/>
      <w:r w:rsidR="0081612A" w:rsidRPr="0084495F">
        <w:t>/ARB/</w:t>
      </w:r>
      <w:proofErr w:type="spellStart"/>
      <w:r w:rsidR="0081612A" w:rsidRPr="0084495F">
        <w:t>ARNi</w:t>
      </w:r>
      <w:proofErr w:type="spellEnd"/>
      <w:r w:rsidR="0081612A" w:rsidRPr="0084495F">
        <w:t xml:space="preserve"> (90%).</w:t>
      </w:r>
      <w:r w:rsidR="0081612A" w:rsidRPr="0084495F">
        <w:rPr>
          <w:rFonts w:cs="Calibri"/>
        </w:rPr>
        <w:t xml:space="preserve"> Overall, the PBAC considered that vericiguat would </w:t>
      </w:r>
      <w:r w:rsidR="002A7136" w:rsidRPr="0084495F">
        <w:rPr>
          <w:iCs/>
        </w:rPr>
        <w:t>have</w:t>
      </w:r>
      <w:r w:rsidR="0081612A" w:rsidRPr="0084495F">
        <w:rPr>
          <w:iCs/>
        </w:rPr>
        <w:t xml:space="preserve"> a very small, niche place in therapy</w:t>
      </w:r>
      <w:r w:rsidR="0081612A" w:rsidRPr="0084495F">
        <w:rPr>
          <w:rFonts w:cs="Calibri"/>
        </w:rPr>
        <w:t xml:space="preserve"> </w:t>
      </w:r>
      <w:r w:rsidR="00A231C4" w:rsidRPr="0084495F">
        <w:rPr>
          <w:rFonts w:cs="Calibri"/>
        </w:rPr>
        <w:t xml:space="preserve">with the restriction </w:t>
      </w:r>
      <w:r w:rsidR="00351341" w:rsidRPr="0084495F">
        <w:rPr>
          <w:rFonts w:cs="Calibri"/>
        </w:rPr>
        <w:t>lim</w:t>
      </w:r>
      <w:r w:rsidR="0081612A" w:rsidRPr="0084495F">
        <w:rPr>
          <w:rFonts w:cs="Calibri"/>
        </w:rPr>
        <w:t>it</w:t>
      </w:r>
      <w:r w:rsidR="00A231C4" w:rsidRPr="0084495F">
        <w:rPr>
          <w:rFonts w:cs="Calibri"/>
        </w:rPr>
        <w:t>ing</w:t>
      </w:r>
      <w:r w:rsidR="0081612A" w:rsidRPr="0084495F">
        <w:rPr>
          <w:rFonts w:cs="Calibri"/>
        </w:rPr>
        <w:t xml:space="preserve"> initiation to cardiologists. </w:t>
      </w:r>
      <w:r w:rsidR="002A7136" w:rsidRPr="0084495F">
        <w:rPr>
          <w:rFonts w:cs="Calibri"/>
        </w:rPr>
        <w:t xml:space="preserve">Further, </w:t>
      </w:r>
      <w:r w:rsidR="009C7A61" w:rsidRPr="0084495F">
        <w:rPr>
          <w:rFonts w:cs="Calibri"/>
        </w:rPr>
        <w:t xml:space="preserve">the target population will comprise </w:t>
      </w:r>
      <w:r w:rsidR="002A7136" w:rsidRPr="0084495F">
        <w:rPr>
          <w:rFonts w:cs="Calibri"/>
        </w:rPr>
        <w:t xml:space="preserve">patients </w:t>
      </w:r>
      <w:r w:rsidR="009C7A61" w:rsidRPr="0084495F">
        <w:rPr>
          <w:rFonts w:cs="Calibri"/>
        </w:rPr>
        <w:t>receiving</w:t>
      </w:r>
      <w:r w:rsidR="00747723" w:rsidRPr="0084495F">
        <w:rPr>
          <w:rFonts w:cs="Calibri"/>
        </w:rPr>
        <w:t xml:space="preserve"> multiple other cardiovascular medicine</w:t>
      </w:r>
      <w:r w:rsidR="002A7136" w:rsidRPr="0084495F">
        <w:rPr>
          <w:rFonts w:cs="Calibri"/>
        </w:rPr>
        <w:t xml:space="preserve">s </w:t>
      </w:r>
      <w:r w:rsidR="009C7A61" w:rsidRPr="0084495F">
        <w:rPr>
          <w:rFonts w:cs="Calibri"/>
        </w:rPr>
        <w:t>who</w:t>
      </w:r>
      <w:r w:rsidR="002A7136" w:rsidRPr="0084495F">
        <w:rPr>
          <w:rFonts w:cs="Calibri"/>
        </w:rPr>
        <w:t xml:space="preserve"> may be reluctant to add another </w:t>
      </w:r>
      <w:r w:rsidR="009C7A61" w:rsidRPr="0084495F">
        <w:rPr>
          <w:rFonts w:cs="Calibri"/>
        </w:rPr>
        <w:t>therapy</w:t>
      </w:r>
      <w:r w:rsidR="002A7136" w:rsidRPr="0084495F">
        <w:rPr>
          <w:rFonts w:cs="Calibri"/>
        </w:rPr>
        <w:t xml:space="preserve">. </w:t>
      </w:r>
      <w:r w:rsidR="00351341" w:rsidRPr="0084495F">
        <w:rPr>
          <w:rFonts w:cs="Calibri"/>
        </w:rPr>
        <w:t xml:space="preserve">The PBAC considered that </w:t>
      </w:r>
      <w:r w:rsidR="00E070D9" w:rsidRPr="0084495F">
        <w:rPr>
          <w:rFonts w:cs="Calibri"/>
        </w:rPr>
        <w:t>a substantially lower</w:t>
      </w:r>
      <w:r w:rsidR="00351341" w:rsidRPr="0084495F">
        <w:rPr>
          <w:rFonts w:cs="Calibri"/>
        </w:rPr>
        <w:t xml:space="preserve"> uptake rate would be </w:t>
      </w:r>
      <w:r w:rsidR="00E070D9" w:rsidRPr="0084495F">
        <w:rPr>
          <w:rFonts w:cs="Calibri"/>
        </w:rPr>
        <w:t>required</w:t>
      </w:r>
      <w:r w:rsidR="00351341" w:rsidRPr="0084495F">
        <w:rPr>
          <w:rFonts w:cs="Calibri"/>
        </w:rPr>
        <w:t>.</w:t>
      </w:r>
    </w:p>
    <w:p w14:paraId="2ACAAFBA" w14:textId="48065720" w:rsidR="00520BFB" w:rsidRPr="0084495F" w:rsidRDefault="00520BFB" w:rsidP="00520BFB">
      <w:pPr>
        <w:pStyle w:val="ExecSumBodyText"/>
        <w:numPr>
          <w:ilvl w:val="1"/>
          <w:numId w:val="9"/>
        </w:numPr>
        <w:ind w:left="1077" w:hanging="357"/>
        <w:contextualSpacing/>
        <w:rPr>
          <w:rFonts w:cs="Calibri"/>
        </w:rPr>
      </w:pPr>
      <w:r w:rsidRPr="0084495F">
        <w:rPr>
          <w:rFonts w:cs="Calibri"/>
        </w:rPr>
        <w:t xml:space="preserve">the proportion of patients with a worsening heart failure event (26.6%) was likely overestimated </w:t>
      </w:r>
      <w:r w:rsidRPr="0084495F">
        <w:t>given the narrower restriction</w:t>
      </w:r>
      <w:r w:rsidR="001C3482" w:rsidRPr="0084495F">
        <w:t xml:space="preserve"> outlined in Paragraph</w:t>
      </w:r>
      <w:r w:rsidR="009C7A61" w:rsidRPr="0084495F">
        <w:t xml:space="preserve"> </w:t>
      </w:r>
      <w:r w:rsidR="009C7A61" w:rsidRPr="0084495F">
        <w:fldChar w:fldCharType="begin"/>
      </w:r>
      <w:r w:rsidR="009C7A61" w:rsidRPr="0084495F">
        <w:instrText xml:space="preserve"> REF _Ref100061268 \r \h </w:instrText>
      </w:r>
      <w:r w:rsidR="009C7A61" w:rsidRPr="0084495F">
        <w:fldChar w:fldCharType="separate"/>
      </w:r>
      <w:r w:rsidR="0084495F" w:rsidRPr="0084495F">
        <w:t>7.6</w:t>
      </w:r>
      <w:r w:rsidR="009C7A61" w:rsidRPr="0084495F">
        <w:fldChar w:fldCharType="end"/>
      </w:r>
      <w:r w:rsidR="009C7A61" w:rsidRPr="0084495F">
        <w:t>)</w:t>
      </w:r>
      <w:r w:rsidR="001C3482" w:rsidRPr="0084495F">
        <w:t xml:space="preserve">, </w:t>
      </w:r>
      <w:r w:rsidRPr="0084495F">
        <w:t xml:space="preserve">which </w:t>
      </w:r>
      <w:r w:rsidR="001C3482" w:rsidRPr="0084495F">
        <w:t xml:space="preserve">specifies </w:t>
      </w:r>
      <w:r w:rsidRPr="0084495F">
        <w:t>timeframes for the decompensation event</w:t>
      </w:r>
      <w:r w:rsidR="004D3CA1" w:rsidRPr="0084495F">
        <w:t xml:space="preserve">. </w:t>
      </w:r>
      <w:r w:rsidR="002A7136" w:rsidRPr="0084495F">
        <w:t xml:space="preserve">The PBAC noted that the submission had tested this parameter </w:t>
      </w:r>
      <w:r w:rsidR="00990FA8" w:rsidRPr="0084495F">
        <w:rPr>
          <w:rFonts w:cstheme="minorHAnsi"/>
        </w:rPr>
        <w:t>in sensitivity analyse</w:t>
      </w:r>
      <w:r w:rsidR="002A7136" w:rsidRPr="0084495F">
        <w:rPr>
          <w:rFonts w:cstheme="minorHAnsi"/>
        </w:rPr>
        <w:t xml:space="preserve">s, using lower and upper limits of 10.1% and 27.0% based on the results of a review of published literature from 2000–2016 assessing the re-admission rate (including those for HF) following a cardiovascular hospitalisation in the Australian setting </w:t>
      </w:r>
      <w:r w:rsidR="002A7136" w:rsidRPr="0084495F">
        <w:rPr>
          <w:rFonts w:cstheme="minorHAnsi"/>
        </w:rPr>
        <w:fldChar w:fldCharType="begin"/>
      </w:r>
      <w:r w:rsidR="002A7136" w:rsidRPr="0084495F">
        <w:rPr>
          <w:rFonts w:cstheme="minorHAnsi"/>
        </w:rPr>
        <w:instrText xml:space="preserve"> ADDIN EN.CITE &lt;EndNote&gt;&lt;Cite&gt;&lt;Author&gt;Labrosciano&lt;/Author&gt;&lt;Year&gt;2020&lt;/Year&gt;&lt;RecNum&gt;30&lt;/RecNum&gt;&lt;DisplayText&gt;(Labrosciano et al., 2020)&lt;/DisplayText&gt;&lt;record&gt;&lt;rec-number&gt;30&lt;/rec-number&gt;&lt;foreign-keys&gt;&lt;key app="EN" db-id="0zaf2wzas5vztle2ewavfa9nxfrts5x0vape" timestamp="1633569439"&gt;30&lt;/key&gt;&lt;/foreign-keys&gt;&lt;ref-type name="Journal Article"&gt;17&lt;/ref-type&gt;&lt;contributors&gt;&lt;authors&gt;&lt;author&gt;Labrosciano, Clementine&lt;/author&gt;&lt;author&gt;Air, Tracy&lt;/author&gt;&lt;author&gt;Tavella, Rosanna&lt;/author&gt;&lt;author&gt;Beltrame, John F.&lt;/author&gt;&lt;author&gt;Ranasinghe, Isuru&lt;/author&gt;&lt;/authors&gt;&lt;/contributors&gt;&lt;titles&gt;&lt;title&gt;Readmissions following hospitalisations for cardiovascular disease: a scoping review of the Australian literature&lt;/title&gt;&lt;secondary-title&gt;Australian Health Review&lt;/secondary-title&gt;&lt;/titles&gt;&lt;periodical&gt;&lt;full-title&gt;Australian Health Review&lt;/full-title&gt;&lt;/periodical&gt;&lt;pages&gt;93-103&lt;/pages&gt;&lt;volume&gt;44&lt;/volume&gt;&lt;number&gt;1&lt;/number&gt;&lt;dates&gt;&lt;year&gt;2020&lt;/year&gt;&lt;/dates&gt;&lt;urls&gt;&lt;related-urls&gt;&lt;url&gt;https://www.publish.csiro.au/paper/AH18028&lt;/url&gt;&lt;/related-urls&gt;&lt;/urls&gt;&lt;electronic-resource-num&gt;https://doi.org/10.1071/AH18028&lt;/electronic-resource-num&gt;&lt;/record&gt;&lt;/Cite&gt;&lt;/EndNote&gt;</w:instrText>
      </w:r>
      <w:r w:rsidR="002A7136" w:rsidRPr="0084495F">
        <w:rPr>
          <w:rFonts w:cstheme="minorHAnsi"/>
        </w:rPr>
        <w:fldChar w:fldCharType="separate"/>
      </w:r>
      <w:r w:rsidR="002A7136" w:rsidRPr="0084495F">
        <w:rPr>
          <w:rFonts w:cstheme="minorHAnsi"/>
        </w:rPr>
        <w:t>(Labrosciano et al., 2020)</w:t>
      </w:r>
      <w:r w:rsidR="002A7136" w:rsidRPr="0084495F">
        <w:rPr>
          <w:rFonts w:cstheme="minorHAnsi"/>
        </w:rPr>
        <w:fldChar w:fldCharType="end"/>
      </w:r>
      <w:r w:rsidR="00990FA8" w:rsidRPr="0084495F">
        <w:rPr>
          <w:rFonts w:cstheme="minorHAnsi"/>
        </w:rPr>
        <w:t xml:space="preserve">. </w:t>
      </w:r>
      <w:r w:rsidR="004D3CA1" w:rsidRPr="0084495F">
        <w:t xml:space="preserve">The PBAC considered the proportion would be </w:t>
      </w:r>
      <w:r w:rsidR="00965E97" w:rsidRPr="0084495F">
        <w:t xml:space="preserve">less than 26.6% but not </w:t>
      </w:r>
      <w:r w:rsidR="00965E97" w:rsidRPr="0084495F">
        <w:lastRenderedPageBreak/>
        <w:t xml:space="preserve">as low as 10.1%, </w:t>
      </w:r>
      <w:r w:rsidR="00E1364A" w:rsidRPr="0084495F">
        <w:t xml:space="preserve">and that </w:t>
      </w:r>
      <w:r w:rsidR="00965E97" w:rsidRPr="0084495F">
        <w:t>around one-fifth of patients (</w:t>
      </w:r>
      <w:r w:rsidR="004D3CA1" w:rsidRPr="0084495F">
        <w:t>20%</w:t>
      </w:r>
      <w:r w:rsidR="00965E97" w:rsidRPr="0084495F">
        <w:t>)</w:t>
      </w:r>
      <w:r w:rsidR="00E1364A" w:rsidRPr="0084495F">
        <w:t xml:space="preserve"> would be an acceptable proportion for the purposes of financial estimates</w:t>
      </w:r>
      <w:r w:rsidR="004D3CA1" w:rsidRPr="0084495F">
        <w:t xml:space="preserve">. </w:t>
      </w:r>
    </w:p>
    <w:p w14:paraId="58D530B6" w14:textId="03982D06" w:rsidR="00520BFB" w:rsidRPr="0084495F" w:rsidRDefault="00520BFB" w:rsidP="00737745">
      <w:pPr>
        <w:pStyle w:val="ExecSumBodyText"/>
        <w:numPr>
          <w:ilvl w:val="1"/>
          <w:numId w:val="9"/>
        </w:numPr>
        <w:ind w:left="1077" w:hanging="357"/>
        <w:rPr>
          <w:rFonts w:cs="Calibri"/>
        </w:rPr>
      </w:pPr>
      <w:r w:rsidRPr="0084495F">
        <w:rPr>
          <w:rFonts w:cs="Calibri"/>
        </w:rPr>
        <w:t xml:space="preserve">adherence </w:t>
      </w:r>
      <w:r w:rsidR="00351341" w:rsidRPr="0084495F">
        <w:rPr>
          <w:rFonts w:cs="Calibri"/>
        </w:rPr>
        <w:t xml:space="preserve">(assumed to be </w:t>
      </w:r>
      <w:r w:rsidRPr="0084495F">
        <w:rPr>
          <w:rFonts w:cs="Calibri"/>
        </w:rPr>
        <w:t xml:space="preserve">95.3% </w:t>
      </w:r>
      <w:r w:rsidR="00351341" w:rsidRPr="0084495F">
        <w:rPr>
          <w:rFonts w:cs="Calibri"/>
        </w:rPr>
        <w:t>in the submission) w</w:t>
      </w:r>
      <w:r w:rsidR="00CD094F" w:rsidRPr="0084495F">
        <w:rPr>
          <w:rFonts w:cs="Calibri"/>
        </w:rPr>
        <w:t xml:space="preserve">ould </w:t>
      </w:r>
      <w:r w:rsidR="00351341" w:rsidRPr="0084495F">
        <w:rPr>
          <w:rFonts w:cs="Calibri"/>
        </w:rPr>
        <w:t xml:space="preserve">likely be closer to 86% to 89% (as was reported to be </w:t>
      </w:r>
      <w:r w:rsidR="00CD094F" w:rsidRPr="0084495F">
        <w:rPr>
          <w:rFonts w:cs="Calibri"/>
        </w:rPr>
        <w:t>observed with</w:t>
      </w:r>
      <w:r w:rsidRPr="0084495F">
        <w:rPr>
          <w:rFonts w:cs="Calibri"/>
        </w:rPr>
        <w:t xml:space="preserve"> sacubitril/valsartan</w:t>
      </w:r>
      <w:r w:rsidR="00351341" w:rsidRPr="0084495F">
        <w:rPr>
          <w:rFonts w:cs="Calibri"/>
        </w:rPr>
        <w:t>)</w:t>
      </w:r>
      <w:r w:rsidRPr="0084495F">
        <w:rPr>
          <w:rFonts w:cs="Calibri"/>
        </w:rPr>
        <w:t xml:space="preserve"> </w:t>
      </w:r>
    </w:p>
    <w:p w14:paraId="20947178" w14:textId="00061031" w:rsidR="00B5354E" w:rsidRPr="0084495F" w:rsidRDefault="00351341" w:rsidP="00351341">
      <w:pPr>
        <w:pStyle w:val="ExecSumBodyText"/>
        <w:rPr>
          <w:rFonts w:cs="Calibri"/>
        </w:rPr>
      </w:pPr>
      <w:r w:rsidRPr="0084495F">
        <w:rPr>
          <w:rFonts w:cs="Calibri"/>
        </w:rPr>
        <w:t xml:space="preserve">The PBAC considered that </w:t>
      </w:r>
      <w:r w:rsidR="00614846" w:rsidRPr="0084495F">
        <w:rPr>
          <w:rFonts w:cs="Calibri"/>
        </w:rPr>
        <w:t xml:space="preserve">given the overall uncertainty with </w:t>
      </w:r>
      <w:r w:rsidR="00520EF8" w:rsidRPr="0084495F">
        <w:rPr>
          <w:rFonts w:cs="Calibri"/>
        </w:rPr>
        <w:t xml:space="preserve">the </w:t>
      </w:r>
      <w:r w:rsidR="00614846" w:rsidRPr="0084495F">
        <w:rPr>
          <w:rFonts w:cs="Calibri"/>
        </w:rPr>
        <w:t xml:space="preserve">economic model </w:t>
      </w:r>
      <w:r w:rsidRPr="0084495F">
        <w:rPr>
          <w:rFonts w:cs="Calibri"/>
        </w:rPr>
        <w:t xml:space="preserve">a risk sharing arrangement (RSA) would be required to manage the risk of use outside the </w:t>
      </w:r>
      <w:r w:rsidR="004D3CA1" w:rsidRPr="0084495F">
        <w:rPr>
          <w:rFonts w:cs="Calibri"/>
        </w:rPr>
        <w:t>narrow restriction</w:t>
      </w:r>
      <w:r w:rsidR="00614846" w:rsidRPr="0084495F">
        <w:rPr>
          <w:rFonts w:cs="Calibri"/>
        </w:rPr>
        <w:t xml:space="preserve"> in a less responsive patient group,</w:t>
      </w:r>
      <w:r w:rsidR="004D3CA1" w:rsidRPr="0084495F">
        <w:rPr>
          <w:rFonts w:cs="Calibri"/>
        </w:rPr>
        <w:t xml:space="preserve"> </w:t>
      </w:r>
      <w:r w:rsidR="002A7136" w:rsidRPr="0084495F">
        <w:rPr>
          <w:rFonts w:cs="Calibri"/>
        </w:rPr>
        <w:t>given clinical judgement will be required to identify stable patients</w:t>
      </w:r>
      <w:r w:rsidR="004D3CA1" w:rsidRPr="0084495F">
        <w:t>.</w:t>
      </w:r>
    </w:p>
    <w:p w14:paraId="6BC8892D" w14:textId="35FDE4B9" w:rsidR="00624423" w:rsidRPr="0084495F" w:rsidRDefault="00624423" w:rsidP="00B409A5">
      <w:pPr>
        <w:pStyle w:val="ExecSumBodyText"/>
        <w:contextualSpacing/>
        <w:rPr>
          <w:rFonts w:cs="Calibri"/>
        </w:rPr>
      </w:pPr>
      <w:r w:rsidRPr="0084495F">
        <w:rPr>
          <w:rFonts w:cs="Calibri"/>
        </w:rPr>
        <w:t>The PBAC considered the outstanding issues could be easily resolve</w:t>
      </w:r>
      <w:r w:rsidR="007B7309" w:rsidRPr="0084495F">
        <w:rPr>
          <w:rFonts w:cs="Calibri"/>
        </w:rPr>
        <w:t>d in a simple resubmission for vericiguat</w:t>
      </w:r>
      <w:r w:rsidRPr="0084495F">
        <w:rPr>
          <w:rFonts w:cs="Calibri"/>
        </w:rPr>
        <w:t xml:space="preserve"> using the early re-entry pathway. If the sponsor accepts this pathway, the following changes may address these outstanding issues without requiring further re-evaluation</w:t>
      </w:r>
      <w:r w:rsidR="007B7309" w:rsidRPr="0084495F">
        <w:rPr>
          <w:rFonts w:cs="Calibri"/>
        </w:rPr>
        <w:t>:</w:t>
      </w:r>
      <w:r w:rsidRPr="0084495F">
        <w:rPr>
          <w:rFonts w:cs="Calibri"/>
        </w:rPr>
        <w:t xml:space="preserve"> </w:t>
      </w:r>
    </w:p>
    <w:p w14:paraId="40D262DE" w14:textId="3097654C" w:rsidR="0081612A" w:rsidRPr="0084495F" w:rsidRDefault="0081612A" w:rsidP="00B409A5">
      <w:pPr>
        <w:pStyle w:val="ExecSumBodyText"/>
        <w:numPr>
          <w:ilvl w:val="1"/>
          <w:numId w:val="9"/>
        </w:numPr>
        <w:ind w:left="1077" w:hanging="357"/>
        <w:contextualSpacing/>
        <w:rPr>
          <w:rFonts w:cs="Calibri"/>
        </w:rPr>
      </w:pPr>
      <w:r w:rsidRPr="0084495F">
        <w:rPr>
          <w:rFonts w:cs="Calibri"/>
        </w:rPr>
        <w:t>Amend the restriction as outlined in Paragraph</w:t>
      </w:r>
      <w:r w:rsidR="00B409A5" w:rsidRPr="0084495F">
        <w:rPr>
          <w:rFonts w:cs="Calibri"/>
        </w:rPr>
        <w:t xml:space="preserve"> </w:t>
      </w:r>
      <w:r w:rsidR="00990FA8" w:rsidRPr="0084495F">
        <w:rPr>
          <w:rFonts w:cs="Calibri"/>
        </w:rPr>
        <w:fldChar w:fldCharType="begin"/>
      </w:r>
      <w:r w:rsidR="00990FA8" w:rsidRPr="0084495F">
        <w:rPr>
          <w:rFonts w:cs="Calibri"/>
        </w:rPr>
        <w:instrText xml:space="preserve"> REF _Ref100061268 \r \h </w:instrText>
      </w:r>
      <w:r w:rsidR="00990FA8" w:rsidRPr="0084495F">
        <w:rPr>
          <w:rFonts w:cs="Calibri"/>
        </w:rPr>
      </w:r>
      <w:r w:rsidR="00990FA8" w:rsidRPr="0084495F">
        <w:rPr>
          <w:rFonts w:cs="Calibri"/>
        </w:rPr>
        <w:fldChar w:fldCharType="separate"/>
      </w:r>
      <w:r w:rsidR="0084495F" w:rsidRPr="0084495F">
        <w:rPr>
          <w:rFonts w:cs="Calibri"/>
        </w:rPr>
        <w:t>7.6</w:t>
      </w:r>
      <w:r w:rsidR="00990FA8" w:rsidRPr="0084495F">
        <w:rPr>
          <w:rFonts w:cs="Calibri"/>
        </w:rPr>
        <w:fldChar w:fldCharType="end"/>
      </w:r>
      <w:r w:rsidR="00B409A5" w:rsidRPr="0084495F">
        <w:rPr>
          <w:rFonts w:cs="Calibri"/>
        </w:rPr>
        <w:t>;</w:t>
      </w:r>
    </w:p>
    <w:p w14:paraId="2DC777CF" w14:textId="541C5E2C" w:rsidR="0081612A" w:rsidRPr="0084495F" w:rsidRDefault="0081612A" w:rsidP="00B409A5">
      <w:pPr>
        <w:pStyle w:val="ExecSumBodyText"/>
        <w:numPr>
          <w:ilvl w:val="1"/>
          <w:numId w:val="9"/>
        </w:numPr>
        <w:ind w:left="1077" w:hanging="357"/>
        <w:contextualSpacing/>
        <w:rPr>
          <w:rFonts w:cs="Calibri"/>
        </w:rPr>
      </w:pPr>
      <w:r w:rsidRPr="0084495F">
        <w:rPr>
          <w:rFonts w:cs="Calibri"/>
        </w:rPr>
        <w:t>An ICER of less than $40,00</w:t>
      </w:r>
      <w:r w:rsidR="00E95D18" w:rsidRPr="0084495F">
        <w:rPr>
          <w:rFonts w:cs="Calibri"/>
        </w:rPr>
        <w:t>0</w:t>
      </w:r>
      <w:r w:rsidR="00520EF8" w:rsidRPr="0084495F">
        <w:rPr>
          <w:rFonts w:cs="Calibri"/>
        </w:rPr>
        <w:t>/QALY gained</w:t>
      </w:r>
      <w:r w:rsidR="00E95D18" w:rsidRPr="0084495F">
        <w:rPr>
          <w:rFonts w:cs="Calibri"/>
        </w:rPr>
        <w:t xml:space="preserve"> </w:t>
      </w:r>
      <w:r w:rsidR="00F6778F" w:rsidRPr="0084495F">
        <w:rPr>
          <w:rFonts w:cs="Calibri"/>
        </w:rPr>
        <w:t xml:space="preserve">with the </w:t>
      </w:r>
      <w:r w:rsidR="00F6778F" w:rsidRPr="0084495F">
        <w:t xml:space="preserve">ITT results of the VICTORIA trial applied in the </w:t>
      </w:r>
      <w:proofErr w:type="gramStart"/>
      <w:r w:rsidR="00F6778F" w:rsidRPr="0084495F">
        <w:t>model</w:t>
      </w:r>
      <w:r w:rsidR="00B409A5" w:rsidRPr="0084495F">
        <w:t>;</w:t>
      </w:r>
      <w:proofErr w:type="gramEnd"/>
    </w:p>
    <w:p w14:paraId="07436967" w14:textId="4EFFD646" w:rsidR="00624423" w:rsidRPr="0084495F" w:rsidRDefault="00E95D18" w:rsidP="00B409A5">
      <w:pPr>
        <w:pStyle w:val="ExecSumBodyText"/>
        <w:numPr>
          <w:ilvl w:val="1"/>
          <w:numId w:val="9"/>
        </w:numPr>
        <w:ind w:left="1077" w:hanging="357"/>
        <w:contextualSpacing/>
        <w:rPr>
          <w:rFonts w:cs="Calibri"/>
        </w:rPr>
      </w:pPr>
      <w:r w:rsidRPr="0084495F">
        <w:rPr>
          <w:rFonts w:cs="Calibri"/>
        </w:rPr>
        <w:t>Revised fi</w:t>
      </w:r>
      <w:r w:rsidR="0081612A" w:rsidRPr="0084495F">
        <w:rPr>
          <w:rFonts w:cs="Calibri"/>
        </w:rPr>
        <w:t xml:space="preserve">nancial estimates as outlined in Paragraph </w:t>
      </w:r>
      <w:r w:rsidR="0081612A" w:rsidRPr="0084495F">
        <w:rPr>
          <w:rFonts w:cs="Calibri"/>
        </w:rPr>
        <w:fldChar w:fldCharType="begin"/>
      </w:r>
      <w:r w:rsidR="0081612A" w:rsidRPr="0084495F">
        <w:rPr>
          <w:rFonts w:cs="Calibri"/>
        </w:rPr>
        <w:instrText xml:space="preserve"> REF _Ref99991829 \r \h </w:instrText>
      </w:r>
      <w:r w:rsidR="0081612A" w:rsidRPr="0084495F">
        <w:rPr>
          <w:rFonts w:cs="Calibri"/>
        </w:rPr>
      </w:r>
      <w:r w:rsidR="0081612A" w:rsidRPr="0084495F">
        <w:rPr>
          <w:rFonts w:cs="Calibri"/>
        </w:rPr>
        <w:fldChar w:fldCharType="separate"/>
      </w:r>
      <w:r w:rsidR="0084495F" w:rsidRPr="0084495F">
        <w:rPr>
          <w:rFonts w:cs="Calibri"/>
        </w:rPr>
        <w:t>7.16</w:t>
      </w:r>
      <w:r w:rsidR="0081612A" w:rsidRPr="0084495F">
        <w:rPr>
          <w:rFonts w:cs="Calibri"/>
        </w:rPr>
        <w:fldChar w:fldCharType="end"/>
      </w:r>
      <w:r w:rsidR="0081612A" w:rsidRPr="0084495F">
        <w:rPr>
          <w:rFonts w:cs="Calibri"/>
        </w:rPr>
        <w:t xml:space="preserve"> and to include the lower price</w:t>
      </w:r>
      <w:r w:rsidRPr="0084495F">
        <w:rPr>
          <w:rFonts w:cs="Calibri"/>
        </w:rPr>
        <w:t xml:space="preserve"> resulting from the </w:t>
      </w:r>
      <w:proofErr w:type="gramStart"/>
      <w:r w:rsidRPr="0084495F">
        <w:rPr>
          <w:rFonts w:cs="Calibri"/>
        </w:rPr>
        <w:t>aforementioned change</w:t>
      </w:r>
      <w:r w:rsidR="00747723" w:rsidRPr="0084495F">
        <w:rPr>
          <w:rFonts w:cs="Calibri"/>
        </w:rPr>
        <w:t>s</w:t>
      </w:r>
      <w:proofErr w:type="gramEnd"/>
      <w:r w:rsidRPr="0084495F">
        <w:rPr>
          <w:rFonts w:cs="Calibri"/>
        </w:rPr>
        <w:t xml:space="preserve"> to the economic model</w:t>
      </w:r>
      <w:r w:rsidR="00B409A5" w:rsidRPr="0084495F">
        <w:rPr>
          <w:rFonts w:cs="Calibri"/>
        </w:rPr>
        <w:t>; and</w:t>
      </w:r>
    </w:p>
    <w:p w14:paraId="14414EC5" w14:textId="6C2181C2" w:rsidR="0081612A" w:rsidRPr="0084495F" w:rsidRDefault="00E95D18" w:rsidP="0081612A">
      <w:pPr>
        <w:pStyle w:val="ExecSumBodyText"/>
        <w:numPr>
          <w:ilvl w:val="1"/>
          <w:numId w:val="9"/>
        </w:numPr>
        <w:ind w:left="1077" w:hanging="357"/>
        <w:rPr>
          <w:rFonts w:cs="Calibri"/>
        </w:rPr>
      </w:pPr>
      <w:r w:rsidRPr="0084495F">
        <w:rPr>
          <w:rFonts w:cs="Calibri"/>
        </w:rPr>
        <w:t xml:space="preserve">Outline </w:t>
      </w:r>
      <w:r w:rsidR="0081612A" w:rsidRPr="0084495F">
        <w:rPr>
          <w:rFonts w:cs="Calibri"/>
        </w:rPr>
        <w:t>a</w:t>
      </w:r>
      <w:r w:rsidR="0096507E" w:rsidRPr="0084495F">
        <w:rPr>
          <w:rFonts w:cs="Calibri"/>
        </w:rPr>
        <w:t>n</w:t>
      </w:r>
      <w:r w:rsidR="0081612A" w:rsidRPr="0084495F">
        <w:rPr>
          <w:rFonts w:cs="Calibri"/>
        </w:rPr>
        <w:t xml:space="preserve"> RSA</w:t>
      </w:r>
      <w:r w:rsidRPr="0084495F">
        <w:rPr>
          <w:rFonts w:cs="Calibri"/>
        </w:rPr>
        <w:t xml:space="preserve"> to manage the risk of use in a broader population</w:t>
      </w:r>
      <w:r w:rsidR="0081612A" w:rsidRPr="0084495F">
        <w:rPr>
          <w:rFonts w:cs="Calibri"/>
        </w:rPr>
        <w:t>.</w:t>
      </w:r>
    </w:p>
    <w:p w14:paraId="402F572E" w14:textId="66F87949" w:rsidR="00624423" w:rsidRPr="0084495F" w:rsidRDefault="00624423" w:rsidP="0081612A">
      <w:pPr>
        <w:pStyle w:val="ExecSumBodyText"/>
        <w:rPr>
          <w:rFonts w:cs="Calibri"/>
        </w:rPr>
      </w:pPr>
      <w:r w:rsidRPr="0084495F">
        <w:rPr>
          <w:rFonts w:cs="Calibri"/>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7AD27C9C" w14:textId="7C869C28" w:rsidR="00624423" w:rsidRPr="0084495F" w:rsidRDefault="00A231C4" w:rsidP="00F6778F">
      <w:pPr>
        <w:pStyle w:val="ExecSumBodyText"/>
        <w:autoSpaceDE w:val="0"/>
        <w:autoSpaceDN w:val="0"/>
        <w:adjustRightInd w:val="0"/>
      </w:pPr>
      <w:r w:rsidRPr="0084495F">
        <w:t xml:space="preserve">The PBAC advised that its acceptance </w:t>
      </w:r>
      <w:r w:rsidR="00F6778F" w:rsidRPr="0084495F">
        <w:t>of</w:t>
      </w:r>
      <w:r w:rsidRPr="0084495F">
        <w:t xml:space="preserve"> the </w:t>
      </w:r>
      <w:r w:rsidR="00F6778F" w:rsidRPr="0084495F">
        <w:t>submission’s model was in the context of a p</w:t>
      </w:r>
      <w:r w:rsidRPr="0084495F">
        <w:t>rice reduction, a narrow restriction limiting use to a la</w:t>
      </w:r>
      <w:r w:rsidR="00B418C4" w:rsidRPr="0084495F">
        <w:t>te</w:t>
      </w:r>
      <w:r w:rsidRPr="0084495F">
        <w:t>-line niche place in therapy and financial estimates that reflect this niche place</w:t>
      </w:r>
      <w:r w:rsidR="0046538A" w:rsidRPr="0084495F">
        <w:t>, including an RSA</w:t>
      </w:r>
      <w:r w:rsidR="00F6778F" w:rsidRPr="0084495F">
        <w:t>.</w:t>
      </w:r>
      <w:r w:rsidRPr="0084495F">
        <w:t xml:space="preserve"> </w:t>
      </w:r>
      <w:r w:rsidR="00F6778F" w:rsidRPr="0084495F">
        <w:t xml:space="preserve">Alternatively, the issues with the economic model </w:t>
      </w:r>
      <w:r w:rsidR="00B409A5" w:rsidRPr="0084495F">
        <w:t>(</w:t>
      </w:r>
      <w:r w:rsidR="00F6778F" w:rsidRPr="0084495F">
        <w:t xml:space="preserve">outlined in Paragraph </w:t>
      </w:r>
      <w:r w:rsidR="00F6778F" w:rsidRPr="0084495F">
        <w:fldChar w:fldCharType="begin"/>
      </w:r>
      <w:r w:rsidR="00F6778F" w:rsidRPr="0084495F">
        <w:instrText xml:space="preserve"> REF _Ref99993506 \r \h  \* MERGEFORMAT </w:instrText>
      </w:r>
      <w:r w:rsidR="00F6778F" w:rsidRPr="0084495F">
        <w:fldChar w:fldCharType="separate"/>
      </w:r>
      <w:r w:rsidR="0084495F" w:rsidRPr="0084495F">
        <w:t>7.11</w:t>
      </w:r>
      <w:r w:rsidR="00F6778F" w:rsidRPr="0084495F">
        <w:fldChar w:fldCharType="end"/>
      </w:r>
      <w:r w:rsidR="00B409A5" w:rsidRPr="0084495F">
        <w:t>)</w:t>
      </w:r>
      <w:r w:rsidR="00F6778F" w:rsidRPr="0084495F">
        <w:t xml:space="preserve"> would need to be addressed</w:t>
      </w:r>
      <w:r w:rsidR="0046538A" w:rsidRPr="0084495F">
        <w:t xml:space="preserve"> in a standard re-entry resubmission</w:t>
      </w:r>
      <w:r w:rsidR="00F6778F" w:rsidRPr="0084495F">
        <w:t xml:space="preserve">. </w:t>
      </w:r>
    </w:p>
    <w:p w14:paraId="6F9CDE2A" w14:textId="4AFCC6CE" w:rsidR="00624423" w:rsidRPr="0084495F" w:rsidRDefault="00624423" w:rsidP="00F6778F">
      <w:pPr>
        <w:pStyle w:val="ExecSumBodyText"/>
        <w:autoSpaceDE w:val="0"/>
        <w:autoSpaceDN w:val="0"/>
        <w:adjustRightInd w:val="0"/>
      </w:pPr>
      <w:r w:rsidRPr="0084495F">
        <w:t xml:space="preserve">The PBAC noted that this submission is eligible for an Independent Review. </w:t>
      </w:r>
    </w:p>
    <w:p w14:paraId="7003F1E8" w14:textId="77777777" w:rsidR="00624423" w:rsidRPr="0084495F" w:rsidRDefault="00624423" w:rsidP="00624423">
      <w:pPr>
        <w:autoSpaceDE w:val="0"/>
        <w:autoSpaceDN w:val="0"/>
        <w:adjustRightInd w:val="0"/>
        <w:spacing w:before="240"/>
        <w:jc w:val="left"/>
        <w:rPr>
          <w:rFonts w:asciiTheme="minorHAnsi" w:hAnsiTheme="minorHAnsi" w:cstheme="minorHAnsi"/>
          <w:b/>
          <w:bCs/>
        </w:rPr>
      </w:pPr>
      <w:r w:rsidRPr="0084495F">
        <w:rPr>
          <w:rFonts w:asciiTheme="minorHAnsi" w:hAnsiTheme="minorHAnsi" w:cstheme="minorHAnsi"/>
          <w:b/>
          <w:bCs/>
        </w:rPr>
        <w:t>Outcome:</w:t>
      </w:r>
    </w:p>
    <w:p w14:paraId="62644CD6" w14:textId="383CBA59" w:rsidR="00624423" w:rsidRDefault="00624423" w:rsidP="00624423">
      <w:pPr>
        <w:autoSpaceDE w:val="0"/>
        <w:autoSpaceDN w:val="0"/>
        <w:adjustRightInd w:val="0"/>
        <w:spacing w:after="120"/>
        <w:jc w:val="left"/>
        <w:rPr>
          <w:rFonts w:asciiTheme="minorHAnsi" w:hAnsiTheme="minorHAnsi"/>
          <w:snapToGrid w:val="0"/>
        </w:rPr>
      </w:pPr>
      <w:r w:rsidRPr="0084495F">
        <w:rPr>
          <w:rFonts w:asciiTheme="minorHAnsi" w:hAnsiTheme="minorHAnsi"/>
          <w:snapToGrid w:val="0"/>
        </w:rPr>
        <w:t xml:space="preserve">Not recommended </w:t>
      </w:r>
    </w:p>
    <w:p w14:paraId="1646F04E" w14:textId="61656F78" w:rsidR="008E6640" w:rsidRDefault="008E6640" w:rsidP="008E6640">
      <w:pPr>
        <w:pStyle w:val="2-SectionHeading"/>
        <w:rPr>
          <w:bCs/>
          <w:lang w:val="en-GB"/>
        </w:rPr>
      </w:pPr>
      <w:r w:rsidRPr="00C07617">
        <w:t>Context for Decision</w:t>
      </w:r>
    </w:p>
    <w:p w14:paraId="3A7D9DC7" w14:textId="77777777" w:rsidR="008E6640" w:rsidRPr="007129F2" w:rsidRDefault="008E6640" w:rsidP="008E6640">
      <w:pPr>
        <w:pStyle w:val="ExecSumBodyText"/>
        <w:numPr>
          <w:ilvl w:val="0"/>
          <w:numId w:val="0"/>
        </w:numPr>
        <w:autoSpaceDE w:val="0"/>
        <w:autoSpaceDN w:val="0"/>
        <w:adjustRightInd w:val="0"/>
        <w:ind w:left="720"/>
        <w:rPr>
          <w:bCs/>
          <w:lang w:val="en-GB"/>
        </w:rPr>
      </w:pPr>
      <w:r w:rsidRPr="007129F2">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7129F2">
        <w:rPr>
          <w:bCs/>
          <w:lang w:val="en-GB"/>
        </w:rPr>
        <w:lastRenderedPageBreak/>
        <w:t>through the PBS. The PBAC welcomes applications containing new information at any time.</w:t>
      </w:r>
    </w:p>
    <w:p w14:paraId="001AB30A" w14:textId="2B30A013" w:rsidR="008E6640" w:rsidRPr="00C07617" w:rsidRDefault="008E6640" w:rsidP="008E6640">
      <w:pPr>
        <w:pStyle w:val="2-SectionHeading"/>
        <w:rPr>
          <w:b w:val="0"/>
        </w:rPr>
      </w:pPr>
      <w:r>
        <w:t>Sponsor’s Comment</w:t>
      </w:r>
    </w:p>
    <w:p w14:paraId="708815A0" w14:textId="761BCEF0" w:rsidR="004301B2" w:rsidRPr="0084495F" w:rsidRDefault="00C75709" w:rsidP="00294564">
      <w:pPr>
        <w:pStyle w:val="ExecSumBodyText"/>
        <w:numPr>
          <w:ilvl w:val="0"/>
          <w:numId w:val="0"/>
        </w:numPr>
        <w:ind w:left="720"/>
      </w:pPr>
      <w:r w:rsidRPr="00EB55D1">
        <w:rPr>
          <w:bCs/>
        </w:rPr>
        <w:t xml:space="preserve">While the PBAC’s decision not to recommend vericiguat for the treatment of high-risk patients with symptomatic chronic heart failure (HF) is disappointing, Bayer welcomes the PBAC’s consideration of the clinical unmet need for these high-risk patients and will continue to work with the PBAC to enable earliest possible access to vericiguat for these patients. </w:t>
      </w:r>
    </w:p>
    <w:sectPr w:rsidR="004301B2" w:rsidRPr="0084495F" w:rsidSect="0008578B">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FEEDE" w14:textId="77777777" w:rsidR="00D755D4" w:rsidRDefault="00D755D4" w:rsidP="00124A51">
      <w:r>
        <w:separator/>
      </w:r>
    </w:p>
    <w:p w14:paraId="1C2BC378" w14:textId="77777777" w:rsidR="00D755D4" w:rsidRDefault="00D755D4"/>
  </w:endnote>
  <w:endnote w:type="continuationSeparator" w:id="0">
    <w:p w14:paraId="716A8534" w14:textId="77777777" w:rsidR="00D755D4" w:rsidRDefault="00D755D4" w:rsidP="00124A51">
      <w:r>
        <w:continuationSeparator/>
      </w:r>
    </w:p>
    <w:p w14:paraId="1E850CF6" w14:textId="77777777" w:rsidR="00D755D4" w:rsidRDefault="00D75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D93BA" w14:textId="77777777" w:rsidR="009C6175" w:rsidRDefault="009C6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9B784" w14:textId="63635C29" w:rsidR="009C6175" w:rsidRDefault="009C6175" w:rsidP="00D55519">
    <w:pPr>
      <w:pStyle w:val="Footer"/>
      <w:jc w:val="center"/>
    </w:pPr>
  </w:p>
  <w:sdt>
    <w:sdtPr>
      <w:id w:val="84579000"/>
      <w:docPartObj>
        <w:docPartGallery w:val="Page Numbers (Bottom of Page)"/>
        <w:docPartUnique/>
      </w:docPartObj>
    </w:sdtPr>
    <w:sdtEndPr>
      <w:rPr>
        <w:noProof/>
      </w:rPr>
    </w:sdtEndPr>
    <w:sdtContent>
      <w:p w14:paraId="757E3A07" w14:textId="13F24264" w:rsidR="009C6175" w:rsidRDefault="009C6175" w:rsidP="00D55519">
        <w:pPr>
          <w:pStyle w:val="Footer"/>
          <w:jc w:val="center"/>
        </w:pPr>
      </w:p>
      <w:p w14:paraId="76C4F2AC" w14:textId="30BB82D4" w:rsidR="009C6175" w:rsidRPr="00D55519" w:rsidRDefault="009C6175" w:rsidP="00D55519">
        <w:pPr>
          <w:pStyle w:val="Footer"/>
          <w:jc w:val="center"/>
        </w:pPr>
        <w:r w:rsidRPr="00AB18E5">
          <w:rPr>
            <w:b/>
          </w:rPr>
          <w:fldChar w:fldCharType="begin"/>
        </w:r>
        <w:r w:rsidRPr="00AB18E5">
          <w:rPr>
            <w:b/>
          </w:rPr>
          <w:instrText xml:space="preserve"> PAGE   \* MERGEFORMAT </w:instrText>
        </w:r>
        <w:r w:rsidRPr="00AB18E5">
          <w:rPr>
            <w:b/>
          </w:rPr>
          <w:fldChar w:fldCharType="separate"/>
        </w:r>
        <w:r>
          <w:rPr>
            <w:b/>
            <w:noProof/>
          </w:rPr>
          <w:t>28</w:t>
        </w:r>
        <w:r w:rsidRPr="00AB18E5">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8D6A7" w14:textId="77777777" w:rsidR="009C6175" w:rsidRDefault="009C6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7F68A" w14:textId="77777777" w:rsidR="00D755D4" w:rsidRDefault="00D755D4" w:rsidP="00124A51">
      <w:r>
        <w:separator/>
      </w:r>
    </w:p>
    <w:p w14:paraId="25EA0020" w14:textId="77777777" w:rsidR="00D755D4" w:rsidRDefault="00D755D4"/>
  </w:footnote>
  <w:footnote w:type="continuationSeparator" w:id="0">
    <w:p w14:paraId="11084E39" w14:textId="77777777" w:rsidR="00D755D4" w:rsidRDefault="00D755D4" w:rsidP="00124A51">
      <w:r>
        <w:continuationSeparator/>
      </w:r>
    </w:p>
    <w:p w14:paraId="06AD983C" w14:textId="77777777" w:rsidR="00D755D4" w:rsidRDefault="00D755D4"/>
  </w:footnote>
  <w:footnote w:id="1">
    <w:p w14:paraId="40C21AE8" w14:textId="21736449" w:rsidR="009C6175" w:rsidRPr="00C63F16" w:rsidRDefault="009C6175" w:rsidP="00C63F16">
      <w:pPr>
        <w:pStyle w:val="FootnoteText"/>
        <w:spacing w:before="0" w:line="240" w:lineRule="auto"/>
        <w:rPr>
          <w:rFonts w:ascii="Arial Narrow" w:hAnsi="Arial Narrow"/>
          <w:i/>
        </w:rPr>
      </w:pPr>
      <w:r w:rsidRPr="00C63F16">
        <w:rPr>
          <w:rStyle w:val="FootnoteReference"/>
          <w:rFonts w:ascii="Arial Narrow" w:hAnsi="Arial Narrow"/>
          <w:i/>
        </w:rPr>
        <w:footnoteRef/>
      </w:r>
      <w:r w:rsidRPr="00C63F16">
        <w:rPr>
          <w:rFonts w:ascii="Arial Narrow" w:hAnsi="Arial Narrow"/>
          <w:i/>
        </w:rPr>
        <w:t xml:space="preserve"> http://www.msac.gov.au/internet/msac/publishing.nsf/Content/1689-public</w:t>
      </w:r>
    </w:p>
  </w:footnote>
  <w:footnote w:id="2">
    <w:p w14:paraId="3BA55F59" w14:textId="37D619BA" w:rsidR="009C6175" w:rsidRPr="007F4206" w:rsidRDefault="009C6175" w:rsidP="007F4206">
      <w:pPr>
        <w:pStyle w:val="FootnoteText"/>
        <w:spacing w:before="0" w:after="0" w:line="240" w:lineRule="auto"/>
        <w:rPr>
          <w:rFonts w:ascii="Arial Narrow" w:hAnsi="Arial Narrow"/>
        </w:rPr>
      </w:pPr>
      <w:r w:rsidRPr="007F4206">
        <w:rPr>
          <w:rStyle w:val="FootnoteReference"/>
          <w:rFonts w:ascii="Arial Narrow" w:hAnsi="Arial Narrow"/>
        </w:rPr>
        <w:footnoteRef/>
      </w:r>
      <w:r w:rsidRPr="007F4206">
        <w:rPr>
          <w:rFonts w:ascii="Arial Narrow" w:hAnsi="Arial Narrow"/>
        </w:rPr>
        <w:t xml:space="preserve"> https://www.nice.org.uk/about/what-we-do/our-programmes/nice-guidance/technology-appraisal-guidance/eq-5d-5l</w:t>
      </w:r>
    </w:p>
  </w:footnote>
  <w:footnote w:id="3">
    <w:p w14:paraId="62C79AFD" w14:textId="77777777" w:rsidR="009C6175" w:rsidRPr="0099454A" w:rsidRDefault="009C6175" w:rsidP="0099454A">
      <w:pPr>
        <w:pStyle w:val="FootnoteText"/>
        <w:spacing w:before="0" w:line="240" w:lineRule="auto"/>
        <w:rPr>
          <w:rFonts w:ascii="Arial Narrow" w:hAnsi="Arial Narrow"/>
        </w:rPr>
      </w:pPr>
      <w:r w:rsidRPr="0099454A">
        <w:rPr>
          <w:rStyle w:val="FootnoteReference"/>
          <w:rFonts w:ascii="Arial Narrow" w:hAnsi="Arial Narrow"/>
        </w:rPr>
        <w:footnoteRef/>
      </w:r>
      <w:r w:rsidRPr="0099454A">
        <w:rPr>
          <w:rFonts w:ascii="Arial Narrow" w:hAnsi="Arial Narrow"/>
        </w:rPr>
        <w:t xml:space="preserve"> Wachter R et al. Initiation of sacubitril/valsartan in </w:t>
      </w:r>
      <w:proofErr w:type="spellStart"/>
      <w:r w:rsidRPr="0099454A">
        <w:rPr>
          <w:rFonts w:ascii="Arial Narrow" w:hAnsi="Arial Narrow"/>
        </w:rPr>
        <w:t>haemodynamically</w:t>
      </w:r>
      <w:proofErr w:type="spellEnd"/>
      <w:r w:rsidRPr="0099454A">
        <w:rPr>
          <w:rFonts w:ascii="Arial Narrow" w:hAnsi="Arial Narrow"/>
        </w:rPr>
        <w:t xml:space="preserve"> stabilised heart failure patients in hospital or early after discharge: primary results of the randomised TRANSITION study. Eur J Heart Fail. 2019 Aug;21(8):998-1007. </w:t>
      </w:r>
      <w:proofErr w:type="spellStart"/>
      <w:r w:rsidRPr="0099454A">
        <w:rPr>
          <w:rFonts w:ascii="Arial Narrow" w:hAnsi="Arial Narrow"/>
        </w:rPr>
        <w:t>doi</w:t>
      </w:r>
      <w:proofErr w:type="spellEnd"/>
      <w:r w:rsidRPr="0099454A">
        <w:rPr>
          <w:rFonts w:ascii="Arial Narrow" w:hAnsi="Arial Narrow"/>
        </w:rPr>
        <w:t xml:space="preserve">: 10.1002/ejhf.1498. </w:t>
      </w:r>
      <w:proofErr w:type="spellStart"/>
      <w:r w:rsidRPr="0099454A">
        <w:rPr>
          <w:rFonts w:ascii="Arial Narrow" w:hAnsi="Arial Narrow"/>
        </w:rPr>
        <w:t>Epub</w:t>
      </w:r>
      <w:proofErr w:type="spellEnd"/>
      <w:r w:rsidRPr="0099454A">
        <w:rPr>
          <w:rFonts w:ascii="Arial Narrow" w:hAnsi="Arial Narrow"/>
        </w:rPr>
        <w:t xml:space="preserve"> 2019 May 27. PMID: 31134724.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52C0E" w14:textId="77777777" w:rsidR="009C6175" w:rsidRDefault="009C6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715A3" w14:textId="74329C76" w:rsidR="009C6175" w:rsidRPr="00470A89" w:rsidRDefault="009C6175" w:rsidP="00D55519">
    <w:pPr>
      <w:tabs>
        <w:tab w:val="center" w:pos="4153"/>
        <w:tab w:val="right" w:pos="8306"/>
      </w:tabs>
      <w:autoSpaceDE w:val="0"/>
      <w:autoSpaceDN w:val="0"/>
      <w:adjustRightInd w:val="0"/>
      <w:ind w:left="360"/>
      <w:jc w:val="center"/>
      <w:rPr>
        <w:rFonts w:cs="Calibri"/>
        <w:i/>
        <w:iCs/>
      </w:rPr>
    </w:pPr>
    <w:r>
      <w:rPr>
        <w:rFonts w:cs="Calibri"/>
        <w:i/>
        <w:iCs/>
      </w:rPr>
      <w:t>Public Summary Document</w:t>
    </w:r>
    <w:r w:rsidRPr="00470A89">
      <w:rPr>
        <w:rFonts w:cs="Calibri"/>
        <w:i/>
        <w:iCs/>
      </w:rPr>
      <w:t xml:space="preserve"> – March 2022 PBAC Meeting</w:t>
    </w:r>
  </w:p>
  <w:p w14:paraId="5E83BD6D" w14:textId="77777777" w:rsidR="009C6175" w:rsidRDefault="009C61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856A7" w14:textId="77777777" w:rsidR="009C6175" w:rsidRDefault="009C6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5EEE5B0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C32E8"/>
    <w:multiLevelType w:val="hybridMultilevel"/>
    <w:tmpl w:val="E8EC5A3E"/>
    <w:lvl w:ilvl="0" w:tplc="726AA5D2">
      <w:start w:val="240"/>
      <w:numFmt w:val="decimal"/>
      <w:lvlText w:val="%1"/>
      <w:lvlJc w:val="left"/>
      <w:pPr>
        <w:ind w:left="286" w:hanging="360"/>
      </w:pPr>
      <w:rPr>
        <w:rFonts w:hint="default"/>
      </w:rPr>
    </w:lvl>
    <w:lvl w:ilvl="1" w:tplc="0C090019" w:tentative="1">
      <w:start w:val="1"/>
      <w:numFmt w:val="lowerLetter"/>
      <w:lvlText w:val="%2."/>
      <w:lvlJc w:val="left"/>
      <w:pPr>
        <w:ind w:left="1006" w:hanging="360"/>
      </w:pPr>
    </w:lvl>
    <w:lvl w:ilvl="2" w:tplc="0C09001B" w:tentative="1">
      <w:start w:val="1"/>
      <w:numFmt w:val="lowerRoman"/>
      <w:lvlText w:val="%3."/>
      <w:lvlJc w:val="right"/>
      <w:pPr>
        <w:ind w:left="1726" w:hanging="180"/>
      </w:pPr>
    </w:lvl>
    <w:lvl w:ilvl="3" w:tplc="0C09000F" w:tentative="1">
      <w:start w:val="1"/>
      <w:numFmt w:val="decimal"/>
      <w:lvlText w:val="%4."/>
      <w:lvlJc w:val="left"/>
      <w:pPr>
        <w:ind w:left="2446" w:hanging="360"/>
      </w:pPr>
    </w:lvl>
    <w:lvl w:ilvl="4" w:tplc="0C090019" w:tentative="1">
      <w:start w:val="1"/>
      <w:numFmt w:val="lowerLetter"/>
      <w:lvlText w:val="%5."/>
      <w:lvlJc w:val="left"/>
      <w:pPr>
        <w:ind w:left="3166" w:hanging="360"/>
      </w:pPr>
    </w:lvl>
    <w:lvl w:ilvl="5" w:tplc="0C09001B" w:tentative="1">
      <w:start w:val="1"/>
      <w:numFmt w:val="lowerRoman"/>
      <w:lvlText w:val="%6."/>
      <w:lvlJc w:val="right"/>
      <w:pPr>
        <w:ind w:left="3886" w:hanging="180"/>
      </w:pPr>
    </w:lvl>
    <w:lvl w:ilvl="6" w:tplc="0C09000F" w:tentative="1">
      <w:start w:val="1"/>
      <w:numFmt w:val="decimal"/>
      <w:lvlText w:val="%7."/>
      <w:lvlJc w:val="left"/>
      <w:pPr>
        <w:ind w:left="4606" w:hanging="360"/>
      </w:pPr>
    </w:lvl>
    <w:lvl w:ilvl="7" w:tplc="0C090019" w:tentative="1">
      <w:start w:val="1"/>
      <w:numFmt w:val="lowerLetter"/>
      <w:lvlText w:val="%8."/>
      <w:lvlJc w:val="left"/>
      <w:pPr>
        <w:ind w:left="5326" w:hanging="360"/>
      </w:pPr>
    </w:lvl>
    <w:lvl w:ilvl="8" w:tplc="0C09001B" w:tentative="1">
      <w:start w:val="1"/>
      <w:numFmt w:val="lowerRoman"/>
      <w:lvlText w:val="%9."/>
      <w:lvlJc w:val="right"/>
      <w:pPr>
        <w:ind w:left="6046" w:hanging="180"/>
      </w:pPr>
    </w:lvl>
  </w:abstractNum>
  <w:abstractNum w:abstractNumId="3" w15:restartNumberingAfterBreak="0">
    <w:nsid w:val="01972AE8"/>
    <w:multiLevelType w:val="hybridMultilevel"/>
    <w:tmpl w:val="9CBC74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31E1E9F"/>
    <w:multiLevelType w:val="multilevel"/>
    <w:tmpl w:val="E2268946"/>
    <w:styleLink w:val="CurrentList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7E76A2"/>
    <w:multiLevelType w:val="hybridMultilevel"/>
    <w:tmpl w:val="62D4E6AC"/>
    <w:lvl w:ilvl="0" w:tplc="599418DC">
      <w:start w:val="1"/>
      <w:numFmt w:val="bullet"/>
      <w:lvlText w:val="•"/>
      <w:lvlJc w:val="left"/>
      <w:pPr>
        <w:tabs>
          <w:tab w:val="num" w:pos="720"/>
        </w:tabs>
        <w:ind w:left="720" w:hanging="360"/>
      </w:pPr>
      <w:rPr>
        <w:rFonts w:ascii="Arial" w:hAnsi="Arial" w:hint="default"/>
      </w:rPr>
    </w:lvl>
    <w:lvl w:ilvl="1" w:tplc="36142A3E">
      <w:start w:val="1"/>
      <w:numFmt w:val="bullet"/>
      <w:lvlText w:val="•"/>
      <w:lvlJc w:val="left"/>
      <w:pPr>
        <w:tabs>
          <w:tab w:val="num" w:pos="1440"/>
        </w:tabs>
        <w:ind w:left="1440" w:hanging="360"/>
      </w:pPr>
      <w:rPr>
        <w:rFonts w:ascii="Arial" w:hAnsi="Arial" w:hint="default"/>
      </w:rPr>
    </w:lvl>
    <w:lvl w:ilvl="2" w:tplc="19A8C1F0">
      <w:start w:val="206"/>
      <w:numFmt w:val="bullet"/>
      <w:lvlText w:val=""/>
      <w:lvlJc w:val="left"/>
      <w:pPr>
        <w:tabs>
          <w:tab w:val="num" w:pos="2160"/>
        </w:tabs>
        <w:ind w:left="2160" w:hanging="360"/>
      </w:pPr>
      <w:rPr>
        <w:rFonts w:ascii="Wingdings" w:hAnsi="Wingdings" w:hint="default"/>
      </w:rPr>
    </w:lvl>
    <w:lvl w:ilvl="3" w:tplc="FD80C950">
      <w:start w:val="2"/>
      <w:numFmt w:val="bullet"/>
      <w:lvlText w:val="-"/>
      <w:lvlJc w:val="left"/>
      <w:pPr>
        <w:ind w:left="2880" w:hanging="360"/>
      </w:pPr>
      <w:rPr>
        <w:rFonts w:ascii="Times New Roman" w:eastAsia="Times New Roman" w:hAnsi="Times New Roman" w:cs="Times New Roman" w:hint="default"/>
      </w:rPr>
    </w:lvl>
    <w:lvl w:ilvl="4" w:tplc="2202F320" w:tentative="1">
      <w:start w:val="1"/>
      <w:numFmt w:val="bullet"/>
      <w:lvlText w:val="•"/>
      <w:lvlJc w:val="left"/>
      <w:pPr>
        <w:tabs>
          <w:tab w:val="num" w:pos="3600"/>
        </w:tabs>
        <w:ind w:left="3600" w:hanging="360"/>
      </w:pPr>
      <w:rPr>
        <w:rFonts w:ascii="Arial" w:hAnsi="Arial" w:hint="default"/>
      </w:rPr>
    </w:lvl>
    <w:lvl w:ilvl="5" w:tplc="A0AA3136" w:tentative="1">
      <w:start w:val="1"/>
      <w:numFmt w:val="bullet"/>
      <w:lvlText w:val="•"/>
      <w:lvlJc w:val="left"/>
      <w:pPr>
        <w:tabs>
          <w:tab w:val="num" w:pos="4320"/>
        </w:tabs>
        <w:ind w:left="4320" w:hanging="360"/>
      </w:pPr>
      <w:rPr>
        <w:rFonts w:ascii="Arial" w:hAnsi="Arial" w:hint="default"/>
      </w:rPr>
    </w:lvl>
    <w:lvl w:ilvl="6" w:tplc="3718F79A" w:tentative="1">
      <w:start w:val="1"/>
      <w:numFmt w:val="bullet"/>
      <w:lvlText w:val="•"/>
      <w:lvlJc w:val="left"/>
      <w:pPr>
        <w:tabs>
          <w:tab w:val="num" w:pos="5040"/>
        </w:tabs>
        <w:ind w:left="5040" w:hanging="360"/>
      </w:pPr>
      <w:rPr>
        <w:rFonts w:ascii="Arial" w:hAnsi="Arial" w:hint="default"/>
      </w:rPr>
    </w:lvl>
    <w:lvl w:ilvl="7" w:tplc="83143B3A" w:tentative="1">
      <w:start w:val="1"/>
      <w:numFmt w:val="bullet"/>
      <w:lvlText w:val="•"/>
      <w:lvlJc w:val="left"/>
      <w:pPr>
        <w:tabs>
          <w:tab w:val="num" w:pos="5760"/>
        </w:tabs>
        <w:ind w:left="5760" w:hanging="360"/>
      </w:pPr>
      <w:rPr>
        <w:rFonts w:ascii="Arial" w:hAnsi="Arial" w:hint="default"/>
      </w:rPr>
    </w:lvl>
    <w:lvl w:ilvl="8" w:tplc="A1F852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430AB2"/>
    <w:multiLevelType w:val="hybridMultilevel"/>
    <w:tmpl w:val="7B6EA788"/>
    <w:lvl w:ilvl="0" w:tplc="95BE0170">
      <w:start w:val="169"/>
      <w:numFmt w:val="decimal"/>
      <w:lvlText w:val="%1"/>
      <w:lvlJc w:val="left"/>
      <w:pPr>
        <w:ind w:left="286" w:hanging="360"/>
      </w:pPr>
      <w:rPr>
        <w:rFonts w:hint="default"/>
      </w:rPr>
    </w:lvl>
    <w:lvl w:ilvl="1" w:tplc="0C090019" w:tentative="1">
      <w:start w:val="1"/>
      <w:numFmt w:val="lowerLetter"/>
      <w:lvlText w:val="%2."/>
      <w:lvlJc w:val="left"/>
      <w:pPr>
        <w:ind w:left="1006" w:hanging="360"/>
      </w:pPr>
    </w:lvl>
    <w:lvl w:ilvl="2" w:tplc="0C09001B" w:tentative="1">
      <w:start w:val="1"/>
      <w:numFmt w:val="lowerRoman"/>
      <w:lvlText w:val="%3."/>
      <w:lvlJc w:val="right"/>
      <w:pPr>
        <w:ind w:left="1726" w:hanging="180"/>
      </w:pPr>
    </w:lvl>
    <w:lvl w:ilvl="3" w:tplc="0C09000F" w:tentative="1">
      <w:start w:val="1"/>
      <w:numFmt w:val="decimal"/>
      <w:lvlText w:val="%4."/>
      <w:lvlJc w:val="left"/>
      <w:pPr>
        <w:ind w:left="2446" w:hanging="360"/>
      </w:pPr>
    </w:lvl>
    <w:lvl w:ilvl="4" w:tplc="0C090019" w:tentative="1">
      <w:start w:val="1"/>
      <w:numFmt w:val="lowerLetter"/>
      <w:lvlText w:val="%5."/>
      <w:lvlJc w:val="left"/>
      <w:pPr>
        <w:ind w:left="3166" w:hanging="360"/>
      </w:pPr>
    </w:lvl>
    <w:lvl w:ilvl="5" w:tplc="0C09001B" w:tentative="1">
      <w:start w:val="1"/>
      <w:numFmt w:val="lowerRoman"/>
      <w:lvlText w:val="%6."/>
      <w:lvlJc w:val="right"/>
      <w:pPr>
        <w:ind w:left="3886" w:hanging="180"/>
      </w:pPr>
    </w:lvl>
    <w:lvl w:ilvl="6" w:tplc="0C09000F" w:tentative="1">
      <w:start w:val="1"/>
      <w:numFmt w:val="decimal"/>
      <w:lvlText w:val="%7."/>
      <w:lvlJc w:val="left"/>
      <w:pPr>
        <w:ind w:left="4606" w:hanging="360"/>
      </w:pPr>
    </w:lvl>
    <w:lvl w:ilvl="7" w:tplc="0C090019" w:tentative="1">
      <w:start w:val="1"/>
      <w:numFmt w:val="lowerLetter"/>
      <w:lvlText w:val="%8."/>
      <w:lvlJc w:val="left"/>
      <w:pPr>
        <w:ind w:left="5326" w:hanging="360"/>
      </w:pPr>
    </w:lvl>
    <w:lvl w:ilvl="8" w:tplc="0C09001B" w:tentative="1">
      <w:start w:val="1"/>
      <w:numFmt w:val="lowerRoman"/>
      <w:lvlText w:val="%9."/>
      <w:lvlJc w:val="right"/>
      <w:pPr>
        <w:ind w:left="6046" w:hanging="180"/>
      </w:pPr>
    </w:lvl>
  </w:abstractNum>
  <w:abstractNum w:abstractNumId="7" w15:restartNumberingAfterBreak="0">
    <w:nsid w:val="164E6478"/>
    <w:multiLevelType w:val="hybridMultilevel"/>
    <w:tmpl w:val="4AA65ADA"/>
    <w:lvl w:ilvl="0" w:tplc="52AABF64">
      <w:start w:val="1"/>
      <w:numFmt w:val="bullet"/>
      <w:pStyle w:val="Bulletedbodytext"/>
      <w:lvlText w:val=""/>
      <w:lvlJc w:val="left"/>
      <w:pPr>
        <w:ind w:left="720" w:hanging="360"/>
      </w:pPr>
      <w:rPr>
        <w:rFonts w:ascii="Symbol" w:hAnsi="Symbol" w:hint="default"/>
        <w:spacing w:val="0"/>
        <w:w w:val="100"/>
        <w:position w:val="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83995"/>
    <w:multiLevelType w:val="multilevel"/>
    <w:tmpl w:val="9CBC7410"/>
    <w:styleLink w:val="CurrentList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22263E47"/>
    <w:multiLevelType w:val="hybridMultilevel"/>
    <w:tmpl w:val="231A1CAC"/>
    <w:lvl w:ilvl="0" w:tplc="72C451D0">
      <w:start w:val="1"/>
      <w:numFmt w:val="decimal"/>
      <w:lvlText w:val="%1."/>
      <w:lvlJc w:val="left"/>
      <w:pPr>
        <w:ind w:left="720" w:hanging="360"/>
      </w:pPr>
      <w:rPr>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A71B2B"/>
    <w:multiLevelType w:val="hybridMultilevel"/>
    <w:tmpl w:val="DCBA5060"/>
    <w:lvl w:ilvl="0" w:tplc="FBCEA96E">
      <w:start w:val="1"/>
      <w:numFmt w:val="bullet"/>
      <w:lvlText w:val=""/>
      <w:lvlJc w:val="left"/>
      <w:pPr>
        <w:tabs>
          <w:tab w:val="num" w:pos="720"/>
        </w:tabs>
        <w:ind w:left="720" w:hanging="360"/>
      </w:pPr>
      <w:rPr>
        <w:rFonts w:ascii="Wingdings" w:hAnsi="Wingdings" w:hint="default"/>
      </w:rPr>
    </w:lvl>
    <w:lvl w:ilvl="1" w:tplc="69B6D8B6">
      <w:start w:val="206"/>
      <w:numFmt w:val="bullet"/>
      <w:lvlText w:val="•"/>
      <w:lvlJc w:val="left"/>
      <w:pPr>
        <w:tabs>
          <w:tab w:val="num" w:pos="1440"/>
        </w:tabs>
        <w:ind w:left="1440" w:hanging="360"/>
      </w:pPr>
      <w:rPr>
        <w:rFonts w:ascii="Arial" w:hAnsi="Arial" w:hint="default"/>
      </w:rPr>
    </w:lvl>
    <w:lvl w:ilvl="2" w:tplc="6BE4A3BC">
      <w:start w:val="206"/>
      <w:numFmt w:val="bullet"/>
      <w:lvlText w:val=""/>
      <w:lvlJc w:val="left"/>
      <w:pPr>
        <w:tabs>
          <w:tab w:val="num" w:pos="2160"/>
        </w:tabs>
        <w:ind w:left="2160" w:hanging="360"/>
      </w:pPr>
      <w:rPr>
        <w:rFonts w:ascii="Wingdings" w:hAnsi="Wingdings" w:hint="default"/>
      </w:rPr>
    </w:lvl>
    <w:lvl w:ilvl="3" w:tplc="D86E91FC" w:tentative="1">
      <w:start w:val="1"/>
      <w:numFmt w:val="bullet"/>
      <w:lvlText w:val=""/>
      <w:lvlJc w:val="left"/>
      <w:pPr>
        <w:tabs>
          <w:tab w:val="num" w:pos="2880"/>
        </w:tabs>
        <w:ind w:left="2880" w:hanging="360"/>
      </w:pPr>
      <w:rPr>
        <w:rFonts w:ascii="Wingdings" w:hAnsi="Wingdings" w:hint="default"/>
      </w:rPr>
    </w:lvl>
    <w:lvl w:ilvl="4" w:tplc="0BE6DE30" w:tentative="1">
      <w:start w:val="1"/>
      <w:numFmt w:val="bullet"/>
      <w:lvlText w:val=""/>
      <w:lvlJc w:val="left"/>
      <w:pPr>
        <w:tabs>
          <w:tab w:val="num" w:pos="3600"/>
        </w:tabs>
        <w:ind w:left="3600" w:hanging="360"/>
      </w:pPr>
      <w:rPr>
        <w:rFonts w:ascii="Wingdings" w:hAnsi="Wingdings" w:hint="default"/>
      </w:rPr>
    </w:lvl>
    <w:lvl w:ilvl="5" w:tplc="883A8262" w:tentative="1">
      <w:start w:val="1"/>
      <w:numFmt w:val="bullet"/>
      <w:lvlText w:val=""/>
      <w:lvlJc w:val="left"/>
      <w:pPr>
        <w:tabs>
          <w:tab w:val="num" w:pos="4320"/>
        </w:tabs>
        <w:ind w:left="4320" w:hanging="360"/>
      </w:pPr>
      <w:rPr>
        <w:rFonts w:ascii="Wingdings" w:hAnsi="Wingdings" w:hint="default"/>
      </w:rPr>
    </w:lvl>
    <w:lvl w:ilvl="6" w:tplc="7A464C94" w:tentative="1">
      <w:start w:val="1"/>
      <w:numFmt w:val="bullet"/>
      <w:lvlText w:val=""/>
      <w:lvlJc w:val="left"/>
      <w:pPr>
        <w:tabs>
          <w:tab w:val="num" w:pos="5040"/>
        </w:tabs>
        <w:ind w:left="5040" w:hanging="360"/>
      </w:pPr>
      <w:rPr>
        <w:rFonts w:ascii="Wingdings" w:hAnsi="Wingdings" w:hint="default"/>
      </w:rPr>
    </w:lvl>
    <w:lvl w:ilvl="7" w:tplc="208AB820" w:tentative="1">
      <w:start w:val="1"/>
      <w:numFmt w:val="bullet"/>
      <w:lvlText w:val=""/>
      <w:lvlJc w:val="left"/>
      <w:pPr>
        <w:tabs>
          <w:tab w:val="num" w:pos="5760"/>
        </w:tabs>
        <w:ind w:left="5760" w:hanging="360"/>
      </w:pPr>
      <w:rPr>
        <w:rFonts w:ascii="Wingdings" w:hAnsi="Wingdings" w:hint="default"/>
      </w:rPr>
    </w:lvl>
    <w:lvl w:ilvl="8" w:tplc="233ACF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F57B9"/>
    <w:multiLevelType w:val="hybridMultilevel"/>
    <w:tmpl w:val="02B64976"/>
    <w:lvl w:ilvl="0" w:tplc="7D500B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AD7406"/>
    <w:multiLevelType w:val="multilevel"/>
    <w:tmpl w:val="2B2CB37C"/>
    <w:styleLink w:val="CurrentList1"/>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672AF"/>
    <w:multiLevelType w:val="multilevel"/>
    <w:tmpl w:val="F61066A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1C4127"/>
    <w:multiLevelType w:val="hybridMultilevel"/>
    <w:tmpl w:val="4B36C940"/>
    <w:lvl w:ilvl="0" w:tplc="1974B6F4">
      <w:start w:val="1"/>
      <w:numFmt w:val="bullet"/>
      <w:lvlText w:val="•"/>
      <w:lvlJc w:val="left"/>
      <w:pPr>
        <w:tabs>
          <w:tab w:val="num" w:pos="720"/>
        </w:tabs>
        <w:ind w:left="720" w:hanging="360"/>
      </w:pPr>
      <w:rPr>
        <w:rFonts w:ascii="Arial" w:hAnsi="Arial" w:hint="default"/>
      </w:rPr>
    </w:lvl>
    <w:lvl w:ilvl="1" w:tplc="4D2618AE">
      <w:start w:val="1"/>
      <w:numFmt w:val="bullet"/>
      <w:lvlText w:val="•"/>
      <w:lvlJc w:val="left"/>
      <w:pPr>
        <w:tabs>
          <w:tab w:val="num" w:pos="1440"/>
        </w:tabs>
        <w:ind w:left="1440" w:hanging="360"/>
      </w:pPr>
      <w:rPr>
        <w:rFonts w:ascii="Arial" w:hAnsi="Arial" w:hint="default"/>
      </w:rPr>
    </w:lvl>
    <w:lvl w:ilvl="2" w:tplc="0D5825B8">
      <w:start w:val="311"/>
      <w:numFmt w:val="bullet"/>
      <w:lvlText w:val=""/>
      <w:lvlJc w:val="left"/>
      <w:pPr>
        <w:tabs>
          <w:tab w:val="num" w:pos="2160"/>
        </w:tabs>
        <w:ind w:left="2160" w:hanging="360"/>
      </w:pPr>
      <w:rPr>
        <w:rFonts w:ascii="Wingdings" w:hAnsi="Wingdings" w:hint="default"/>
      </w:rPr>
    </w:lvl>
    <w:lvl w:ilvl="3" w:tplc="47CA8806" w:tentative="1">
      <w:start w:val="1"/>
      <w:numFmt w:val="bullet"/>
      <w:lvlText w:val="•"/>
      <w:lvlJc w:val="left"/>
      <w:pPr>
        <w:tabs>
          <w:tab w:val="num" w:pos="2880"/>
        </w:tabs>
        <w:ind w:left="2880" w:hanging="360"/>
      </w:pPr>
      <w:rPr>
        <w:rFonts w:ascii="Arial" w:hAnsi="Arial" w:hint="default"/>
      </w:rPr>
    </w:lvl>
    <w:lvl w:ilvl="4" w:tplc="DE668BA2" w:tentative="1">
      <w:start w:val="1"/>
      <w:numFmt w:val="bullet"/>
      <w:lvlText w:val="•"/>
      <w:lvlJc w:val="left"/>
      <w:pPr>
        <w:tabs>
          <w:tab w:val="num" w:pos="3600"/>
        </w:tabs>
        <w:ind w:left="3600" w:hanging="360"/>
      </w:pPr>
      <w:rPr>
        <w:rFonts w:ascii="Arial" w:hAnsi="Arial" w:hint="default"/>
      </w:rPr>
    </w:lvl>
    <w:lvl w:ilvl="5" w:tplc="58226F64" w:tentative="1">
      <w:start w:val="1"/>
      <w:numFmt w:val="bullet"/>
      <w:lvlText w:val="•"/>
      <w:lvlJc w:val="left"/>
      <w:pPr>
        <w:tabs>
          <w:tab w:val="num" w:pos="4320"/>
        </w:tabs>
        <w:ind w:left="4320" w:hanging="360"/>
      </w:pPr>
      <w:rPr>
        <w:rFonts w:ascii="Arial" w:hAnsi="Arial" w:hint="default"/>
      </w:rPr>
    </w:lvl>
    <w:lvl w:ilvl="6" w:tplc="B9125FAA" w:tentative="1">
      <w:start w:val="1"/>
      <w:numFmt w:val="bullet"/>
      <w:lvlText w:val="•"/>
      <w:lvlJc w:val="left"/>
      <w:pPr>
        <w:tabs>
          <w:tab w:val="num" w:pos="5040"/>
        </w:tabs>
        <w:ind w:left="5040" w:hanging="360"/>
      </w:pPr>
      <w:rPr>
        <w:rFonts w:ascii="Arial" w:hAnsi="Arial" w:hint="default"/>
      </w:rPr>
    </w:lvl>
    <w:lvl w:ilvl="7" w:tplc="834C6D76" w:tentative="1">
      <w:start w:val="1"/>
      <w:numFmt w:val="bullet"/>
      <w:lvlText w:val="•"/>
      <w:lvlJc w:val="left"/>
      <w:pPr>
        <w:tabs>
          <w:tab w:val="num" w:pos="5760"/>
        </w:tabs>
        <w:ind w:left="5760" w:hanging="360"/>
      </w:pPr>
      <w:rPr>
        <w:rFonts w:ascii="Arial" w:hAnsi="Arial" w:hint="default"/>
      </w:rPr>
    </w:lvl>
    <w:lvl w:ilvl="8" w:tplc="C2E41B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F248D8"/>
    <w:multiLevelType w:val="hybridMultilevel"/>
    <w:tmpl w:val="1E06202E"/>
    <w:lvl w:ilvl="0" w:tplc="F6C80F74">
      <w:start w:val="16"/>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9031C"/>
    <w:multiLevelType w:val="hybridMultilevel"/>
    <w:tmpl w:val="FBA22122"/>
    <w:lvl w:ilvl="0" w:tplc="7BD2A344">
      <w:start w:val="1"/>
      <w:numFmt w:val="bullet"/>
      <w:lvlText w:val=""/>
      <w:lvlJc w:val="left"/>
      <w:pPr>
        <w:tabs>
          <w:tab w:val="num" w:pos="720"/>
        </w:tabs>
        <w:ind w:left="720" w:hanging="360"/>
      </w:pPr>
      <w:rPr>
        <w:rFonts w:ascii="Wingdings" w:hAnsi="Wingdings" w:hint="default"/>
      </w:rPr>
    </w:lvl>
    <w:lvl w:ilvl="1" w:tplc="F6525FE2">
      <w:start w:val="311"/>
      <w:numFmt w:val="bullet"/>
      <w:lvlText w:val="•"/>
      <w:lvlJc w:val="left"/>
      <w:pPr>
        <w:tabs>
          <w:tab w:val="num" w:pos="1440"/>
        </w:tabs>
        <w:ind w:left="1440" w:hanging="360"/>
      </w:pPr>
      <w:rPr>
        <w:rFonts w:ascii="Arial" w:hAnsi="Arial" w:hint="default"/>
      </w:rPr>
    </w:lvl>
    <w:lvl w:ilvl="2" w:tplc="C9F452D0" w:tentative="1">
      <w:start w:val="1"/>
      <w:numFmt w:val="bullet"/>
      <w:lvlText w:val=""/>
      <w:lvlJc w:val="left"/>
      <w:pPr>
        <w:tabs>
          <w:tab w:val="num" w:pos="2160"/>
        </w:tabs>
        <w:ind w:left="2160" w:hanging="360"/>
      </w:pPr>
      <w:rPr>
        <w:rFonts w:ascii="Wingdings" w:hAnsi="Wingdings" w:hint="default"/>
      </w:rPr>
    </w:lvl>
    <w:lvl w:ilvl="3" w:tplc="52B2DCD8" w:tentative="1">
      <w:start w:val="1"/>
      <w:numFmt w:val="bullet"/>
      <w:lvlText w:val=""/>
      <w:lvlJc w:val="left"/>
      <w:pPr>
        <w:tabs>
          <w:tab w:val="num" w:pos="2880"/>
        </w:tabs>
        <w:ind w:left="2880" w:hanging="360"/>
      </w:pPr>
      <w:rPr>
        <w:rFonts w:ascii="Wingdings" w:hAnsi="Wingdings" w:hint="default"/>
      </w:rPr>
    </w:lvl>
    <w:lvl w:ilvl="4" w:tplc="DD4AEC6E" w:tentative="1">
      <w:start w:val="1"/>
      <w:numFmt w:val="bullet"/>
      <w:lvlText w:val=""/>
      <w:lvlJc w:val="left"/>
      <w:pPr>
        <w:tabs>
          <w:tab w:val="num" w:pos="3600"/>
        </w:tabs>
        <w:ind w:left="3600" w:hanging="360"/>
      </w:pPr>
      <w:rPr>
        <w:rFonts w:ascii="Wingdings" w:hAnsi="Wingdings" w:hint="default"/>
      </w:rPr>
    </w:lvl>
    <w:lvl w:ilvl="5" w:tplc="BF12CA6A" w:tentative="1">
      <w:start w:val="1"/>
      <w:numFmt w:val="bullet"/>
      <w:lvlText w:val=""/>
      <w:lvlJc w:val="left"/>
      <w:pPr>
        <w:tabs>
          <w:tab w:val="num" w:pos="4320"/>
        </w:tabs>
        <w:ind w:left="4320" w:hanging="360"/>
      </w:pPr>
      <w:rPr>
        <w:rFonts w:ascii="Wingdings" w:hAnsi="Wingdings" w:hint="default"/>
      </w:rPr>
    </w:lvl>
    <w:lvl w:ilvl="6" w:tplc="E738F430" w:tentative="1">
      <w:start w:val="1"/>
      <w:numFmt w:val="bullet"/>
      <w:lvlText w:val=""/>
      <w:lvlJc w:val="left"/>
      <w:pPr>
        <w:tabs>
          <w:tab w:val="num" w:pos="5040"/>
        </w:tabs>
        <w:ind w:left="5040" w:hanging="360"/>
      </w:pPr>
      <w:rPr>
        <w:rFonts w:ascii="Wingdings" w:hAnsi="Wingdings" w:hint="default"/>
      </w:rPr>
    </w:lvl>
    <w:lvl w:ilvl="7" w:tplc="552A99D8" w:tentative="1">
      <w:start w:val="1"/>
      <w:numFmt w:val="bullet"/>
      <w:lvlText w:val=""/>
      <w:lvlJc w:val="left"/>
      <w:pPr>
        <w:tabs>
          <w:tab w:val="num" w:pos="5760"/>
        </w:tabs>
        <w:ind w:left="5760" w:hanging="360"/>
      </w:pPr>
      <w:rPr>
        <w:rFonts w:ascii="Wingdings" w:hAnsi="Wingdings" w:hint="default"/>
      </w:rPr>
    </w:lvl>
    <w:lvl w:ilvl="8" w:tplc="69A2E73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B3448F"/>
    <w:multiLevelType w:val="multilevel"/>
    <w:tmpl w:val="DF2C580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D65CCD"/>
    <w:multiLevelType w:val="multilevel"/>
    <w:tmpl w:val="2B2CB37C"/>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F22442"/>
    <w:multiLevelType w:val="hybridMultilevel"/>
    <w:tmpl w:val="4F9A18E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AC0546"/>
    <w:multiLevelType w:val="hybridMultilevel"/>
    <w:tmpl w:val="14D461D0"/>
    <w:lvl w:ilvl="0" w:tplc="51B616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5A0DF5"/>
    <w:multiLevelType w:val="hybridMultilevel"/>
    <w:tmpl w:val="A9B046F8"/>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3" w15:restartNumberingAfterBreak="0">
    <w:nsid w:val="7B3330B6"/>
    <w:multiLevelType w:val="hybridMultilevel"/>
    <w:tmpl w:val="68D08CE0"/>
    <w:lvl w:ilvl="0" w:tplc="ED3217D4">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19"/>
  </w:num>
  <w:num w:numId="5">
    <w:abstractNumId w:val="7"/>
  </w:num>
  <w:num w:numId="6">
    <w:abstractNumId w:val="22"/>
  </w:num>
  <w:num w:numId="7">
    <w:abstractNumId w:val="6"/>
  </w:num>
  <w:num w:numId="8">
    <w:abstractNumId w:val="2"/>
  </w:num>
  <w:num w:numId="9">
    <w:abstractNumId w:val="14"/>
  </w:num>
  <w:num w:numId="10">
    <w:abstractNumId w:val="21"/>
  </w:num>
  <w:num w:numId="11">
    <w:abstractNumId w:val="18"/>
  </w:num>
  <w:num w:numId="12">
    <w:abstractNumId w:val="9"/>
  </w:num>
  <w:num w:numId="13">
    <w:abstractNumId w:val="3"/>
  </w:num>
  <w:num w:numId="14">
    <w:abstractNumId w:val="20"/>
  </w:num>
  <w:num w:numId="15">
    <w:abstractNumId w:val="12"/>
  </w:num>
  <w:num w:numId="16">
    <w:abstractNumId w:val="4"/>
  </w:num>
  <w:num w:numId="17">
    <w:abstractNumId w:val="8"/>
  </w:num>
  <w:num w:numId="18">
    <w:abstractNumId w:val="5"/>
  </w:num>
  <w:num w:numId="19">
    <w:abstractNumId w:val="10"/>
  </w:num>
  <w:num w:numId="20">
    <w:abstractNumId w:val="23"/>
  </w:num>
  <w:num w:numId="21">
    <w:abstractNumId w:val="11"/>
  </w:num>
  <w:num w:numId="22">
    <w:abstractNumId w:val="17"/>
  </w:num>
  <w:num w:numId="23">
    <w:abstractNumId w:val="15"/>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6"/>
  </w:num>
  <w:num w:numId="32">
    <w:abstractNumId w:val="19"/>
  </w:num>
  <w:num w:numId="33">
    <w:abstractNumId w:val="19"/>
  </w:num>
  <w:num w:numId="34">
    <w:abstractNumId w:val="13"/>
  </w:num>
  <w:num w:numId="35">
    <w:abstractNumId w:val="13"/>
  </w:num>
  <w:num w:numId="36">
    <w:abstractNumId w:val="19"/>
  </w:num>
  <w:num w:numId="37">
    <w:abstractNumId w:val="19"/>
  </w:num>
  <w:num w:numId="38">
    <w:abstractNumId w:val="19"/>
  </w:num>
  <w:num w:numId="39">
    <w:abstractNumId w:val="19"/>
  </w:num>
  <w:num w:numId="4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D7A"/>
    <w:rsid w:val="00001ED8"/>
    <w:rsid w:val="000022AB"/>
    <w:rsid w:val="00003499"/>
    <w:rsid w:val="00003867"/>
    <w:rsid w:val="000039B7"/>
    <w:rsid w:val="00004750"/>
    <w:rsid w:val="000048E6"/>
    <w:rsid w:val="0000569D"/>
    <w:rsid w:val="0000639A"/>
    <w:rsid w:val="00007438"/>
    <w:rsid w:val="0000768C"/>
    <w:rsid w:val="00010E15"/>
    <w:rsid w:val="00011080"/>
    <w:rsid w:val="0001271C"/>
    <w:rsid w:val="00012B00"/>
    <w:rsid w:val="00012BEB"/>
    <w:rsid w:val="00013247"/>
    <w:rsid w:val="000153AB"/>
    <w:rsid w:val="00015886"/>
    <w:rsid w:val="000162EF"/>
    <w:rsid w:val="000171E6"/>
    <w:rsid w:val="00017B64"/>
    <w:rsid w:val="000205E5"/>
    <w:rsid w:val="000207C9"/>
    <w:rsid w:val="00021281"/>
    <w:rsid w:val="000216E7"/>
    <w:rsid w:val="00021B7F"/>
    <w:rsid w:val="00021C56"/>
    <w:rsid w:val="0002225F"/>
    <w:rsid w:val="00023763"/>
    <w:rsid w:val="000239B9"/>
    <w:rsid w:val="00024071"/>
    <w:rsid w:val="00024BD0"/>
    <w:rsid w:val="00025223"/>
    <w:rsid w:val="00026870"/>
    <w:rsid w:val="000270B9"/>
    <w:rsid w:val="000274B8"/>
    <w:rsid w:val="000277E0"/>
    <w:rsid w:val="00027AE0"/>
    <w:rsid w:val="000307C0"/>
    <w:rsid w:val="00030A49"/>
    <w:rsid w:val="00031640"/>
    <w:rsid w:val="00033863"/>
    <w:rsid w:val="000342DC"/>
    <w:rsid w:val="0003476B"/>
    <w:rsid w:val="00034A0A"/>
    <w:rsid w:val="00035DC0"/>
    <w:rsid w:val="00036829"/>
    <w:rsid w:val="000371A7"/>
    <w:rsid w:val="000377DE"/>
    <w:rsid w:val="00037BD5"/>
    <w:rsid w:val="00040895"/>
    <w:rsid w:val="00040957"/>
    <w:rsid w:val="00042C18"/>
    <w:rsid w:val="00042EE7"/>
    <w:rsid w:val="000435EE"/>
    <w:rsid w:val="00043C37"/>
    <w:rsid w:val="0004444C"/>
    <w:rsid w:val="00044E37"/>
    <w:rsid w:val="00045017"/>
    <w:rsid w:val="000452FB"/>
    <w:rsid w:val="0004541C"/>
    <w:rsid w:val="00045A2B"/>
    <w:rsid w:val="0004698F"/>
    <w:rsid w:val="0005046D"/>
    <w:rsid w:val="00051ECC"/>
    <w:rsid w:val="0005395B"/>
    <w:rsid w:val="000539D0"/>
    <w:rsid w:val="00054621"/>
    <w:rsid w:val="000546D7"/>
    <w:rsid w:val="00055522"/>
    <w:rsid w:val="00055E4C"/>
    <w:rsid w:val="000567F4"/>
    <w:rsid w:val="00056ECF"/>
    <w:rsid w:val="000570F3"/>
    <w:rsid w:val="000604DF"/>
    <w:rsid w:val="0006067A"/>
    <w:rsid w:val="000606A1"/>
    <w:rsid w:val="00061082"/>
    <w:rsid w:val="00062C9B"/>
    <w:rsid w:val="00064104"/>
    <w:rsid w:val="000653B5"/>
    <w:rsid w:val="0006552D"/>
    <w:rsid w:val="00065BD9"/>
    <w:rsid w:val="00066360"/>
    <w:rsid w:val="00066AF8"/>
    <w:rsid w:val="00066F6C"/>
    <w:rsid w:val="00067D3B"/>
    <w:rsid w:val="000709FC"/>
    <w:rsid w:val="00071001"/>
    <w:rsid w:val="00071248"/>
    <w:rsid w:val="000720B9"/>
    <w:rsid w:val="00072542"/>
    <w:rsid w:val="00072D30"/>
    <w:rsid w:val="000737F7"/>
    <w:rsid w:val="00073DFC"/>
    <w:rsid w:val="00075056"/>
    <w:rsid w:val="0007545D"/>
    <w:rsid w:val="000755BB"/>
    <w:rsid w:val="0007672F"/>
    <w:rsid w:val="00076B24"/>
    <w:rsid w:val="00076B54"/>
    <w:rsid w:val="000774F0"/>
    <w:rsid w:val="00080909"/>
    <w:rsid w:val="000812CA"/>
    <w:rsid w:val="0008182D"/>
    <w:rsid w:val="00081A8F"/>
    <w:rsid w:val="00081E63"/>
    <w:rsid w:val="0008258D"/>
    <w:rsid w:val="00083588"/>
    <w:rsid w:val="00083788"/>
    <w:rsid w:val="00083E99"/>
    <w:rsid w:val="0008477A"/>
    <w:rsid w:val="0008498C"/>
    <w:rsid w:val="00084FA8"/>
    <w:rsid w:val="000854E6"/>
    <w:rsid w:val="00085639"/>
    <w:rsid w:val="000856C5"/>
    <w:rsid w:val="0008578B"/>
    <w:rsid w:val="00085C31"/>
    <w:rsid w:val="00086083"/>
    <w:rsid w:val="00087284"/>
    <w:rsid w:val="000874F7"/>
    <w:rsid w:val="000877C1"/>
    <w:rsid w:val="000902D9"/>
    <w:rsid w:val="00090506"/>
    <w:rsid w:val="00090A15"/>
    <w:rsid w:val="00090C7E"/>
    <w:rsid w:val="000919FC"/>
    <w:rsid w:val="00091E81"/>
    <w:rsid w:val="00092600"/>
    <w:rsid w:val="0009262B"/>
    <w:rsid w:val="000932C4"/>
    <w:rsid w:val="00093310"/>
    <w:rsid w:val="0009445C"/>
    <w:rsid w:val="00095200"/>
    <w:rsid w:val="00095FE5"/>
    <w:rsid w:val="00096284"/>
    <w:rsid w:val="00096745"/>
    <w:rsid w:val="00097250"/>
    <w:rsid w:val="00097302"/>
    <w:rsid w:val="00097A2D"/>
    <w:rsid w:val="00097AE4"/>
    <w:rsid w:val="000A0ED5"/>
    <w:rsid w:val="000A1BC0"/>
    <w:rsid w:val="000A1CDD"/>
    <w:rsid w:val="000A40F9"/>
    <w:rsid w:val="000A451B"/>
    <w:rsid w:val="000A452C"/>
    <w:rsid w:val="000A6039"/>
    <w:rsid w:val="000A72F3"/>
    <w:rsid w:val="000A7453"/>
    <w:rsid w:val="000A7D08"/>
    <w:rsid w:val="000B0121"/>
    <w:rsid w:val="000B0670"/>
    <w:rsid w:val="000B0DD6"/>
    <w:rsid w:val="000B0E75"/>
    <w:rsid w:val="000B266C"/>
    <w:rsid w:val="000B2DCB"/>
    <w:rsid w:val="000B3582"/>
    <w:rsid w:val="000B4717"/>
    <w:rsid w:val="000B494F"/>
    <w:rsid w:val="000B4A58"/>
    <w:rsid w:val="000B5252"/>
    <w:rsid w:val="000B5968"/>
    <w:rsid w:val="000B5CE0"/>
    <w:rsid w:val="000B632F"/>
    <w:rsid w:val="000B65EA"/>
    <w:rsid w:val="000B6848"/>
    <w:rsid w:val="000B6905"/>
    <w:rsid w:val="000B6B92"/>
    <w:rsid w:val="000B6CAC"/>
    <w:rsid w:val="000B7612"/>
    <w:rsid w:val="000B765D"/>
    <w:rsid w:val="000B78AE"/>
    <w:rsid w:val="000C0380"/>
    <w:rsid w:val="000C0818"/>
    <w:rsid w:val="000C0CB5"/>
    <w:rsid w:val="000C1039"/>
    <w:rsid w:val="000C192D"/>
    <w:rsid w:val="000C1AEE"/>
    <w:rsid w:val="000C2006"/>
    <w:rsid w:val="000C2C94"/>
    <w:rsid w:val="000C308F"/>
    <w:rsid w:val="000C32B6"/>
    <w:rsid w:val="000C3B33"/>
    <w:rsid w:val="000C3DF9"/>
    <w:rsid w:val="000C4FEB"/>
    <w:rsid w:val="000C5D4E"/>
    <w:rsid w:val="000C5E2D"/>
    <w:rsid w:val="000C6119"/>
    <w:rsid w:val="000C6713"/>
    <w:rsid w:val="000C6C6A"/>
    <w:rsid w:val="000D0885"/>
    <w:rsid w:val="000D15D9"/>
    <w:rsid w:val="000D1BFC"/>
    <w:rsid w:val="000D1D5D"/>
    <w:rsid w:val="000D281A"/>
    <w:rsid w:val="000D2848"/>
    <w:rsid w:val="000D326A"/>
    <w:rsid w:val="000D32A1"/>
    <w:rsid w:val="000D40E7"/>
    <w:rsid w:val="000D51FB"/>
    <w:rsid w:val="000D5372"/>
    <w:rsid w:val="000D6B22"/>
    <w:rsid w:val="000D7692"/>
    <w:rsid w:val="000D76CB"/>
    <w:rsid w:val="000D7EC8"/>
    <w:rsid w:val="000E0640"/>
    <w:rsid w:val="000E0730"/>
    <w:rsid w:val="000E0F01"/>
    <w:rsid w:val="000E135D"/>
    <w:rsid w:val="000E14B7"/>
    <w:rsid w:val="000E18AC"/>
    <w:rsid w:val="000E1BB9"/>
    <w:rsid w:val="000E254F"/>
    <w:rsid w:val="000E395E"/>
    <w:rsid w:val="000E4797"/>
    <w:rsid w:val="000E4CAA"/>
    <w:rsid w:val="000E6064"/>
    <w:rsid w:val="000E6839"/>
    <w:rsid w:val="000E731E"/>
    <w:rsid w:val="000E7654"/>
    <w:rsid w:val="000F00BA"/>
    <w:rsid w:val="000F04A8"/>
    <w:rsid w:val="000F0C09"/>
    <w:rsid w:val="000F1A1C"/>
    <w:rsid w:val="000F2477"/>
    <w:rsid w:val="000F316A"/>
    <w:rsid w:val="000F3C74"/>
    <w:rsid w:val="000F4BB8"/>
    <w:rsid w:val="000F4D12"/>
    <w:rsid w:val="000F4FA9"/>
    <w:rsid w:val="000F50E1"/>
    <w:rsid w:val="000F53FB"/>
    <w:rsid w:val="000F556C"/>
    <w:rsid w:val="000F6325"/>
    <w:rsid w:val="000F6566"/>
    <w:rsid w:val="000F7127"/>
    <w:rsid w:val="000F7B54"/>
    <w:rsid w:val="00100F8A"/>
    <w:rsid w:val="00101687"/>
    <w:rsid w:val="001029A2"/>
    <w:rsid w:val="001032B0"/>
    <w:rsid w:val="0010452E"/>
    <w:rsid w:val="00104669"/>
    <w:rsid w:val="00105800"/>
    <w:rsid w:val="00105AE2"/>
    <w:rsid w:val="00105E1B"/>
    <w:rsid w:val="001060C6"/>
    <w:rsid w:val="00106485"/>
    <w:rsid w:val="00106B80"/>
    <w:rsid w:val="00106E49"/>
    <w:rsid w:val="0011032E"/>
    <w:rsid w:val="0011175D"/>
    <w:rsid w:val="001117E2"/>
    <w:rsid w:val="001119A6"/>
    <w:rsid w:val="00112C93"/>
    <w:rsid w:val="00112EF9"/>
    <w:rsid w:val="0011348B"/>
    <w:rsid w:val="00113DC1"/>
    <w:rsid w:val="00113EA4"/>
    <w:rsid w:val="00113EFB"/>
    <w:rsid w:val="001144E7"/>
    <w:rsid w:val="001158CC"/>
    <w:rsid w:val="00115982"/>
    <w:rsid w:val="00116C53"/>
    <w:rsid w:val="00116E71"/>
    <w:rsid w:val="00117483"/>
    <w:rsid w:val="0011781E"/>
    <w:rsid w:val="00121799"/>
    <w:rsid w:val="00121A1B"/>
    <w:rsid w:val="001222FC"/>
    <w:rsid w:val="0012244E"/>
    <w:rsid w:val="0012352E"/>
    <w:rsid w:val="00123902"/>
    <w:rsid w:val="00124A51"/>
    <w:rsid w:val="00124A59"/>
    <w:rsid w:val="00124AFA"/>
    <w:rsid w:val="00124E66"/>
    <w:rsid w:val="001254FB"/>
    <w:rsid w:val="00125504"/>
    <w:rsid w:val="00126621"/>
    <w:rsid w:val="00126691"/>
    <w:rsid w:val="0012669A"/>
    <w:rsid w:val="00126B1D"/>
    <w:rsid w:val="0012778B"/>
    <w:rsid w:val="00127E2E"/>
    <w:rsid w:val="001301E9"/>
    <w:rsid w:val="00130739"/>
    <w:rsid w:val="00130A3D"/>
    <w:rsid w:val="00130B1A"/>
    <w:rsid w:val="00131747"/>
    <w:rsid w:val="00131D82"/>
    <w:rsid w:val="00131E04"/>
    <w:rsid w:val="001326F3"/>
    <w:rsid w:val="00132B22"/>
    <w:rsid w:val="00133D36"/>
    <w:rsid w:val="001344D5"/>
    <w:rsid w:val="00135B29"/>
    <w:rsid w:val="00136010"/>
    <w:rsid w:val="00136014"/>
    <w:rsid w:val="001366C9"/>
    <w:rsid w:val="001367E0"/>
    <w:rsid w:val="00136BAF"/>
    <w:rsid w:val="00137645"/>
    <w:rsid w:val="0014015A"/>
    <w:rsid w:val="00140900"/>
    <w:rsid w:val="00140E22"/>
    <w:rsid w:val="00140E99"/>
    <w:rsid w:val="00141F6F"/>
    <w:rsid w:val="001428AF"/>
    <w:rsid w:val="0014292E"/>
    <w:rsid w:val="00142CEC"/>
    <w:rsid w:val="001432A0"/>
    <w:rsid w:val="00143F67"/>
    <w:rsid w:val="00143F75"/>
    <w:rsid w:val="00144C3D"/>
    <w:rsid w:val="00145540"/>
    <w:rsid w:val="001456B0"/>
    <w:rsid w:val="00146E4E"/>
    <w:rsid w:val="001514FF"/>
    <w:rsid w:val="00153DBC"/>
    <w:rsid w:val="00156F8F"/>
    <w:rsid w:val="00157130"/>
    <w:rsid w:val="001576B1"/>
    <w:rsid w:val="0016047B"/>
    <w:rsid w:val="00160A4C"/>
    <w:rsid w:val="00160CE6"/>
    <w:rsid w:val="00161857"/>
    <w:rsid w:val="00161DC8"/>
    <w:rsid w:val="00162096"/>
    <w:rsid w:val="00162913"/>
    <w:rsid w:val="00163EFF"/>
    <w:rsid w:val="00163F54"/>
    <w:rsid w:val="00163F66"/>
    <w:rsid w:val="00164016"/>
    <w:rsid w:val="00164689"/>
    <w:rsid w:val="001654E1"/>
    <w:rsid w:val="001661FB"/>
    <w:rsid w:val="001671A0"/>
    <w:rsid w:val="0016767F"/>
    <w:rsid w:val="001710CC"/>
    <w:rsid w:val="001727D2"/>
    <w:rsid w:val="0017304A"/>
    <w:rsid w:val="001732D0"/>
    <w:rsid w:val="00173565"/>
    <w:rsid w:val="001739F5"/>
    <w:rsid w:val="00173B07"/>
    <w:rsid w:val="00174761"/>
    <w:rsid w:val="001751FA"/>
    <w:rsid w:val="001768B9"/>
    <w:rsid w:val="00176C4D"/>
    <w:rsid w:val="001777FB"/>
    <w:rsid w:val="00177B2E"/>
    <w:rsid w:val="00177E43"/>
    <w:rsid w:val="00177FAF"/>
    <w:rsid w:val="0018032A"/>
    <w:rsid w:val="00180F42"/>
    <w:rsid w:val="00181259"/>
    <w:rsid w:val="00181A63"/>
    <w:rsid w:val="00181C1D"/>
    <w:rsid w:val="00181D9C"/>
    <w:rsid w:val="001825E5"/>
    <w:rsid w:val="0018285D"/>
    <w:rsid w:val="00184B0E"/>
    <w:rsid w:val="0018752F"/>
    <w:rsid w:val="0018760C"/>
    <w:rsid w:val="00187C8B"/>
    <w:rsid w:val="0019347B"/>
    <w:rsid w:val="00193838"/>
    <w:rsid w:val="00194AD8"/>
    <w:rsid w:val="00195222"/>
    <w:rsid w:val="0019551E"/>
    <w:rsid w:val="001965A1"/>
    <w:rsid w:val="001969C3"/>
    <w:rsid w:val="00196AFE"/>
    <w:rsid w:val="00196B69"/>
    <w:rsid w:val="001975D8"/>
    <w:rsid w:val="001A0635"/>
    <w:rsid w:val="001A072E"/>
    <w:rsid w:val="001A0A32"/>
    <w:rsid w:val="001A0E64"/>
    <w:rsid w:val="001A178E"/>
    <w:rsid w:val="001A1EA3"/>
    <w:rsid w:val="001A249F"/>
    <w:rsid w:val="001A2CC8"/>
    <w:rsid w:val="001A2E34"/>
    <w:rsid w:val="001A31C3"/>
    <w:rsid w:val="001A3A29"/>
    <w:rsid w:val="001A3B9B"/>
    <w:rsid w:val="001A43FA"/>
    <w:rsid w:val="001A47C5"/>
    <w:rsid w:val="001A48EC"/>
    <w:rsid w:val="001A51DE"/>
    <w:rsid w:val="001A54CF"/>
    <w:rsid w:val="001A599C"/>
    <w:rsid w:val="001A59FB"/>
    <w:rsid w:val="001A5DC8"/>
    <w:rsid w:val="001A5E9E"/>
    <w:rsid w:val="001A6354"/>
    <w:rsid w:val="001A6366"/>
    <w:rsid w:val="001A6608"/>
    <w:rsid w:val="001A7044"/>
    <w:rsid w:val="001A77C8"/>
    <w:rsid w:val="001A7AE8"/>
    <w:rsid w:val="001B041D"/>
    <w:rsid w:val="001B155E"/>
    <w:rsid w:val="001B1CDE"/>
    <w:rsid w:val="001B1CFE"/>
    <w:rsid w:val="001B204E"/>
    <w:rsid w:val="001B2372"/>
    <w:rsid w:val="001B2CB3"/>
    <w:rsid w:val="001B3407"/>
    <w:rsid w:val="001B3441"/>
    <w:rsid w:val="001B3443"/>
    <w:rsid w:val="001B3B17"/>
    <w:rsid w:val="001B4D20"/>
    <w:rsid w:val="001B67EF"/>
    <w:rsid w:val="001B6A9A"/>
    <w:rsid w:val="001B71CA"/>
    <w:rsid w:val="001B7B31"/>
    <w:rsid w:val="001C0FD5"/>
    <w:rsid w:val="001C275E"/>
    <w:rsid w:val="001C278D"/>
    <w:rsid w:val="001C29EF"/>
    <w:rsid w:val="001C2A9B"/>
    <w:rsid w:val="001C31D8"/>
    <w:rsid w:val="001C3482"/>
    <w:rsid w:val="001C3D78"/>
    <w:rsid w:val="001C3DDF"/>
    <w:rsid w:val="001C4299"/>
    <w:rsid w:val="001C4874"/>
    <w:rsid w:val="001C4F9A"/>
    <w:rsid w:val="001C5F94"/>
    <w:rsid w:val="001C6E66"/>
    <w:rsid w:val="001C731D"/>
    <w:rsid w:val="001C73C5"/>
    <w:rsid w:val="001D0E2D"/>
    <w:rsid w:val="001D1100"/>
    <w:rsid w:val="001D1391"/>
    <w:rsid w:val="001D1543"/>
    <w:rsid w:val="001D1855"/>
    <w:rsid w:val="001D1AB3"/>
    <w:rsid w:val="001D25D7"/>
    <w:rsid w:val="001D378F"/>
    <w:rsid w:val="001D50B2"/>
    <w:rsid w:val="001D6D36"/>
    <w:rsid w:val="001D6FC3"/>
    <w:rsid w:val="001D7645"/>
    <w:rsid w:val="001D7E12"/>
    <w:rsid w:val="001E0700"/>
    <w:rsid w:val="001E0B41"/>
    <w:rsid w:val="001E129A"/>
    <w:rsid w:val="001E1D25"/>
    <w:rsid w:val="001E1E86"/>
    <w:rsid w:val="001E2017"/>
    <w:rsid w:val="001E238E"/>
    <w:rsid w:val="001E2483"/>
    <w:rsid w:val="001E2B1E"/>
    <w:rsid w:val="001E2C50"/>
    <w:rsid w:val="001E2CFF"/>
    <w:rsid w:val="001E2F24"/>
    <w:rsid w:val="001E30D4"/>
    <w:rsid w:val="001E34DF"/>
    <w:rsid w:val="001E374D"/>
    <w:rsid w:val="001E3C7A"/>
    <w:rsid w:val="001E52EB"/>
    <w:rsid w:val="001E56C0"/>
    <w:rsid w:val="001E6188"/>
    <w:rsid w:val="001E61D2"/>
    <w:rsid w:val="001E62C7"/>
    <w:rsid w:val="001E64B1"/>
    <w:rsid w:val="001E68C4"/>
    <w:rsid w:val="001E6BF4"/>
    <w:rsid w:val="001E6E4D"/>
    <w:rsid w:val="001E740C"/>
    <w:rsid w:val="001E7A50"/>
    <w:rsid w:val="001F01A6"/>
    <w:rsid w:val="001F0232"/>
    <w:rsid w:val="001F1235"/>
    <w:rsid w:val="001F1CB3"/>
    <w:rsid w:val="001F1FF9"/>
    <w:rsid w:val="001F3262"/>
    <w:rsid w:val="001F3303"/>
    <w:rsid w:val="001F3821"/>
    <w:rsid w:val="001F38B5"/>
    <w:rsid w:val="001F3EFF"/>
    <w:rsid w:val="001F4081"/>
    <w:rsid w:val="001F44B2"/>
    <w:rsid w:val="001F7361"/>
    <w:rsid w:val="001F77F6"/>
    <w:rsid w:val="00200730"/>
    <w:rsid w:val="00200A7E"/>
    <w:rsid w:val="00200EF8"/>
    <w:rsid w:val="00200F63"/>
    <w:rsid w:val="002011B0"/>
    <w:rsid w:val="00201372"/>
    <w:rsid w:val="002015E3"/>
    <w:rsid w:val="00203181"/>
    <w:rsid w:val="00203783"/>
    <w:rsid w:val="0020385F"/>
    <w:rsid w:val="00204487"/>
    <w:rsid w:val="002044E5"/>
    <w:rsid w:val="002068A0"/>
    <w:rsid w:val="00206E80"/>
    <w:rsid w:val="00207021"/>
    <w:rsid w:val="0020732F"/>
    <w:rsid w:val="002074DD"/>
    <w:rsid w:val="00207AE4"/>
    <w:rsid w:val="00207D00"/>
    <w:rsid w:val="002105C1"/>
    <w:rsid w:val="0021118E"/>
    <w:rsid w:val="00211300"/>
    <w:rsid w:val="0021278E"/>
    <w:rsid w:val="00213EF5"/>
    <w:rsid w:val="00213F61"/>
    <w:rsid w:val="00214054"/>
    <w:rsid w:val="00214A37"/>
    <w:rsid w:val="00214D2B"/>
    <w:rsid w:val="00216BF5"/>
    <w:rsid w:val="00220A71"/>
    <w:rsid w:val="00220E98"/>
    <w:rsid w:val="00221EA3"/>
    <w:rsid w:val="00223946"/>
    <w:rsid w:val="00223B49"/>
    <w:rsid w:val="00223D5A"/>
    <w:rsid w:val="00224544"/>
    <w:rsid w:val="002245EE"/>
    <w:rsid w:val="00224686"/>
    <w:rsid w:val="00224DD4"/>
    <w:rsid w:val="002270A0"/>
    <w:rsid w:val="002278A0"/>
    <w:rsid w:val="002309CC"/>
    <w:rsid w:val="00230DB1"/>
    <w:rsid w:val="00230EFE"/>
    <w:rsid w:val="00231397"/>
    <w:rsid w:val="002315C9"/>
    <w:rsid w:val="0023162D"/>
    <w:rsid w:val="00231AEC"/>
    <w:rsid w:val="00231B38"/>
    <w:rsid w:val="0023209F"/>
    <w:rsid w:val="002324C2"/>
    <w:rsid w:val="00232A99"/>
    <w:rsid w:val="00233224"/>
    <w:rsid w:val="00233950"/>
    <w:rsid w:val="00233C01"/>
    <w:rsid w:val="00234041"/>
    <w:rsid w:val="0023413C"/>
    <w:rsid w:val="002346F0"/>
    <w:rsid w:val="00235CDC"/>
    <w:rsid w:val="0023629D"/>
    <w:rsid w:val="00236434"/>
    <w:rsid w:val="002368C8"/>
    <w:rsid w:val="00236A53"/>
    <w:rsid w:val="00237255"/>
    <w:rsid w:val="00240DB2"/>
    <w:rsid w:val="002424AF"/>
    <w:rsid w:val="00243522"/>
    <w:rsid w:val="002435BB"/>
    <w:rsid w:val="002439DC"/>
    <w:rsid w:val="00243A54"/>
    <w:rsid w:val="002441D2"/>
    <w:rsid w:val="002442B5"/>
    <w:rsid w:val="002446AD"/>
    <w:rsid w:val="00244DC8"/>
    <w:rsid w:val="002453A6"/>
    <w:rsid w:val="002458A2"/>
    <w:rsid w:val="002458BA"/>
    <w:rsid w:val="00245CE9"/>
    <w:rsid w:val="0024636C"/>
    <w:rsid w:val="00247925"/>
    <w:rsid w:val="00250790"/>
    <w:rsid w:val="00250F24"/>
    <w:rsid w:val="00251006"/>
    <w:rsid w:val="0025149B"/>
    <w:rsid w:val="0025236A"/>
    <w:rsid w:val="002523F0"/>
    <w:rsid w:val="002524D5"/>
    <w:rsid w:val="0025276D"/>
    <w:rsid w:val="002530C3"/>
    <w:rsid w:val="00253B1D"/>
    <w:rsid w:val="00253CD0"/>
    <w:rsid w:val="00254DCF"/>
    <w:rsid w:val="0025534B"/>
    <w:rsid w:val="00255BB7"/>
    <w:rsid w:val="00256CF6"/>
    <w:rsid w:val="00257541"/>
    <w:rsid w:val="00257A39"/>
    <w:rsid w:val="00257AC4"/>
    <w:rsid w:val="00260DCD"/>
    <w:rsid w:val="00260EEE"/>
    <w:rsid w:val="002611E8"/>
    <w:rsid w:val="00261AF4"/>
    <w:rsid w:val="00261EEF"/>
    <w:rsid w:val="00262103"/>
    <w:rsid w:val="00262A1A"/>
    <w:rsid w:val="00262A87"/>
    <w:rsid w:val="00262CA3"/>
    <w:rsid w:val="00263308"/>
    <w:rsid w:val="00263EB4"/>
    <w:rsid w:val="00264435"/>
    <w:rsid w:val="00264D26"/>
    <w:rsid w:val="002667EE"/>
    <w:rsid w:val="00267276"/>
    <w:rsid w:val="00267642"/>
    <w:rsid w:val="00267AEA"/>
    <w:rsid w:val="002700E6"/>
    <w:rsid w:val="00270125"/>
    <w:rsid w:val="00270673"/>
    <w:rsid w:val="002708A8"/>
    <w:rsid w:val="00270C92"/>
    <w:rsid w:val="0027155E"/>
    <w:rsid w:val="0027294B"/>
    <w:rsid w:val="00272D8F"/>
    <w:rsid w:val="002730BC"/>
    <w:rsid w:val="00273EB4"/>
    <w:rsid w:val="0027461A"/>
    <w:rsid w:val="00274682"/>
    <w:rsid w:val="002746D1"/>
    <w:rsid w:val="00275471"/>
    <w:rsid w:val="00275C5A"/>
    <w:rsid w:val="00277CDA"/>
    <w:rsid w:val="00280A7C"/>
    <w:rsid w:val="00280DE7"/>
    <w:rsid w:val="00281014"/>
    <w:rsid w:val="00281884"/>
    <w:rsid w:val="002830D3"/>
    <w:rsid w:val="002835C4"/>
    <w:rsid w:val="0028385E"/>
    <w:rsid w:val="002842F9"/>
    <w:rsid w:val="0028665D"/>
    <w:rsid w:val="00286860"/>
    <w:rsid w:val="00286F46"/>
    <w:rsid w:val="00287490"/>
    <w:rsid w:val="00287A16"/>
    <w:rsid w:val="00290AF4"/>
    <w:rsid w:val="00291186"/>
    <w:rsid w:val="00291CD3"/>
    <w:rsid w:val="002937CC"/>
    <w:rsid w:val="0029390E"/>
    <w:rsid w:val="002943AA"/>
    <w:rsid w:val="00294564"/>
    <w:rsid w:val="00294A1E"/>
    <w:rsid w:val="00295267"/>
    <w:rsid w:val="00295514"/>
    <w:rsid w:val="00295C39"/>
    <w:rsid w:val="00297259"/>
    <w:rsid w:val="002A0BA5"/>
    <w:rsid w:val="002A1331"/>
    <w:rsid w:val="002A14AB"/>
    <w:rsid w:val="002A151B"/>
    <w:rsid w:val="002A2ADE"/>
    <w:rsid w:val="002A2F50"/>
    <w:rsid w:val="002A347B"/>
    <w:rsid w:val="002A42C6"/>
    <w:rsid w:val="002A5E42"/>
    <w:rsid w:val="002A68EB"/>
    <w:rsid w:val="002A7136"/>
    <w:rsid w:val="002B0240"/>
    <w:rsid w:val="002B05A1"/>
    <w:rsid w:val="002B09A4"/>
    <w:rsid w:val="002B0E29"/>
    <w:rsid w:val="002B1C1F"/>
    <w:rsid w:val="002B2BF9"/>
    <w:rsid w:val="002B2EE1"/>
    <w:rsid w:val="002B39F1"/>
    <w:rsid w:val="002B432F"/>
    <w:rsid w:val="002B5361"/>
    <w:rsid w:val="002B53CE"/>
    <w:rsid w:val="002B62B3"/>
    <w:rsid w:val="002B6754"/>
    <w:rsid w:val="002B6CCE"/>
    <w:rsid w:val="002B7DB8"/>
    <w:rsid w:val="002B7F95"/>
    <w:rsid w:val="002C2510"/>
    <w:rsid w:val="002C275D"/>
    <w:rsid w:val="002C2775"/>
    <w:rsid w:val="002C27C1"/>
    <w:rsid w:val="002C2BDC"/>
    <w:rsid w:val="002C40A9"/>
    <w:rsid w:val="002C5099"/>
    <w:rsid w:val="002C5889"/>
    <w:rsid w:val="002C5B10"/>
    <w:rsid w:val="002C63F7"/>
    <w:rsid w:val="002C6581"/>
    <w:rsid w:val="002C66C8"/>
    <w:rsid w:val="002C6BFF"/>
    <w:rsid w:val="002C71CE"/>
    <w:rsid w:val="002C79D0"/>
    <w:rsid w:val="002D08CB"/>
    <w:rsid w:val="002D08F8"/>
    <w:rsid w:val="002D111F"/>
    <w:rsid w:val="002D1387"/>
    <w:rsid w:val="002D29AB"/>
    <w:rsid w:val="002D2FFE"/>
    <w:rsid w:val="002D3DBE"/>
    <w:rsid w:val="002D40C0"/>
    <w:rsid w:val="002D4CFF"/>
    <w:rsid w:val="002D577C"/>
    <w:rsid w:val="002D5F14"/>
    <w:rsid w:val="002D6725"/>
    <w:rsid w:val="002D766D"/>
    <w:rsid w:val="002D7E7E"/>
    <w:rsid w:val="002E1071"/>
    <w:rsid w:val="002E116B"/>
    <w:rsid w:val="002E11CE"/>
    <w:rsid w:val="002E13A8"/>
    <w:rsid w:val="002E14A5"/>
    <w:rsid w:val="002E15B9"/>
    <w:rsid w:val="002E18D8"/>
    <w:rsid w:val="002E2158"/>
    <w:rsid w:val="002E4F02"/>
    <w:rsid w:val="002E542C"/>
    <w:rsid w:val="002E56ED"/>
    <w:rsid w:val="002E5B00"/>
    <w:rsid w:val="002E6643"/>
    <w:rsid w:val="002E6B71"/>
    <w:rsid w:val="002E7722"/>
    <w:rsid w:val="002E7BBC"/>
    <w:rsid w:val="002E7CAA"/>
    <w:rsid w:val="002E7FDD"/>
    <w:rsid w:val="002F075C"/>
    <w:rsid w:val="002F07BA"/>
    <w:rsid w:val="002F0C38"/>
    <w:rsid w:val="002F0D9F"/>
    <w:rsid w:val="002F0DA9"/>
    <w:rsid w:val="002F1014"/>
    <w:rsid w:val="002F1A04"/>
    <w:rsid w:val="002F3378"/>
    <w:rsid w:val="002F402C"/>
    <w:rsid w:val="002F50B6"/>
    <w:rsid w:val="002F643C"/>
    <w:rsid w:val="002F71C0"/>
    <w:rsid w:val="002F74F1"/>
    <w:rsid w:val="00300272"/>
    <w:rsid w:val="00300726"/>
    <w:rsid w:val="00301017"/>
    <w:rsid w:val="0030155F"/>
    <w:rsid w:val="003030CA"/>
    <w:rsid w:val="003043B5"/>
    <w:rsid w:val="00304904"/>
    <w:rsid w:val="00304B95"/>
    <w:rsid w:val="00304D60"/>
    <w:rsid w:val="00304E41"/>
    <w:rsid w:val="00305481"/>
    <w:rsid w:val="0030587B"/>
    <w:rsid w:val="00306D98"/>
    <w:rsid w:val="0030772F"/>
    <w:rsid w:val="0030786C"/>
    <w:rsid w:val="0031031A"/>
    <w:rsid w:val="00310981"/>
    <w:rsid w:val="003109D8"/>
    <w:rsid w:val="00311D9C"/>
    <w:rsid w:val="0031212D"/>
    <w:rsid w:val="003124D9"/>
    <w:rsid w:val="00312594"/>
    <w:rsid w:val="00312CC6"/>
    <w:rsid w:val="00312DBD"/>
    <w:rsid w:val="00312E05"/>
    <w:rsid w:val="00314DEE"/>
    <w:rsid w:val="0031509F"/>
    <w:rsid w:val="00315498"/>
    <w:rsid w:val="00315A12"/>
    <w:rsid w:val="00315C54"/>
    <w:rsid w:val="00315DAE"/>
    <w:rsid w:val="00316474"/>
    <w:rsid w:val="00316FDE"/>
    <w:rsid w:val="00317395"/>
    <w:rsid w:val="003176B1"/>
    <w:rsid w:val="00317D30"/>
    <w:rsid w:val="003201DD"/>
    <w:rsid w:val="00320773"/>
    <w:rsid w:val="00320EFF"/>
    <w:rsid w:val="003216C3"/>
    <w:rsid w:val="00321E54"/>
    <w:rsid w:val="00322107"/>
    <w:rsid w:val="00322355"/>
    <w:rsid w:val="0032245C"/>
    <w:rsid w:val="00322846"/>
    <w:rsid w:val="00322BFF"/>
    <w:rsid w:val="00322C1E"/>
    <w:rsid w:val="00322F5A"/>
    <w:rsid w:val="00323942"/>
    <w:rsid w:val="00323F87"/>
    <w:rsid w:val="00324F2C"/>
    <w:rsid w:val="003258B7"/>
    <w:rsid w:val="00326943"/>
    <w:rsid w:val="00326DA7"/>
    <w:rsid w:val="003270E4"/>
    <w:rsid w:val="003275CC"/>
    <w:rsid w:val="00327DC7"/>
    <w:rsid w:val="003308A6"/>
    <w:rsid w:val="00330DAA"/>
    <w:rsid w:val="00330F5C"/>
    <w:rsid w:val="00333C49"/>
    <w:rsid w:val="003348D1"/>
    <w:rsid w:val="00334ED3"/>
    <w:rsid w:val="003365CE"/>
    <w:rsid w:val="0033665C"/>
    <w:rsid w:val="003366C9"/>
    <w:rsid w:val="003371B0"/>
    <w:rsid w:val="00337329"/>
    <w:rsid w:val="00340DF1"/>
    <w:rsid w:val="00341E94"/>
    <w:rsid w:val="0034259D"/>
    <w:rsid w:val="00343B7A"/>
    <w:rsid w:val="003454FA"/>
    <w:rsid w:val="0034571E"/>
    <w:rsid w:val="003469E9"/>
    <w:rsid w:val="00347D82"/>
    <w:rsid w:val="00350714"/>
    <w:rsid w:val="00350E8D"/>
    <w:rsid w:val="00351341"/>
    <w:rsid w:val="003517F9"/>
    <w:rsid w:val="00351BA9"/>
    <w:rsid w:val="00351CD7"/>
    <w:rsid w:val="003537E4"/>
    <w:rsid w:val="003538BB"/>
    <w:rsid w:val="0035412D"/>
    <w:rsid w:val="003542C7"/>
    <w:rsid w:val="00354F64"/>
    <w:rsid w:val="0035511D"/>
    <w:rsid w:val="00355904"/>
    <w:rsid w:val="00355D01"/>
    <w:rsid w:val="0035620E"/>
    <w:rsid w:val="003564FD"/>
    <w:rsid w:val="003565B3"/>
    <w:rsid w:val="0035662D"/>
    <w:rsid w:val="003577DE"/>
    <w:rsid w:val="00357E3F"/>
    <w:rsid w:val="00360345"/>
    <w:rsid w:val="0036038F"/>
    <w:rsid w:val="003608FD"/>
    <w:rsid w:val="00361A05"/>
    <w:rsid w:val="00361C92"/>
    <w:rsid w:val="003624C4"/>
    <w:rsid w:val="00363B00"/>
    <w:rsid w:val="00363B61"/>
    <w:rsid w:val="00363E1C"/>
    <w:rsid w:val="003654AC"/>
    <w:rsid w:val="00365DC3"/>
    <w:rsid w:val="003661B1"/>
    <w:rsid w:val="003661B6"/>
    <w:rsid w:val="0037089B"/>
    <w:rsid w:val="003710CF"/>
    <w:rsid w:val="0037140B"/>
    <w:rsid w:val="00371BFE"/>
    <w:rsid w:val="003725CF"/>
    <w:rsid w:val="0037358A"/>
    <w:rsid w:val="003739A1"/>
    <w:rsid w:val="00373AD5"/>
    <w:rsid w:val="003745D2"/>
    <w:rsid w:val="00374D0A"/>
    <w:rsid w:val="00374D1D"/>
    <w:rsid w:val="003750F6"/>
    <w:rsid w:val="003755D0"/>
    <w:rsid w:val="003760FC"/>
    <w:rsid w:val="00376F94"/>
    <w:rsid w:val="00377693"/>
    <w:rsid w:val="00377D24"/>
    <w:rsid w:val="00377EFE"/>
    <w:rsid w:val="00380861"/>
    <w:rsid w:val="003810EB"/>
    <w:rsid w:val="0038365C"/>
    <w:rsid w:val="0038369B"/>
    <w:rsid w:val="00383B78"/>
    <w:rsid w:val="00384757"/>
    <w:rsid w:val="0038507C"/>
    <w:rsid w:val="00385A9D"/>
    <w:rsid w:val="003873E2"/>
    <w:rsid w:val="0038744C"/>
    <w:rsid w:val="00387A66"/>
    <w:rsid w:val="00387AA6"/>
    <w:rsid w:val="003902B1"/>
    <w:rsid w:val="00390B5C"/>
    <w:rsid w:val="0039163C"/>
    <w:rsid w:val="0039179C"/>
    <w:rsid w:val="00393AE3"/>
    <w:rsid w:val="00395306"/>
    <w:rsid w:val="00395801"/>
    <w:rsid w:val="00395A3A"/>
    <w:rsid w:val="00395EF5"/>
    <w:rsid w:val="00396896"/>
    <w:rsid w:val="00396FD0"/>
    <w:rsid w:val="00397677"/>
    <w:rsid w:val="00397820"/>
    <w:rsid w:val="003A00E2"/>
    <w:rsid w:val="003A040F"/>
    <w:rsid w:val="003A1A7A"/>
    <w:rsid w:val="003A2298"/>
    <w:rsid w:val="003A2392"/>
    <w:rsid w:val="003A2831"/>
    <w:rsid w:val="003A3CB6"/>
    <w:rsid w:val="003A3E5B"/>
    <w:rsid w:val="003A3ED1"/>
    <w:rsid w:val="003A40DF"/>
    <w:rsid w:val="003A44DB"/>
    <w:rsid w:val="003A5F0B"/>
    <w:rsid w:val="003A6995"/>
    <w:rsid w:val="003A6FD9"/>
    <w:rsid w:val="003A7B64"/>
    <w:rsid w:val="003B0DD4"/>
    <w:rsid w:val="003B0F56"/>
    <w:rsid w:val="003B3971"/>
    <w:rsid w:val="003B407B"/>
    <w:rsid w:val="003B55D1"/>
    <w:rsid w:val="003B5B61"/>
    <w:rsid w:val="003B5E3C"/>
    <w:rsid w:val="003B7196"/>
    <w:rsid w:val="003B7AF7"/>
    <w:rsid w:val="003C00BC"/>
    <w:rsid w:val="003C08EB"/>
    <w:rsid w:val="003C0CFD"/>
    <w:rsid w:val="003C0F0A"/>
    <w:rsid w:val="003C1654"/>
    <w:rsid w:val="003C16C9"/>
    <w:rsid w:val="003C19B5"/>
    <w:rsid w:val="003C2AB0"/>
    <w:rsid w:val="003C2F89"/>
    <w:rsid w:val="003C3869"/>
    <w:rsid w:val="003C3C04"/>
    <w:rsid w:val="003C4C0A"/>
    <w:rsid w:val="003C502A"/>
    <w:rsid w:val="003C5542"/>
    <w:rsid w:val="003C5678"/>
    <w:rsid w:val="003C64F9"/>
    <w:rsid w:val="003C7D19"/>
    <w:rsid w:val="003C7D2F"/>
    <w:rsid w:val="003D0886"/>
    <w:rsid w:val="003D0A89"/>
    <w:rsid w:val="003D1828"/>
    <w:rsid w:val="003D1DE4"/>
    <w:rsid w:val="003D1E9A"/>
    <w:rsid w:val="003D2422"/>
    <w:rsid w:val="003D3961"/>
    <w:rsid w:val="003D39A1"/>
    <w:rsid w:val="003D3FBF"/>
    <w:rsid w:val="003D432C"/>
    <w:rsid w:val="003D49DC"/>
    <w:rsid w:val="003D4A30"/>
    <w:rsid w:val="003D4F66"/>
    <w:rsid w:val="003D56E1"/>
    <w:rsid w:val="003D62A1"/>
    <w:rsid w:val="003D69A6"/>
    <w:rsid w:val="003D6C27"/>
    <w:rsid w:val="003D70DA"/>
    <w:rsid w:val="003D7452"/>
    <w:rsid w:val="003D7983"/>
    <w:rsid w:val="003D79BB"/>
    <w:rsid w:val="003D7C98"/>
    <w:rsid w:val="003D7D9D"/>
    <w:rsid w:val="003E0543"/>
    <w:rsid w:val="003E0F81"/>
    <w:rsid w:val="003E31EA"/>
    <w:rsid w:val="003E3F41"/>
    <w:rsid w:val="003E4F67"/>
    <w:rsid w:val="003E5281"/>
    <w:rsid w:val="003E65C2"/>
    <w:rsid w:val="003E6909"/>
    <w:rsid w:val="003E749E"/>
    <w:rsid w:val="003F00C7"/>
    <w:rsid w:val="003F09D3"/>
    <w:rsid w:val="003F14CE"/>
    <w:rsid w:val="003F18E7"/>
    <w:rsid w:val="003F4156"/>
    <w:rsid w:val="003F49F3"/>
    <w:rsid w:val="003F4E93"/>
    <w:rsid w:val="003F5524"/>
    <w:rsid w:val="003F5ADF"/>
    <w:rsid w:val="003F5C9C"/>
    <w:rsid w:val="003F65E2"/>
    <w:rsid w:val="003F6E08"/>
    <w:rsid w:val="003F7642"/>
    <w:rsid w:val="003F7856"/>
    <w:rsid w:val="003F7F32"/>
    <w:rsid w:val="00400B29"/>
    <w:rsid w:val="00401307"/>
    <w:rsid w:val="004017EF"/>
    <w:rsid w:val="00403E7A"/>
    <w:rsid w:val="004045BD"/>
    <w:rsid w:val="00404D18"/>
    <w:rsid w:val="0040504B"/>
    <w:rsid w:val="00405805"/>
    <w:rsid w:val="00405872"/>
    <w:rsid w:val="0040590A"/>
    <w:rsid w:val="004059F4"/>
    <w:rsid w:val="00405B75"/>
    <w:rsid w:val="00405E34"/>
    <w:rsid w:val="00405FA4"/>
    <w:rsid w:val="004067CC"/>
    <w:rsid w:val="00407FE5"/>
    <w:rsid w:val="004101B0"/>
    <w:rsid w:val="00410326"/>
    <w:rsid w:val="00410708"/>
    <w:rsid w:val="00410EC7"/>
    <w:rsid w:val="0041106D"/>
    <w:rsid w:val="004110CB"/>
    <w:rsid w:val="004119F4"/>
    <w:rsid w:val="00411B39"/>
    <w:rsid w:val="00411E9B"/>
    <w:rsid w:val="004127A7"/>
    <w:rsid w:val="00412DA6"/>
    <w:rsid w:val="004137C2"/>
    <w:rsid w:val="00413A1E"/>
    <w:rsid w:val="00413A20"/>
    <w:rsid w:val="00414476"/>
    <w:rsid w:val="00414C2E"/>
    <w:rsid w:val="00414F69"/>
    <w:rsid w:val="004150FF"/>
    <w:rsid w:val="004151CF"/>
    <w:rsid w:val="004155D2"/>
    <w:rsid w:val="004160C5"/>
    <w:rsid w:val="004161A4"/>
    <w:rsid w:val="00416364"/>
    <w:rsid w:val="0041638A"/>
    <w:rsid w:val="004165AE"/>
    <w:rsid w:val="0041765E"/>
    <w:rsid w:val="00417B08"/>
    <w:rsid w:val="0042047F"/>
    <w:rsid w:val="00420AA6"/>
    <w:rsid w:val="00420B9F"/>
    <w:rsid w:val="0042192C"/>
    <w:rsid w:val="00421D69"/>
    <w:rsid w:val="00422260"/>
    <w:rsid w:val="0042262A"/>
    <w:rsid w:val="00423173"/>
    <w:rsid w:val="00423E56"/>
    <w:rsid w:val="0042413F"/>
    <w:rsid w:val="004278D8"/>
    <w:rsid w:val="00427CD3"/>
    <w:rsid w:val="00427E66"/>
    <w:rsid w:val="004301B2"/>
    <w:rsid w:val="0043152C"/>
    <w:rsid w:val="004319F8"/>
    <w:rsid w:val="00431A64"/>
    <w:rsid w:val="00431E55"/>
    <w:rsid w:val="004321F6"/>
    <w:rsid w:val="00432F80"/>
    <w:rsid w:val="00433044"/>
    <w:rsid w:val="00434088"/>
    <w:rsid w:val="00434F3B"/>
    <w:rsid w:val="00435C46"/>
    <w:rsid w:val="00435F92"/>
    <w:rsid w:val="004375B9"/>
    <w:rsid w:val="0043771D"/>
    <w:rsid w:val="00437B23"/>
    <w:rsid w:val="00441027"/>
    <w:rsid w:val="0044109A"/>
    <w:rsid w:val="0044194C"/>
    <w:rsid w:val="00441A71"/>
    <w:rsid w:val="004428D0"/>
    <w:rsid w:val="00442CEC"/>
    <w:rsid w:val="00444185"/>
    <w:rsid w:val="004443A7"/>
    <w:rsid w:val="0044442C"/>
    <w:rsid w:val="004452F8"/>
    <w:rsid w:val="00445380"/>
    <w:rsid w:val="00445941"/>
    <w:rsid w:val="00446083"/>
    <w:rsid w:val="004464EB"/>
    <w:rsid w:val="004467A0"/>
    <w:rsid w:val="00446C65"/>
    <w:rsid w:val="00447D26"/>
    <w:rsid w:val="00447DFC"/>
    <w:rsid w:val="00451320"/>
    <w:rsid w:val="00451C39"/>
    <w:rsid w:val="00451FF2"/>
    <w:rsid w:val="00452AEB"/>
    <w:rsid w:val="00454A89"/>
    <w:rsid w:val="00454BB2"/>
    <w:rsid w:val="00455126"/>
    <w:rsid w:val="00455962"/>
    <w:rsid w:val="00455AF9"/>
    <w:rsid w:val="00455D45"/>
    <w:rsid w:val="00456ED1"/>
    <w:rsid w:val="004573C9"/>
    <w:rsid w:val="004576A0"/>
    <w:rsid w:val="0046020D"/>
    <w:rsid w:val="004606F1"/>
    <w:rsid w:val="00461721"/>
    <w:rsid w:val="00461742"/>
    <w:rsid w:val="004617F5"/>
    <w:rsid w:val="00462184"/>
    <w:rsid w:val="0046278B"/>
    <w:rsid w:val="00464595"/>
    <w:rsid w:val="00464CE8"/>
    <w:rsid w:val="00464E0F"/>
    <w:rsid w:val="0046538A"/>
    <w:rsid w:val="004658B5"/>
    <w:rsid w:val="00465D01"/>
    <w:rsid w:val="00466834"/>
    <w:rsid w:val="00467979"/>
    <w:rsid w:val="00470A89"/>
    <w:rsid w:val="00471EA5"/>
    <w:rsid w:val="00472A79"/>
    <w:rsid w:val="00472D6E"/>
    <w:rsid w:val="00473F19"/>
    <w:rsid w:val="004740E2"/>
    <w:rsid w:val="004745F9"/>
    <w:rsid w:val="00475E22"/>
    <w:rsid w:val="00476479"/>
    <w:rsid w:val="0047673B"/>
    <w:rsid w:val="00476841"/>
    <w:rsid w:val="00477880"/>
    <w:rsid w:val="00477BE7"/>
    <w:rsid w:val="00480804"/>
    <w:rsid w:val="0048088E"/>
    <w:rsid w:val="00480D5D"/>
    <w:rsid w:val="00480F2B"/>
    <w:rsid w:val="00482720"/>
    <w:rsid w:val="00482AFC"/>
    <w:rsid w:val="004835E7"/>
    <w:rsid w:val="00485B35"/>
    <w:rsid w:val="004867E2"/>
    <w:rsid w:val="00490587"/>
    <w:rsid w:val="00490B17"/>
    <w:rsid w:val="00491231"/>
    <w:rsid w:val="00491B3A"/>
    <w:rsid w:val="00491BBE"/>
    <w:rsid w:val="0049209B"/>
    <w:rsid w:val="00492AC2"/>
    <w:rsid w:val="00492CFD"/>
    <w:rsid w:val="00494207"/>
    <w:rsid w:val="00494233"/>
    <w:rsid w:val="00494DD5"/>
    <w:rsid w:val="004962D2"/>
    <w:rsid w:val="00496378"/>
    <w:rsid w:val="00496A05"/>
    <w:rsid w:val="004973F7"/>
    <w:rsid w:val="00497EB6"/>
    <w:rsid w:val="004A000E"/>
    <w:rsid w:val="004A0DA1"/>
    <w:rsid w:val="004A0E1B"/>
    <w:rsid w:val="004A1161"/>
    <w:rsid w:val="004A13D6"/>
    <w:rsid w:val="004A3CDE"/>
    <w:rsid w:val="004A4B5B"/>
    <w:rsid w:val="004A52E9"/>
    <w:rsid w:val="004A5CB0"/>
    <w:rsid w:val="004A5CF6"/>
    <w:rsid w:val="004A6040"/>
    <w:rsid w:val="004A6597"/>
    <w:rsid w:val="004A74D3"/>
    <w:rsid w:val="004A77F7"/>
    <w:rsid w:val="004A7848"/>
    <w:rsid w:val="004B07AF"/>
    <w:rsid w:val="004B13AD"/>
    <w:rsid w:val="004B1CB4"/>
    <w:rsid w:val="004B2F18"/>
    <w:rsid w:val="004B3151"/>
    <w:rsid w:val="004B3DC9"/>
    <w:rsid w:val="004B3DDB"/>
    <w:rsid w:val="004B44FD"/>
    <w:rsid w:val="004B5963"/>
    <w:rsid w:val="004B5CFC"/>
    <w:rsid w:val="004B6040"/>
    <w:rsid w:val="004B6889"/>
    <w:rsid w:val="004B6F79"/>
    <w:rsid w:val="004B774D"/>
    <w:rsid w:val="004B7F76"/>
    <w:rsid w:val="004C06F0"/>
    <w:rsid w:val="004C1FC3"/>
    <w:rsid w:val="004C2D7B"/>
    <w:rsid w:val="004C3BE1"/>
    <w:rsid w:val="004C4AED"/>
    <w:rsid w:val="004C5C5C"/>
    <w:rsid w:val="004C6435"/>
    <w:rsid w:val="004C6CEF"/>
    <w:rsid w:val="004C702C"/>
    <w:rsid w:val="004C7266"/>
    <w:rsid w:val="004D0B81"/>
    <w:rsid w:val="004D13A2"/>
    <w:rsid w:val="004D1D25"/>
    <w:rsid w:val="004D2C2D"/>
    <w:rsid w:val="004D3CA1"/>
    <w:rsid w:val="004D3D9B"/>
    <w:rsid w:val="004D4E89"/>
    <w:rsid w:val="004D5389"/>
    <w:rsid w:val="004D560F"/>
    <w:rsid w:val="004D5619"/>
    <w:rsid w:val="004D69B5"/>
    <w:rsid w:val="004D7227"/>
    <w:rsid w:val="004E09EA"/>
    <w:rsid w:val="004E0ABA"/>
    <w:rsid w:val="004E0B76"/>
    <w:rsid w:val="004E0E7F"/>
    <w:rsid w:val="004E0EB8"/>
    <w:rsid w:val="004E18A3"/>
    <w:rsid w:val="004E18E9"/>
    <w:rsid w:val="004E24D8"/>
    <w:rsid w:val="004E2ADC"/>
    <w:rsid w:val="004E3901"/>
    <w:rsid w:val="004E3B18"/>
    <w:rsid w:val="004E43B2"/>
    <w:rsid w:val="004E4F6F"/>
    <w:rsid w:val="004E53DC"/>
    <w:rsid w:val="004E57B9"/>
    <w:rsid w:val="004E6A42"/>
    <w:rsid w:val="004E6DAB"/>
    <w:rsid w:val="004E7541"/>
    <w:rsid w:val="004E7631"/>
    <w:rsid w:val="004F17B5"/>
    <w:rsid w:val="004F1D02"/>
    <w:rsid w:val="004F2679"/>
    <w:rsid w:val="004F2F21"/>
    <w:rsid w:val="004F3840"/>
    <w:rsid w:val="004F384E"/>
    <w:rsid w:val="004F3BC5"/>
    <w:rsid w:val="004F3DE5"/>
    <w:rsid w:val="004F5636"/>
    <w:rsid w:val="004F5B49"/>
    <w:rsid w:val="004F5C65"/>
    <w:rsid w:val="004F61FE"/>
    <w:rsid w:val="004F6913"/>
    <w:rsid w:val="004F7518"/>
    <w:rsid w:val="004F7865"/>
    <w:rsid w:val="004F7F42"/>
    <w:rsid w:val="0050174E"/>
    <w:rsid w:val="00501854"/>
    <w:rsid w:val="0050219B"/>
    <w:rsid w:val="0050268C"/>
    <w:rsid w:val="00502E2F"/>
    <w:rsid w:val="00503F17"/>
    <w:rsid w:val="0050504F"/>
    <w:rsid w:val="00506098"/>
    <w:rsid w:val="00506247"/>
    <w:rsid w:val="00506928"/>
    <w:rsid w:val="00507160"/>
    <w:rsid w:val="00507481"/>
    <w:rsid w:val="005077EF"/>
    <w:rsid w:val="00507846"/>
    <w:rsid w:val="005109D6"/>
    <w:rsid w:val="005116C4"/>
    <w:rsid w:val="00511AD5"/>
    <w:rsid w:val="00511DC7"/>
    <w:rsid w:val="00513148"/>
    <w:rsid w:val="005138E3"/>
    <w:rsid w:val="00514218"/>
    <w:rsid w:val="005142C5"/>
    <w:rsid w:val="00514384"/>
    <w:rsid w:val="005145B6"/>
    <w:rsid w:val="00514C75"/>
    <w:rsid w:val="00514D5B"/>
    <w:rsid w:val="00514DC8"/>
    <w:rsid w:val="0051501B"/>
    <w:rsid w:val="005152B5"/>
    <w:rsid w:val="005153A9"/>
    <w:rsid w:val="00515854"/>
    <w:rsid w:val="0051586C"/>
    <w:rsid w:val="00517413"/>
    <w:rsid w:val="0051748A"/>
    <w:rsid w:val="00517B39"/>
    <w:rsid w:val="00517CA3"/>
    <w:rsid w:val="00517CD8"/>
    <w:rsid w:val="0052013F"/>
    <w:rsid w:val="005202EF"/>
    <w:rsid w:val="00520BB2"/>
    <w:rsid w:val="00520BFB"/>
    <w:rsid w:val="00520EF8"/>
    <w:rsid w:val="0052123C"/>
    <w:rsid w:val="00521319"/>
    <w:rsid w:val="00521A05"/>
    <w:rsid w:val="00521BEB"/>
    <w:rsid w:val="00521D8A"/>
    <w:rsid w:val="00522A09"/>
    <w:rsid w:val="00522BC8"/>
    <w:rsid w:val="005231BA"/>
    <w:rsid w:val="00523C28"/>
    <w:rsid w:val="0052412B"/>
    <w:rsid w:val="00524500"/>
    <w:rsid w:val="00524CFC"/>
    <w:rsid w:val="00524FB2"/>
    <w:rsid w:val="005251A3"/>
    <w:rsid w:val="005251AB"/>
    <w:rsid w:val="00525E20"/>
    <w:rsid w:val="00526015"/>
    <w:rsid w:val="00530BF9"/>
    <w:rsid w:val="0053176B"/>
    <w:rsid w:val="00532619"/>
    <w:rsid w:val="00532D5E"/>
    <w:rsid w:val="005331E4"/>
    <w:rsid w:val="005332FC"/>
    <w:rsid w:val="00533628"/>
    <w:rsid w:val="00534165"/>
    <w:rsid w:val="0053494B"/>
    <w:rsid w:val="0053540A"/>
    <w:rsid w:val="0053610F"/>
    <w:rsid w:val="00536337"/>
    <w:rsid w:val="00536484"/>
    <w:rsid w:val="00536C15"/>
    <w:rsid w:val="00536F42"/>
    <w:rsid w:val="00537182"/>
    <w:rsid w:val="00537427"/>
    <w:rsid w:val="00537D02"/>
    <w:rsid w:val="005415E0"/>
    <w:rsid w:val="00541EDD"/>
    <w:rsid w:val="0054218D"/>
    <w:rsid w:val="00542743"/>
    <w:rsid w:val="00542C2D"/>
    <w:rsid w:val="00544464"/>
    <w:rsid w:val="00544956"/>
    <w:rsid w:val="00546B18"/>
    <w:rsid w:val="00546D0B"/>
    <w:rsid w:val="0054741E"/>
    <w:rsid w:val="005478BD"/>
    <w:rsid w:val="005479E3"/>
    <w:rsid w:val="00547BB0"/>
    <w:rsid w:val="00547F33"/>
    <w:rsid w:val="0055087F"/>
    <w:rsid w:val="005512D2"/>
    <w:rsid w:val="00551985"/>
    <w:rsid w:val="00552BD3"/>
    <w:rsid w:val="005532A0"/>
    <w:rsid w:val="00553D5A"/>
    <w:rsid w:val="00554CCB"/>
    <w:rsid w:val="00555109"/>
    <w:rsid w:val="005569E4"/>
    <w:rsid w:val="00556B04"/>
    <w:rsid w:val="00556B35"/>
    <w:rsid w:val="00556E94"/>
    <w:rsid w:val="0055741A"/>
    <w:rsid w:val="005603A1"/>
    <w:rsid w:val="0056047C"/>
    <w:rsid w:val="005611B7"/>
    <w:rsid w:val="005618D4"/>
    <w:rsid w:val="00561D28"/>
    <w:rsid w:val="00561E8F"/>
    <w:rsid w:val="00562226"/>
    <w:rsid w:val="005631F3"/>
    <w:rsid w:val="005638BD"/>
    <w:rsid w:val="00564F25"/>
    <w:rsid w:val="005652D6"/>
    <w:rsid w:val="00565A4A"/>
    <w:rsid w:val="00565C17"/>
    <w:rsid w:val="00565DF0"/>
    <w:rsid w:val="0056696F"/>
    <w:rsid w:val="0057006C"/>
    <w:rsid w:val="00570B69"/>
    <w:rsid w:val="005710ED"/>
    <w:rsid w:val="0057125A"/>
    <w:rsid w:val="00571C3E"/>
    <w:rsid w:val="00572269"/>
    <w:rsid w:val="0057244A"/>
    <w:rsid w:val="005724FA"/>
    <w:rsid w:val="00572F26"/>
    <w:rsid w:val="0057336C"/>
    <w:rsid w:val="00573E8A"/>
    <w:rsid w:val="00574BB9"/>
    <w:rsid w:val="005750C5"/>
    <w:rsid w:val="005752DE"/>
    <w:rsid w:val="00575D8D"/>
    <w:rsid w:val="00576249"/>
    <w:rsid w:val="00576624"/>
    <w:rsid w:val="005766A3"/>
    <w:rsid w:val="00576972"/>
    <w:rsid w:val="00582117"/>
    <w:rsid w:val="00583699"/>
    <w:rsid w:val="0058450E"/>
    <w:rsid w:val="00585A94"/>
    <w:rsid w:val="00585CDD"/>
    <w:rsid w:val="00587058"/>
    <w:rsid w:val="005871FC"/>
    <w:rsid w:val="005914A0"/>
    <w:rsid w:val="0059169F"/>
    <w:rsid w:val="00591957"/>
    <w:rsid w:val="00591FFC"/>
    <w:rsid w:val="005941B1"/>
    <w:rsid w:val="00594745"/>
    <w:rsid w:val="00594917"/>
    <w:rsid w:val="00594B18"/>
    <w:rsid w:val="005954DA"/>
    <w:rsid w:val="005960C2"/>
    <w:rsid w:val="005966D4"/>
    <w:rsid w:val="005968A1"/>
    <w:rsid w:val="00596BED"/>
    <w:rsid w:val="00597620"/>
    <w:rsid w:val="00597BF9"/>
    <w:rsid w:val="005A0830"/>
    <w:rsid w:val="005A0FC4"/>
    <w:rsid w:val="005A0FEB"/>
    <w:rsid w:val="005A20D2"/>
    <w:rsid w:val="005A2407"/>
    <w:rsid w:val="005A309A"/>
    <w:rsid w:val="005A3528"/>
    <w:rsid w:val="005A373D"/>
    <w:rsid w:val="005A4242"/>
    <w:rsid w:val="005A444F"/>
    <w:rsid w:val="005A460E"/>
    <w:rsid w:val="005A4B5E"/>
    <w:rsid w:val="005A541D"/>
    <w:rsid w:val="005A5E53"/>
    <w:rsid w:val="005A60F1"/>
    <w:rsid w:val="005A6CCA"/>
    <w:rsid w:val="005B0056"/>
    <w:rsid w:val="005B0499"/>
    <w:rsid w:val="005B0ACC"/>
    <w:rsid w:val="005B0B58"/>
    <w:rsid w:val="005B128A"/>
    <w:rsid w:val="005B1347"/>
    <w:rsid w:val="005B21FD"/>
    <w:rsid w:val="005B250E"/>
    <w:rsid w:val="005B26F2"/>
    <w:rsid w:val="005B2D7D"/>
    <w:rsid w:val="005B46F3"/>
    <w:rsid w:val="005B4A6C"/>
    <w:rsid w:val="005B4E46"/>
    <w:rsid w:val="005B4E53"/>
    <w:rsid w:val="005B5857"/>
    <w:rsid w:val="005B601C"/>
    <w:rsid w:val="005B72C1"/>
    <w:rsid w:val="005B7A70"/>
    <w:rsid w:val="005B7BD3"/>
    <w:rsid w:val="005C0429"/>
    <w:rsid w:val="005C0F0D"/>
    <w:rsid w:val="005C1B83"/>
    <w:rsid w:val="005C25FF"/>
    <w:rsid w:val="005C2D55"/>
    <w:rsid w:val="005C346B"/>
    <w:rsid w:val="005C3942"/>
    <w:rsid w:val="005C3DDA"/>
    <w:rsid w:val="005C3F2A"/>
    <w:rsid w:val="005C529F"/>
    <w:rsid w:val="005C6240"/>
    <w:rsid w:val="005C62AB"/>
    <w:rsid w:val="005C6393"/>
    <w:rsid w:val="005C65A8"/>
    <w:rsid w:val="005C79DF"/>
    <w:rsid w:val="005D044D"/>
    <w:rsid w:val="005D08F0"/>
    <w:rsid w:val="005D0ABD"/>
    <w:rsid w:val="005D18AD"/>
    <w:rsid w:val="005D1AF2"/>
    <w:rsid w:val="005D1DB2"/>
    <w:rsid w:val="005D26B4"/>
    <w:rsid w:val="005D29CF"/>
    <w:rsid w:val="005D2ABE"/>
    <w:rsid w:val="005D3BA6"/>
    <w:rsid w:val="005D55EC"/>
    <w:rsid w:val="005D56FE"/>
    <w:rsid w:val="005D5B7B"/>
    <w:rsid w:val="005D68B1"/>
    <w:rsid w:val="005D6DE7"/>
    <w:rsid w:val="005D7235"/>
    <w:rsid w:val="005D7814"/>
    <w:rsid w:val="005E0768"/>
    <w:rsid w:val="005E1624"/>
    <w:rsid w:val="005E1E1E"/>
    <w:rsid w:val="005E2C68"/>
    <w:rsid w:val="005E3DF9"/>
    <w:rsid w:val="005E4EAC"/>
    <w:rsid w:val="005E5BCB"/>
    <w:rsid w:val="005E5D27"/>
    <w:rsid w:val="005E6B6B"/>
    <w:rsid w:val="005E6CBC"/>
    <w:rsid w:val="005E6F5F"/>
    <w:rsid w:val="005E72FF"/>
    <w:rsid w:val="005E73C0"/>
    <w:rsid w:val="005E7C89"/>
    <w:rsid w:val="005E7FDE"/>
    <w:rsid w:val="005F08C6"/>
    <w:rsid w:val="005F0FAD"/>
    <w:rsid w:val="005F1C48"/>
    <w:rsid w:val="005F1C80"/>
    <w:rsid w:val="005F24E3"/>
    <w:rsid w:val="005F2706"/>
    <w:rsid w:val="005F5101"/>
    <w:rsid w:val="005F53ED"/>
    <w:rsid w:val="005F569F"/>
    <w:rsid w:val="005F5B88"/>
    <w:rsid w:val="005F6A8F"/>
    <w:rsid w:val="005F6BB7"/>
    <w:rsid w:val="005F7022"/>
    <w:rsid w:val="005F7588"/>
    <w:rsid w:val="00600F23"/>
    <w:rsid w:val="00600F24"/>
    <w:rsid w:val="006020A2"/>
    <w:rsid w:val="00602243"/>
    <w:rsid w:val="00603C36"/>
    <w:rsid w:val="00603DB9"/>
    <w:rsid w:val="00604101"/>
    <w:rsid w:val="0060526F"/>
    <w:rsid w:val="006059B7"/>
    <w:rsid w:val="006065AF"/>
    <w:rsid w:val="00606A76"/>
    <w:rsid w:val="00606FBA"/>
    <w:rsid w:val="00607669"/>
    <w:rsid w:val="006076F4"/>
    <w:rsid w:val="00607A41"/>
    <w:rsid w:val="00607AFD"/>
    <w:rsid w:val="00607DB0"/>
    <w:rsid w:val="00607FE5"/>
    <w:rsid w:val="006122EE"/>
    <w:rsid w:val="0061238F"/>
    <w:rsid w:val="0061266C"/>
    <w:rsid w:val="00612869"/>
    <w:rsid w:val="00612F85"/>
    <w:rsid w:val="00612F97"/>
    <w:rsid w:val="0061345D"/>
    <w:rsid w:val="0061388F"/>
    <w:rsid w:val="00613D23"/>
    <w:rsid w:val="00614846"/>
    <w:rsid w:val="00614CC5"/>
    <w:rsid w:val="006151F7"/>
    <w:rsid w:val="00615393"/>
    <w:rsid w:val="0061549B"/>
    <w:rsid w:val="00615BF4"/>
    <w:rsid w:val="00616802"/>
    <w:rsid w:val="00616C9E"/>
    <w:rsid w:val="00617631"/>
    <w:rsid w:val="00617E12"/>
    <w:rsid w:val="00620495"/>
    <w:rsid w:val="006209B2"/>
    <w:rsid w:val="00620C25"/>
    <w:rsid w:val="00621477"/>
    <w:rsid w:val="00621ADA"/>
    <w:rsid w:val="00621C7E"/>
    <w:rsid w:val="00621CD2"/>
    <w:rsid w:val="0062351A"/>
    <w:rsid w:val="00623B5B"/>
    <w:rsid w:val="00623F7B"/>
    <w:rsid w:val="00624423"/>
    <w:rsid w:val="00624958"/>
    <w:rsid w:val="00624C12"/>
    <w:rsid w:val="00624DCA"/>
    <w:rsid w:val="00624FC6"/>
    <w:rsid w:val="00627A57"/>
    <w:rsid w:val="00627CD5"/>
    <w:rsid w:val="00630114"/>
    <w:rsid w:val="00630352"/>
    <w:rsid w:val="00630876"/>
    <w:rsid w:val="006308CD"/>
    <w:rsid w:val="0063158F"/>
    <w:rsid w:val="00631976"/>
    <w:rsid w:val="00631D6B"/>
    <w:rsid w:val="00632183"/>
    <w:rsid w:val="00632DE9"/>
    <w:rsid w:val="006330A1"/>
    <w:rsid w:val="00633176"/>
    <w:rsid w:val="00633B2E"/>
    <w:rsid w:val="00634424"/>
    <w:rsid w:val="0063479F"/>
    <w:rsid w:val="006353F0"/>
    <w:rsid w:val="006357B5"/>
    <w:rsid w:val="00635F36"/>
    <w:rsid w:val="006363E5"/>
    <w:rsid w:val="006364A1"/>
    <w:rsid w:val="0063678E"/>
    <w:rsid w:val="00636BBB"/>
    <w:rsid w:val="0063741A"/>
    <w:rsid w:val="00637BFD"/>
    <w:rsid w:val="00637D27"/>
    <w:rsid w:val="00637E0D"/>
    <w:rsid w:val="00640EA3"/>
    <w:rsid w:val="00641A16"/>
    <w:rsid w:val="00641C33"/>
    <w:rsid w:val="00641C4E"/>
    <w:rsid w:val="00641FB3"/>
    <w:rsid w:val="0064311B"/>
    <w:rsid w:val="00643ADB"/>
    <w:rsid w:val="00643E62"/>
    <w:rsid w:val="00644070"/>
    <w:rsid w:val="0064434C"/>
    <w:rsid w:val="00644565"/>
    <w:rsid w:val="00644D68"/>
    <w:rsid w:val="00645704"/>
    <w:rsid w:val="0064572E"/>
    <w:rsid w:val="00646E5F"/>
    <w:rsid w:val="006471CC"/>
    <w:rsid w:val="006474CF"/>
    <w:rsid w:val="00647A29"/>
    <w:rsid w:val="00647B9A"/>
    <w:rsid w:val="0065079F"/>
    <w:rsid w:val="00650AE5"/>
    <w:rsid w:val="00652527"/>
    <w:rsid w:val="00652A28"/>
    <w:rsid w:val="00653148"/>
    <w:rsid w:val="0065341C"/>
    <w:rsid w:val="0065379F"/>
    <w:rsid w:val="0065465D"/>
    <w:rsid w:val="00655145"/>
    <w:rsid w:val="00655E7A"/>
    <w:rsid w:val="00656188"/>
    <w:rsid w:val="0065715A"/>
    <w:rsid w:val="00657777"/>
    <w:rsid w:val="006610F1"/>
    <w:rsid w:val="00661C6B"/>
    <w:rsid w:val="00662373"/>
    <w:rsid w:val="00662F30"/>
    <w:rsid w:val="00663121"/>
    <w:rsid w:val="006632C4"/>
    <w:rsid w:val="00663303"/>
    <w:rsid w:val="00664388"/>
    <w:rsid w:val="00665417"/>
    <w:rsid w:val="00665518"/>
    <w:rsid w:val="00667B40"/>
    <w:rsid w:val="0067073B"/>
    <w:rsid w:val="00670AD7"/>
    <w:rsid w:val="00671004"/>
    <w:rsid w:val="006724A3"/>
    <w:rsid w:val="00672646"/>
    <w:rsid w:val="0067328C"/>
    <w:rsid w:val="00674620"/>
    <w:rsid w:val="00674E42"/>
    <w:rsid w:val="00676080"/>
    <w:rsid w:val="006776B6"/>
    <w:rsid w:val="00677DC7"/>
    <w:rsid w:val="006803CA"/>
    <w:rsid w:val="00680D8B"/>
    <w:rsid w:val="006810E3"/>
    <w:rsid w:val="006813F8"/>
    <w:rsid w:val="00682112"/>
    <w:rsid w:val="0068219B"/>
    <w:rsid w:val="00682BA6"/>
    <w:rsid w:val="00682DAB"/>
    <w:rsid w:val="006831EE"/>
    <w:rsid w:val="0068344A"/>
    <w:rsid w:val="00683F85"/>
    <w:rsid w:val="0068508E"/>
    <w:rsid w:val="006859E3"/>
    <w:rsid w:val="00685AD5"/>
    <w:rsid w:val="00686957"/>
    <w:rsid w:val="00686B41"/>
    <w:rsid w:val="006872BA"/>
    <w:rsid w:val="0068774B"/>
    <w:rsid w:val="006877FF"/>
    <w:rsid w:val="006903CC"/>
    <w:rsid w:val="00690795"/>
    <w:rsid w:val="0069089C"/>
    <w:rsid w:val="00691648"/>
    <w:rsid w:val="006917D7"/>
    <w:rsid w:val="00691C80"/>
    <w:rsid w:val="00692178"/>
    <w:rsid w:val="006923BA"/>
    <w:rsid w:val="00692878"/>
    <w:rsid w:val="0069434C"/>
    <w:rsid w:val="00694F44"/>
    <w:rsid w:val="00696984"/>
    <w:rsid w:val="00696F51"/>
    <w:rsid w:val="006979A5"/>
    <w:rsid w:val="006A03E8"/>
    <w:rsid w:val="006A0C73"/>
    <w:rsid w:val="006A4F8A"/>
    <w:rsid w:val="006A5728"/>
    <w:rsid w:val="006A5A59"/>
    <w:rsid w:val="006A6B99"/>
    <w:rsid w:val="006A7E5F"/>
    <w:rsid w:val="006B0D47"/>
    <w:rsid w:val="006B261B"/>
    <w:rsid w:val="006B27AF"/>
    <w:rsid w:val="006B2C90"/>
    <w:rsid w:val="006B3386"/>
    <w:rsid w:val="006B35E0"/>
    <w:rsid w:val="006B35E6"/>
    <w:rsid w:val="006B3CBD"/>
    <w:rsid w:val="006B42EC"/>
    <w:rsid w:val="006B430B"/>
    <w:rsid w:val="006B465A"/>
    <w:rsid w:val="006B48DC"/>
    <w:rsid w:val="006B4AD3"/>
    <w:rsid w:val="006B4D53"/>
    <w:rsid w:val="006B6DD0"/>
    <w:rsid w:val="006B70FA"/>
    <w:rsid w:val="006B712A"/>
    <w:rsid w:val="006B7736"/>
    <w:rsid w:val="006C0399"/>
    <w:rsid w:val="006C0C71"/>
    <w:rsid w:val="006C1265"/>
    <w:rsid w:val="006C1968"/>
    <w:rsid w:val="006C1A1F"/>
    <w:rsid w:val="006C1B18"/>
    <w:rsid w:val="006C2A8E"/>
    <w:rsid w:val="006C2C28"/>
    <w:rsid w:val="006C3255"/>
    <w:rsid w:val="006C3D87"/>
    <w:rsid w:val="006C3F26"/>
    <w:rsid w:val="006C400B"/>
    <w:rsid w:val="006C5723"/>
    <w:rsid w:val="006C5D31"/>
    <w:rsid w:val="006C6FDA"/>
    <w:rsid w:val="006D0D17"/>
    <w:rsid w:val="006D32CB"/>
    <w:rsid w:val="006D3C7D"/>
    <w:rsid w:val="006D4659"/>
    <w:rsid w:val="006D46D0"/>
    <w:rsid w:val="006D473D"/>
    <w:rsid w:val="006D5D5F"/>
    <w:rsid w:val="006D68FB"/>
    <w:rsid w:val="006D79C1"/>
    <w:rsid w:val="006E2868"/>
    <w:rsid w:val="006E2E7B"/>
    <w:rsid w:val="006E34A9"/>
    <w:rsid w:val="006E3680"/>
    <w:rsid w:val="006E4E37"/>
    <w:rsid w:val="006E5920"/>
    <w:rsid w:val="006E6C2F"/>
    <w:rsid w:val="006E6C75"/>
    <w:rsid w:val="006E6D30"/>
    <w:rsid w:val="006E6F93"/>
    <w:rsid w:val="006E7225"/>
    <w:rsid w:val="006E7BB9"/>
    <w:rsid w:val="006F2567"/>
    <w:rsid w:val="006F306C"/>
    <w:rsid w:val="006F33BB"/>
    <w:rsid w:val="006F43DE"/>
    <w:rsid w:val="006F63A5"/>
    <w:rsid w:val="006F7157"/>
    <w:rsid w:val="006F7601"/>
    <w:rsid w:val="006F7F05"/>
    <w:rsid w:val="0070142B"/>
    <w:rsid w:val="0070212D"/>
    <w:rsid w:val="0070276E"/>
    <w:rsid w:val="00702F8F"/>
    <w:rsid w:val="007063D6"/>
    <w:rsid w:val="0070686E"/>
    <w:rsid w:val="007072D7"/>
    <w:rsid w:val="007079FC"/>
    <w:rsid w:val="00707B19"/>
    <w:rsid w:val="00707FF4"/>
    <w:rsid w:val="00711A36"/>
    <w:rsid w:val="00712E26"/>
    <w:rsid w:val="00712EEA"/>
    <w:rsid w:val="00713554"/>
    <w:rsid w:val="007135B5"/>
    <w:rsid w:val="00714938"/>
    <w:rsid w:val="007149D2"/>
    <w:rsid w:val="00714C26"/>
    <w:rsid w:val="0071529C"/>
    <w:rsid w:val="00715368"/>
    <w:rsid w:val="007170DA"/>
    <w:rsid w:val="007172AD"/>
    <w:rsid w:val="007178BB"/>
    <w:rsid w:val="00720498"/>
    <w:rsid w:val="00720801"/>
    <w:rsid w:val="00721945"/>
    <w:rsid w:val="00722A27"/>
    <w:rsid w:val="00722B1B"/>
    <w:rsid w:val="00722BC1"/>
    <w:rsid w:val="00722C02"/>
    <w:rsid w:val="007233C2"/>
    <w:rsid w:val="00723C84"/>
    <w:rsid w:val="0072416F"/>
    <w:rsid w:val="0072455F"/>
    <w:rsid w:val="00724B31"/>
    <w:rsid w:val="00724CDB"/>
    <w:rsid w:val="007255B7"/>
    <w:rsid w:val="00725654"/>
    <w:rsid w:val="00726E51"/>
    <w:rsid w:val="007271AC"/>
    <w:rsid w:val="00727BBD"/>
    <w:rsid w:val="00727C94"/>
    <w:rsid w:val="00727E7C"/>
    <w:rsid w:val="007306BC"/>
    <w:rsid w:val="0073195B"/>
    <w:rsid w:val="00731B0A"/>
    <w:rsid w:val="00731EAE"/>
    <w:rsid w:val="00733073"/>
    <w:rsid w:val="0073342A"/>
    <w:rsid w:val="00733E41"/>
    <w:rsid w:val="00733F83"/>
    <w:rsid w:val="00734D5E"/>
    <w:rsid w:val="00735033"/>
    <w:rsid w:val="0073519C"/>
    <w:rsid w:val="00735328"/>
    <w:rsid w:val="007359C0"/>
    <w:rsid w:val="00736362"/>
    <w:rsid w:val="0073685B"/>
    <w:rsid w:val="0073710E"/>
    <w:rsid w:val="00737373"/>
    <w:rsid w:val="00737745"/>
    <w:rsid w:val="0074058F"/>
    <w:rsid w:val="00741167"/>
    <w:rsid w:val="00741302"/>
    <w:rsid w:val="007426AB"/>
    <w:rsid w:val="00742AF4"/>
    <w:rsid w:val="00742E17"/>
    <w:rsid w:val="007439F4"/>
    <w:rsid w:val="007449BF"/>
    <w:rsid w:val="00744DB5"/>
    <w:rsid w:val="0074544B"/>
    <w:rsid w:val="007455FE"/>
    <w:rsid w:val="007456B1"/>
    <w:rsid w:val="007466F5"/>
    <w:rsid w:val="007468B2"/>
    <w:rsid w:val="00746987"/>
    <w:rsid w:val="00746BC0"/>
    <w:rsid w:val="00747723"/>
    <w:rsid w:val="0074778E"/>
    <w:rsid w:val="007504D7"/>
    <w:rsid w:val="00750848"/>
    <w:rsid w:val="007510B4"/>
    <w:rsid w:val="007513D0"/>
    <w:rsid w:val="00751C89"/>
    <w:rsid w:val="00752142"/>
    <w:rsid w:val="007523F9"/>
    <w:rsid w:val="0075357E"/>
    <w:rsid w:val="00753C3E"/>
    <w:rsid w:val="007550E1"/>
    <w:rsid w:val="00755543"/>
    <w:rsid w:val="0075567F"/>
    <w:rsid w:val="00755768"/>
    <w:rsid w:val="007558E6"/>
    <w:rsid w:val="00756967"/>
    <w:rsid w:val="00756CAF"/>
    <w:rsid w:val="007573B4"/>
    <w:rsid w:val="007573E8"/>
    <w:rsid w:val="0076020B"/>
    <w:rsid w:val="00760C4E"/>
    <w:rsid w:val="00760F9E"/>
    <w:rsid w:val="007614EF"/>
    <w:rsid w:val="007617A2"/>
    <w:rsid w:val="00761E69"/>
    <w:rsid w:val="007627BE"/>
    <w:rsid w:val="007643B7"/>
    <w:rsid w:val="00764A27"/>
    <w:rsid w:val="00764C0F"/>
    <w:rsid w:val="00764F03"/>
    <w:rsid w:val="0076528E"/>
    <w:rsid w:val="007652E9"/>
    <w:rsid w:val="00765B1A"/>
    <w:rsid w:val="00765DF3"/>
    <w:rsid w:val="00766183"/>
    <w:rsid w:val="007662BD"/>
    <w:rsid w:val="00766772"/>
    <w:rsid w:val="007674E6"/>
    <w:rsid w:val="00767C83"/>
    <w:rsid w:val="00767F01"/>
    <w:rsid w:val="007717C4"/>
    <w:rsid w:val="007721FF"/>
    <w:rsid w:val="00772428"/>
    <w:rsid w:val="00773073"/>
    <w:rsid w:val="007765B8"/>
    <w:rsid w:val="007766C5"/>
    <w:rsid w:val="00776E99"/>
    <w:rsid w:val="00777335"/>
    <w:rsid w:val="00777F42"/>
    <w:rsid w:val="00780BF2"/>
    <w:rsid w:val="0078135E"/>
    <w:rsid w:val="0078214B"/>
    <w:rsid w:val="00783258"/>
    <w:rsid w:val="00783F50"/>
    <w:rsid w:val="0078401F"/>
    <w:rsid w:val="007843F2"/>
    <w:rsid w:val="00784A4D"/>
    <w:rsid w:val="00785A9F"/>
    <w:rsid w:val="007913FC"/>
    <w:rsid w:val="007925DF"/>
    <w:rsid w:val="0079372A"/>
    <w:rsid w:val="00793C9C"/>
    <w:rsid w:val="00793CF0"/>
    <w:rsid w:val="00793DB8"/>
    <w:rsid w:val="00795EA4"/>
    <w:rsid w:val="0079713C"/>
    <w:rsid w:val="0079735E"/>
    <w:rsid w:val="007A08AA"/>
    <w:rsid w:val="007A0A12"/>
    <w:rsid w:val="007A105A"/>
    <w:rsid w:val="007A132D"/>
    <w:rsid w:val="007A1345"/>
    <w:rsid w:val="007A26D1"/>
    <w:rsid w:val="007A26DB"/>
    <w:rsid w:val="007A2DDB"/>
    <w:rsid w:val="007A37BB"/>
    <w:rsid w:val="007A523D"/>
    <w:rsid w:val="007A5C82"/>
    <w:rsid w:val="007A70BA"/>
    <w:rsid w:val="007A7793"/>
    <w:rsid w:val="007B0D68"/>
    <w:rsid w:val="007B10CD"/>
    <w:rsid w:val="007B251D"/>
    <w:rsid w:val="007B29EA"/>
    <w:rsid w:val="007B340D"/>
    <w:rsid w:val="007B4F58"/>
    <w:rsid w:val="007B528D"/>
    <w:rsid w:val="007B541C"/>
    <w:rsid w:val="007B63CA"/>
    <w:rsid w:val="007B65DA"/>
    <w:rsid w:val="007B68BE"/>
    <w:rsid w:val="007B7309"/>
    <w:rsid w:val="007B7531"/>
    <w:rsid w:val="007B77D1"/>
    <w:rsid w:val="007C0410"/>
    <w:rsid w:val="007C07C7"/>
    <w:rsid w:val="007C1CD1"/>
    <w:rsid w:val="007C1CD9"/>
    <w:rsid w:val="007C245E"/>
    <w:rsid w:val="007C32EF"/>
    <w:rsid w:val="007C361D"/>
    <w:rsid w:val="007C3976"/>
    <w:rsid w:val="007C4B84"/>
    <w:rsid w:val="007C50D6"/>
    <w:rsid w:val="007C550B"/>
    <w:rsid w:val="007C70FF"/>
    <w:rsid w:val="007C7C25"/>
    <w:rsid w:val="007D004F"/>
    <w:rsid w:val="007D025F"/>
    <w:rsid w:val="007D069D"/>
    <w:rsid w:val="007D0B38"/>
    <w:rsid w:val="007D0D9D"/>
    <w:rsid w:val="007D312F"/>
    <w:rsid w:val="007D418F"/>
    <w:rsid w:val="007D5440"/>
    <w:rsid w:val="007D62E3"/>
    <w:rsid w:val="007D69EB"/>
    <w:rsid w:val="007D6C75"/>
    <w:rsid w:val="007D77F3"/>
    <w:rsid w:val="007D7921"/>
    <w:rsid w:val="007D7C00"/>
    <w:rsid w:val="007E0FD1"/>
    <w:rsid w:val="007E128F"/>
    <w:rsid w:val="007E2AB1"/>
    <w:rsid w:val="007E2F88"/>
    <w:rsid w:val="007E3396"/>
    <w:rsid w:val="007E54D6"/>
    <w:rsid w:val="007E6289"/>
    <w:rsid w:val="007E63B3"/>
    <w:rsid w:val="007E678F"/>
    <w:rsid w:val="007E6E1D"/>
    <w:rsid w:val="007E7C7D"/>
    <w:rsid w:val="007E7D4F"/>
    <w:rsid w:val="007E7DAD"/>
    <w:rsid w:val="007E7E91"/>
    <w:rsid w:val="007F0269"/>
    <w:rsid w:val="007F045B"/>
    <w:rsid w:val="007F0913"/>
    <w:rsid w:val="007F0B21"/>
    <w:rsid w:val="007F0B23"/>
    <w:rsid w:val="007F0E48"/>
    <w:rsid w:val="007F0E49"/>
    <w:rsid w:val="007F1017"/>
    <w:rsid w:val="007F25BD"/>
    <w:rsid w:val="007F335D"/>
    <w:rsid w:val="007F3A73"/>
    <w:rsid w:val="007F4206"/>
    <w:rsid w:val="007F44D2"/>
    <w:rsid w:val="007F4A3F"/>
    <w:rsid w:val="007F4A61"/>
    <w:rsid w:val="007F4E01"/>
    <w:rsid w:val="007F5255"/>
    <w:rsid w:val="007F56CC"/>
    <w:rsid w:val="007F61C2"/>
    <w:rsid w:val="008002A2"/>
    <w:rsid w:val="00800792"/>
    <w:rsid w:val="0080147D"/>
    <w:rsid w:val="00801F59"/>
    <w:rsid w:val="0080218D"/>
    <w:rsid w:val="0080223D"/>
    <w:rsid w:val="008025A9"/>
    <w:rsid w:val="00802ED2"/>
    <w:rsid w:val="00802FD1"/>
    <w:rsid w:val="008050DF"/>
    <w:rsid w:val="00805142"/>
    <w:rsid w:val="00805A58"/>
    <w:rsid w:val="00805DE8"/>
    <w:rsid w:val="00805FCE"/>
    <w:rsid w:val="00806AEE"/>
    <w:rsid w:val="00806AF8"/>
    <w:rsid w:val="00807A8B"/>
    <w:rsid w:val="00810563"/>
    <w:rsid w:val="00811383"/>
    <w:rsid w:val="00811BF0"/>
    <w:rsid w:val="00812149"/>
    <w:rsid w:val="008123DE"/>
    <w:rsid w:val="00812996"/>
    <w:rsid w:val="00812CAC"/>
    <w:rsid w:val="00813759"/>
    <w:rsid w:val="008156EC"/>
    <w:rsid w:val="0081612A"/>
    <w:rsid w:val="00816361"/>
    <w:rsid w:val="008166EF"/>
    <w:rsid w:val="00816FEF"/>
    <w:rsid w:val="008173DC"/>
    <w:rsid w:val="00817AF4"/>
    <w:rsid w:val="00817DCA"/>
    <w:rsid w:val="00820A8C"/>
    <w:rsid w:val="008215FB"/>
    <w:rsid w:val="008219CE"/>
    <w:rsid w:val="0082263D"/>
    <w:rsid w:val="00822D7C"/>
    <w:rsid w:val="00823174"/>
    <w:rsid w:val="008240ED"/>
    <w:rsid w:val="00824556"/>
    <w:rsid w:val="008248D4"/>
    <w:rsid w:val="00825751"/>
    <w:rsid w:val="008264EB"/>
    <w:rsid w:val="00826C82"/>
    <w:rsid w:val="008270BA"/>
    <w:rsid w:val="00827BB7"/>
    <w:rsid w:val="008301F9"/>
    <w:rsid w:val="008302EB"/>
    <w:rsid w:val="00830AB5"/>
    <w:rsid w:val="0083107F"/>
    <w:rsid w:val="00831219"/>
    <w:rsid w:val="00831402"/>
    <w:rsid w:val="00831719"/>
    <w:rsid w:val="00831C9C"/>
    <w:rsid w:val="00832C71"/>
    <w:rsid w:val="00832C9E"/>
    <w:rsid w:val="00833066"/>
    <w:rsid w:val="008332D6"/>
    <w:rsid w:val="00833B05"/>
    <w:rsid w:val="008362B4"/>
    <w:rsid w:val="00836FE3"/>
    <w:rsid w:val="00840CA2"/>
    <w:rsid w:val="00840DDC"/>
    <w:rsid w:val="00841EBE"/>
    <w:rsid w:val="00842474"/>
    <w:rsid w:val="00842AE9"/>
    <w:rsid w:val="00842C0A"/>
    <w:rsid w:val="00842EF8"/>
    <w:rsid w:val="0084374F"/>
    <w:rsid w:val="00844929"/>
    <w:rsid w:val="0084495F"/>
    <w:rsid w:val="00844A22"/>
    <w:rsid w:val="008450D9"/>
    <w:rsid w:val="00846B82"/>
    <w:rsid w:val="00847069"/>
    <w:rsid w:val="008473FC"/>
    <w:rsid w:val="00847703"/>
    <w:rsid w:val="00847BDA"/>
    <w:rsid w:val="00847DF5"/>
    <w:rsid w:val="00847EEF"/>
    <w:rsid w:val="008517FA"/>
    <w:rsid w:val="0085222E"/>
    <w:rsid w:val="008526D2"/>
    <w:rsid w:val="00852ABA"/>
    <w:rsid w:val="00852C79"/>
    <w:rsid w:val="0085305F"/>
    <w:rsid w:val="0085309D"/>
    <w:rsid w:val="008532DC"/>
    <w:rsid w:val="00854092"/>
    <w:rsid w:val="008540EF"/>
    <w:rsid w:val="008544C9"/>
    <w:rsid w:val="00854B3A"/>
    <w:rsid w:val="00854F3F"/>
    <w:rsid w:val="008550DB"/>
    <w:rsid w:val="00855404"/>
    <w:rsid w:val="0085605B"/>
    <w:rsid w:val="00856897"/>
    <w:rsid w:val="00856CF9"/>
    <w:rsid w:val="00856E9A"/>
    <w:rsid w:val="00857AAD"/>
    <w:rsid w:val="0086075D"/>
    <w:rsid w:val="00860DF5"/>
    <w:rsid w:val="00861190"/>
    <w:rsid w:val="008621F4"/>
    <w:rsid w:val="00862502"/>
    <w:rsid w:val="00862CC1"/>
    <w:rsid w:val="008638DD"/>
    <w:rsid w:val="00863E79"/>
    <w:rsid w:val="008641E5"/>
    <w:rsid w:val="00864289"/>
    <w:rsid w:val="00865264"/>
    <w:rsid w:val="00865D9E"/>
    <w:rsid w:val="008660D4"/>
    <w:rsid w:val="00866B7F"/>
    <w:rsid w:val="00870900"/>
    <w:rsid w:val="00871865"/>
    <w:rsid w:val="00871FA9"/>
    <w:rsid w:val="008722C5"/>
    <w:rsid w:val="008723B9"/>
    <w:rsid w:val="008728E9"/>
    <w:rsid w:val="008730F9"/>
    <w:rsid w:val="008737C0"/>
    <w:rsid w:val="0087390E"/>
    <w:rsid w:val="00873B52"/>
    <w:rsid w:val="00876150"/>
    <w:rsid w:val="00877712"/>
    <w:rsid w:val="008779DC"/>
    <w:rsid w:val="00877CB5"/>
    <w:rsid w:val="008802EF"/>
    <w:rsid w:val="00881A24"/>
    <w:rsid w:val="00882874"/>
    <w:rsid w:val="00882E3C"/>
    <w:rsid w:val="00882FA8"/>
    <w:rsid w:val="008831F3"/>
    <w:rsid w:val="00883787"/>
    <w:rsid w:val="00884559"/>
    <w:rsid w:val="00884764"/>
    <w:rsid w:val="008852D8"/>
    <w:rsid w:val="0088536A"/>
    <w:rsid w:val="008855E4"/>
    <w:rsid w:val="00885CD1"/>
    <w:rsid w:val="00885D84"/>
    <w:rsid w:val="00886CD2"/>
    <w:rsid w:val="0089044F"/>
    <w:rsid w:val="0089114E"/>
    <w:rsid w:val="00891E6F"/>
    <w:rsid w:val="0089263F"/>
    <w:rsid w:val="0089275D"/>
    <w:rsid w:val="00892A36"/>
    <w:rsid w:val="00893239"/>
    <w:rsid w:val="008939EC"/>
    <w:rsid w:val="00894489"/>
    <w:rsid w:val="008963A5"/>
    <w:rsid w:val="00896D5D"/>
    <w:rsid w:val="00897779"/>
    <w:rsid w:val="0089789E"/>
    <w:rsid w:val="008A1615"/>
    <w:rsid w:val="008A183F"/>
    <w:rsid w:val="008A31EA"/>
    <w:rsid w:val="008A3363"/>
    <w:rsid w:val="008A3371"/>
    <w:rsid w:val="008A3A79"/>
    <w:rsid w:val="008A3C3E"/>
    <w:rsid w:val="008A594F"/>
    <w:rsid w:val="008A668E"/>
    <w:rsid w:val="008A71A7"/>
    <w:rsid w:val="008A79DE"/>
    <w:rsid w:val="008A7EC5"/>
    <w:rsid w:val="008B1757"/>
    <w:rsid w:val="008B1974"/>
    <w:rsid w:val="008B1E1A"/>
    <w:rsid w:val="008B26D7"/>
    <w:rsid w:val="008B2839"/>
    <w:rsid w:val="008B4032"/>
    <w:rsid w:val="008B45BF"/>
    <w:rsid w:val="008B67D3"/>
    <w:rsid w:val="008B7992"/>
    <w:rsid w:val="008B7D7E"/>
    <w:rsid w:val="008C068F"/>
    <w:rsid w:val="008C08AA"/>
    <w:rsid w:val="008C0BB8"/>
    <w:rsid w:val="008C15C3"/>
    <w:rsid w:val="008C1B48"/>
    <w:rsid w:val="008C212E"/>
    <w:rsid w:val="008C259D"/>
    <w:rsid w:val="008C3911"/>
    <w:rsid w:val="008C5610"/>
    <w:rsid w:val="008C5739"/>
    <w:rsid w:val="008C57CD"/>
    <w:rsid w:val="008C5A02"/>
    <w:rsid w:val="008C6B24"/>
    <w:rsid w:val="008C6BA2"/>
    <w:rsid w:val="008C763D"/>
    <w:rsid w:val="008C7ECB"/>
    <w:rsid w:val="008D02AC"/>
    <w:rsid w:val="008D0493"/>
    <w:rsid w:val="008D1609"/>
    <w:rsid w:val="008D1A0B"/>
    <w:rsid w:val="008D3B86"/>
    <w:rsid w:val="008D4357"/>
    <w:rsid w:val="008D4755"/>
    <w:rsid w:val="008D4791"/>
    <w:rsid w:val="008D49BE"/>
    <w:rsid w:val="008D4C3D"/>
    <w:rsid w:val="008D5FEC"/>
    <w:rsid w:val="008D64DE"/>
    <w:rsid w:val="008D6D87"/>
    <w:rsid w:val="008D743C"/>
    <w:rsid w:val="008E06C7"/>
    <w:rsid w:val="008E0D3C"/>
    <w:rsid w:val="008E1B9E"/>
    <w:rsid w:val="008E1C22"/>
    <w:rsid w:val="008E33FF"/>
    <w:rsid w:val="008E3F25"/>
    <w:rsid w:val="008E55AB"/>
    <w:rsid w:val="008E63B3"/>
    <w:rsid w:val="008E6640"/>
    <w:rsid w:val="008E7FA5"/>
    <w:rsid w:val="008F120A"/>
    <w:rsid w:val="008F219E"/>
    <w:rsid w:val="008F27E0"/>
    <w:rsid w:val="008F37C9"/>
    <w:rsid w:val="008F4549"/>
    <w:rsid w:val="008F48EB"/>
    <w:rsid w:val="008F4F0B"/>
    <w:rsid w:val="008F52FD"/>
    <w:rsid w:val="008F5517"/>
    <w:rsid w:val="008F6C8C"/>
    <w:rsid w:val="008F6D49"/>
    <w:rsid w:val="008F6DB2"/>
    <w:rsid w:val="008F7169"/>
    <w:rsid w:val="008F73AE"/>
    <w:rsid w:val="008F7C35"/>
    <w:rsid w:val="009005F6"/>
    <w:rsid w:val="00901150"/>
    <w:rsid w:val="00901EDB"/>
    <w:rsid w:val="00902618"/>
    <w:rsid w:val="00902C74"/>
    <w:rsid w:val="00902CD9"/>
    <w:rsid w:val="0090333E"/>
    <w:rsid w:val="00903D6C"/>
    <w:rsid w:val="009046C4"/>
    <w:rsid w:val="009062A5"/>
    <w:rsid w:val="00906D33"/>
    <w:rsid w:val="0091066F"/>
    <w:rsid w:val="00910FA7"/>
    <w:rsid w:val="00911272"/>
    <w:rsid w:val="0091152A"/>
    <w:rsid w:val="00911D08"/>
    <w:rsid w:val="009123DB"/>
    <w:rsid w:val="009128C7"/>
    <w:rsid w:val="009135D6"/>
    <w:rsid w:val="00913700"/>
    <w:rsid w:val="0091427C"/>
    <w:rsid w:val="00914588"/>
    <w:rsid w:val="00914C77"/>
    <w:rsid w:val="0091530C"/>
    <w:rsid w:val="00915ABD"/>
    <w:rsid w:val="00916300"/>
    <w:rsid w:val="009166C0"/>
    <w:rsid w:val="00916970"/>
    <w:rsid w:val="00921915"/>
    <w:rsid w:val="00921ACB"/>
    <w:rsid w:val="0092369B"/>
    <w:rsid w:val="00923E0C"/>
    <w:rsid w:val="0092400C"/>
    <w:rsid w:val="00924C13"/>
    <w:rsid w:val="0092560B"/>
    <w:rsid w:val="00926682"/>
    <w:rsid w:val="00926EB5"/>
    <w:rsid w:val="0092709D"/>
    <w:rsid w:val="00927D66"/>
    <w:rsid w:val="00930059"/>
    <w:rsid w:val="009302C3"/>
    <w:rsid w:val="00930B96"/>
    <w:rsid w:val="00930C7B"/>
    <w:rsid w:val="00930D0C"/>
    <w:rsid w:val="0093101A"/>
    <w:rsid w:val="009312D2"/>
    <w:rsid w:val="00931368"/>
    <w:rsid w:val="00932569"/>
    <w:rsid w:val="009332D1"/>
    <w:rsid w:val="009336CF"/>
    <w:rsid w:val="009348F3"/>
    <w:rsid w:val="00934988"/>
    <w:rsid w:val="00934DF1"/>
    <w:rsid w:val="0093501B"/>
    <w:rsid w:val="0093508E"/>
    <w:rsid w:val="0093529E"/>
    <w:rsid w:val="009354E7"/>
    <w:rsid w:val="009356EC"/>
    <w:rsid w:val="00936F22"/>
    <w:rsid w:val="00937089"/>
    <w:rsid w:val="00937B83"/>
    <w:rsid w:val="00937D21"/>
    <w:rsid w:val="00941E5A"/>
    <w:rsid w:val="00941F4D"/>
    <w:rsid w:val="00943341"/>
    <w:rsid w:val="00944C3D"/>
    <w:rsid w:val="00944E56"/>
    <w:rsid w:val="00944F8A"/>
    <w:rsid w:val="009451E1"/>
    <w:rsid w:val="00946CAA"/>
    <w:rsid w:val="00946CE6"/>
    <w:rsid w:val="009478EE"/>
    <w:rsid w:val="009510A2"/>
    <w:rsid w:val="0095154F"/>
    <w:rsid w:val="00951BEE"/>
    <w:rsid w:val="009520B5"/>
    <w:rsid w:val="00953257"/>
    <w:rsid w:val="00953A22"/>
    <w:rsid w:val="0095474C"/>
    <w:rsid w:val="00954944"/>
    <w:rsid w:val="009557B0"/>
    <w:rsid w:val="009567C8"/>
    <w:rsid w:val="009571A5"/>
    <w:rsid w:val="0096191F"/>
    <w:rsid w:val="009624D7"/>
    <w:rsid w:val="00962CB9"/>
    <w:rsid w:val="0096385E"/>
    <w:rsid w:val="00964312"/>
    <w:rsid w:val="0096507E"/>
    <w:rsid w:val="00965B8A"/>
    <w:rsid w:val="00965E97"/>
    <w:rsid w:val="0096647A"/>
    <w:rsid w:val="0096661C"/>
    <w:rsid w:val="00966E4C"/>
    <w:rsid w:val="00966E4E"/>
    <w:rsid w:val="009670EE"/>
    <w:rsid w:val="00967FA0"/>
    <w:rsid w:val="0097071F"/>
    <w:rsid w:val="00971208"/>
    <w:rsid w:val="00971285"/>
    <w:rsid w:val="009717AC"/>
    <w:rsid w:val="009719BA"/>
    <w:rsid w:val="00971F87"/>
    <w:rsid w:val="00973054"/>
    <w:rsid w:val="00974D9E"/>
    <w:rsid w:val="009751C1"/>
    <w:rsid w:val="00980541"/>
    <w:rsid w:val="009811F1"/>
    <w:rsid w:val="00981CE8"/>
    <w:rsid w:val="0098273A"/>
    <w:rsid w:val="00983E57"/>
    <w:rsid w:val="00984DDD"/>
    <w:rsid w:val="00985890"/>
    <w:rsid w:val="00985DE2"/>
    <w:rsid w:val="0098675D"/>
    <w:rsid w:val="00986A4C"/>
    <w:rsid w:val="009873B5"/>
    <w:rsid w:val="00990229"/>
    <w:rsid w:val="00990865"/>
    <w:rsid w:val="00990FA8"/>
    <w:rsid w:val="009918D4"/>
    <w:rsid w:val="009926E0"/>
    <w:rsid w:val="00992742"/>
    <w:rsid w:val="0099347D"/>
    <w:rsid w:val="00993AB4"/>
    <w:rsid w:val="009942AB"/>
    <w:rsid w:val="0099451E"/>
    <w:rsid w:val="0099454A"/>
    <w:rsid w:val="0099510B"/>
    <w:rsid w:val="00995F3D"/>
    <w:rsid w:val="009968C2"/>
    <w:rsid w:val="00996B1A"/>
    <w:rsid w:val="00996D7E"/>
    <w:rsid w:val="00996D8E"/>
    <w:rsid w:val="009A005D"/>
    <w:rsid w:val="009A097E"/>
    <w:rsid w:val="009A0CCB"/>
    <w:rsid w:val="009A0D72"/>
    <w:rsid w:val="009A1260"/>
    <w:rsid w:val="009A18D6"/>
    <w:rsid w:val="009A2717"/>
    <w:rsid w:val="009A2D45"/>
    <w:rsid w:val="009A2DCC"/>
    <w:rsid w:val="009A33C2"/>
    <w:rsid w:val="009A3C3B"/>
    <w:rsid w:val="009A3D59"/>
    <w:rsid w:val="009A3EA4"/>
    <w:rsid w:val="009A4CEE"/>
    <w:rsid w:val="009A4ED1"/>
    <w:rsid w:val="009A53AC"/>
    <w:rsid w:val="009A5ABC"/>
    <w:rsid w:val="009A645C"/>
    <w:rsid w:val="009A74FC"/>
    <w:rsid w:val="009A7F10"/>
    <w:rsid w:val="009B0972"/>
    <w:rsid w:val="009B115F"/>
    <w:rsid w:val="009B2370"/>
    <w:rsid w:val="009B28CE"/>
    <w:rsid w:val="009B2BA2"/>
    <w:rsid w:val="009B3E26"/>
    <w:rsid w:val="009B4A74"/>
    <w:rsid w:val="009B6C78"/>
    <w:rsid w:val="009B6D2C"/>
    <w:rsid w:val="009B6EB3"/>
    <w:rsid w:val="009C0471"/>
    <w:rsid w:val="009C0A3B"/>
    <w:rsid w:val="009C0CB7"/>
    <w:rsid w:val="009C1AF6"/>
    <w:rsid w:val="009C3087"/>
    <w:rsid w:val="009C3706"/>
    <w:rsid w:val="009C38EC"/>
    <w:rsid w:val="009C3A3A"/>
    <w:rsid w:val="009C5F80"/>
    <w:rsid w:val="009C6175"/>
    <w:rsid w:val="009C6848"/>
    <w:rsid w:val="009C6CEA"/>
    <w:rsid w:val="009C7A61"/>
    <w:rsid w:val="009C7B85"/>
    <w:rsid w:val="009C7CDA"/>
    <w:rsid w:val="009D0254"/>
    <w:rsid w:val="009D04E2"/>
    <w:rsid w:val="009D082C"/>
    <w:rsid w:val="009D0C05"/>
    <w:rsid w:val="009D155F"/>
    <w:rsid w:val="009D1A64"/>
    <w:rsid w:val="009D2520"/>
    <w:rsid w:val="009D25BA"/>
    <w:rsid w:val="009D292A"/>
    <w:rsid w:val="009D354B"/>
    <w:rsid w:val="009D36DB"/>
    <w:rsid w:val="009D3740"/>
    <w:rsid w:val="009D4233"/>
    <w:rsid w:val="009D45ED"/>
    <w:rsid w:val="009D4CFA"/>
    <w:rsid w:val="009D50A9"/>
    <w:rsid w:val="009D5179"/>
    <w:rsid w:val="009D5B91"/>
    <w:rsid w:val="009D792E"/>
    <w:rsid w:val="009E0DFE"/>
    <w:rsid w:val="009E1075"/>
    <w:rsid w:val="009E181E"/>
    <w:rsid w:val="009E1DFA"/>
    <w:rsid w:val="009E1F04"/>
    <w:rsid w:val="009E31F6"/>
    <w:rsid w:val="009E4C07"/>
    <w:rsid w:val="009E5A25"/>
    <w:rsid w:val="009E69EB"/>
    <w:rsid w:val="009E6CCF"/>
    <w:rsid w:val="009F03AC"/>
    <w:rsid w:val="009F191B"/>
    <w:rsid w:val="009F1C63"/>
    <w:rsid w:val="009F3697"/>
    <w:rsid w:val="009F4C26"/>
    <w:rsid w:val="009F4FAE"/>
    <w:rsid w:val="009F5E0F"/>
    <w:rsid w:val="009F6D81"/>
    <w:rsid w:val="009F75FF"/>
    <w:rsid w:val="009F7D9A"/>
    <w:rsid w:val="00A0079B"/>
    <w:rsid w:val="00A00980"/>
    <w:rsid w:val="00A01184"/>
    <w:rsid w:val="00A01CC3"/>
    <w:rsid w:val="00A02297"/>
    <w:rsid w:val="00A029DA"/>
    <w:rsid w:val="00A0300D"/>
    <w:rsid w:val="00A0319B"/>
    <w:rsid w:val="00A037C2"/>
    <w:rsid w:val="00A03865"/>
    <w:rsid w:val="00A03D43"/>
    <w:rsid w:val="00A04380"/>
    <w:rsid w:val="00A043D2"/>
    <w:rsid w:val="00A0537D"/>
    <w:rsid w:val="00A05472"/>
    <w:rsid w:val="00A05C32"/>
    <w:rsid w:val="00A0653F"/>
    <w:rsid w:val="00A074BD"/>
    <w:rsid w:val="00A07EB2"/>
    <w:rsid w:val="00A07F7E"/>
    <w:rsid w:val="00A106D6"/>
    <w:rsid w:val="00A11CD0"/>
    <w:rsid w:val="00A11EF1"/>
    <w:rsid w:val="00A12EA3"/>
    <w:rsid w:val="00A134F7"/>
    <w:rsid w:val="00A13948"/>
    <w:rsid w:val="00A14639"/>
    <w:rsid w:val="00A1555B"/>
    <w:rsid w:val="00A155C5"/>
    <w:rsid w:val="00A1561B"/>
    <w:rsid w:val="00A16060"/>
    <w:rsid w:val="00A16188"/>
    <w:rsid w:val="00A16AD8"/>
    <w:rsid w:val="00A16DB1"/>
    <w:rsid w:val="00A20057"/>
    <w:rsid w:val="00A212B1"/>
    <w:rsid w:val="00A214AF"/>
    <w:rsid w:val="00A21593"/>
    <w:rsid w:val="00A21C95"/>
    <w:rsid w:val="00A21CF3"/>
    <w:rsid w:val="00A21D92"/>
    <w:rsid w:val="00A21EAA"/>
    <w:rsid w:val="00A21FBC"/>
    <w:rsid w:val="00A22F5B"/>
    <w:rsid w:val="00A231C4"/>
    <w:rsid w:val="00A239DC"/>
    <w:rsid w:val="00A23E93"/>
    <w:rsid w:val="00A24813"/>
    <w:rsid w:val="00A24E58"/>
    <w:rsid w:val="00A2673F"/>
    <w:rsid w:val="00A26B55"/>
    <w:rsid w:val="00A27402"/>
    <w:rsid w:val="00A27886"/>
    <w:rsid w:val="00A27AEC"/>
    <w:rsid w:val="00A308D7"/>
    <w:rsid w:val="00A30A34"/>
    <w:rsid w:val="00A31305"/>
    <w:rsid w:val="00A3142A"/>
    <w:rsid w:val="00A31D42"/>
    <w:rsid w:val="00A31DD4"/>
    <w:rsid w:val="00A31E21"/>
    <w:rsid w:val="00A320DB"/>
    <w:rsid w:val="00A32F3D"/>
    <w:rsid w:val="00A3517A"/>
    <w:rsid w:val="00A3572B"/>
    <w:rsid w:val="00A35D16"/>
    <w:rsid w:val="00A36AEA"/>
    <w:rsid w:val="00A37020"/>
    <w:rsid w:val="00A373D1"/>
    <w:rsid w:val="00A37BCD"/>
    <w:rsid w:val="00A37D79"/>
    <w:rsid w:val="00A40A79"/>
    <w:rsid w:val="00A40A8E"/>
    <w:rsid w:val="00A41059"/>
    <w:rsid w:val="00A41689"/>
    <w:rsid w:val="00A41908"/>
    <w:rsid w:val="00A42592"/>
    <w:rsid w:val="00A4397E"/>
    <w:rsid w:val="00A43B69"/>
    <w:rsid w:val="00A43C59"/>
    <w:rsid w:val="00A441F0"/>
    <w:rsid w:val="00A4460B"/>
    <w:rsid w:val="00A44A91"/>
    <w:rsid w:val="00A44FCC"/>
    <w:rsid w:val="00A4673B"/>
    <w:rsid w:val="00A47932"/>
    <w:rsid w:val="00A503F8"/>
    <w:rsid w:val="00A50ECD"/>
    <w:rsid w:val="00A518F3"/>
    <w:rsid w:val="00A51A3E"/>
    <w:rsid w:val="00A51EB2"/>
    <w:rsid w:val="00A526E9"/>
    <w:rsid w:val="00A52729"/>
    <w:rsid w:val="00A529F1"/>
    <w:rsid w:val="00A52F7D"/>
    <w:rsid w:val="00A53675"/>
    <w:rsid w:val="00A53A2C"/>
    <w:rsid w:val="00A548F6"/>
    <w:rsid w:val="00A54A37"/>
    <w:rsid w:val="00A56207"/>
    <w:rsid w:val="00A564D7"/>
    <w:rsid w:val="00A56A51"/>
    <w:rsid w:val="00A56B6A"/>
    <w:rsid w:val="00A578DC"/>
    <w:rsid w:val="00A57B62"/>
    <w:rsid w:val="00A600A1"/>
    <w:rsid w:val="00A602F4"/>
    <w:rsid w:val="00A62D63"/>
    <w:rsid w:val="00A62D65"/>
    <w:rsid w:val="00A63C2C"/>
    <w:rsid w:val="00A64077"/>
    <w:rsid w:val="00A640E2"/>
    <w:rsid w:val="00A646C4"/>
    <w:rsid w:val="00A64D65"/>
    <w:rsid w:val="00A6511F"/>
    <w:rsid w:val="00A658F7"/>
    <w:rsid w:val="00A65D46"/>
    <w:rsid w:val="00A65E92"/>
    <w:rsid w:val="00A66248"/>
    <w:rsid w:val="00A6684B"/>
    <w:rsid w:val="00A6699D"/>
    <w:rsid w:val="00A6725B"/>
    <w:rsid w:val="00A67428"/>
    <w:rsid w:val="00A70605"/>
    <w:rsid w:val="00A708A3"/>
    <w:rsid w:val="00A71C75"/>
    <w:rsid w:val="00A725E3"/>
    <w:rsid w:val="00A72C3C"/>
    <w:rsid w:val="00A73134"/>
    <w:rsid w:val="00A73D92"/>
    <w:rsid w:val="00A74288"/>
    <w:rsid w:val="00A7488E"/>
    <w:rsid w:val="00A750B1"/>
    <w:rsid w:val="00A75577"/>
    <w:rsid w:val="00A757A3"/>
    <w:rsid w:val="00A76001"/>
    <w:rsid w:val="00A76B1A"/>
    <w:rsid w:val="00A777B2"/>
    <w:rsid w:val="00A80830"/>
    <w:rsid w:val="00A81C1F"/>
    <w:rsid w:val="00A821A1"/>
    <w:rsid w:val="00A82521"/>
    <w:rsid w:val="00A825D4"/>
    <w:rsid w:val="00A828F6"/>
    <w:rsid w:val="00A82A2D"/>
    <w:rsid w:val="00A82B73"/>
    <w:rsid w:val="00A82E56"/>
    <w:rsid w:val="00A83058"/>
    <w:rsid w:val="00A83633"/>
    <w:rsid w:val="00A83E2A"/>
    <w:rsid w:val="00A84BAE"/>
    <w:rsid w:val="00A86E8B"/>
    <w:rsid w:val="00A87164"/>
    <w:rsid w:val="00A9128B"/>
    <w:rsid w:val="00A912D9"/>
    <w:rsid w:val="00A92E4E"/>
    <w:rsid w:val="00A93072"/>
    <w:rsid w:val="00A938BD"/>
    <w:rsid w:val="00A93953"/>
    <w:rsid w:val="00A94B47"/>
    <w:rsid w:val="00A94E99"/>
    <w:rsid w:val="00A95640"/>
    <w:rsid w:val="00A959D8"/>
    <w:rsid w:val="00A97294"/>
    <w:rsid w:val="00A979EE"/>
    <w:rsid w:val="00AA05B7"/>
    <w:rsid w:val="00AA113D"/>
    <w:rsid w:val="00AA1CA4"/>
    <w:rsid w:val="00AA218C"/>
    <w:rsid w:val="00AA23D8"/>
    <w:rsid w:val="00AA2B64"/>
    <w:rsid w:val="00AA4F7B"/>
    <w:rsid w:val="00AA518B"/>
    <w:rsid w:val="00AA5A84"/>
    <w:rsid w:val="00AA6BD5"/>
    <w:rsid w:val="00AA6BD8"/>
    <w:rsid w:val="00AA6C7D"/>
    <w:rsid w:val="00AA7E3B"/>
    <w:rsid w:val="00AA7FD6"/>
    <w:rsid w:val="00AB0225"/>
    <w:rsid w:val="00AB0309"/>
    <w:rsid w:val="00AB042A"/>
    <w:rsid w:val="00AB0968"/>
    <w:rsid w:val="00AB18E5"/>
    <w:rsid w:val="00AB19EF"/>
    <w:rsid w:val="00AB2786"/>
    <w:rsid w:val="00AB2D34"/>
    <w:rsid w:val="00AB3430"/>
    <w:rsid w:val="00AB37B9"/>
    <w:rsid w:val="00AB40AC"/>
    <w:rsid w:val="00AB435F"/>
    <w:rsid w:val="00AB49B5"/>
    <w:rsid w:val="00AB4AD1"/>
    <w:rsid w:val="00AB590C"/>
    <w:rsid w:val="00AB5E07"/>
    <w:rsid w:val="00AB6D4B"/>
    <w:rsid w:val="00AB6E64"/>
    <w:rsid w:val="00AB73FB"/>
    <w:rsid w:val="00AB7CFA"/>
    <w:rsid w:val="00AC016F"/>
    <w:rsid w:val="00AC0E47"/>
    <w:rsid w:val="00AC32EA"/>
    <w:rsid w:val="00AC38CD"/>
    <w:rsid w:val="00AC38FE"/>
    <w:rsid w:val="00AC5009"/>
    <w:rsid w:val="00AC5B48"/>
    <w:rsid w:val="00AC7CB4"/>
    <w:rsid w:val="00AD00A1"/>
    <w:rsid w:val="00AD088E"/>
    <w:rsid w:val="00AD1450"/>
    <w:rsid w:val="00AD1C68"/>
    <w:rsid w:val="00AD48FB"/>
    <w:rsid w:val="00AD4C36"/>
    <w:rsid w:val="00AD5AFA"/>
    <w:rsid w:val="00AD6502"/>
    <w:rsid w:val="00AD6672"/>
    <w:rsid w:val="00AD6D0C"/>
    <w:rsid w:val="00AD7FAD"/>
    <w:rsid w:val="00AE02BD"/>
    <w:rsid w:val="00AE0695"/>
    <w:rsid w:val="00AE0B4B"/>
    <w:rsid w:val="00AE1870"/>
    <w:rsid w:val="00AE2396"/>
    <w:rsid w:val="00AE3E7E"/>
    <w:rsid w:val="00AE447E"/>
    <w:rsid w:val="00AE4496"/>
    <w:rsid w:val="00AE4EF9"/>
    <w:rsid w:val="00AE5E9A"/>
    <w:rsid w:val="00AE710B"/>
    <w:rsid w:val="00AE768D"/>
    <w:rsid w:val="00AE7DE9"/>
    <w:rsid w:val="00AF0E47"/>
    <w:rsid w:val="00AF11DB"/>
    <w:rsid w:val="00AF1228"/>
    <w:rsid w:val="00AF1315"/>
    <w:rsid w:val="00AF19BF"/>
    <w:rsid w:val="00AF1A47"/>
    <w:rsid w:val="00AF1B95"/>
    <w:rsid w:val="00AF2AEA"/>
    <w:rsid w:val="00AF2DC3"/>
    <w:rsid w:val="00AF341B"/>
    <w:rsid w:val="00AF3CBD"/>
    <w:rsid w:val="00AF3E13"/>
    <w:rsid w:val="00AF4684"/>
    <w:rsid w:val="00AF504B"/>
    <w:rsid w:val="00AF5294"/>
    <w:rsid w:val="00AF55A8"/>
    <w:rsid w:val="00AF6F8C"/>
    <w:rsid w:val="00AF7571"/>
    <w:rsid w:val="00AF7B00"/>
    <w:rsid w:val="00B00861"/>
    <w:rsid w:val="00B00B43"/>
    <w:rsid w:val="00B01841"/>
    <w:rsid w:val="00B0210A"/>
    <w:rsid w:val="00B033E5"/>
    <w:rsid w:val="00B03A63"/>
    <w:rsid w:val="00B03CDF"/>
    <w:rsid w:val="00B041C8"/>
    <w:rsid w:val="00B0574E"/>
    <w:rsid w:val="00B05BC5"/>
    <w:rsid w:val="00B0648B"/>
    <w:rsid w:val="00B110B2"/>
    <w:rsid w:val="00B11DAE"/>
    <w:rsid w:val="00B130E8"/>
    <w:rsid w:val="00B1441E"/>
    <w:rsid w:val="00B147D0"/>
    <w:rsid w:val="00B14DEC"/>
    <w:rsid w:val="00B15181"/>
    <w:rsid w:val="00B1569E"/>
    <w:rsid w:val="00B15A3B"/>
    <w:rsid w:val="00B17092"/>
    <w:rsid w:val="00B201A4"/>
    <w:rsid w:val="00B201D1"/>
    <w:rsid w:val="00B20700"/>
    <w:rsid w:val="00B20F69"/>
    <w:rsid w:val="00B213A6"/>
    <w:rsid w:val="00B21493"/>
    <w:rsid w:val="00B235B0"/>
    <w:rsid w:val="00B235B5"/>
    <w:rsid w:val="00B23E5F"/>
    <w:rsid w:val="00B2421B"/>
    <w:rsid w:val="00B2471E"/>
    <w:rsid w:val="00B24DF6"/>
    <w:rsid w:val="00B24F75"/>
    <w:rsid w:val="00B26FCC"/>
    <w:rsid w:val="00B27439"/>
    <w:rsid w:val="00B27573"/>
    <w:rsid w:val="00B27E4A"/>
    <w:rsid w:val="00B334D9"/>
    <w:rsid w:val="00B33D97"/>
    <w:rsid w:val="00B34525"/>
    <w:rsid w:val="00B34723"/>
    <w:rsid w:val="00B34FE2"/>
    <w:rsid w:val="00B35120"/>
    <w:rsid w:val="00B35166"/>
    <w:rsid w:val="00B357D8"/>
    <w:rsid w:val="00B360F4"/>
    <w:rsid w:val="00B36A00"/>
    <w:rsid w:val="00B37BFC"/>
    <w:rsid w:val="00B4034C"/>
    <w:rsid w:val="00B40358"/>
    <w:rsid w:val="00B409A5"/>
    <w:rsid w:val="00B41614"/>
    <w:rsid w:val="00B418C4"/>
    <w:rsid w:val="00B425DC"/>
    <w:rsid w:val="00B42851"/>
    <w:rsid w:val="00B42F80"/>
    <w:rsid w:val="00B435CB"/>
    <w:rsid w:val="00B436C0"/>
    <w:rsid w:val="00B43C3B"/>
    <w:rsid w:val="00B446EE"/>
    <w:rsid w:val="00B44A75"/>
    <w:rsid w:val="00B457AC"/>
    <w:rsid w:val="00B46668"/>
    <w:rsid w:val="00B4669E"/>
    <w:rsid w:val="00B46BA1"/>
    <w:rsid w:val="00B4714A"/>
    <w:rsid w:val="00B47D6D"/>
    <w:rsid w:val="00B505C8"/>
    <w:rsid w:val="00B50DB8"/>
    <w:rsid w:val="00B510BC"/>
    <w:rsid w:val="00B51889"/>
    <w:rsid w:val="00B51A32"/>
    <w:rsid w:val="00B52AC9"/>
    <w:rsid w:val="00B53149"/>
    <w:rsid w:val="00B5354E"/>
    <w:rsid w:val="00B53654"/>
    <w:rsid w:val="00B53905"/>
    <w:rsid w:val="00B54A5C"/>
    <w:rsid w:val="00B54B0F"/>
    <w:rsid w:val="00B54B5B"/>
    <w:rsid w:val="00B54D48"/>
    <w:rsid w:val="00B5562E"/>
    <w:rsid w:val="00B5571C"/>
    <w:rsid w:val="00B55D65"/>
    <w:rsid w:val="00B56069"/>
    <w:rsid w:val="00B57000"/>
    <w:rsid w:val="00B57052"/>
    <w:rsid w:val="00B572FA"/>
    <w:rsid w:val="00B60939"/>
    <w:rsid w:val="00B60AFD"/>
    <w:rsid w:val="00B60F07"/>
    <w:rsid w:val="00B6154C"/>
    <w:rsid w:val="00B61F97"/>
    <w:rsid w:val="00B62715"/>
    <w:rsid w:val="00B62D9D"/>
    <w:rsid w:val="00B639E3"/>
    <w:rsid w:val="00B64824"/>
    <w:rsid w:val="00B64A98"/>
    <w:rsid w:val="00B65611"/>
    <w:rsid w:val="00B662B4"/>
    <w:rsid w:val="00B70E8E"/>
    <w:rsid w:val="00B7103F"/>
    <w:rsid w:val="00B716A3"/>
    <w:rsid w:val="00B724AC"/>
    <w:rsid w:val="00B7252B"/>
    <w:rsid w:val="00B7395B"/>
    <w:rsid w:val="00B73CC2"/>
    <w:rsid w:val="00B74C64"/>
    <w:rsid w:val="00B75FA8"/>
    <w:rsid w:val="00B76B02"/>
    <w:rsid w:val="00B76C92"/>
    <w:rsid w:val="00B818A4"/>
    <w:rsid w:val="00B81BFE"/>
    <w:rsid w:val="00B825A2"/>
    <w:rsid w:val="00B825AC"/>
    <w:rsid w:val="00B83109"/>
    <w:rsid w:val="00B84117"/>
    <w:rsid w:val="00B8427B"/>
    <w:rsid w:val="00B847D6"/>
    <w:rsid w:val="00B84C4A"/>
    <w:rsid w:val="00B84F63"/>
    <w:rsid w:val="00B858F0"/>
    <w:rsid w:val="00B85AA2"/>
    <w:rsid w:val="00B85CED"/>
    <w:rsid w:val="00B85D62"/>
    <w:rsid w:val="00B8649C"/>
    <w:rsid w:val="00B8695D"/>
    <w:rsid w:val="00B86FFF"/>
    <w:rsid w:val="00B8723D"/>
    <w:rsid w:val="00B87933"/>
    <w:rsid w:val="00B87F0A"/>
    <w:rsid w:val="00B91246"/>
    <w:rsid w:val="00B91586"/>
    <w:rsid w:val="00B92D0B"/>
    <w:rsid w:val="00B93BAF"/>
    <w:rsid w:val="00B93E29"/>
    <w:rsid w:val="00B93ED2"/>
    <w:rsid w:val="00B94945"/>
    <w:rsid w:val="00B94DD6"/>
    <w:rsid w:val="00B950AB"/>
    <w:rsid w:val="00B96DC4"/>
    <w:rsid w:val="00BA0130"/>
    <w:rsid w:val="00BA01BB"/>
    <w:rsid w:val="00BA03B5"/>
    <w:rsid w:val="00BA0452"/>
    <w:rsid w:val="00BA113E"/>
    <w:rsid w:val="00BA1C63"/>
    <w:rsid w:val="00BA2D23"/>
    <w:rsid w:val="00BA3059"/>
    <w:rsid w:val="00BA322D"/>
    <w:rsid w:val="00BA3751"/>
    <w:rsid w:val="00BA58F6"/>
    <w:rsid w:val="00BA5D64"/>
    <w:rsid w:val="00BA63FA"/>
    <w:rsid w:val="00BA6762"/>
    <w:rsid w:val="00BA69AC"/>
    <w:rsid w:val="00BB00B3"/>
    <w:rsid w:val="00BB06B6"/>
    <w:rsid w:val="00BB0BDD"/>
    <w:rsid w:val="00BB0C1C"/>
    <w:rsid w:val="00BB176C"/>
    <w:rsid w:val="00BB1F1F"/>
    <w:rsid w:val="00BB2648"/>
    <w:rsid w:val="00BB2A73"/>
    <w:rsid w:val="00BB3683"/>
    <w:rsid w:val="00BB3A45"/>
    <w:rsid w:val="00BB4ACC"/>
    <w:rsid w:val="00BB62F3"/>
    <w:rsid w:val="00BB6C62"/>
    <w:rsid w:val="00BB6E38"/>
    <w:rsid w:val="00BB6EF9"/>
    <w:rsid w:val="00BB703E"/>
    <w:rsid w:val="00BB732D"/>
    <w:rsid w:val="00BB7405"/>
    <w:rsid w:val="00BB7C4E"/>
    <w:rsid w:val="00BC199B"/>
    <w:rsid w:val="00BC23C2"/>
    <w:rsid w:val="00BC3631"/>
    <w:rsid w:val="00BC3C8E"/>
    <w:rsid w:val="00BC3EA9"/>
    <w:rsid w:val="00BC42A8"/>
    <w:rsid w:val="00BC487E"/>
    <w:rsid w:val="00BC591F"/>
    <w:rsid w:val="00BC5CCB"/>
    <w:rsid w:val="00BC63EB"/>
    <w:rsid w:val="00BC6524"/>
    <w:rsid w:val="00BC6D09"/>
    <w:rsid w:val="00BC6F93"/>
    <w:rsid w:val="00BC7300"/>
    <w:rsid w:val="00BC7C46"/>
    <w:rsid w:val="00BC7D6D"/>
    <w:rsid w:val="00BD00FB"/>
    <w:rsid w:val="00BD18EA"/>
    <w:rsid w:val="00BD1A98"/>
    <w:rsid w:val="00BD2108"/>
    <w:rsid w:val="00BD3CB6"/>
    <w:rsid w:val="00BD68A3"/>
    <w:rsid w:val="00BD6938"/>
    <w:rsid w:val="00BD6CEB"/>
    <w:rsid w:val="00BD6CF3"/>
    <w:rsid w:val="00BD7687"/>
    <w:rsid w:val="00BE0DFE"/>
    <w:rsid w:val="00BE0ECA"/>
    <w:rsid w:val="00BE1D00"/>
    <w:rsid w:val="00BE1EA0"/>
    <w:rsid w:val="00BE2180"/>
    <w:rsid w:val="00BE21F2"/>
    <w:rsid w:val="00BE2335"/>
    <w:rsid w:val="00BE2829"/>
    <w:rsid w:val="00BE2929"/>
    <w:rsid w:val="00BE2A13"/>
    <w:rsid w:val="00BE2C4B"/>
    <w:rsid w:val="00BE2D77"/>
    <w:rsid w:val="00BE3CC0"/>
    <w:rsid w:val="00BE4275"/>
    <w:rsid w:val="00BE73EA"/>
    <w:rsid w:val="00BE743A"/>
    <w:rsid w:val="00BF006A"/>
    <w:rsid w:val="00BF0352"/>
    <w:rsid w:val="00BF0642"/>
    <w:rsid w:val="00BF06AE"/>
    <w:rsid w:val="00BF09A8"/>
    <w:rsid w:val="00BF0F95"/>
    <w:rsid w:val="00BF2433"/>
    <w:rsid w:val="00BF4745"/>
    <w:rsid w:val="00BF4859"/>
    <w:rsid w:val="00BF5FC1"/>
    <w:rsid w:val="00BF612A"/>
    <w:rsid w:val="00BF61C9"/>
    <w:rsid w:val="00BF6C94"/>
    <w:rsid w:val="00BF7072"/>
    <w:rsid w:val="00BF764C"/>
    <w:rsid w:val="00BF7E0E"/>
    <w:rsid w:val="00C00424"/>
    <w:rsid w:val="00C00AB0"/>
    <w:rsid w:val="00C02AC7"/>
    <w:rsid w:val="00C039D0"/>
    <w:rsid w:val="00C0412F"/>
    <w:rsid w:val="00C04245"/>
    <w:rsid w:val="00C047AE"/>
    <w:rsid w:val="00C04D2F"/>
    <w:rsid w:val="00C04D75"/>
    <w:rsid w:val="00C0524A"/>
    <w:rsid w:val="00C0564B"/>
    <w:rsid w:val="00C05F51"/>
    <w:rsid w:val="00C06826"/>
    <w:rsid w:val="00C1179F"/>
    <w:rsid w:val="00C11AF6"/>
    <w:rsid w:val="00C12247"/>
    <w:rsid w:val="00C122EC"/>
    <w:rsid w:val="00C12C14"/>
    <w:rsid w:val="00C13327"/>
    <w:rsid w:val="00C1482F"/>
    <w:rsid w:val="00C149E8"/>
    <w:rsid w:val="00C15179"/>
    <w:rsid w:val="00C15F04"/>
    <w:rsid w:val="00C16DA1"/>
    <w:rsid w:val="00C16FF8"/>
    <w:rsid w:val="00C171F3"/>
    <w:rsid w:val="00C179B3"/>
    <w:rsid w:val="00C17E3F"/>
    <w:rsid w:val="00C200AA"/>
    <w:rsid w:val="00C20843"/>
    <w:rsid w:val="00C20A6F"/>
    <w:rsid w:val="00C20AF3"/>
    <w:rsid w:val="00C20B32"/>
    <w:rsid w:val="00C22812"/>
    <w:rsid w:val="00C22F76"/>
    <w:rsid w:val="00C235BE"/>
    <w:rsid w:val="00C237ED"/>
    <w:rsid w:val="00C24632"/>
    <w:rsid w:val="00C25418"/>
    <w:rsid w:val="00C25D9C"/>
    <w:rsid w:val="00C2657B"/>
    <w:rsid w:val="00C26E93"/>
    <w:rsid w:val="00C2726D"/>
    <w:rsid w:val="00C2778B"/>
    <w:rsid w:val="00C3009F"/>
    <w:rsid w:val="00C30678"/>
    <w:rsid w:val="00C314BB"/>
    <w:rsid w:val="00C31649"/>
    <w:rsid w:val="00C32EB3"/>
    <w:rsid w:val="00C3317F"/>
    <w:rsid w:val="00C3368A"/>
    <w:rsid w:val="00C34185"/>
    <w:rsid w:val="00C3434C"/>
    <w:rsid w:val="00C348E5"/>
    <w:rsid w:val="00C368BA"/>
    <w:rsid w:val="00C36BF6"/>
    <w:rsid w:val="00C37555"/>
    <w:rsid w:val="00C37718"/>
    <w:rsid w:val="00C40385"/>
    <w:rsid w:val="00C40D99"/>
    <w:rsid w:val="00C41768"/>
    <w:rsid w:val="00C417B9"/>
    <w:rsid w:val="00C429A8"/>
    <w:rsid w:val="00C4330C"/>
    <w:rsid w:val="00C439C5"/>
    <w:rsid w:val="00C43BC5"/>
    <w:rsid w:val="00C43CB5"/>
    <w:rsid w:val="00C447C8"/>
    <w:rsid w:val="00C45560"/>
    <w:rsid w:val="00C45F0C"/>
    <w:rsid w:val="00C466A6"/>
    <w:rsid w:val="00C468C0"/>
    <w:rsid w:val="00C4700A"/>
    <w:rsid w:val="00C4703B"/>
    <w:rsid w:val="00C4720E"/>
    <w:rsid w:val="00C475AA"/>
    <w:rsid w:val="00C47B5A"/>
    <w:rsid w:val="00C50058"/>
    <w:rsid w:val="00C501B9"/>
    <w:rsid w:val="00C51C99"/>
    <w:rsid w:val="00C5250C"/>
    <w:rsid w:val="00C52CD0"/>
    <w:rsid w:val="00C52D04"/>
    <w:rsid w:val="00C52D10"/>
    <w:rsid w:val="00C5348E"/>
    <w:rsid w:val="00C53C98"/>
    <w:rsid w:val="00C53EC1"/>
    <w:rsid w:val="00C5425D"/>
    <w:rsid w:val="00C54BE8"/>
    <w:rsid w:val="00C54FF5"/>
    <w:rsid w:val="00C5519F"/>
    <w:rsid w:val="00C552C1"/>
    <w:rsid w:val="00C555E3"/>
    <w:rsid w:val="00C55BFC"/>
    <w:rsid w:val="00C55D00"/>
    <w:rsid w:val="00C5646C"/>
    <w:rsid w:val="00C565A8"/>
    <w:rsid w:val="00C56FCF"/>
    <w:rsid w:val="00C57B6C"/>
    <w:rsid w:val="00C57D77"/>
    <w:rsid w:val="00C602A7"/>
    <w:rsid w:val="00C60F9A"/>
    <w:rsid w:val="00C6181B"/>
    <w:rsid w:val="00C6228D"/>
    <w:rsid w:val="00C628A6"/>
    <w:rsid w:val="00C62DF5"/>
    <w:rsid w:val="00C63F16"/>
    <w:rsid w:val="00C64344"/>
    <w:rsid w:val="00C643FC"/>
    <w:rsid w:val="00C65108"/>
    <w:rsid w:val="00C65576"/>
    <w:rsid w:val="00C66165"/>
    <w:rsid w:val="00C66BB9"/>
    <w:rsid w:val="00C6728C"/>
    <w:rsid w:val="00C7060A"/>
    <w:rsid w:val="00C7151A"/>
    <w:rsid w:val="00C717E3"/>
    <w:rsid w:val="00C71F60"/>
    <w:rsid w:val="00C72241"/>
    <w:rsid w:val="00C7349B"/>
    <w:rsid w:val="00C73699"/>
    <w:rsid w:val="00C750C8"/>
    <w:rsid w:val="00C754BD"/>
    <w:rsid w:val="00C7560F"/>
    <w:rsid w:val="00C75709"/>
    <w:rsid w:val="00C757F6"/>
    <w:rsid w:val="00C75B9A"/>
    <w:rsid w:val="00C75BAF"/>
    <w:rsid w:val="00C76BCF"/>
    <w:rsid w:val="00C8033E"/>
    <w:rsid w:val="00C80A0E"/>
    <w:rsid w:val="00C8125E"/>
    <w:rsid w:val="00C8199F"/>
    <w:rsid w:val="00C81DDB"/>
    <w:rsid w:val="00C8213F"/>
    <w:rsid w:val="00C848C7"/>
    <w:rsid w:val="00C85154"/>
    <w:rsid w:val="00C85411"/>
    <w:rsid w:val="00C86963"/>
    <w:rsid w:val="00C8797A"/>
    <w:rsid w:val="00C8797F"/>
    <w:rsid w:val="00C900B8"/>
    <w:rsid w:val="00C907C5"/>
    <w:rsid w:val="00C90C71"/>
    <w:rsid w:val="00C90CBB"/>
    <w:rsid w:val="00C91605"/>
    <w:rsid w:val="00C91FD1"/>
    <w:rsid w:val="00C92D23"/>
    <w:rsid w:val="00C931CF"/>
    <w:rsid w:val="00C938CF"/>
    <w:rsid w:val="00C94053"/>
    <w:rsid w:val="00C94337"/>
    <w:rsid w:val="00C94678"/>
    <w:rsid w:val="00C948D8"/>
    <w:rsid w:val="00C95001"/>
    <w:rsid w:val="00C95A45"/>
    <w:rsid w:val="00C95EF4"/>
    <w:rsid w:val="00C96108"/>
    <w:rsid w:val="00C9624D"/>
    <w:rsid w:val="00C96488"/>
    <w:rsid w:val="00C969C3"/>
    <w:rsid w:val="00C969DA"/>
    <w:rsid w:val="00C972D8"/>
    <w:rsid w:val="00C97AC9"/>
    <w:rsid w:val="00CA006D"/>
    <w:rsid w:val="00CA1513"/>
    <w:rsid w:val="00CA17C2"/>
    <w:rsid w:val="00CA22C1"/>
    <w:rsid w:val="00CA2C77"/>
    <w:rsid w:val="00CA444F"/>
    <w:rsid w:val="00CA5245"/>
    <w:rsid w:val="00CA6884"/>
    <w:rsid w:val="00CA6F88"/>
    <w:rsid w:val="00CA7199"/>
    <w:rsid w:val="00CA71F4"/>
    <w:rsid w:val="00CA7B09"/>
    <w:rsid w:val="00CA7C0C"/>
    <w:rsid w:val="00CB0849"/>
    <w:rsid w:val="00CB0BEF"/>
    <w:rsid w:val="00CB10FB"/>
    <w:rsid w:val="00CB12A5"/>
    <w:rsid w:val="00CB137D"/>
    <w:rsid w:val="00CB1B92"/>
    <w:rsid w:val="00CB1CAC"/>
    <w:rsid w:val="00CB1CBD"/>
    <w:rsid w:val="00CB1E7E"/>
    <w:rsid w:val="00CB26D0"/>
    <w:rsid w:val="00CB297F"/>
    <w:rsid w:val="00CB2EDE"/>
    <w:rsid w:val="00CB2F2A"/>
    <w:rsid w:val="00CB36FA"/>
    <w:rsid w:val="00CB4330"/>
    <w:rsid w:val="00CB43F0"/>
    <w:rsid w:val="00CB5B1A"/>
    <w:rsid w:val="00CB6042"/>
    <w:rsid w:val="00CB6B22"/>
    <w:rsid w:val="00CB6B51"/>
    <w:rsid w:val="00CB77EB"/>
    <w:rsid w:val="00CB7F5F"/>
    <w:rsid w:val="00CC0039"/>
    <w:rsid w:val="00CC0EB2"/>
    <w:rsid w:val="00CC1B39"/>
    <w:rsid w:val="00CC1BBA"/>
    <w:rsid w:val="00CC1D2E"/>
    <w:rsid w:val="00CC35EA"/>
    <w:rsid w:val="00CC3848"/>
    <w:rsid w:val="00CC7A21"/>
    <w:rsid w:val="00CD094F"/>
    <w:rsid w:val="00CD0A2B"/>
    <w:rsid w:val="00CD0C4C"/>
    <w:rsid w:val="00CD1FA6"/>
    <w:rsid w:val="00CD3F77"/>
    <w:rsid w:val="00CD4030"/>
    <w:rsid w:val="00CD5F58"/>
    <w:rsid w:val="00CD61F6"/>
    <w:rsid w:val="00CD6ADC"/>
    <w:rsid w:val="00CD6C0A"/>
    <w:rsid w:val="00CD6D38"/>
    <w:rsid w:val="00CD7193"/>
    <w:rsid w:val="00CD7463"/>
    <w:rsid w:val="00CD7E20"/>
    <w:rsid w:val="00CE115F"/>
    <w:rsid w:val="00CE12D8"/>
    <w:rsid w:val="00CE15B3"/>
    <w:rsid w:val="00CE20EB"/>
    <w:rsid w:val="00CE2732"/>
    <w:rsid w:val="00CE38C8"/>
    <w:rsid w:val="00CE3B0D"/>
    <w:rsid w:val="00CE6274"/>
    <w:rsid w:val="00CE7774"/>
    <w:rsid w:val="00CE77B6"/>
    <w:rsid w:val="00CE7D0A"/>
    <w:rsid w:val="00CF1BC8"/>
    <w:rsid w:val="00CF2397"/>
    <w:rsid w:val="00CF28D4"/>
    <w:rsid w:val="00CF2B8D"/>
    <w:rsid w:val="00CF33F2"/>
    <w:rsid w:val="00CF38CB"/>
    <w:rsid w:val="00CF456B"/>
    <w:rsid w:val="00CF4E38"/>
    <w:rsid w:val="00CF5A22"/>
    <w:rsid w:val="00CF6CDB"/>
    <w:rsid w:val="00CF7478"/>
    <w:rsid w:val="00CF7807"/>
    <w:rsid w:val="00CF7B86"/>
    <w:rsid w:val="00D01F5F"/>
    <w:rsid w:val="00D0262E"/>
    <w:rsid w:val="00D02BF3"/>
    <w:rsid w:val="00D0363E"/>
    <w:rsid w:val="00D03D6C"/>
    <w:rsid w:val="00D04A87"/>
    <w:rsid w:val="00D05E3D"/>
    <w:rsid w:val="00D06139"/>
    <w:rsid w:val="00D100B8"/>
    <w:rsid w:val="00D1106A"/>
    <w:rsid w:val="00D110BD"/>
    <w:rsid w:val="00D13087"/>
    <w:rsid w:val="00D13675"/>
    <w:rsid w:val="00D13B6C"/>
    <w:rsid w:val="00D141E1"/>
    <w:rsid w:val="00D152F3"/>
    <w:rsid w:val="00D15314"/>
    <w:rsid w:val="00D16164"/>
    <w:rsid w:val="00D16739"/>
    <w:rsid w:val="00D16AD3"/>
    <w:rsid w:val="00D17D6C"/>
    <w:rsid w:val="00D20038"/>
    <w:rsid w:val="00D2155B"/>
    <w:rsid w:val="00D22C05"/>
    <w:rsid w:val="00D22ED7"/>
    <w:rsid w:val="00D23C96"/>
    <w:rsid w:val="00D23D11"/>
    <w:rsid w:val="00D244B6"/>
    <w:rsid w:val="00D25629"/>
    <w:rsid w:val="00D2611D"/>
    <w:rsid w:val="00D26238"/>
    <w:rsid w:val="00D2754D"/>
    <w:rsid w:val="00D27B27"/>
    <w:rsid w:val="00D30829"/>
    <w:rsid w:val="00D32FC9"/>
    <w:rsid w:val="00D33446"/>
    <w:rsid w:val="00D3393A"/>
    <w:rsid w:val="00D33BE9"/>
    <w:rsid w:val="00D33DD0"/>
    <w:rsid w:val="00D33F93"/>
    <w:rsid w:val="00D35708"/>
    <w:rsid w:val="00D357FF"/>
    <w:rsid w:val="00D3619B"/>
    <w:rsid w:val="00D3705D"/>
    <w:rsid w:val="00D3736C"/>
    <w:rsid w:val="00D37EFF"/>
    <w:rsid w:val="00D4014F"/>
    <w:rsid w:val="00D401B7"/>
    <w:rsid w:val="00D40644"/>
    <w:rsid w:val="00D4145D"/>
    <w:rsid w:val="00D415C8"/>
    <w:rsid w:val="00D418DD"/>
    <w:rsid w:val="00D424C7"/>
    <w:rsid w:val="00D43B2A"/>
    <w:rsid w:val="00D43D83"/>
    <w:rsid w:val="00D4431C"/>
    <w:rsid w:val="00D44B10"/>
    <w:rsid w:val="00D4567F"/>
    <w:rsid w:val="00D464AF"/>
    <w:rsid w:val="00D4674B"/>
    <w:rsid w:val="00D46BF2"/>
    <w:rsid w:val="00D47575"/>
    <w:rsid w:val="00D50EB5"/>
    <w:rsid w:val="00D51F40"/>
    <w:rsid w:val="00D5243B"/>
    <w:rsid w:val="00D525B3"/>
    <w:rsid w:val="00D53246"/>
    <w:rsid w:val="00D532CE"/>
    <w:rsid w:val="00D533EC"/>
    <w:rsid w:val="00D53C4B"/>
    <w:rsid w:val="00D53CE5"/>
    <w:rsid w:val="00D53E5D"/>
    <w:rsid w:val="00D5427E"/>
    <w:rsid w:val="00D55519"/>
    <w:rsid w:val="00D55738"/>
    <w:rsid w:val="00D561DA"/>
    <w:rsid w:val="00D562F5"/>
    <w:rsid w:val="00D5643B"/>
    <w:rsid w:val="00D56A95"/>
    <w:rsid w:val="00D62E00"/>
    <w:rsid w:val="00D66790"/>
    <w:rsid w:val="00D70AD4"/>
    <w:rsid w:val="00D70EC6"/>
    <w:rsid w:val="00D70F16"/>
    <w:rsid w:val="00D7126D"/>
    <w:rsid w:val="00D71F47"/>
    <w:rsid w:val="00D72F57"/>
    <w:rsid w:val="00D73A9F"/>
    <w:rsid w:val="00D755D4"/>
    <w:rsid w:val="00D762FE"/>
    <w:rsid w:val="00D768C1"/>
    <w:rsid w:val="00D76A44"/>
    <w:rsid w:val="00D77D75"/>
    <w:rsid w:val="00D810CE"/>
    <w:rsid w:val="00D815EF"/>
    <w:rsid w:val="00D81F26"/>
    <w:rsid w:val="00D8209D"/>
    <w:rsid w:val="00D826CD"/>
    <w:rsid w:val="00D82A10"/>
    <w:rsid w:val="00D83FFE"/>
    <w:rsid w:val="00D841D7"/>
    <w:rsid w:val="00D84DB9"/>
    <w:rsid w:val="00D86231"/>
    <w:rsid w:val="00D86261"/>
    <w:rsid w:val="00D86821"/>
    <w:rsid w:val="00D87146"/>
    <w:rsid w:val="00D87197"/>
    <w:rsid w:val="00D90BAB"/>
    <w:rsid w:val="00D90E4D"/>
    <w:rsid w:val="00D91923"/>
    <w:rsid w:val="00D92426"/>
    <w:rsid w:val="00D92FFE"/>
    <w:rsid w:val="00D93753"/>
    <w:rsid w:val="00D9390A"/>
    <w:rsid w:val="00D9471B"/>
    <w:rsid w:val="00D959B3"/>
    <w:rsid w:val="00D95C36"/>
    <w:rsid w:val="00D96B94"/>
    <w:rsid w:val="00D979AF"/>
    <w:rsid w:val="00DA01D7"/>
    <w:rsid w:val="00DA066C"/>
    <w:rsid w:val="00DA0D3B"/>
    <w:rsid w:val="00DA154C"/>
    <w:rsid w:val="00DA3167"/>
    <w:rsid w:val="00DA3172"/>
    <w:rsid w:val="00DA33B4"/>
    <w:rsid w:val="00DA35E3"/>
    <w:rsid w:val="00DA4DC3"/>
    <w:rsid w:val="00DA5430"/>
    <w:rsid w:val="00DA77A5"/>
    <w:rsid w:val="00DA7F26"/>
    <w:rsid w:val="00DB0C9C"/>
    <w:rsid w:val="00DB136D"/>
    <w:rsid w:val="00DB1B1A"/>
    <w:rsid w:val="00DB2410"/>
    <w:rsid w:val="00DB2942"/>
    <w:rsid w:val="00DB3410"/>
    <w:rsid w:val="00DB3C65"/>
    <w:rsid w:val="00DB3DBF"/>
    <w:rsid w:val="00DB4083"/>
    <w:rsid w:val="00DB41D9"/>
    <w:rsid w:val="00DB484F"/>
    <w:rsid w:val="00DB5318"/>
    <w:rsid w:val="00DB5DC8"/>
    <w:rsid w:val="00DB637E"/>
    <w:rsid w:val="00DB64FF"/>
    <w:rsid w:val="00DB72A3"/>
    <w:rsid w:val="00DC00B5"/>
    <w:rsid w:val="00DC04F6"/>
    <w:rsid w:val="00DC0690"/>
    <w:rsid w:val="00DC1106"/>
    <w:rsid w:val="00DC1D65"/>
    <w:rsid w:val="00DC3AED"/>
    <w:rsid w:val="00DC3C57"/>
    <w:rsid w:val="00DC434D"/>
    <w:rsid w:val="00DC4CD4"/>
    <w:rsid w:val="00DC4E11"/>
    <w:rsid w:val="00DC518C"/>
    <w:rsid w:val="00DC5501"/>
    <w:rsid w:val="00DC6145"/>
    <w:rsid w:val="00DC7154"/>
    <w:rsid w:val="00DC7E8A"/>
    <w:rsid w:val="00DD0F78"/>
    <w:rsid w:val="00DD15DD"/>
    <w:rsid w:val="00DD273C"/>
    <w:rsid w:val="00DD2FA9"/>
    <w:rsid w:val="00DD3119"/>
    <w:rsid w:val="00DD3A9D"/>
    <w:rsid w:val="00DD3F28"/>
    <w:rsid w:val="00DD4537"/>
    <w:rsid w:val="00DD45A4"/>
    <w:rsid w:val="00DD4DA4"/>
    <w:rsid w:val="00DD4E15"/>
    <w:rsid w:val="00DD4F20"/>
    <w:rsid w:val="00DD6235"/>
    <w:rsid w:val="00DD662F"/>
    <w:rsid w:val="00DD6672"/>
    <w:rsid w:val="00DE04AD"/>
    <w:rsid w:val="00DE1401"/>
    <w:rsid w:val="00DE20B5"/>
    <w:rsid w:val="00DE2304"/>
    <w:rsid w:val="00DE3138"/>
    <w:rsid w:val="00DE37F8"/>
    <w:rsid w:val="00DE4FCB"/>
    <w:rsid w:val="00DE5D07"/>
    <w:rsid w:val="00DE5F98"/>
    <w:rsid w:val="00DE71F8"/>
    <w:rsid w:val="00DE72A7"/>
    <w:rsid w:val="00DE7369"/>
    <w:rsid w:val="00DE7832"/>
    <w:rsid w:val="00DE784F"/>
    <w:rsid w:val="00DF038C"/>
    <w:rsid w:val="00DF0580"/>
    <w:rsid w:val="00DF18FC"/>
    <w:rsid w:val="00DF1A27"/>
    <w:rsid w:val="00DF4474"/>
    <w:rsid w:val="00DF55D1"/>
    <w:rsid w:val="00DF5D2B"/>
    <w:rsid w:val="00DF5DC9"/>
    <w:rsid w:val="00DF61F2"/>
    <w:rsid w:val="00DF6ADE"/>
    <w:rsid w:val="00E00537"/>
    <w:rsid w:val="00E0099D"/>
    <w:rsid w:val="00E00E8E"/>
    <w:rsid w:val="00E03226"/>
    <w:rsid w:val="00E0374E"/>
    <w:rsid w:val="00E046EF"/>
    <w:rsid w:val="00E04746"/>
    <w:rsid w:val="00E04F26"/>
    <w:rsid w:val="00E05630"/>
    <w:rsid w:val="00E05992"/>
    <w:rsid w:val="00E06064"/>
    <w:rsid w:val="00E061CA"/>
    <w:rsid w:val="00E06DBB"/>
    <w:rsid w:val="00E070D9"/>
    <w:rsid w:val="00E07B20"/>
    <w:rsid w:val="00E10149"/>
    <w:rsid w:val="00E11340"/>
    <w:rsid w:val="00E120F2"/>
    <w:rsid w:val="00E122A1"/>
    <w:rsid w:val="00E13438"/>
    <w:rsid w:val="00E1364A"/>
    <w:rsid w:val="00E138FB"/>
    <w:rsid w:val="00E13EF4"/>
    <w:rsid w:val="00E1458D"/>
    <w:rsid w:val="00E15463"/>
    <w:rsid w:val="00E15FA7"/>
    <w:rsid w:val="00E16372"/>
    <w:rsid w:val="00E169ED"/>
    <w:rsid w:val="00E16BB8"/>
    <w:rsid w:val="00E2062C"/>
    <w:rsid w:val="00E208AE"/>
    <w:rsid w:val="00E20E4D"/>
    <w:rsid w:val="00E20ED6"/>
    <w:rsid w:val="00E21358"/>
    <w:rsid w:val="00E2249B"/>
    <w:rsid w:val="00E22A0D"/>
    <w:rsid w:val="00E23083"/>
    <w:rsid w:val="00E234AF"/>
    <w:rsid w:val="00E23C63"/>
    <w:rsid w:val="00E24170"/>
    <w:rsid w:val="00E244F6"/>
    <w:rsid w:val="00E25260"/>
    <w:rsid w:val="00E25D2F"/>
    <w:rsid w:val="00E263D6"/>
    <w:rsid w:val="00E2746F"/>
    <w:rsid w:val="00E2771E"/>
    <w:rsid w:val="00E30BD0"/>
    <w:rsid w:val="00E311EF"/>
    <w:rsid w:val="00E317BC"/>
    <w:rsid w:val="00E31CBC"/>
    <w:rsid w:val="00E32180"/>
    <w:rsid w:val="00E33F65"/>
    <w:rsid w:val="00E34446"/>
    <w:rsid w:val="00E34948"/>
    <w:rsid w:val="00E34EA6"/>
    <w:rsid w:val="00E35993"/>
    <w:rsid w:val="00E35E32"/>
    <w:rsid w:val="00E363C0"/>
    <w:rsid w:val="00E36BB8"/>
    <w:rsid w:val="00E36C2C"/>
    <w:rsid w:val="00E37569"/>
    <w:rsid w:val="00E375DE"/>
    <w:rsid w:val="00E379C4"/>
    <w:rsid w:val="00E401B2"/>
    <w:rsid w:val="00E4031C"/>
    <w:rsid w:val="00E41342"/>
    <w:rsid w:val="00E4138D"/>
    <w:rsid w:val="00E41D3A"/>
    <w:rsid w:val="00E41DE0"/>
    <w:rsid w:val="00E41E30"/>
    <w:rsid w:val="00E42F73"/>
    <w:rsid w:val="00E4305A"/>
    <w:rsid w:val="00E4313F"/>
    <w:rsid w:val="00E4349C"/>
    <w:rsid w:val="00E4356A"/>
    <w:rsid w:val="00E43D70"/>
    <w:rsid w:val="00E4494F"/>
    <w:rsid w:val="00E44A0B"/>
    <w:rsid w:val="00E44E8C"/>
    <w:rsid w:val="00E456D2"/>
    <w:rsid w:val="00E45780"/>
    <w:rsid w:val="00E4660D"/>
    <w:rsid w:val="00E466F3"/>
    <w:rsid w:val="00E46B38"/>
    <w:rsid w:val="00E47121"/>
    <w:rsid w:val="00E47B2C"/>
    <w:rsid w:val="00E50A54"/>
    <w:rsid w:val="00E51136"/>
    <w:rsid w:val="00E51560"/>
    <w:rsid w:val="00E520F8"/>
    <w:rsid w:val="00E52FC7"/>
    <w:rsid w:val="00E53FC8"/>
    <w:rsid w:val="00E53FE7"/>
    <w:rsid w:val="00E54129"/>
    <w:rsid w:val="00E54347"/>
    <w:rsid w:val="00E54DBC"/>
    <w:rsid w:val="00E5505C"/>
    <w:rsid w:val="00E55424"/>
    <w:rsid w:val="00E55915"/>
    <w:rsid w:val="00E55BB5"/>
    <w:rsid w:val="00E57A9F"/>
    <w:rsid w:val="00E60F45"/>
    <w:rsid w:val="00E61E33"/>
    <w:rsid w:val="00E62D6A"/>
    <w:rsid w:val="00E6379B"/>
    <w:rsid w:val="00E6451C"/>
    <w:rsid w:val="00E65955"/>
    <w:rsid w:val="00E65BE0"/>
    <w:rsid w:val="00E65E79"/>
    <w:rsid w:val="00E6653C"/>
    <w:rsid w:val="00E66BA2"/>
    <w:rsid w:val="00E67416"/>
    <w:rsid w:val="00E67BE0"/>
    <w:rsid w:val="00E70D65"/>
    <w:rsid w:val="00E71812"/>
    <w:rsid w:val="00E718B6"/>
    <w:rsid w:val="00E718D9"/>
    <w:rsid w:val="00E71AEC"/>
    <w:rsid w:val="00E71C6E"/>
    <w:rsid w:val="00E722C8"/>
    <w:rsid w:val="00E723BA"/>
    <w:rsid w:val="00E73185"/>
    <w:rsid w:val="00E73581"/>
    <w:rsid w:val="00E7489E"/>
    <w:rsid w:val="00E757A7"/>
    <w:rsid w:val="00E75E4F"/>
    <w:rsid w:val="00E761FF"/>
    <w:rsid w:val="00E76382"/>
    <w:rsid w:val="00E7650D"/>
    <w:rsid w:val="00E80212"/>
    <w:rsid w:val="00E80927"/>
    <w:rsid w:val="00E80EBA"/>
    <w:rsid w:val="00E8181D"/>
    <w:rsid w:val="00E818AB"/>
    <w:rsid w:val="00E83224"/>
    <w:rsid w:val="00E833F7"/>
    <w:rsid w:val="00E8348D"/>
    <w:rsid w:val="00E83BDF"/>
    <w:rsid w:val="00E86165"/>
    <w:rsid w:val="00E876B6"/>
    <w:rsid w:val="00E87A1D"/>
    <w:rsid w:val="00E9094A"/>
    <w:rsid w:val="00E90E7A"/>
    <w:rsid w:val="00E9130A"/>
    <w:rsid w:val="00E91450"/>
    <w:rsid w:val="00E919F4"/>
    <w:rsid w:val="00E91D35"/>
    <w:rsid w:val="00E926A5"/>
    <w:rsid w:val="00E92EEE"/>
    <w:rsid w:val="00E93207"/>
    <w:rsid w:val="00E94259"/>
    <w:rsid w:val="00E94D01"/>
    <w:rsid w:val="00E94F80"/>
    <w:rsid w:val="00E955C6"/>
    <w:rsid w:val="00E95D18"/>
    <w:rsid w:val="00E96DDA"/>
    <w:rsid w:val="00E978B2"/>
    <w:rsid w:val="00EA179A"/>
    <w:rsid w:val="00EA17C3"/>
    <w:rsid w:val="00EA1C0F"/>
    <w:rsid w:val="00EA2410"/>
    <w:rsid w:val="00EA2CAA"/>
    <w:rsid w:val="00EA3864"/>
    <w:rsid w:val="00EA5605"/>
    <w:rsid w:val="00EA64AF"/>
    <w:rsid w:val="00EA66A3"/>
    <w:rsid w:val="00EA6F1F"/>
    <w:rsid w:val="00EA7F1C"/>
    <w:rsid w:val="00EB15B6"/>
    <w:rsid w:val="00EB3D06"/>
    <w:rsid w:val="00EB424E"/>
    <w:rsid w:val="00EB439E"/>
    <w:rsid w:val="00EB4916"/>
    <w:rsid w:val="00EB55D1"/>
    <w:rsid w:val="00EB77CB"/>
    <w:rsid w:val="00EC00C9"/>
    <w:rsid w:val="00EC0DD9"/>
    <w:rsid w:val="00EC2649"/>
    <w:rsid w:val="00EC2C4B"/>
    <w:rsid w:val="00EC2C79"/>
    <w:rsid w:val="00EC31ED"/>
    <w:rsid w:val="00EC3B13"/>
    <w:rsid w:val="00EC3FD9"/>
    <w:rsid w:val="00EC4558"/>
    <w:rsid w:val="00EC5565"/>
    <w:rsid w:val="00EC5836"/>
    <w:rsid w:val="00EC5937"/>
    <w:rsid w:val="00EC63A1"/>
    <w:rsid w:val="00EC688C"/>
    <w:rsid w:val="00ED1394"/>
    <w:rsid w:val="00ED3853"/>
    <w:rsid w:val="00ED3FDB"/>
    <w:rsid w:val="00ED44C4"/>
    <w:rsid w:val="00ED57EA"/>
    <w:rsid w:val="00ED5BD4"/>
    <w:rsid w:val="00ED6AA5"/>
    <w:rsid w:val="00ED76C7"/>
    <w:rsid w:val="00ED7BAD"/>
    <w:rsid w:val="00EE07D3"/>
    <w:rsid w:val="00EE1391"/>
    <w:rsid w:val="00EE1996"/>
    <w:rsid w:val="00EE1C01"/>
    <w:rsid w:val="00EE22AF"/>
    <w:rsid w:val="00EE72A7"/>
    <w:rsid w:val="00EE741E"/>
    <w:rsid w:val="00EE7755"/>
    <w:rsid w:val="00EF0171"/>
    <w:rsid w:val="00EF0F84"/>
    <w:rsid w:val="00EF1B25"/>
    <w:rsid w:val="00EF1DA0"/>
    <w:rsid w:val="00EF21DA"/>
    <w:rsid w:val="00EF2848"/>
    <w:rsid w:val="00EF2E43"/>
    <w:rsid w:val="00EF4747"/>
    <w:rsid w:val="00EF4BF8"/>
    <w:rsid w:val="00EF57B8"/>
    <w:rsid w:val="00EF58C0"/>
    <w:rsid w:val="00EF67D5"/>
    <w:rsid w:val="00F001AE"/>
    <w:rsid w:val="00F008DD"/>
    <w:rsid w:val="00F02253"/>
    <w:rsid w:val="00F02AC4"/>
    <w:rsid w:val="00F03598"/>
    <w:rsid w:val="00F03A5C"/>
    <w:rsid w:val="00F03C2E"/>
    <w:rsid w:val="00F04083"/>
    <w:rsid w:val="00F045F7"/>
    <w:rsid w:val="00F04A66"/>
    <w:rsid w:val="00F04B4B"/>
    <w:rsid w:val="00F0516C"/>
    <w:rsid w:val="00F067A2"/>
    <w:rsid w:val="00F06BEB"/>
    <w:rsid w:val="00F078D8"/>
    <w:rsid w:val="00F07B9E"/>
    <w:rsid w:val="00F1116F"/>
    <w:rsid w:val="00F11C5B"/>
    <w:rsid w:val="00F1212B"/>
    <w:rsid w:val="00F12438"/>
    <w:rsid w:val="00F1263A"/>
    <w:rsid w:val="00F15B77"/>
    <w:rsid w:val="00F163D5"/>
    <w:rsid w:val="00F16465"/>
    <w:rsid w:val="00F16DFC"/>
    <w:rsid w:val="00F17485"/>
    <w:rsid w:val="00F176F5"/>
    <w:rsid w:val="00F20096"/>
    <w:rsid w:val="00F208F8"/>
    <w:rsid w:val="00F20ED3"/>
    <w:rsid w:val="00F210B7"/>
    <w:rsid w:val="00F213FD"/>
    <w:rsid w:val="00F21499"/>
    <w:rsid w:val="00F21AF3"/>
    <w:rsid w:val="00F22A45"/>
    <w:rsid w:val="00F232D0"/>
    <w:rsid w:val="00F24837"/>
    <w:rsid w:val="00F2575F"/>
    <w:rsid w:val="00F2618D"/>
    <w:rsid w:val="00F27565"/>
    <w:rsid w:val="00F27758"/>
    <w:rsid w:val="00F27E71"/>
    <w:rsid w:val="00F310D4"/>
    <w:rsid w:val="00F312E2"/>
    <w:rsid w:val="00F314C7"/>
    <w:rsid w:val="00F31D5A"/>
    <w:rsid w:val="00F32C52"/>
    <w:rsid w:val="00F32D84"/>
    <w:rsid w:val="00F33975"/>
    <w:rsid w:val="00F33A61"/>
    <w:rsid w:val="00F33DE9"/>
    <w:rsid w:val="00F340D2"/>
    <w:rsid w:val="00F34FF5"/>
    <w:rsid w:val="00F351A5"/>
    <w:rsid w:val="00F355C6"/>
    <w:rsid w:val="00F35E6D"/>
    <w:rsid w:val="00F35F71"/>
    <w:rsid w:val="00F3619A"/>
    <w:rsid w:val="00F36D7D"/>
    <w:rsid w:val="00F371B4"/>
    <w:rsid w:val="00F37B86"/>
    <w:rsid w:val="00F400FD"/>
    <w:rsid w:val="00F40AAA"/>
    <w:rsid w:val="00F40BA7"/>
    <w:rsid w:val="00F40F9D"/>
    <w:rsid w:val="00F41ACD"/>
    <w:rsid w:val="00F4233D"/>
    <w:rsid w:val="00F4355D"/>
    <w:rsid w:val="00F4360F"/>
    <w:rsid w:val="00F43AB0"/>
    <w:rsid w:val="00F44A5B"/>
    <w:rsid w:val="00F450D0"/>
    <w:rsid w:val="00F45D03"/>
    <w:rsid w:val="00F46CB6"/>
    <w:rsid w:val="00F46CC3"/>
    <w:rsid w:val="00F46FA5"/>
    <w:rsid w:val="00F4756D"/>
    <w:rsid w:val="00F47DE8"/>
    <w:rsid w:val="00F50927"/>
    <w:rsid w:val="00F50BD0"/>
    <w:rsid w:val="00F51F4F"/>
    <w:rsid w:val="00F542C1"/>
    <w:rsid w:val="00F54767"/>
    <w:rsid w:val="00F55E73"/>
    <w:rsid w:val="00F55EDA"/>
    <w:rsid w:val="00F56C80"/>
    <w:rsid w:val="00F56FB2"/>
    <w:rsid w:val="00F577DD"/>
    <w:rsid w:val="00F60092"/>
    <w:rsid w:val="00F6097E"/>
    <w:rsid w:val="00F61248"/>
    <w:rsid w:val="00F61C18"/>
    <w:rsid w:val="00F62A2F"/>
    <w:rsid w:val="00F64AD8"/>
    <w:rsid w:val="00F65F4B"/>
    <w:rsid w:val="00F664B9"/>
    <w:rsid w:val="00F66E5E"/>
    <w:rsid w:val="00F6778F"/>
    <w:rsid w:val="00F67A69"/>
    <w:rsid w:val="00F67DCE"/>
    <w:rsid w:val="00F67EAB"/>
    <w:rsid w:val="00F70BFF"/>
    <w:rsid w:val="00F70C9D"/>
    <w:rsid w:val="00F72DED"/>
    <w:rsid w:val="00F73165"/>
    <w:rsid w:val="00F744DA"/>
    <w:rsid w:val="00F745AA"/>
    <w:rsid w:val="00F74CD9"/>
    <w:rsid w:val="00F757EF"/>
    <w:rsid w:val="00F75AFC"/>
    <w:rsid w:val="00F7712F"/>
    <w:rsid w:val="00F779DE"/>
    <w:rsid w:val="00F807AA"/>
    <w:rsid w:val="00F80A7B"/>
    <w:rsid w:val="00F80E5D"/>
    <w:rsid w:val="00F80F27"/>
    <w:rsid w:val="00F81E78"/>
    <w:rsid w:val="00F840AA"/>
    <w:rsid w:val="00F840BC"/>
    <w:rsid w:val="00F84788"/>
    <w:rsid w:val="00F851CE"/>
    <w:rsid w:val="00F90E3A"/>
    <w:rsid w:val="00F90E7A"/>
    <w:rsid w:val="00F910DF"/>
    <w:rsid w:val="00F91219"/>
    <w:rsid w:val="00F917E7"/>
    <w:rsid w:val="00F91A93"/>
    <w:rsid w:val="00F91F38"/>
    <w:rsid w:val="00F91FC7"/>
    <w:rsid w:val="00F92157"/>
    <w:rsid w:val="00F92444"/>
    <w:rsid w:val="00F92580"/>
    <w:rsid w:val="00F92E0A"/>
    <w:rsid w:val="00F9354E"/>
    <w:rsid w:val="00F9393E"/>
    <w:rsid w:val="00F94DF7"/>
    <w:rsid w:val="00F95982"/>
    <w:rsid w:val="00F96FD0"/>
    <w:rsid w:val="00F970E1"/>
    <w:rsid w:val="00F973FE"/>
    <w:rsid w:val="00F97A78"/>
    <w:rsid w:val="00F97AED"/>
    <w:rsid w:val="00FA0B20"/>
    <w:rsid w:val="00FA0BB9"/>
    <w:rsid w:val="00FA1312"/>
    <w:rsid w:val="00FA1986"/>
    <w:rsid w:val="00FA19F6"/>
    <w:rsid w:val="00FA1AC6"/>
    <w:rsid w:val="00FA24E7"/>
    <w:rsid w:val="00FA34C0"/>
    <w:rsid w:val="00FA427B"/>
    <w:rsid w:val="00FA5EE6"/>
    <w:rsid w:val="00FA6724"/>
    <w:rsid w:val="00FA6FB8"/>
    <w:rsid w:val="00FA7956"/>
    <w:rsid w:val="00FB147A"/>
    <w:rsid w:val="00FB172D"/>
    <w:rsid w:val="00FB19F4"/>
    <w:rsid w:val="00FB1E4A"/>
    <w:rsid w:val="00FB1ED1"/>
    <w:rsid w:val="00FB20B8"/>
    <w:rsid w:val="00FB2957"/>
    <w:rsid w:val="00FB2F04"/>
    <w:rsid w:val="00FB2FCB"/>
    <w:rsid w:val="00FB375E"/>
    <w:rsid w:val="00FB48CC"/>
    <w:rsid w:val="00FB64CC"/>
    <w:rsid w:val="00FB691C"/>
    <w:rsid w:val="00FB7808"/>
    <w:rsid w:val="00FB7C55"/>
    <w:rsid w:val="00FC0D94"/>
    <w:rsid w:val="00FC0FD2"/>
    <w:rsid w:val="00FC1074"/>
    <w:rsid w:val="00FC1377"/>
    <w:rsid w:val="00FC1884"/>
    <w:rsid w:val="00FC2139"/>
    <w:rsid w:val="00FC371D"/>
    <w:rsid w:val="00FC4703"/>
    <w:rsid w:val="00FC5F0B"/>
    <w:rsid w:val="00FC5FD1"/>
    <w:rsid w:val="00FC6D8E"/>
    <w:rsid w:val="00FC6F2C"/>
    <w:rsid w:val="00FC7906"/>
    <w:rsid w:val="00FC7E0B"/>
    <w:rsid w:val="00FD2100"/>
    <w:rsid w:val="00FD30B0"/>
    <w:rsid w:val="00FD436C"/>
    <w:rsid w:val="00FD446D"/>
    <w:rsid w:val="00FD4F2C"/>
    <w:rsid w:val="00FD500E"/>
    <w:rsid w:val="00FD5B5F"/>
    <w:rsid w:val="00FD5B62"/>
    <w:rsid w:val="00FD5B9E"/>
    <w:rsid w:val="00FD626E"/>
    <w:rsid w:val="00FD6291"/>
    <w:rsid w:val="00FD6394"/>
    <w:rsid w:val="00FD72FB"/>
    <w:rsid w:val="00FE043A"/>
    <w:rsid w:val="00FE0E6C"/>
    <w:rsid w:val="00FE1442"/>
    <w:rsid w:val="00FE199F"/>
    <w:rsid w:val="00FE1CDC"/>
    <w:rsid w:val="00FE231F"/>
    <w:rsid w:val="00FE2DF0"/>
    <w:rsid w:val="00FE34AA"/>
    <w:rsid w:val="00FE35FC"/>
    <w:rsid w:val="00FE3954"/>
    <w:rsid w:val="00FE3F66"/>
    <w:rsid w:val="00FE46FB"/>
    <w:rsid w:val="00FE4767"/>
    <w:rsid w:val="00FE59AA"/>
    <w:rsid w:val="00FE6290"/>
    <w:rsid w:val="00FE70C3"/>
    <w:rsid w:val="00FE7B5A"/>
    <w:rsid w:val="00FF0C6B"/>
    <w:rsid w:val="00FF0F7B"/>
    <w:rsid w:val="00FF1092"/>
    <w:rsid w:val="00FF1130"/>
    <w:rsid w:val="00FF2AD9"/>
    <w:rsid w:val="00FF359F"/>
    <w:rsid w:val="00FF3B28"/>
    <w:rsid w:val="00FF3D34"/>
    <w:rsid w:val="00FF3DCF"/>
    <w:rsid w:val="00FF492C"/>
    <w:rsid w:val="00FF4A21"/>
    <w:rsid w:val="00FF4FE6"/>
    <w:rsid w:val="00FF5A52"/>
    <w:rsid w:val="00FF5AA3"/>
    <w:rsid w:val="00FF5AA8"/>
    <w:rsid w:val="00FF5AD8"/>
    <w:rsid w:val="00FF654E"/>
    <w:rsid w:val="00FF6870"/>
    <w:rsid w:val="00FF6AC2"/>
    <w:rsid w:val="00FF6C3B"/>
    <w:rsid w:val="00FF6E08"/>
    <w:rsid w:val="00FF6F1A"/>
    <w:rsid w:val="00FF7C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62D"/>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Lash Style Table,HTAtableplain,COSprot"/>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qFormat/>
    <w:rsid w:val="00200EF8"/>
    <w:pPr>
      <w:numPr>
        <w:numId w:val="1"/>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unhideWhenUsed/>
    <w:rsid w:val="00EE1996"/>
    <w:pPr>
      <w:numPr>
        <w:numId w:val="2"/>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character" w:styleId="CommentReference">
    <w:name w:val="annotation reference"/>
    <w:aliases w:val="Table Title,-H18"/>
    <w:basedOn w:val="DefaultParagraphFont"/>
    <w:uiPriority w:val="99"/>
    <w:unhideWhenUsed/>
    <w:qFormat/>
    <w:rsid w:val="009F75FF"/>
    <w:rPr>
      <w:sz w:val="16"/>
      <w:szCs w:val="16"/>
    </w:rPr>
  </w:style>
  <w:style w:type="paragraph" w:styleId="CommentText">
    <w:name w:val="annotation text"/>
    <w:aliases w:val="Comment Text Char Char Char,Comment Text Char Char"/>
    <w:basedOn w:val="Normal"/>
    <w:link w:val="CommentTextChar"/>
    <w:uiPriority w:val="99"/>
    <w:unhideWhenUsed/>
    <w:rsid w:val="009F75FF"/>
    <w:rPr>
      <w:sz w:val="20"/>
      <w:szCs w:val="20"/>
    </w:rPr>
  </w:style>
  <w:style w:type="character" w:customStyle="1" w:styleId="CommentTextChar">
    <w:name w:val="Comment Text Char"/>
    <w:aliases w:val="Comment Text Char Char Char Char,Comment Text Char Char Char1"/>
    <w:basedOn w:val="DefaultParagraphFont"/>
    <w:link w:val="CommentText"/>
    <w:uiPriority w:val="99"/>
    <w:rsid w:val="009F75FF"/>
    <w:rPr>
      <w:rFonts w:ascii="Calibri" w:hAnsi="Calibri" w:cs="Arial"/>
    </w:rPr>
  </w:style>
  <w:style w:type="paragraph" w:styleId="CommentSubject">
    <w:name w:val="annotation subject"/>
    <w:basedOn w:val="CommentText"/>
    <w:next w:val="CommentText"/>
    <w:link w:val="CommentSubjectChar"/>
    <w:semiHidden/>
    <w:unhideWhenUsed/>
    <w:rsid w:val="009F75FF"/>
    <w:rPr>
      <w:b/>
      <w:bCs/>
    </w:rPr>
  </w:style>
  <w:style w:type="character" w:customStyle="1" w:styleId="CommentSubjectChar">
    <w:name w:val="Comment Subject Char"/>
    <w:basedOn w:val="CommentTextChar"/>
    <w:link w:val="CommentSubject"/>
    <w:semiHidden/>
    <w:rsid w:val="009F75FF"/>
    <w:rPr>
      <w:rFonts w:ascii="Calibri" w:hAnsi="Calibri" w:cs="Arial"/>
      <w:b/>
      <w:bCs/>
    </w:rPr>
  </w:style>
  <w:style w:type="paragraph" w:customStyle="1" w:styleId="TableHeading">
    <w:name w:val="Table Heading"/>
    <w:basedOn w:val="Normal"/>
    <w:link w:val="TableHeadingChar"/>
    <w:qFormat/>
    <w:rsid w:val="0008578B"/>
    <w:pPr>
      <w:keepNext/>
      <w:keepLines/>
      <w:jc w:val="left"/>
    </w:pPr>
    <w:rPr>
      <w:rFonts w:ascii="Arial Narrow" w:eastAsiaTheme="majorEastAsia" w:hAnsi="Arial Narrow"/>
      <w:b/>
      <w:sz w:val="20"/>
      <w:szCs w:val="20"/>
      <w:lang w:bidi="en-US"/>
    </w:rPr>
  </w:style>
  <w:style w:type="character" w:customStyle="1" w:styleId="TableHeadingChar">
    <w:name w:val="Table Heading Char"/>
    <w:link w:val="TableHeading"/>
    <w:rsid w:val="0008578B"/>
    <w:rPr>
      <w:rFonts w:ascii="Arial Narrow" w:eastAsiaTheme="majorEastAsia" w:hAnsi="Arial Narrow" w:cs="Arial"/>
      <w:b/>
      <w:lang w:bidi="en-US"/>
    </w:rPr>
  </w:style>
  <w:style w:type="paragraph" w:styleId="Header">
    <w:name w:val="header"/>
    <w:basedOn w:val="Normal"/>
    <w:link w:val="HeaderChar"/>
    <w:unhideWhenUsed/>
    <w:qFormat/>
    <w:rsid w:val="0008578B"/>
    <w:pPr>
      <w:tabs>
        <w:tab w:val="center" w:pos="4513"/>
        <w:tab w:val="right" w:pos="9026"/>
      </w:tabs>
    </w:pPr>
  </w:style>
  <w:style w:type="character" w:customStyle="1" w:styleId="HeaderChar">
    <w:name w:val="Header Char"/>
    <w:basedOn w:val="DefaultParagraphFont"/>
    <w:link w:val="Header"/>
    <w:rsid w:val="0008578B"/>
    <w:rPr>
      <w:rFonts w:ascii="Calibri" w:hAnsi="Calibri" w:cs="Arial"/>
      <w:sz w:val="24"/>
      <w:szCs w:val="24"/>
    </w:rPr>
  </w:style>
  <w:style w:type="paragraph" w:styleId="Footer">
    <w:name w:val="footer"/>
    <w:basedOn w:val="Normal"/>
    <w:link w:val="FooterChar"/>
    <w:uiPriority w:val="99"/>
    <w:unhideWhenUsed/>
    <w:rsid w:val="0008578B"/>
    <w:pPr>
      <w:tabs>
        <w:tab w:val="center" w:pos="4513"/>
        <w:tab w:val="right" w:pos="9026"/>
      </w:tabs>
    </w:pPr>
  </w:style>
  <w:style w:type="character" w:customStyle="1" w:styleId="FooterChar">
    <w:name w:val="Footer Char"/>
    <w:basedOn w:val="DefaultParagraphFont"/>
    <w:link w:val="Footer"/>
    <w:uiPriority w:val="99"/>
    <w:rsid w:val="0008578B"/>
    <w:rPr>
      <w:rFonts w:ascii="Calibri" w:hAnsi="Calibri" w:cs="Arial"/>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Tableheadingrow"/>
    <w:next w:val="Normal"/>
    <w:link w:val="CaptionChar"/>
    <w:autoRedefine/>
    <w:uiPriority w:val="35"/>
    <w:unhideWhenUsed/>
    <w:qFormat/>
    <w:rsid w:val="00FA6724"/>
    <w:pPr>
      <w:jc w:val="both"/>
    </w:pPr>
    <w:rPr>
      <w:lang w:val="en-AU"/>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locked/>
    <w:rsid w:val="00FA6724"/>
    <w:rPr>
      <w:rFonts w:ascii="Arial Narrow" w:eastAsiaTheme="majorEastAsia" w:hAnsi="Arial Narrow"/>
      <w:b/>
      <w:szCs w:val="24"/>
    </w:rPr>
  </w:style>
  <w:style w:type="paragraph" w:customStyle="1" w:styleId="Tabletext0">
    <w:name w:val="Table text"/>
    <w:basedOn w:val="Normal"/>
    <w:link w:val="TabletextChar0"/>
    <w:qFormat/>
    <w:rsid w:val="008939EC"/>
    <w:pPr>
      <w:keepNext/>
      <w:keepLines/>
      <w:spacing w:before="60" w:after="40"/>
      <w:jc w:val="left"/>
    </w:pPr>
    <w:rPr>
      <w:rFonts w:ascii="Arial Narrow" w:hAnsi="Arial Narrow" w:cs="Times New Roman"/>
      <w:sz w:val="20"/>
      <w:szCs w:val="20"/>
      <w:lang w:eastAsia="en-US"/>
    </w:rPr>
  </w:style>
  <w:style w:type="character" w:customStyle="1" w:styleId="TabletextChar0">
    <w:name w:val="Table text Char"/>
    <w:link w:val="Tabletext0"/>
    <w:locked/>
    <w:rsid w:val="008939EC"/>
    <w:rPr>
      <w:rFonts w:ascii="Arial Narrow" w:hAnsi="Arial Narrow"/>
      <w:lang w:eastAsia="en-US"/>
    </w:rPr>
  </w:style>
  <w:style w:type="paragraph" w:customStyle="1" w:styleId="Tablefootnote">
    <w:name w:val="Table footnote"/>
    <w:basedOn w:val="Normal"/>
    <w:link w:val="TablefootnoteChar"/>
    <w:autoRedefine/>
    <w:qFormat/>
    <w:rsid w:val="009F1C63"/>
    <w:pPr>
      <w:contextualSpacing/>
      <w:jc w:val="left"/>
    </w:pPr>
    <w:rPr>
      <w:rFonts w:ascii="Arial Narrow" w:hAnsi="Arial Narrow" w:cs="Times New Roman"/>
      <w:sz w:val="20"/>
      <w:szCs w:val="28"/>
      <w:lang w:eastAsia="en-US"/>
    </w:rPr>
  </w:style>
  <w:style w:type="character" w:customStyle="1" w:styleId="TablefootnoteChar">
    <w:name w:val="Table footnote Char"/>
    <w:basedOn w:val="DefaultParagraphFont"/>
    <w:link w:val="Tablefootnote"/>
    <w:rsid w:val="009F1C63"/>
    <w:rPr>
      <w:rFonts w:ascii="Arial Narrow" w:hAnsi="Arial Narrow"/>
      <w:szCs w:val="28"/>
      <w:lang w:eastAsia="en-US"/>
    </w:rPr>
  </w:style>
  <w:style w:type="paragraph" w:customStyle="1" w:styleId="TableFooter">
    <w:name w:val="Table Footer"/>
    <w:basedOn w:val="Normal"/>
    <w:link w:val="TableFooterChar"/>
    <w:qFormat/>
    <w:rsid w:val="001654E1"/>
    <w:pPr>
      <w:widowControl w:val="0"/>
      <w:spacing w:after="120"/>
      <w:contextualSpacing/>
    </w:pPr>
    <w:rPr>
      <w:rFonts w:ascii="Arial Narrow" w:hAnsi="Arial Narrow"/>
      <w:snapToGrid w:val="0"/>
      <w:sz w:val="18"/>
      <w:szCs w:val="20"/>
      <w:lang w:eastAsia="en-US"/>
    </w:rPr>
  </w:style>
  <w:style w:type="character" w:customStyle="1" w:styleId="TableFooterChar">
    <w:name w:val="Table Footer Char"/>
    <w:link w:val="TableFooter"/>
    <w:rsid w:val="001654E1"/>
    <w:rPr>
      <w:rFonts w:ascii="Arial Narrow" w:hAnsi="Arial Narrow" w:cs="Arial"/>
      <w:snapToGrid w:val="0"/>
      <w:sz w:val="18"/>
      <w:lang w:eastAsia="en-US"/>
    </w:rPr>
  </w:style>
  <w:style w:type="paragraph" w:styleId="ListBullet5">
    <w:name w:val="List Bullet 5"/>
    <w:basedOn w:val="Normal"/>
    <w:autoRedefine/>
    <w:uiPriority w:val="99"/>
    <w:semiHidden/>
    <w:rsid w:val="001654E1"/>
    <w:pPr>
      <w:numPr>
        <w:numId w:val="3"/>
      </w:numPr>
      <w:tabs>
        <w:tab w:val="clear" w:pos="1492"/>
        <w:tab w:val="num" w:pos="1800"/>
      </w:tabs>
      <w:spacing w:before="360" w:after="120"/>
      <w:ind w:left="1800"/>
      <w:jc w:val="left"/>
    </w:pPr>
    <w:rPr>
      <w:rFonts w:ascii="Arial" w:hAnsi="Arial" w:cs="Times New Roman"/>
      <w:sz w:val="20"/>
      <w:szCs w:val="20"/>
      <w:lang w:val="en-GB" w:eastAsia="en-US"/>
    </w:rPr>
  </w:style>
  <w:style w:type="paragraph" w:customStyle="1" w:styleId="TableText1">
    <w:name w:val="TableText"/>
    <w:basedOn w:val="Normal"/>
    <w:link w:val="TableTextChar1"/>
    <w:qFormat/>
    <w:rsid w:val="001654E1"/>
    <w:pPr>
      <w:keepNext/>
      <w:spacing w:before="40" w:after="40"/>
      <w:jc w:val="left"/>
    </w:pPr>
    <w:rPr>
      <w:rFonts w:ascii="Arial Narrow" w:eastAsiaTheme="minorEastAsia" w:hAnsi="Arial Narrow" w:cs="Arial Narrow"/>
      <w:sz w:val="20"/>
      <w:szCs w:val="20"/>
      <w:lang w:eastAsia="en-US"/>
    </w:rPr>
  </w:style>
  <w:style w:type="character" w:customStyle="1" w:styleId="TableTextChar1">
    <w:name w:val="TableText Char"/>
    <w:link w:val="TableText1"/>
    <w:rsid w:val="001654E1"/>
    <w:rPr>
      <w:rFonts w:ascii="Arial Narrow" w:eastAsiaTheme="minorEastAsia" w:hAnsi="Arial Narrow" w:cs="Arial Narrow"/>
      <w:lang w:eastAsia="en-US"/>
    </w:rPr>
  </w:style>
  <w:style w:type="paragraph" w:styleId="ListParagraph">
    <w:name w:val="List Paragraph"/>
    <w:aliases w:val="BulletPoints,Table Legend,Bullet1,Bullet List,Section 5,Normal: Bullets,List Table,Bullets Points,List Bullet #1,List Paragraph1,Bullet point,List Paragraph11,Recommendation,Section heading,Numbered para,ES Paragraph,Figure_name,Footnote"/>
    <w:basedOn w:val="Normal"/>
    <w:link w:val="ListParagraphChar"/>
    <w:uiPriority w:val="34"/>
    <w:qFormat/>
    <w:rsid w:val="00C30678"/>
    <w:pPr>
      <w:ind w:left="720"/>
      <w:contextualSpacing/>
    </w:pPr>
  </w:style>
  <w:style w:type="character" w:customStyle="1" w:styleId="ListParagraphChar">
    <w:name w:val="List Paragraph Char"/>
    <w:aliases w:val="BulletPoints Char,Table Legend Char,Bullet1 Char,Bullet List Char,Section 5 Char,Normal: Bullets Char,List Table Char,Bullets Points Char,List Bullet #1 Char,List Paragraph1 Char,Bullet point Char,List Paragraph11 Char,Footnote Char"/>
    <w:link w:val="ListParagraph"/>
    <w:uiPriority w:val="34"/>
    <w:qFormat/>
    <w:rsid w:val="00C30678"/>
    <w:rPr>
      <w:rFonts w:ascii="Calibri" w:hAnsi="Calibri" w:cs="Arial"/>
      <w:sz w:val="24"/>
      <w:szCs w:val="24"/>
    </w:rPr>
  </w:style>
  <w:style w:type="table" w:customStyle="1" w:styleId="newstyle1">
    <w:name w:val="new style1"/>
    <w:basedOn w:val="TableNormal"/>
    <w:next w:val="TableGrid"/>
    <w:uiPriority w:val="59"/>
    <w:rsid w:val="002D7E7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
    <w:name w:val="Body Text1 Char"/>
    <w:link w:val="BodyText1"/>
    <w:locked/>
    <w:rsid w:val="002D7E7E"/>
    <w:rPr>
      <w:rFonts w:ascii="Arial" w:hAnsi="Arial"/>
      <w:sz w:val="22"/>
      <w:szCs w:val="22"/>
      <w:lang w:val="en-US" w:eastAsia="en-GB"/>
    </w:rPr>
  </w:style>
  <w:style w:type="paragraph" w:customStyle="1" w:styleId="BodyText1">
    <w:name w:val="Body Text1"/>
    <w:basedOn w:val="Normal"/>
    <w:link w:val="BodyText1Char"/>
    <w:qFormat/>
    <w:rsid w:val="002D7E7E"/>
    <w:pPr>
      <w:widowControl w:val="0"/>
      <w:spacing w:before="120" w:after="120" w:line="276" w:lineRule="auto"/>
    </w:pPr>
    <w:rPr>
      <w:rFonts w:ascii="Arial" w:hAnsi="Arial" w:cs="Times New Roman"/>
      <w:sz w:val="22"/>
      <w:szCs w:val="22"/>
      <w:lang w:val="en-US" w:eastAsia="en-GB"/>
    </w:rPr>
  </w:style>
  <w:style w:type="paragraph" w:styleId="FootnoteText">
    <w:name w:val="footnote text"/>
    <w:basedOn w:val="Normal"/>
    <w:link w:val="FootnoteTextChar"/>
    <w:rsid w:val="00755768"/>
    <w:pPr>
      <w:spacing w:before="360" w:after="120" w:line="360" w:lineRule="auto"/>
      <w:jc w:val="left"/>
    </w:pPr>
    <w:rPr>
      <w:rFonts w:ascii="Arial" w:hAnsi="Arial" w:cs="Times New Roman"/>
      <w:sz w:val="20"/>
      <w:szCs w:val="20"/>
      <w:lang w:eastAsia="en-US"/>
    </w:rPr>
  </w:style>
  <w:style w:type="character" w:customStyle="1" w:styleId="FootnoteTextChar">
    <w:name w:val="Footnote Text Char"/>
    <w:basedOn w:val="DefaultParagraphFont"/>
    <w:link w:val="FootnoteText"/>
    <w:rsid w:val="00755768"/>
    <w:rPr>
      <w:rFonts w:ascii="Arial" w:hAnsi="Arial"/>
      <w:lang w:eastAsia="en-US"/>
    </w:rPr>
  </w:style>
  <w:style w:type="character" w:styleId="FootnoteReference">
    <w:name w:val="footnote reference"/>
    <w:basedOn w:val="DefaultParagraphFont"/>
    <w:rsid w:val="00755768"/>
    <w:rPr>
      <w:rFonts w:cs="Times New Roman"/>
      <w:vertAlign w:val="superscript"/>
    </w:rPr>
  </w:style>
  <w:style w:type="character" w:customStyle="1" w:styleId="UnresolvedMention1">
    <w:name w:val="Unresolved Mention1"/>
    <w:basedOn w:val="DefaultParagraphFont"/>
    <w:uiPriority w:val="99"/>
    <w:semiHidden/>
    <w:unhideWhenUsed/>
    <w:rsid w:val="00755768"/>
    <w:rPr>
      <w:color w:val="605E5C"/>
      <w:shd w:val="clear" w:color="auto" w:fill="E1DFDD"/>
    </w:rPr>
  </w:style>
  <w:style w:type="paragraph" w:styleId="Subtitle">
    <w:name w:val="Subtitle"/>
    <w:aliases w:val="Bayer Subtitle"/>
    <w:basedOn w:val="Normal"/>
    <w:next w:val="Normal"/>
    <w:link w:val="SubtitleChar"/>
    <w:rsid w:val="00755768"/>
    <w:pPr>
      <w:spacing w:before="360" w:after="720" w:line="360" w:lineRule="auto"/>
      <w:jc w:val="right"/>
    </w:pPr>
    <w:rPr>
      <w:rFonts w:asciiTheme="majorHAnsi" w:eastAsiaTheme="majorEastAsia" w:hAnsiTheme="majorHAnsi" w:cstheme="majorBidi"/>
      <w:sz w:val="22"/>
      <w:szCs w:val="22"/>
      <w:lang w:eastAsia="en-US"/>
    </w:rPr>
  </w:style>
  <w:style w:type="character" w:customStyle="1" w:styleId="SubtitleChar">
    <w:name w:val="Subtitle Char"/>
    <w:aliases w:val="Bayer Subtitle Char"/>
    <w:basedOn w:val="DefaultParagraphFont"/>
    <w:link w:val="Subtitle"/>
    <w:rsid w:val="00755768"/>
    <w:rPr>
      <w:rFonts w:asciiTheme="majorHAnsi" w:eastAsiaTheme="majorEastAsia" w:hAnsiTheme="majorHAnsi" w:cstheme="majorBidi"/>
      <w:sz w:val="22"/>
      <w:szCs w:val="22"/>
      <w:lang w:eastAsia="en-US"/>
    </w:rPr>
  </w:style>
  <w:style w:type="paragraph" w:customStyle="1" w:styleId="Bulletedbodytext">
    <w:name w:val="Bulleted body text"/>
    <w:basedOn w:val="BodyText"/>
    <w:uiPriority w:val="99"/>
    <w:rsid w:val="00755768"/>
    <w:pPr>
      <w:numPr>
        <w:numId w:val="5"/>
      </w:numPr>
      <w:spacing w:before="360" w:line="360" w:lineRule="auto"/>
      <w:jc w:val="left"/>
    </w:pPr>
    <w:rPr>
      <w:rFonts w:ascii="Arial" w:hAnsi="Arial" w:cs="Times New Roman"/>
      <w:sz w:val="22"/>
      <w:lang w:eastAsia="en-US"/>
    </w:rPr>
  </w:style>
  <w:style w:type="paragraph" w:styleId="BodyText">
    <w:name w:val="Body Text"/>
    <w:basedOn w:val="Normal"/>
    <w:link w:val="BodyTextChar"/>
    <w:semiHidden/>
    <w:unhideWhenUsed/>
    <w:rsid w:val="00755768"/>
    <w:pPr>
      <w:spacing w:after="120"/>
    </w:pPr>
  </w:style>
  <w:style w:type="character" w:customStyle="1" w:styleId="BodyTextChar">
    <w:name w:val="Body Text Char"/>
    <w:basedOn w:val="DefaultParagraphFont"/>
    <w:link w:val="BodyText"/>
    <w:semiHidden/>
    <w:rsid w:val="00755768"/>
    <w:rPr>
      <w:rFonts w:ascii="Calibri" w:hAnsi="Calibri" w:cs="Arial"/>
      <w:sz w:val="24"/>
      <w:szCs w:val="24"/>
    </w:rPr>
  </w:style>
  <w:style w:type="paragraph" w:customStyle="1" w:styleId="Heading40">
    <w:name w:val="Heading4"/>
    <w:basedOn w:val="Normal"/>
    <w:next w:val="Normal"/>
    <w:link w:val="Heading4Char"/>
    <w:autoRedefine/>
    <w:qFormat/>
    <w:rsid w:val="00755768"/>
    <w:pPr>
      <w:keepNext/>
      <w:keepLines/>
      <w:spacing w:before="240" w:after="120" w:line="276" w:lineRule="auto"/>
      <w:contextualSpacing/>
      <w:jc w:val="left"/>
      <w:outlineLvl w:val="3"/>
    </w:pPr>
    <w:rPr>
      <w:rFonts w:ascii="Arial" w:hAnsi="Arial" w:cs="Times New Roman"/>
      <w:b/>
      <w:sz w:val="22"/>
      <w:lang w:eastAsia="en-GB"/>
    </w:rPr>
  </w:style>
  <w:style w:type="character" w:customStyle="1" w:styleId="Heading4Char">
    <w:name w:val="Heading4 Char"/>
    <w:link w:val="Heading40"/>
    <w:locked/>
    <w:rsid w:val="00755768"/>
    <w:rPr>
      <w:rFonts w:ascii="Arial" w:hAnsi="Arial"/>
      <w:b/>
      <w:sz w:val="22"/>
      <w:szCs w:val="24"/>
      <w:lang w:eastAsia="en-GB"/>
    </w:rPr>
  </w:style>
  <w:style w:type="table" w:customStyle="1" w:styleId="TableGrid3">
    <w:name w:val="Table Grid3"/>
    <w:basedOn w:val="TableNormal"/>
    <w:next w:val="TableGrid"/>
    <w:rsid w:val="00755768"/>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5768"/>
    <w:pPr>
      <w:widowControl w:val="0"/>
      <w:autoSpaceDE w:val="0"/>
      <w:autoSpaceDN w:val="0"/>
      <w:ind w:left="107"/>
      <w:jc w:val="left"/>
    </w:pPr>
    <w:rPr>
      <w:rFonts w:eastAsia="Calibri" w:cs="Calibri"/>
      <w:sz w:val="22"/>
      <w:szCs w:val="22"/>
      <w:lang w:val="en-US" w:eastAsia="en-US"/>
    </w:rPr>
  </w:style>
  <w:style w:type="paragraph" w:customStyle="1" w:styleId="Default">
    <w:name w:val="Default"/>
    <w:rsid w:val="00755768"/>
    <w:pPr>
      <w:autoSpaceDE w:val="0"/>
      <w:autoSpaceDN w:val="0"/>
      <w:adjustRightInd w:val="0"/>
    </w:pPr>
    <w:rPr>
      <w:rFonts w:ascii="Calibri" w:hAnsi="Calibri" w:cs="Calibri"/>
      <w:color w:val="000000"/>
      <w:sz w:val="24"/>
      <w:szCs w:val="24"/>
    </w:rPr>
  </w:style>
  <w:style w:type="paragraph" w:customStyle="1" w:styleId="PBACHeading1">
    <w:name w:val="PBAC Heading 1"/>
    <w:link w:val="PBACHeading1Char"/>
    <w:qFormat/>
    <w:rsid w:val="002A0BA5"/>
    <w:pPr>
      <w:ind w:left="720" w:hanging="720"/>
      <w:outlineLvl w:val="0"/>
    </w:pPr>
    <w:rPr>
      <w:rFonts w:ascii="Calibri" w:hAnsi="Calibri" w:cs="Calibri"/>
      <w:b/>
      <w:snapToGrid w:val="0"/>
      <w:sz w:val="32"/>
      <w:szCs w:val="32"/>
      <w:lang w:eastAsia="en-US"/>
    </w:rPr>
  </w:style>
  <w:style w:type="numbering" w:customStyle="1" w:styleId="CurrentList1">
    <w:name w:val="Current List1"/>
    <w:uiPriority w:val="99"/>
    <w:rsid w:val="00530BF9"/>
    <w:pPr>
      <w:numPr>
        <w:numId w:val="15"/>
      </w:numPr>
    </w:pPr>
  </w:style>
  <w:style w:type="numbering" w:customStyle="1" w:styleId="CurrentList2">
    <w:name w:val="Current List2"/>
    <w:uiPriority w:val="99"/>
    <w:rsid w:val="00530BF9"/>
    <w:pPr>
      <w:numPr>
        <w:numId w:val="16"/>
      </w:numPr>
    </w:pPr>
  </w:style>
  <w:style w:type="numbering" w:customStyle="1" w:styleId="CurrentList3">
    <w:name w:val="Current List3"/>
    <w:uiPriority w:val="99"/>
    <w:rsid w:val="006308CD"/>
    <w:pPr>
      <w:numPr>
        <w:numId w:val="17"/>
      </w:numPr>
    </w:pPr>
  </w:style>
  <w:style w:type="paragraph" w:styleId="NormalWeb">
    <w:name w:val="Normal (Web)"/>
    <w:basedOn w:val="Normal"/>
    <w:uiPriority w:val="99"/>
    <w:semiHidden/>
    <w:unhideWhenUsed/>
    <w:rsid w:val="009354E7"/>
    <w:pPr>
      <w:spacing w:before="100" w:beforeAutospacing="1" w:after="100" w:afterAutospacing="1"/>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9571A5"/>
    <w:rPr>
      <w:color w:val="605E5C"/>
      <w:shd w:val="clear" w:color="auto" w:fill="E1DFDD"/>
    </w:rPr>
  </w:style>
  <w:style w:type="character" w:customStyle="1" w:styleId="PBACHeading1Char">
    <w:name w:val="PBAC Heading 1 Char"/>
    <w:basedOn w:val="DefaultParagraphFont"/>
    <w:link w:val="PBACHeading1"/>
    <w:rsid w:val="00624423"/>
    <w:rPr>
      <w:rFonts w:ascii="Calibri" w:hAnsi="Calibri" w:cs="Calibri"/>
      <w:b/>
      <w:snapToGrid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4362">
      <w:bodyDiv w:val="1"/>
      <w:marLeft w:val="0"/>
      <w:marRight w:val="0"/>
      <w:marTop w:val="0"/>
      <w:marBottom w:val="0"/>
      <w:divBdr>
        <w:top w:val="none" w:sz="0" w:space="0" w:color="auto"/>
        <w:left w:val="none" w:sz="0" w:space="0" w:color="auto"/>
        <w:bottom w:val="none" w:sz="0" w:space="0" w:color="auto"/>
        <w:right w:val="none" w:sz="0" w:space="0" w:color="auto"/>
      </w:divBdr>
      <w:divsChild>
        <w:div w:id="2000116395">
          <w:marLeft w:val="1080"/>
          <w:marRight w:val="0"/>
          <w:marTop w:val="100"/>
          <w:marBottom w:val="0"/>
          <w:divBdr>
            <w:top w:val="none" w:sz="0" w:space="0" w:color="auto"/>
            <w:left w:val="none" w:sz="0" w:space="0" w:color="auto"/>
            <w:bottom w:val="none" w:sz="0" w:space="0" w:color="auto"/>
            <w:right w:val="none" w:sz="0" w:space="0" w:color="auto"/>
          </w:divBdr>
        </w:div>
        <w:div w:id="1449467819">
          <w:marLeft w:val="1800"/>
          <w:marRight w:val="0"/>
          <w:marTop w:val="1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7751004">
      <w:bodyDiv w:val="1"/>
      <w:marLeft w:val="0"/>
      <w:marRight w:val="0"/>
      <w:marTop w:val="0"/>
      <w:marBottom w:val="0"/>
      <w:divBdr>
        <w:top w:val="none" w:sz="0" w:space="0" w:color="auto"/>
        <w:left w:val="none" w:sz="0" w:space="0" w:color="auto"/>
        <w:bottom w:val="none" w:sz="0" w:space="0" w:color="auto"/>
        <w:right w:val="none" w:sz="0" w:space="0" w:color="auto"/>
      </w:divBdr>
    </w:div>
    <w:div w:id="202597799">
      <w:bodyDiv w:val="1"/>
      <w:marLeft w:val="0"/>
      <w:marRight w:val="0"/>
      <w:marTop w:val="0"/>
      <w:marBottom w:val="0"/>
      <w:divBdr>
        <w:top w:val="none" w:sz="0" w:space="0" w:color="auto"/>
        <w:left w:val="none" w:sz="0" w:space="0" w:color="auto"/>
        <w:bottom w:val="none" w:sz="0" w:space="0" w:color="auto"/>
        <w:right w:val="none" w:sz="0" w:space="0" w:color="auto"/>
      </w:divBdr>
    </w:div>
    <w:div w:id="25856151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8700256">
      <w:bodyDiv w:val="1"/>
      <w:marLeft w:val="0"/>
      <w:marRight w:val="0"/>
      <w:marTop w:val="0"/>
      <w:marBottom w:val="0"/>
      <w:divBdr>
        <w:top w:val="none" w:sz="0" w:space="0" w:color="auto"/>
        <w:left w:val="none" w:sz="0" w:space="0" w:color="auto"/>
        <w:bottom w:val="none" w:sz="0" w:space="0" w:color="auto"/>
        <w:right w:val="none" w:sz="0" w:space="0" w:color="auto"/>
      </w:divBdr>
    </w:div>
    <w:div w:id="483548448">
      <w:bodyDiv w:val="1"/>
      <w:marLeft w:val="0"/>
      <w:marRight w:val="0"/>
      <w:marTop w:val="0"/>
      <w:marBottom w:val="0"/>
      <w:divBdr>
        <w:top w:val="none" w:sz="0" w:space="0" w:color="auto"/>
        <w:left w:val="none" w:sz="0" w:space="0" w:color="auto"/>
        <w:bottom w:val="none" w:sz="0" w:space="0" w:color="auto"/>
        <w:right w:val="none" w:sz="0" w:space="0" w:color="auto"/>
      </w:divBdr>
    </w:div>
    <w:div w:id="522867200">
      <w:bodyDiv w:val="1"/>
      <w:marLeft w:val="0"/>
      <w:marRight w:val="0"/>
      <w:marTop w:val="0"/>
      <w:marBottom w:val="0"/>
      <w:divBdr>
        <w:top w:val="none" w:sz="0" w:space="0" w:color="auto"/>
        <w:left w:val="none" w:sz="0" w:space="0" w:color="auto"/>
        <w:bottom w:val="none" w:sz="0" w:space="0" w:color="auto"/>
        <w:right w:val="none" w:sz="0" w:space="0" w:color="auto"/>
      </w:divBdr>
    </w:div>
    <w:div w:id="580942555">
      <w:bodyDiv w:val="1"/>
      <w:marLeft w:val="0"/>
      <w:marRight w:val="0"/>
      <w:marTop w:val="0"/>
      <w:marBottom w:val="0"/>
      <w:divBdr>
        <w:top w:val="none" w:sz="0" w:space="0" w:color="auto"/>
        <w:left w:val="none" w:sz="0" w:space="0" w:color="auto"/>
        <w:bottom w:val="none" w:sz="0" w:space="0" w:color="auto"/>
        <w:right w:val="none" w:sz="0" w:space="0" w:color="auto"/>
      </w:divBdr>
    </w:div>
    <w:div w:id="613828053">
      <w:bodyDiv w:val="1"/>
      <w:marLeft w:val="0"/>
      <w:marRight w:val="0"/>
      <w:marTop w:val="0"/>
      <w:marBottom w:val="0"/>
      <w:divBdr>
        <w:top w:val="none" w:sz="0" w:space="0" w:color="auto"/>
        <w:left w:val="none" w:sz="0" w:space="0" w:color="auto"/>
        <w:bottom w:val="none" w:sz="0" w:space="0" w:color="auto"/>
        <w:right w:val="none" w:sz="0" w:space="0" w:color="auto"/>
      </w:divBdr>
    </w:div>
    <w:div w:id="746458983">
      <w:bodyDiv w:val="1"/>
      <w:marLeft w:val="0"/>
      <w:marRight w:val="0"/>
      <w:marTop w:val="0"/>
      <w:marBottom w:val="0"/>
      <w:divBdr>
        <w:top w:val="none" w:sz="0" w:space="0" w:color="auto"/>
        <w:left w:val="none" w:sz="0" w:space="0" w:color="auto"/>
        <w:bottom w:val="none" w:sz="0" w:space="0" w:color="auto"/>
        <w:right w:val="none" w:sz="0" w:space="0" w:color="auto"/>
      </w:divBdr>
    </w:div>
    <w:div w:id="915826395">
      <w:bodyDiv w:val="1"/>
      <w:marLeft w:val="0"/>
      <w:marRight w:val="0"/>
      <w:marTop w:val="0"/>
      <w:marBottom w:val="0"/>
      <w:divBdr>
        <w:top w:val="none" w:sz="0" w:space="0" w:color="auto"/>
        <w:left w:val="none" w:sz="0" w:space="0" w:color="auto"/>
        <w:bottom w:val="none" w:sz="0" w:space="0" w:color="auto"/>
        <w:right w:val="none" w:sz="0" w:space="0" w:color="auto"/>
      </w:divBdr>
    </w:div>
    <w:div w:id="966862458">
      <w:bodyDiv w:val="1"/>
      <w:marLeft w:val="0"/>
      <w:marRight w:val="0"/>
      <w:marTop w:val="0"/>
      <w:marBottom w:val="0"/>
      <w:divBdr>
        <w:top w:val="none" w:sz="0" w:space="0" w:color="auto"/>
        <w:left w:val="none" w:sz="0" w:space="0" w:color="auto"/>
        <w:bottom w:val="none" w:sz="0" w:space="0" w:color="auto"/>
        <w:right w:val="none" w:sz="0" w:space="0" w:color="auto"/>
      </w:divBdr>
    </w:div>
    <w:div w:id="1002053196">
      <w:bodyDiv w:val="1"/>
      <w:marLeft w:val="0"/>
      <w:marRight w:val="0"/>
      <w:marTop w:val="0"/>
      <w:marBottom w:val="0"/>
      <w:divBdr>
        <w:top w:val="none" w:sz="0" w:space="0" w:color="auto"/>
        <w:left w:val="none" w:sz="0" w:space="0" w:color="auto"/>
        <w:bottom w:val="none" w:sz="0" w:space="0" w:color="auto"/>
        <w:right w:val="none" w:sz="0" w:space="0" w:color="auto"/>
      </w:divBdr>
    </w:div>
    <w:div w:id="1070882354">
      <w:bodyDiv w:val="1"/>
      <w:marLeft w:val="0"/>
      <w:marRight w:val="0"/>
      <w:marTop w:val="0"/>
      <w:marBottom w:val="0"/>
      <w:divBdr>
        <w:top w:val="none" w:sz="0" w:space="0" w:color="auto"/>
        <w:left w:val="none" w:sz="0" w:space="0" w:color="auto"/>
        <w:bottom w:val="none" w:sz="0" w:space="0" w:color="auto"/>
        <w:right w:val="none" w:sz="0" w:space="0" w:color="auto"/>
      </w:divBdr>
      <w:divsChild>
        <w:div w:id="1944066625">
          <w:marLeft w:val="1800"/>
          <w:marRight w:val="0"/>
          <w:marTop w:val="1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772">
      <w:bodyDiv w:val="1"/>
      <w:marLeft w:val="0"/>
      <w:marRight w:val="0"/>
      <w:marTop w:val="0"/>
      <w:marBottom w:val="0"/>
      <w:divBdr>
        <w:top w:val="none" w:sz="0" w:space="0" w:color="auto"/>
        <w:left w:val="none" w:sz="0" w:space="0" w:color="auto"/>
        <w:bottom w:val="none" w:sz="0" w:space="0" w:color="auto"/>
        <w:right w:val="none" w:sz="0" w:space="0" w:color="auto"/>
      </w:divBdr>
    </w:div>
    <w:div w:id="1311835775">
      <w:bodyDiv w:val="1"/>
      <w:marLeft w:val="0"/>
      <w:marRight w:val="0"/>
      <w:marTop w:val="0"/>
      <w:marBottom w:val="0"/>
      <w:divBdr>
        <w:top w:val="none" w:sz="0" w:space="0" w:color="auto"/>
        <w:left w:val="none" w:sz="0" w:space="0" w:color="auto"/>
        <w:bottom w:val="none" w:sz="0" w:space="0" w:color="auto"/>
        <w:right w:val="none" w:sz="0" w:space="0" w:color="auto"/>
      </w:divBdr>
      <w:divsChild>
        <w:div w:id="298724610">
          <w:marLeft w:val="360"/>
          <w:marRight w:val="0"/>
          <w:marTop w:val="200"/>
          <w:marBottom w:val="0"/>
          <w:divBdr>
            <w:top w:val="none" w:sz="0" w:space="0" w:color="auto"/>
            <w:left w:val="none" w:sz="0" w:space="0" w:color="auto"/>
            <w:bottom w:val="none" w:sz="0" w:space="0" w:color="auto"/>
            <w:right w:val="none" w:sz="0" w:space="0" w:color="auto"/>
          </w:divBdr>
        </w:div>
        <w:div w:id="391201810">
          <w:marLeft w:val="360"/>
          <w:marRight w:val="0"/>
          <w:marTop w:val="200"/>
          <w:marBottom w:val="0"/>
          <w:divBdr>
            <w:top w:val="none" w:sz="0" w:space="0" w:color="auto"/>
            <w:left w:val="none" w:sz="0" w:space="0" w:color="auto"/>
            <w:bottom w:val="none" w:sz="0" w:space="0" w:color="auto"/>
            <w:right w:val="none" w:sz="0" w:space="0" w:color="auto"/>
          </w:divBdr>
        </w:div>
        <w:div w:id="1136415885">
          <w:marLeft w:val="360"/>
          <w:marRight w:val="0"/>
          <w:marTop w:val="200"/>
          <w:marBottom w:val="0"/>
          <w:divBdr>
            <w:top w:val="none" w:sz="0" w:space="0" w:color="auto"/>
            <w:left w:val="none" w:sz="0" w:space="0" w:color="auto"/>
            <w:bottom w:val="none" w:sz="0" w:space="0" w:color="auto"/>
            <w:right w:val="none" w:sz="0" w:space="0" w:color="auto"/>
          </w:divBdr>
        </w:div>
        <w:div w:id="1019158286">
          <w:marLeft w:val="1080"/>
          <w:marRight w:val="0"/>
          <w:marTop w:val="100"/>
          <w:marBottom w:val="0"/>
          <w:divBdr>
            <w:top w:val="none" w:sz="0" w:space="0" w:color="auto"/>
            <w:left w:val="none" w:sz="0" w:space="0" w:color="auto"/>
            <w:bottom w:val="none" w:sz="0" w:space="0" w:color="auto"/>
            <w:right w:val="none" w:sz="0" w:space="0" w:color="auto"/>
          </w:divBdr>
        </w:div>
        <w:div w:id="10838598">
          <w:marLeft w:val="360"/>
          <w:marRight w:val="0"/>
          <w:marTop w:val="200"/>
          <w:marBottom w:val="0"/>
          <w:divBdr>
            <w:top w:val="none" w:sz="0" w:space="0" w:color="auto"/>
            <w:left w:val="none" w:sz="0" w:space="0" w:color="auto"/>
            <w:bottom w:val="none" w:sz="0" w:space="0" w:color="auto"/>
            <w:right w:val="none" w:sz="0" w:space="0" w:color="auto"/>
          </w:divBdr>
        </w:div>
      </w:divsChild>
    </w:div>
    <w:div w:id="1359576744">
      <w:bodyDiv w:val="1"/>
      <w:marLeft w:val="0"/>
      <w:marRight w:val="0"/>
      <w:marTop w:val="0"/>
      <w:marBottom w:val="0"/>
      <w:divBdr>
        <w:top w:val="none" w:sz="0" w:space="0" w:color="auto"/>
        <w:left w:val="none" w:sz="0" w:space="0" w:color="auto"/>
        <w:bottom w:val="none" w:sz="0" w:space="0" w:color="auto"/>
        <w:right w:val="none" w:sz="0" w:space="0" w:color="auto"/>
      </w:divBdr>
    </w:div>
    <w:div w:id="1404252028">
      <w:bodyDiv w:val="1"/>
      <w:marLeft w:val="0"/>
      <w:marRight w:val="0"/>
      <w:marTop w:val="0"/>
      <w:marBottom w:val="0"/>
      <w:divBdr>
        <w:top w:val="none" w:sz="0" w:space="0" w:color="auto"/>
        <w:left w:val="none" w:sz="0" w:space="0" w:color="auto"/>
        <w:bottom w:val="none" w:sz="0" w:space="0" w:color="auto"/>
        <w:right w:val="none" w:sz="0" w:space="0" w:color="auto"/>
      </w:divBdr>
    </w:div>
    <w:div w:id="1411272797">
      <w:bodyDiv w:val="1"/>
      <w:marLeft w:val="0"/>
      <w:marRight w:val="0"/>
      <w:marTop w:val="0"/>
      <w:marBottom w:val="0"/>
      <w:divBdr>
        <w:top w:val="none" w:sz="0" w:space="0" w:color="auto"/>
        <w:left w:val="none" w:sz="0" w:space="0" w:color="auto"/>
        <w:bottom w:val="none" w:sz="0" w:space="0" w:color="auto"/>
        <w:right w:val="none" w:sz="0" w:space="0" w:color="auto"/>
      </w:divBdr>
    </w:div>
    <w:div w:id="1424643874">
      <w:bodyDiv w:val="1"/>
      <w:marLeft w:val="0"/>
      <w:marRight w:val="0"/>
      <w:marTop w:val="0"/>
      <w:marBottom w:val="0"/>
      <w:divBdr>
        <w:top w:val="none" w:sz="0" w:space="0" w:color="auto"/>
        <w:left w:val="none" w:sz="0" w:space="0" w:color="auto"/>
        <w:bottom w:val="none" w:sz="0" w:space="0" w:color="auto"/>
        <w:right w:val="none" w:sz="0" w:space="0" w:color="auto"/>
      </w:divBdr>
    </w:div>
    <w:div w:id="1499344518">
      <w:bodyDiv w:val="1"/>
      <w:marLeft w:val="0"/>
      <w:marRight w:val="0"/>
      <w:marTop w:val="0"/>
      <w:marBottom w:val="0"/>
      <w:divBdr>
        <w:top w:val="none" w:sz="0" w:space="0" w:color="auto"/>
        <w:left w:val="none" w:sz="0" w:space="0" w:color="auto"/>
        <w:bottom w:val="none" w:sz="0" w:space="0" w:color="auto"/>
        <w:right w:val="none" w:sz="0" w:space="0" w:color="auto"/>
      </w:divBdr>
    </w:div>
    <w:div w:id="1576353352">
      <w:bodyDiv w:val="1"/>
      <w:marLeft w:val="0"/>
      <w:marRight w:val="0"/>
      <w:marTop w:val="0"/>
      <w:marBottom w:val="0"/>
      <w:divBdr>
        <w:top w:val="none" w:sz="0" w:space="0" w:color="auto"/>
        <w:left w:val="none" w:sz="0" w:space="0" w:color="auto"/>
        <w:bottom w:val="none" w:sz="0" w:space="0" w:color="auto"/>
        <w:right w:val="none" w:sz="0" w:space="0" w:color="auto"/>
      </w:divBdr>
    </w:div>
    <w:div w:id="1635283808">
      <w:bodyDiv w:val="1"/>
      <w:marLeft w:val="0"/>
      <w:marRight w:val="0"/>
      <w:marTop w:val="0"/>
      <w:marBottom w:val="0"/>
      <w:divBdr>
        <w:top w:val="none" w:sz="0" w:space="0" w:color="auto"/>
        <w:left w:val="none" w:sz="0" w:space="0" w:color="auto"/>
        <w:bottom w:val="none" w:sz="0" w:space="0" w:color="auto"/>
        <w:right w:val="none" w:sz="0" w:space="0" w:color="auto"/>
      </w:divBdr>
    </w:div>
    <w:div w:id="1653218697">
      <w:bodyDiv w:val="1"/>
      <w:marLeft w:val="0"/>
      <w:marRight w:val="0"/>
      <w:marTop w:val="0"/>
      <w:marBottom w:val="0"/>
      <w:divBdr>
        <w:top w:val="none" w:sz="0" w:space="0" w:color="auto"/>
        <w:left w:val="none" w:sz="0" w:space="0" w:color="auto"/>
        <w:bottom w:val="none" w:sz="0" w:space="0" w:color="auto"/>
        <w:right w:val="none" w:sz="0" w:space="0" w:color="auto"/>
      </w:divBdr>
      <w:divsChild>
        <w:div w:id="245111923">
          <w:marLeft w:val="360"/>
          <w:marRight w:val="0"/>
          <w:marTop w:val="200"/>
          <w:marBottom w:val="0"/>
          <w:divBdr>
            <w:top w:val="none" w:sz="0" w:space="0" w:color="auto"/>
            <w:left w:val="none" w:sz="0" w:space="0" w:color="auto"/>
            <w:bottom w:val="none" w:sz="0" w:space="0" w:color="auto"/>
            <w:right w:val="none" w:sz="0" w:space="0" w:color="auto"/>
          </w:divBdr>
        </w:div>
        <w:div w:id="1911964899">
          <w:marLeft w:val="1080"/>
          <w:marRight w:val="0"/>
          <w:marTop w:val="100"/>
          <w:marBottom w:val="0"/>
          <w:divBdr>
            <w:top w:val="none" w:sz="0" w:space="0" w:color="auto"/>
            <w:left w:val="none" w:sz="0" w:space="0" w:color="auto"/>
            <w:bottom w:val="none" w:sz="0" w:space="0" w:color="auto"/>
            <w:right w:val="none" w:sz="0" w:space="0" w:color="auto"/>
          </w:divBdr>
        </w:div>
        <w:div w:id="2048794929">
          <w:marLeft w:val="1080"/>
          <w:marRight w:val="0"/>
          <w:marTop w:val="100"/>
          <w:marBottom w:val="0"/>
          <w:divBdr>
            <w:top w:val="none" w:sz="0" w:space="0" w:color="auto"/>
            <w:left w:val="none" w:sz="0" w:space="0" w:color="auto"/>
            <w:bottom w:val="none" w:sz="0" w:space="0" w:color="auto"/>
            <w:right w:val="none" w:sz="0" w:space="0" w:color="auto"/>
          </w:divBdr>
        </w:div>
      </w:divsChild>
    </w:div>
    <w:div w:id="1840147141">
      <w:bodyDiv w:val="1"/>
      <w:marLeft w:val="0"/>
      <w:marRight w:val="0"/>
      <w:marTop w:val="0"/>
      <w:marBottom w:val="0"/>
      <w:divBdr>
        <w:top w:val="none" w:sz="0" w:space="0" w:color="auto"/>
        <w:left w:val="none" w:sz="0" w:space="0" w:color="auto"/>
        <w:bottom w:val="none" w:sz="0" w:space="0" w:color="auto"/>
        <w:right w:val="none" w:sz="0" w:space="0" w:color="auto"/>
      </w:divBdr>
      <w:divsChild>
        <w:div w:id="1256203532">
          <w:marLeft w:val="1080"/>
          <w:marRight w:val="0"/>
          <w:marTop w:val="100"/>
          <w:marBottom w:val="0"/>
          <w:divBdr>
            <w:top w:val="none" w:sz="0" w:space="0" w:color="auto"/>
            <w:left w:val="none" w:sz="0" w:space="0" w:color="auto"/>
            <w:bottom w:val="none" w:sz="0" w:space="0" w:color="auto"/>
            <w:right w:val="none" w:sz="0" w:space="0" w:color="auto"/>
          </w:divBdr>
        </w:div>
        <w:div w:id="385032613">
          <w:marLeft w:val="1800"/>
          <w:marRight w:val="0"/>
          <w:marTop w:val="100"/>
          <w:marBottom w:val="0"/>
          <w:divBdr>
            <w:top w:val="none" w:sz="0" w:space="0" w:color="auto"/>
            <w:left w:val="none" w:sz="0" w:space="0" w:color="auto"/>
            <w:bottom w:val="none" w:sz="0" w:space="0" w:color="auto"/>
            <w:right w:val="none" w:sz="0" w:space="0" w:color="auto"/>
          </w:divBdr>
        </w:div>
        <w:div w:id="1510290749">
          <w:marLeft w:val="1800"/>
          <w:marRight w:val="0"/>
          <w:marTop w:val="100"/>
          <w:marBottom w:val="0"/>
          <w:divBdr>
            <w:top w:val="none" w:sz="0" w:space="0" w:color="auto"/>
            <w:left w:val="none" w:sz="0" w:space="0" w:color="auto"/>
            <w:bottom w:val="none" w:sz="0" w:space="0" w:color="auto"/>
            <w:right w:val="none" w:sz="0" w:space="0" w:color="auto"/>
          </w:divBdr>
        </w:div>
        <w:div w:id="1174493683">
          <w:marLeft w:val="1800"/>
          <w:marRight w:val="0"/>
          <w:marTop w:val="100"/>
          <w:marBottom w:val="0"/>
          <w:divBdr>
            <w:top w:val="none" w:sz="0" w:space="0" w:color="auto"/>
            <w:left w:val="none" w:sz="0" w:space="0" w:color="auto"/>
            <w:bottom w:val="none" w:sz="0" w:space="0" w:color="auto"/>
            <w:right w:val="none" w:sz="0" w:space="0" w:color="auto"/>
          </w:divBdr>
        </w:div>
        <w:div w:id="762146485">
          <w:marLeft w:val="1800"/>
          <w:marRight w:val="0"/>
          <w:marTop w:val="100"/>
          <w:marBottom w:val="0"/>
          <w:divBdr>
            <w:top w:val="none" w:sz="0" w:space="0" w:color="auto"/>
            <w:left w:val="none" w:sz="0" w:space="0" w:color="auto"/>
            <w:bottom w:val="none" w:sz="0" w:space="0" w:color="auto"/>
            <w:right w:val="none" w:sz="0" w:space="0" w:color="auto"/>
          </w:divBdr>
        </w:div>
        <w:div w:id="1336805998">
          <w:marLeft w:val="1800"/>
          <w:marRight w:val="0"/>
          <w:marTop w:val="100"/>
          <w:marBottom w:val="0"/>
          <w:divBdr>
            <w:top w:val="none" w:sz="0" w:space="0" w:color="auto"/>
            <w:left w:val="none" w:sz="0" w:space="0" w:color="auto"/>
            <w:bottom w:val="none" w:sz="0" w:space="0" w:color="auto"/>
            <w:right w:val="none" w:sz="0" w:space="0" w:color="auto"/>
          </w:divBdr>
        </w:div>
        <w:div w:id="1245066190">
          <w:marLeft w:val="1080"/>
          <w:marRight w:val="0"/>
          <w:marTop w:val="100"/>
          <w:marBottom w:val="0"/>
          <w:divBdr>
            <w:top w:val="none" w:sz="0" w:space="0" w:color="auto"/>
            <w:left w:val="none" w:sz="0" w:space="0" w:color="auto"/>
            <w:bottom w:val="none" w:sz="0" w:space="0" w:color="auto"/>
            <w:right w:val="none" w:sz="0" w:space="0" w:color="auto"/>
          </w:divBdr>
        </w:div>
        <w:div w:id="1755399850">
          <w:marLeft w:val="1800"/>
          <w:marRight w:val="0"/>
          <w:marTop w:val="100"/>
          <w:marBottom w:val="0"/>
          <w:divBdr>
            <w:top w:val="none" w:sz="0" w:space="0" w:color="auto"/>
            <w:left w:val="none" w:sz="0" w:space="0" w:color="auto"/>
            <w:bottom w:val="none" w:sz="0" w:space="0" w:color="auto"/>
            <w:right w:val="none" w:sz="0" w:space="0" w:color="auto"/>
          </w:divBdr>
        </w:div>
        <w:div w:id="404184776">
          <w:marLeft w:val="1080"/>
          <w:marRight w:val="0"/>
          <w:marTop w:val="100"/>
          <w:marBottom w:val="0"/>
          <w:divBdr>
            <w:top w:val="none" w:sz="0" w:space="0" w:color="auto"/>
            <w:left w:val="none" w:sz="0" w:space="0" w:color="auto"/>
            <w:bottom w:val="none" w:sz="0" w:space="0" w:color="auto"/>
            <w:right w:val="none" w:sz="0" w:space="0" w:color="auto"/>
          </w:divBdr>
        </w:div>
        <w:div w:id="1143893181">
          <w:marLeft w:val="1080"/>
          <w:marRight w:val="0"/>
          <w:marTop w:val="100"/>
          <w:marBottom w:val="0"/>
          <w:divBdr>
            <w:top w:val="none" w:sz="0" w:space="0" w:color="auto"/>
            <w:left w:val="none" w:sz="0" w:space="0" w:color="auto"/>
            <w:bottom w:val="none" w:sz="0" w:space="0" w:color="auto"/>
            <w:right w:val="none" w:sz="0" w:space="0" w:color="auto"/>
          </w:divBdr>
        </w:div>
        <w:div w:id="727648332">
          <w:marLeft w:val="360"/>
          <w:marRight w:val="0"/>
          <w:marTop w:val="200"/>
          <w:marBottom w:val="0"/>
          <w:divBdr>
            <w:top w:val="none" w:sz="0" w:space="0" w:color="auto"/>
            <w:left w:val="none" w:sz="0" w:space="0" w:color="auto"/>
            <w:bottom w:val="none" w:sz="0" w:space="0" w:color="auto"/>
            <w:right w:val="none" w:sz="0" w:space="0" w:color="auto"/>
          </w:divBdr>
        </w:div>
        <w:div w:id="1363021931">
          <w:marLeft w:val="1080"/>
          <w:marRight w:val="0"/>
          <w:marTop w:val="100"/>
          <w:marBottom w:val="0"/>
          <w:divBdr>
            <w:top w:val="none" w:sz="0" w:space="0" w:color="auto"/>
            <w:left w:val="none" w:sz="0" w:space="0" w:color="auto"/>
            <w:bottom w:val="none" w:sz="0" w:space="0" w:color="auto"/>
            <w:right w:val="none" w:sz="0" w:space="0" w:color="auto"/>
          </w:divBdr>
        </w:div>
        <w:div w:id="1684241357">
          <w:marLeft w:val="1080"/>
          <w:marRight w:val="0"/>
          <w:marTop w:val="100"/>
          <w:marBottom w:val="0"/>
          <w:divBdr>
            <w:top w:val="none" w:sz="0" w:space="0" w:color="auto"/>
            <w:left w:val="none" w:sz="0" w:space="0" w:color="auto"/>
            <w:bottom w:val="none" w:sz="0" w:space="0" w:color="auto"/>
            <w:right w:val="none" w:sz="0" w:space="0" w:color="auto"/>
          </w:divBdr>
        </w:div>
        <w:div w:id="562057890">
          <w:marLeft w:val="1080"/>
          <w:marRight w:val="0"/>
          <w:marTop w:val="100"/>
          <w:marBottom w:val="0"/>
          <w:divBdr>
            <w:top w:val="none" w:sz="0" w:space="0" w:color="auto"/>
            <w:left w:val="none" w:sz="0" w:space="0" w:color="auto"/>
            <w:bottom w:val="none" w:sz="0" w:space="0" w:color="auto"/>
            <w:right w:val="none" w:sz="0" w:space="0" w:color="auto"/>
          </w:divBdr>
        </w:div>
        <w:div w:id="1126393943">
          <w:marLeft w:val="1800"/>
          <w:marRight w:val="0"/>
          <w:marTop w:val="100"/>
          <w:marBottom w:val="0"/>
          <w:divBdr>
            <w:top w:val="none" w:sz="0" w:space="0" w:color="auto"/>
            <w:left w:val="none" w:sz="0" w:space="0" w:color="auto"/>
            <w:bottom w:val="none" w:sz="0" w:space="0" w:color="auto"/>
            <w:right w:val="none" w:sz="0" w:space="0" w:color="auto"/>
          </w:divBdr>
        </w:div>
        <w:div w:id="832913599">
          <w:marLeft w:val="360"/>
          <w:marRight w:val="0"/>
          <w:marTop w:val="200"/>
          <w:marBottom w:val="0"/>
          <w:divBdr>
            <w:top w:val="none" w:sz="0" w:space="0" w:color="auto"/>
            <w:left w:val="none" w:sz="0" w:space="0" w:color="auto"/>
            <w:bottom w:val="none" w:sz="0" w:space="0" w:color="auto"/>
            <w:right w:val="none" w:sz="0" w:space="0" w:color="auto"/>
          </w:divBdr>
        </w:div>
      </w:divsChild>
    </w:div>
    <w:div w:id="186242600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4026173">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4348374">
      <w:bodyDiv w:val="1"/>
      <w:marLeft w:val="0"/>
      <w:marRight w:val="0"/>
      <w:marTop w:val="0"/>
      <w:marBottom w:val="0"/>
      <w:divBdr>
        <w:top w:val="none" w:sz="0" w:space="0" w:color="auto"/>
        <w:left w:val="none" w:sz="0" w:space="0" w:color="auto"/>
        <w:bottom w:val="none" w:sz="0" w:space="0" w:color="auto"/>
        <w:right w:val="none" w:sz="0" w:space="0" w:color="auto"/>
      </w:divBdr>
      <w:divsChild>
        <w:div w:id="168639630">
          <w:marLeft w:val="360"/>
          <w:marRight w:val="0"/>
          <w:marTop w:val="200"/>
          <w:marBottom w:val="0"/>
          <w:divBdr>
            <w:top w:val="none" w:sz="0" w:space="0" w:color="auto"/>
            <w:left w:val="none" w:sz="0" w:space="0" w:color="auto"/>
            <w:bottom w:val="none" w:sz="0" w:space="0" w:color="auto"/>
            <w:right w:val="none" w:sz="0" w:space="0" w:color="auto"/>
          </w:divBdr>
        </w:div>
        <w:div w:id="68232375">
          <w:marLeft w:val="360"/>
          <w:marRight w:val="0"/>
          <w:marTop w:val="200"/>
          <w:marBottom w:val="0"/>
          <w:divBdr>
            <w:top w:val="none" w:sz="0" w:space="0" w:color="auto"/>
            <w:left w:val="none" w:sz="0" w:space="0" w:color="auto"/>
            <w:bottom w:val="none" w:sz="0" w:space="0" w:color="auto"/>
            <w:right w:val="none" w:sz="0" w:space="0" w:color="auto"/>
          </w:divBdr>
        </w:div>
        <w:div w:id="1976597401">
          <w:marLeft w:val="360"/>
          <w:marRight w:val="0"/>
          <w:marTop w:val="200"/>
          <w:marBottom w:val="0"/>
          <w:divBdr>
            <w:top w:val="none" w:sz="0" w:space="0" w:color="auto"/>
            <w:left w:val="none" w:sz="0" w:space="0" w:color="auto"/>
            <w:bottom w:val="none" w:sz="0" w:space="0" w:color="auto"/>
            <w:right w:val="none" w:sz="0" w:space="0" w:color="auto"/>
          </w:divBdr>
        </w:div>
        <w:div w:id="930355013">
          <w:marLeft w:val="360"/>
          <w:marRight w:val="0"/>
          <w:marTop w:val="200"/>
          <w:marBottom w:val="0"/>
          <w:divBdr>
            <w:top w:val="none" w:sz="0" w:space="0" w:color="auto"/>
            <w:left w:val="none" w:sz="0" w:space="0" w:color="auto"/>
            <w:bottom w:val="none" w:sz="0" w:space="0" w:color="auto"/>
            <w:right w:val="none" w:sz="0" w:space="0" w:color="auto"/>
          </w:divBdr>
        </w:div>
        <w:div w:id="790830778">
          <w:marLeft w:val="360"/>
          <w:marRight w:val="0"/>
          <w:marTop w:val="200"/>
          <w:marBottom w:val="0"/>
          <w:divBdr>
            <w:top w:val="none" w:sz="0" w:space="0" w:color="auto"/>
            <w:left w:val="none" w:sz="0" w:space="0" w:color="auto"/>
            <w:bottom w:val="none" w:sz="0" w:space="0" w:color="auto"/>
            <w:right w:val="none" w:sz="0" w:space="0" w:color="auto"/>
          </w:divBdr>
        </w:div>
        <w:div w:id="217010972">
          <w:marLeft w:val="360"/>
          <w:marRight w:val="0"/>
          <w:marTop w:val="200"/>
          <w:marBottom w:val="0"/>
          <w:divBdr>
            <w:top w:val="none" w:sz="0" w:space="0" w:color="auto"/>
            <w:left w:val="none" w:sz="0" w:space="0" w:color="auto"/>
            <w:bottom w:val="none" w:sz="0" w:space="0" w:color="auto"/>
            <w:right w:val="none" w:sz="0" w:space="0" w:color="auto"/>
          </w:divBdr>
        </w:div>
      </w:divsChild>
    </w:div>
    <w:div w:id="21395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AE4E-A86F-4D69-9A88-699581EB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15895</Words>
  <Characters>91370</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2022-07-12T01:04:00Z</dcterms:created>
  <dcterms:modified xsi:type="dcterms:W3CDTF">2022-07-12T01:08:00Z</dcterms:modified>
</cp:coreProperties>
</file>