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5A979" w14:textId="1B12457B" w:rsidR="00796A91" w:rsidRPr="00796A91" w:rsidRDefault="00796A91" w:rsidP="00796A91">
      <w:bookmarkStart w:id="0" w:name="_Toc82436597"/>
      <w:r w:rsidRPr="00622E6C">
        <w:rPr>
          <w:rFonts w:cs="Calibri"/>
          <w:color w:val="FF0000"/>
        </w:rPr>
        <w:t xml:space="preserve">An addendum to </w:t>
      </w:r>
      <w:r w:rsidR="009D37D9">
        <w:rPr>
          <w:rFonts w:cs="Calibri"/>
          <w:color w:val="FF0000"/>
        </w:rPr>
        <w:t>this Public Summary Document (PSD)</w:t>
      </w:r>
      <w:r w:rsidRPr="00622E6C">
        <w:rPr>
          <w:rFonts w:cs="Calibri"/>
          <w:color w:val="FF0000"/>
        </w:rPr>
        <w:t xml:space="preserve"> has been included at the end of the document.</w:t>
      </w:r>
    </w:p>
    <w:p w14:paraId="7CDEF173" w14:textId="1017E5C0" w:rsidR="00B60939" w:rsidRDefault="0063379F" w:rsidP="004A6040">
      <w:pPr>
        <w:pStyle w:val="1-MainHeading"/>
      </w:pPr>
      <w:r>
        <w:t>5.07</w:t>
      </w:r>
      <w:r w:rsidR="00433044">
        <w:tab/>
      </w:r>
      <w:r w:rsidR="4DAFD875">
        <w:t>D</w:t>
      </w:r>
      <w:r w:rsidR="009F1D07">
        <w:t>ARATUMUMAB</w:t>
      </w:r>
      <w:r w:rsidR="71C1C7FF">
        <w:t>,</w:t>
      </w:r>
      <w:r w:rsidR="00433044">
        <w:br/>
      </w:r>
      <w:r w:rsidRPr="0063379F">
        <w:t>Solution for subcut</w:t>
      </w:r>
      <w:r w:rsidR="00836710">
        <w:t>aneous injection 1,800 mg in 15 </w:t>
      </w:r>
      <w:r w:rsidRPr="0063379F">
        <w:t>mL vial</w:t>
      </w:r>
      <w:r w:rsidR="71C1C7FF">
        <w:t>,</w:t>
      </w:r>
      <w:r w:rsidR="00433044">
        <w:br/>
      </w:r>
      <w:r w:rsidR="04301CC1">
        <w:t>Darzalex</w:t>
      </w:r>
      <w:r>
        <w:t xml:space="preserve"> SC</w:t>
      </w:r>
      <w:r w:rsidR="69AF6ECA" w:rsidRPr="5B7E1C25">
        <w:rPr>
          <w:vertAlign w:val="superscript"/>
        </w:rPr>
        <w:t>®</w:t>
      </w:r>
      <w:r w:rsidR="64B91693">
        <w:t>,</w:t>
      </w:r>
      <w:r w:rsidR="00433044">
        <w:br/>
      </w:r>
      <w:r w:rsidR="04301CC1">
        <w:t>Janssen-Cilag Pty Ltd</w:t>
      </w:r>
      <w:r w:rsidR="69AF6ECA">
        <w:t>.</w:t>
      </w:r>
      <w:bookmarkEnd w:id="0"/>
    </w:p>
    <w:p w14:paraId="0FE1C5B0" w14:textId="77777777" w:rsidR="00B50DB8" w:rsidRPr="00407F2D" w:rsidRDefault="00B50DB8" w:rsidP="004A6040">
      <w:pPr>
        <w:pStyle w:val="2-SectionHeading"/>
      </w:pPr>
      <w:bookmarkStart w:id="1" w:name="_Toc82436599"/>
      <w:r w:rsidRPr="00407F2D">
        <w:t xml:space="preserve">Purpose of </w:t>
      </w:r>
      <w:r w:rsidR="00CD7193">
        <w:t>s</w:t>
      </w:r>
      <w:r w:rsidR="00BB3A45">
        <w:t>ubmission</w:t>
      </w:r>
      <w:bookmarkEnd w:id="1"/>
    </w:p>
    <w:p w14:paraId="63699C9E" w14:textId="77777777" w:rsidR="00FD3AE6" w:rsidRDefault="00FD3AE6" w:rsidP="00FE0AB1">
      <w:pPr>
        <w:pStyle w:val="3-BodyText"/>
      </w:pPr>
      <w:r>
        <w:t xml:space="preserve">The </w:t>
      </w:r>
      <w:r w:rsidR="00861F31">
        <w:t xml:space="preserve">Category 1 </w:t>
      </w:r>
      <w:r>
        <w:t xml:space="preserve">submission requested a Section 100 (Highly Specialised Drug), Authority </w:t>
      </w:r>
      <w:r w:rsidR="0079208B">
        <w:t>Required listing</w:t>
      </w:r>
      <w:r>
        <w:t xml:space="preserve"> for daratumumab </w:t>
      </w:r>
      <w:r w:rsidR="00BA7CAE">
        <w:t>subcutaneous (</w:t>
      </w:r>
      <w:r>
        <w:t>SC</w:t>
      </w:r>
      <w:r w:rsidR="00BA7CAE">
        <w:t>)</w:t>
      </w:r>
      <w:r>
        <w:t>, in combination</w:t>
      </w:r>
      <w:r w:rsidR="00356A58">
        <w:t xml:space="preserve"> </w:t>
      </w:r>
      <w:r w:rsidR="00356A58" w:rsidRPr="00BA7CAE">
        <w:t>with</w:t>
      </w:r>
      <w:r w:rsidR="00BA7CAE" w:rsidRPr="00BA7CAE">
        <w:t xml:space="preserve"> cyclophosphamide, bortezomib and dexamethasone (CyBorD) </w:t>
      </w:r>
      <w:r w:rsidRPr="00BA7CAE">
        <w:t xml:space="preserve">for </w:t>
      </w:r>
      <w:r w:rsidR="00356A58" w:rsidRPr="00BA7CAE">
        <w:t>newly</w:t>
      </w:r>
      <w:r w:rsidR="00356A58">
        <w:t xml:space="preserve"> diagnosed </w:t>
      </w:r>
      <w:r>
        <w:t xml:space="preserve">patients with </w:t>
      </w:r>
      <w:r w:rsidR="00BA7CAE">
        <w:t xml:space="preserve">systemic light-chain </w:t>
      </w:r>
      <w:r>
        <w:t>AL amyloidosis</w:t>
      </w:r>
      <w:r w:rsidR="00813703">
        <w:t xml:space="preserve"> (herein referred to as AL amyloidosis)</w:t>
      </w:r>
      <w:r w:rsidR="00F071FF">
        <w:t>.</w:t>
      </w:r>
      <w:r>
        <w:t xml:space="preserve"> The requested listing </w:t>
      </w:r>
      <w:r w:rsidR="003A5E5B">
        <w:t xml:space="preserve">is for combination therapy for the first 24 weeks, followed by daratumumab SC as monotherapy </w:t>
      </w:r>
      <w:r>
        <w:t>for treatment from week 25 to a maximum of 96 weeks (24 cycles).</w:t>
      </w:r>
      <w:r w:rsidR="00FE0AB1">
        <w:t xml:space="preserve">  The submission requested that p</w:t>
      </w:r>
      <w:r w:rsidR="00FE0AB1" w:rsidRPr="00FE0AB1">
        <w:t xml:space="preserve">atients continue to access daratumumab </w:t>
      </w:r>
      <w:r w:rsidR="00114BB1">
        <w:t xml:space="preserve">SC </w:t>
      </w:r>
      <w:r w:rsidR="00FE0AB1" w:rsidRPr="00FE0AB1">
        <w:t xml:space="preserve">until disease progression </w:t>
      </w:r>
      <w:r w:rsidR="00FE0AB1">
        <w:t>or the development of treatment</w:t>
      </w:r>
      <w:r w:rsidR="00FE0AB1">
        <w:noBreakHyphen/>
      </w:r>
      <w:r w:rsidR="00FE0AB1" w:rsidRPr="00FE0AB1">
        <w:t>limiting toxicity, or for a maximum of 24 cycles (i.e. a maximum of 34 injections of daratumumab</w:t>
      </w:r>
      <w:r w:rsidR="00114BB1">
        <w:t xml:space="preserve"> SC</w:t>
      </w:r>
      <w:r w:rsidR="00FE0AB1" w:rsidRPr="00FE0AB1">
        <w:t>).</w:t>
      </w:r>
    </w:p>
    <w:p w14:paraId="65AA55A1" w14:textId="77777777" w:rsidR="005F118F" w:rsidRDefault="005F118F" w:rsidP="005F118F">
      <w:pPr>
        <w:pStyle w:val="3-BodyText"/>
      </w:pPr>
      <w:r>
        <w:t>Listing was requested on the basis of a cost-utility analysis (CUA) of daratumumab SC + CyBorD versus the submission’s main comparator, CyBorD. The submission also presented a secondary CUA versus melphalan and dexamethasone (MDex).</w:t>
      </w:r>
    </w:p>
    <w:p w14:paraId="52A3E178" w14:textId="77777777" w:rsidR="001F275B" w:rsidRDefault="008A0743" w:rsidP="005F118F">
      <w:pPr>
        <w:pStyle w:val="3-BodyText"/>
      </w:pPr>
      <w:r w:rsidRPr="008A0743">
        <w:t>Table 1</w:t>
      </w:r>
      <w:r w:rsidR="001F275B" w:rsidRPr="00EA1091">
        <w:t xml:space="preserve"> summarises</w:t>
      </w:r>
      <w:r w:rsidR="001F275B">
        <w:t xml:space="preserve"> the components of the clinical </w:t>
      </w:r>
      <w:r w:rsidR="005F118F">
        <w:t xml:space="preserve">issue </w:t>
      </w:r>
      <w:r w:rsidR="001F275B">
        <w:t>addressed by the submission.</w:t>
      </w:r>
    </w:p>
    <w:p w14:paraId="740DAC94" w14:textId="77777777" w:rsidR="001F275B" w:rsidRPr="00EA1091" w:rsidRDefault="001F275B" w:rsidP="00C23B0E">
      <w:pPr>
        <w:pStyle w:val="TableFigureHeading"/>
        <w:keepLines/>
        <w:rPr>
          <w:rStyle w:val="CommentReference"/>
          <w:b/>
          <w:szCs w:val="24"/>
        </w:rPr>
      </w:pPr>
      <w:bookmarkStart w:id="2" w:name="_Ref79314729"/>
      <w:r w:rsidRPr="00EA1091">
        <w:rPr>
          <w:rStyle w:val="CommentReference"/>
          <w:b/>
          <w:szCs w:val="24"/>
        </w:rPr>
        <w:lastRenderedPageBreak/>
        <w:t xml:space="preserve">Table </w:t>
      </w:r>
      <w:r w:rsidR="008A0743">
        <w:rPr>
          <w:rStyle w:val="CommentReference"/>
          <w:b/>
          <w:noProof/>
          <w:szCs w:val="24"/>
        </w:rPr>
        <w:t>1</w:t>
      </w:r>
      <w:bookmarkEnd w:id="2"/>
      <w:r>
        <w:rPr>
          <w:rStyle w:val="CommentReference"/>
          <w:b/>
          <w:szCs w:val="24"/>
        </w:rPr>
        <w:t xml:space="preserve">: </w:t>
      </w:r>
      <w:r w:rsidRPr="00E55915">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1F275B" w:rsidRPr="00A518F3" w14:paraId="19610668" w14:textId="77777777" w:rsidTr="00F071FF">
        <w:tc>
          <w:tcPr>
            <w:tcW w:w="1668" w:type="dxa"/>
            <w:vAlign w:val="center"/>
          </w:tcPr>
          <w:p w14:paraId="4BA2B0DC" w14:textId="77777777" w:rsidR="001F275B" w:rsidRPr="002A770B" w:rsidRDefault="001F275B" w:rsidP="00C23B0E">
            <w:pPr>
              <w:pStyle w:val="In-tableHeading"/>
              <w:keepLines/>
            </w:pPr>
            <w:r w:rsidRPr="002A770B">
              <w:t>Component</w:t>
            </w:r>
          </w:p>
        </w:tc>
        <w:tc>
          <w:tcPr>
            <w:tcW w:w="7488" w:type="dxa"/>
            <w:vAlign w:val="center"/>
          </w:tcPr>
          <w:p w14:paraId="3B67D4F1" w14:textId="77777777" w:rsidR="001F275B" w:rsidRPr="002A770B" w:rsidRDefault="001F275B" w:rsidP="00C23B0E">
            <w:pPr>
              <w:pStyle w:val="In-tableHeading"/>
              <w:keepLines/>
            </w:pPr>
            <w:r w:rsidRPr="002A770B">
              <w:t>Description</w:t>
            </w:r>
          </w:p>
        </w:tc>
      </w:tr>
      <w:tr w:rsidR="001F275B" w14:paraId="61B6525C" w14:textId="77777777" w:rsidTr="00F071FF">
        <w:tc>
          <w:tcPr>
            <w:tcW w:w="1668" w:type="dxa"/>
            <w:vAlign w:val="center"/>
          </w:tcPr>
          <w:p w14:paraId="3A3F89FD" w14:textId="77777777" w:rsidR="001F275B" w:rsidRPr="002A770B" w:rsidRDefault="001F275B" w:rsidP="00C23B0E">
            <w:pPr>
              <w:pStyle w:val="TableText0"/>
              <w:keepLines/>
            </w:pPr>
            <w:r w:rsidRPr="002A770B">
              <w:t>Population</w:t>
            </w:r>
          </w:p>
        </w:tc>
        <w:tc>
          <w:tcPr>
            <w:tcW w:w="7488" w:type="dxa"/>
            <w:vAlign w:val="center"/>
          </w:tcPr>
          <w:p w14:paraId="329D9051" w14:textId="77777777" w:rsidR="001F275B" w:rsidRPr="002A770B" w:rsidRDefault="001F275B" w:rsidP="00A3046A">
            <w:pPr>
              <w:pStyle w:val="TableText0"/>
              <w:keepLines/>
            </w:pPr>
            <w:r w:rsidRPr="002A770B">
              <w:t>Patients with newly diagnosed systemic light chain AL amyloidosis</w:t>
            </w:r>
          </w:p>
        </w:tc>
      </w:tr>
      <w:tr w:rsidR="001F275B" w14:paraId="37413299" w14:textId="77777777" w:rsidTr="00F071FF">
        <w:tc>
          <w:tcPr>
            <w:tcW w:w="1668" w:type="dxa"/>
            <w:vAlign w:val="center"/>
          </w:tcPr>
          <w:p w14:paraId="2A827295" w14:textId="77777777" w:rsidR="001F275B" w:rsidRPr="002A770B" w:rsidRDefault="001F275B" w:rsidP="00C23B0E">
            <w:pPr>
              <w:pStyle w:val="TableText0"/>
              <w:keepLines/>
            </w:pPr>
            <w:r w:rsidRPr="002A770B">
              <w:t>Intervention</w:t>
            </w:r>
          </w:p>
        </w:tc>
        <w:tc>
          <w:tcPr>
            <w:tcW w:w="7488" w:type="dxa"/>
            <w:vAlign w:val="center"/>
          </w:tcPr>
          <w:p w14:paraId="69728BD4" w14:textId="77777777" w:rsidR="001F275B" w:rsidRPr="002A770B" w:rsidRDefault="001F275B" w:rsidP="00C23B0E">
            <w:pPr>
              <w:pStyle w:val="TableText0"/>
              <w:keepLines/>
              <w:rPr>
                <w:rFonts w:eastAsia="Calibri" w:cs="Arial"/>
                <w:szCs w:val="22"/>
                <w:lang w:eastAsia="en-US"/>
              </w:rPr>
            </w:pPr>
            <w:r w:rsidRPr="002A770B">
              <w:t>Daratumumab SC, a</w:t>
            </w:r>
            <w:r w:rsidRPr="002A770B">
              <w:rPr>
                <w:rFonts w:eastAsia="Calibri" w:cs="Arial"/>
                <w:szCs w:val="22"/>
                <w:lang w:eastAsia="en-US"/>
              </w:rPr>
              <w:t>dministered in combination with bortezomib, cyclophosphamide and dexamethasone (i.e. CyBorD)</w:t>
            </w:r>
          </w:p>
          <w:p w14:paraId="6A6B2BB7" w14:textId="77777777" w:rsidR="004A1B07" w:rsidRPr="002A770B" w:rsidRDefault="004A1B07" w:rsidP="004A1B07">
            <w:pPr>
              <w:pStyle w:val="TableText0"/>
              <w:keepLines/>
              <w:rPr>
                <w:u w:val="single"/>
              </w:rPr>
            </w:pPr>
            <w:r w:rsidRPr="002A770B">
              <w:rPr>
                <w:u w:val="single"/>
              </w:rPr>
              <w:t>Daratumumab SC</w:t>
            </w:r>
            <w:r w:rsidRPr="002A770B">
              <w:rPr>
                <w:rFonts w:eastAsia="Calibri" w:cs="Arial"/>
                <w:szCs w:val="22"/>
                <w:u w:val="single"/>
                <w:lang w:eastAsia="en-US"/>
              </w:rPr>
              <w:t xml:space="preserve">: </w:t>
            </w:r>
            <w:r w:rsidRPr="002A770B">
              <w:rPr>
                <w:rFonts w:eastAsia="Calibri" w:cs="Arial"/>
                <w:szCs w:val="22"/>
                <w:lang w:eastAsia="en-US"/>
              </w:rPr>
              <w:t>Daratumumab is administered subcutaneously at a dose of 1800 mg over approximately 3-5 minutes. It is administered weekly for the first 2 cycles (each cycle is 4 weeks in duration; a total of 8 doses over weeks 1 to 8), every two weeks from cycles 3 to 6 (a total of 8 doses over week 9 to 24) and then once every 4 weeks from cycle 7 (week 25+) onward until disease progression, the development of treatment-limiting toxicity, or a maximum of 24 cycles (≈2 years) from the first dose of treatment (whichever is first).</w:t>
            </w:r>
          </w:p>
          <w:p w14:paraId="2C78F44F" w14:textId="77777777" w:rsidR="001F275B" w:rsidRPr="002A770B" w:rsidRDefault="001F275B" w:rsidP="00C23B0E">
            <w:pPr>
              <w:keepNext/>
              <w:keepLines/>
              <w:spacing w:after="120"/>
              <w:contextualSpacing/>
              <w:rPr>
                <w:rFonts w:ascii="Arial Narrow" w:eastAsia="Calibri" w:hAnsi="Arial Narrow"/>
                <w:bCs/>
                <w:sz w:val="20"/>
                <w:szCs w:val="22"/>
                <w:lang w:eastAsia="en-US"/>
              </w:rPr>
            </w:pPr>
            <w:r w:rsidRPr="002A770B">
              <w:rPr>
                <w:rFonts w:ascii="Arial Narrow" w:eastAsiaTheme="majorEastAsia" w:hAnsi="Arial Narrow" w:cstheme="majorBidi"/>
                <w:bCs/>
                <w:sz w:val="20"/>
                <w:u w:val="single"/>
              </w:rPr>
              <w:t>CyBorD:</w:t>
            </w:r>
            <w:r w:rsidRPr="002A770B">
              <w:rPr>
                <w:rFonts w:ascii="Arial Narrow" w:eastAsiaTheme="majorEastAsia" w:hAnsi="Arial Narrow" w:cstheme="majorBidi"/>
                <w:bCs/>
                <w:sz w:val="20"/>
              </w:rPr>
              <w:t xml:space="preserve"> </w:t>
            </w:r>
            <w:r w:rsidRPr="002A770B">
              <w:rPr>
                <w:rFonts w:ascii="Arial Narrow" w:eastAsia="Calibri" w:hAnsi="Arial Narrow"/>
                <w:bCs/>
                <w:sz w:val="20"/>
                <w:szCs w:val="22"/>
                <w:lang w:eastAsia="en-US"/>
              </w:rPr>
              <w:t>Dexamethasone is given as a 40 mg dose either orally or by IV injection, cyclophosphamide as a 300 mg/m</w:t>
            </w:r>
            <w:r w:rsidRPr="002A770B">
              <w:rPr>
                <w:rFonts w:ascii="Arial Narrow" w:eastAsia="Calibri" w:hAnsi="Arial Narrow"/>
                <w:bCs/>
                <w:sz w:val="20"/>
                <w:szCs w:val="22"/>
                <w:vertAlign w:val="superscript"/>
                <w:lang w:eastAsia="en-US"/>
              </w:rPr>
              <w:t>2</w:t>
            </w:r>
            <w:r w:rsidRPr="002A770B">
              <w:rPr>
                <w:rFonts w:ascii="Arial Narrow" w:eastAsia="Calibri" w:hAnsi="Arial Narrow"/>
                <w:bCs/>
                <w:sz w:val="20"/>
                <w:szCs w:val="22"/>
                <w:lang w:eastAsia="en-US"/>
              </w:rPr>
              <w:t xml:space="preserve"> dose either orally or by IV injection, and bortezomib as a 1.3 mg/m</w:t>
            </w:r>
            <w:r w:rsidRPr="002A770B">
              <w:rPr>
                <w:rFonts w:ascii="Arial Narrow" w:eastAsia="Calibri" w:hAnsi="Arial Narrow"/>
                <w:bCs/>
                <w:sz w:val="20"/>
                <w:szCs w:val="22"/>
                <w:vertAlign w:val="superscript"/>
                <w:lang w:eastAsia="en-US"/>
              </w:rPr>
              <w:t>2</w:t>
            </w:r>
            <w:r w:rsidRPr="002A770B">
              <w:rPr>
                <w:rFonts w:ascii="Arial Narrow" w:eastAsia="Calibri" w:hAnsi="Arial Narrow"/>
                <w:bCs/>
                <w:sz w:val="20"/>
                <w:szCs w:val="22"/>
                <w:lang w:eastAsia="en-US"/>
              </w:rPr>
              <w:t xml:space="preserve"> dose by SC injection. Each is administered once weekly on days 1, 8, 15, 22 of every 4-week cycle for a maximum of 6 cycles.</w:t>
            </w:r>
          </w:p>
        </w:tc>
      </w:tr>
      <w:tr w:rsidR="001F275B" w14:paraId="17A5B490" w14:textId="77777777" w:rsidTr="00F071FF">
        <w:tc>
          <w:tcPr>
            <w:tcW w:w="1668" w:type="dxa"/>
            <w:vAlign w:val="center"/>
          </w:tcPr>
          <w:p w14:paraId="5B3EDE63" w14:textId="77777777" w:rsidR="001F275B" w:rsidRPr="002A770B" w:rsidRDefault="001F275B" w:rsidP="00C23B0E">
            <w:pPr>
              <w:pStyle w:val="TableText0"/>
              <w:keepLines/>
            </w:pPr>
            <w:r w:rsidRPr="002A770B">
              <w:t>Comparator</w:t>
            </w:r>
          </w:p>
        </w:tc>
        <w:tc>
          <w:tcPr>
            <w:tcW w:w="7488" w:type="dxa"/>
            <w:vAlign w:val="center"/>
          </w:tcPr>
          <w:p w14:paraId="15E66EC2" w14:textId="77777777" w:rsidR="001F275B" w:rsidRPr="002A770B" w:rsidRDefault="001F275B" w:rsidP="00C23B0E">
            <w:pPr>
              <w:pStyle w:val="TableText0"/>
              <w:keepLines/>
            </w:pPr>
            <w:r w:rsidRPr="002A770B">
              <w:t>This submission nominates two comparators:</w:t>
            </w:r>
          </w:p>
          <w:p w14:paraId="4433C671" w14:textId="77777777" w:rsidR="001F275B" w:rsidRPr="002A770B" w:rsidRDefault="001F275B" w:rsidP="0070637E">
            <w:pPr>
              <w:pStyle w:val="TableText0"/>
              <w:keepLines/>
              <w:numPr>
                <w:ilvl w:val="0"/>
                <w:numId w:val="5"/>
              </w:numPr>
              <w:ind w:left="360"/>
            </w:pPr>
            <w:r w:rsidRPr="002A770B">
              <w:rPr>
                <w:u w:val="single"/>
              </w:rPr>
              <w:t>Regimen that will be replaced in clinical practice (main comparator</w:t>
            </w:r>
            <w:r w:rsidRPr="002A770B">
              <w:t>): Bortezomib-based regimens, mainly bortezomib, cyclophosphamide and dexamethasone (CyBorD) as per the comparator of the pivotal ANDROMEDA trial.</w:t>
            </w:r>
          </w:p>
          <w:p w14:paraId="1150BF36" w14:textId="77777777" w:rsidR="001F275B" w:rsidRPr="002A770B" w:rsidRDefault="001F275B" w:rsidP="00C23B0E">
            <w:pPr>
              <w:pStyle w:val="TableText0"/>
              <w:keepLines/>
              <w:ind w:left="360"/>
            </w:pPr>
            <w:r w:rsidRPr="002A770B">
              <w:rPr>
                <w:bCs w:val="0"/>
                <w:u w:val="single"/>
              </w:rPr>
              <w:t>CyBorD:</w:t>
            </w:r>
            <w:r w:rsidRPr="002A770B">
              <w:rPr>
                <w:bCs w:val="0"/>
              </w:rPr>
              <w:t xml:space="preserve"> </w:t>
            </w:r>
            <w:r w:rsidRPr="002A770B">
              <w:rPr>
                <w:rFonts w:eastAsia="Calibri" w:cs="Arial"/>
                <w:bCs w:val="0"/>
                <w:szCs w:val="22"/>
                <w:lang w:eastAsia="en-US"/>
              </w:rPr>
              <w:t xml:space="preserve">Dexamethasone is given as a 40 mg dose either orally or by </w:t>
            </w:r>
            <w:r w:rsidRPr="002A770B">
              <w:rPr>
                <w:rFonts w:eastAsia="Calibri"/>
                <w:bCs w:val="0"/>
                <w:szCs w:val="22"/>
                <w:lang w:eastAsia="en-US"/>
              </w:rPr>
              <w:t>IV injection</w:t>
            </w:r>
            <w:r w:rsidRPr="002A770B">
              <w:rPr>
                <w:rFonts w:eastAsia="Calibri" w:cs="Arial"/>
                <w:bCs w:val="0"/>
                <w:szCs w:val="22"/>
                <w:lang w:eastAsia="en-US"/>
              </w:rPr>
              <w:t>, cyclophosphamide as a 300 mg/m2 dose either orally or by IV injection, and bortezomib as a 1.3 mg/m2 dose by SC injection. Each is administered once weekly on days 1, 8, 15, 22 of every 4-week cycle for a maximum of 6 cycles.</w:t>
            </w:r>
          </w:p>
          <w:p w14:paraId="61C42C25" w14:textId="77777777" w:rsidR="001F275B" w:rsidRPr="002A770B" w:rsidRDefault="001F275B" w:rsidP="0070637E">
            <w:pPr>
              <w:pStyle w:val="TableText0"/>
              <w:keepLines/>
              <w:numPr>
                <w:ilvl w:val="0"/>
                <w:numId w:val="5"/>
              </w:numPr>
              <w:ind w:left="360"/>
            </w:pPr>
            <w:r w:rsidRPr="002A770B">
              <w:rPr>
                <w:u w:val="single"/>
              </w:rPr>
              <w:t>Regimen that is PBS listed (supplementary comparator):</w:t>
            </w:r>
            <w:r w:rsidRPr="002A770B">
              <w:t xml:space="preserve"> Melphalan in combination with dexamethasone (MDex).</w:t>
            </w:r>
          </w:p>
          <w:p w14:paraId="3DDE63C1" w14:textId="77777777" w:rsidR="001F275B" w:rsidRPr="002A770B" w:rsidRDefault="001F275B" w:rsidP="00C23B0E">
            <w:pPr>
              <w:pStyle w:val="TableText0"/>
              <w:keepLines/>
              <w:ind w:left="360"/>
            </w:pPr>
            <w:r w:rsidRPr="002A770B">
              <w:rPr>
                <w:u w:val="single"/>
              </w:rPr>
              <w:t>MDex</w:t>
            </w:r>
            <w:r w:rsidRPr="002A770B">
              <w:t>: Melphalan is given as a 10 mg/m2 dose orally and dexamethasone as a 40 mg dose orally on days 1 to 4 of each 4-week cycle for generally a maximum of 6 cycles.</w:t>
            </w:r>
          </w:p>
        </w:tc>
      </w:tr>
      <w:tr w:rsidR="001F275B" w14:paraId="03C175A9" w14:textId="77777777" w:rsidTr="00F071FF">
        <w:tc>
          <w:tcPr>
            <w:tcW w:w="1668" w:type="dxa"/>
            <w:vAlign w:val="center"/>
          </w:tcPr>
          <w:p w14:paraId="4B0CBCCC" w14:textId="77777777" w:rsidR="001F275B" w:rsidRPr="002A770B" w:rsidRDefault="001F275B" w:rsidP="00C23B0E">
            <w:pPr>
              <w:pStyle w:val="TableText0"/>
              <w:keepLines/>
            </w:pPr>
            <w:r w:rsidRPr="002A770B">
              <w:t>Outcomes</w:t>
            </w:r>
          </w:p>
        </w:tc>
        <w:tc>
          <w:tcPr>
            <w:tcW w:w="7488" w:type="dxa"/>
            <w:vAlign w:val="center"/>
          </w:tcPr>
          <w:p w14:paraId="42B3B8B3" w14:textId="77777777" w:rsidR="001F275B" w:rsidRPr="002A770B" w:rsidRDefault="001F275B" w:rsidP="00C23B0E">
            <w:pPr>
              <w:pStyle w:val="TableText0"/>
              <w:keepLines/>
            </w:pPr>
            <w:r w:rsidRPr="002A770B">
              <w:t>Haematological response, organ response, MOD-PFS, OS, AEs</w:t>
            </w:r>
          </w:p>
        </w:tc>
      </w:tr>
      <w:tr w:rsidR="001F275B" w14:paraId="453EE091" w14:textId="77777777" w:rsidTr="00F071FF">
        <w:tc>
          <w:tcPr>
            <w:tcW w:w="1668" w:type="dxa"/>
            <w:vAlign w:val="center"/>
          </w:tcPr>
          <w:p w14:paraId="2FCB8493" w14:textId="77777777" w:rsidR="001F275B" w:rsidRPr="002A770B" w:rsidRDefault="001F275B" w:rsidP="00C23B0E">
            <w:pPr>
              <w:pStyle w:val="TableText0"/>
              <w:keepLines/>
            </w:pPr>
            <w:r w:rsidRPr="002A770B">
              <w:t>Clinical claim</w:t>
            </w:r>
          </w:p>
        </w:tc>
        <w:tc>
          <w:tcPr>
            <w:tcW w:w="7488" w:type="dxa"/>
            <w:vAlign w:val="center"/>
          </w:tcPr>
          <w:p w14:paraId="2DA9CD60" w14:textId="77777777" w:rsidR="001F275B" w:rsidRPr="002A770B" w:rsidRDefault="00B51426"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 xml:space="preserve">Daratumumab </w:t>
            </w:r>
            <w:r w:rsidR="00C9703D" w:rsidRPr="002A770B">
              <w:rPr>
                <w:rFonts w:ascii="Arial Narrow" w:eastAsia="Calibri" w:hAnsi="Arial Narrow"/>
                <w:bCs/>
                <w:sz w:val="20"/>
                <w:szCs w:val="22"/>
                <w:u w:val="single"/>
                <w:lang w:eastAsia="en-US"/>
              </w:rPr>
              <w:t>SC + CyBorD</w:t>
            </w:r>
            <w:r w:rsidR="001F275B" w:rsidRPr="002A770B">
              <w:rPr>
                <w:rFonts w:ascii="Arial Narrow" w:eastAsia="Calibri" w:hAnsi="Arial Narrow"/>
                <w:bCs/>
                <w:sz w:val="20"/>
                <w:szCs w:val="22"/>
                <w:u w:val="single"/>
                <w:lang w:eastAsia="en-US"/>
              </w:rPr>
              <w:t xml:space="preserve"> vs. CyBorD</w:t>
            </w:r>
            <w:r w:rsidR="001F275B" w:rsidRPr="002A770B">
              <w:rPr>
                <w:rFonts w:ascii="Arial Narrow" w:eastAsia="Calibri" w:hAnsi="Arial Narrow"/>
                <w:bCs/>
                <w:sz w:val="20"/>
                <w:szCs w:val="22"/>
                <w:lang w:eastAsia="en-US"/>
              </w:rPr>
              <w:t xml:space="preserve"> </w:t>
            </w:r>
          </w:p>
          <w:p w14:paraId="6638AAC6" w14:textId="77777777" w:rsidR="001F275B" w:rsidRPr="002A770B" w:rsidRDefault="001F275B"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Efficacy</w:t>
            </w:r>
            <w:r w:rsidRPr="002A770B">
              <w:rPr>
                <w:rFonts w:ascii="Arial Narrow" w:eastAsia="Calibri" w:hAnsi="Arial Narrow"/>
                <w:bCs/>
                <w:sz w:val="20"/>
                <w:szCs w:val="22"/>
                <w:lang w:eastAsia="en-US"/>
              </w:rPr>
              <w:t>: Compared with CyBorD, daratumumab SC + CyBorD demonstrates superior comparative efficacy based on haematological response and organ response</w:t>
            </w:r>
            <w:r w:rsidR="007F712E">
              <w:rPr>
                <w:rFonts w:ascii="Arial Narrow" w:eastAsia="Calibri" w:hAnsi="Arial Narrow"/>
                <w:bCs/>
                <w:sz w:val="20"/>
                <w:szCs w:val="22"/>
                <w:lang w:eastAsia="en-US"/>
              </w:rPr>
              <w:t xml:space="preserve"> which</w:t>
            </w:r>
            <w:r w:rsidRPr="002A770B">
              <w:rPr>
                <w:rFonts w:ascii="Arial Narrow" w:eastAsia="Calibri" w:hAnsi="Arial Narrow"/>
                <w:bCs/>
                <w:sz w:val="20"/>
                <w:szCs w:val="22"/>
                <w:lang w:eastAsia="en-US"/>
              </w:rPr>
              <w:t xml:space="preserve"> is anticipated will translate to a superior OS as further follow-up data from the trial become available.</w:t>
            </w:r>
          </w:p>
          <w:p w14:paraId="26FC5209" w14:textId="77777777" w:rsidR="001F275B" w:rsidRPr="002A770B" w:rsidRDefault="001F275B"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Safety</w:t>
            </w:r>
            <w:r w:rsidRPr="002A770B">
              <w:rPr>
                <w:rFonts w:ascii="Arial Narrow" w:eastAsia="Calibri" w:hAnsi="Arial Narrow"/>
                <w:bCs/>
                <w:sz w:val="20"/>
                <w:szCs w:val="22"/>
                <w:lang w:eastAsia="en-US"/>
              </w:rPr>
              <w:t xml:space="preserve">: </w:t>
            </w:r>
            <w:r w:rsidR="00C9703D" w:rsidRPr="002A770B">
              <w:rPr>
                <w:rFonts w:ascii="Arial Narrow" w:eastAsia="Calibri" w:hAnsi="Arial Narrow"/>
                <w:bCs/>
                <w:sz w:val="20"/>
                <w:szCs w:val="22"/>
                <w:lang w:eastAsia="en-US"/>
              </w:rPr>
              <w:t>daratumumab SC + CyBorD</w:t>
            </w:r>
            <w:r w:rsidRPr="002A770B">
              <w:rPr>
                <w:rFonts w:ascii="Arial Narrow" w:eastAsia="Calibri" w:hAnsi="Arial Narrow"/>
                <w:bCs/>
                <w:sz w:val="20"/>
                <w:szCs w:val="22"/>
                <w:lang w:eastAsia="en-US"/>
              </w:rPr>
              <w:t xml:space="preserve"> is associated with additional AEs compared with CyBorD alone and therefore has an inferior safety profile. </w:t>
            </w:r>
          </w:p>
          <w:p w14:paraId="38E3F085" w14:textId="77777777" w:rsidR="001F275B" w:rsidRPr="002A770B" w:rsidRDefault="001F275B" w:rsidP="00C23B0E">
            <w:pPr>
              <w:keepNext/>
              <w:keepLines/>
              <w:rPr>
                <w:rFonts w:ascii="Arial Narrow" w:eastAsia="Calibri" w:hAnsi="Arial Narrow"/>
                <w:bCs/>
                <w:sz w:val="20"/>
                <w:szCs w:val="22"/>
                <w:lang w:eastAsia="en-US"/>
              </w:rPr>
            </w:pPr>
          </w:p>
          <w:p w14:paraId="1B8F0293" w14:textId="77777777" w:rsidR="001F275B" w:rsidRPr="002A770B" w:rsidRDefault="00B51426" w:rsidP="00C23B0E">
            <w:pPr>
              <w:keepNext/>
              <w:keepLines/>
              <w:rPr>
                <w:rFonts w:ascii="Arial Narrow" w:eastAsia="Calibri" w:hAnsi="Arial Narrow"/>
                <w:bCs/>
                <w:sz w:val="20"/>
                <w:szCs w:val="22"/>
                <w:lang w:eastAsia="en-US"/>
              </w:rPr>
            </w:pPr>
            <w:r w:rsidRPr="002A770B">
              <w:rPr>
                <w:rFonts w:ascii="Arial Narrow" w:eastAsia="Calibri" w:hAnsi="Arial Narrow"/>
                <w:bCs/>
                <w:sz w:val="20"/>
                <w:szCs w:val="22"/>
                <w:u w:val="single"/>
                <w:lang w:eastAsia="en-US"/>
              </w:rPr>
              <w:t xml:space="preserve">Daratumumab </w:t>
            </w:r>
            <w:r w:rsidR="00C9703D" w:rsidRPr="002A770B">
              <w:rPr>
                <w:rFonts w:ascii="Arial Narrow" w:eastAsia="Calibri" w:hAnsi="Arial Narrow"/>
                <w:bCs/>
                <w:sz w:val="20"/>
                <w:szCs w:val="22"/>
                <w:u w:val="single"/>
                <w:lang w:eastAsia="en-US"/>
              </w:rPr>
              <w:t>SC + CyBorD</w:t>
            </w:r>
            <w:r w:rsidR="001F275B" w:rsidRPr="002A770B">
              <w:rPr>
                <w:rFonts w:ascii="Arial Narrow" w:eastAsia="Calibri" w:hAnsi="Arial Narrow"/>
                <w:bCs/>
                <w:sz w:val="20"/>
                <w:szCs w:val="22"/>
                <w:u w:val="single"/>
                <w:lang w:eastAsia="en-US"/>
              </w:rPr>
              <w:t xml:space="preserve"> vs. MDex</w:t>
            </w:r>
          </w:p>
          <w:p w14:paraId="5862763A" w14:textId="77777777" w:rsidR="001F275B" w:rsidRPr="002A770B" w:rsidRDefault="001F275B" w:rsidP="00C23B0E">
            <w:pPr>
              <w:pStyle w:val="TableText0"/>
              <w:keepLines/>
              <w:rPr>
                <w:rFonts w:eastAsia="Calibri" w:cs="Arial"/>
                <w:szCs w:val="22"/>
                <w:lang w:eastAsia="en-US"/>
              </w:rPr>
            </w:pPr>
            <w:r w:rsidRPr="002A770B">
              <w:rPr>
                <w:rFonts w:eastAsia="Calibri"/>
                <w:bCs w:val="0"/>
                <w:szCs w:val="22"/>
                <w:u w:val="single"/>
                <w:lang w:eastAsia="en-US"/>
              </w:rPr>
              <w:t>Efficacy:</w:t>
            </w:r>
            <w:r w:rsidRPr="002A770B">
              <w:rPr>
                <w:rFonts w:eastAsia="Calibri" w:cs="Arial"/>
                <w:szCs w:val="22"/>
                <w:lang w:eastAsia="en-US"/>
              </w:rPr>
              <w:t xml:space="preserve"> Compared with MDex, daratumumab SC + CyBorD demonstrates superior comparative efficacy based on CR, MOD-PFS and OS. </w:t>
            </w:r>
          </w:p>
          <w:p w14:paraId="545E6B15" w14:textId="77777777" w:rsidR="001F275B" w:rsidRPr="002A770B" w:rsidRDefault="001F275B" w:rsidP="00C23B0E">
            <w:pPr>
              <w:pStyle w:val="TableText0"/>
              <w:keepLines/>
            </w:pPr>
            <w:r w:rsidRPr="002A770B">
              <w:rPr>
                <w:rFonts w:eastAsia="Calibri" w:cs="Arial"/>
                <w:szCs w:val="22"/>
                <w:u w:val="single"/>
                <w:lang w:eastAsia="en-US"/>
              </w:rPr>
              <w:t>Safety:</w:t>
            </w:r>
            <w:r w:rsidRPr="002A770B">
              <w:rPr>
                <w:rFonts w:eastAsia="Calibri" w:cs="Arial"/>
                <w:szCs w:val="22"/>
                <w:lang w:eastAsia="en-US"/>
              </w:rPr>
              <w:t xml:space="preserve"> There are limited data to permit comparison of the safety profiles of daratumumab SC + CyBorD and MDex.</w:t>
            </w:r>
          </w:p>
        </w:tc>
      </w:tr>
    </w:tbl>
    <w:p w14:paraId="1839EFA6" w14:textId="77777777" w:rsidR="001F275B" w:rsidRDefault="001F275B" w:rsidP="00C23B0E">
      <w:pPr>
        <w:pStyle w:val="TableFigureFooter"/>
        <w:keepNext/>
        <w:keepLines/>
      </w:pPr>
      <w:r>
        <w:t>Source: Table 1-1, p 11 of the submission</w:t>
      </w:r>
    </w:p>
    <w:p w14:paraId="01AB6609" w14:textId="77777777" w:rsidR="003A0AB1" w:rsidRDefault="001F275B" w:rsidP="006B72F9">
      <w:pPr>
        <w:pStyle w:val="TableFigureFooter"/>
        <w:keepLines/>
      </w:pPr>
      <w:r>
        <w:t>AL =</w:t>
      </w:r>
      <w:r w:rsidRPr="00EA1091">
        <w:t xml:space="preserve"> </w:t>
      </w:r>
      <w:r>
        <w:t>l</w:t>
      </w:r>
      <w:r w:rsidRPr="00EA1091">
        <w:t>ight-chain</w:t>
      </w:r>
      <w:r>
        <w:t xml:space="preserve">; </w:t>
      </w:r>
      <w:r w:rsidRPr="00EA1091">
        <w:t>AEs = adverse events;</w:t>
      </w:r>
      <w:r>
        <w:t xml:space="preserve"> CR = complete response;</w:t>
      </w:r>
      <w:r w:rsidRPr="00EA1091">
        <w:t xml:space="preserve"> CyBorD = bortezomib, cyclophosphamide and dexamethasone; </w:t>
      </w:r>
      <w:r>
        <w:t>IV = intravenous; MDex =</w:t>
      </w:r>
      <w:r w:rsidRPr="00EA1091">
        <w:t xml:space="preserve"> </w:t>
      </w:r>
      <w:r>
        <w:t>m</w:t>
      </w:r>
      <w:r w:rsidRPr="00EA1091">
        <w:t>elphalan in combination with dexamethasone</w:t>
      </w:r>
      <w:r>
        <w:t>; MOD</w:t>
      </w:r>
      <w:r w:rsidRPr="00EA1091">
        <w:t>-PFS = major organ deterioration</w:t>
      </w:r>
      <w:r w:rsidR="001D15CF">
        <w:t xml:space="preserve"> progression-free survival</w:t>
      </w:r>
      <w:r>
        <w:t>; OS = overall survival; SC = subcutaneous.</w:t>
      </w:r>
    </w:p>
    <w:p w14:paraId="277619A0" w14:textId="77777777" w:rsidR="005C25FF" w:rsidRPr="00407F2D" w:rsidRDefault="005C25FF" w:rsidP="006B72F9">
      <w:pPr>
        <w:pStyle w:val="2-SectionHeading"/>
      </w:pPr>
      <w:bookmarkStart w:id="3" w:name="_Toc82436600"/>
      <w:r w:rsidRPr="00407F2D">
        <w:t>Background</w:t>
      </w:r>
      <w:bookmarkEnd w:id="3"/>
    </w:p>
    <w:p w14:paraId="78C1C4FF" w14:textId="77777777" w:rsidR="005C25FF" w:rsidRPr="004151CF" w:rsidRDefault="005C25FF" w:rsidP="006B72F9">
      <w:pPr>
        <w:pStyle w:val="4-SubsectionHeading"/>
      </w:pPr>
      <w:bookmarkStart w:id="4" w:name="_Toc22897638"/>
      <w:bookmarkStart w:id="5" w:name="_Toc82436601"/>
      <w:r w:rsidRPr="004151CF">
        <w:t>Registration status</w:t>
      </w:r>
      <w:bookmarkEnd w:id="4"/>
      <w:bookmarkEnd w:id="5"/>
    </w:p>
    <w:p w14:paraId="3CAF727B" w14:textId="77777777" w:rsidR="007F5820" w:rsidRPr="006F2DBA" w:rsidRDefault="001F275B" w:rsidP="006B72F9">
      <w:pPr>
        <w:pStyle w:val="3-BodyText"/>
        <w:keepNext/>
      </w:pPr>
      <w:bookmarkStart w:id="6" w:name="_Toc22897639"/>
      <w:r w:rsidRPr="006F2DBA">
        <w:t xml:space="preserve">The submission was made under the TGA/PBAC Parallel Process. At the time of evaluation for PBAC consideration, the TGA’s Delegates Overview </w:t>
      </w:r>
      <w:r w:rsidR="00E16D5A" w:rsidRPr="006F2DBA">
        <w:t xml:space="preserve">and ACM minutes </w:t>
      </w:r>
      <w:r w:rsidR="00E16D5A" w:rsidRPr="006F2DBA">
        <w:lastRenderedPageBreak/>
        <w:t xml:space="preserve">were </w:t>
      </w:r>
      <w:r w:rsidRPr="006F2DBA">
        <w:t xml:space="preserve">available. </w:t>
      </w:r>
      <w:r w:rsidR="007F5820" w:rsidRPr="006F2DBA">
        <w:t xml:space="preserve">Daratumumab SC was approved for registration by the TGA </w:t>
      </w:r>
      <w:r w:rsidR="00455738" w:rsidRPr="006F2DBA">
        <w:t xml:space="preserve">on </w:t>
      </w:r>
      <w:r w:rsidR="007F5820" w:rsidRPr="006F2DBA">
        <w:t>6</w:t>
      </w:r>
      <w:r w:rsidR="00E8677D">
        <w:t> </w:t>
      </w:r>
      <w:r w:rsidR="007F5820" w:rsidRPr="006F2DBA">
        <w:t>October 2021 for the following indication:</w:t>
      </w:r>
    </w:p>
    <w:p w14:paraId="31C7BEAA" w14:textId="77777777" w:rsidR="001F275B" w:rsidRPr="006F2DBA" w:rsidRDefault="007F5820" w:rsidP="007F5820">
      <w:pPr>
        <w:pStyle w:val="3-BodyText"/>
        <w:keepNext/>
        <w:numPr>
          <w:ilvl w:val="0"/>
          <w:numId w:val="0"/>
        </w:numPr>
        <w:ind w:left="1440"/>
      </w:pPr>
      <w:r w:rsidRPr="006F2DBA">
        <w:t>‘in combination with bortezomib, cyclophosphamide and dexamethasone, for the treatment of patients with light chain AL amyloidosis’</w:t>
      </w:r>
    </w:p>
    <w:p w14:paraId="56EA3B66" w14:textId="77777777" w:rsidR="00117D9F" w:rsidRPr="006F2DBA" w:rsidRDefault="001F275B" w:rsidP="00117D9F">
      <w:pPr>
        <w:pStyle w:val="3-BodyText"/>
        <w:rPr>
          <w:snapToGrid/>
        </w:rPr>
      </w:pPr>
      <w:r w:rsidRPr="006F2DBA">
        <w:rPr>
          <w:snapToGrid/>
        </w:rPr>
        <w:t>Bortezomib is not TGA indicated for use in patients with AL amyloidosis.</w:t>
      </w:r>
      <w:r w:rsidR="004A1B07" w:rsidRPr="006F2DBA">
        <w:rPr>
          <w:snapToGrid/>
        </w:rPr>
        <w:t xml:space="preserve"> The submission stated that the sponsor does not intend to seek TGA approval for bortezomib to be used in patients with AL amyloidosis because the sponsor does not have access to the trial data reported by Kastritis et a</w:t>
      </w:r>
      <w:r w:rsidR="008A7054" w:rsidRPr="006F2DBA">
        <w:rPr>
          <w:snapToGrid/>
        </w:rPr>
        <w:t>l</w:t>
      </w:r>
      <w:r w:rsidR="004A1B07" w:rsidRPr="006F2DBA">
        <w:rPr>
          <w:snapToGrid/>
        </w:rPr>
        <w:t>. 2020 and because there are no further confirmatory studies for bortezomib in AL amyloidosis.</w:t>
      </w:r>
    </w:p>
    <w:p w14:paraId="72F5A85F" w14:textId="77777777" w:rsidR="005C25FF" w:rsidRPr="00621ADA" w:rsidRDefault="005C25FF" w:rsidP="004E18E9">
      <w:pPr>
        <w:pStyle w:val="4-SubsectionHeading"/>
      </w:pPr>
      <w:bookmarkStart w:id="7" w:name="_Toc82436602"/>
      <w:r w:rsidRPr="00621ADA">
        <w:t>Previous PBAC consideration</w:t>
      </w:r>
      <w:bookmarkEnd w:id="6"/>
      <w:bookmarkEnd w:id="7"/>
    </w:p>
    <w:p w14:paraId="55492911" w14:textId="77777777" w:rsidR="001F275B" w:rsidRDefault="001F275B" w:rsidP="001F275B">
      <w:pPr>
        <w:pStyle w:val="3-BodyText"/>
        <w:rPr>
          <w:snapToGrid/>
          <w:lang w:val="en-US"/>
        </w:rPr>
      </w:pPr>
      <w:r w:rsidRPr="001F275B">
        <w:rPr>
          <w:snapToGrid/>
          <w:lang w:val="en-US"/>
        </w:rPr>
        <w:t>The PBAC has previously considered and recommended (July 2020) daratumumab (intravenous infusion) in combination with bortezomib and dexamethasone for relapsed/refractory (second line) multiple myeloma</w:t>
      </w:r>
      <w:r w:rsidR="005E00C3">
        <w:rPr>
          <w:snapToGrid/>
          <w:lang w:val="en-US"/>
        </w:rPr>
        <w:t xml:space="preserve"> (RRMM)</w:t>
      </w:r>
      <w:r w:rsidRPr="001F275B">
        <w:rPr>
          <w:snapToGrid/>
          <w:lang w:val="en-US"/>
        </w:rPr>
        <w:t xml:space="preserve">. Daratumumab SC </w:t>
      </w:r>
      <w:r w:rsidR="007270E9">
        <w:rPr>
          <w:snapToGrid/>
          <w:lang w:val="en-US"/>
        </w:rPr>
        <w:t>for RRMM was recommended by the PBAC at</w:t>
      </w:r>
      <w:r w:rsidRPr="001F275B">
        <w:rPr>
          <w:snapToGrid/>
          <w:lang w:val="en-US"/>
        </w:rPr>
        <w:t xml:space="preserve"> July 2021 meeting.</w:t>
      </w:r>
    </w:p>
    <w:p w14:paraId="72B94205" w14:textId="77777777" w:rsidR="00644EA3" w:rsidRDefault="00644EA3" w:rsidP="00644EA3">
      <w:pPr>
        <w:pStyle w:val="3-BodyText"/>
        <w:rPr>
          <w:lang w:val="en-US"/>
        </w:rPr>
      </w:pPr>
      <w:r>
        <w:rPr>
          <w:lang w:val="en-US"/>
        </w:rPr>
        <w:t xml:space="preserve">The PBAC has not previously considered daratumumab SC for AL amyloidosis. This is the first submission to the PBAC from any sponsor for AL amyloidosis. </w:t>
      </w:r>
    </w:p>
    <w:p w14:paraId="4826B9A5" w14:textId="77777777" w:rsidR="006F2DBA" w:rsidRPr="006F2DBA" w:rsidRDefault="006F2DBA" w:rsidP="006F2DBA">
      <w:pPr>
        <w:pStyle w:val="3-BodyText"/>
        <w:numPr>
          <w:ilvl w:val="0"/>
          <w:numId w:val="0"/>
        </w:numPr>
        <w:ind w:left="720"/>
        <w:rPr>
          <w:i/>
          <w:iCs/>
          <w:lang w:val="en-US"/>
        </w:rPr>
      </w:pPr>
      <w:r w:rsidRPr="006F2DBA">
        <w:rPr>
          <w:i/>
          <w:iCs/>
          <w:lang w:val="en-US"/>
        </w:rPr>
        <w:t>For more detail on PBAC’s view, see section 7 PBAC outcome.</w:t>
      </w:r>
    </w:p>
    <w:p w14:paraId="10ACC44A" w14:textId="77777777" w:rsidR="00B60939" w:rsidRDefault="00B50DB8" w:rsidP="008A7054">
      <w:pPr>
        <w:pStyle w:val="2-SectionHeading"/>
        <w:widowControl w:val="0"/>
      </w:pPr>
      <w:bookmarkStart w:id="8" w:name="_Toc82436603"/>
      <w:r w:rsidRPr="00407F2D">
        <w:t>Requested listing</w:t>
      </w:r>
      <w:bookmarkEnd w:id="8"/>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44"/>
        <w:gridCol w:w="567"/>
        <w:gridCol w:w="1204"/>
        <w:gridCol w:w="496"/>
        <w:gridCol w:w="431"/>
        <w:gridCol w:w="1208"/>
        <w:gridCol w:w="1062"/>
        <w:gridCol w:w="578"/>
        <w:gridCol w:w="1637"/>
      </w:tblGrid>
      <w:tr w:rsidR="001F275B" w:rsidRPr="007075FF" w14:paraId="06E01AAA" w14:textId="77777777" w:rsidTr="004507D4">
        <w:trPr>
          <w:cantSplit/>
        </w:trPr>
        <w:tc>
          <w:tcPr>
            <w:tcW w:w="1335" w:type="pct"/>
            <w:gridSpan w:val="2"/>
            <w:tcBorders>
              <w:bottom w:val="single" w:sz="4" w:space="0" w:color="auto"/>
            </w:tcBorders>
          </w:tcPr>
          <w:p w14:paraId="4EF2FA16" w14:textId="77777777" w:rsidR="001F275B" w:rsidRPr="007075FF" w:rsidRDefault="001F275B" w:rsidP="008A7054">
            <w:pPr>
              <w:keepNext/>
              <w:keepLines/>
              <w:widowControl w:val="0"/>
              <w:jc w:val="left"/>
              <w:rPr>
                <w:rFonts w:ascii="Arial Narrow" w:hAnsi="Arial Narrow"/>
                <w:b/>
                <w:sz w:val="20"/>
                <w:szCs w:val="20"/>
              </w:rPr>
            </w:pPr>
            <w:r w:rsidRPr="007075FF">
              <w:rPr>
                <w:rFonts w:ascii="Arial Narrow" w:hAnsi="Arial Narrow"/>
                <w:b/>
                <w:sz w:val="20"/>
                <w:szCs w:val="20"/>
              </w:rPr>
              <w:t>Name, restriction, manner of administration, form</w:t>
            </w:r>
          </w:p>
        </w:tc>
        <w:tc>
          <w:tcPr>
            <w:tcW w:w="667" w:type="pct"/>
            <w:tcBorders>
              <w:bottom w:val="single" w:sz="4" w:space="0" w:color="auto"/>
            </w:tcBorders>
          </w:tcPr>
          <w:p w14:paraId="5A710877" w14:textId="77777777" w:rsidR="001F275B" w:rsidRPr="007075FF" w:rsidRDefault="001F275B" w:rsidP="008A7054">
            <w:pPr>
              <w:keepNext/>
              <w:keepLines/>
              <w:widowControl w:val="0"/>
              <w:jc w:val="center"/>
              <w:rPr>
                <w:rFonts w:ascii="Arial Narrow" w:hAnsi="Arial Narrow"/>
                <w:b/>
                <w:sz w:val="20"/>
                <w:szCs w:val="20"/>
              </w:rPr>
            </w:pPr>
            <w:r w:rsidRPr="007075FF">
              <w:rPr>
                <w:rFonts w:ascii="Arial Narrow" w:hAnsi="Arial Narrow"/>
                <w:b/>
                <w:sz w:val="20"/>
                <w:szCs w:val="20"/>
              </w:rPr>
              <w:t xml:space="preserve">Maximum amount </w:t>
            </w:r>
          </w:p>
        </w:tc>
        <w:tc>
          <w:tcPr>
            <w:tcW w:w="513" w:type="pct"/>
            <w:gridSpan w:val="2"/>
            <w:tcBorders>
              <w:bottom w:val="single" w:sz="4" w:space="0" w:color="auto"/>
            </w:tcBorders>
          </w:tcPr>
          <w:p w14:paraId="3D5E9B57" w14:textId="77777777" w:rsidR="001F275B" w:rsidRPr="007075FF" w:rsidRDefault="001F275B" w:rsidP="008A7054">
            <w:pPr>
              <w:keepNext/>
              <w:keepLines/>
              <w:widowControl w:val="0"/>
              <w:jc w:val="center"/>
              <w:rPr>
                <w:rFonts w:ascii="Arial Narrow" w:hAnsi="Arial Narrow"/>
                <w:b/>
                <w:sz w:val="20"/>
                <w:szCs w:val="20"/>
              </w:rPr>
            </w:pPr>
            <w:r w:rsidRPr="007075FF">
              <w:rPr>
                <w:rFonts w:ascii="Arial Narrow" w:hAnsi="Arial Narrow"/>
                <w:b/>
                <w:sz w:val="20"/>
                <w:szCs w:val="20"/>
              </w:rPr>
              <w:t>No. of repeats</w:t>
            </w:r>
          </w:p>
        </w:tc>
        <w:tc>
          <w:tcPr>
            <w:tcW w:w="1257" w:type="pct"/>
            <w:gridSpan w:val="2"/>
            <w:tcBorders>
              <w:bottom w:val="single" w:sz="4" w:space="0" w:color="auto"/>
            </w:tcBorders>
          </w:tcPr>
          <w:p w14:paraId="717A37D6" w14:textId="77777777" w:rsidR="001F275B" w:rsidRPr="007075FF" w:rsidRDefault="001F275B" w:rsidP="008A7054">
            <w:pPr>
              <w:keepNext/>
              <w:keepLines/>
              <w:widowControl w:val="0"/>
              <w:jc w:val="left"/>
              <w:rPr>
                <w:rFonts w:ascii="Arial Narrow" w:hAnsi="Arial Narrow"/>
                <w:b/>
                <w:sz w:val="20"/>
                <w:szCs w:val="20"/>
              </w:rPr>
            </w:pPr>
            <w:r w:rsidRPr="007075FF">
              <w:rPr>
                <w:rFonts w:ascii="Arial Narrow" w:hAnsi="Arial Narrow"/>
                <w:b/>
                <w:sz w:val="20"/>
                <w:szCs w:val="20"/>
              </w:rPr>
              <w:t>Dispensed price for maximum amount</w:t>
            </w:r>
          </w:p>
        </w:tc>
        <w:tc>
          <w:tcPr>
            <w:tcW w:w="1227" w:type="pct"/>
            <w:gridSpan w:val="2"/>
            <w:tcBorders>
              <w:bottom w:val="single" w:sz="4" w:space="0" w:color="auto"/>
            </w:tcBorders>
          </w:tcPr>
          <w:p w14:paraId="78BD07C5" w14:textId="77777777" w:rsidR="001F275B" w:rsidRPr="007075FF" w:rsidRDefault="001F275B" w:rsidP="008A7054">
            <w:pPr>
              <w:keepNext/>
              <w:keepLines/>
              <w:widowControl w:val="0"/>
              <w:rPr>
                <w:rFonts w:ascii="Arial Narrow" w:hAnsi="Arial Narrow"/>
                <w:b/>
                <w:sz w:val="20"/>
                <w:szCs w:val="20"/>
              </w:rPr>
            </w:pPr>
            <w:r w:rsidRPr="007075FF">
              <w:rPr>
                <w:rFonts w:ascii="Arial Narrow" w:hAnsi="Arial Narrow"/>
                <w:b/>
                <w:sz w:val="20"/>
                <w:szCs w:val="20"/>
              </w:rPr>
              <w:t>Proprietary name and manufacturer</w:t>
            </w:r>
          </w:p>
        </w:tc>
      </w:tr>
      <w:tr w:rsidR="0076555E" w:rsidRPr="007075FF" w14:paraId="606FA1FC" w14:textId="77777777" w:rsidTr="004507D4">
        <w:trPr>
          <w:cantSplit/>
        </w:trPr>
        <w:tc>
          <w:tcPr>
            <w:tcW w:w="5000" w:type="pct"/>
            <w:gridSpan w:val="9"/>
            <w:tcBorders>
              <w:top w:val="single" w:sz="4" w:space="0" w:color="auto"/>
              <w:bottom w:val="single" w:sz="4" w:space="0" w:color="auto"/>
            </w:tcBorders>
          </w:tcPr>
          <w:p w14:paraId="5E6B963E" w14:textId="77777777" w:rsidR="0076555E" w:rsidRPr="0076555E" w:rsidRDefault="0076555E" w:rsidP="008A7054">
            <w:pPr>
              <w:keepNext/>
              <w:keepLines/>
              <w:widowControl w:val="0"/>
              <w:rPr>
                <w:rFonts w:ascii="Arial Narrow" w:hAnsi="Arial Narrow"/>
                <w:b/>
                <w:sz w:val="20"/>
                <w:szCs w:val="20"/>
              </w:rPr>
            </w:pPr>
            <w:r w:rsidRPr="0076555E">
              <w:rPr>
                <w:rFonts w:ascii="Arial Narrow" w:hAnsi="Arial Narrow"/>
                <w:b/>
                <w:sz w:val="20"/>
                <w:szCs w:val="20"/>
              </w:rPr>
              <w:t>Daratumumab</w:t>
            </w:r>
            <w:r w:rsidR="00114BB1">
              <w:rPr>
                <w:rFonts w:ascii="Arial Narrow" w:hAnsi="Arial Narrow"/>
                <w:b/>
                <w:sz w:val="20"/>
                <w:szCs w:val="20"/>
              </w:rPr>
              <w:t xml:space="preserve"> SC</w:t>
            </w:r>
          </w:p>
        </w:tc>
      </w:tr>
      <w:tr w:rsidR="004507D4" w:rsidRPr="007075FF" w14:paraId="60DA96AB" w14:textId="77777777" w:rsidTr="004507D4">
        <w:trPr>
          <w:cantSplit/>
          <w:trHeight w:val="20"/>
        </w:trPr>
        <w:tc>
          <w:tcPr>
            <w:tcW w:w="2516" w:type="pct"/>
            <w:gridSpan w:val="5"/>
            <w:tcBorders>
              <w:top w:val="single" w:sz="4" w:space="0" w:color="auto"/>
              <w:left w:val="nil"/>
              <w:bottom w:val="nil"/>
              <w:right w:val="nil"/>
            </w:tcBorders>
          </w:tcPr>
          <w:p w14:paraId="35A63C1B" w14:textId="77777777" w:rsidR="004507D4" w:rsidRDefault="004507D4" w:rsidP="008A7054">
            <w:pPr>
              <w:pStyle w:val="Tabletext"/>
              <w:keepNext/>
              <w:keepLines/>
              <w:widowControl w:val="0"/>
              <w:rPr>
                <w:szCs w:val="20"/>
              </w:rPr>
            </w:pPr>
            <w:r w:rsidRPr="0076555E">
              <w:rPr>
                <w:szCs w:val="20"/>
              </w:rPr>
              <w:t xml:space="preserve">Initial treatment </w:t>
            </w:r>
            <w:r>
              <w:rPr>
                <w:szCs w:val="20"/>
              </w:rPr>
              <w:t>+ Grandfather treatment</w:t>
            </w:r>
          </w:p>
          <w:p w14:paraId="455C9F71" w14:textId="77777777" w:rsidR="004507D4" w:rsidRDefault="004507D4" w:rsidP="008A7054">
            <w:pPr>
              <w:pStyle w:val="Tabletext"/>
              <w:keepNext/>
              <w:keepLines/>
              <w:widowControl w:val="0"/>
              <w:rPr>
                <w:szCs w:val="20"/>
              </w:rPr>
            </w:pPr>
            <w:r w:rsidRPr="0076555E">
              <w:rPr>
                <w:szCs w:val="20"/>
              </w:rPr>
              <w:t>(1-8 weeks, administered once weekly)</w:t>
            </w:r>
          </w:p>
        </w:tc>
        <w:tc>
          <w:tcPr>
            <w:tcW w:w="1257" w:type="pct"/>
            <w:gridSpan w:val="2"/>
            <w:vMerge w:val="restart"/>
            <w:tcBorders>
              <w:top w:val="single" w:sz="4" w:space="0" w:color="auto"/>
              <w:left w:val="nil"/>
              <w:bottom w:val="single" w:sz="4" w:space="0" w:color="auto"/>
              <w:right w:val="nil"/>
            </w:tcBorders>
            <w:vAlign w:val="center"/>
          </w:tcPr>
          <w:p w14:paraId="0D5D7E68" w14:textId="77777777" w:rsidR="004507D4" w:rsidRDefault="004507D4" w:rsidP="004507D4">
            <w:pPr>
              <w:pStyle w:val="Tabletext"/>
              <w:keepNext/>
              <w:keepLines/>
              <w:widowControl w:val="0"/>
              <w:jc w:val="center"/>
              <w:rPr>
                <w:szCs w:val="20"/>
              </w:rPr>
            </w:pPr>
            <w:r>
              <w:rPr>
                <w:szCs w:val="20"/>
              </w:rPr>
              <w:t>Section 100 HSD</w:t>
            </w:r>
          </w:p>
          <w:p w14:paraId="56C712C7" w14:textId="77777777" w:rsidR="004507D4" w:rsidRPr="0076555E" w:rsidRDefault="004507D4" w:rsidP="004507D4">
            <w:pPr>
              <w:pStyle w:val="Tabletext"/>
              <w:keepNext/>
              <w:keepLines/>
              <w:widowControl w:val="0"/>
              <w:jc w:val="center"/>
              <w:rPr>
                <w:szCs w:val="20"/>
              </w:rPr>
            </w:pPr>
            <w:r w:rsidRPr="0076555E">
              <w:rPr>
                <w:szCs w:val="20"/>
              </w:rPr>
              <w:t>Published price:</w:t>
            </w:r>
          </w:p>
          <w:p w14:paraId="2E284292" w14:textId="77777777" w:rsidR="004507D4" w:rsidRPr="0076555E" w:rsidRDefault="004507D4" w:rsidP="004507D4">
            <w:pPr>
              <w:pStyle w:val="Tabletext"/>
              <w:keepNext/>
              <w:keepLines/>
              <w:widowControl w:val="0"/>
              <w:jc w:val="center"/>
              <w:rPr>
                <w:szCs w:val="20"/>
              </w:rPr>
            </w:pPr>
            <w:r w:rsidRPr="0076555E">
              <w:rPr>
                <w:szCs w:val="20"/>
              </w:rPr>
              <w:t>Public hospital: $7,010.28</w:t>
            </w:r>
          </w:p>
          <w:p w14:paraId="598EB28E" w14:textId="77777777" w:rsidR="004507D4" w:rsidRPr="0076555E" w:rsidRDefault="004507D4" w:rsidP="004507D4">
            <w:pPr>
              <w:pStyle w:val="Tabletext"/>
              <w:keepNext/>
              <w:keepLines/>
              <w:widowControl w:val="0"/>
              <w:jc w:val="center"/>
              <w:rPr>
                <w:szCs w:val="20"/>
              </w:rPr>
            </w:pPr>
            <w:r w:rsidRPr="0076555E">
              <w:rPr>
                <w:szCs w:val="20"/>
              </w:rPr>
              <w:t>Private hospital: $7,058.02</w:t>
            </w:r>
          </w:p>
          <w:p w14:paraId="5264D16B" w14:textId="77777777" w:rsidR="004507D4" w:rsidRPr="0076555E" w:rsidRDefault="004507D4" w:rsidP="004507D4">
            <w:pPr>
              <w:pStyle w:val="Tabletext"/>
              <w:keepNext/>
              <w:keepLines/>
              <w:widowControl w:val="0"/>
              <w:jc w:val="center"/>
              <w:rPr>
                <w:szCs w:val="20"/>
              </w:rPr>
            </w:pPr>
            <w:r w:rsidRPr="0076555E">
              <w:rPr>
                <w:szCs w:val="20"/>
              </w:rPr>
              <w:t>Effective price:</w:t>
            </w:r>
          </w:p>
          <w:p w14:paraId="00C2DBED" w14:textId="77777777" w:rsidR="004507D4" w:rsidRPr="0076555E" w:rsidRDefault="004507D4" w:rsidP="004507D4">
            <w:pPr>
              <w:pStyle w:val="Tabletext"/>
              <w:keepNext/>
              <w:keepLines/>
              <w:widowControl w:val="0"/>
              <w:jc w:val="center"/>
              <w:rPr>
                <w:szCs w:val="20"/>
              </w:rPr>
            </w:pPr>
            <w:r w:rsidRPr="0076555E">
              <w:rPr>
                <w:szCs w:val="20"/>
              </w:rPr>
              <w:t>Public hospital: $</w:t>
            </w:r>
            <w:r w:rsidR="008E6972">
              <w:rPr>
                <w:noProof/>
                <w:color w:val="000000"/>
                <w:szCs w:val="20"/>
                <w:highlight w:val="black"/>
              </w:rPr>
              <w:t>'''''''''''''''''''''''</w:t>
            </w:r>
          </w:p>
          <w:p w14:paraId="4E7BD5B5" w14:textId="77777777" w:rsidR="004507D4" w:rsidRDefault="004507D4" w:rsidP="004507D4">
            <w:pPr>
              <w:pStyle w:val="Tabletext"/>
              <w:keepNext/>
              <w:keepLines/>
              <w:widowControl w:val="0"/>
              <w:jc w:val="center"/>
              <w:rPr>
                <w:szCs w:val="20"/>
              </w:rPr>
            </w:pPr>
            <w:r w:rsidRPr="0076555E">
              <w:rPr>
                <w:szCs w:val="20"/>
              </w:rPr>
              <w:t>Private hospital: $</w:t>
            </w:r>
            <w:r w:rsidR="008E6972">
              <w:rPr>
                <w:noProof/>
                <w:color w:val="000000"/>
                <w:szCs w:val="20"/>
                <w:highlight w:val="black"/>
              </w:rPr>
              <w:t>'''''''''''''''''''''''</w:t>
            </w:r>
          </w:p>
        </w:tc>
        <w:tc>
          <w:tcPr>
            <w:tcW w:w="1227" w:type="pct"/>
            <w:gridSpan w:val="2"/>
            <w:vMerge w:val="restart"/>
            <w:tcBorders>
              <w:top w:val="single" w:sz="4" w:space="0" w:color="auto"/>
              <w:left w:val="nil"/>
              <w:bottom w:val="single" w:sz="4" w:space="0" w:color="auto"/>
              <w:right w:val="nil"/>
            </w:tcBorders>
            <w:vAlign w:val="center"/>
          </w:tcPr>
          <w:p w14:paraId="7FC26CF3" w14:textId="77777777" w:rsidR="004507D4" w:rsidRPr="0076555E" w:rsidRDefault="004507D4" w:rsidP="004507D4">
            <w:pPr>
              <w:pStyle w:val="Tabletext"/>
              <w:keepNext/>
              <w:keepLines/>
              <w:widowControl w:val="0"/>
              <w:jc w:val="center"/>
              <w:rPr>
                <w:szCs w:val="20"/>
              </w:rPr>
            </w:pPr>
            <w:r w:rsidRPr="0076555E">
              <w:rPr>
                <w:szCs w:val="20"/>
              </w:rPr>
              <w:t>DARZALEX</w:t>
            </w:r>
            <w:r>
              <w:rPr>
                <w:szCs w:val="20"/>
              </w:rPr>
              <w:t xml:space="preserve"> SC</w:t>
            </w:r>
            <w:r w:rsidRPr="0076555E">
              <w:rPr>
                <w:szCs w:val="20"/>
                <w:vertAlign w:val="superscript"/>
              </w:rPr>
              <w:t>®</w:t>
            </w:r>
            <w:r w:rsidRPr="0076555E">
              <w:rPr>
                <w:szCs w:val="20"/>
              </w:rPr>
              <w:t>, Janssen</w:t>
            </w:r>
            <w:r w:rsidRPr="0076555E">
              <w:rPr>
                <w:szCs w:val="20"/>
              </w:rPr>
              <w:noBreakHyphen/>
              <w:t>Cilag Pty Ltd</w:t>
            </w:r>
          </w:p>
        </w:tc>
      </w:tr>
      <w:tr w:rsidR="004507D4" w:rsidRPr="007075FF" w14:paraId="583DD9AA" w14:textId="77777777" w:rsidTr="004507D4">
        <w:trPr>
          <w:cantSplit/>
          <w:trHeight w:val="408"/>
        </w:trPr>
        <w:tc>
          <w:tcPr>
            <w:tcW w:w="1335" w:type="pct"/>
            <w:gridSpan w:val="2"/>
            <w:tcBorders>
              <w:top w:val="nil"/>
              <w:bottom w:val="nil"/>
            </w:tcBorders>
            <w:vAlign w:val="center"/>
          </w:tcPr>
          <w:p w14:paraId="3CD309A5" w14:textId="77777777" w:rsidR="004507D4" w:rsidRPr="0076555E" w:rsidRDefault="004507D4" w:rsidP="004507D4">
            <w:pPr>
              <w:pStyle w:val="Tabletext"/>
              <w:keepNext/>
              <w:keepLines/>
              <w:widowControl w:val="0"/>
              <w:rPr>
                <w:szCs w:val="20"/>
              </w:rPr>
            </w:pPr>
            <w:r w:rsidRPr="0076555E">
              <w:rPr>
                <w:szCs w:val="20"/>
              </w:rPr>
              <w:t>Daratumumab</w:t>
            </w:r>
            <w:r>
              <w:rPr>
                <w:szCs w:val="20"/>
              </w:rPr>
              <w:t>, s</w:t>
            </w:r>
            <w:r w:rsidRPr="0076555E">
              <w:rPr>
                <w:szCs w:val="20"/>
              </w:rPr>
              <w:t>ubcutaneous vial 1800 mg</w:t>
            </w:r>
          </w:p>
        </w:tc>
        <w:tc>
          <w:tcPr>
            <w:tcW w:w="667" w:type="pct"/>
            <w:tcBorders>
              <w:top w:val="nil"/>
              <w:bottom w:val="nil"/>
            </w:tcBorders>
            <w:vAlign w:val="center"/>
          </w:tcPr>
          <w:p w14:paraId="0725CB86" w14:textId="77777777" w:rsidR="004507D4" w:rsidRPr="0076555E" w:rsidRDefault="004507D4" w:rsidP="008A7054">
            <w:pPr>
              <w:pStyle w:val="Tabletext"/>
              <w:keepNext/>
              <w:keepLines/>
              <w:widowControl w:val="0"/>
              <w:jc w:val="center"/>
              <w:rPr>
                <w:szCs w:val="20"/>
              </w:rPr>
            </w:pPr>
            <w:r w:rsidRPr="0076555E">
              <w:rPr>
                <w:szCs w:val="20"/>
              </w:rPr>
              <w:t>1800 mg</w:t>
            </w:r>
          </w:p>
        </w:tc>
        <w:tc>
          <w:tcPr>
            <w:tcW w:w="513" w:type="pct"/>
            <w:gridSpan w:val="2"/>
            <w:tcBorders>
              <w:top w:val="nil"/>
              <w:bottom w:val="nil"/>
              <w:right w:val="nil"/>
            </w:tcBorders>
            <w:vAlign w:val="center"/>
          </w:tcPr>
          <w:p w14:paraId="4FFD7938" w14:textId="77777777" w:rsidR="004507D4" w:rsidRPr="0076555E" w:rsidRDefault="004507D4" w:rsidP="008A7054">
            <w:pPr>
              <w:pStyle w:val="Tabletext"/>
              <w:keepNext/>
              <w:keepLines/>
              <w:widowControl w:val="0"/>
              <w:jc w:val="center"/>
              <w:rPr>
                <w:szCs w:val="20"/>
              </w:rPr>
            </w:pPr>
            <w:r w:rsidRPr="0076555E">
              <w:rPr>
                <w:szCs w:val="20"/>
              </w:rPr>
              <w:t>7</w:t>
            </w:r>
          </w:p>
        </w:tc>
        <w:tc>
          <w:tcPr>
            <w:tcW w:w="1257" w:type="pct"/>
            <w:gridSpan w:val="2"/>
            <w:vMerge/>
            <w:tcBorders>
              <w:top w:val="nil"/>
              <w:left w:val="nil"/>
              <w:bottom w:val="single" w:sz="4" w:space="0" w:color="auto"/>
              <w:right w:val="nil"/>
            </w:tcBorders>
            <w:vAlign w:val="center"/>
          </w:tcPr>
          <w:p w14:paraId="4A203342" w14:textId="77777777" w:rsidR="004507D4" w:rsidRPr="0076555E" w:rsidRDefault="004507D4" w:rsidP="008A7054">
            <w:pPr>
              <w:pStyle w:val="Tabletext"/>
              <w:keepNext/>
              <w:keepLines/>
              <w:widowControl w:val="0"/>
              <w:jc w:val="center"/>
              <w:rPr>
                <w:szCs w:val="20"/>
              </w:rPr>
            </w:pPr>
          </w:p>
        </w:tc>
        <w:tc>
          <w:tcPr>
            <w:tcW w:w="1227" w:type="pct"/>
            <w:gridSpan w:val="2"/>
            <w:vMerge/>
            <w:tcBorders>
              <w:top w:val="nil"/>
              <w:left w:val="nil"/>
              <w:bottom w:val="single" w:sz="4" w:space="0" w:color="auto"/>
              <w:right w:val="nil"/>
            </w:tcBorders>
            <w:vAlign w:val="center"/>
          </w:tcPr>
          <w:p w14:paraId="505B439E" w14:textId="77777777" w:rsidR="004507D4" w:rsidRPr="0076555E" w:rsidRDefault="004507D4" w:rsidP="008A7054">
            <w:pPr>
              <w:pStyle w:val="Tabletext"/>
              <w:keepNext/>
              <w:keepLines/>
              <w:widowControl w:val="0"/>
              <w:jc w:val="center"/>
              <w:rPr>
                <w:szCs w:val="20"/>
              </w:rPr>
            </w:pPr>
          </w:p>
        </w:tc>
      </w:tr>
      <w:tr w:rsidR="004507D4" w:rsidRPr="007075FF" w14:paraId="4C2E82C8" w14:textId="77777777" w:rsidTr="004507D4">
        <w:tc>
          <w:tcPr>
            <w:tcW w:w="2516" w:type="pct"/>
            <w:gridSpan w:val="5"/>
            <w:tcBorders>
              <w:top w:val="nil"/>
              <w:left w:val="nil"/>
              <w:bottom w:val="nil"/>
              <w:right w:val="nil"/>
            </w:tcBorders>
            <w:vAlign w:val="center"/>
          </w:tcPr>
          <w:p w14:paraId="57D443B8" w14:textId="77777777" w:rsidR="004507D4" w:rsidRDefault="004507D4" w:rsidP="004507D4">
            <w:pPr>
              <w:pStyle w:val="Tabletext"/>
              <w:keepNext/>
              <w:keepLines/>
              <w:widowControl w:val="0"/>
              <w:rPr>
                <w:szCs w:val="20"/>
              </w:rPr>
            </w:pPr>
          </w:p>
          <w:p w14:paraId="0536D871" w14:textId="77777777" w:rsidR="004507D4" w:rsidRDefault="004507D4" w:rsidP="004507D4">
            <w:pPr>
              <w:pStyle w:val="Tabletext"/>
              <w:keepNext/>
              <w:keepLines/>
              <w:widowControl w:val="0"/>
              <w:rPr>
                <w:szCs w:val="20"/>
              </w:rPr>
            </w:pPr>
            <w:r>
              <w:rPr>
                <w:szCs w:val="20"/>
              </w:rPr>
              <w:t>Continuing treatment</w:t>
            </w:r>
          </w:p>
          <w:p w14:paraId="241A1E6D" w14:textId="77777777" w:rsidR="004507D4" w:rsidRDefault="004507D4" w:rsidP="004507D4">
            <w:pPr>
              <w:pStyle w:val="Tabletext"/>
              <w:keepNext/>
              <w:keepLines/>
              <w:widowControl w:val="0"/>
              <w:rPr>
                <w:szCs w:val="20"/>
              </w:rPr>
            </w:pPr>
            <w:r w:rsidRPr="0076555E">
              <w:rPr>
                <w:szCs w:val="20"/>
              </w:rPr>
              <w:t>(Weeks 9 to 24, administered once every 2 weeks)</w:t>
            </w:r>
          </w:p>
        </w:tc>
        <w:tc>
          <w:tcPr>
            <w:tcW w:w="1257" w:type="pct"/>
            <w:gridSpan w:val="2"/>
            <w:vMerge/>
            <w:tcBorders>
              <w:top w:val="nil"/>
              <w:left w:val="nil"/>
              <w:bottom w:val="single" w:sz="4" w:space="0" w:color="auto"/>
              <w:right w:val="nil"/>
            </w:tcBorders>
            <w:vAlign w:val="center"/>
          </w:tcPr>
          <w:p w14:paraId="190DF7FE" w14:textId="77777777" w:rsidR="004507D4" w:rsidRPr="0076555E" w:rsidRDefault="004507D4" w:rsidP="004507D4">
            <w:pPr>
              <w:pStyle w:val="Tabletext"/>
              <w:keepNext/>
              <w:keepLines/>
              <w:widowControl w:val="0"/>
              <w:rPr>
                <w:szCs w:val="20"/>
              </w:rPr>
            </w:pPr>
          </w:p>
        </w:tc>
        <w:tc>
          <w:tcPr>
            <w:tcW w:w="1227" w:type="pct"/>
            <w:gridSpan w:val="2"/>
            <w:vMerge/>
            <w:tcBorders>
              <w:top w:val="nil"/>
              <w:left w:val="nil"/>
              <w:bottom w:val="single" w:sz="4" w:space="0" w:color="auto"/>
              <w:right w:val="nil"/>
            </w:tcBorders>
            <w:vAlign w:val="center"/>
          </w:tcPr>
          <w:p w14:paraId="47EF8E2F" w14:textId="77777777" w:rsidR="004507D4" w:rsidRPr="0076555E" w:rsidRDefault="004507D4" w:rsidP="004507D4">
            <w:pPr>
              <w:pStyle w:val="Tabletext"/>
              <w:keepNext/>
              <w:keepLines/>
              <w:widowControl w:val="0"/>
              <w:rPr>
                <w:szCs w:val="20"/>
              </w:rPr>
            </w:pPr>
          </w:p>
        </w:tc>
      </w:tr>
      <w:tr w:rsidR="004507D4" w:rsidRPr="007075FF" w14:paraId="1D966335" w14:textId="77777777" w:rsidTr="004507D4">
        <w:tc>
          <w:tcPr>
            <w:tcW w:w="1335" w:type="pct"/>
            <w:gridSpan w:val="2"/>
            <w:tcBorders>
              <w:top w:val="nil"/>
              <w:bottom w:val="nil"/>
            </w:tcBorders>
            <w:vAlign w:val="center"/>
          </w:tcPr>
          <w:p w14:paraId="2F5C071A" w14:textId="77777777" w:rsidR="004507D4" w:rsidRPr="0076555E" w:rsidRDefault="004507D4" w:rsidP="004507D4">
            <w:pPr>
              <w:pStyle w:val="Tabletext"/>
              <w:keepNext/>
              <w:keepLines/>
              <w:widowControl w:val="0"/>
              <w:rPr>
                <w:szCs w:val="20"/>
              </w:rPr>
            </w:pPr>
            <w:r w:rsidRPr="0076555E">
              <w:rPr>
                <w:szCs w:val="20"/>
              </w:rPr>
              <w:t>Daratumumab</w:t>
            </w:r>
            <w:r>
              <w:rPr>
                <w:szCs w:val="20"/>
              </w:rPr>
              <w:t>, s</w:t>
            </w:r>
            <w:r w:rsidRPr="0076555E">
              <w:rPr>
                <w:szCs w:val="20"/>
              </w:rPr>
              <w:t>ubcutaneous vial 1800 mg</w:t>
            </w:r>
          </w:p>
        </w:tc>
        <w:tc>
          <w:tcPr>
            <w:tcW w:w="667" w:type="pct"/>
            <w:tcBorders>
              <w:top w:val="nil"/>
              <w:bottom w:val="nil"/>
            </w:tcBorders>
            <w:vAlign w:val="center"/>
          </w:tcPr>
          <w:p w14:paraId="78893F1E" w14:textId="77777777" w:rsidR="004507D4" w:rsidRPr="0076555E" w:rsidRDefault="004507D4" w:rsidP="004507D4">
            <w:pPr>
              <w:pStyle w:val="Tabletext"/>
              <w:keepNext/>
              <w:keepLines/>
              <w:widowControl w:val="0"/>
              <w:jc w:val="center"/>
              <w:rPr>
                <w:szCs w:val="20"/>
              </w:rPr>
            </w:pPr>
            <w:r w:rsidRPr="0076555E">
              <w:rPr>
                <w:szCs w:val="20"/>
              </w:rPr>
              <w:t>1800 mg</w:t>
            </w:r>
          </w:p>
        </w:tc>
        <w:tc>
          <w:tcPr>
            <w:tcW w:w="513" w:type="pct"/>
            <w:gridSpan w:val="2"/>
            <w:tcBorders>
              <w:top w:val="nil"/>
              <w:bottom w:val="nil"/>
              <w:right w:val="nil"/>
            </w:tcBorders>
            <w:vAlign w:val="center"/>
          </w:tcPr>
          <w:p w14:paraId="44475776" w14:textId="77777777" w:rsidR="004507D4" w:rsidRPr="0076555E" w:rsidRDefault="004507D4" w:rsidP="004507D4">
            <w:pPr>
              <w:pStyle w:val="Tabletext"/>
              <w:keepNext/>
              <w:keepLines/>
              <w:widowControl w:val="0"/>
              <w:jc w:val="center"/>
              <w:rPr>
                <w:szCs w:val="20"/>
              </w:rPr>
            </w:pPr>
            <w:r w:rsidRPr="0076555E">
              <w:rPr>
                <w:szCs w:val="20"/>
              </w:rPr>
              <w:t>7</w:t>
            </w:r>
          </w:p>
        </w:tc>
        <w:tc>
          <w:tcPr>
            <w:tcW w:w="1257" w:type="pct"/>
            <w:gridSpan w:val="2"/>
            <w:vMerge/>
            <w:tcBorders>
              <w:top w:val="nil"/>
              <w:left w:val="nil"/>
              <w:bottom w:val="single" w:sz="4" w:space="0" w:color="auto"/>
              <w:right w:val="nil"/>
            </w:tcBorders>
            <w:vAlign w:val="center"/>
          </w:tcPr>
          <w:p w14:paraId="7FF3238E" w14:textId="77777777" w:rsidR="004507D4" w:rsidRPr="0076555E" w:rsidRDefault="004507D4" w:rsidP="004507D4">
            <w:pPr>
              <w:pStyle w:val="Tabletext"/>
              <w:keepNext/>
              <w:keepLines/>
              <w:widowControl w:val="0"/>
              <w:jc w:val="center"/>
              <w:rPr>
                <w:szCs w:val="20"/>
              </w:rPr>
            </w:pPr>
          </w:p>
        </w:tc>
        <w:tc>
          <w:tcPr>
            <w:tcW w:w="1227" w:type="pct"/>
            <w:gridSpan w:val="2"/>
            <w:vMerge/>
            <w:tcBorders>
              <w:top w:val="nil"/>
              <w:left w:val="nil"/>
              <w:bottom w:val="single" w:sz="4" w:space="0" w:color="auto"/>
              <w:right w:val="nil"/>
            </w:tcBorders>
            <w:vAlign w:val="center"/>
          </w:tcPr>
          <w:p w14:paraId="2DA7E8B0" w14:textId="77777777" w:rsidR="004507D4" w:rsidRPr="0076555E" w:rsidRDefault="004507D4" w:rsidP="004507D4">
            <w:pPr>
              <w:pStyle w:val="Tabletext"/>
              <w:keepNext/>
              <w:keepLines/>
              <w:widowControl w:val="0"/>
              <w:jc w:val="center"/>
              <w:rPr>
                <w:szCs w:val="20"/>
              </w:rPr>
            </w:pPr>
          </w:p>
        </w:tc>
      </w:tr>
      <w:tr w:rsidR="004507D4" w:rsidRPr="007075FF" w14:paraId="304825A9" w14:textId="77777777" w:rsidTr="004507D4">
        <w:tc>
          <w:tcPr>
            <w:tcW w:w="2516" w:type="pct"/>
            <w:gridSpan w:val="5"/>
            <w:tcBorders>
              <w:top w:val="nil"/>
              <w:left w:val="nil"/>
              <w:bottom w:val="nil"/>
              <w:right w:val="nil"/>
            </w:tcBorders>
            <w:vAlign w:val="center"/>
          </w:tcPr>
          <w:p w14:paraId="2D68B5BB" w14:textId="77777777" w:rsidR="004507D4" w:rsidRDefault="004507D4" w:rsidP="004507D4">
            <w:pPr>
              <w:pStyle w:val="Tabletext"/>
              <w:keepNext/>
              <w:keepLines/>
              <w:widowControl w:val="0"/>
              <w:rPr>
                <w:szCs w:val="20"/>
              </w:rPr>
            </w:pPr>
          </w:p>
          <w:p w14:paraId="251099BB" w14:textId="77777777" w:rsidR="004507D4" w:rsidRDefault="004507D4" w:rsidP="004507D4">
            <w:pPr>
              <w:pStyle w:val="Tabletext"/>
              <w:keepNext/>
              <w:keepLines/>
              <w:widowControl w:val="0"/>
              <w:rPr>
                <w:szCs w:val="20"/>
              </w:rPr>
            </w:pPr>
            <w:r w:rsidRPr="0076555E">
              <w:rPr>
                <w:szCs w:val="20"/>
              </w:rPr>
              <w:t xml:space="preserve">Continuing treatment </w:t>
            </w:r>
          </w:p>
          <w:p w14:paraId="08E669C3" w14:textId="77777777" w:rsidR="004507D4" w:rsidRDefault="004507D4" w:rsidP="004507D4">
            <w:pPr>
              <w:pStyle w:val="Tabletext"/>
              <w:keepNext/>
              <w:keepLines/>
              <w:widowControl w:val="0"/>
              <w:rPr>
                <w:szCs w:val="20"/>
              </w:rPr>
            </w:pPr>
            <w:r w:rsidRPr="0076555E">
              <w:rPr>
                <w:szCs w:val="20"/>
              </w:rPr>
              <w:t>(Weeks 25 onwards, administered every 4 weeks)</w:t>
            </w:r>
          </w:p>
        </w:tc>
        <w:tc>
          <w:tcPr>
            <w:tcW w:w="1257" w:type="pct"/>
            <w:gridSpan w:val="2"/>
            <w:vMerge/>
            <w:tcBorders>
              <w:top w:val="nil"/>
              <w:left w:val="nil"/>
              <w:bottom w:val="single" w:sz="4" w:space="0" w:color="auto"/>
              <w:right w:val="nil"/>
            </w:tcBorders>
            <w:vAlign w:val="center"/>
          </w:tcPr>
          <w:p w14:paraId="0A74149E" w14:textId="77777777" w:rsidR="004507D4" w:rsidRPr="0076555E" w:rsidRDefault="004507D4" w:rsidP="004507D4">
            <w:pPr>
              <w:pStyle w:val="Tabletext"/>
              <w:keepNext/>
              <w:keepLines/>
              <w:widowControl w:val="0"/>
              <w:rPr>
                <w:szCs w:val="20"/>
              </w:rPr>
            </w:pPr>
          </w:p>
        </w:tc>
        <w:tc>
          <w:tcPr>
            <w:tcW w:w="1227" w:type="pct"/>
            <w:gridSpan w:val="2"/>
            <w:vMerge/>
            <w:tcBorders>
              <w:top w:val="nil"/>
              <w:left w:val="nil"/>
              <w:bottom w:val="single" w:sz="4" w:space="0" w:color="auto"/>
              <w:right w:val="nil"/>
            </w:tcBorders>
            <w:vAlign w:val="center"/>
          </w:tcPr>
          <w:p w14:paraId="22479C69" w14:textId="77777777" w:rsidR="004507D4" w:rsidRPr="0076555E" w:rsidRDefault="004507D4" w:rsidP="004507D4">
            <w:pPr>
              <w:pStyle w:val="Tabletext"/>
              <w:keepNext/>
              <w:keepLines/>
              <w:widowControl w:val="0"/>
              <w:rPr>
                <w:szCs w:val="20"/>
              </w:rPr>
            </w:pPr>
          </w:p>
        </w:tc>
      </w:tr>
      <w:tr w:rsidR="004507D4" w:rsidRPr="007075FF" w14:paraId="73C67F78" w14:textId="77777777" w:rsidTr="004507D4">
        <w:tc>
          <w:tcPr>
            <w:tcW w:w="1335" w:type="pct"/>
            <w:gridSpan w:val="2"/>
            <w:tcBorders>
              <w:top w:val="nil"/>
            </w:tcBorders>
            <w:vAlign w:val="center"/>
          </w:tcPr>
          <w:p w14:paraId="5AD9A31A" w14:textId="77777777" w:rsidR="004507D4" w:rsidRPr="0076555E" w:rsidRDefault="004507D4" w:rsidP="004507D4">
            <w:pPr>
              <w:pStyle w:val="Tabletext"/>
              <w:keepNext/>
              <w:keepLines/>
              <w:widowControl w:val="0"/>
              <w:rPr>
                <w:szCs w:val="20"/>
              </w:rPr>
            </w:pPr>
            <w:r w:rsidRPr="0076555E">
              <w:rPr>
                <w:szCs w:val="20"/>
              </w:rPr>
              <w:t>Daratumumab</w:t>
            </w:r>
            <w:r>
              <w:rPr>
                <w:szCs w:val="20"/>
              </w:rPr>
              <w:t>, s</w:t>
            </w:r>
            <w:r w:rsidRPr="0076555E">
              <w:rPr>
                <w:szCs w:val="20"/>
              </w:rPr>
              <w:t>ubcutaneous vial 1800 mg</w:t>
            </w:r>
          </w:p>
        </w:tc>
        <w:tc>
          <w:tcPr>
            <w:tcW w:w="667" w:type="pct"/>
            <w:tcBorders>
              <w:top w:val="nil"/>
            </w:tcBorders>
            <w:vAlign w:val="center"/>
          </w:tcPr>
          <w:p w14:paraId="6A530D0F" w14:textId="77777777" w:rsidR="004507D4" w:rsidRPr="0076555E" w:rsidRDefault="004507D4" w:rsidP="004507D4">
            <w:pPr>
              <w:pStyle w:val="Tabletext"/>
              <w:keepNext/>
              <w:keepLines/>
              <w:widowControl w:val="0"/>
              <w:jc w:val="center"/>
              <w:rPr>
                <w:szCs w:val="20"/>
              </w:rPr>
            </w:pPr>
            <w:r w:rsidRPr="0076555E">
              <w:rPr>
                <w:szCs w:val="20"/>
              </w:rPr>
              <w:t>1800 mg</w:t>
            </w:r>
          </w:p>
        </w:tc>
        <w:tc>
          <w:tcPr>
            <w:tcW w:w="513" w:type="pct"/>
            <w:gridSpan w:val="2"/>
            <w:tcBorders>
              <w:top w:val="nil"/>
              <w:right w:val="nil"/>
            </w:tcBorders>
            <w:vAlign w:val="center"/>
          </w:tcPr>
          <w:p w14:paraId="0F28F8E1" w14:textId="77777777" w:rsidR="004507D4" w:rsidRPr="0076555E" w:rsidRDefault="004507D4" w:rsidP="004507D4">
            <w:pPr>
              <w:pStyle w:val="Tabletext"/>
              <w:keepNext/>
              <w:keepLines/>
              <w:widowControl w:val="0"/>
              <w:jc w:val="center"/>
              <w:rPr>
                <w:szCs w:val="20"/>
              </w:rPr>
            </w:pPr>
            <w:r w:rsidRPr="0076555E">
              <w:rPr>
                <w:szCs w:val="20"/>
              </w:rPr>
              <w:t>5</w:t>
            </w:r>
          </w:p>
        </w:tc>
        <w:tc>
          <w:tcPr>
            <w:tcW w:w="1257" w:type="pct"/>
            <w:gridSpan w:val="2"/>
            <w:vMerge/>
            <w:tcBorders>
              <w:top w:val="nil"/>
              <w:left w:val="nil"/>
              <w:bottom w:val="single" w:sz="4" w:space="0" w:color="auto"/>
              <w:right w:val="nil"/>
            </w:tcBorders>
            <w:vAlign w:val="center"/>
          </w:tcPr>
          <w:p w14:paraId="31E08FF4" w14:textId="77777777" w:rsidR="004507D4" w:rsidRPr="0076555E" w:rsidRDefault="004507D4" w:rsidP="004507D4">
            <w:pPr>
              <w:pStyle w:val="Tabletext"/>
              <w:keepNext/>
              <w:keepLines/>
              <w:widowControl w:val="0"/>
              <w:jc w:val="center"/>
              <w:rPr>
                <w:szCs w:val="20"/>
              </w:rPr>
            </w:pPr>
          </w:p>
        </w:tc>
        <w:tc>
          <w:tcPr>
            <w:tcW w:w="1227" w:type="pct"/>
            <w:gridSpan w:val="2"/>
            <w:vMerge/>
            <w:tcBorders>
              <w:top w:val="nil"/>
              <w:left w:val="nil"/>
              <w:bottom w:val="single" w:sz="4" w:space="0" w:color="auto"/>
              <w:right w:val="nil"/>
            </w:tcBorders>
            <w:vAlign w:val="center"/>
          </w:tcPr>
          <w:p w14:paraId="0EFF50AC" w14:textId="77777777" w:rsidR="004507D4" w:rsidRPr="0076555E" w:rsidRDefault="004507D4" w:rsidP="004507D4">
            <w:pPr>
              <w:pStyle w:val="Tabletext"/>
              <w:keepNext/>
              <w:keepLines/>
              <w:widowControl w:val="0"/>
              <w:jc w:val="center"/>
              <w:rPr>
                <w:szCs w:val="20"/>
              </w:rPr>
            </w:pPr>
          </w:p>
        </w:tc>
      </w:tr>
      <w:tr w:rsidR="001F275B" w:rsidRPr="007075FF" w14:paraId="3E99947B" w14:textId="77777777" w:rsidTr="00430A68">
        <w:tc>
          <w:tcPr>
            <w:tcW w:w="5000" w:type="pct"/>
            <w:gridSpan w:val="9"/>
            <w:tcBorders>
              <w:bottom w:val="nil"/>
            </w:tcBorders>
            <w:vAlign w:val="center"/>
          </w:tcPr>
          <w:p w14:paraId="21150626" w14:textId="77777777" w:rsidR="0087564C" w:rsidRPr="003E7A49" w:rsidRDefault="0087564C" w:rsidP="003E7A49"/>
        </w:tc>
      </w:tr>
      <w:tr w:rsidR="001F275B" w:rsidRPr="007075FF" w14:paraId="2630ECC0" w14:textId="77777777" w:rsidTr="004507D4">
        <w:tc>
          <w:tcPr>
            <w:tcW w:w="1335" w:type="pct"/>
            <w:gridSpan w:val="2"/>
            <w:tcBorders>
              <w:top w:val="nil"/>
            </w:tcBorders>
            <w:vAlign w:val="center"/>
          </w:tcPr>
          <w:p w14:paraId="24E200C3" w14:textId="77777777" w:rsidR="001F275B" w:rsidRPr="007075FF" w:rsidRDefault="001F275B" w:rsidP="008A7054">
            <w:pPr>
              <w:pStyle w:val="Tabletext"/>
              <w:keepNext/>
              <w:keepLines/>
              <w:widowControl w:val="0"/>
            </w:pPr>
          </w:p>
        </w:tc>
        <w:tc>
          <w:tcPr>
            <w:tcW w:w="942" w:type="pct"/>
            <w:gridSpan w:val="2"/>
            <w:tcBorders>
              <w:top w:val="nil"/>
            </w:tcBorders>
            <w:vAlign w:val="center"/>
          </w:tcPr>
          <w:p w14:paraId="0D43F6A9" w14:textId="77777777" w:rsidR="001F275B" w:rsidRPr="007075FF" w:rsidRDefault="001F275B" w:rsidP="008A7054">
            <w:pPr>
              <w:pStyle w:val="Tabletext"/>
              <w:keepNext/>
              <w:keepLines/>
              <w:widowControl w:val="0"/>
              <w:jc w:val="center"/>
            </w:pPr>
          </w:p>
        </w:tc>
        <w:tc>
          <w:tcPr>
            <w:tcW w:w="908" w:type="pct"/>
            <w:gridSpan w:val="2"/>
            <w:tcBorders>
              <w:top w:val="nil"/>
            </w:tcBorders>
            <w:vAlign w:val="center"/>
          </w:tcPr>
          <w:p w14:paraId="035A5F41" w14:textId="77777777" w:rsidR="001F275B" w:rsidRPr="007075FF" w:rsidRDefault="001F275B" w:rsidP="008A7054">
            <w:pPr>
              <w:pStyle w:val="Tabletext"/>
              <w:keepNext/>
              <w:keepLines/>
              <w:widowControl w:val="0"/>
              <w:jc w:val="center"/>
            </w:pPr>
          </w:p>
        </w:tc>
        <w:tc>
          <w:tcPr>
            <w:tcW w:w="908" w:type="pct"/>
            <w:gridSpan w:val="2"/>
            <w:tcBorders>
              <w:top w:val="nil"/>
            </w:tcBorders>
            <w:vAlign w:val="center"/>
          </w:tcPr>
          <w:p w14:paraId="3D04FA62" w14:textId="77777777" w:rsidR="001F275B" w:rsidRPr="007075FF" w:rsidRDefault="001F275B" w:rsidP="008A7054">
            <w:pPr>
              <w:pStyle w:val="Tabletext"/>
              <w:keepNext/>
              <w:keepLines/>
              <w:widowControl w:val="0"/>
              <w:jc w:val="center"/>
            </w:pPr>
          </w:p>
        </w:tc>
        <w:tc>
          <w:tcPr>
            <w:tcW w:w="907" w:type="pct"/>
            <w:tcBorders>
              <w:top w:val="nil"/>
            </w:tcBorders>
            <w:vAlign w:val="center"/>
          </w:tcPr>
          <w:p w14:paraId="03065D2B" w14:textId="77777777" w:rsidR="001F275B" w:rsidRPr="007075FF" w:rsidRDefault="001F275B" w:rsidP="008A7054">
            <w:pPr>
              <w:pStyle w:val="Tabletext"/>
              <w:keepNext/>
              <w:keepLines/>
              <w:widowControl w:val="0"/>
              <w:jc w:val="center"/>
            </w:pPr>
          </w:p>
        </w:tc>
      </w:tr>
      <w:tr w:rsidR="001F275B" w:rsidRPr="00945CB3" w14:paraId="01D53EBD"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3DF74916" w14:textId="77777777" w:rsidR="001F275B" w:rsidRPr="004507D4" w:rsidRDefault="001F275B" w:rsidP="008A7054">
            <w:pPr>
              <w:pStyle w:val="Tabletext"/>
              <w:keepLines/>
              <w:widowControl w:val="0"/>
              <w:rPr>
                <w:b/>
                <w:bCs/>
              </w:rPr>
            </w:pPr>
            <w:r w:rsidRPr="004507D4">
              <w:rPr>
                <w:b/>
                <w:bCs/>
                <w:szCs w:val="20"/>
              </w:rPr>
              <w:t>Category / Program:</w:t>
            </w:r>
          </w:p>
        </w:tc>
        <w:tc>
          <w:tcPr>
            <w:tcW w:w="3979" w:type="pct"/>
            <w:gridSpan w:val="8"/>
            <w:tcBorders>
              <w:top w:val="single" w:sz="4" w:space="0" w:color="auto"/>
              <w:left w:val="single" w:sz="4" w:space="0" w:color="auto"/>
              <w:bottom w:val="single" w:sz="4" w:space="0" w:color="auto"/>
              <w:right w:val="single" w:sz="4" w:space="0" w:color="auto"/>
            </w:tcBorders>
          </w:tcPr>
          <w:p w14:paraId="52BB9879" w14:textId="77777777" w:rsidR="001F275B" w:rsidRPr="00BA73CD" w:rsidRDefault="001F275B" w:rsidP="008A7054">
            <w:pPr>
              <w:pStyle w:val="Tabletext"/>
              <w:keepLines/>
              <w:widowControl w:val="0"/>
            </w:pPr>
            <w:r w:rsidRPr="00BA73CD">
              <w:rPr>
                <w:rFonts w:eastAsia="Calibri" w:cs="Arial"/>
                <w:szCs w:val="20"/>
                <w:lang w:eastAsia="en-US"/>
              </w:rPr>
              <w:t>Section 100 (Highly Specialised Drugs Program)</w:t>
            </w:r>
          </w:p>
        </w:tc>
      </w:tr>
      <w:tr w:rsidR="001F275B" w:rsidRPr="00945CB3" w14:paraId="12787332"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6CD497E6" w14:textId="77777777" w:rsidR="001F275B" w:rsidRPr="004507D4" w:rsidRDefault="001F275B" w:rsidP="008A7054">
            <w:pPr>
              <w:pStyle w:val="Tabletext"/>
              <w:keepLines/>
              <w:widowControl w:val="0"/>
              <w:rPr>
                <w:b/>
                <w:bCs/>
              </w:rPr>
            </w:pPr>
            <w:r w:rsidRPr="004507D4">
              <w:rPr>
                <w:b/>
                <w:bCs/>
                <w:szCs w:val="20"/>
              </w:rPr>
              <w:t>Prescriber type:</w:t>
            </w:r>
          </w:p>
        </w:tc>
        <w:tc>
          <w:tcPr>
            <w:tcW w:w="3979" w:type="pct"/>
            <w:gridSpan w:val="8"/>
            <w:tcBorders>
              <w:top w:val="single" w:sz="4" w:space="0" w:color="auto"/>
              <w:left w:val="single" w:sz="4" w:space="0" w:color="auto"/>
              <w:bottom w:val="single" w:sz="4" w:space="0" w:color="auto"/>
              <w:right w:val="single" w:sz="4" w:space="0" w:color="auto"/>
            </w:tcBorders>
          </w:tcPr>
          <w:p w14:paraId="32D43816" w14:textId="77777777" w:rsidR="001F275B" w:rsidRPr="00BA73CD" w:rsidRDefault="001F275B" w:rsidP="00D71DEE">
            <w:pPr>
              <w:pStyle w:val="TableText0"/>
              <w:keepNext w:val="0"/>
              <w:keepLines/>
              <w:widowControl w:val="0"/>
            </w:pP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 xml:space="preserve">Dental  </w:t>
            </w:r>
            <w:r w:rsidR="00AC4F55">
              <w:rPr>
                <w:bCs w:val="0"/>
                <w:szCs w:val="20"/>
              </w:rPr>
              <w:fldChar w:fldCharType="begin">
                <w:ffData>
                  <w:name w:val="Check1"/>
                  <w:enabled/>
                  <w:calcOnExit w:val="0"/>
                  <w:checkBox>
                    <w:sizeAuto/>
                    <w:default w:val="1"/>
                  </w:checkBox>
                </w:ffData>
              </w:fldChar>
            </w:r>
            <w:r w:rsidR="00AC4F55">
              <w:rPr>
                <w:szCs w:val="20"/>
              </w:rPr>
              <w:instrText xml:space="preserve"> </w:instrText>
            </w:r>
            <w:bookmarkStart w:id="9" w:name="Check1"/>
            <w:r w:rsidR="00AC4F55">
              <w:rPr>
                <w:szCs w:val="20"/>
              </w:rPr>
              <w:instrText xml:space="preserve">FORMCHECKBOX </w:instrText>
            </w:r>
            <w:r w:rsidR="00BE3AB8">
              <w:rPr>
                <w:bCs w:val="0"/>
                <w:szCs w:val="20"/>
              </w:rPr>
            </w:r>
            <w:r w:rsidR="00BE3AB8">
              <w:rPr>
                <w:bCs w:val="0"/>
                <w:szCs w:val="20"/>
              </w:rPr>
              <w:fldChar w:fldCharType="separate"/>
            </w:r>
            <w:r w:rsidR="00AC4F55">
              <w:rPr>
                <w:bCs w:val="0"/>
                <w:szCs w:val="20"/>
              </w:rPr>
              <w:fldChar w:fldCharType="end"/>
            </w:r>
            <w:bookmarkEnd w:id="9"/>
            <w:r w:rsidRPr="00BA73CD">
              <w:rPr>
                <w:szCs w:val="20"/>
              </w:rPr>
              <w:t xml:space="preserve">Medical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 xml:space="preserve">Nurse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 xml:space="preserve">Optometrists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Midwives</w:t>
            </w:r>
          </w:p>
        </w:tc>
      </w:tr>
      <w:tr w:rsidR="001F275B" w:rsidRPr="00945CB3" w14:paraId="33109BF8"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31E7F86B" w14:textId="77777777" w:rsidR="001F275B" w:rsidRPr="004507D4" w:rsidRDefault="001F275B" w:rsidP="008A7054">
            <w:pPr>
              <w:pStyle w:val="Tabletext"/>
              <w:keepLines/>
              <w:widowControl w:val="0"/>
              <w:rPr>
                <w:b/>
                <w:bCs/>
              </w:rPr>
            </w:pPr>
            <w:r w:rsidRPr="004507D4">
              <w:rPr>
                <w:b/>
                <w:bCs/>
                <w:szCs w:val="20"/>
              </w:rPr>
              <w:t>Condition:</w:t>
            </w:r>
          </w:p>
        </w:tc>
        <w:tc>
          <w:tcPr>
            <w:tcW w:w="3979" w:type="pct"/>
            <w:gridSpan w:val="8"/>
            <w:tcBorders>
              <w:top w:val="single" w:sz="4" w:space="0" w:color="auto"/>
              <w:left w:val="single" w:sz="4" w:space="0" w:color="auto"/>
              <w:bottom w:val="single" w:sz="4" w:space="0" w:color="auto"/>
              <w:right w:val="single" w:sz="4" w:space="0" w:color="auto"/>
            </w:tcBorders>
          </w:tcPr>
          <w:p w14:paraId="2B31DDA4" w14:textId="77777777" w:rsidR="001F275B" w:rsidRPr="00BA73CD" w:rsidRDefault="001F275B" w:rsidP="008A7054">
            <w:pPr>
              <w:pStyle w:val="Tabletext"/>
              <w:keepLines/>
              <w:widowControl w:val="0"/>
            </w:pPr>
            <w:r w:rsidRPr="00BA73CD">
              <w:rPr>
                <w:rFonts w:eastAsia="Calibri" w:cs="Arial"/>
                <w:szCs w:val="20"/>
                <w:lang w:eastAsia="en-US"/>
              </w:rPr>
              <w:t>Systemic light chain amyloidosis</w:t>
            </w:r>
          </w:p>
        </w:tc>
      </w:tr>
      <w:tr w:rsidR="001F275B" w:rsidRPr="00945CB3" w14:paraId="35FACC1D"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1F3C4633" w14:textId="77777777" w:rsidR="001F275B" w:rsidRPr="004507D4" w:rsidRDefault="001F275B" w:rsidP="008A7054">
            <w:pPr>
              <w:pStyle w:val="Tabletext"/>
              <w:keepLines/>
              <w:widowControl w:val="0"/>
              <w:rPr>
                <w:b/>
                <w:bCs/>
              </w:rPr>
            </w:pPr>
            <w:r w:rsidRPr="004507D4">
              <w:rPr>
                <w:b/>
                <w:bCs/>
                <w:szCs w:val="20"/>
              </w:rPr>
              <w:t>PBS Indication:</w:t>
            </w:r>
          </w:p>
        </w:tc>
        <w:tc>
          <w:tcPr>
            <w:tcW w:w="3979" w:type="pct"/>
            <w:gridSpan w:val="8"/>
            <w:tcBorders>
              <w:top w:val="single" w:sz="4" w:space="0" w:color="auto"/>
              <w:left w:val="single" w:sz="4" w:space="0" w:color="auto"/>
              <w:bottom w:val="single" w:sz="4" w:space="0" w:color="auto"/>
              <w:right w:val="single" w:sz="4" w:space="0" w:color="auto"/>
            </w:tcBorders>
          </w:tcPr>
          <w:p w14:paraId="665DC27B" w14:textId="77777777" w:rsidR="001F275B" w:rsidRPr="00BA73CD" w:rsidRDefault="001F275B" w:rsidP="008A7054">
            <w:pPr>
              <w:pStyle w:val="Tabletext"/>
              <w:keepLines/>
              <w:widowControl w:val="0"/>
            </w:pPr>
            <w:r w:rsidRPr="00BA73CD">
              <w:rPr>
                <w:rFonts w:eastAsia="Calibri" w:cs="Arial"/>
                <w:szCs w:val="20"/>
                <w:lang w:eastAsia="en-US"/>
              </w:rPr>
              <w:t>Untreated systemic light-chain amyloidosis</w:t>
            </w:r>
          </w:p>
        </w:tc>
      </w:tr>
      <w:tr w:rsidR="001F275B" w:rsidRPr="00945CB3" w14:paraId="0EA5D240"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71754FCC" w14:textId="77777777" w:rsidR="001F275B" w:rsidRPr="004507D4" w:rsidRDefault="001F275B" w:rsidP="008A7054">
            <w:pPr>
              <w:pStyle w:val="Tabletext"/>
              <w:keepLines/>
              <w:widowControl w:val="0"/>
              <w:rPr>
                <w:b/>
                <w:bCs/>
              </w:rPr>
            </w:pPr>
            <w:r w:rsidRPr="004507D4">
              <w:rPr>
                <w:b/>
                <w:bCs/>
                <w:szCs w:val="20"/>
              </w:rPr>
              <w:t>Restriction:</w:t>
            </w:r>
          </w:p>
        </w:tc>
        <w:tc>
          <w:tcPr>
            <w:tcW w:w="3979" w:type="pct"/>
            <w:gridSpan w:val="8"/>
            <w:tcBorders>
              <w:top w:val="single" w:sz="4" w:space="0" w:color="auto"/>
              <w:left w:val="single" w:sz="4" w:space="0" w:color="auto"/>
              <w:bottom w:val="single" w:sz="4" w:space="0" w:color="auto"/>
              <w:right w:val="single" w:sz="4" w:space="0" w:color="auto"/>
            </w:tcBorders>
          </w:tcPr>
          <w:p w14:paraId="3C832817" w14:textId="77777777" w:rsidR="001F275B" w:rsidRPr="00D71DEE" w:rsidRDefault="001F275B" w:rsidP="00D71DEE">
            <w:pPr>
              <w:pStyle w:val="TableText0"/>
              <w:keepNext w:val="0"/>
              <w:keepLines/>
              <w:widowControl w:val="0"/>
              <w:rPr>
                <w:szCs w:val="20"/>
              </w:rPr>
            </w:pPr>
            <w:r w:rsidRPr="00BA73CD">
              <w:rPr>
                <w:bCs w:val="0"/>
                <w:szCs w:val="20"/>
              </w:rPr>
              <w:fldChar w:fldCharType="begin">
                <w:ffData>
                  <w:name w:val="Check3"/>
                  <w:enabled/>
                  <w:calcOnExit w:val="0"/>
                  <w:checkBox>
                    <w:sizeAuto/>
                    <w:default w:val="1"/>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Authority Required – Telephone, Electronic</w:t>
            </w:r>
          </w:p>
        </w:tc>
      </w:tr>
      <w:tr w:rsidR="001F275B" w:rsidRPr="00945CB3" w14:paraId="5604CA37"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tcPr>
          <w:p w14:paraId="0A7F9734" w14:textId="77777777" w:rsidR="001F275B" w:rsidRPr="004507D4" w:rsidRDefault="001F275B" w:rsidP="008A7054">
            <w:pPr>
              <w:pStyle w:val="Tabletext"/>
              <w:keepLines/>
              <w:widowControl w:val="0"/>
              <w:rPr>
                <w:b/>
                <w:bCs/>
              </w:rPr>
            </w:pPr>
            <w:r w:rsidRPr="004507D4">
              <w:rPr>
                <w:b/>
                <w:bCs/>
                <w:szCs w:val="20"/>
              </w:rPr>
              <w:lastRenderedPageBreak/>
              <w:t>Clinical criteria:</w:t>
            </w:r>
          </w:p>
        </w:tc>
        <w:tc>
          <w:tcPr>
            <w:tcW w:w="3979" w:type="pct"/>
            <w:gridSpan w:val="8"/>
            <w:tcBorders>
              <w:top w:val="single" w:sz="4" w:space="0" w:color="auto"/>
              <w:left w:val="single" w:sz="4" w:space="0" w:color="auto"/>
              <w:bottom w:val="single" w:sz="4" w:space="0" w:color="auto"/>
              <w:right w:val="single" w:sz="4" w:space="0" w:color="auto"/>
            </w:tcBorders>
          </w:tcPr>
          <w:p w14:paraId="5BD850F9"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Patients must have a confirmed diagnosis of systemic light-chain amyloidosis,</w:t>
            </w:r>
          </w:p>
          <w:p w14:paraId="14A74B4F"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7100C9EC"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The condition must be untreated</w:t>
            </w:r>
            <w:r>
              <w:rPr>
                <w:rFonts w:ascii="Arial Narrow" w:eastAsia="Calibri" w:hAnsi="Arial Narrow"/>
                <w:sz w:val="20"/>
                <w:szCs w:val="20"/>
                <w:lang w:eastAsia="en-US"/>
              </w:rPr>
              <w:t xml:space="preserve"> </w:t>
            </w:r>
            <w:r w:rsidR="00AC4F55" w:rsidRPr="00AC4F55">
              <w:rPr>
                <w:rFonts w:ascii="Arial Narrow" w:eastAsia="Calibri" w:hAnsi="Arial Narrow"/>
                <w:i/>
                <w:sz w:val="20"/>
                <w:szCs w:val="20"/>
                <w:lang w:eastAsia="en-US"/>
              </w:rPr>
              <w:t>[</w:t>
            </w:r>
            <w:r w:rsidRPr="00AC4F55">
              <w:rPr>
                <w:rFonts w:ascii="Arial Narrow" w:eastAsia="Calibri" w:hAnsi="Arial Narrow"/>
                <w:i/>
                <w:sz w:val="20"/>
                <w:szCs w:val="20"/>
                <w:lang w:eastAsia="en-US"/>
              </w:rPr>
              <w:t>initial treatment only</w:t>
            </w:r>
            <w:r w:rsidR="00AC4F55" w:rsidRPr="00AC4F55">
              <w:rPr>
                <w:rFonts w:ascii="Arial Narrow" w:eastAsia="Calibri" w:hAnsi="Arial Narrow"/>
                <w:i/>
                <w:sz w:val="20"/>
                <w:szCs w:val="20"/>
                <w:lang w:eastAsia="en-US"/>
              </w:rPr>
              <w:t>]</w:t>
            </w:r>
            <w:r>
              <w:rPr>
                <w:rFonts w:ascii="Arial Narrow" w:eastAsia="Calibri" w:hAnsi="Arial Narrow"/>
                <w:sz w:val="20"/>
                <w:szCs w:val="20"/>
                <w:lang w:eastAsia="en-US"/>
              </w:rPr>
              <w:t>)</w:t>
            </w:r>
            <w:r w:rsidRPr="00BA73CD">
              <w:rPr>
                <w:rFonts w:ascii="Arial Narrow" w:eastAsia="Calibri" w:hAnsi="Arial Narrow"/>
                <w:sz w:val="20"/>
                <w:szCs w:val="20"/>
                <w:lang w:eastAsia="en-US"/>
              </w:rPr>
              <w:t xml:space="preserve">, </w:t>
            </w:r>
          </w:p>
          <w:p w14:paraId="464F53BA"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6C4BDD1C"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 xml:space="preserve">The patient must not have NYHA Class IIIB or Class IV cardiac disease or Mayo stage IIIB disease, </w:t>
            </w:r>
          </w:p>
          <w:p w14:paraId="356E7382"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69521146"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 xml:space="preserve">The treatment must be in combination with bortezomib, cyclophosphamide and dexamethasone, </w:t>
            </w:r>
          </w:p>
          <w:p w14:paraId="0C6D9C79" w14:textId="77777777" w:rsidR="001F275B" w:rsidRPr="00BA73CD" w:rsidRDefault="001F275B" w:rsidP="008A7054">
            <w:pPr>
              <w:keepLines/>
              <w:widowControl w:val="0"/>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641892F7" w14:textId="77777777" w:rsidR="001F275B" w:rsidRDefault="001F275B" w:rsidP="008A7054">
            <w:pPr>
              <w:pStyle w:val="Tabletext"/>
              <w:keepLines/>
              <w:widowControl w:val="0"/>
              <w:rPr>
                <w:rFonts w:eastAsia="Calibri" w:cs="Arial"/>
                <w:szCs w:val="20"/>
                <w:lang w:eastAsia="en-US"/>
              </w:rPr>
            </w:pPr>
            <w:r w:rsidRPr="00BA73CD">
              <w:rPr>
                <w:rFonts w:eastAsia="Calibri" w:cs="Arial"/>
                <w:szCs w:val="20"/>
                <w:lang w:eastAsia="en-US"/>
              </w:rPr>
              <w:t>The patient must have an Eastern Cooperative Oncology Group Performance Status of 0, 1 or 2</w:t>
            </w:r>
          </w:p>
          <w:p w14:paraId="1DCAF2BC" w14:textId="77777777" w:rsidR="001F275B" w:rsidRPr="00BB41BE" w:rsidRDefault="001F275B" w:rsidP="008A7054">
            <w:pPr>
              <w:keepLines/>
              <w:widowControl w:val="0"/>
              <w:rPr>
                <w:rFonts w:ascii="Arial Narrow" w:eastAsia="Calibri" w:hAnsi="Arial Narrow"/>
                <w:sz w:val="20"/>
                <w:szCs w:val="20"/>
                <w:lang w:eastAsia="en-US"/>
              </w:rPr>
            </w:pPr>
            <w:r w:rsidRPr="00BB41BE">
              <w:rPr>
                <w:rFonts w:ascii="Arial Narrow" w:eastAsia="Calibri" w:hAnsi="Arial Narrow"/>
                <w:sz w:val="20"/>
                <w:szCs w:val="20"/>
                <w:lang w:eastAsia="en-US"/>
              </w:rPr>
              <w:t>AND</w:t>
            </w:r>
            <w:r>
              <w:rPr>
                <w:rFonts w:ascii="Arial Narrow" w:eastAsia="Calibri" w:hAnsi="Arial Narrow"/>
                <w:sz w:val="20"/>
                <w:szCs w:val="20"/>
                <w:lang w:eastAsia="en-US"/>
              </w:rPr>
              <w:t>;</w:t>
            </w:r>
          </w:p>
          <w:p w14:paraId="0DCEEA72" w14:textId="77777777" w:rsidR="001F275B" w:rsidRPr="00BA73CD" w:rsidRDefault="001F275B" w:rsidP="008A7054">
            <w:pPr>
              <w:pStyle w:val="Tabletext"/>
              <w:keepLines/>
              <w:widowControl w:val="0"/>
              <w:rPr>
                <w:color w:val="000000"/>
              </w:rPr>
            </w:pPr>
            <w:r>
              <w:rPr>
                <w:rFonts w:eastAsia="Calibri"/>
                <w:szCs w:val="20"/>
                <w:lang w:eastAsia="en-US"/>
              </w:rPr>
              <w:t>The p</w:t>
            </w:r>
            <w:r w:rsidRPr="00BB41BE">
              <w:rPr>
                <w:rFonts w:eastAsia="Calibri"/>
                <w:szCs w:val="20"/>
                <w:lang w:eastAsia="en-US"/>
              </w:rPr>
              <w:t>atient must not have developed disease progression while receiving treatment with this drug for this condition</w:t>
            </w:r>
            <w:r>
              <w:rPr>
                <w:rFonts w:eastAsia="Calibri"/>
                <w:szCs w:val="20"/>
                <w:lang w:eastAsia="en-US"/>
              </w:rPr>
              <w:t xml:space="preserve"> </w:t>
            </w:r>
            <w:r w:rsidR="00AC4F55" w:rsidRPr="00AC4F55">
              <w:rPr>
                <w:rFonts w:eastAsia="Calibri"/>
                <w:i/>
                <w:szCs w:val="20"/>
                <w:lang w:eastAsia="en-US"/>
              </w:rPr>
              <w:t>[</w:t>
            </w:r>
            <w:r w:rsidRPr="00AC4F55">
              <w:rPr>
                <w:rFonts w:eastAsia="Calibri"/>
                <w:i/>
                <w:szCs w:val="20"/>
                <w:lang w:eastAsia="en-US"/>
              </w:rPr>
              <w:t>continuing treatment only</w:t>
            </w:r>
            <w:r w:rsidR="00AC4F55" w:rsidRPr="00AC4F55">
              <w:rPr>
                <w:rFonts w:eastAsia="Calibri"/>
                <w:i/>
                <w:szCs w:val="20"/>
                <w:lang w:eastAsia="en-US"/>
              </w:rPr>
              <w:t>]</w:t>
            </w:r>
            <w:r w:rsidRPr="00BB41BE">
              <w:rPr>
                <w:rFonts w:eastAsia="Calibri"/>
                <w:szCs w:val="20"/>
                <w:lang w:eastAsia="en-US"/>
              </w:rPr>
              <w:t>.</w:t>
            </w:r>
          </w:p>
        </w:tc>
      </w:tr>
      <w:tr w:rsidR="001F275B" w:rsidRPr="00945CB3" w14:paraId="0F04803B" w14:textId="77777777" w:rsidTr="004507D4">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021" w:type="pct"/>
            <w:tcBorders>
              <w:top w:val="single" w:sz="4" w:space="0" w:color="auto"/>
              <w:left w:val="single" w:sz="4" w:space="0" w:color="auto"/>
              <w:bottom w:val="single" w:sz="4" w:space="0" w:color="auto"/>
              <w:right w:val="single" w:sz="4" w:space="0" w:color="auto"/>
            </w:tcBorders>
            <w:hideMark/>
          </w:tcPr>
          <w:p w14:paraId="10CE7FAB" w14:textId="77777777" w:rsidR="001F275B" w:rsidRPr="004507D4" w:rsidRDefault="001F275B" w:rsidP="008A7054">
            <w:pPr>
              <w:pStyle w:val="Tabletext"/>
              <w:keepLines/>
              <w:widowControl w:val="0"/>
              <w:rPr>
                <w:b/>
                <w:bCs/>
              </w:rPr>
            </w:pPr>
            <w:r w:rsidRPr="004507D4">
              <w:rPr>
                <w:b/>
                <w:bCs/>
                <w:szCs w:val="20"/>
              </w:rPr>
              <w:t>Administrative Advice:</w:t>
            </w:r>
          </w:p>
        </w:tc>
        <w:tc>
          <w:tcPr>
            <w:tcW w:w="3979" w:type="pct"/>
            <w:gridSpan w:val="8"/>
            <w:tcBorders>
              <w:top w:val="single" w:sz="4" w:space="0" w:color="auto"/>
              <w:left w:val="single" w:sz="4" w:space="0" w:color="auto"/>
              <w:bottom w:val="single" w:sz="4" w:space="0" w:color="auto"/>
              <w:right w:val="single" w:sz="4" w:space="0" w:color="auto"/>
            </w:tcBorders>
          </w:tcPr>
          <w:p w14:paraId="5D0474DF" w14:textId="77777777" w:rsidR="001F275B" w:rsidRPr="00BA73CD" w:rsidRDefault="001F275B" w:rsidP="008A7054">
            <w:pPr>
              <w:pStyle w:val="Tabletext"/>
              <w:keepLines/>
              <w:widowControl w:val="0"/>
              <w:rPr>
                <w:color w:val="000000"/>
              </w:rPr>
            </w:pPr>
            <w:r w:rsidRPr="00BA73CD">
              <w:rPr>
                <w:rFonts w:eastAsia="Calibri" w:cs="Arial"/>
                <w:szCs w:val="20"/>
                <w:lang w:eastAsia="en-US"/>
              </w:rPr>
              <w:t>Special Pricing Arrangements apply</w:t>
            </w:r>
          </w:p>
        </w:tc>
      </w:tr>
    </w:tbl>
    <w:p w14:paraId="3AB81C85" w14:textId="77777777" w:rsidR="001F275B" w:rsidRPr="007075FF" w:rsidRDefault="001F275B" w:rsidP="008A7054">
      <w:pPr>
        <w:pStyle w:val="TableFooter"/>
        <w:keepLines/>
        <w:widowControl w:val="0"/>
      </w:pPr>
      <w:r w:rsidRPr="007075FF">
        <w:t>Source: Table 1</w:t>
      </w:r>
      <w:r>
        <w:t>-16 and Table 1-17</w:t>
      </w:r>
      <w:r w:rsidRPr="007075FF">
        <w:t>, p</w:t>
      </w:r>
      <w:r>
        <w:t>58-60</w:t>
      </w:r>
      <w:r w:rsidRPr="007075FF">
        <w:t xml:space="preserve"> of the submission</w:t>
      </w:r>
    </w:p>
    <w:p w14:paraId="442ADFED" w14:textId="77777777" w:rsidR="001F275B" w:rsidRDefault="00644EA3" w:rsidP="008A7054">
      <w:pPr>
        <w:widowControl w:val="0"/>
        <w:rPr>
          <w:rFonts w:ascii="Arial Narrow" w:hAnsi="Arial Narrow"/>
          <w:sz w:val="18"/>
        </w:rPr>
      </w:pPr>
      <w:r w:rsidRPr="00644EA3">
        <w:rPr>
          <w:rFonts w:ascii="Arial Narrow" w:hAnsi="Arial Narrow"/>
          <w:sz w:val="18"/>
        </w:rPr>
        <w:t>NYHA = New York Heart Association</w:t>
      </w:r>
    </w:p>
    <w:p w14:paraId="3BDD571F" w14:textId="77777777" w:rsidR="00644EA3" w:rsidRDefault="00644EA3" w:rsidP="00644EA3"/>
    <w:p w14:paraId="356419CD" w14:textId="77777777" w:rsidR="003E7A49" w:rsidRDefault="003E7A49" w:rsidP="00644EA3"/>
    <w:p w14:paraId="5C3EA9A2" w14:textId="77777777" w:rsidR="004507D4" w:rsidRDefault="004507D4" w:rsidP="00644EA3"/>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11"/>
        <w:gridCol w:w="1204"/>
        <w:gridCol w:w="926"/>
        <w:gridCol w:w="2269"/>
        <w:gridCol w:w="2217"/>
      </w:tblGrid>
      <w:tr w:rsidR="004507D4" w:rsidRPr="007075FF" w14:paraId="29F5A3D9" w14:textId="77777777" w:rsidTr="004507D4">
        <w:trPr>
          <w:cantSplit/>
        </w:trPr>
        <w:tc>
          <w:tcPr>
            <w:tcW w:w="1335" w:type="pct"/>
            <w:tcBorders>
              <w:bottom w:val="single" w:sz="4" w:space="0" w:color="auto"/>
            </w:tcBorders>
          </w:tcPr>
          <w:p w14:paraId="6AFE95B9" w14:textId="77777777" w:rsidR="004507D4" w:rsidRPr="007075FF" w:rsidRDefault="004507D4" w:rsidP="004507D4">
            <w:pPr>
              <w:keepNext/>
              <w:keepLines/>
              <w:widowControl w:val="0"/>
              <w:jc w:val="left"/>
              <w:rPr>
                <w:rFonts w:ascii="Arial Narrow" w:hAnsi="Arial Narrow"/>
                <w:b/>
                <w:sz w:val="20"/>
                <w:szCs w:val="20"/>
              </w:rPr>
            </w:pPr>
            <w:r w:rsidRPr="007075FF">
              <w:rPr>
                <w:rFonts w:ascii="Arial Narrow" w:hAnsi="Arial Narrow"/>
                <w:b/>
                <w:sz w:val="20"/>
                <w:szCs w:val="20"/>
              </w:rPr>
              <w:t>Name, restriction, manner of administration, form</w:t>
            </w:r>
          </w:p>
        </w:tc>
        <w:tc>
          <w:tcPr>
            <w:tcW w:w="667" w:type="pct"/>
            <w:tcBorders>
              <w:bottom w:val="single" w:sz="4" w:space="0" w:color="auto"/>
            </w:tcBorders>
          </w:tcPr>
          <w:p w14:paraId="43C2CD4C" w14:textId="77777777" w:rsidR="004507D4" w:rsidRPr="007075FF" w:rsidRDefault="004507D4" w:rsidP="004507D4">
            <w:pPr>
              <w:keepNext/>
              <w:keepLines/>
              <w:widowControl w:val="0"/>
              <w:jc w:val="center"/>
              <w:rPr>
                <w:rFonts w:ascii="Arial Narrow" w:hAnsi="Arial Narrow"/>
                <w:b/>
                <w:sz w:val="20"/>
                <w:szCs w:val="20"/>
              </w:rPr>
            </w:pPr>
            <w:r w:rsidRPr="007075FF">
              <w:rPr>
                <w:rFonts w:ascii="Arial Narrow" w:hAnsi="Arial Narrow"/>
                <w:b/>
                <w:sz w:val="20"/>
                <w:szCs w:val="20"/>
              </w:rPr>
              <w:t xml:space="preserve">Maximum amount </w:t>
            </w:r>
          </w:p>
        </w:tc>
        <w:tc>
          <w:tcPr>
            <w:tcW w:w="513" w:type="pct"/>
            <w:tcBorders>
              <w:bottom w:val="single" w:sz="4" w:space="0" w:color="auto"/>
            </w:tcBorders>
          </w:tcPr>
          <w:p w14:paraId="234AB673" w14:textId="77777777" w:rsidR="004507D4" w:rsidRPr="007075FF" w:rsidRDefault="004507D4" w:rsidP="004507D4">
            <w:pPr>
              <w:keepNext/>
              <w:keepLines/>
              <w:widowControl w:val="0"/>
              <w:jc w:val="center"/>
              <w:rPr>
                <w:rFonts w:ascii="Arial Narrow" w:hAnsi="Arial Narrow"/>
                <w:b/>
                <w:sz w:val="20"/>
                <w:szCs w:val="20"/>
              </w:rPr>
            </w:pPr>
            <w:r w:rsidRPr="007075FF">
              <w:rPr>
                <w:rFonts w:ascii="Arial Narrow" w:hAnsi="Arial Narrow"/>
                <w:b/>
                <w:sz w:val="20"/>
                <w:szCs w:val="20"/>
              </w:rPr>
              <w:t>No. of repeats</w:t>
            </w:r>
          </w:p>
        </w:tc>
        <w:tc>
          <w:tcPr>
            <w:tcW w:w="1257" w:type="pct"/>
            <w:tcBorders>
              <w:bottom w:val="single" w:sz="4" w:space="0" w:color="auto"/>
            </w:tcBorders>
          </w:tcPr>
          <w:p w14:paraId="04462B74" w14:textId="77777777" w:rsidR="004507D4" w:rsidRPr="007075FF" w:rsidRDefault="004507D4" w:rsidP="004507D4">
            <w:pPr>
              <w:keepNext/>
              <w:keepLines/>
              <w:widowControl w:val="0"/>
              <w:jc w:val="left"/>
              <w:rPr>
                <w:rFonts w:ascii="Arial Narrow" w:hAnsi="Arial Narrow"/>
                <w:b/>
                <w:sz w:val="20"/>
                <w:szCs w:val="20"/>
              </w:rPr>
            </w:pPr>
            <w:r w:rsidRPr="007075FF">
              <w:rPr>
                <w:rFonts w:ascii="Arial Narrow" w:hAnsi="Arial Narrow"/>
                <w:b/>
                <w:sz w:val="20"/>
                <w:szCs w:val="20"/>
              </w:rPr>
              <w:t>Dispensed price for maximum amount</w:t>
            </w:r>
          </w:p>
        </w:tc>
        <w:tc>
          <w:tcPr>
            <w:tcW w:w="1227" w:type="pct"/>
            <w:tcBorders>
              <w:bottom w:val="single" w:sz="4" w:space="0" w:color="auto"/>
            </w:tcBorders>
          </w:tcPr>
          <w:p w14:paraId="12FDB42B" w14:textId="77777777" w:rsidR="004507D4" w:rsidRPr="007075FF" w:rsidRDefault="004507D4" w:rsidP="004507D4">
            <w:pPr>
              <w:keepNext/>
              <w:keepLines/>
              <w:widowControl w:val="0"/>
              <w:rPr>
                <w:rFonts w:ascii="Arial Narrow" w:hAnsi="Arial Narrow"/>
                <w:b/>
                <w:sz w:val="20"/>
                <w:szCs w:val="20"/>
              </w:rPr>
            </w:pPr>
            <w:r w:rsidRPr="007075FF">
              <w:rPr>
                <w:rFonts w:ascii="Arial Narrow" w:hAnsi="Arial Narrow"/>
                <w:b/>
                <w:sz w:val="20"/>
                <w:szCs w:val="20"/>
              </w:rPr>
              <w:t>Proprietary name and manufacturer</w:t>
            </w:r>
          </w:p>
        </w:tc>
      </w:tr>
      <w:tr w:rsidR="004507D4" w:rsidRPr="00FD2E6F" w14:paraId="1CAD5179" w14:textId="77777777" w:rsidTr="004507D4">
        <w:tc>
          <w:tcPr>
            <w:tcW w:w="5000" w:type="pct"/>
            <w:gridSpan w:val="5"/>
            <w:tcBorders>
              <w:top w:val="nil"/>
            </w:tcBorders>
            <w:vAlign w:val="center"/>
          </w:tcPr>
          <w:p w14:paraId="4F9B8795" w14:textId="77777777" w:rsidR="004507D4" w:rsidRPr="00FD2E6F" w:rsidRDefault="004507D4" w:rsidP="004507D4">
            <w:pPr>
              <w:pStyle w:val="Tabletext"/>
              <w:keepNext/>
              <w:keepLines/>
              <w:widowControl w:val="0"/>
              <w:rPr>
                <w:b/>
                <w:szCs w:val="20"/>
              </w:rPr>
            </w:pPr>
            <w:r w:rsidRPr="00FD2E6F">
              <w:rPr>
                <w:b/>
                <w:szCs w:val="20"/>
              </w:rPr>
              <w:t xml:space="preserve">Bortezomib </w:t>
            </w:r>
            <w:r w:rsidRPr="00FD2E6F">
              <w:rPr>
                <w:rFonts w:eastAsia="Calibri" w:cs="Arial"/>
                <w:b/>
                <w:iCs/>
                <w:szCs w:val="20"/>
                <w:lang w:eastAsia="en-US"/>
              </w:rPr>
              <w:t>(for use as part of the daratumumab SC + CyBorD combination)</w:t>
            </w:r>
          </w:p>
        </w:tc>
      </w:tr>
      <w:tr w:rsidR="004507D4" w:rsidRPr="007075FF" w14:paraId="35AE81B8" w14:textId="77777777" w:rsidTr="004507D4">
        <w:trPr>
          <w:trHeight w:val="1367"/>
        </w:trPr>
        <w:tc>
          <w:tcPr>
            <w:tcW w:w="1335" w:type="pct"/>
            <w:tcBorders>
              <w:top w:val="nil"/>
            </w:tcBorders>
          </w:tcPr>
          <w:p w14:paraId="401B497A" w14:textId="77777777" w:rsidR="004507D4" w:rsidRPr="0076555E" w:rsidRDefault="004507D4" w:rsidP="004507D4">
            <w:pPr>
              <w:pStyle w:val="Tabletext"/>
              <w:keepNext/>
              <w:keepLines/>
              <w:widowControl w:val="0"/>
              <w:rPr>
                <w:szCs w:val="20"/>
              </w:rPr>
            </w:pPr>
            <w:r w:rsidRPr="0076555E">
              <w:rPr>
                <w:rFonts w:eastAsia="Calibri" w:cs="Arial"/>
                <w:szCs w:val="20"/>
                <w:lang w:eastAsia="en-US"/>
              </w:rPr>
              <w:t>Bortezomib, 3.5 mg injection, 1</w:t>
            </w:r>
            <w:r>
              <w:rPr>
                <w:rFonts w:eastAsia="Calibri" w:cs="Arial"/>
                <w:szCs w:val="20"/>
                <w:lang w:eastAsia="en-US"/>
              </w:rPr>
              <w:t> </w:t>
            </w:r>
            <w:r w:rsidRPr="0076555E">
              <w:rPr>
                <w:rFonts w:eastAsia="Calibri" w:cs="Arial"/>
                <w:szCs w:val="20"/>
                <w:lang w:eastAsia="en-US"/>
              </w:rPr>
              <w:t>vial</w:t>
            </w:r>
          </w:p>
          <w:p w14:paraId="71DEA1D6" w14:textId="77777777" w:rsidR="004507D4" w:rsidRPr="0076555E" w:rsidRDefault="004507D4" w:rsidP="004507D4">
            <w:pPr>
              <w:pStyle w:val="Tabletext"/>
              <w:keepNext/>
              <w:keepLines/>
              <w:widowControl w:val="0"/>
              <w:rPr>
                <w:szCs w:val="20"/>
              </w:rPr>
            </w:pPr>
            <w:r>
              <w:rPr>
                <w:rFonts w:eastAsia="Calibri" w:cs="Arial"/>
                <w:szCs w:val="20"/>
                <w:lang w:eastAsia="en-US"/>
              </w:rPr>
              <w:t>Bortezomib, 3 mg injection, 1 </w:t>
            </w:r>
            <w:r w:rsidRPr="0076555E">
              <w:rPr>
                <w:rFonts w:eastAsia="Calibri" w:cs="Arial"/>
                <w:szCs w:val="20"/>
                <w:lang w:eastAsia="en-US"/>
              </w:rPr>
              <w:t>vial</w:t>
            </w:r>
          </w:p>
          <w:p w14:paraId="04F38AC1" w14:textId="77777777" w:rsidR="004507D4" w:rsidRPr="0076555E" w:rsidRDefault="004507D4" w:rsidP="004507D4">
            <w:pPr>
              <w:pStyle w:val="Tabletext"/>
              <w:keepLines/>
              <w:widowControl w:val="0"/>
              <w:rPr>
                <w:szCs w:val="20"/>
              </w:rPr>
            </w:pPr>
            <w:r>
              <w:rPr>
                <w:rFonts w:eastAsia="Calibri" w:cs="Arial"/>
                <w:szCs w:val="20"/>
                <w:lang w:eastAsia="en-US"/>
              </w:rPr>
              <w:t>Bortezomib, 1 mg injection, 1 </w:t>
            </w:r>
            <w:r w:rsidRPr="0076555E">
              <w:rPr>
                <w:rFonts w:eastAsia="Calibri" w:cs="Arial"/>
                <w:szCs w:val="20"/>
                <w:lang w:eastAsia="en-US"/>
              </w:rPr>
              <w:t>vial</w:t>
            </w:r>
          </w:p>
        </w:tc>
        <w:tc>
          <w:tcPr>
            <w:tcW w:w="667" w:type="pct"/>
            <w:tcBorders>
              <w:top w:val="nil"/>
            </w:tcBorders>
            <w:vAlign w:val="center"/>
          </w:tcPr>
          <w:p w14:paraId="0E1EB2E8" w14:textId="77777777" w:rsidR="004507D4" w:rsidRPr="0076555E" w:rsidRDefault="004507D4" w:rsidP="004507D4">
            <w:pPr>
              <w:pStyle w:val="Tabletext"/>
              <w:keepNext/>
              <w:keepLines/>
              <w:widowControl w:val="0"/>
              <w:jc w:val="center"/>
              <w:rPr>
                <w:szCs w:val="20"/>
              </w:rPr>
            </w:pPr>
            <w:r w:rsidRPr="0076555E">
              <w:rPr>
                <w:rFonts w:eastAsia="Calibri" w:cs="Arial"/>
                <w:szCs w:val="20"/>
                <w:lang w:eastAsia="en-US"/>
              </w:rPr>
              <w:t>3000 mcg</w:t>
            </w:r>
          </w:p>
        </w:tc>
        <w:tc>
          <w:tcPr>
            <w:tcW w:w="513" w:type="pct"/>
            <w:tcBorders>
              <w:top w:val="nil"/>
            </w:tcBorders>
            <w:vAlign w:val="center"/>
          </w:tcPr>
          <w:p w14:paraId="4AC228E0" w14:textId="77777777" w:rsidR="004507D4" w:rsidRPr="0076555E" w:rsidRDefault="004507D4" w:rsidP="004507D4">
            <w:pPr>
              <w:pStyle w:val="Tabletext"/>
              <w:keepNext/>
              <w:keepLines/>
              <w:widowControl w:val="0"/>
              <w:jc w:val="center"/>
              <w:rPr>
                <w:szCs w:val="20"/>
              </w:rPr>
            </w:pPr>
            <w:r w:rsidRPr="0076555E">
              <w:rPr>
                <w:rFonts w:eastAsia="Calibri" w:cs="Arial"/>
                <w:szCs w:val="20"/>
                <w:lang w:eastAsia="en-US"/>
              </w:rPr>
              <w:t>11</w:t>
            </w:r>
          </w:p>
        </w:tc>
        <w:tc>
          <w:tcPr>
            <w:tcW w:w="1257" w:type="pct"/>
            <w:tcBorders>
              <w:top w:val="nil"/>
            </w:tcBorders>
            <w:vAlign w:val="center"/>
          </w:tcPr>
          <w:p w14:paraId="15A6F4DE" w14:textId="77777777" w:rsidR="004507D4" w:rsidRDefault="004507D4" w:rsidP="004507D4">
            <w:pPr>
              <w:keepNext/>
              <w:jc w:val="center"/>
              <w:rPr>
                <w:rFonts w:ascii="Arial Narrow" w:eastAsia="Calibri" w:hAnsi="Arial Narrow"/>
                <w:sz w:val="20"/>
                <w:szCs w:val="20"/>
                <w:lang w:eastAsia="en-US"/>
              </w:rPr>
            </w:pPr>
            <w:r>
              <w:rPr>
                <w:rFonts w:ascii="Arial Narrow" w:eastAsia="Calibri" w:hAnsi="Arial Narrow"/>
                <w:sz w:val="20"/>
                <w:szCs w:val="20"/>
                <w:lang w:eastAsia="en-US"/>
              </w:rPr>
              <w:t>Section 100 EFC</w:t>
            </w:r>
          </w:p>
          <w:p w14:paraId="410C93CF" w14:textId="77777777" w:rsidR="004507D4" w:rsidRPr="0076555E" w:rsidRDefault="004507D4" w:rsidP="004507D4">
            <w:pPr>
              <w:keepNext/>
              <w:jc w:val="center"/>
              <w:rPr>
                <w:rFonts w:ascii="Arial Narrow" w:eastAsia="Calibri" w:hAnsi="Arial Narrow"/>
                <w:sz w:val="20"/>
                <w:szCs w:val="20"/>
                <w:lang w:eastAsia="en-US"/>
              </w:rPr>
            </w:pPr>
            <w:r w:rsidRPr="0076555E">
              <w:rPr>
                <w:rFonts w:ascii="Arial Narrow" w:eastAsia="Calibri" w:hAnsi="Arial Narrow"/>
                <w:sz w:val="20"/>
                <w:szCs w:val="20"/>
                <w:lang w:eastAsia="en-US"/>
              </w:rPr>
              <w:t>Public hospital: $605.00</w:t>
            </w:r>
          </w:p>
          <w:p w14:paraId="1A8F37A8" w14:textId="77777777" w:rsidR="004507D4" w:rsidRPr="0076555E" w:rsidRDefault="004507D4" w:rsidP="004507D4">
            <w:pPr>
              <w:pStyle w:val="Tabletext"/>
              <w:keepNext/>
              <w:keepLines/>
              <w:widowControl w:val="0"/>
              <w:jc w:val="center"/>
              <w:rPr>
                <w:szCs w:val="20"/>
              </w:rPr>
            </w:pPr>
            <w:r w:rsidRPr="0076555E">
              <w:rPr>
                <w:rFonts w:eastAsia="Calibri" w:cs="Arial"/>
                <w:szCs w:val="20"/>
                <w:lang w:eastAsia="en-US"/>
              </w:rPr>
              <w:t>Private hospital:</w:t>
            </w:r>
            <w:r>
              <w:rPr>
                <w:rFonts w:eastAsia="Calibri" w:cs="Arial"/>
                <w:szCs w:val="20"/>
                <w:lang w:eastAsia="en-US"/>
              </w:rPr>
              <w:t xml:space="preserve"> </w:t>
            </w:r>
            <w:r w:rsidRPr="0076555E">
              <w:rPr>
                <w:rFonts w:eastAsia="Calibri" w:cs="Arial"/>
                <w:szCs w:val="20"/>
                <w:lang w:eastAsia="en-US"/>
              </w:rPr>
              <w:t>$653.29</w:t>
            </w:r>
          </w:p>
        </w:tc>
        <w:tc>
          <w:tcPr>
            <w:tcW w:w="1228" w:type="pct"/>
            <w:tcBorders>
              <w:top w:val="nil"/>
            </w:tcBorders>
            <w:vAlign w:val="center"/>
          </w:tcPr>
          <w:p w14:paraId="0356D824" w14:textId="77777777" w:rsidR="004507D4" w:rsidRPr="0076555E" w:rsidRDefault="004507D4" w:rsidP="004507D4">
            <w:pPr>
              <w:pStyle w:val="Tabletext"/>
              <w:keepNext/>
              <w:keepLines/>
              <w:widowControl w:val="0"/>
              <w:jc w:val="center"/>
              <w:rPr>
                <w:szCs w:val="20"/>
              </w:rPr>
            </w:pPr>
            <w:r w:rsidRPr="0076555E">
              <w:rPr>
                <w:szCs w:val="20"/>
              </w:rPr>
              <w:t>VELCADE</w:t>
            </w:r>
            <w:r w:rsidRPr="0076555E">
              <w:rPr>
                <w:szCs w:val="20"/>
                <w:vertAlign w:val="superscript"/>
              </w:rPr>
              <w:t>®</w:t>
            </w:r>
            <w:r w:rsidRPr="0076555E">
              <w:rPr>
                <w:szCs w:val="20"/>
              </w:rPr>
              <w:t xml:space="preserve">, </w:t>
            </w:r>
            <w:r>
              <w:rPr>
                <w:szCs w:val="20"/>
              </w:rPr>
              <w:br/>
            </w:r>
            <w:r w:rsidRPr="0076555E">
              <w:rPr>
                <w:szCs w:val="20"/>
              </w:rPr>
              <w:t>Janssen</w:t>
            </w:r>
            <w:r w:rsidRPr="0076555E">
              <w:rPr>
                <w:szCs w:val="20"/>
              </w:rPr>
              <w:noBreakHyphen/>
              <w:t>Cilag</w:t>
            </w:r>
          </w:p>
        </w:tc>
      </w:tr>
    </w:tbl>
    <w:p w14:paraId="02B342DE" w14:textId="77777777" w:rsidR="004507D4" w:rsidRDefault="004507D4" w:rsidP="00644EA3"/>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3"/>
        <w:gridCol w:w="6785"/>
      </w:tblGrid>
      <w:tr w:rsidR="00430A68" w:rsidRPr="00945CB3" w14:paraId="385AF892"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3218FC04" w14:textId="77777777" w:rsidR="00430A68" w:rsidRPr="00BA73CD" w:rsidRDefault="00430A68" w:rsidP="00B425EB">
            <w:pPr>
              <w:pStyle w:val="Tabletext"/>
              <w:keepNext/>
            </w:pPr>
            <w:r w:rsidRPr="00BA73CD">
              <w:rPr>
                <w:szCs w:val="20"/>
              </w:rPr>
              <w:t>Category / Program:</w:t>
            </w:r>
          </w:p>
        </w:tc>
        <w:tc>
          <w:tcPr>
            <w:tcW w:w="3758" w:type="pct"/>
            <w:tcBorders>
              <w:top w:val="single" w:sz="4" w:space="0" w:color="auto"/>
              <w:left w:val="single" w:sz="4" w:space="0" w:color="auto"/>
              <w:bottom w:val="single" w:sz="4" w:space="0" w:color="auto"/>
              <w:right w:val="single" w:sz="4" w:space="0" w:color="auto"/>
            </w:tcBorders>
          </w:tcPr>
          <w:p w14:paraId="0388F63B" w14:textId="77777777" w:rsidR="00430A68" w:rsidRPr="00BA73CD" w:rsidRDefault="00430A68" w:rsidP="00B425EB">
            <w:pPr>
              <w:pStyle w:val="Tabletext"/>
              <w:keepNext/>
            </w:pPr>
            <w:r w:rsidRPr="002D0E79">
              <w:rPr>
                <w:rFonts w:eastAsia="Calibri" w:cs="Arial"/>
                <w:szCs w:val="20"/>
                <w:lang w:eastAsia="en-US"/>
              </w:rPr>
              <w:t>Chemotherapy Items for Public Hospital use</w:t>
            </w:r>
          </w:p>
        </w:tc>
      </w:tr>
      <w:tr w:rsidR="00430A68" w:rsidRPr="00945CB3" w14:paraId="0B424A88"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14FEC94A" w14:textId="77777777" w:rsidR="00430A68" w:rsidRPr="00BA73CD" w:rsidRDefault="00430A68" w:rsidP="00B425EB">
            <w:pPr>
              <w:pStyle w:val="Tabletext"/>
              <w:keepNext/>
            </w:pPr>
            <w:r w:rsidRPr="00BA73CD">
              <w:rPr>
                <w:szCs w:val="20"/>
              </w:rPr>
              <w:t>Prescriber type:</w:t>
            </w:r>
          </w:p>
        </w:tc>
        <w:tc>
          <w:tcPr>
            <w:tcW w:w="3758" w:type="pct"/>
            <w:tcBorders>
              <w:top w:val="single" w:sz="4" w:space="0" w:color="auto"/>
              <w:left w:val="single" w:sz="4" w:space="0" w:color="auto"/>
              <w:bottom w:val="single" w:sz="4" w:space="0" w:color="auto"/>
              <w:right w:val="single" w:sz="4" w:space="0" w:color="auto"/>
            </w:tcBorders>
          </w:tcPr>
          <w:p w14:paraId="0D7CE3F8" w14:textId="77777777" w:rsidR="00430A68" w:rsidRPr="00BA73CD" w:rsidRDefault="00430A68" w:rsidP="00B425EB">
            <w:pPr>
              <w:pStyle w:val="TableText0"/>
            </w:pP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 xml:space="preserve">Dental  </w:t>
            </w:r>
            <w:r>
              <w:rPr>
                <w:bCs w:val="0"/>
                <w:szCs w:val="20"/>
              </w:rPr>
              <w:fldChar w:fldCharType="begin">
                <w:ffData>
                  <w:name w:val="Check1"/>
                  <w:enabled/>
                  <w:calcOnExit w:val="0"/>
                  <w:checkBox>
                    <w:sizeAuto/>
                    <w:default w:val="1"/>
                  </w:checkBox>
                </w:ffData>
              </w:fldChar>
            </w:r>
            <w:r>
              <w:rPr>
                <w:szCs w:val="20"/>
              </w:rPr>
              <w:instrText xml:space="preserve"> FORMCHECKBOX </w:instrText>
            </w:r>
            <w:r w:rsidR="00BE3AB8">
              <w:rPr>
                <w:bCs w:val="0"/>
                <w:szCs w:val="20"/>
              </w:rPr>
            </w:r>
            <w:r w:rsidR="00BE3AB8">
              <w:rPr>
                <w:bCs w:val="0"/>
                <w:szCs w:val="20"/>
              </w:rPr>
              <w:fldChar w:fldCharType="separate"/>
            </w:r>
            <w:r>
              <w:rPr>
                <w:bCs w:val="0"/>
                <w:szCs w:val="20"/>
              </w:rPr>
              <w:fldChar w:fldCharType="end"/>
            </w:r>
            <w:r w:rsidRPr="00BA73CD">
              <w:rPr>
                <w:szCs w:val="20"/>
              </w:rPr>
              <w:t xml:space="preserve">Medical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 xml:space="preserve">Nurse practitioners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 xml:space="preserve">Optometrists </w:t>
            </w:r>
            <w:r w:rsidRPr="00BA73CD">
              <w:rPr>
                <w:bCs w:val="0"/>
                <w:szCs w:val="20"/>
              </w:rPr>
              <w:fldChar w:fldCharType="begin">
                <w:ffData>
                  <w:name w:val="Check1"/>
                  <w:enabled/>
                  <w:calcOnExit w:val="0"/>
                  <w:checkBox>
                    <w:sizeAuto/>
                    <w:default w:val="0"/>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Midwives</w:t>
            </w:r>
          </w:p>
        </w:tc>
      </w:tr>
      <w:tr w:rsidR="00430A68" w:rsidRPr="00945CB3" w14:paraId="32EEF748"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0932080B" w14:textId="77777777" w:rsidR="00430A68" w:rsidRPr="00BA73CD" w:rsidRDefault="00430A68" w:rsidP="00B425EB">
            <w:pPr>
              <w:pStyle w:val="Tabletext"/>
              <w:keepNext/>
            </w:pPr>
            <w:r w:rsidRPr="00BA73CD">
              <w:rPr>
                <w:szCs w:val="20"/>
              </w:rPr>
              <w:t>Condition:</w:t>
            </w:r>
          </w:p>
        </w:tc>
        <w:tc>
          <w:tcPr>
            <w:tcW w:w="3758" w:type="pct"/>
            <w:tcBorders>
              <w:top w:val="single" w:sz="4" w:space="0" w:color="auto"/>
              <w:left w:val="single" w:sz="4" w:space="0" w:color="auto"/>
              <w:bottom w:val="single" w:sz="4" w:space="0" w:color="auto"/>
              <w:right w:val="single" w:sz="4" w:space="0" w:color="auto"/>
            </w:tcBorders>
          </w:tcPr>
          <w:p w14:paraId="5F6B5028" w14:textId="77777777" w:rsidR="00430A68" w:rsidRPr="00BA73CD" w:rsidRDefault="00430A68" w:rsidP="00B425EB">
            <w:pPr>
              <w:pStyle w:val="Tabletext"/>
              <w:keepNext/>
            </w:pPr>
            <w:r w:rsidRPr="00BA73CD">
              <w:rPr>
                <w:rFonts w:eastAsia="Calibri" w:cs="Arial"/>
                <w:szCs w:val="20"/>
                <w:lang w:eastAsia="en-US"/>
              </w:rPr>
              <w:t xml:space="preserve">Systemic </w:t>
            </w:r>
            <w:r>
              <w:rPr>
                <w:rFonts w:eastAsia="Calibri" w:cs="Arial"/>
                <w:szCs w:val="20"/>
                <w:lang w:eastAsia="en-US"/>
              </w:rPr>
              <w:t>light-chain</w:t>
            </w:r>
            <w:r w:rsidRPr="00BA73CD">
              <w:rPr>
                <w:rFonts w:eastAsia="Calibri" w:cs="Arial"/>
                <w:szCs w:val="20"/>
                <w:lang w:eastAsia="en-US"/>
              </w:rPr>
              <w:t xml:space="preserve"> amyloidosis</w:t>
            </w:r>
          </w:p>
        </w:tc>
      </w:tr>
      <w:tr w:rsidR="00430A68" w:rsidRPr="00945CB3" w14:paraId="050155CF"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14915C73" w14:textId="77777777" w:rsidR="00430A68" w:rsidRPr="00BA73CD" w:rsidRDefault="00430A68" w:rsidP="00B425EB">
            <w:pPr>
              <w:pStyle w:val="Tabletext"/>
              <w:keepNext/>
            </w:pPr>
            <w:r w:rsidRPr="00BA73CD">
              <w:rPr>
                <w:szCs w:val="20"/>
              </w:rPr>
              <w:t>PBS Indication:</w:t>
            </w:r>
          </w:p>
        </w:tc>
        <w:tc>
          <w:tcPr>
            <w:tcW w:w="3758" w:type="pct"/>
            <w:tcBorders>
              <w:top w:val="single" w:sz="4" w:space="0" w:color="auto"/>
              <w:left w:val="single" w:sz="4" w:space="0" w:color="auto"/>
              <w:bottom w:val="single" w:sz="4" w:space="0" w:color="auto"/>
              <w:right w:val="single" w:sz="4" w:space="0" w:color="auto"/>
            </w:tcBorders>
          </w:tcPr>
          <w:p w14:paraId="279472B5" w14:textId="77777777" w:rsidR="00430A68" w:rsidRPr="00BA73CD" w:rsidRDefault="00430A68" w:rsidP="00B425EB">
            <w:pPr>
              <w:pStyle w:val="Tabletext"/>
              <w:keepNext/>
            </w:pPr>
            <w:r w:rsidRPr="00BA73CD">
              <w:rPr>
                <w:rFonts w:eastAsia="Calibri" w:cs="Arial"/>
                <w:szCs w:val="20"/>
                <w:lang w:eastAsia="en-US"/>
              </w:rPr>
              <w:t>Untreated systemic light-chain amyloidosis</w:t>
            </w:r>
          </w:p>
        </w:tc>
      </w:tr>
      <w:tr w:rsidR="00430A68" w:rsidRPr="00945CB3" w14:paraId="5C714842"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1F45A7B0" w14:textId="77777777" w:rsidR="00430A68" w:rsidRPr="00BA73CD" w:rsidRDefault="00430A68" w:rsidP="00B425EB">
            <w:pPr>
              <w:pStyle w:val="Tabletext"/>
              <w:keepNext/>
            </w:pPr>
            <w:r w:rsidRPr="00BA73CD">
              <w:rPr>
                <w:szCs w:val="20"/>
              </w:rPr>
              <w:t>Restriction:</w:t>
            </w:r>
          </w:p>
        </w:tc>
        <w:tc>
          <w:tcPr>
            <w:tcW w:w="3758" w:type="pct"/>
            <w:tcBorders>
              <w:top w:val="single" w:sz="4" w:space="0" w:color="auto"/>
              <w:left w:val="single" w:sz="4" w:space="0" w:color="auto"/>
              <w:bottom w:val="single" w:sz="4" w:space="0" w:color="auto"/>
              <w:right w:val="single" w:sz="4" w:space="0" w:color="auto"/>
            </w:tcBorders>
          </w:tcPr>
          <w:p w14:paraId="4E3EDB56" w14:textId="77777777" w:rsidR="00430A68" w:rsidRPr="00D71DEE" w:rsidRDefault="00430A68" w:rsidP="00B425EB">
            <w:pPr>
              <w:pStyle w:val="TableText0"/>
              <w:rPr>
                <w:szCs w:val="20"/>
              </w:rPr>
            </w:pPr>
            <w:r w:rsidRPr="00BA73CD">
              <w:rPr>
                <w:bCs w:val="0"/>
                <w:szCs w:val="20"/>
              </w:rPr>
              <w:fldChar w:fldCharType="begin">
                <w:ffData>
                  <w:name w:val="Check3"/>
                  <w:enabled/>
                  <w:calcOnExit w:val="0"/>
                  <w:checkBox>
                    <w:sizeAuto/>
                    <w:default w:val="1"/>
                  </w:checkBox>
                </w:ffData>
              </w:fldChar>
            </w:r>
            <w:r w:rsidRPr="00BA73CD">
              <w:rPr>
                <w:szCs w:val="20"/>
              </w:rPr>
              <w:instrText xml:space="preserve"> FORMCHECKBOX </w:instrText>
            </w:r>
            <w:r w:rsidR="00BE3AB8">
              <w:rPr>
                <w:bCs w:val="0"/>
                <w:szCs w:val="20"/>
              </w:rPr>
            </w:r>
            <w:r w:rsidR="00BE3AB8">
              <w:rPr>
                <w:bCs w:val="0"/>
                <w:szCs w:val="20"/>
              </w:rPr>
              <w:fldChar w:fldCharType="separate"/>
            </w:r>
            <w:r w:rsidRPr="00BA73CD">
              <w:rPr>
                <w:bCs w:val="0"/>
                <w:szCs w:val="20"/>
              </w:rPr>
              <w:fldChar w:fldCharType="end"/>
            </w:r>
            <w:r w:rsidRPr="00BA73CD">
              <w:rPr>
                <w:szCs w:val="20"/>
              </w:rPr>
              <w:t>Authority Required – Telephone, Electronic</w:t>
            </w:r>
          </w:p>
        </w:tc>
      </w:tr>
      <w:tr w:rsidR="00245179" w:rsidRPr="00945CB3" w14:paraId="30EF25AC"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tcPr>
          <w:p w14:paraId="00EDF9E7" w14:textId="77777777" w:rsidR="00245179" w:rsidRPr="00BA73CD" w:rsidRDefault="00245179" w:rsidP="00B425EB">
            <w:pPr>
              <w:pStyle w:val="Tabletext"/>
              <w:keepNext/>
              <w:rPr>
                <w:szCs w:val="20"/>
              </w:rPr>
            </w:pPr>
            <w:r>
              <w:rPr>
                <w:szCs w:val="20"/>
              </w:rPr>
              <w:t>Treatment phase</w:t>
            </w:r>
          </w:p>
        </w:tc>
        <w:tc>
          <w:tcPr>
            <w:tcW w:w="3758" w:type="pct"/>
            <w:tcBorders>
              <w:top w:val="single" w:sz="4" w:space="0" w:color="auto"/>
              <w:left w:val="single" w:sz="4" w:space="0" w:color="auto"/>
              <w:bottom w:val="single" w:sz="4" w:space="0" w:color="auto"/>
              <w:right w:val="single" w:sz="4" w:space="0" w:color="auto"/>
            </w:tcBorders>
          </w:tcPr>
          <w:p w14:paraId="4498B1F0" w14:textId="77777777" w:rsidR="00245179" w:rsidRPr="00BA73CD" w:rsidRDefault="00245179" w:rsidP="00B425EB">
            <w:pPr>
              <w:keepNext/>
              <w:rPr>
                <w:rFonts w:ascii="Arial Narrow" w:eastAsia="Calibri" w:hAnsi="Arial Narrow"/>
                <w:sz w:val="20"/>
                <w:szCs w:val="20"/>
                <w:lang w:eastAsia="en-US"/>
              </w:rPr>
            </w:pPr>
            <w:r>
              <w:rPr>
                <w:rFonts w:ascii="Arial Narrow" w:eastAsia="Calibri" w:hAnsi="Arial Narrow"/>
                <w:sz w:val="20"/>
                <w:szCs w:val="20"/>
                <w:lang w:eastAsia="en-US"/>
              </w:rPr>
              <w:t>Initial and continuing</w:t>
            </w:r>
          </w:p>
        </w:tc>
      </w:tr>
      <w:tr w:rsidR="00430A68" w:rsidRPr="00945CB3" w14:paraId="08825FE2"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tcPr>
          <w:p w14:paraId="6185027C" w14:textId="77777777" w:rsidR="00430A68" w:rsidRPr="00BA73CD" w:rsidRDefault="00430A68" w:rsidP="00B425EB">
            <w:pPr>
              <w:pStyle w:val="Tabletext"/>
              <w:keepNext/>
            </w:pPr>
            <w:r w:rsidRPr="00BA73CD">
              <w:rPr>
                <w:szCs w:val="20"/>
              </w:rPr>
              <w:t>Clinical criteria:</w:t>
            </w:r>
          </w:p>
        </w:tc>
        <w:tc>
          <w:tcPr>
            <w:tcW w:w="3758" w:type="pct"/>
            <w:tcBorders>
              <w:top w:val="single" w:sz="4" w:space="0" w:color="auto"/>
              <w:left w:val="single" w:sz="4" w:space="0" w:color="auto"/>
              <w:bottom w:val="single" w:sz="4" w:space="0" w:color="auto"/>
              <w:right w:val="single" w:sz="4" w:space="0" w:color="auto"/>
            </w:tcBorders>
          </w:tcPr>
          <w:p w14:paraId="46BD486E"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Patients must have a confirmed diagnosis of systemic light-chain amyloidosis,</w:t>
            </w:r>
          </w:p>
          <w:p w14:paraId="669087B0"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51B26213"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The condition must be untreated</w:t>
            </w:r>
            <w:r>
              <w:rPr>
                <w:rFonts w:ascii="Arial Narrow" w:eastAsia="Calibri" w:hAnsi="Arial Narrow"/>
                <w:sz w:val="20"/>
                <w:szCs w:val="20"/>
                <w:lang w:eastAsia="en-US"/>
              </w:rPr>
              <w:t xml:space="preserve"> </w:t>
            </w:r>
            <w:r w:rsidRPr="00AC4F55">
              <w:rPr>
                <w:rFonts w:ascii="Arial Narrow" w:eastAsia="Calibri" w:hAnsi="Arial Narrow"/>
                <w:i/>
                <w:sz w:val="20"/>
                <w:szCs w:val="20"/>
                <w:lang w:eastAsia="en-US"/>
              </w:rPr>
              <w:t>[initial treatment only]</w:t>
            </w:r>
            <w:r w:rsidRPr="00BA73CD">
              <w:rPr>
                <w:rFonts w:ascii="Arial Narrow" w:eastAsia="Calibri" w:hAnsi="Arial Narrow"/>
                <w:sz w:val="20"/>
                <w:szCs w:val="20"/>
                <w:lang w:eastAsia="en-US"/>
              </w:rPr>
              <w:t xml:space="preserve">, </w:t>
            </w:r>
          </w:p>
          <w:p w14:paraId="43694566"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3898335F"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 xml:space="preserve">The patient must not have NYHA Class IIIB or Class IV cardiac disease or Mayo stage IIIB disease, </w:t>
            </w:r>
          </w:p>
          <w:p w14:paraId="41F78AC5"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50937770" w14:textId="77777777" w:rsidR="00430A68" w:rsidRPr="00BA73CD" w:rsidRDefault="00430A68" w:rsidP="00B425EB">
            <w:pPr>
              <w:keepNext/>
              <w:rPr>
                <w:rFonts w:ascii="Arial Narrow" w:eastAsia="Calibri" w:hAnsi="Arial Narrow"/>
                <w:sz w:val="20"/>
                <w:szCs w:val="20"/>
                <w:lang w:eastAsia="en-US"/>
              </w:rPr>
            </w:pPr>
            <w:r w:rsidRPr="002D0E79">
              <w:rPr>
                <w:rFonts w:ascii="Arial Narrow" w:eastAsia="Calibri" w:hAnsi="Arial Narrow"/>
                <w:sz w:val="20"/>
                <w:szCs w:val="20"/>
                <w:lang w:eastAsia="en-US"/>
              </w:rPr>
              <w:t>The treatment must be in combination with daratumumab, cyclophosphamide and dexamethasone</w:t>
            </w:r>
            <w:r w:rsidRPr="00BA73CD">
              <w:rPr>
                <w:rFonts w:ascii="Arial Narrow" w:eastAsia="Calibri" w:hAnsi="Arial Narrow"/>
                <w:sz w:val="20"/>
                <w:szCs w:val="20"/>
                <w:lang w:eastAsia="en-US"/>
              </w:rPr>
              <w:t xml:space="preserve">, </w:t>
            </w:r>
          </w:p>
          <w:p w14:paraId="4459F5A7" w14:textId="77777777" w:rsidR="00430A68" w:rsidRPr="00BA73CD" w:rsidRDefault="00430A68" w:rsidP="00B425EB">
            <w:pPr>
              <w:keepNext/>
              <w:rPr>
                <w:rFonts w:ascii="Arial Narrow" w:eastAsia="Calibri" w:hAnsi="Arial Narrow"/>
                <w:sz w:val="20"/>
                <w:szCs w:val="20"/>
                <w:lang w:eastAsia="en-US"/>
              </w:rPr>
            </w:pPr>
            <w:r w:rsidRPr="00BA73CD">
              <w:rPr>
                <w:rFonts w:ascii="Arial Narrow" w:eastAsia="Calibri" w:hAnsi="Arial Narrow"/>
                <w:sz w:val="20"/>
                <w:szCs w:val="20"/>
                <w:lang w:eastAsia="en-US"/>
              </w:rPr>
              <w:t>AND</w:t>
            </w:r>
          </w:p>
          <w:p w14:paraId="4A31EC12" w14:textId="77777777" w:rsidR="00430A68" w:rsidRDefault="00430A68" w:rsidP="00B425EB">
            <w:pPr>
              <w:pStyle w:val="Tabletext"/>
              <w:keepNext/>
              <w:rPr>
                <w:rFonts w:eastAsia="Calibri" w:cs="Arial"/>
                <w:szCs w:val="20"/>
                <w:lang w:eastAsia="en-US"/>
              </w:rPr>
            </w:pPr>
            <w:r w:rsidRPr="00BA73CD">
              <w:rPr>
                <w:rFonts w:eastAsia="Calibri" w:cs="Arial"/>
                <w:szCs w:val="20"/>
                <w:lang w:eastAsia="en-US"/>
              </w:rPr>
              <w:t>The patient must have an Eastern Cooperative Oncology Group Performance Status of 0, 1 or 2</w:t>
            </w:r>
          </w:p>
          <w:p w14:paraId="783A57A9" w14:textId="77777777" w:rsidR="00430A68" w:rsidRPr="00BB41BE" w:rsidRDefault="00430A68" w:rsidP="00B425EB">
            <w:pPr>
              <w:keepNext/>
              <w:rPr>
                <w:rFonts w:ascii="Arial Narrow" w:eastAsia="Calibri" w:hAnsi="Arial Narrow"/>
                <w:sz w:val="20"/>
                <w:szCs w:val="20"/>
                <w:lang w:eastAsia="en-US"/>
              </w:rPr>
            </w:pPr>
            <w:r w:rsidRPr="00BB41BE">
              <w:rPr>
                <w:rFonts w:ascii="Arial Narrow" w:eastAsia="Calibri" w:hAnsi="Arial Narrow"/>
                <w:sz w:val="20"/>
                <w:szCs w:val="20"/>
                <w:lang w:eastAsia="en-US"/>
              </w:rPr>
              <w:t>AND</w:t>
            </w:r>
            <w:r>
              <w:rPr>
                <w:rFonts w:ascii="Arial Narrow" w:eastAsia="Calibri" w:hAnsi="Arial Narrow"/>
                <w:sz w:val="20"/>
                <w:szCs w:val="20"/>
                <w:lang w:eastAsia="en-US"/>
              </w:rPr>
              <w:t>;</w:t>
            </w:r>
          </w:p>
          <w:p w14:paraId="7141E886" w14:textId="77777777" w:rsidR="00430A68" w:rsidRPr="00BA73CD" w:rsidRDefault="00430A68" w:rsidP="00B425EB">
            <w:pPr>
              <w:pStyle w:val="Tabletext"/>
              <w:keepNext/>
              <w:rPr>
                <w:color w:val="000000"/>
              </w:rPr>
            </w:pPr>
            <w:r>
              <w:rPr>
                <w:rFonts w:eastAsia="Calibri"/>
                <w:szCs w:val="20"/>
                <w:lang w:eastAsia="en-US"/>
              </w:rPr>
              <w:t>The p</w:t>
            </w:r>
            <w:r w:rsidRPr="00BB41BE">
              <w:rPr>
                <w:rFonts w:eastAsia="Calibri"/>
                <w:szCs w:val="20"/>
                <w:lang w:eastAsia="en-US"/>
              </w:rPr>
              <w:t>atient must not have developed disease progression while receiving treatment with this drug for this condition</w:t>
            </w:r>
            <w:r>
              <w:rPr>
                <w:rFonts w:eastAsia="Calibri"/>
                <w:szCs w:val="20"/>
                <w:lang w:eastAsia="en-US"/>
              </w:rPr>
              <w:t xml:space="preserve"> </w:t>
            </w:r>
            <w:r w:rsidRPr="00AC4F55">
              <w:rPr>
                <w:rFonts w:eastAsia="Calibri"/>
                <w:i/>
                <w:szCs w:val="20"/>
                <w:lang w:eastAsia="en-US"/>
              </w:rPr>
              <w:t>[continuing treatment only]</w:t>
            </w:r>
            <w:r w:rsidRPr="00BB41BE">
              <w:rPr>
                <w:rFonts w:eastAsia="Calibri"/>
                <w:szCs w:val="20"/>
                <w:lang w:eastAsia="en-US"/>
              </w:rPr>
              <w:t>.</w:t>
            </w:r>
          </w:p>
        </w:tc>
      </w:tr>
      <w:tr w:rsidR="00430A68" w:rsidRPr="00945CB3" w14:paraId="71C28E03" w14:textId="77777777" w:rsidTr="004507D4">
        <w:trPr>
          <w:trHeight w:val="20"/>
        </w:trPr>
        <w:tc>
          <w:tcPr>
            <w:tcW w:w="1242" w:type="pct"/>
            <w:tcBorders>
              <w:top w:val="single" w:sz="4" w:space="0" w:color="auto"/>
              <w:left w:val="single" w:sz="4" w:space="0" w:color="auto"/>
              <w:bottom w:val="single" w:sz="4" w:space="0" w:color="auto"/>
              <w:right w:val="single" w:sz="4" w:space="0" w:color="auto"/>
            </w:tcBorders>
            <w:hideMark/>
          </w:tcPr>
          <w:p w14:paraId="0CA516AE" w14:textId="77777777" w:rsidR="00430A68" w:rsidRPr="00BA73CD" w:rsidRDefault="00430A68" w:rsidP="00B425EB">
            <w:pPr>
              <w:pStyle w:val="Tabletext"/>
            </w:pPr>
            <w:r w:rsidRPr="00BA73CD">
              <w:rPr>
                <w:szCs w:val="20"/>
              </w:rPr>
              <w:t>Administrative Advice:</w:t>
            </w:r>
          </w:p>
        </w:tc>
        <w:tc>
          <w:tcPr>
            <w:tcW w:w="3758" w:type="pct"/>
            <w:tcBorders>
              <w:top w:val="single" w:sz="4" w:space="0" w:color="auto"/>
              <w:left w:val="single" w:sz="4" w:space="0" w:color="auto"/>
              <w:bottom w:val="single" w:sz="4" w:space="0" w:color="auto"/>
              <w:right w:val="single" w:sz="4" w:space="0" w:color="auto"/>
            </w:tcBorders>
          </w:tcPr>
          <w:p w14:paraId="3463BFD1" w14:textId="77777777" w:rsidR="00430A68" w:rsidRPr="00BA73CD" w:rsidRDefault="00430A68" w:rsidP="00B425EB">
            <w:pPr>
              <w:pStyle w:val="Tabletext"/>
              <w:rPr>
                <w:color w:val="000000"/>
              </w:rPr>
            </w:pPr>
            <w:r>
              <w:rPr>
                <w:rFonts w:eastAsia="Calibri" w:cs="Arial"/>
                <w:szCs w:val="20"/>
                <w:lang w:eastAsia="en-US"/>
              </w:rPr>
              <w:t>nil</w:t>
            </w:r>
          </w:p>
        </w:tc>
      </w:tr>
    </w:tbl>
    <w:p w14:paraId="4FCF082B" w14:textId="77777777" w:rsidR="00430A68" w:rsidRPr="007075FF" w:rsidRDefault="00430A68" w:rsidP="00430A68">
      <w:pPr>
        <w:pStyle w:val="TableFooter"/>
      </w:pPr>
      <w:r w:rsidRPr="007075FF">
        <w:lastRenderedPageBreak/>
        <w:t>Source: Table 1</w:t>
      </w:r>
      <w:r>
        <w:t>-16 and Table 1-17</w:t>
      </w:r>
      <w:r w:rsidRPr="007075FF">
        <w:t>, p</w:t>
      </w:r>
      <w:r>
        <w:t>58-60</w:t>
      </w:r>
      <w:r w:rsidRPr="007075FF">
        <w:t xml:space="preserve"> of the submission</w:t>
      </w:r>
    </w:p>
    <w:p w14:paraId="547935DB" w14:textId="77777777" w:rsidR="00430A68" w:rsidRDefault="00430A68" w:rsidP="00430A68">
      <w:pPr>
        <w:rPr>
          <w:rFonts w:ascii="Arial Narrow" w:hAnsi="Arial Narrow"/>
          <w:sz w:val="18"/>
        </w:rPr>
      </w:pPr>
      <w:r w:rsidRPr="00644EA3">
        <w:rPr>
          <w:rFonts w:ascii="Arial Narrow" w:hAnsi="Arial Narrow"/>
          <w:sz w:val="18"/>
        </w:rPr>
        <w:t>NYHA = New York Heart Association</w:t>
      </w:r>
    </w:p>
    <w:p w14:paraId="49140366" w14:textId="77777777" w:rsidR="00C54A71" w:rsidRPr="00644EA3" w:rsidRDefault="00C54A71" w:rsidP="00644EA3"/>
    <w:p w14:paraId="1FD34F07" w14:textId="77777777" w:rsidR="001F275B" w:rsidRPr="006F2DBA" w:rsidRDefault="001F275B" w:rsidP="001F275B">
      <w:pPr>
        <w:pStyle w:val="3-BodyText"/>
      </w:pPr>
      <w:r w:rsidRPr="006F2DBA">
        <w:rPr>
          <w:snapToGrid/>
        </w:rPr>
        <w:t xml:space="preserve">The submission requested a Special Pricing Arrangement (SPA), consistent with the price proposed for daratumumab SC for second-line multiple myeloma. The submission requested a rebate of </w:t>
      </w:r>
      <w:r w:rsidR="008E6972">
        <w:rPr>
          <w:noProof/>
          <w:snapToGrid/>
          <w:color w:val="000000"/>
          <w:highlight w:val="black"/>
        </w:rPr>
        <w:t>'''''''''''</w:t>
      </w:r>
      <w:r w:rsidRPr="006F2DBA">
        <w:rPr>
          <w:snapToGrid/>
        </w:rPr>
        <w:t>% for daratumumab SC under a Section 100 (Highly Specialised Drugs Program) listing. The proposed published DPMQ for daratumumab SC is $7,010.28 (public hospital) and $7,058.02 (private hospital) and the proposed effective DPMQ is $</w:t>
      </w:r>
      <w:r w:rsidR="008E6972">
        <w:rPr>
          <w:noProof/>
          <w:snapToGrid/>
          <w:color w:val="000000"/>
          <w:highlight w:val="black"/>
        </w:rPr>
        <w:t>'''''''''''''''''</w:t>
      </w:r>
      <w:r w:rsidRPr="006F2DBA">
        <w:rPr>
          <w:snapToGrid/>
        </w:rPr>
        <w:t xml:space="preserve"> for the public setting and $</w:t>
      </w:r>
      <w:r w:rsidR="008E6972">
        <w:rPr>
          <w:noProof/>
          <w:snapToGrid/>
          <w:color w:val="000000"/>
          <w:highlight w:val="black"/>
        </w:rPr>
        <w:t>'''''''''''''''''</w:t>
      </w:r>
      <w:r w:rsidRPr="006F2DBA">
        <w:rPr>
          <w:snapToGrid/>
        </w:rPr>
        <w:t xml:space="preserve"> for the private setting. </w:t>
      </w:r>
      <w:r w:rsidR="006F292C">
        <w:rPr>
          <w:rFonts w:cs="Calibri"/>
          <w:bCs/>
        </w:rPr>
        <w:t xml:space="preserve">The </w:t>
      </w:r>
      <w:r w:rsidR="00843B80">
        <w:rPr>
          <w:rFonts w:cs="Calibri"/>
          <w:bCs/>
        </w:rPr>
        <w:t>Pre-Sub-Committee Response (</w:t>
      </w:r>
      <w:r w:rsidR="006F292C">
        <w:rPr>
          <w:rFonts w:cs="Calibri"/>
          <w:bCs/>
        </w:rPr>
        <w:t>PSCR</w:t>
      </w:r>
      <w:r w:rsidR="00843B80">
        <w:rPr>
          <w:rFonts w:cs="Calibri"/>
          <w:bCs/>
        </w:rPr>
        <w:t>)</w:t>
      </w:r>
      <w:r w:rsidR="00722212" w:rsidRPr="004C4EC9">
        <w:rPr>
          <w:rFonts w:cs="Calibri"/>
          <w:bCs/>
        </w:rPr>
        <w:t xml:space="preserve"> agreed with the Secretariat’s suggestion to align the listing program of daratumumab SC for AL amyloidosis to that for </w:t>
      </w:r>
      <w:r w:rsidR="00722212">
        <w:rPr>
          <w:rFonts w:cs="Calibri"/>
          <w:bCs/>
        </w:rPr>
        <w:t>RR</w:t>
      </w:r>
      <w:r w:rsidR="00722212" w:rsidRPr="004C4EC9">
        <w:rPr>
          <w:rFonts w:cs="Calibri"/>
          <w:bCs/>
        </w:rPr>
        <w:t>MM, i.e., dual General Sched</w:t>
      </w:r>
      <w:r w:rsidR="00722212" w:rsidRPr="00B57E6B">
        <w:rPr>
          <w:rFonts w:cs="Calibri"/>
          <w:bCs/>
        </w:rPr>
        <w:t>ule and Section 100 (EFC) listings.</w:t>
      </w:r>
    </w:p>
    <w:p w14:paraId="088B7366" w14:textId="79E82F28" w:rsidR="00202763" w:rsidRPr="006F2DBA" w:rsidRDefault="001F275B" w:rsidP="00202763">
      <w:pPr>
        <w:pStyle w:val="3-BodyText"/>
      </w:pPr>
      <w:r w:rsidRPr="006F2DBA">
        <w:t xml:space="preserve">The </w:t>
      </w:r>
      <w:r w:rsidR="00802E73" w:rsidRPr="006F2DBA">
        <w:t xml:space="preserve">proposed </w:t>
      </w:r>
      <w:r w:rsidRPr="006F2DBA">
        <w:t>PBS</w:t>
      </w:r>
      <w:r w:rsidR="00FF35FA" w:rsidRPr="006F2DBA">
        <w:t xml:space="preserve"> restriction </w:t>
      </w:r>
      <w:r w:rsidR="008340CB">
        <w:t xml:space="preserve">did not explicitly exclude </w:t>
      </w:r>
      <w:r w:rsidRPr="006F2DBA">
        <w:t xml:space="preserve">patients with a concurrent diagnosis of AL amyloidosis and multiple myeloma </w:t>
      </w:r>
      <w:r w:rsidR="005C2ABB" w:rsidRPr="006F2DBA">
        <w:t>(MM)</w:t>
      </w:r>
      <w:r w:rsidRPr="006F2DBA">
        <w:t xml:space="preserve">. </w:t>
      </w:r>
      <w:r w:rsidR="00741D06" w:rsidRPr="006F2DBA">
        <w:t xml:space="preserve">However, patients in the pivotal trials, ANDROMEDA and Kastritis et al. 2020, were excluded if they had a concurrent diagnosis of AL amyloidosis and multiple myeloma. </w:t>
      </w:r>
      <w:r w:rsidR="006909B2" w:rsidRPr="006F2DBA">
        <w:t xml:space="preserve">The </w:t>
      </w:r>
      <w:r w:rsidR="00D15F92" w:rsidRPr="006F2DBA">
        <w:t xml:space="preserve">PSCR contended that ANDROMEDA had a narrower interpretation of symptomatic </w:t>
      </w:r>
      <w:r w:rsidR="00CD3C6B" w:rsidRPr="006F2DBA">
        <w:t>MM</w:t>
      </w:r>
      <w:r w:rsidR="00D15F92" w:rsidRPr="006F2DBA">
        <w:t xml:space="preserve"> than the definition </w:t>
      </w:r>
      <w:r w:rsidR="00212C81" w:rsidRPr="006F2DBA">
        <w:t>of</w:t>
      </w:r>
      <w:r w:rsidR="00D15F92" w:rsidRPr="006F2DBA">
        <w:t xml:space="preserve"> the International Myeloma Working Group (IMWG) and</w:t>
      </w:r>
      <w:r w:rsidR="008738A7" w:rsidRPr="006F2DBA">
        <w:t>,</w:t>
      </w:r>
      <w:r w:rsidR="00D15F92" w:rsidRPr="006F2DBA">
        <w:t xml:space="preserve"> therefore</w:t>
      </w:r>
      <w:r w:rsidR="008738A7" w:rsidRPr="006F2DBA">
        <w:t>,</w:t>
      </w:r>
      <w:r w:rsidR="00D15F92" w:rsidRPr="006F2DBA">
        <w:t xml:space="preserve"> considered the requested PBS restriction to be aligned to the evidence. </w:t>
      </w:r>
      <w:r w:rsidR="00212C81" w:rsidRPr="006F2DBA">
        <w:t>T</w:t>
      </w:r>
      <w:r w:rsidR="00D15F92" w:rsidRPr="006F2DBA">
        <w:t xml:space="preserve">he ESC </w:t>
      </w:r>
      <w:r w:rsidR="00212C81" w:rsidRPr="006F2DBA">
        <w:t>noted that</w:t>
      </w:r>
      <w:r w:rsidR="008738A7" w:rsidRPr="006F2DBA">
        <w:t>,</w:t>
      </w:r>
      <w:r w:rsidR="00212C81" w:rsidRPr="006F2DBA">
        <w:t xml:space="preserve"> despite the ANDROMEDA exclusion criteria stating that patients with previous or current diagnosis of symptomatic MM should be excluded, some patients meeting the IMWG definition of may have been included in the ANDROMEDA trial due to narrower criteria being applied</w:t>
      </w:r>
      <w:r w:rsidR="008738A7" w:rsidRPr="006F2DBA">
        <w:t xml:space="preserve"> and</w:t>
      </w:r>
      <w:r w:rsidR="00212C81" w:rsidRPr="006F2DBA">
        <w:t xml:space="preserve">, the exclusion of only the more severe patients.  </w:t>
      </w:r>
      <w:r w:rsidR="00576F96" w:rsidRPr="006F2DBA">
        <w:t xml:space="preserve"> </w:t>
      </w:r>
    </w:p>
    <w:p w14:paraId="68D6B7D7" w14:textId="5B6600E0" w:rsidR="00202763" w:rsidRPr="006F2DBA" w:rsidRDefault="00202763" w:rsidP="00202763">
      <w:pPr>
        <w:pStyle w:val="3-BodyText"/>
      </w:pPr>
      <w:r w:rsidRPr="006F2DBA">
        <w:t xml:space="preserve">The PSCR further contended that according to clinical advice from the Australian Amyloidosis Network (AAN), in clinical practice most patients with a concurrent AL amyloidosis and </w:t>
      </w:r>
      <w:r w:rsidR="005C2ABB" w:rsidRPr="006F2DBA">
        <w:t>MM</w:t>
      </w:r>
      <w:r w:rsidRPr="006F2DBA">
        <w:t xml:space="preserve"> diagnosis would have less than 60% of plasma cells in the bone marrow. However, the PSCR did not comment on the frequency that AL amyloidosis patients also meet the criteria for </w:t>
      </w:r>
      <w:r w:rsidR="005C2ABB" w:rsidRPr="006F2DBA">
        <w:t>MM</w:t>
      </w:r>
      <w:r w:rsidRPr="006F2DBA">
        <w:t xml:space="preserve"> due to the presence of (1) lytic bone disease, OR (2) plasmacytomas, OR (3) hypercalcemia. </w:t>
      </w:r>
    </w:p>
    <w:p w14:paraId="10579E42" w14:textId="7BE2A1D1" w:rsidR="008E7327" w:rsidRPr="006F2DBA" w:rsidRDefault="00202763" w:rsidP="00A54680">
      <w:pPr>
        <w:pStyle w:val="3-BodyText"/>
        <w:rPr>
          <w:color w:val="0066FF"/>
        </w:rPr>
      </w:pPr>
      <w:r w:rsidRPr="006F2DBA">
        <w:t xml:space="preserve">The PSCR stated that based on advice from AAN clinicians, patients with a concurrent diagnosis of AL amyloidosis and </w:t>
      </w:r>
      <w:r w:rsidR="00BC7DBC" w:rsidRPr="006F2DBA">
        <w:t>MM</w:t>
      </w:r>
      <w:r w:rsidRPr="006F2DBA">
        <w:t xml:space="preserve"> have poorer outcomes and greater clinical need than patients with AL amyloidosis alone, noting that patients with higher levels of plasma cell clones have worse outcomes. Thus, excluding patients with concurrent systemic AL amyloidosis and </w:t>
      </w:r>
      <w:r w:rsidR="005C2ABB" w:rsidRPr="006F2DBA">
        <w:t xml:space="preserve">MM </w:t>
      </w:r>
      <w:r w:rsidR="00B06ED7" w:rsidRPr="006F2DBA">
        <w:t xml:space="preserve">diagnoses </w:t>
      </w:r>
      <w:r w:rsidRPr="006F2DBA">
        <w:t xml:space="preserve">from the restriction would represent an inequity of access </w:t>
      </w:r>
      <w:r w:rsidR="00B06ED7" w:rsidRPr="006F2DBA">
        <w:t>to daratumumab for these patients</w:t>
      </w:r>
      <w:r w:rsidRPr="006F2DBA">
        <w:t>.</w:t>
      </w:r>
      <w:r w:rsidR="008B3D4A" w:rsidRPr="006F2DBA">
        <w:t xml:space="preserve"> </w:t>
      </w:r>
      <w:r w:rsidR="00B06ED7" w:rsidRPr="006F2DBA">
        <w:t xml:space="preserve">The ESC noted this is particularly relevant to </w:t>
      </w:r>
      <w:r w:rsidR="00BC7DBC" w:rsidRPr="006F2DBA">
        <w:t>newly diagnosed</w:t>
      </w:r>
      <w:r w:rsidR="00B06ED7" w:rsidRPr="006F2DBA">
        <w:t xml:space="preserve"> </w:t>
      </w:r>
      <w:r w:rsidR="00BC7DBC" w:rsidRPr="006F2DBA">
        <w:t>MM patients</w:t>
      </w:r>
      <w:r w:rsidR="00B06ED7" w:rsidRPr="006F2DBA">
        <w:t xml:space="preserve">, </w:t>
      </w:r>
      <w:r w:rsidR="00497656" w:rsidRPr="006F2DBA">
        <w:t>as</w:t>
      </w:r>
      <w:r w:rsidR="00B06ED7" w:rsidRPr="006F2DBA">
        <w:rPr>
          <w:color w:val="0066FF"/>
        </w:rPr>
        <w:t xml:space="preserve"> </w:t>
      </w:r>
      <w:r w:rsidR="006B49EA" w:rsidRPr="006F2DBA">
        <w:t xml:space="preserve">MM patients can </w:t>
      </w:r>
      <w:r w:rsidR="00497656" w:rsidRPr="006F2DBA">
        <w:t>only</w:t>
      </w:r>
      <w:r w:rsidR="006B49EA" w:rsidRPr="006F2DBA">
        <w:t xml:space="preserve"> access daratumumab in the second line setting.  </w:t>
      </w:r>
    </w:p>
    <w:p w14:paraId="0C5EF3B7" w14:textId="6F76F3D3" w:rsidR="006507E9" w:rsidRPr="002B7397" w:rsidRDefault="008E7327" w:rsidP="00C81A19">
      <w:pPr>
        <w:pStyle w:val="3-BodyText"/>
      </w:pPr>
      <w:r w:rsidRPr="006F2DBA">
        <w:t>The PSCR argued that patients are almost always diagnosed with AL amyloidosis before MM in clinical practice.  However, the ESC considered that t</w:t>
      </w:r>
      <w:r w:rsidR="00B06ED7" w:rsidRPr="006F2DBA">
        <w:t xml:space="preserve">he proposed PBS listing may lead to an increase in testing and diagnosis of AL amyloidosis in MM </w:t>
      </w:r>
      <w:r w:rsidR="00B06ED7" w:rsidRPr="006F2DBA">
        <w:lastRenderedPageBreak/>
        <w:t xml:space="preserve">patients and </w:t>
      </w:r>
      <w:r w:rsidR="00BC7DBC" w:rsidRPr="006F2DBA">
        <w:t>due to the</w:t>
      </w:r>
      <w:r w:rsidR="006B49EA" w:rsidRPr="006F2DBA">
        <w:t xml:space="preserve"> potential for patients with MM and subclinical AL amyloidosis to access front line daratumumab under the proposed PBS listing if the criteria are met.</w:t>
      </w:r>
      <w:r w:rsidR="00E2722E">
        <w:t xml:space="preserve">  </w:t>
      </w:r>
      <w:r w:rsidR="006507E9" w:rsidRPr="002B7397">
        <w:t xml:space="preserve">The pre-PBAC response reiterated that the proposed PBS listing for AL amyloidosis should </w:t>
      </w:r>
      <w:r w:rsidR="008C753C">
        <w:t xml:space="preserve">not exclude </w:t>
      </w:r>
      <w:r w:rsidR="006507E9" w:rsidRPr="002B7397">
        <w:t xml:space="preserve">patients with a concurrent diagnosis of </w:t>
      </w:r>
      <w:r w:rsidR="00E2722E" w:rsidRPr="002B7397">
        <w:t xml:space="preserve">MM, stating that </w:t>
      </w:r>
      <w:r w:rsidR="006507E9" w:rsidRPr="002B7397">
        <w:t xml:space="preserve">the median </w:t>
      </w:r>
      <w:r w:rsidR="009A7B0F" w:rsidRPr="002B7397">
        <w:t>bone marrow</w:t>
      </w:r>
      <w:r w:rsidR="006507E9" w:rsidRPr="002B7397">
        <w:t xml:space="preserve"> plasma cell count </w:t>
      </w:r>
      <w:r w:rsidR="00E2722E" w:rsidRPr="002B7397">
        <w:t xml:space="preserve">of patients in ANDROMEDA </w:t>
      </w:r>
      <w:r w:rsidR="006507E9" w:rsidRPr="002B7397">
        <w:t xml:space="preserve">was 10%, </w:t>
      </w:r>
      <w:r w:rsidR="00E2722E" w:rsidRPr="002B7397">
        <w:t>indicating</w:t>
      </w:r>
      <w:r w:rsidR="006507E9" w:rsidRPr="002B7397">
        <w:t xml:space="preserve"> that at least 50% of patients had a plasma cell level </w:t>
      </w:r>
      <w:r w:rsidR="00E2722E" w:rsidRPr="002B7397">
        <w:t xml:space="preserve">to </w:t>
      </w:r>
      <w:r w:rsidR="006507E9" w:rsidRPr="002B7397">
        <w:t>qualif</w:t>
      </w:r>
      <w:r w:rsidR="00E2722E" w:rsidRPr="002B7397">
        <w:t>y</w:t>
      </w:r>
      <w:r w:rsidR="006507E9" w:rsidRPr="002B7397">
        <w:t xml:space="preserve"> them for an MM diagnosis. </w:t>
      </w:r>
      <w:r w:rsidR="008C753C">
        <w:t xml:space="preserve">The Secretariat advised that if daratumumab is to have separate listings for MM and AL amyloidosis, for the patient with a diagnosis of both conditions, it would not be immediately apparent to a prescriber as to which PBS listing to apply under. Furthermore, if an existing MM patient was to be re-diagnosed/re-classified to have AL amyloidosis, or vice versa, from an administrative perspective, it </w:t>
      </w:r>
      <w:r w:rsidR="00EB16AA">
        <w:t>would be unclear under which listing the prescriber would continue daratumumab treatment under.  These practical implementation issues were inadequately addressed by the submission.</w:t>
      </w:r>
    </w:p>
    <w:p w14:paraId="31B86DA0" w14:textId="77777777" w:rsidR="006F239D" w:rsidRPr="006F2DBA" w:rsidRDefault="006F239D" w:rsidP="004A1B07">
      <w:pPr>
        <w:pStyle w:val="3-BodyText"/>
        <w:rPr>
          <w:color w:val="0066FF"/>
        </w:rPr>
      </w:pPr>
      <w:r w:rsidRPr="006F2DBA">
        <w:t>The proposed PBS restriction did not define what constitutes a confirmed diagnosis of AL amyloidosis.</w:t>
      </w:r>
      <w:r w:rsidR="004A1B07" w:rsidRPr="006F2DBA">
        <w:t xml:space="preserve"> In ANDROMEDA, this was defined as having a histopathological diagnosis of AL amyloidosis and having either a monoclonal protein &gt;5 g/L in serum; or dFLC &gt; 50 mg/L, with an abnormal kappa: lambda ratio.</w:t>
      </w:r>
      <w:r w:rsidR="006B49EA" w:rsidRPr="006F2DBA">
        <w:t xml:space="preserve">  </w:t>
      </w:r>
      <w:r w:rsidR="005C2ABB" w:rsidRPr="006F2DBA">
        <w:t xml:space="preserve">The </w:t>
      </w:r>
      <w:r w:rsidR="00E2722E">
        <w:t xml:space="preserve">PBAC agreed with the </w:t>
      </w:r>
      <w:r w:rsidR="005C2ABB" w:rsidRPr="006F2DBA">
        <w:t>ESC</w:t>
      </w:r>
      <w:r w:rsidR="00E2722E">
        <w:t xml:space="preserve">, </w:t>
      </w:r>
      <w:r w:rsidR="005C2ABB" w:rsidRPr="006F2DBA">
        <w:t xml:space="preserve">that the eligibility criteria should stipulate histological confirmation of the diagnosis.  </w:t>
      </w:r>
    </w:p>
    <w:p w14:paraId="0B526B2B" w14:textId="0199047F" w:rsidR="00455738" w:rsidRPr="006F2DBA" w:rsidRDefault="00455738" w:rsidP="004A1B07">
      <w:pPr>
        <w:pStyle w:val="3-BodyText"/>
        <w:rPr>
          <w:color w:val="0066FF"/>
        </w:rPr>
      </w:pPr>
      <w:r w:rsidRPr="006F2DBA">
        <w:rPr>
          <w:rFonts w:eastAsia="Calibri"/>
          <w:lang w:eastAsia="en-US"/>
        </w:rPr>
        <w:t xml:space="preserve">The </w:t>
      </w:r>
      <w:r w:rsidRPr="006F2DBA">
        <w:rPr>
          <w:rFonts w:eastAsia="Calibri"/>
          <w:szCs w:val="22"/>
          <w:lang w:eastAsia="en-US"/>
        </w:rPr>
        <w:t xml:space="preserve">restriction proposed in the submission required the patient to </w:t>
      </w:r>
      <w:r w:rsidRPr="006F2DBA">
        <w:t xml:space="preserve">have no significant cardiac disease as defined in the ANDROMEDA trial (defined as NYHA Class IIIB or Class IV cardiac disease or Mayo stage </w:t>
      </w:r>
      <w:r w:rsidR="00722A68">
        <w:t>III</w:t>
      </w:r>
      <w:r w:rsidR="00722A68" w:rsidRPr="006F2DBA">
        <w:t>B</w:t>
      </w:r>
      <w:r w:rsidRPr="006F2DBA">
        <w:t>).  However, t</w:t>
      </w:r>
      <w:r w:rsidRPr="006F2DBA">
        <w:rPr>
          <w:rFonts w:eastAsia="Calibri"/>
          <w:lang w:eastAsia="en-US"/>
        </w:rPr>
        <w:t xml:space="preserve">he PSCR </w:t>
      </w:r>
      <w:r w:rsidR="00AB663E">
        <w:t>clarified that t</w:t>
      </w:r>
      <w:r w:rsidR="00AB663E" w:rsidRPr="002B7922">
        <w:rPr>
          <w:rFonts w:cstheme="minorHAnsi"/>
          <w:bCs/>
          <w:szCs w:val="22"/>
        </w:rPr>
        <w:t xml:space="preserve">he initially proposed clinical criterion that excluded patients with Mayo Stage </w:t>
      </w:r>
      <w:r w:rsidR="00722A68">
        <w:rPr>
          <w:rFonts w:cstheme="minorHAnsi"/>
          <w:bCs/>
          <w:szCs w:val="22"/>
        </w:rPr>
        <w:t>III</w:t>
      </w:r>
      <w:r w:rsidR="00AB663E" w:rsidRPr="002B7922">
        <w:rPr>
          <w:rFonts w:cstheme="minorHAnsi"/>
          <w:bCs/>
          <w:szCs w:val="22"/>
        </w:rPr>
        <w:t>B, NYHA Class IIIB and IV cardiac disease should be deleted from the restriction</w:t>
      </w:r>
      <w:r w:rsidR="00752D1A">
        <w:rPr>
          <w:rFonts w:cstheme="minorHAnsi"/>
          <w:bCs/>
          <w:szCs w:val="22"/>
        </w:rPr>
        <w:t>,</w:t>
      </w:r>
      <w:r w:rsidR="00AB663E" w:rsidRPr="002B7922">
        <w:rPr>
          <w:rFonts w:cstheme="minorHAnsi"/>
          <w:bCs/>
          <w:szCs w:val="22"/>
        </w:rPr>
        <w:t xml:space="preserve"> consistent with the TGA indication and clinical advice</w:t>
      </w:r>
      <w:r w:rsidR="007612D1">
        <w:rPr>
          <w:rFonts w:cstheme="minorHAnsi"/>
          <w:bCs/>
          <w:szCs w:val="22"/>
        </w:rPr>
        <w:t xml:space="preserve"> and provided updated financial estimates</w:t>
      </w:r>
      <w:r w:rsidR="00AB663E" w:rsidRPr="002B7922">
        <w:rPr>
          <w:rFonts w:cstheme="minorHAnsi"/>
          <w:bCs/>
          <w:szCs w:val="22"/>
        </w:rPr>
        <w:t>.</w:t>
      </w:r>
      <w:r w:rsidR="009A7B0F">
        <w:rPr>
          <w:rFonts w:cstheme="minorHAnsi"/>
          <w:bCs/>
          <w:szCs w:val="22"/>
        </w:rPr>
        <w:t xml:space="preserve"> The PBAC considered that this was reasonable.</w:t>
      </w:r>
    </w:p>
    <w:p w14:paraId="73E61481" w14:textId="77777777" w:rsidR="009A42B6" w:rsidRPr="009A42B6" w:rsidRDefault="00012C47" w:rsidP="00944A01">
      <w:pPr>
        <w:pStyle w:val="3-BodyText"/>
        <w:rPr>
          <w:color w:val="0066FF"/>
        </w:rPr>
      </w:pPr>
      <w:r w:rsidRPr="006F2DBA">
        <w:rPr>
          <w:rFonts w:eastAsia="Calibri"/>
          <w:szCs w:val="22"/>
          <w:lang w:eastAsia="en-US"/>
        </w:rPr>
        <w:t>The proposed restrictions applying to the first 24 weeks of treatment require that patients receive ongoing treatment with CyBorD, consistent with the draft daratumumab PI and the ANDROMEDA trial. The proposed continuing</w:t>
      </w:r>
      <w:r w:rsidRPr="006F2DBA" w:rsidDel="00CE0175">
        <w:rPr>
          <w:rFonts w:eastAsia="Calibri"/>
          <w:szCs w:val="22"/>
          <w:lang w:eastAsia="en-US"/>
        </w:rPr>
        <w:t xml:space="preserve"> </w:t>
      </w:r>
      <w:r w:rsidRPr="006F2DBA">
        <w:rPr>
          <w:rFonts w:eastAsia="Calibri"/>
          <w:szCs w:val="22"/>
          <w:lang w:eastAsia="en-US"/>
        </w:rPr>
        <w:t xml:space="preserve">treatment restriction for week 25 onwards requires patients receive ongoing treatment with daratumumab monotherapy consistent with the draft daratumumab PI. </w:t>
      </w:r>
      <w:r w:rsidR="005C2ABB" w:rsidRPr="006F2DBA">
        <w:t>The ESC considered that response criteria are clear and well established in clinical practice.</w:t>
      </w:r>
      <w:r w:rsidRPr="006F2DBA">
        <w:rPr>
          <w:rFonts w:eastAsia="Calibri"/>
          <w:szCs w:val="22"/>
          <w:lang w:eastAsia="en-US"/>
        </w:rPr>
        <w:t xml:space="preserve"> </w:t>
      </w:r>
    </w:p>
    <w:p w14:paraId="5CAD886E" w14:textId="77777777" w:rsidR="00432C4C" w:rsidRPr="009A42B6" w:rsidRDefault="009A42B6" w:rsidP="00944A01">
      <w:pPr>
        <w:pStyle w:val="3-BodyText"/>
      </w:pPr>
      <w:r>
        <w:rPr>
          <w:rFonts w:eastAsia="Calibri"/>
          <w:szCs w:val="22"/>
          <w:lang w:eastAsia="en-US"/>
        </w:rPr>
        <w:t>The PBAC considered that the number of proposed restrictions could be simplified as proposed by the Secretariat (i.e. Weeks 1-24, 25+ and grandfather). The PBAC noted that there were an estimated 30 patients who may require non</w:t>
      </w:r>
      <w:r w:rsidRPr="009A42B6">
        <w:rPr>
          <w:rFonts w:eastAsia="Calibri"/>
          <w:szCs w:val="22"/>
          <w:lang w:eastAsia="en-US"/>
        </w:rPr>
        <w:t>-</w:t>
      </w:r>
      <w:r w:rsidRPr="009A42B6">
        <w:t>PBS to PBS transitioning arrangements.</w:t>
      </w:r>
    </w:p>
    <w:p w14:paraId="0857CFA3" w14:textId="77777777" w:rsidR="009A42B6" w:rsidRPr="006F2DBA" w:rsidRDefault="009A42B6" w:rsidP="00944A01">
      <w:pPr>
        <w:pStyle w:val="3-BodyText"/>
        <w:rPr>
          <w:color w:val="0066FF"/>
        </w:rPr>
      </w:pPr>
      <w:r>
        <w:rPr>
          <w:rFonts w:eastAsia="Calibri"/>
          <w:szCs w:val="22"/>
          <w:lang w:eastAsia="en-US"/>
        </w:rPr>
        <w:t>The PBAC also advised that any future proposed restriction limit prescribing to a haematologist.</w:t>
      </w:r>
    </w:p>
    <w:p w14:paraId="2BC5545E" w14:textId="77777777" w:rsidR="006B1B5F" w:rsidRPr="006F2DBA" w:rsidRDefault="006B1B5F" w:rsidP="006B1B5F">
      <w:pPr>
        <w:pStyle w:val="3-BodyText"/>
        <w:rPr>
          <w:rFonts w:eastAsia="Calibri"/>
          <w:szCs w:val="22"/>
          <w:lang w:eastAsia="en-US"/>
        </w:rPr>
      </w:pPr>
      <w:r w:rsidRPr="006F2DBA">
        <w:rPr>
          <w:rFonts w:eastAsia="Calibri"/>
          <w:szCs w:val="22"/>
          <w:lang w:eastAsia="en-US"/>
        </w:rPr>
        <w:lastRenderedPageBreak/>
        <w:t>The submission requested PBS listing of bortezomib to be used as part of the daratumumab SC + CyBorD regimen for 6 cycles for untreated AL amyloidosis.</w:t>
      </w:r>
      <w:r w:rsidR="00A54680" w:rsidRPr="006F2DBA">
        <w:t xml:space="preserve">  </w:t>
      </w:r>
      <w:r w:rsidR="008C753C">
        <w:t>Bortezomib’s current PBS listing is restricted to use in multiple myeloma.</w:t>
      </w:r>
    </w:p>
    <w:p w14:paraId="4C425DCF" w14:textId="77777777" w:rsidR="006F2DBA" w:rsidRPr="006F2DBA" w:rsidRDefault="006F2DBA" w:rsidP="006F2DBA">
      <w:pPr>
        <w:rPr>
          <w:i/>
          <w:iCs/>
        </w:rPr>
      </w:pPr>
      <w:r>
        <w:tab/>
      </w:r>
      <w:r w:rsidRPr="006F2DBA">
        <w:rPr>
          <w:i/>
          <w:iCs/>
        </w:rPr>
        <w:t>For more detail on PBAC’s view, see section 7 PBAC outcome.</w:t>
      </w:r>
    </w:p>
    <w:p w14:paraId="2915A8DD" w14:textId="77777777" w:rsidR="00B50DB8" w:rsidRPr="00407F2D" w:rsidRDefault="00203181" w:rsidP="004E18E9">
      <w:pPr>
        <w:pStyle w:val="2-SectionHeading"/>
      </w:pPr>
      <w:bookmarkStart w:id="10" w:name="_Toc82436604"/>
      <w:r>
        <w:t xml:space="preserve">Population and </w:t>
      </w:r>
      <w:r w:rsidR="008E0D3C">
        <w:t>d</w:t>
      </w:r>
      <w:r>
        <w:t>isease</w:t>
      </w:r>
      <w:bookmarkEnd w:id="10"/>
    </w:p>
    <w:p w14:paraId="3EFBF7E2" w14:textId="77777777" w:rsidR="001F275B" w:rsidRPr="006F2DBA" w:rsidRDefault="001F275B" w:rsidP="00BC7DBC">
      <w:pPr>
        <w:pStyle w:val="3-BodyText"/>
      </w:pPr>
      <w:r w:rsidRPr="006F2DBA">
        <w:t xml:space="preserve">AL amyloidosis </w:t>
      </w:r>
      <w:r w:rsidR="006B1B5F" w:rsidRPr="006F2DBA">
        <w:t xml:space="preserve">refers to a group of rare plasma cell disorders involving the synthesis and abnormal extracellular deposition of misfolded proteins in various organs with resultant damage. AL amyloidosis is among the more common and more severe forms of amyloidosis. It has been estimated that 49% of patients with amyloidosis have the AL amyloid sub-type (Wisniowski et al. 2019). </w:t>
      </w:r>
      <w:r w:rsidR="00EF19E0" w:rsidRPr="006F2DBA">
        <w:t xml:space="preserve">AL amyloidosis involves the slow </w:t>
      </w:r>
      <w:r w:rsidR="006B1B5F" w:rsidRPr="006F2DBA">
        <w:t>proliferation of a bone-marrow-residing plasma cell clone and the secretion of unstable immunoglobulin-free light-chains that infiltrate peripheral tissues and result in detrimental end-organ damage.</w:t>
      </w:r>
      <w:r w:rsidR="0041451A" w:rsidRPr="006F2DBA">
        <w:t xml:space="preserve"> </w:t>
      </w:r>
      <w:r w:rsidRPr="006F2DBA">
        <w:t xml:space="preserve">Organs involved usually include the kidneys, heart, gastrointestinal tract, liver and nervous system. Up to 70% of newly diagnosed patients </w:t>
      </w:r>
      <w:r w:rsidRPr="006F2DBA">
        <w:rPr>
          <w:rFonts w:eastAsia="Calibri"/>
          <w:szCs w:val="22"/>
          <w:lang w:eastAsia="en-US"/>
        </w:rPr>
        <w:t>present with cardiac involvement at diagnosis. Cardiac complications account for most deaths in this population.</w:t>
      </w:r>
    </w:p>
    <w:p w14:paraId="63616B85" w14:textId="77777777" w:rsidR="00E87D47" w:rsidRPr="006F2DBA" w:rsidRDefault="00E87D47" w:rsidP="00BC7DBC">
      <w:pPr>
        <w:pStyle w:val="3-BodyText"/>
      </w:pPr>
      <w:r w:rsidRPr="006F2DBA">
        <w:t xml:space="preserve">An Australian observational study of </w:t>
      </w:r>
      <w:r w:rsidR="00247852">
        <w:t>196</w:t>
      </w:r>
      <w:r w:rsidR="00247852" w:rsidRPr="006F2DBA">
        <w:t xml:space="preserve"> </w:t>
      </w:r>
      <w:r w:rsidRPr="006F2DBA">
        <w:t>AL amyloidosis patients diagnosed between 1999 and 2013, reported that median survival was 1.2 years (Wisniowski et al. 2019).</w:t>
      </w:r>
      <w:r w:rsidR="005D6FEE" w:rsidRPr="006F2DBA">
        <w:t xml:space="preserve"> The increased number and availability of novel agents that effectively target plasma cell clones has seen the median OS in AL amyloidosis significantly improve over the last two decades </w:t>
      </w:r>
      <w:r w:rsidR="005D6FEE" w:rsidRPr="006F2DBA">
        <w:rPr>
          <w:noProof/>
        </w:rPr>
        <w:t>(MSAG, 2019)</w:t>
      </w:r>
      <w:r w:rsidR="005D6FEE" w:rsidRPr="006F2DBA">
        <w:t>.</w:t>
      </w:r>
      <w:r w:rsidR="005D6FEE" w:rsidRPr="006F2DBA" w:rsidDel="008844D5">
        <w:t xml:space="preserve"> </w:t>
      </w:r>
    </w:p>
    <w:p w14:paraId="2B66C607" w14:textId="77777777" w:rsidR="001F275B" w:rsidRPr="006F2DBA" w:rsidRDefault="001F275B" w:rsidP="008B0D30">
      <w:pPr>
        <w:pStyle w:val="3-BodyText"/>
      </w:pPr>
      <w:r w:rsidRPr="006F2DBA">
        <w:t xml:space="preserve">The condition commonly occurs in patients with </w:t>
      </w:r>
      <w:r w:rsidR="00C01F44">
        <w:t>MM</w:t>
      </w:r>
      <w:r w:rsidRPr="006F2DBA">
        <w:t>,</w:t>
      </w:r>
      <w:r w:rsidR="00C01F44">
        <w:t xml:space="preserve"> with </w:t>
      </w:r>
      <w:r w:rsidR="006B4E14">
        <w:t>up</w:t>
      </w:r>
      <w:r w:rsidR="00E87D47" w:rsidRPr="006F2DBA">
        <w:t xml:space="preserve"> to 15% of </w:t>
      </w:r>
      <w:r w:rsidR="006B4E14">
        <w:t>MM</w:t>
      </w:r>
      <w:r w:rsidR="00E87D47" w:rsidRPr="006F2DBA">
        <w:t xml:space="preserve"> patients </w:t>
      </w:r>
      <w:r w:rsidR="00C01F44">
        <w:t>also develop</w:t>
      </w:r>
      <w:r w:rsidR="006B4E14">
        <w:t>ing symptomatic</w:t>
      </w:r>
      <w:r w:rsidR="00C01F44" w:rsidRPr="006F2DBA">
        <w:t xml:space="preserve"> </w:t>
      </w:r>
      <w:r w:rsidR="00E87D47" w:rsidRPr="006F2DBA">
        <w:t>AL amyloidosis</w:t>
      </w:r>
      <w:r w:rsidR="006B4E14">
        <w:t xml:space="preserve"> and up to 38% of newly diagnosed MM patients found to have clinically occult AL amyloidosis</w:t>
      </w:r>
      <w:r w:rsidR="00E87D47" w:rsidRPr="006F2DBA">
        <w:t xml:space="preserve">. At the time of diagnosis, approximately 10% of patients with AL amyloidosis will meet diagnostic criteria for </w:t>
      </w:r>
      <w:r w:rsidR="00C01F44">
        <w:t>MM</w:t>
      </w:r>
      <w:r w:rsidR="00E87D47" w:rsidRPr="006F2DBA">
        <w:t xml:space="preserve"> as defined by CRAB (hypercalcemia, renal insufficiency, anaemia, or bone disease) criteria. Another 40 % of AL amyloidosis patients who do not meet the criteria for </w:t>
      </w:r>
      <w:r w:rsidR="00C01F44">
        <w:t>MM</w:t>
      </w:r>
      <w:r w:rsidR="00E87D47" w:rsidRPr="006F2DBA">
        <w:t xml:space="preserve"> will have 10% or more bone marrow plasmacytosis at diagnosis. </w:t>
      </w:r>
      <w:r w:rsidRPr="006F2DBA">
        <w:t xml:space="preserve">Daratumumab is a novel human monoclonal antibody that binds to and inhibits CD38 that is highly expressed on the cell surface of clonal plasma cells that produce the amyloidogenic immunoglobulin light chain. This eliminates the underlying plasma cell clone producing the amyloidogenic light chain that causes organ dysfunction. </w:t>
      </w:r>
    </w:p>
    <w:p w14:paraId="20C7C5EC" w14:textId="77777777" w:rsidR="001F275B" w:rsidRPr="006F2DBA" w:rsidRDefault="001F275B" w:rsidP="001F275B">
      <w:pPr>
        <w:pStyle w:val="3-BodyText"/>
      </w:pPr>
      <w:r w:rsidRPr="006F2DBA">
        <w:t xml:space="preserve">The key difference between the current and proposed clinical management pathways proposed by the submission was the addition of daratumumab SC + CyBorD as </w:t>
      </w:r>
      <w:r w:rsidR="00A07226" w:rsidRPr="006F2DBA">
        <w:t xml:space="preserve">first-line treatment for patients with </w:t>
      </w:r>
      <w:r w:rsidRPr="006F2DBA">
        <w:t>AL amyloidosis (see</w:t>
      </w:r>
      <w:r w:rsidR="00B46E33" w:rsidRPr="006F2DBA">
        <w:t xml:space="preserve"> </w:t>
      </w:r>
      <w:r w:rsidR="008A0743" w:rsidRPr="008A0743">
        <w:t xml:space="preserve">Figure </w:t>
      </w:r>
      <w:r w:rsidR="008A0743" w:rsidRPr="008A0743">
        <w:rPr>
          <w:noProof/>
        </w:rPr>
        <w:t>1</w:t>
      </w:r>
      <w:r w:rsidRPr="006F2DBA">
        <w:t>). Th</w:t>
      </w:r>
      <w:r w:rsidR="002D7F25" w:rsidRPr="006F2DBA">
        <w:t xml:space="preserve">e ESC considered this </w:t>
      </w:r>
      <w:r w:rsidRPr="006F2DBA">
        <w:t>was reasonable.</w:t>
      </w:r>
    </w:p>
    <w:p w14:paraId="2B00BE3C" w14:textId="77777777" w:rsidR="000C4D90" w:rsidRPr="001F275B" w:rsidRDefault="000C4D90" w:rsidP="000C4D90">
      <w:pPr>
        <w:pStyle w:val="TableText0"/>
        <w:rPr>
          <w:rFonts w:eastAsia="Calibri"/>
          <w:b/>
          <w:szCs w:val="22"/>
          <w:highlight w:val="yellow"/>
          <w:lang w:eastAsia="en-US"/>
        </w:rPr>
      </w:pPr>
      <w:bookmarkStart w:id="11" w:name="_Ref79671581"/>
      <w:r w:rsidRPr="001F275B">
        <w:rPr>
          <w:b/>
        </w:rPr>
        <w:lastRenderedPageBreak/>
        <w:t xml:space="preserve">Figure </w:t>
      </w:r>
      <w:r w:rsidR="008A0743">
        <w:rPr>
          <w:b/>
          <w:noProof/>
        </w:rPr>
        <w:t>1</w:t>
      </w:r>
      <w:bookmarkEnd w:id="11"/>
      <w:r w:rsidRPr="001F275B">
        <w:rPr>
          <w:b/>
        </w:rPr>
        <w:t>: Proposed clinical algorithm with daratumumab SC + CyBorD PBS listed</w:t>
      </w:r>
    </w:p>
    <w:p w14:paraId="568ED2EC" w14:textId="77777777" w:rsidR="001F275B" w:rsidRPr="00945CB3" w:rsidRDefault="001F275B" w:rsidP="000C4D90">
      <w:pPr>
        <w:keepNext/>
      </w:pPr>
      <w:r w:rsidRPr="00945CB3">
        <w:rPr>
          <w:rFonts w:eastAsia="Calibri"/>
          <w:noProof/>
          <w:szCs w:val="22"/>
        </w:rPr>
        <w:drawing>
          <wp:inline distT="0" distB="0" distL="0" distR="0" wp14:anchorId="7B421193" wp14:editId="4AC7004A">
            <wp:extent cx="5875200" cy="2811073"/>
            <wp:effectExtent l="19050" t="19050" r="11430" b="27940"/>
            <wp:docPr id="26" name="Picture 26" title="Figure 1: Proposed clinical algorithm with daratumumab SC + CyBorD PBS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8445" cy="2831764"/>
                    </a:xfrm>
                    <a:prstGeom prst="rect">
                      <a:avLst/>
                    </a:prstGeom>
                    <a:ln>
                      <a:solidFill>
                        <a:schemeClr val="tx1"/>
                      </a:solidFill>
                    </a:ln>
                  </pic:spPr>
                </pic:pic>
              </a:graphicData>
            </a:graphic>
          </wp:inline>
        </w:drawing>
      </w:r>
    </w:p>
    <w:p w14:paraId="403E7A61" w14:textId="77777777" w:rsidR="001F275B" w:rsidRPr="00945CB3" w:rsidRDefault="001F275B" w:rsidP="000C4D90">
      <w:pPr>
        <w:pStyle w:val="TableFigureFooter"/>
        <w:keepNext/>
        <w:rPr>
          <w:rFonts w:eastAsia="Calibri"/>
          <w:lang w:eastAsia="en-US"/>
        </w:rPr>
      </w:pPr>
      <w:r w:rsidRPr="00945CB3">
        <w:rPr>
          <w:rFonts w:eastAsia="Calibri"/>
          <w:lang w:eastAsia="en-US"/>
        </w:rPr>
        <w:t xml:space="preserve">Source: Figure 1-20, p 51 of the submission </w:t>
      </w:r>
    </w:p>
    <w:p w14:paraId="37E9C27E" w14:textId="77777777" w:rsidR="001F275B" w:rsidRDefault="001F275B" w:rsidP="000C4D90">
      <w:pPr>
        <w:pStyle w:val="TableFigureFooter"/>
        <w:keepNext/>
        <w:rPr>
          <w:rFonts w:eastAsia="Calibri"/>
          <w:lang w:eastAsia="en-US"/>
        </w:rPr>
      </w:pPr>
      <w:r w:rsidRPr="00945CB3">
        <w:rPr>
          <w:rFonts w:eastAsia="Calibri"/>
          <w:lang w:eastAsia="en-US"/>
        </w:rPr>
        <w:t>ASCT = autologous stem cell transplant; CR = complete response; PR = partial response; VGPR = very good partial response</w:t>
      </w:r>
    </w:p>
    <w:p w14:paraId="1DD71ACA" w14:textId="77777777" w:rsidR="00023AE3" w:rsidRDefault="00023AE3" w:rsidP="001F275B">
      <w:pPr>
        <w:pStyle w:val="TableFigureFooter"/>
        <w:rPr>
          <w:rFonts w:eastAsia="Calibri"/>
          <w:lang w:eastAsia="en-US"/>
        </w:rPr>
      </w:pPr>
    </w:p>
    <w:p w14:paraId="602B8801" w14:textId="77777777" w:rsidR="00E87D47" w:rsidRPr="002A770B" w:rsidRDefault="00023AE3" w:rsidP="00E87D47">
      <w:pPr>
        <w:pStyle w:val="3-BodyText"/>
        <w:rPr>
          <w:iCs/>
        </w:rPr>
      </w:pPr>
      <w:r w:rsidRPr="002A770B">
        <w:rPr>
          <w:iCs/>
        </w:rPr>
        <w:t>The proposed clinical algorithm was broadly consistent with the proposed PBS restriction</w:t>
      </w:r>
      <w:r w:rsidR="003E6101" w:rsidRPr="002A770B">
        <w:rPr>
          <w:iCs/>
        </w:rPr>
        <w:t>,</w:t>
      </w:r>
      <w:r w:rsidRPr="002A770B">
        <w:rPr>
          <w:iCs/>
        </w:rPr>
        <w:t xml:space="preserve"> proposed PI, and clinical evidence presented. </w:t>
      </w:r>
      <w:r w:rsidR="002B7397">
        <w:rPr>
          <w:iCs/>
        </w:rPr>
        <w:t>Some p</w:t>
      </w:r>
      <w:r w:rsidRPr="002A770B">
        <w:rPr>
          <w:iCs/>
        </w:rPr>
        <w:t xml:space="preserve">atients with concurrent </w:t>
      </w:r>
      <w:r w:rsidR="002B7397">
        <w:rPr>
          <w:iCs/>
        </w:rPr>
        <w:t xml:space="preserve">severe </w:t>
      </w:r>
      <w:r w:rsidRPr="002A770B">
        <w:rPr>
          <w:iCs/>
        </w:rPr>
        <w:t xml:space="preserve">multiple myeloma were excluded from the clinical trials </w:t>
      </w:r>
      <w:r w:rsidR="00593EF2" w:rsidRPr="002A770B">
        <w:rPr>
          <w:iCs/>
        </w:rPr>
        <w:t xml:space="preserve">and </w:t>
      </w:r>
      <w:r w:rsidRPr="002A770B">
        <w:rPr>
          <w:iCs/>
        </w:rPr>
        <w:t xml:space="preserve">were not explicitly considered in the clinical management </w:t>
      </w:r>
      <w:r w:rsidR="00E87D47" w:rsidRPr="002A770B">
        <w:rPr>
          <w:iCs/>
        </w:rPr>
        <w:t>algorithm</w:t>
      </w:r>
      <w:r w:rsidRPr="002A770B">
        <w:rPr>
          <w:iCs/>
        </w:rPr>
        <w:t>.</w:t>
      </w:r>
      <w:r w:rsidR="009277A4" w:rsidRPr="002A770B">
        <w:rPr>
          <w:iCs/>
        </w:rPr>
        <w:t xml:space="preserve"> T</w:t>
      </w:r>
      <w:r w:rsidR="00E87D47" w:rsidRPr="002A770B">
        <w:rPr>
          <w:iCs/>
        </w:rPr>
        <w:t xml:space="preserve">he clinical course and treatment of these patients are dependent on which of the two diseases is dominant in terms of end-organ damage and symptoms </w:t>
      </w:r>
      <w:r w:rsidR="00E87D47" w:rsidRPr="002A770B">
        <w:rPr>
          <w:iCs/>
          <w:noProof/>
        </w:rPr>
        <w:t>(Dispenzieri, 2021)</w:t>
      </w:r>
      <w:r w:rsidR="00E87D47" w:rsidRPr="002A770B">
        <w:rPr>
          <w:iCs/>
        </w:rPr>
        <w:t>.</w:t>
      </w:r>
    </w:p>
    <w:p w14:paraId="010D794A" w14:textId="77777777" w:rsidR="00E87D47" w:rsidRPr="002A770B" w:rsidRDefault="00E87D47" w:rsidP="00E87D47">
      <w:pPr>
        <w:pStyle w:val="3-BodyText"/>
        <w:rPr>
          <w:iCs/>
        </w:rPr>
      </w:pPr>
      <w:r w:rsidRPr="002A770B">
        <w:rPr>
          <w:iCs/>
        </w:rPr>
        <w:t xml:space="preserve">The main difference in </w:t>
      </w:r>
      <w:r w:rsidR="00D71DEE" w:rsidRPr="002A770B">
        <w:rPr>
          <w:iCs/>
        </w:rPr>
        <w:t>dosing of</w:t>
      </w:r>
      <w:r w:rsidR="002D0C56" w:rsidRPr="002A770B">
        <w:rPr>
          <w:iCs/>
        </w:rPr>
        <w:t xml:space="preserve"> daratumumab SC</w:t>
      </w:r>
      <w:r w:rsidR="00110964" w:rsidRPr="002A770B">
        <w:rPr>
          <w:iCs/>
        </w:rPr>
        <w:t xml:space="preserve"> </w:t>
      </w:r>
      <w:r w:rsidRPr="002A770B">
        <w:rPr>
          <w:iCs/>
        </w:rPr>
        <w:t xml:space="preserve">between </w:t>
      </w:r>
      <w:r w:rsidR="002D0C56" w:rsidRPr="002A770B">
        <w:rPr>
          <w:iCs/>
        </w:rPr>
        <w:t xml:space="preserve">treatment of RRMM and AL amyloidosis </w:t>
      </w:r>
      <w:r w:rsidRPr="002A770B">
        <w:rPr>
          <w:iCs/>
        </w:rPr>
        <w:t xml:space="preserve">is </w:t>
      </w:r>
      <w:r w:rsidR="002642E4" w:rsidRPr="002A770B">
        <w:rPr>
          <w:iCs/>
        </w:rPr>
        <w:t xml:space="preserve">that daratumumab SC is </w:t>
      </w:r>
      <w:r w:rsidR="00A17659" w:rsidRPr="002A770B">
        <w:rPr>
          <w:iCs/>
        </w:rPr>
        <w:t>administered once per</w:t>
      </w:r>
      <w:r w:rsidRPr="002A770B">
        <w:rPr>
          <w:iCs/>
        </w:rPr>
        <w:t xml:space="preserve"> 3-week cycle for RMMM </w:t>
      </w:r>
      <w:r w:rsidR="00A17659" w:rsidRPr="002A770B">
        <w:rPr>
          <w:iCs/>
        </w:rPr>
        <w:t xml:space="preserve">(for weeks 10-24) </w:t>
      </w:r>
      <w:r w:rsidRPr="002A770B">
        <w:rPr>
          <w:iCs/>
        </w:rPr>
        <w:t>and</w:t>
      </w:r>
      <w:r w:rsidR="00A17659" w:rsidRPr="002A770B">
        <w:rPr>
          <w:iCs/>
        </w:rPr>
        <w:t xml:space="preserve"> twice per</w:t>
      </w:r>
      <w:r w:rsidRPr="002A770B">
        <w:rPr>
          <w:iCs/>
        </w:rPr>
        <w:t xml:space="preserve"> 4-week cycle for AL amyloidosis</w:t>
      </w:r>
      <w:r w:rsidR="00A17659" w:rsidRPr="002A770B">
        <w:rPr>
          <w:iCs/>
        </w:rPr>
        <w:t xml:space="preserve"> (for weeks 9-24)</w:t>
      </w:r>
      <w:r w:rsidRPr="002A770B">
        <w:rPr>
          <w:iCs/>
        </w:rPr>
        <w:t xml:space="preserve">. Therefore, over </w:t>
      </w:r>
      <w:r w:rsidR="00110964" w:rsidRPr="002A770B">
        <w:rPr>
          <w:iCs/>
        </w:rPr>
        <w:t>the initial</w:t>
      </w:r>
      <w:r w:rsidRPr="002A770B">
        <w:rPr>
          <w:iCs/>
        </w:rPr>
        <w:t xml:space="preserve"> 24-week treatment period, RMMM patient would receive 14 doses of daratumumab SC, whilst AL amyloidosis patients would receive 16 doses of daratumumab SC.</w:t>
      </w:r>
    </w:p>
    <w:p w14:paraId="7CF2C713" w14:textId="77777777" w:rsidR="00023AE3" w:rsidRDefault="00E87D47" w:rsidP="00E87D47">
      <w:pPr>
        <w:pStyle w:val="3-BodyText"/>
        <w:rPr>
          <w:iCs/>
        </w:rPr>
      </w:pPr>
      <w:r w:rsidRPr="002A770B">
        <w:rPr>
          <w:iCs/>
        </w:rPr>
        <w:t>Co-administered therapies include corticosteroids (dexamethasone 20 mg), antipyretics (oral paracetamol 500-1000 mg) and antihistamines (oral or IV diphenhydramine 20-50 mg equivalent) taken 1-3 hours prior to daratumumab administration. The costs of the co-administered therapies dexamethasone, paracetamol and montelukast (as the antihistamine) were incorporated into the economic evaluation and financial estimates. Th</w:t>
      </w:r>
      <w:r w:rsidR="002642E4" w:rsidRPr="002A770B">
        <w:rPr>
          <w:iCs/>
        </w:rPr>
        <w:t>ese</w:t>
      </w:r>
      <w:r w:rsidRPr="002A770B">
        <w:rPr>
          <w:iCs/>
        </w:rPr>
        <w:t xml:space="preserve"> </w:t>
      </w:r>
      <w:r w:rsidR="002642E4" w:rsidRPr="002A770B">
        <w:rPr>
          <w:iCs/>
        </w:rPr>
        <w:t>were</w:t>
      </w:r>
      <w:r w:rsidRPr="002A770B">
        <w:rPr>
          <w:iCs/>
        </w:rPr>
        <w:t xml:space="preserve"> also consistent with the co-administered therapies used in patients with RRMM (p 6 of the proposed PI).</w:t>
      </w:r>
    </w:p>
    <w:p w14:paraId="08CC10C7" w14:textId="77777777" w:rsidR="006B49EA" w:rsidRPr="006F2DBA" w:rsidRDefault="006B49EA" w:rsidP="006B49EA">
      <w:pPr>
        <w:pStyle w:val="3-BodyText"/>
        <w:rPr>
          <w:iCs/>
        </w:rPr>
      </w:pPr>
      <w:r w:rsidRPr="006F2DBA">
        <w:rPr>
          <w:iCs/>
        </w:rPr>
        <w:t xml:space="preserve">The ESC noted that four states (NSW, QLD, VIC, WA) have specialist amyloidosis services, which coordinate and assist with diagnosis and management of the majority of Australian patients, including patients from interstate if required. The ESC </w:t>
      </w:r>
      <w:r w:rsidRPr="006F2DBA">
        <w:rPr>
          <w:iCs/>
        </w:rPr>
        <w:lastRenderedPageBreak/>
        <w:t xml:space="preserve">considered that some patients may become eligible for autologous stem cell transplantation (ASCT; as shown in Figure 1), however this </w:t>
      </w:r>
      <w:r w:rsidR="00CD3C6B" w:rsidRPr="006F2DBA">
        <w:rPr>
          <w:iCs/>
        </w:rPr>
        <w:t xml:space="preserve">is </w:t>
      </w:r>
      <w:r w:rsidRPr="006F2DBA">
        <w:rPr>
          <w:iCs/>
        </w:rPr>
        <w:t>a high risk procedure, especially in patients with significant organ involvement, therefore careful selection of patients is important.</w:t>
      </w:r>
    </w:p>
    <w:p w14:paraId="17AC5E77" w14:textId="77777777" w:rsidR="006B49EA" w:rsidRDefault="006B49EA" w:rsidP="006B49EA">
      <w:pPr>
        <w:pStyle w:val="3-BodyText"/>
        <w:rPr>
          <w:iCs/>
        </w:rPr>
      </w:pPr>
      <w:r w:rsidRPr="006F2DBA">
        <w:rPr>
          <w:iCs/>
        </w:rPr>
        <w:t xml:space="preserve">The ESC noted that the proposed clinical algorithm was consistent with the MSAG Clinical guidelines and reflective of Australian clinical practice.  </w:t>
      </w:r>
    </w:p>
    <w:p w14:paraId="4AB0A93C" w14:textId="77777777" w:rsidR="006F2DBA" w:rsidRPr="006F2DBA" w:rsidRDefault="006F2DBA" w:rsidP="006F2DBA">
      <w:pPr>
        <w:pStyle w:val="3-BodyText"/>
        <w:numPr>
          <w:ilvl w:val="0"/>
          <w:numId w:val="0"/>
        </w:numPr>
        <w:ind w:left="720"/>
        <w:rPr>
          <w:i/>
        </w:rPr>
      </w:pPr>
      <w:r w:rsidRPr="006F2DBA">
        <w:rPr>
          <w:i/>
        </w:rPr>
        <w:t>For more detail on PBAC’s view, see section 7 PBAC outcome.</w:t>
      </w:r>
    </w:p>
    <w:p w14:paraId="765950DD" w14:textId="77777777" w:rsidR="00B50DB8" w:rsidRPr="00407F2D" w:rsidRDefault="00B50DB8" w:rsidP="004E18E9">
      <w:pPr>
        <w:pStyle w:val="2-SectionHeading"/>
      </w:pPr>
      <w:bookmarkStart w:id="12" w:name="_Toc80019294"/>
      <w:bookmarkStart w:id="13" w:name="_Toc80019397"/>
      <w:bookmarkStart w:id="14" w:name="_Toc80019753"/>
      <w:bookmarkStart w:id="15" w:name="_Toc80019856"/>
      <w:bookmarkStart w:id="16" w:name="_Toc80019960"/>
      <w:bookmarkStart w:id="17" w:name="_Toc80020086"/>
      <w:bookmarkStart w:id="18" w:name="_Toc80020190"/>
      <w:bookmarkStart w:id="19" w:name="_Toc80020294"/>
      <w:bookmarkStart w:id="20" w:name="_Toc82436605"/>
      <w:bookmarkEnd w:id="12"/>
      <w:bookmarkEnd w:id="13"/>
      <w:bookmarkEnd w:id="14"/>
      <w:bookmarkEnd w:id="15"/>
      <w:bookmarkEnd w:id="16"/>
      <w:bookmarkEnd w:id="17"/>
      <w:bookmarkEnd w:id="18"/>
      <w:bookmarkEnd w:id="19"/>
      <w:r w:rsidRPr="00407F2D">
        <w:t>Comparator</w:t>
      </w:r>
      <w:bookmarkEnd w:id="20"/>
    </w:p>
    <w:p w14:paraId="5B8027F8" w14:textId="77777777" w:rsidR="00621626" w:rsidRPr="006F2DBA" w:rsidRDefault="00621626" w:rsidP="009B1A36">
      <w:pPr>
        <w:pStyle w:val="3-BodyText"/>
      </w:pPr>
      <w:r w:rsidRPr="006F2DBA">
        <w:t>The submission nominated CyBorD as the main comparator, as CyBorD is the most commonly used regimen in clinical practice.</w:t>
      </w:r>
      <w:r w:rsidR="00B51426" w:rsidRPr="006F2DBA">
        <w:t xml:space="preserve"> </w:t>
      </w:r>
      <w:r w:rsidRPr="006F2DBA">
        <w:t>The nomination of CyBorD as the main comparator was reasonable</w:t>
      </w:r>
      <w:r w:rsidR="00BC7DBC" w:rsidRPr="006F2DBA">
        <w:t>;</w:t>
      </w:r>
      <w:r w:rsidRPr="006F2DBA">
        <w:t xml:space="preserve"> however, as bortezomib is not PBS-listed for use in patients with AL amyloidosis, the cost-effectiveness of CyBorD </w:t>
      </w:r>
      <w:r w:rsidR="00802E73" w:rsidRPr="006F2DBA">
        <w:t xml:space="preserve">has </w:t>
      </w:r>
      <w:r w:rsidRPr="006F2DBA">
        <w:t xml:space="preserve">not been </w:t>
      </w:r>
      <w:r w:rsidR="00E80921" w:rsidRPr="006F2DBA">
        <w:t xml:space="preserve">established </w:t>
      </w:r>
      <w:r w:rsidRPr="006F2DBA">
        <w:t xml:space="preserve">by the PBAC. The submission did not attempt to demonstrate the cost-effectiveness of CyBorD. </w:t>
      </w:r>
      <w:r w:rsidR="00E637F1" w:rsidRPr="006F2DBA">
        <w:t>The ESC considered the nomination of CyBorD as main comparator to be appropriate</w:t>
      </w:r>
      <w:r w:rsidR="00EA50F3">
        <w:t>, noting that</w:t>
      </w:r>
      <w:r w:rsidR="00E637F1" w:rsidRPr="006F2DBA">
        <w:t xml:space="preserve"> CyBorD has not been evaluated by the PBAC for this indication, and that bortezomib is not TGA registered for this indication.  The long term clinical outcomes and cost</w:t>
      </w:r>
      <w:r w:rsidR="00E637F1" w:rsidRPr="006F2DBA">
        <w:noBreakHyphen/>
        <w:t xml:space="preserve">effectiveness of CyBorD have not been assessed by the PBAC which adds considerable uncertainty to the cost-effectiveness of daratumumab.  </w:t>
      </w:r>
    </w:p>
    <w:p w14:paraId="5E8A2E55" w14:textId="77777777" w:rsidR="00487247" w:rsidRDefault="00621626" w:rsidP="000A03F7">
      <w:pPr>
        <w:pStyle w:val="3-BodyText"/>
      </w:pPr>
      <w:r w:rsidRPr="006F2DBA">
        <w:t>The submission nominated MDex as a secondary comparator.</w:t>
      </w:r>
      <w:r w:rsidR="00023AE3" w:rsidRPr="006F2DBA">
        <w:t xml:space="preserve"> </w:t>
      </w:r>
      <w:r w:rsidRPr="006F2DBA">
        <w:t xml:space="preserve">This was reasonable as MDex has an unrestricted PBS listing and is recommended </w:t>
      </w:r>
      <w:r w:rsidR="00C50DEA" w:rsidRPr="006F2DBA">
        <w:t xml:space="preserve">for first-line treatment of AL amyloidosis </w:t>
      </w:r>
      <w:r w:rsidRPr="006F2DBA">
        <w:t>by the clinical guidelines</w:t>
      </w:r>
      <w:r w:rsidR="00A06FE6" w:rsidRPr="006F2DBA">
        <w:t xml:space="preserve"> </w:t>
      </w:r>
      <w:r w:rsidR="00E87D47" w:rsidRPr="006F2DBA">
        <w:t>(MSAG, 2019</w:t>
      </w:r>
      <w:r w:rsidR="00EA50F3">
        <w:t>)</w:t>
      </w:r>
      <w:r w:rsidRPr="006F2DBA">
        <w:t xml:space="preserve"> if bortezomib based therapies are unavailable (through private or hospital funding, compassionate supply or clinical studies) or are contraindicated (e.g. neuropathy). The submission estimated that 8% of patients with AL amyloidosis are treated with MDex. </w:t>
      </w:r>
      <w:r w:rsidR="00E637F1" w:rsidRPr="006F2DBA">
        <w:t xml:space="preserve"> The ESC considered MDex to be an appropriate second</w:t>
      </w:r>
      <w:r w:rsidR="00BC7DBC" w:rsidRPr="006F2DBA">
        <w:t>ary</w:t>
      </w:r>
      <w:r w:rsidR="00E637F1" w:rsidRPr="006F2DBA">
        <w:t xml:space="preserve"> comparator, and noted it is used for this indication in clinical practice if bortezomib is not available</w:t>
      </w:r>
      <w:r w:rsidR="008E3E24" w:rsidRPr="006F2DBA">
        <w:t xml:space="preserve"> to the patient</w:t>
      </w:r>
      <w:r w:rsidR="00E637F1" w:rsidRPr="006F2DBA">
        <w:t>.</w:t>
      </w:r>
    </w:p>
    <w:p w14:paraId="52178A66" w14:textId="77777777" w:rsidR="006F2DBA" w:rsidRPr="006F2DBA" w:rsidRDefault="006F2DBA" w:rsidP="006F2DBA">
      <w:pPr>
        <w:pStyle w:val="3-BodyText"/>
        <w:numPr>
          <w:ilvl w:val="0"/>
          <w:numId w:val="0"/>
        </w:numPr>
        <w:ind w:left="720"/>
        <w:rPr>
          <w:i/>
          <w:iCs/>
        </w:rPr>
      </w:pPr>
      <w:r w:rsidRPr="006F2DBA">
        <w:rPr>
          <w:i/>
          <w:iCs/>
        </w:rPr>
        <w:t>For more detail on PBAC’s view, see section 7 PBAC outcome.</w:t>
      </w:r>
    </w:p>
    <w:p w14:paraId="6C255CB8" w14:textId="77777777" w:rsidR="00223D5A" w:rsidRPr="00407F2D" w:rsidRDefault="00223D5A" w:rsidP="00223D5A">
      <w:pPr>
        <w:pStyle w:val="2-SectionHeading"/>
      </w:pPr>
      <w:bookmarkStart w:id="21" w:name="_Toc82436606"/>
      <w:bookmarkStart w:id="22" w:name="_Toc22897640"/>
      <w:r>
        <w:t>C</w:t>
      </w:r>
      <w:r w:rsidRPr="00407F2D">
        <w:t>onsideration of the evidence</w:t>
      </w:r>
      <w:bookmarkEnd w:id="21"/>
    </w:p>
    <w:p w14:paraId="7062EDBC" w14:textId="77777777" w:rsidR="006F2DBA" w:rsidRPr="006E1229" w:rsidRDefault="006F2DBA" w:rsidP="006F2DBA">
      <w:pPr>
        <w:pStyle w:val="4-SubsectionHeading"/>
      </w:pPr>
      <w:bookmarkStart w:id="23" w:name="_Hlk76375935"/>
      <w:bookmarkStart w:id="24" w:name="_Toc82436607"/>
      <w:r w:rsidRPr="006E1229">
        <w:t>Sponsor hearing</w:t>
      </w:r>
    </w:p>
    <w:p w14:paraId="1E473EE8" w14:textId="77777777" w:rsidR="00514E81" w:rsidRPr="001B7A84" w:rsidRDefault="0091313A" w:rsidP="00975C76">
      <w:pPr>
        <w:numPr>
          <w:ilvl w:val="1"/>
          <w:numId w:val="1"/>
        </w:numPr>
        <w:spacing w:after="160" w:line="259" w:lineRule="auto"/>
        <w:rPr>
          <w:bCs/>
        </w:rPr>
      </w:pPr>
      <w:bookmarkStart w:id="25" w:name="_Hlk76382586"/>
      <w:r w:rsidRPr="00517352">
        <w:t xml:space="preserve">The sponsor provided a hearing for this item. The </w:t>
      </w:r>
      <w:r w:rsidR="00975C76">
        <w:t xml:space="preserve">presenting </w:t>
      </w:r>
      <w:r w:rsidRPr="00517352">
        <w:t xml:space="preserve">clinician </w:t>
      </w:r>
      <w:r w:rsidR="00517352" w:rsidRPr="00517352">
        <w:t>was an investigator on the ANDROMEDA study</w:t>
      </w:r>
      <w:r w:rsidR="00F743B3">
        <w:t xml:space="preserve"> and discussed the benefits of daratumumab therapy</w:t>
      </w:r>
      <w:r w:rsidRPr="00517352">
        <w:t xml:space="preserve">.  The clinician </w:t>
      </w:r>
      <w:r w:rsidR="00517352" w:rsidRPr="00517352">
        <w:t xml:space="preserve">supported the use </w:t>
      </w:r>
      <w:r w:rsidR="00517352">
        <w:t>of</w:t>
      </w:r>
      <w:r w:rsidRPr="00517352">
        <w:t xml:space="preserve"> haematologic response as a surrogate endpoint for survival for patients with amyloidosis.  </w:t>
      </w:r>
      <w:r w:rsidR="00517352">
        <w:t xml:space="preserve">The clinician </w:t>
      </w:r>
      <w:r w:rsidR="00F544AF">
        <w:t xml:space="preserve">also </w:t>
      </w:r>
      <w:r w:rsidR="00517352">
        <w:t xml:space="preserve">noted that </w:t>
      </w:r>
      <w:r w:rsidR="00517352" w:rsidRPr="00517352">
        <w:rPr>
          <w:bCs/>
        </w:rPr>
        <w:t xml:space="preserve">MOD-PFS in ANDROMEDA </w:t>
      </w:r>
      <w:r w:rsidR="00517352">
        <w:rPr>
          <w:bCs/>
        </w:rPr>
        <w:t xml:space="preserve">was </w:t>
      </w:r>
      <w:r w:rsidR="00517352" w:rsidRPr="00517352">
        <w:rPr>
          <w:bCs/>
        </w:rPr>
        <w:t>almost entirely driven by haematological progression</w:t>
      </w:r>
      <w:r w:rsidR="00517352" w:rsidRPr="001B7A84">
        <w:rPr>
          <w:bCs/>
        </w:rPr>
        <w:t>.</w:t>
      </w:r>
      <w:r w:rsidR="005F6E02" w:rsidRPr="001B7A84">
        <w:rPr>
          <w:bCs/>
        </w:rPr>
        <w:t xml:space="preserve">  The </w:t>
      </w:r>
      <w:r w:rsidR="005F6E02" w:rsidRPr="001B7A84">
        <w:rPr>
          <w:bCs/>
        </w:rPr>
        <w:lastRenderedPageBreak/>
        <w:t>PBAC considered that the hearing was informative as it provided a clinical perspective on treating this disease.</w:t>
      </w:r>
    </w:p>
    <w:bookmarkEnd w:id="25"/>
    <w:p w14:paraId="2E451CA1" w14:textId="77777777" w:rsidR="006F2DBA" w:rsidRPr="006E1229" w:rsidRDefault="006F2DBA" w:rsidP="006F2DBA">
      <w:pPr>
        <w:pStyle w:val="4-SubsectionHeading"/>
      </w:pPr>
      <w:r w:rsidRPr="006E1229">
        <w:t>Consumer comments</w:t>
      </w:r>
    </w:p>
    <w:p w14:paraId="2C6817DE" w14:textId="77777777" w:rsidR="00DF78A7" w:rsidRPr="00F56FDA" w:rsidRDefault="00F56FDA" w:rsidP="005065F1">
      <w:pPr>
        <w:widowControl w:val="0"/>
        <w:numPr>
          <w:ilvl w:val="1"/>
          <w:numId w:val="1"/>
        </w:numPr>
        <w:spacing w:after="120"/>
        <w:rPr>
          <w:rFonts w:asciiTheme="minorHAnsi" w:hAnsiTheme="minorHAnsi"/>
          <w:bCs/>
          <w:snapToGrid w:val="0"/>
        </w:rPr>
      </w:pPr>
      <w:bookmarkStart w:id="26" w:name="_Hlk76382618"/>
      <w:r w:rsidRPr="00F56FDA">
        <w:rPr>
          <w:rFonts w:asciiTheme="minorHAnsi" w:hAnsiTheme="minorHAnsi"/>
          <w:bCs/>
          <w:snapToGrid w:val="0"/>
        </w:rPr>
        <w:t xml:space="preserve">The PBAC noted and welcomed the input from individuals (21) and organisations (3) via the Consumer Comments facility on the PBS website. The comments from individuals </w:t>
      </w:r>
      <w:r w:rsidR="00B21AA7" w:rsidRPr="00F56FDA">
        <w:rPr>
          <w:bCs/>
          <w:lang w:val="en-US"/>
        </w:rPr>
        <w:t xml:space="preserve">gave insight into </w:t>
      </w:r>
      <w:r w:rsidRPr="00F56FDA">
        <w:rPr>
          <w:bCs/>
          <w:lang w:val="en-US"/>
        </w:rPr>
        <w:t xml:space="preserve">the </w:t>
      </w:r>
      <w:r w:rsidR="00B21AA7" w:rsidRPr="00F56FDA">
        <w:rPr>
          <w:bCs/>
          <w:lang w:val="en-US"/>
        </w:rPr>
        <w:t>sym</w:t>
      </w:r>
      <w:r w:rsidRPr="00F56FDA">
        <w:rPr>
          <w:bCs/>
          <w:lang w:val="en-US"/>
        </w:rPr>
        <w:t xml:space="preserve">ptoms and impact of amyloidosis, and gave </w:t>
      </w:r>
      <w:r w:rsidR="00B21AA7" w:rsidRPr="00F56FDA">
        <w:rPr>
          <w:rFonts w:asciiTheme="minorHAnsi" w:hAnsiTheme="minorHAnsi"/>
          <w:bCs/>
          <w:snapToGrid w:val="0"/>
          <w:lang w:val="en-US"/>
        </w:rPr>
        <w:t xml:space="preserve">accounts of marked improvement in function and </w:t>
      </w:r>
      <w:r w:rsidR="00EA50F3">
        <w:rPr>
          <w:rFonts w:asciiTheme="minorHAnsi" w:hAnsiTheme="minorHAnsi"/>
          <w:bCs/>
          <w:snapToGrid w:val="0"/>
          <w:lang w:val="en-US"/>
        </w:rPr>
        <w:t>quality of life (</w:t>
      </w:r>
      <w:r w:rsidR="00B21AA7" w:rsidRPr="00F56FDA">
        <w:rPr>
          <w:rFonts w:asciiTheme="minorHAnsi" w:hAnsiTheme="minorHAnsi"/>
          <w:bCs/>
          <w:snapToGrid w:val="0"/>
          <w:lang w:val="en-US"/>
        </w:rPr>
        <w:t>QoL</w:t>
      </w:r>
      <w:r w:rsidR="00EA50F3">
        <w:rPr>
          <w:rFonts w:asciiTheme="minorHAnsi" w:hAnsiTheme="minorHAnsi"/>
          <w:bCs/>
          <w:snapToGrid w:val="0"/>
          <w:lang w:val="en-US"/>
        </w:rPr>
        <w:t>)</w:t>
      </w:r>
      <w:r w:rsidR="00B21AA7" w:rsidRPr="00F56FDA">
        <w:rPr>
          <w:rFonts w:asciiTheme="minorHAnsi" w:hAnsiTheme="minorHAnsi"/>
          <w:bCs/>
          <w:snapToGrid w:val="0"/>
          <w:lang w:val="en-US"/>
        </w:rPr>
        <w:t xml:space="preserve"> on daratumumab therapy</w:t>
      </w:r>
      <w:r>
        <w:rPr>
          <w:rFonts w:asciiTheme="minorHAnsi" w:hAnsiTheme="minorHAnsi"/>
          <w:bCs/>
          <w:snapToGrid w:val="0"/>
          <w:lang w:val="en-US"/>
        </w:rPr>
        <w:t>.</w:t>
      </w:r>
    </w:p>
    <w:p w14:paraId="30686F26" w14:textId="77777777" w:rsidR="00F56FDA" w:rsidRPr="0082099C" w:rsidRDefault="00F56FDA" w:rsidP="005065F1">
      <w:pPr>
        <w:pStyle w:val="3-BodyText"/>
        <w:widowControl w:val="0"/>
        <w:rPr>
          <w:bCs/>
        </w:rPr>
      </w:pPr>
      <w:r w:rsidRPr="0082099C">
        <w:t>The advice received from Myeloma Australia’s Medical and Scientific Advisory Group (MSAG) summarised the ANDROMEDA results and indicated support for the proposed listing.</w:t>
      </w:r>
      <w:r w:rsidR="0082099C" w:rsidRPr="0082099C">
        <w:t xml:space="preserve">  The L</w:t>
      </w:r>
      <w:r w:rsidRPr="0082099C">
        <w:t xml:space="preserve">eukaemia Foundation </w:t>
      </w:r>
      <w:r w:rsidR="0082099C" w:rsidRPr="0082099C">
        <w:rPr>
          <w:bCs/>
        </w:rPr>
        <w:t xml:space="preserve">provided support for the listing and </w:t>
      </w:r>
      <w:r w:rsidR="0082099C">
        <w:rPr>
          <w:bCs/>
        </w:rPr>
        <w:t xml:space="preserve">highlighted the lack of </w:t>
      </w:r>
      <w:r w:rsidRPr="0082099C">
        <w:rPr>
          <w:bCs/>
        </w:rPr>
        <w:t xml:space="preserve">TGA or PBS listed treatments, </w:t>
      </w:r>
      <w:r w:rsidR="0082099C">
        <w:rPr>
          <w:bCs/>
        </w:rPr>
        <w:t xml:space="preserve">and described the </w:t>
      </w:r>
      <w:r w:rsidRPr="0082099C">
        <w:rPr>
          <w:bCs/>
        </w:rPr>
        <w:t xml:space="preserve">poor </w:t>
      </w:r>
      <w:r w:rsidR="0082099C">
        <w:rPr>
          <w:bCs/>
        </w:rPr>
        <w:t>prognosis and high unmet need associated with the disease.</w:t>
      </w:r>
    </w:p>
    <w:p w14:paraId="317CD3EE" w14:textId="77777777" w:rsidR="0082099C" w:rsidRPr="0082099C" w:rsidRDefault="0082099C" w:rsidP="0082099C">
      <w:pPr>
        <w:widowControl w:val="0"/>
        <w:numPr>
          <w:ilvl w:val="1"/>
          <w:numId w:val="1"/>
        </w:numPr>
        <w:rPr>
          <w:bCs/>
        </w:rPr>
      </w:pPr>
      <w:r w:rsidRPr="0082099C">
        <w:rPr>
          <w:bCs/>
        </w:rPr>
        <w:t xml:space="preserve">The advice received from the Australian Amyloidosis Network (AAN) </w:t>
      </w:r>
      <w:r w:rsidR="005F78BB">
        <w:rPr>
          <w:bCs/>
        </w:rPr>
        <w:t>c</w:t>
      </w:r>
      <w:r w:rsidRPr="0082099C">
        <w:rPr>
          <w:bCs/>
        </w:rPr>
        <w:t>ommented on</w:t>
      </w:r>
      <w:r w:rsidR="00EA50F3">
        <w:rPr>
          <w:bCs/>
        </w:rPr>
        <w:t xml:space="preserve"> the</w:t>
      </w:r>
      <w:r w:rsidRPr="0082099C">
        <w:rPr>
          <w:bCs/>
        </w:rPr>
        <w:t xml:space="preserve"> high unmet need in the population</w:t>
      </w:r>
      <w:r w:rsidR="00EA50F3">
        <w:rPr>
          <w:bCs/>
        </w:rPr>
        <w:t xml:space="preserve"> and the</w:t>
      </w:r>
      <w:r w:rsidRPr="0082099C">
        <w:rPr>
          <w:bCs/>
        </w:rPr>
        <w:t xml:space="preserve"> strong correlation between haematologic response and </w:t>
      </w:r>
      <w:r w:rsidR="005F78BB">
        <w:rPr>
          <w:bCs/>
        </w:rPr>
        <w:t xml:space="preserve">both </w:t>
      </w:r>
      <w:r w:rsidRPr="0082099C">
        <w:rPr>
          <w:bCs/>
        </w:rPr>
        <w:t xml:space="preserve">organ </w:t>
      </w:r>
      <w:r w:rsidR="005F78BB">
        <w:rPr>
          <w:bCs/>
        </w:rPr>
        <w:t xml:space="preserve">function and </w:t>
      </w:r>
      <w:r w:rsidRPr="0082099C">
        <w:rPr>
          <w:bCs/>
        </w:rPr>
        <w:t>OS</w:t>
      </w:r>
      <w:r w:rsidR="00EA50F3">
        <w:rPr>
          <w:bCs/>
        </w:rPr>
        <w:t>, stating that</w:t>
      </w:r>
      <w:r w:rsidRPr="0082099C">
        <w:rPr>
          <w:bCs/>
        </w:rPr>
        <w:t xml:space="preserve"> “the factor being measured to assess response, the immunoglobulin free light chain, is not only a surrogate of the underlying tumour mass but is actually the cause of the disease”</w:t>
      </w:r>
      <w:r w:rsidR="00EA50F3">
        <w:rPr>
          <w:bCs/>
        </w:rPr>
        <w:t>. The AAN also requested</w:t>
      </w:r>
      <w:r w:rsidRPr="0082099C">
        <w:rPr>
          <w:bCs/>
        </w:rPr>
        <w:t xml:space="preserve"> that Mayo </w:t>
      </w:r>
      <w:r w:rsidR="00EB66F6">
        <w:rPr>
          <w:bCs/>
        </w:rPr>
        <w:t xml:space="preserve">Stage </w:t>
      </w:r>
      <w:r w:rsidR="00722A68">
        <w:rPr>
          <w:bCs/>
        </w:rPr>
        <w:t>III</w:t>
      </w:r>
      <w:r w:rsidRPr="0082099C">
        <w:rPr>
          <w:bCs/>
        </w:rPr>
        <w:t>B and renal failure patients (CrCl</w:t>
      </w:r>
      <w:r w:rsidR="00EA50F3">
        <w:rPr>
          <w:bCs/>
        </w:rPr>
        <w:t xml:space="preserve"> </w:t>
      </w:r>
      <w:r w:rsidRPr="0082099C">
        <w:rPr>
          <w:bCs/>
        </w:rPr>
        <w:t>&lt;</w:t>
      </w:r>
      <w:r w:rsidR="00EA50F3">
        <w:rPr>
          <w:bCs/>
        </w:rPr>
        <w:t xml:space="preserve"> </w:t>
      </w:r>
      <w:r w:rsidRPr="0082099C">
        <w:rPr>
          <w:bCs/>
        </w:rPr>
        <w:t>20</w:t>
      </w:r>
      <w:r w:rsidR="00EA50F3">
        <w:rPr>
          <w:bCs/>
        </w:rPr>
        <w:t xml:space="preserve"> ml/min</w:t>
      </w:r>
      <w:r w:rsidRPr="0082099C">
        <w:rPr>
          <w:bCs/>
        </w:rPr>
        <w:t>) should be included in the PBS li</w:t>
      </w:r>
      <w:r w:rsidR="005F78BB">
        <w:rPr>
          <w:bCs/>
        </w:rPr>
        <w:t>s</w:t>
      </w:r>
      <w:r w:rsidRPr="0082099C">
        <w:rPr>
          <w:bCs/>
        </w:rPr>
        <w:t>tin</w:t>
      </w:r>
      <w:r w:rsidR="005F78BB">
        <w:rPr>
          <w:bCs/>
        </w:rPr>
        <w:t>g</w:t>
      </w:r>
      <w:r w:rsidRPr="0082099C">
        <w:rPr>
          <w:bCs/>
        </w:rPr>
        <w:t xml:space="preserve"> despite exclusion from </w:t>
      </w:r>
      <w:r w:rsidR="005F78BB">
        <w:rPr>
          <w:bCs/>
        </w:rPr>
        <w:t xml:space="preserve">the </w:t>
      </w:r>
      <w:r w:rsidRPr="0082099C">
        <w:rPr>
          <w:bCs/>
        </w:rPr>
        <w:t>trial</w:t>
      </w:r>
      <w:r>
        <w:rPr>
          <w:bCs/>
        </w:rPr>
        <w:t>.</w:t>
      </w:r>
      <w:r w:rsidRPr="0082099C">
        <w:rPr>
          <w:rFonts w:asciiTheme="minorHAnsi" w:hAnsiTheme="minorHAnsi"/>
          <w:bCs/>
          <w:snapToGrid w:val="0"/>
        </w:rPr>
        <w:t xml:space="preserve"> </w:t>
      </w:r>
    </w:p>
    <w:bookmarkEnd w:id="23"/>
    <w:bookmarkEnd w:id="26"/>
    <w:p w14:paraId="1CDB241C" w14:textId="77777777" w:rsidR="00B60939" w:rsidRPr="00C9624D" w:rsidRDefault="00B60939" w:rsidP="002E4F02">
      <w:pPr>
        <w:pStyle w:val="4-SubsectionHeading"/>
      </w:pPr>
      <w:r w:rsidRPr="00C9624D">
        <w:t xml:space="preserve">Clinical </w:t>
      </w:r>
      <w:bookmarkEnd w:id="22"/>
      <w:r w:rsidR="001F275B">
        <w:t>trials</w:t>
      </w:r>
      <w:bookmarkEnd w:id="24"/>
    </w:p>
    <w:p w14:paraId="1E050710" w14:textId="77777777" w:rsidR="00A6226B" w:rsidRDefault="006565B8" w:rsidP="00DF1D1E">
      <w:pPr>
        <w:pStyle w:val="3-BodyText"/>
      </w:pPr>
      <w:r>
        <w:t>The evidential basis of the submission was informed by two clinical trials. ANDROMEDA was a randomised, open-label trial, which directly compared the efficacy and safety of daratumumab SC + CyBorD to CyBorD alone in 388 patients with newly diagnosed AL amyloidosis.</w:t>
      </w:r>
      <w:r w:rsidR="00A6226B">
        <w:t xml:space="preserve"> </w:t>
      </w:r>
      <w:r>
        <w:t>Kastritis et al. 2020 was a randomised, open-label trial,</w:t>
      </w:r>
      <w:r w:rsidRPr="00410DF9">
        <w:t xml:space="preserve"> which compared the efficacy of </w:t>
      </w:r>
      <w:r w:rsidR="000E5FBD" w:rsidRPr="00410DF9">
        <w:t>bortezomib, melphalan and dexamethasone (BMDex)</w:t>
      </w:r>
      <w:r>
        <w:t xml:space="preserve"> with MDex alone in 109 newly diagnosed patients with AL amyloidosis. </w:t>
      </w:r>
    </w:p>
    <w:p w14:paraId="41ECAFD4" w14:textId="77777777" w:rsidR="006565B8" w:rsidRDefault="006565B8" w:rsidP="00DF1D1E">
      <w:pPr>
        <w:pStyle w:val="3-BodyText"/>
        <w:snapToGrid w:val="0"/>
      </w:pPr>
      <w:r>
        <w:t xml:space="preserve">The submission </w:t>
      </w:r>
      <w:r w:rsidR="003E0DDB">
        <w:t xml:space="preserve">conducted an </w:t>
      </w:r>
      <w:r w:rsidR="002630E6">
        <w:t>indirect treatment comparison (</w:t>
      </w:r>
      <w:r w:rsidR="003E0DDB" w:rsidRPr="003E0DDB">
        <w:t>ITC</w:t>
      </w:r>
      <w:r w:rsidR="002630E6">
        <w:t>)</w:t>
      </w:r>
      <w:r w:rsidR="003E0DDB" w:rsidRPr="003E0DDB">
        <w:t xml:space="preserve"> between daratumumab SC + CyBorD (ANDROMEDA) and MDex (Kastritis et al. 2020), using the common comparator, bortezomib-based regimens (CyBorD in ANDROMEDA and BMDe</w:t>
      </w:r>
      <w:r w:rsidR="00825D95">
        <w:t xml:space="preserve">x </w:t>
      </w:r>
      <w:r w:rsidR="003E0DDB" w:rsidRPr="003E0DDB">
        <w:t>in Kastritis et a</w:t>
      </w:r>
      <w:r w:rsidR="00A06FE6">
        <w:t>l</w:t>
      </w:r>
      <w:r w:rsidR="003E0DDB" w:rsidRPr="003E0DDB">
        <w:t>. 2020).</w:t>
      </w:r>
    </w:p>
    <w:p w14:paraId="302228A4" w14:textId="77777777" w:rsidR="001F275B" w:rsidRDefault="001F275B" w:rsidP="001F275B">
      <w:pPr>
        <w:pStyle w:val="3-BodyText"/>
      </w:pPr>
      <w:r w:rsidRPr="001F275B">
        <w:t xml:space="preserve">Details of the trials presented in the submission are </w:t>
      </w:r>
      <w:r w:rsidRPr="00817BFE">
        <w:t xml:space="preserve">provided in </w:t>
      </w:r>
      <w:r w:rsidR="008A0743" w:rsidRPr="008A0743">
        <w:t xml:space="preserve">Table </w:t>
      </w:r>
      <w:r w:rsidR="008A0743" w:rsidRPr="008A0743">
        <w:rPr>
          <w:noProof/>
        </w:rPr>
        <w:t>2</w:t>
      </w:r>
      <w:r w:rsidRPr="00817BFE">
        <w:t>.</w:t>
      </w:r>
      <w:r w:rsidRPr="001F275B">
        <w:t xml:space="preserve"> </w:t>
      </w:r>
    </w:p>
    <w:p w14:paraId="297DE024" w14:textId="77777777" w:rsidR="001F275B" w:rsidRPr="001F275B" w:rsidRDefault="001F275B" w:rsidP="001F275B">
      <w:pPr>
        <w:pStyle w:val="TableText0"/>
      </w:pPr>
      <w:bookmarkStart w:id="27" w:name="_Ref79412752"/>
      <w:r w:rsidRPr="001F275B">
        <w:rPr>
          <w:b/>
        </w:rPr>
        <w:lastRenderedPageBreak/>
        <w:t xml:space="preserve">Table </w:t>
      </w:r>
      <w:r w:rsidR="008A0743">
        <w:rPr>
          <w:b/>
          <w:noProof/>
        </w:rPr>
        <w:t>2</w:t>
      </w:r>
      <w:bookmarkEnd w:id="27"/>
      <w:r w:rsidRPr="001F275B">
        <w:rPr>
          <w:rStyle w:val="CommentReference"/>
          <w:b w:val="0"/>
          <w:szCs w:val="24"/>
        </w:rPr>
        <w:t>:</w:t>
      </w:r>
      <w:r w:rsidRPr="001F275B">
        <w:rPr>
          <w:rStyle w:val="CommentReference"/>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1F275B" w:rsidRPr="00945CB3" w14:paraId="3E58CB42" w14:textId="77777777" w:rsidTr="00F071FF">
        <w:trPr>
          <w:trHeight w:val="20"/>
          <w:tblHeader/>
        </w:trPr>
        <w:tc>
          <w:tcPr>
            <w:tcW w:w="796" w:type="pct"/>
            <w:vAlign w:val="center"/>
          </w:tcPr>
          <w:p w14:paraId="5D0C8045" w14:textId="77777777" w:rsidR="001F275B" w:rsidRPr="00945CB3" w:rsidRDefault="001F275B" w:rsidP="00F071FF">
            <w:pPr>
              <w:pStyle w:val="In-tableHeading"/>
              <w:rPr>
                <w:lang w:val="en-AU"/>
              </w:rPr>
            </w:pPr>
            <w:r w:rsidRPr="00945CB3">
              <w:rPr>
                <w:lang w:val="en-AU"/>
              </w:rPr>
              <w:t>Trial ID</w:t>
            </w:r>
          </w:p>
        </w:tc>
        <w:tc>
          <w:tcPr>
            <w:tcW w:w="3027" w:type="pct"/>
            <w:vAlign w:val="center"/>
          </w:tcPr>
          <w:p w14:paraId="43A1C3F0" w14:textId="77777777" w:rsidR="001F275B" w:rsidRPr="00945CB3" w:rsidRDefault="001F275B" w:rsidP="00F071FF">
            <w:pPr>
              <w:pStyle w:val="In-tableHeading"/>
              <w:rPr>
                <w:lang w:val="en-AU"/>
              </w:rPr>
            </w:pPr>
            <w:r w:rsidRPr="00945CB3">
              <w:rPr>
                <w:lang w:val="en-AU"/>
              </w:rPr>
              <w:t>Protocol title/ Publication title</w:t>
            </w:r>
          </w:p>
        </w:tc>
        <w:tc>
          <w:tcPr>
            <w:tcW w:w="1177" w:type="pct"/>
            <w:vAlign w:val="center"/>
          </w:tcPr>
          <w:p w14:paraId="2FE6A51B" w14:textId="77777777" w:rsidR="001F275B" w:rsidRPr="00945CB3" w:rsidRDefault="001F275B" w:rsidP="00F071FF">
            <w:pPr>
              <w:pStyle w:val="In-tableHeading"/>
              <w:rPr>
                <w:lang w:val="en-AU"/>
              </w:rPr>
            </w:pPr>
            <w:r w:rsidRPr="00945CB3">
              <w:rPr>
                <w:lang w:val="en-AU"/>
              </w:rPr>
              <w:t>Publication citation</w:t>
            </w:r>
          </w:p>
        </w:tc>
      </w:tr>
      <w:tr w:rsidR="001F275B" w:rsidRPr="00945CB3" w14:paraId="4A18C3D4" w14:textId="77777777" w:rsidTr="00F071FF">
        <w:trPr>
          <w:trHeight w:val="20"/>
          <w:tblHeader/>
        </w:trPr>
        <w:tc>
          <w:tcPr>
            <w:tcW w:w="5000" w:type="pct"/>
            <w:gridSpan w:val="3"/>
            <w:vAlign w:val="center"/>
          </w:tcPr>
          <w:p w14:paraId="6F7A83A2" w14:textId="77777777" w:rsidR="001F275B" w:rsidRPr="00945CB3" w:rsidRDefault="00B51426" w:rsidP="001B7A84">
            <w:pPr>
              <w:pStyle w:val="In-tableHeading"/>
              <w:rPr>
                <w:lang w:val="en-AU"/>
              </w:rPr>
            </w:pPr>
            <w:r>
              <w:rPr>
                <w:lang w:val="en-AU"/>
              </w:rPr>
              <w:t>D</w:t>
            </w:r>
            <w:r w:rsidR="00C9703D">
              <w:rPr>
                <w:lang w:val="en-AU"/>
              </w:rPr>
              <w:t>aratumumab SC + CyBorD</w:t>
            </w:r>
            <w:r w:rsidR="001F275B" w:rsidRPr="00945CB3">
              <w:rPr>
                <w:lang w:val="en-AU"/>
              </w:rPr>
              <w:t xml:space="preserve"> vs. CyBorD</w:t>
            </w:r>
          </w:p>
        </w:tc>
      </w:tr>
      <w:tr w:rsidR="001142ED" w:rsidRPr="00945CB3" w14:paraId="3FC92E15" w14:textId="77777777" w:rsidTr="00F071FF">
        <w:trPr>
          <w:trHeight w:val="20"/>
        </w:trPr>
        <w:tc>
          <w:tcPr>
            <w:tcW w:w="796" w:type="pct"/>
            <w:vMerge w:val="restart"/>
            <w:vAlign w:val="center"/>
          </w:tcPr>
          <w:p w14:paraId="331D7E19" w14:textId="77777777" w:rsidR="001142ED" w:rsidRPr="00945CB3" w:rsidRDefault="001142ED" w:rsidP="00F071FF">
            <w:pPr>
              <w:pStyle w:val="TableText0"/>
            </w:pPr>
            <w:r w:rsidRPr="00945CB3">
              <w:t>ANDROMEDA</w:t>
            </w:r>
          </w:p>
          <w:p w14:paraId="0D7B5602" w14:textId="77777777" w:rsidR="001142ED" w:rsidRPr="00945CB3" w:rsidRDefault="001142ED" w:rsidP="00F071FF">
            <w:pPr>
              <w:pStyle w:val="TableText0"/>
            </w:pPr>
            <w:r w:rsidRPr="00945CB3">
              <w:t>(NCT03201965)</w:t>
            </w:r>
          </w:p>
        </w:tc>
        <w:tc>
          <w:tcPr>
            <w:tcW w:w="3027" w:type="pct"/>
            <w:tcBorders>
              <w:bottom w:val="nil"/>
            </w:tcBorders>
            <w:vAlign w:val="center"/>
          </w:tcPr>
          <w:p w14:paraId="4F9F44CC" w14:textId="77777777" w:rsidR="001142ED" w:rsidRPr="00945CB3" w:rsidRDefault="001142ED" w:rsidP="00F071FF">
            <w:pPr>
              <w:pStyle w:val="TableText0"/>
              <w:rPr>
                <w:szCs w:val="18"/>
              </w:rPr>
            </w:pPr>
            <w:r w:rsidRPr="00945CB3">
              <w:rPr>
                <w:szCs w:val="18"/>
              </w:rPr>
              <w:t>A Randomized Phase 3 Study to Evaluate the Efficacy and Safety of Daratumumab in Combination with CyBorD Compared with CyBorD in Newly Diagnosed Systemic AL Amyloidosis.</w:t>
            </w:r>
            <w:r w:rsidRPr="00945CB3">
              <w:t xml:space="preserve"> </w:t>
            </w:r>
          </w:p>
        </w:tc>
        <w:tc>
          <w:tcPr>
            <w:tcW w:w="1177" w:type="pct"/>
            <w:vMerge w:val="restart"/>
            <w:vAlign w:val="center"/>
          </w:tcPr>
          <w:p w14:paraId="2C1F172F" w14:textId="77777777" w:rsidR="001142ED" w:rsidRPr="00945CB3" w:rsidRDefault="001142ED" w:rsidP="00F071FF">
            <w:pPr>
              <w:pStyle w:val="TableText0"/>
            </w:pPr>
            <w:r w:rsidRPr="00945CB3">
              <w:t>October 2019</w:t>
            </w:r>
            <w:r>
              <w:t xml:space="preserve">, </w:t>
            </w:r>
            <w:r w:rsidRPr="00945CB3">
              <w:t>August 2020</w:t>
            </w:r>
          </w:p>
        </w:tc>
      </w:tr>
      <w:tr w:rsidR="001142ED" w:rsidRPr="00945CB3" w14:paraId="651068EA" w14:textId="77777777" w:rsidTr="00F071FF">
        <w:trPr>
          <w:trHeight w:val="20"/>
        </w:trPr>
        <w:tc>
          <w:tcPr>
            <w:tcW w:w="796" w:type="pct"/>
            <w:vMerge/>
            <w:tcBorders>
              <w:bottom w:val="single" w:sz="4" w:space="0" w:color="auto"/>
            </w:tcBorders>
            <w:vAlign w:val="center"/>
          </w:tcPr>
          <w:p w14:paraId="23F9A476" w14:textId="77777777" w:rsidR="001142ED" w:rsidRPr="00945CB3" w:rsidRDefault="001142ED" w:rsidP="00F071FF">
            <w:pPr>
              <w:pStyle w:val="TableText0"/>
            </w:pPr>
          </w:p>
        </w:tc>
        <w:tc>
          <w:tcPr>
            <w:tcW w:w="3027" w:type="pct"/>
            <w:tcBorders>
              <w:top w:val="nil"/>
              <w:bottom w:val="nil"/>
            </w:tcBorders>
            <w:vAlign w:val="center"/>
          </w:tcPr>
          <w:p w14:paraId="3B270BA0" w14:textId="77777777" w:rsidR="001142ED" w:rsidRPr="00945CB3" w:rsidRDefault="001142ED" w:rsidP="00F071FF">
            <w:pPr>
              <w:pStyle w:val="TableText0"/>
              <w:rPr>
                <w:szCs w:val="18"/>
              </w:rPr>
            </w:pPr>
            <w:r w:rsidRPr="00945CB3">
              <w:rPr>
                <w:bCs w:val="0"/>
                <w:szCs w:val="18"/>
              </w:rPr>
              <w:t>Protocol 54767414AMY3001</w:t>
            </w:r>
          </w:p>
        </w:tc>
        <w:tc>
          <w:tcPr>
            <w:tcW w:w="1177" w:type="pct"/>
            <w:vMerge/>
            <w:vAlign w:val="center"/>
          </w:tcPr>
          <w:p w14:paraId="63F5BAE9" w14:textId="77777777" w:rsidR="001142ED" w:rsidRPr="00945CB3" w:rsidRDefault="001142ED" w:rsidP="00F071FF">
            <w:pPr>
              <w:pStyle w:val="TableText0"/>
            </w:pPr>
          </w:p>
        </w:tc>
      </w:tr>
      <w:tr w:rsidR="001142ED" w:rsidRPr="00945CB3" w14:paraId="4185C2B5" w14:textId="77777777" w:rsidTr="00F071FF">
        <w:trPr>
          <w:trHeight w:val="20"/>
        </w:trPr>
        <w:tc>
          <w:tcPr>
            <w:tcW w:w="796" w:type="pct"/>
            <w:vMerge/>
            <w:tcBorders>
              <w:bottom w:val="nil"/>
            </w:tcBorders>
            <w:vAlign w:val="center"/>
          </w:tcPr>
          <w:p w14:paraId="4195C4E8" w14:textId="77777777" w:rsidR="001142ED" w:rsidRPr="00945CB3" w:rsidRDefault="001142ED" w:rsidP="00F071FF">
            <w:pPr>
              <w:pStyle w:val="TableText0"/>
            </w:pPr>
          </w:p>
        </w:tc>
        <w:tc>
          <w:tcPr>
            <w:tcW w:w="3027" w:type="pct"/>
            <w:tcBorders>
              <w:top w:val="nil"/>
              <w:bottom w:val="nil"/>
            </w:tcBorders>
            <w:vAlign w:val="center"/>
          </w:tcPr>
          <w:p w14:paraId="29AFC157" w14:textId="77777777" w:rsidR="001142ED" w:rsidRPr="00945CB3" w:rsidRDefault="001142ED" w:rsidP="00F071FF">
            <w:pPr>
              <w:pStyle w:val="TableText0"/>
              <w:rPr>
                <w:szCs w:val="18"/>
              </w:rPr>
            </w:pPr>
            <w:r w:rsidRPr="00945CB3">
              <w:rPr>
                <w:szCs w:val="18"/>
              </w:rPr>
              <w:t>Primary Analysis Clinical Study Report</w:t>
            </w:r>
          </w:p>
        </w:tc>
        <w:tc>
          <w:tcPr>
            <w:tcW w:w="1177" w:type="pct"/>
            <w:vMerge/>
            <w:tcBorders>
              <w:bottom w:val="nil"/>
            </w:tcBorders>
            <w:vAlign w:val="center"/>
          </w:tcPr>
          <w:p w14:paraId="5698DDE7" w14:textId="77777777" w:rsidR="001142ED" w:rsidRPr="00945CB3" w:rsidRDefault="001142ED" w:rsidP="00F071FF">
            <w:pPr>
              <w:pStyle w:val="TableText0"/>
            </w:pPr>
          </w:p>
        </w:tc>
      </w:tr>
      <w:tr w:rsidR="001F275B" w:rsidRPr="00945CB3" w14:paraId="5FFCAC2C" w14:textId="77777777" w:rsidTr="00F071FF">
        <w:trPr>
          <w:trHeight w:val="20"/>
        </w:trPr>
        <w:tc>
          <w:tcPr>
            <w:tcW w:w="796" w:type="pct"/>
            <w:vMerge/>
            <w:tcBorders>
              <w:top w:val="nil"/>
            </w:tcBorders>
            <w:vAlign w:val="center"/>
          </w:tcPr>
          <w:p w14:paraId="438B60C9" w14:textId="77777777" w:rsidR="001F275B" w:rsidRPr="00945CB3" w:rsidRDefault="001F275B" w:rsidP="00F071FF">
            <w:pPr>
              <w:pStyle w:val="TableText0"/>
            </w:pPr>
          </w:p>
        </w:tc>
        <w:tc>
          <w:tcPr>
            <w:tcW w:w="3027" w:type="pct"/>
            <w:tcBorders>
              <w:top w:val="nil"/>
              <w:bottom w:val="nil"/>
            </w:tcBorders>
            <w:vAlign w:val="center"/>
          </w:tcPr>
          <w:p w14:paraId="550CE05A" w14:textId="77777777" w:rsidR="001F275B" w:rsidRPr="00945CB3" w:rsidRDefault="001F275B" w:rsidP="00F071FF">
            <w:pPr>
              <w:pStyle w:val="TableText0"/>
              <w:rPr>
                <w:szCs w:val="18"/>
              </w:rPr>
            </w:pPr>
            <w:r w:rsidRPr="00945CB3">
              <w:rPr>
                <w:szCs w:val="18"/>
              </w:rPr>
              <w:t xml:space="preserve">Palladini, Kastritis, </w:t>
            </w:r>
            <w:r w:rsidRPr="00945CB3">
              <w:rPr>
                <w:i/>
                <w:szCs w:val="18"/>
              </w:rPr>
              <w:t>et al</w:t>
            </w:r>
            <w:r w:rsidRPr="00945CB3">
              <w:rPr>
                <w:szCs w:val="18"/>
              </w:rPr>
              <w:t>. Daratumumab plus CyBorD for patients with newly diagnosed AL amyloidosis: safety run-in results of ANDROMEDA.</w:t>
            </w:r>
          </w:p>
        </w:tc>
        <w:tc>
          <w:tcPr>
            <w:tcW w:w="1177" w:type="pct"/>
            <w:tcBorders>
              <w:top w:val="nil"/>
              <w:bottom w:val="nil"/>
            </w:tcBorders>
            <w:vAlign w:val="center"/>
          </w:tcPr>
          <w:p w14:paraId="6A07B4A9" w14:textId="77777777" w:rsidR="0009605D" w:rsidRDefault="0009605D" w:rsidP="00F071FF">
            <w:pPr>
              <w:pStyle w:val="TableText0"/>
              <w:rPr>
                <w:szCs w:val="18"/>
              </w:rPr>
            </w:pPr>
          </w:p>
          <w:p w14:paraId="44AA9AAD" w14:textId="77777777" w:rsidR="001F275B" w:rsidRPr="00945CB3" w:rsidRDefault="001F275B" w:rsidP="00F071FF">
            <w:pPr>
              <w:pStyle w:val="TableText0"/>
              <w:rPr>
                <w:szCs w:val="18"/>
              </w:rPr>
            </w:pPr>
            <w:r w:rsidRPr="00945CB3">
              <w:rPr>
                <w:szCs w:val="18"/>
              </w:rPr>
              <w:t>The Journal of the American Society of Hematology 2020, 136(1), pp.71-80.</w:t>
            </w:r>
          </w:p>
        </w:tc>
      </w:tr>
      <w:tr w:rsidR="001F275B" w:rsidRPr="00945CB3" w14:paraId="2B6B5E80" w14:textId="77777777" w:rsidTr="00F071FF">
        <w:trPr>
          <w:trHeight w:val="20"/>
        </w:trPr>
        <w:tc>
          <w:tcPr>
            <w:tcW w:w="796" w:type="pct"/>
            <w:vMerge/>
            <w:tcBorders>
              <w:bottom w:val="nil"/>
            </w:tcBorders>
            <w:vAlign w:val="center"/>
          </w:tcPr>
          <w:p w14:paraId="7B65FF34" w14:textId="77777777" w:rsidR="001F275B" w:rsidRPr="00945CB3" w:rsidRDefault="001F275B" w:rsidP="00F071FF">
            <w:pPr>
              <w:pStyle w:val="TableText0"/>
            </w:pPr>
          </w:p>
        </w:tc>
        <w:tc>
          <w:tcPr>
            <w:tcW w:w="3027" w:type="pct"/>
            <w:tcBorders>
              <w:top w:val="nil"/>
              <w:bottom w:val="nil"/>
            </w:tcBorders>
            <w:vAlign w:val="center"/>
          </w:tcPr>
          <w:p w14:paraId="12FC6B53" w14:textId="77777777" w:rsidR="001F275B" w:rsidRPr="00945CB3" w:rsidRDefault="001F275B" w:rsidP="00F071FF">
            <w:pPr>
              <w:pStyle w:val="TableText0"/>
              <w:rPr>
                <w:szCs w:val="18"/>
              </w:rPr>
            </w:pPr>
            <w:r w:rsidRPr="00945CB3">
              <w:rPr>
                <w:szCs w:val="18"/>
              </w:rPr>
              <w:t xml:space="preserve">Kastritis, Palladini, </w:t>
            </w:r>
            <w:r w:rsidRPr="00945CB3">
              <w:rPr>
                <w:i/>
                <w:szCs w:val="18"/>
              </w:rPr>
              <w:t>et al</w:t>
            </w:r>
            <w:r w:rsidRPr="00945CB3">
              <w:rPr>
                <w:szCs w:val="18"/>
              </w:rPr>
              <w:t>. Daratumumab-Based Treatment for Immunoglobulin Light-Chain Amyloidosis.</w:t>
            </w:r>
          </w:p>
        </w:tc>
        <w:tc>
          <w:tcPr>
            <w:tcW w:w="1177" w:type="pct"/>
            <w:tcBorders>
              <w:top w:val="nil"/>
              <w:bottom w:val="nil"/>
            </w:tcBorders>
          </w:tcPr>
          <w:p w14:paraId="78AE0553" w14:textId="77777777" w:rsidR="0009605D" w:rsidRDefault="0009605D" w:rsidP="00F071FF">
            <w:pPr>
              <w:pStyle w:val="TableText0"/>
            </w:pPr>
          </w:p>
          <w:p w14:paraId="470F2781" w14:textId="77777777" w:rsidR="001F275B" w:rsidRPr="00945CB3" w:rsidRDefault="001F275B" w:rsidP="00F071FF">
            <w:pPr>
              <w:pStyle w:val="TableText0"/>
              <w:rPr>
                <w:i/>
                <w:szCs w:val="18"/>
              </w:rPr>
            </w:pPr>
            <w:r w:rsidRPr="00945CB3">
              <w:t>New England Journal of Medicine 2021, 385(1), pp.46-58.</w:t>
            </w:r>
          </w:p>
        </w:tc>
      </w:tr>
      <w:tr w:rsidR="001F275B" w:rsidRPr="00945CB3" w14:paraId="313E5835" w14:textId="77777777" w:rsidTr="00F071FF">
        <w:trPr>
          <w:trHeight w:val="20"/>
        </w:trPr>
        <w:tc>
          <w:tcPr>
            <w:tcW w:w="5000" w:type="pct"/>
            <w:gridSpan w:val="3"/>
            <w:vAlign w:val="center"/>
          </w:tcPr>
          <w:p w14:paraId="511517C9" w14:textId="77777777" w:rsidR="001F275B" w:rsidRPr="00945CB3" w:rsidRDefault="00B51426" w:rsidP="001B7A84">
            <w:pPr>
              <w:pStyle w:val="TableText0"/>
              <w:rPr>
                <w:b/>
              </w:rPr>
            </w:pPr>
            <w:r>
              <w:rPr>
                <w:b/>
              </w:rPr>
              <w:t>D</w:t>
            </w:r>
            <w:r w:rsidR="00C9703D">
              <w:rPr>
                <w:b/>
              </w:rPr>
              <w:t>aratumumab SC + CyBorD</w:t>
            </w:r>
            <w:r w:rsidR="001F275B" w:rsidRPr="00945CB3">
              <w:rPr>
                <w:b/>
              </w:rPr>
              <w:t xml:space="preserve"> vs. MDex (via common comparator,</w:t>
            </w:r>
            <w:r w:rsidR="00802E73">
              <w:rPr>
                <w:b/>
              </w:rPr>
              <w:t xml:space="preserve"> bortezomib-based regimens</w:t>
            </w:r>
            <w:r w:rsidR="001F275B" w:rsidRPr="00945CB3">
              <w:rPr>
                <w:b/>
              </w:rPr>
              <w:t xml:space="preserve"> </w:t>
            </w:r>
            <w:r w:rsidR="00802E73">
              <w:rPr>
                <w:b/>
              </w:rPr>
              <w:t>(</w:t>
            </w:r>
            <w:r w:rsidR="001F275B" w:rsidRPr="00945CB3">
              <w:rPr>
                <w:b/>
              </w:rPr>
              <w:t>CyBorD</w:t>
            </w:r>
            <w:r w:rsidR="00802E73">
              <w:rPr>
                <w:b/>
              </w:rPr>
              <w:t>/ BMDex)</w:t>
            </w:r>
            <w:r w:rsidR="001F275B" w:rsidRPr="00945CB3">
              <w:rPr>
                <w:b/>
              </w:rPr>
              <w:t>)</w:t>
            </w:r>
          </w:p>
        </w:tc>
      </w:tr>
      <w:tr w:rsidR="001F275B" w:rsidRPr="00945CB3" w14:paraId="71E514B5" w14:textId="77777777" w:rsidTr="00F071FF">
        <w:trPr>
          <w:trHeight w:val="20"/>
        </w:trPr>
        <w:tc>
          <w:tcPr>
            <w:tcW w:w="796" w:type="pct"/>
            <w:vMerge w:val="restart"/>
            <w:vAlign w:val="center"/>
          </w:tcPr>
          <w:p w14:paraId="3FCAA918" w14:textId="77777777" w:rsidR="001F275B" w:rsidRPr="00945CB3" w:rsidRDefault="00116B30" w:rsidP="00F071FF">
            <w:pPr>
              <w:pStyle w:val="TableText0"/>
            </w:pPr>
            <w:r>
              <w:t>Kastritis et al. 2020</w:t>
            </w:r>
            <w:r w:rsidR="001F275B" w:rsidRPr="00945CB3">
              <w:t xml:space="preserve"> (NCT01277016)</w:t>
            </w:r>
          </w:p>
        </w:tc>
        <w:tc>
          <w:tcPr>
            <w:tcW w:w="3027" w:type="pct"/>
            <w:tcBorders>
              <w:bottom w:val="nil"/>
            </w:tcBorders>
            <w:vAlign w:val="center"/>
          </w:tcPr>
          <w:p w14:paraId="5CC5CE44" w14:textId="77777777" w:rsidR="001F275B" w:rsidRPr="00945CB3" w:rsidRDefault="001F275B" w:rsidP="00F071FF">
            <w:pPr>
              <w:pStyle w:val="TableText0"/>
            </w:pPr>
            <w:r w:rsidRPr="00945CB3">
              <w:t>A randomized open-label multicentre phase III trial of MDex versus BMDex for untreated patients with systemic light-chain amyloidosis. Protocol AC-004-EU</w:t>
            </w:r>
          </w:p>
        </w:tc>
        <w:tc>
          <w:tcPr>
            <w:tcW w:w="1177" w:type="pct"/>
            <w:tcBorders>
              <w:bottom w:val="nil"/>
            </w:tcBorders>
          </w:tcPr>
          <w:p w14:paraId="2B86EAA9" w14:textId="77777777" w:rsidR="001F275B" w:rsidRPr="00945CB3" w:rsidRDefault="001F275B" w:rsidP="00F071FF">
            <w:pPr>
              <w:pStyle w:val="TableText0"/>
            </w:pPr>
            <w:r w:rsidRPr="00945CB3">
              <w:t>January 2013</w:t>
            </w:r>
          </w:p>
        </w:tc>
      </w:tr>
      <w:tr w:rsidR="001F275B" w:rsidRPr="00945CB3" w14:paraId="44DEA490" w14:textId="77777777" w:rsidTr="00F071FF">
        <w:trPr>
          <w:trHeight w:val="43"/>
        </w:trPr>
        <w:tc>
          <w:tcPr>
            <w:tcW w:w="796" w:type="pct"/>
            <w:vMerge/>
            <w:tcBorders>
              <w:bottom w:val="single" w:sz="4" w:space="0" w:color="auto"/>
            </w:tcBorders>
            <w:vAlign w:val="center"/>
          </w:tcPr>
          <w:p w14:paraId="7C58503F" w14:textId="77777777" w:rsidR="001F275B" w:rsidRPr="00945CB3" w:rsidRDefault="001F275B" w:rsidP="00F071FF">
            <w:pPr>
              <w:pStyle w:val="TableText0"/>
            </w:pPr>
          </w:p>
        </w:tc>
        <w:tc>
          <w:tcPr>
            <w:tcW w:w="3027" w:type="pct"/>
            <w:tcBorders>
              <w:top w:val="nil"/>
              <w:bottom w:val="single" w:sz="4" w:space="0" w:color="auto"/>
            </w:tcBorders>
            <w:vAlign w:val="center"/>
          </w:tcPr>
          <w:p w14:paraId="630B81B0" w14:textId="77777777" w:rsidR="001F275B" w:rsidRPr="00945CB3" w:rsidRDefault="001F275B" w:rsidP="00F071FF">
            <w:pPr>
              <w:pStyle w:val="TableText0"/>
              <w:rPr>
                <w:i/>
                <w:szCs w:val="18"/>
              </w:rPr>
            </w:pPr>
            <w:r w:rsidRPr="00945CB3">
              <w:rPr>
                <w:szCs w:val="18"/>
              </w:rPr>
              <w:t xml:space="preserve">Kastritis, Leleu, </w:t>
            </w:r>
            <w:r w:rsidRPr="00945CB3">
              <w:rPr>
                <w:i/>
                <w:szCs w:val="18"/>
              </w:rPr>
              <w:t xml:space="preserve">et al. </w:t>
            </w:r>
            <w:r w:rsidRPr="00945CB3">
              <w:rPr>
                <w:szCs w:val="18"/>
              </w:rPr>
              <w:t>Bortezomib, melphalan, and dexamethasone for light-chain amyloidosis.</w:t>
            </w:r>
          </w:p>
        </w:tc>
        <w:tc>
          <w:tcPr>
            <w:tcW w:w="1177" w:type="pct"/>
            <w:tcBorders>
              <w:top w:val="nil"/>
              <w:bottom w:val="single" w:sz="4" w:space="0" w:color="auto"/>
            </w:tcBorders>
            <w:vAlign w:val="center"/>
          </w:tcPr>
          <w:p w14:paraId="4B7B2011" w14:textId="77777777" w:rsidR="0009605D" w:rsidRDefault="0009605D" w:rsidP="00F071FF">
            <w:pPr>
              <w:pStyle w:val="TableText0"/>
            </w:pPr>
          </w:p>
          <w:p w14:paraId="4D8A11EE" w14:textId="77777777" w:rsidR="001F275B" w:rsidRPr="00945CB3" w:rsidRDefault="001F275B" w:rsidP="00F071FF">
            <w:pPr>
              <w:pStyle w:val="TableText0"/>
            </w:pPr>
            <w:r w:rsidRPr="00945CB3">
              <w:t>Journal of Clinical Oncology 2020, 38(28), pp.3252-3260.</w:t>
            </w:r>
          </w:p>
        </w:tc>
      </w:tr>
    </w:tbl>
    <w:p w14:paraId="2C5BFEA2" w14:textId="77777777" w:rsidR="001F275B" w:rsidRPr="00945CB3" w:rsidRDefault="001F275B" w:rsidP="001F275B">
      <w:pPr>
        <w:pStyle w:val="TableFigureFooter"/>
      </w:pPr>
      <w:r w:rsidRPr="00945CB3">
        <w:t>Source: Table 2-5, p76 of the submission</w:t>
      </w:r>
    </w:p>
    <w:p w14:paraId="604449EB" w14:textId="77777777" w:rsidR="001F275B" w:rsidRPr="00945CB3" w:rsidRDefault="006565B8" w:rsidP="001F275B">
      <w:pPr>
        <w:pStyle w:val="TableFigureFooter"/>
        <w:rPr>
          <w:sz w:val="20"/>
        </w:rPr>
      </w:pPr>
      <w:r>
        <w:t xml:space="preserve">AL = light-chain; </w:t>
      </w:r>
      <w:r w:rsidR="001F275B" w:rsidRPr="00945CB3">
        <w:t xml:space="preserve">BMDex = bortezomib, melphalan and dexamethasone; </w:t>
      </w:r>
      <w:r w:rsidR="001F275B" w:rsidRPr="00945CB3">
        <w:rPr>
          <w:szCs w:val="18"/>
        </w:rPr>
        <w:t xml:space="preserve">CyBorD = cyclophosphamide, bortezomib and dexamethasone; MDex = </w:t>
      </w:r>
      <w:r w:rsidR="001F275B" w:rsidRPr="00945CB3">
        <w:t>melphalan and dexamethasone;</w:t>
      </w:r>
      <w:r w:rsidR="001F275B" w:rsidRPr="00945CB3">
        <w:rPr>
          <w:szCs w:val="18"/>
        </w:rPr>
        <w:t xml:space="preserve"> SC = subcutaneous injection</w:t>
      </w:r>
    </w:p>
    <w:p w14:paraId="36D497A2" w14:textId="77777777" w:rsidR="001F275B" w:rsidRPr="00121F39" w:rsidRDefault="001F275B" w:rsidP="001F275B">
      <w:pPr>
        <w:pStyle w:val="3-BodyText"/>
        <w:rPr>
          <w:color w:val="0066FF"/>
        </w:rPr>
      </w:pPr>
      <w:r w:rsidRPr="00945CB3">
        <w:t>The key features of the direct randomised trial</w:t>
      </w:r>
      <w:r>
        <w:t>s</w:t>
      </w:r>
      <w:r w:rsidRPr="00945CB3">
        <w:t xml:space="preserve"> are </w:t>
      </w:r>
      <w:r w:rsidRPr="00310DA4">
        <w:t xml:space="preserve">summarised in </w:t>
      </w:r>
      <w:r w:rsidR="008A0743" w:rsidRPr="008A0743">
        <w:t xml:space="preserve">Table </w:t>
      </w:r>
      <w:r w:rsidR="008A0743" w:rsidRPr="008A0743">
        <w:rPr>
          <w:noProof/>
        </w:rPr>
        <w:t>3</w:t>
      </w:r>
      <w:r>
        <w:t xml:space="preserve"> </w:t>
      </w:r>
      <w:r w:rsidRPr="00945CB3">
        <w:t xml:space="preserve">below. </w:t>
      </w:r>
    </w:p>
    <w:p w14:paraId="48F921D7" w14:textId="77777777" w:rsidR="00753204" w:rsidRDefault="00753204">
      <w:pPr>
        <w:jc w:val="left"/>
        <w:rPr>
          <w:rFonts w:ascii="Arial Narrow" w:eastAsiaTheme="majorEastAsia" w:hAnsi="Arial Narrow" w:cstheme="majorBidi"/>
          <w:b/>
          <w:bCs/>
          <w:sz w:val="20"/>
        </w:rPr>
      </w:pPr>
      <w:bookmarkStart w:id="28" w:name="_Ref79400005"/>
      <w:r>
        <w:rPr>
          <w:b/>
        </w:rPr>
        <w:br w:type="page"/>
      </w:r>
    </w:p>
    <w:p w14:paraId="14CA04D6" w14:textId="085BE8A8" w:rsidR="001F275B" w:rsidRPr="001F275B" w:rsidRDefault="001F275B" w:rsidP="001F275B">
      <w:pPr>
        <w:pStyle w:val="TableText0"/>
        <w:rPr>
          <w:b/>
        </w:rPr>
      </w:pPr>
      <w:r w:rsidRPr="001F275B">
        <w:rPr>
          <w:b/>
        </w:rPr>
        <w:lastRenderedPageBreak/>
        <w:t xml:space="preserve">Table </w:t>
      </w:r>
      <w:r w:rsidR="008A0743">
        <w:rPr>
          <w:b/>
          <w:noProof/>
        </w:rPr>
        <w:t>3</w:t>
      </w:r>
      <w:bookmarkEnd w:id="28"/>
      <w:r w:rsidRPr="001F275B">
        <w:rPr>
          <w:b/>
        </w:rPr>
        <w:t>: Key features of the included evidence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651"/>
        <w:gridCol w:w="384"/>
        <w:gridCol w:w="1365"/>
        <w:gridCol w:w="705"/>
        <w:gridCol w:w="1987"/>
        <w:gridCol w:w="1558"/>
        <w:gridCol w:w="1367"/>
      </w:tblGrid>
      <w:tr w:rsidR="00EF28B4" w:rsidRPr="00945CB3" w14:paraId="7940C9F1" w14:textId="77777777" w:rsidTr="00EF28B4">
        <w:trPr>
          <w:cantSplit/>
          <w:tblHeader/>
          <w:jc w:val="center"/>
        </w:trPr>
        <w:tc>
          <w:tcPr>
            <w:tcW w:w="915" w:type="pct"/>
            <w:shd w:val="clear" w:color="auto" w:fill="auto"/>
            <w:vAlign w:val="center"/>
          </w:tcPr>
          <w:p w14:paraId="25283732" w14:textId="77777777" w:rsidR="001F275B" w:rsidRPr="00945CB3" w:rsidRDefault="001F275B" w:rsidP="00F071FF">
            <w:pPr>
              <w:pStyle w:val="In-tableHeading"/>
              <w:rPr>
                <w:lang w:val="en-AU"/>
              </w:rPr>
            </w:pPr>
            <w:r w:rsidRPr="00945CB3">
              <w:rPr>
                <w:lang w:val="en-AU"/>
              </w:rPr>
              <w:t>Trial</w:t>
            </w:r>
          </w:p>
        </w:tc>
        <w:tc>
          <w:tcPr>
            <w:tcW w:w="213" w:type="pct"/>
            <w:shd w:val="clear" w:color="auto" w:fill="auto"/>
            <w:vAlign w:val="center"/>
          </w:tcPr>
          <w:p w14:paraId="12DA4E83" w14:textId="77777777" w:rsidR="001F275B" w:rsidRPr="00945CB3" w:rsidRDefault="001F275B" w:rsidP="00F071FF">
            <w:pPr>
              <w:pStyle w:val="In-tableHeading"/>
              <w:jc w:val="center"/>
              <w:rPr>
                <w:lang w:val="en-AU"/>
              </w:rPr>
            </w:pPr>
            <w:r w:rsidRPr="00945CB3">
              <w:rPr>
                <w:lang w:val="en-AU"/>
              </w:rPr>
              <w:t>N</w:t>
            </w:r>
          </w:p>
        </w:tc>
        <w:tc>
          <w:tcPr>
            <w:tcW w:w="757" w:type="pct"/>
            <w:shd w:val="clear" w:color="auto" w:fill="auto"/>
            <w:vAlign w:val="center"/>
          </w:tcPr>
          <w:p w14:paraId="5C02A6CB" w14:textId="77777777" w:rsidR="001F275B" w:rsidRPr="00945CB3" w:rsidRDefault="001F275B" w:rsidP="00F071FF">
            <w:pPr>
              <w:pStyle w:val="In-tableHeading"/>
              <w:jc w:val="center"/>
              <w:rPr>
                <w:lang w:val="en-AU"/>
              </w:rPr>
            </w:pPr>
            <w:r w:rsidRPr="00945CB3">
              <w:rPr>
                <w:lang w:val="en-AU"/>
              </w:rPr>
              <w:t>Design/duration</w:t>
            </w:r>
          </w:p>
        </w:tc>
        <w:tc>
          <w:tcPr>
            <w:tcW w:w="391" w:type="pct"/>
            <w:shd w:val="clear" w:color="auto" w:fill="auto"/>
            <w:vAlign w:val="center"/>
          </w:tcPr>
          <w:p w14:paraId="6CC5A437" w14:textId="77777777" w:rsidR="001F275B" w:rsidRPr="00945CB3" w:rsidRDefault="001F275B" w:rsidP="00F071FF">
            <w:pPr>
              <w:pStyle w:val="In-tableHeading"/>
              <w:jc w:val="center"/>
              <w:rPr>
                <w:lang w:val="en-AU"/>
              </w:rPr>
            </w:pPr>
            <w:r w:rsidRPr="00945CB3">
              <w:rPr>
                <w:lang w:val="en-AU"/>
              </w:rPr>
              <w:t>Risk of bias</w:t>
            </w:r>
          </w:p>
        </w:tc>
        <w:tc>
          <w:tcPr>
            <w:tcW w:w="1102" w:type="pct"/>
            <w:shd w:val="clear" w:color="auto" w:fill="auto"/>
            <w:vAlign w:val="center"/>
          </w:tcPr>
          <w:p w14:paraId="7539D673" w14:textId="77777777" w:rsidR="001F275B" w:rsidRPr="00945CB3" w:rsidRDefault="001F275B" w:rsidP="00F071FF">
            <w:pPr>
              <w:pStyle w:val="In-tableHeading"/>
              <w:jc w:val="center"/>
              <w:rPr>
                <w:lang w:val="en-AU"/>
              </w:rPr>
            </w:pPr>
            <w:r w:rsidRPr="00945CB3">
              <w:rPr>
                <w:lang w:val="en-AU"/>
              </w:rPr>
              <w:t>Patient population</w:t>
            </w:r>
          </w:p>
        </w:tc>
        <w:tc>
          <w:tcPr>
            <w:tcW w:w="864" w:type="pct"/>
            <w:shd w:val="clear" w:color="auto" w:fill="auto"/>
            <w:vAlign w:val="center"/>
          </w:tcPr>
          <w:p w14:paraId="46E4FF60" w14:textId="77777777" w:rsidR="001F275B" w:rsidRPr="00945CB3" w:rsidRDefault="001F275B" w:rsidP="00F071FF">
            <w:pPr>
              <w:pStyle w:val="In-tableHeading"/>
              <w:jc w:val="center"/>
              <w:rPr>
                <w:lang w:val="en-AU"/>
              </w:rPr>
            </w:pPr>
            <w:r w:rsidRPr="00945CB3">
              <w:rPr>
                <w:lang w:val="en-AU"/>
              </w:rPr>
              <w:t>Outcome</w:t>
            </w:r>
          </w:p>
        </w:tc>
        <w:tc>
          <w:tcPr>
            <w:tcW w:w="758" w:type="pct"/>
            <w:shd w:val="clear" w:color="auto" w:fill="auto"/>
            <w:vAlign w:val="center"/>
          </w:tcPr>
          <w:p w14:paraId="5A25DA9E" w14:textId="77777777" w:rsidR="001F275B" w:rsidRPr="00945CB3" w:rsidRDefault="001F275B" w:rsidP="00F071FF">
            <w:pPr>
              <w:pStyle w:val="In-tableHeading"/>
              <w:jc w:val="center"/>
              <w:rPr>
                <w:lang w:val="en-AU"/>
              </w:rPr>
            </w:pPr>
            <w:r w:rsidRPr="00945CB3">
              <w:rPr>
                <w:lang w:val="en-AU"/>
              </w:rPr>
              <w:t>Use in modelled evaluation</w:t>
            </w:r>
          </w:p>
        </w:tc>
      </w:tr>
      <w:tr w:rsidR="001F275B" w:rsidRPr="00945CB3" w14:paraId="47414476" w14:textId="77777777" w:rsidTr="00F071FF">
        <w:trPr>
          <w:cantSplit/>
          <w:jc w:val="center"/>
        </w:trPr>
        <w:tc>
          <w:tcPr>
            <w:tcW w:w="5000" w:type="pct"/>
            <w:gridSpan w:val="7"/>
            <w:shd w:val="clear" w:color="auto" w:fill="auto"/>
            <w:vAlign w:val="center"/>
          </w:tcPr>
          <w:p w14:paraId="45902DFE" w14:textId="77777777" w:rsidR="001F275B" w:rsidRPr="00945CB3" w:rsidRDefault="001F275B" w:rsidP="0009605D">
            <w:pPr>
              <w:pStyle w:val="In-tableHeading"/>
              <w:rPr>
                <w:lang w:val="en-AU"/>
              </w:rPr>
            </w:pPr>
            <w:r>
              <w:rPr>
                <w:lang w:val="en-AU"/>
              </w:rPr>
              <w:t>Dara + CyBorD vs. CyBorD</w:t>
            </w:r>
          </w:p>
        </w:tc>
      </w:tr>
      <w:tr w:rsidR="001F275B" w:rsidRPr="00945CB3" w14:paraId="4F711554" w14:textId="77777777" w:rsidTr="00EF28B4">
        <w:trPr>
          <w:cantSplit/>
          <w:jc w:val="center"/>
        </w:trPr>
        <w:tc>
          <w:tcPr>
            <w:tcW w:w="915" w:type="pct"/>
            <w:shd w:val="clear" w:color="auto" w:fill="auto"/>
            <w:vAlign w:val="center"/>
          </w:tcPr>
          <w:p w14:paraId="2DEC3EE1" w14:textId="77777777" w:rsidR="001F275B" w:rsidRPr="00945CB3" w:rsidRDefault="001F275B" w:rsidP="00F071FF">
            <w:pPr>
              <w:pStyle w:val="TableText0"/>
            </w:pPr>
            <w:r>
              <w:t>ANDRO</w:t>
            </w:r>
            <w:r w:rsidR="154294C7">
              <w:t>M</w:t>
            </w:r>
            <w:r>
              <w:t>EDA</w:t>
            </w:r>
          </w:p>
        </w:tc>
        <w:tc>
          <w:tcPr>
            <w:tcW w:w="213" w:type="pct"/>
            <w:shd w:val="clear" w:color="auto" w:fill="auto"/>
            <w:vAlign w:val="center"/>
          </w:tcPr>
          <w:p w14:paraId="5B3519AD" w14:textId="77777777" w:rsidR="001F275B" w:rsidRPr="00945CB3" w:rsidRDefault="001F275B" w:rsidP="00F071FF">
            <w:pPr>
              <w:pStyle w:val="TableText0"/>
              <w:jc w:val="center"/>
            </w:pPr>
            <w:r>
              <w:t>388</w:t>
            </w:r>
          </w:p>
        </w:tc>
        <w:tc>
          <w:tcPr>
            <w:tcW w:w="757" w:type="pct"/>
            <w:shd w:val="clear" w:color="auto" w:fill="auto"/>
            <w:vAlign w:val="center"/>
          </w:tcPr>
          <w:p w14:paraId="1F26D6D2" w14:textId="77777777" w:rsidR="001F275B" w:rsidRPr="00945CB3" w:rsidRDefault="001F275B" w:rsidP="00F071FF">
            <w:pPr>
              <w:pStyle w:val="TableText0"/>
              <w:jc w:val="center"/>
            </w:pPr>
            <w:r>
              <w:t>OL, MC, R</w:t>
            </w:r>
          </w:p>
          <w:p w14:paraId="300BE904" w14:textId="77777777" w:rsidR="001F275B" w:rsidRPr="00945CB3" w:rsidRDefault="001F275B" w:rsidP="00F071FF">
            <w:pPr>
              <w:pStyle w:val="TableText0"/>
              <w:jc w:val="center"/>
            </w:pPr>
            <w:r>
              <w:t>11.4</w:t>
            </w:r>
            <w:r w:rsidRPr="00945CB3">
              <w:t xml:space="preserve"> m</w:t>
            </w:r>
            <w:r w:rsidR="00D71DEE">
              <w:t>on</w:t>
            </w:r>
            <w:r w:rsidRPr="00945CB3">
              <w:t>ths</w:t>
            </w:r>
          </w:p>
        </w:tc>
        <w:tc>
          <w:tcPr>
            <w:tcW w:w="391" w:type="pct"/>
            <w:shd w:val="clear" w:color="auto" w:fill="auto"/>
            <w:vAlign w:val="center"/>
          </w:tcPr>
          <w:p w14:paraId="53F7172B" w14:textId="77777777" w:rsidR="001F275B" w:rsidRPr="002A770B" w:rsidRDefault="001F275B" w:rsidP="00F071FF">
            <w:pPr>
              <w:pStyle w:val="TableText0"/>
              <w:jc w:val="center"/>
              <w:rPr>
                <w:iCs/>
              </w:rPr>
            </w:pPr>
            <w:r w:rsidRPr="002A770B">
              <w:rPr>
                <w:iCs/>
              </w:rPr>
              <w:t>Low</w:t>
            </w:r>
          </w:p>
        </w:tc>
        <w:tc>
          <w:tcPr>
            <w:tcW w:w="1102" w:type="pct"/>
            <w:shd w:val="clear" w:color="auto" w:fill="auto"/>
            <w:vAlign w:val="center"/>
          </w:tcPr>
          <w:p w14:paraId="4940A8DC" w14:textId="77777777" w:rsidR="001F275B" w:rsidRPr="00945CB3" w:rsidRDefault="001F275B" w:rsidP="00F071FF">
            <w:pPr>
              <w:pStyle w:val="TableText0"/>
              <w:jc w:val="center"/>
            </w:pPr>
            <w:r>
              <w:t>Newly diagnosed AL amyloidosis</w:t>
            </w:r>
            <w:r w:rsidR="006E600D" w:rsidRPr="006E600D">
              <w:rPr>
                <w:vertAlign w:val="superscript"/>
              </w:rPr>
              <w:t xml:space="preserve"> a</w:t>
            </w:r>
            <w:r>
              <w:t xml:space="preserve">. MM patients were </w:t>
            </w:r>
            <w:r w:rsidR="00E87D47">
              <w:t>excluded</w:t>
            </w:r>
            <w:r>
              <w:t xml:space="preserve">. </w:t>
            </w:r>
          </w:p>
        </w:tc>
        <w:tc>
          <w:tcPr>
            <w:tcW w:w="864" w:type="pct"/>
            <w:shd w:val="clear" w:color="auto" w:fill="auto"/>
            <w:vAlign w:val="center"/>
          </w:tcPr>
          <w:p w14:paraId="509ACA66" w14:textId="77777777" w:rsidR="001F275B" w:rsidRDefault="001F275B" w:rsidP="00F071FF">
            <w:pPr>
              <w:pStyle w:val="TableText0"/>
              <w:jc w:val="center"/>
            </w:pPr>
            <w:r>
              <w:t>CR, VGPR, Overall HR</w:t>
            </w:r>
            <w:r w:rsidR="003C036B">
              <w:t xml:space="preserve">, </w:t>
            </w:r>
            <w:r>
              <w:t>OS, OrRR,</w:t>
            </w:r>
          </w:p>
          <w:p w14:paraId="5D539A06" w14:textId="77777777" w:rsidR="001F275B" w:rsidRPr="00945CB3" w:rsidRDefault="001F275B" w:rsidP="003C036B">
            <w:pPr>
              <w:pStyle w:val="TableText0"/>
              <w:jc w:val="center"/>
            </w:pPr>
            <w:r>
              <w:t>MOD-PFS</w:t>
            </w:r>
            <w:r w:rsidR="003C036B">
              <w:t>,</w:t>
            </w:r>
            <w:r w:rsidR="00D71DEE">
              <w:t xml:space="preserve"> </w:t>
            </w:r>
            <w:r>
              <w:t xml:space="preserve">HRQoL </w:t>
            </w:r>
          </w:p>
        </w:tc>
        <w:tc>
          <w:tcPr>
            <w:tcW w:w="758" w:type="pct"/>
            <w:shd w:val="clear" w:color="auto" w:fill="auto"/>
            <w:vAlign w:val="center"/>
          </w:tcPr>
          <w:p w14:paraId="6B48B264" w14:textId="77777777" w:rsidR="001F275B" w:rsidRPr="005C7F4E" w:rsidRDefault="04F70A86" w:rsidP="00F071FF">
            <w:pPr>
              <w:pStyle w:val="TableText0"/>
              <w:jc w:val="center"/>
            </w:pPr>
            <w:r>
              <w:t>Response category at 6 months</w:t>
            </w:r>
            <w:r w:rsidR="0009605D">
              <w:t>;</w:t>
            </w:r>
          </w:p>
          <w:p w14:paraId="5EF09AD7" w14:textId="77777777" w:rsidR="001F275B" w:rsidRPr="005C7F4E" w:rsidRDefault="04F70A86" w:rsidP="00F071FF">
            <w:pPr>
              <w:pStyle w:val="TableText0"/>
              <w:jc w:val="center"/>
              <w:rPr>
                <w:rFonts w:eastAsia="MS Gothic" w:cs="Angsana New"/>
              </w:rPr>
            </w:pPr>
            <w:r w:rsidRPr="4283D833">
              <w:rPr>
                <w:rFonts w:eastAsia="MS Gothic" w:cs="Angsana New"/>
              </w:rPr>
              <w:t>EQ5D</w:t>
            </w:r>
            <w:r w:rsidR="41D18488" w:rsidRPr="4283D833">
              <w:rPr>
                <w:rFonts w:eastAsia="MS Gothic" w:cs="Angsana New"/>
              </w:rPr>
              <w:t>5L utility weights</w:t>
            </w:r>
          </w:p>
        </w:tc>
      </w:tr>
      <w:tr w:rsidR="001F275B" w:rsidRPr="00945CB3" w14:paraId="40D84684" w14:textId="77777777" w:rsidTr="00F071FF">
        <w:trPr>
          <w:cantSplit/>
          <w:jc w:val="center"/>
        </w:trPr>
        <w:tc>
          <w:tcPr>
            <w:tcW w:w="5000" w:type="pct"/>
            <w:gridSpan w:val="7"/>
            <w:shd w:val="clear" w:color="auto" w:fill="auto"/>
            <w:vAlign w:val="center"/>
          </w:tcPr>
          <w:p w14:paraId="404C0E95" w14:textId="77777777" w:rsidR="001F275B" w:rsidRPr="005C7F4E" w:rsidRDefault="001F275B" w:rsidP="0009605D">
            <w:pPr>
              <w:pStyle w:val="TableText0"/>
              <w:rPr>
                <w:b/>
              </w:rPr>
            </w:pPr>
            <w:r w:rsidRPr="005C7F4E">
              <w:rPr>
                <w:b/>
              </w:rPr>
              <w:t>BMDex vs. M</w:t>
            </w:r>
            <w:r>
              <w:rPr>
                <w:b/>
              </w:rPr>
              <w:t>D</w:t>
            </w:r>
            <w:r w:rsidRPr="005C7F4E">
              <w:rPr>
                <w:b/>
              </w:rPr>
              <w:t>ex</w:t>
            </w:r>
          </w:p>
        </w:tc>
      </w:tr>
      <w:tr w:rsidR="001F275B" w:rsidRPr="00945CB3" w14:paraId="1AF2F21E" w14:textId="77777777" w:rsidTr="00EF28B4">
        <w:trPr>
          <w:cantSplit/>
          <w:jc w:val="center"/>
        </w:trPr>
        <w:tc>
          <w:tcPr>
            <w:tcW w:w="915" w:type="pct"/>
            <w:shd w:val="clear" w:color="auto" w:fill="auto"/>
            <w:vAlign w:val="center"/>
          </w:tcPr>
          <w:p w14:paraId="44160E5E" w14:textId="77777777" w:rsidR="001F275B" w:rsidRPr="005C7F4E" w:rsidRDefault="001F275B" w:rsidP="00F071FF">
            <w:pPr>
              <w:pStyle w:val="TableText0"/>
            </w:pPr>
            <w:r w:rsidRPr="005C7F4E">
              <w:t>Kastritis et al., 2020</w:t>
            </w:r>
          </w:p>
        </w:tc>
        <w:tc>
          <w:tcPr>
            <w:tcW w:w="213" w:type="pct"/>
            <w:shd w:val="clear" w:color="auto" w:fill="auto"/>
            <w:vAlign w:val="center"/>
          </w:tcPr>
          <w:p w14:paraId="1D3212E1" w14:textId="77777777" w:rsidR="001F275B" w:rsidRPr="00945CB3" w:rsidRDefault="00BA7300" w:rsidP="00F071FF">
            <w:pPr>
              <w:pStyle w:val="TableText0"/>
              <w:jc w:val="center"/>
            </w:pPr>
            <w:r>
              <w:t>109</w:t>
            </w:r>
          </w:p>
        </w:tc>
        <w:tc>
          <w:tcPr>
            <w:tcW w:w="757" w:type="pct"/>
            <w:shd w:val="clear" w:color="auto" w:fill="auto"/>
            <w:vAlign w:val="center"/>
          </w:tcPr>
          <w:p w14:paraId="250AF657" w14:textId="77777777" w:rsidR="001F275B" w:rsidRPr="00945CB3" w:rsidRDefault="001F275B" w:rsidP="00F071FF">
            <w:pPr>
              <w:pStyle w:val="TableText0"/>
              <w:jc w:val="center"/>
            </w:pPr>
            <w:r>
              <w:t>OL, MC, R</w:t>
            </w:r>
          </w:p>
          <w:p w14:paraId="30992EB7" w14:textId="77777777" w:rsidR="001F275B" w:rsidRPr="00945CB3" w:rsidRDefault="001F275B" w:rsidP="00F071FF">
            <w:pPr>
              <w:pStyle w:val="TableText0"/>
              <w:jc w:val="center"/>
            </w:pPr>
            <w:r>
              <w:t>50</w:t>
            </w:r>
            <w:r w:rsidRPr="00945CB3">
              <w:t xml:space="preserve"> m</w:t>
            </w:r>
            <w:r w:rsidR="00D71DEE">
              <w:t>on</w:t>
            </w:r>
            <w:r w:rsidRPr="00945CB3">
              <w:t>ths</w:t>
            </w:r>
          </w:p>
        </w:tc>
        <w:tc>
          <w:tcPr>
            <w:tcW w:w="391" w:type="pct"/>
            <w:shd w:val="clear" w:color="auto" w:fill="auto"/>
            <w:vAlign w:val="center"/>
          </w:tcPr>
          <w:p w14:paraId="7FA1E46A" w14:textId="77777777" w:rsidR="001F275B" w:rsidRPr="002A770B" w:rsidRDefault="001F275B" w:rsidP="00F071FF">
            <w:pPr>
              <w:pStyle w:val="TableText0"/>
              <w:jc w:val="center"/>
              <w:rPr>
                <w:iCs/>
              </w:rPr>
            </w:pPr>
            <w:r w:rsidRPr="002A770B">
              <w:rPr>
                <w:iCs/>
              </w:rPr>
              <w:t>Low</w:t>
            </w:r>
          </w:p>
        </w:tc>
        <w:tc>
          <w:tcPr>
            <w:tcW w:w="1102" w:type="pct"/>
            <w:shd w:val="clear" w:color="auto" w:fill="auto"/>
            <w:vAlign w:val="center"/>
          </w:tcPr>
          <w:p w14:paraId="00C4B0B8" w14:textId="77777777" w:rsidR="001F275B" w:rsidRPr="00945CB3" w:rsidRDefault="001F275B" w:rsidP="00F071FF">
            <w:pPr>
              <w:pStyle w:val="TableText0"/>
              <w:jc w:val="center"/>
            </w:pPr>
            <w:r>
              <w:t xml:space="preserve">Newly diagnosed AL amyloidosis </w:t>
            </w:r>
            <w:r w:rsidRPr="00FF3720">
              <w:t>who were not eligible for ASCT</w:t>
            </w:r>
            <w:r>
              <w:t>. MM patients were excluded.</w:t>
            </w:r>
          </w:p>
        </w:tc>
        <w:tc>
          <w:tcPr>
            <w:tcW w:w="864" w:type="pct"/>
            <w:shd w:val="clear" w:color="auto" w:fill="auto"/>
            <w:vAlign w:val="center"/>
          </w:tcPr>
          <w:p w14:paraId="14BC4037" w14:textId="77777777" w:rsidR="001F275B" w:rsidRDefault="001F275B" w:rsidP="00F071FF">
            <w:pPr>
              <w:pStyle w:val="TableText0"/>
              <w:jc w:val="center"/>
            </w:pPr>
            <w:r>
              <w:t>Overall HR</w:t>
            </w:r>
            <w:r w:rsidR="003C036B">
              <w:t xml:space="preserve">, </w:t>
            </w:r>
            <w:r>
              <w:t>OS,</w:t>
            </w:r>
            <w:r w:rsidR="003C036B">
              <w:t xml:space="preserve"> </w:t>
            </w:r>
            <w:r>
              <w:t>OrRR,</w:t>
            </w:r>
          </w:p>
          <w:p w14:paraId="14F82865" w14:textId="77777777" w:rsidR="001F275B" w:rsidRPr="00945CB3" w:rsidRDefault="001F275B" w:rsidP="003C036B">
            <w:pPr>
              <w:pStyle w:val="TableText0"/>
              <w:jc w:val="center"/>
            </w:pPr>
            <w:r>
              <w:t>PFS</w:t>
            </w:r>
            <w:r w:rsidR="003C036B">
              <w:t xml:space="preserve">, </w:t>
            </w:r>
            <w:r>
              <w:t xml:space="preserve">HRQoL </w:t>
            </w:r>
          </w:p>
        </w:tc>
        <w:tc>
          <w:tcPr>
            <w:tcW w:w="758" w:type="pct"/>
            <w:shd w:val="clear" w:color="auto" w:fill="auto"/>
            <w:vAlign w:val="center"/>
          </w:tcPr>
          <w:p w14:paraId="0F326254" w14:textId="77777777" w:rsidR="001F275B" w:rsidRPr="00945CB3" w:rsidRDefault="0BCC6994" w:rsidP="00F071FF">
            <w:pPr>
              <w:pStyle w:val="TableText0"/>
              <w:jc w:val="center"/>
            </w:pPr>
            <w:r>
              <w:t>OS HR</w:t>
            </w:r>
          </w:p>
        </w:tc>
      </w:tr>
      <w:tr w:rsidR="001F275B" w:rsidRPr="00945CB3" w14:paraId="14370DB2" w14:textId="77777777" w:rsidTr="00F071FF">
        <w:trPr>
          <w:cantSplit/>
          <w:jc w:val="center"/>
        </w:trPr>
        <w:tc>
          <w:tcPr>
            <w:tcW w:w="5000" w:type="pct"/>
            <w:gridSpan w:val="7"/>
            <w:shd w:val="clear" w:color="auto" w:fill="auto"/>
            <w:vAlign w:val="center"/>
          </w:tcPr>
          <w:p w14:paraId="753F3090" w14:textId="77777777" w:rsidR="001F275B" w:rsidRPr="005C7F4E" w:rsidRDefault="001F275B" w:rsidP="0009605D">
            <w:pPr>
              <w:pStyle w:val="TableText0"/>
              <w:rPr>
                <w:b/>
              </w:rPr>
            </w:pPr>
            <w:r w:rsidRPr="005C7F4E">
              <w:rPr>
                <w:b/>
              </w:rPr>
              <w:t>Indirect Comparison: Dara + CyBorD</w:t>
            </w:r>
            <w:r>
              <w:rPr>
                <w:b/>
              </w:rPr>
              <w:t xml:space="preserve"> vs. MDex, via common comparator, bortezomib regimens (CyBorD/BMDex)</w:t>
            </w:r>
          </w:p>
        </w:tc>
      </w:tr>
      <w:tr w:rsidR="001F275B" w:rsidRPr="00945CB3" w14:paraId="4B62E764" w14:textId="77777777" w:rsidTr="00EF28B4">
        <w:trPr>
          <w:cantSplit/>
          <w:trHeight w:val="339"/>
          <w:jc w:val="center"/>
        </w:trPr>
        <w:tc>
          <w:tcPr>
            <w:tcW w:w="915" w:type="pct"/>
            <w:shd w:val="clear" w:color="auto" w:fill="auto"/>
            <w:vAlign w:val="center"/>
          </w:tcPr>
          <w:p w14:paraId="1F152DD3" w14:textId="77777777" w:rsidR="001F275B" w:rsidRPr="00945CB3" w:rsidRDefault="001F275B" w:rsidP="00F071FF">
            <w:pPr>
              <w:pStyle w:val="TableText0"/>
            </w:pPr>
            <w:r>
              <w:t>ANDRO</w:t>
            </w:r>
            <w:r w:rsidR="6B8D1685">
              <w:t>M</w:t>
            </w:r>
            <w:r>
              <w:t xml:space="preserve">EDA </w:t>
            </w:r>
          </w:p>
        </w:tc>
        <w:tc>
          <w:tcPr>
            <w:tcW w:w="2463" w:type="pct"/>
            <w:gridSpan w:val="4"/>
            <w:shd w:val="clear" w:color="auto" w:fill="auto"/>
            <w:vAlign w:val="center"/>
          </w:tcPr>
          <w:p w14:paraId="0A8BA80F" w14:textId="77777777" w:rsidR="001F275B" w:rsidRPr="00945CB3" w:rsidRDefault="001F275B" w:rsidP="0009605D">
            <w:pPr>
              <w:pStyle w:val="TableText0"/>
              <w:jc w:val="right"/>
            </w:pPr>
            <w:r>
              <w:t>Dara + CyBorD vs. CyBorD</w:t>
            </w:r>
          </w:p>
        </w:tc>
        <w:tc>
          <w:tcPr>
            <w:tcW w:w="864" w:type="pct"/>
            <w:vMerge w:val="restart"/>
            <w:shd w:val="clear" w:color="auto" w:fill="auto"/>
            <w:vAlign w:val="center"/>
          </w:tcPr>
          <w:p w14:paraId="2ABB07F7" w14:textId="77777777" w:rsidR="001F275B" w:rsidRDefault="001F275B" w:rsidP="00F071FF">
            <w:pPr>
              <w:pStyle w:val="TableText0"/>
              <w:jc w:val="center"/>
            </w:pPr>
            <w:r>
              <w:t xml:space="preserve">CR, </w:t>
            </w:r>
          </w:p>
          <w:p w14:paraId="642D5144" w14:textId="77777777" w:rsidR="001F275B" w:rsidRDefault="001F275B" w:rsidP="00F071FF">
            <w:pPr>
              <w:pStyle w:val="TableText0"/>
              <w:jc w:val="center"/>
            </w:pPr>
            <w:r>
              <w:t>MOD-PFS</w:t>
            </w:r>
            <w:r w:rsidR="00247852">
              <w:t>/PFS</w:t>
            </w:r>
            <w:r>
              <w:t>;</w:t>
            </w:r>
          </w:p>
          <w:p w14:paraId="399382EF" w14:textId="77777777" w:rsidR="001F275B" w:rsidRPr="00945CB3" w:rsidRDefault="001F275B" w:rsidP="00F071FF">
            <w:pPr>
              <w:pStyle w:val="TableText0"/>
              <w:jc w:val="center"/>
            </w:pPr>
            <w:r>
              <w:t>OS</w:t>
            </w:r>
          </w:p>
        </w:tc>
        <w:tc>
          <w:tcPr>
            <w:tcW w:w="758" w:type="pct"/>
            <w:vMerge w:val="restart"/>
            <w:shd w:val="clear" w:color="auto" w:fill="auto"/>
            <w:vAlign w:val="center"/>
          </w:tcPr>
          <w:p w14:paraId="6B12CD82" w14:textId="77777777" w:rsidR="001F275B" w:rsidRPr="00945CB3" w:rsidRDefault="001F275B" w:rsidP="00F071FF">
            <w:pPr>
              <w:pStyle w:val="TableText0"/>
              <w:jc w:val="center"/>
            </w:pPr>
            <w:r w:rsidRPr="00945CB3">
              <w:t>Not used</w:t>
            </w:r>
          </w:p>
        </w:tc>
      </w:tr>
      <w:tr w:rsidR="001F275B" w:rsidRPr="00945CB3" w14:paraId="355C64A4" w14:textId="77777777" w:rsidTr="00EF28B4">
        <w:trPr>
          <w:cantSplit/>
          <w:trHeight w:val="339"/>
          <w:jc w:val="center"/>
        </w:trPr>
        <w:tc>
          <w:tcPr>
            <w:tcW w:w="915" w:type="pct"/>
            <w:shd w:val="clear" w:color="auto" w:fill="auto"/>
            <w:vAlign w:val="center"/>
          </w:tcPr>
          <w:p w14:paraId="2C53C836" w14:textId="77777777" w:rsidR="001F275B" w:rsidRPr="00945CB3" w:rsidRDefault="001F275B" w:rsidP="00F071FF">
            <w:pPr>
              <w:pStyle w:val="TableText0"/>
            </w:pPr>
            <w:r w:rsidRPr="005C7F4E">
              <w:t>Kastritis et al., 2020</w:t>
            </w:r>
          </w:p>
        </w:tc>
        <w:tc>
          <w:tcPr>
            <w:tcW w:w="2463" w:type="pct"/>
            <w:gridSpan w:val="4"/>
            <w:shd w:val="clear" w:color="auto" w:fill="auto"/>
            <w:vAlign w:val="center"/>
          </w:tcPr>
          <w:p w14:paraId="25349423" w14:textId="77777777" w:rsidR="001F275B" w:rsidRPr="00945CB3" w:rsidRDefault="001F275B" w:rsidP="0009605D">
            <w:pPr>
              <w:pStyle w:val="TableText0"/>
              <w:jc w:val="right"/>
            </w:pPr>
            <w:r w:rsidRPr="006907E4">
              <w:t>BMDex vs. MDex</w:t>
            </w:r>
          </w:p>
        </w:tc>
        <w:tc>
          <w:tcPr>
            <w:tcW w:w="864" w:type="pct"/>
            <w:vMerge/>
            <w:vAlign w:val="center"/>
          </w:tcPr>
          <w:p w14:paraId="6D23D85B" w14:textId="77777777" w:rsidR="001F275B" w:rsidRPr="00945CB3" w:rsidRDefault="001F275B" w:rsidP="00F071FF">
            <w:pPr>
              <w:pStyle w:val="TableText0"/>
              <w:jc w:val="center"/>
            </w:pPr>
          </w:p>
        </w:tc>
        <w:tc>
          <w:tcPr>
            <w:tcW w:w="758" w:type="pct"/>
            <w:vMerge/>
            <w:vAlign w:val="center"/>
          </w:tcPr>
          <w:p w14:paraId="13300C81" w14:textId="77777777" w:rsidR="001F275B" w:rsidRPr="00945CB3" w:rsidRDefault="001F275B" w:rsidP="00F071FF">
            <w:pPr>
              <w:pStyle w:val="TableText0"/>
              <w:jc w:val="center"/>
            </w:pPr>
          </w:p>
        </w:tc>
      </w:tr>
    </w:tbl>
    <w:p w14:paraId="348DAEC3" w14:textId="77777777" w:rsidR="001F275B" w:rsidRPr="00945CB3" w:rsidRDefault="001F275B" w:rsidP="001F275B">
      <w:pPr>
        <w:pStyle w:val="TableFigureFooter"/>
      </w:pPr>
      <w:r w:rsidRPr="00945CB3">
        <w:t xml:space="preserve">Source: </w:t>
      </w:r>
      <w:r>
        <w:t xml:space="preserve">Constructed during evaluation </w:t>
      </w:r>
    </w:p>
    <w:p w14:paraId="3A7637BF" w14:textId="77777777" w:rsidR="001F275B" w:rsidRDefault="001F275B" w:rsidP="001F275B">
      <w:pPr>
        <w:pStyle w:val="TableFigureFooter"/>
      </w:pPr>
      <w:r w:rsidRPr="00945CB3">
        <w:t>AL = light-chain;</w:t>
      </w:r>
      <w:r>
        <w:t xml:space="preserve"> </w:t>
      </w:r>
      <w:r w:rsidR="00FD1B5B">
        <w:t xml:space="preserve">ASCT = autologous stem cell transplantation; </w:t>
      </w:r>
      <w:r w:rsidRPr="00FA46BF">
        <w:t>BMD</w:t>
      </w:r>
      <w:r>
        <w:t xml:space="preserve">ex </w:t>
      </w:r>
      <w:r w:rsidRPr="00FA46BF">
        <w:t>=</w:t>
      </w:r>
      <w:r>
        <w:t xml:space="preserve"> </w:t>
      </w:r>
      <w:r w:rsidRPr="00FA46BF">
        <w:t>bortezomib</w:t>
      </w:r>
      <w:r>
        <w:t xml:space="preserve">, melphalan, </w:t>
      </w:r>
      <w:r w:rsidRPr="00FA46BF">
        <w:t>dexamethasone</w:t>
      </w:r>
      <w:r>
        <w:t xml:space="preserve">; CR = complete hematologic response; </w:t>
      </w:r>
      <w:r w:rsidR="00DB2FCF">
        <w:t>CyBorD =</w:t>
      </w:r>
      <w:r w:rsidRPr="007A09A3">
        <w:t xml:space="preserve"> </w:t>
      </w:r>
      <w:r w:rsidRPr="00FA46BF">
        <w:t>cyclophosphamide, bortezomib, and dexamethasone</w:t>
      </w:r>
      <w:r>
        <w:t xml:space="preserve">; </w:t>
      </w:r>
      <w:r w:rsidRPr="00FA46BF">
        <w:t>D</w:t>
      </w:r>
      <w:r>
        <w:t xml:space="preserve">ara </w:t>
      </w:r>
      <w:r w:rsidRPr="00FA46BF">
        <w:t>=</w:t>
      </w:r>
      <w:r>
        <w:t xml:space="preserve"> </w:t>
      </w:r>
      <w:r w:rsidRPr="00FA46BF">
        <w:t>daratumumab</w:t>
      </w:r>
      <w:r>
        <w:t xml:space="preserve"> subcutaneous; </w:t>
      </w:r>
      <w:r w:rsidRPr="00945CB3">
        <w:t xml:space="preserve">DB = double blind; </w:t>
      </w:r>
      <w:r w:rsidR="42404D32">
        <w:t xml:space="preserve">EQ5D-5L = European Quality of Life Five Dimensions Questionnaire; </w:t>
      </w:r>
      <w:r>
        <w:t xml:space="preserve">HR = </w:t>
      </w:r>
      <w:r w:rsidRPr="006907E4">
        <w:t>hematologic response</w:t>
      </w:r>
      <w:r>
        <w:t xml:space="preserve">; HRQoL = health-related quality of life; </w:t>
      </w:r>
      <w:r w:rsidRPr="00945CB3">
        <w:t>MC = multi-centre</w:t>
      </w:r>
      <w:r>
        <w:t xml:space="preserve">; </w:t>
      </w:r>
      <w:r w:rsidR="007C3BC0">
        <w:t>MDex = melphalan</w:t>
      </w:r>
      <w:r>
        <w:t>,</w:t>
      </w:r>
      <w:r w:rsidRPr="00FA46BF">
        <w:t xml:space="preserve"> dexamethasone; </w:t>
      </w:r>
      <w:r w:rsidR="00DB2FCF">
        <w:t>MOD-PFS = m</w:t>
      </w:r>
      <w:r w:rsidRPr="00FA46BF">
        <w:t>ajor organ deterioration progression free survival;</w:t>
      </w:r>
      <w:r>
        <w:t xml:space="preserve"> MM = multiple myeloma;</w:t>
      </w:r>
      <w:r w:rsidRPr="00945CB3">
        <w:t xml:space="preserve"> OL = open label; OS = overall survival;</w:t>
      </w:r>
      <w:r>
        <w:t xml:space="preserve"> OrRR = organ response rate;</w:t>
      </w:r>
      <w:r w:rsidRPr="00945CB3">
        <w:t xml:space="preserve"> R = randomised</w:t>
      </w:r>
      <w:r>
        <w:t xml:space="preserve"> control trial; </w:t>
      </w:r>
      <w:r w:rsidR="00247852">
        <w:t xml:space="preserve">PFS = progression free survival; </w:t>
      </w:r>
      <w:r>
        <w:t>VGPR = very good partial response</w:t>
      </w:r>
    </w:p>
    <w:p w14:paraId="64456A1C" w14:textId="77777777" w:rsidR="008314A9" w:rsidRPr="001F275B" w:rsidRDefault="008314A9" w:rsidP="001F275B">
      <w:pPr>
        <w:pStyle w:val="TableFigureFooter"/>
      </w:pPr>
      <w:r w:rsidRPr="006E600D">
        <w:rPr>
          <w:vertAlign w:val="superscript"/>
        </w:rPr>
        <w:t>a</w:t>
      </w:r>
      <w:r>
        <w:t xml:space="preserve"> </w:t>
      </w:r>
      <w:r w:rsidR="006E600D">
        <w:t>Patients in ANDROMEDA were able to undergo ASCT after 6 cycles of treatment</w:t>
      </w:r>
    </w:p>
    <w:p w14:paraId="56049833" w14:textId="77777777" w:rsidR="00695A67" w:rsidRPr="006F2DBA" w:rsidRDefault="001F275B" w:rsidP="000A03F7">
      <w:pPr>
        <w:pStyle w:val="3-BodyText"/>
      </w:pPr>
      <w:r w:rsidRPr="006F2DBA">
        <w:t>At the time of the second interim analysis</w:t>
      </w:r>
      <w:r w:rsidR="00975C76">
        <w:t xml:space="preserve"> </w:t>
      </w:r>
      <w:r w:rsidR="00DF6E07">
        <w:t>(corresponding to data presented in the submission)</w:t>
      </w:r>
      <w:r w:rsidRPr="006F2DBA">
        <w:t xml:space="preserve">, the median follow-up in ANDROMEDA was 11.4 months. </w:t>
      </w:r>
      <w:r w:rsidR="002B3807" w:rsidRPr="006F2DBA">
        <w:t xml:space="preserve">The </w:t>
      </w:r>
      <w:r w:rsidRPr="006F2DBA">
        <w:t>data was only 43.5% mature, as 87 of the 200 prespecified</w:t>
      </w:r>
      <w:r w:rsidR="00820D5B" w:rsidRPr="006F2DBA">
        <w:t xml:space="preserve"> </w:t>
      </w:r>
      <w:r w:rsidR="00294055" w:rsidRPr="006F2DBA">
        <w:t>major organ deterioration progression-free survival</w:t>
      </w:r>
      <w:r w:rsidRPr="006F2DBA">
        <w:t xml:space="preserve"> </w:t>
      </w:r>
      <w:r w:rsidR="00820D5B" w:rsidRPr="006F2DBA">
        <w:t>(</w:t>
      </w:r>
      <w:r w:rsidRPr="006F2DBA">
        <w:t>MOD-PFS</w:t>
      </w:r>
      <w:r w:rsidR="00820D5B" w:rsidRPr="006F2DBA">
        <w:t>)</w:t>
      </w:r>
      <w:r w:rsidR="00294055" w:rsidRPr="006F2DBA">
        <w:rPr>
          <w:rStyle w:val="FootnoteReference"/>
        </w:rPr>
        <w:footnoteReference w:id="2"/>
      </w:r>
      <w:r w:rsidRPr="006F2DBA">
        <w:t xml:space="preserve"> events had occurred</w:t>
      </w:r>
      <w:r w:rsidR="00B51426" w:rsidRPr="006F2DBA">
        <w:t>.</w:t>
      </w:r>
      <w:r w:rsidRPr="006F2DBA">
        <w:t xml:space="preserve"> Hence</w:t>
      </w:r>
      <w:r w:rsidR="0009605D" w:rsidRPr="006F2DBA">
        <w:t>,</w:t>
      </w:r>
      <w:r w:rsidRPr="006F2DBA">
        <w:t xml:space="preserve"> the data may be too immature to demonstrate a survival benefit. </w:t>
      </w:r>
      <w:r w:rsidR="00833643" w:rsidRPr="006F2DBA">
        <w:t xml:space="preserve">The ESC noted that the </w:t>
      </w:r>
      <w:r w:rsidR="003F78B9" w:rsidRPr="006F2DBA">
        <w:rPr>
          <w:rFonts w:cstheme="minorHAnsi"/>
        </w:rPr>
        <w:t xml:space="preserve">PSCR provided an updated analysis of the ANDROMEDA study, based on a median follow-up period of 25.8 </w:t>
      </w:r>
      <w:r w:rsidR="003F78B9" w:rsidRPr="006F2DBA">
        <w:t xml:space="preserve">months, sourced from an abstract provided with the PSCR (Comenzo et al 2021), and proposed for presentation at the American Society of Hematology (ASH) meeting in December 2021.  </w:t>
      </w:r>
    </w:p>
    <w:p w14:paraId="094FC92D" w14:textId="77777777" w:rsidR="001F275B" w:rsidRPr="006F2DBA" w:rsidRDefault="003F78B9" w:rsidP="000A03F7">
      <w:pPr>
        <w:pStyle w:val="3-BodyText"/>
      </w:pPr>
      <w:r w:rsidRPr="006F2DBA">
        <w:rPr>
          <w:rFonts w:cstheme="minorHAnsi"/>
        </w:rPr>
        <w:t xml:space="preserve">The PSCR and abstract </w:t>
      </w:r>
      <w:r w:rsidRPr="006F2DBA">
        <w:t>(Comenzo et al 2021) indicated that OS data and updated MOD-PFS data will be analysed after approximately 200 events have occurred, which the submission had estimated to occur in first quarter of 2023.</w:t>
      </w:r>
      <w:r w:rsidR="00833643" w:rsidRPr="006F2DBA">
        <w:t xml:space="preserve"> </w:t>
      </w:r>
    </w:p>
    <w:p w14:paraId="54E5855C" w14:textId="77777777" w:rsidR="001F275B" w:rsidRPr="006F2DBA" w:rsidRDefault="00E87D47" w:rsidP="001F275B">
      <w:pPr>
        <w:pStyle w:val="3-BodyText"/>
      </w:pPr>
      <w:r w:rsidRPr="006F2DBA">
        <w:t>At</w:t>
      </w:r>
      <w:r w:rsidR="001F275B" w:rsidRPr="006F2DBA">
        <w:t xml:space="preserve"> the time of second interim analysis, 10% (N = 19/193) of patients in the daratumumab SC + CyBorD arm and 42% (N =79/188) in the CyBorD had commenced subsequent non-cross resistant anti-plasma cell therapies</w:t>
      </w:r>
      <w:r w:rsidRPr="006F2DBA">
        <w:t xml:space="preserve"> This was defined as subsequent treatment with melphalan, ASCT, lenalidomide, and daratumumab for </w:t>
      </w:r>
      <w:r w:rsidRPr="006F2DBA">
        <w:lastRenderedPageBreak/>
        <w:t>patients randomised to the CyBorD arm</w:t>
      </w:r>
      <w:r w:rsidRPr="006F2DBA">
        <w:rPr>
          <w:rStyle w:val="FootnoteReference"/>
        </w:rPr>
        <w:t xml:space="preserve"> </w:t>
      </w:r>
      <w:r w:rsidR="001F275B" w:rsidRPr="006F2DBA">
        <w:rPr>
          <w:rStyle w:val="FootnoteReference"/>
        </w:rPr>
        <w:footnoteReference w:id="3"/>
      </w:r>
      <w:r w:rsidR="001F275B" w:rsidRPr="006F2DBA">
        <w:t xml:space="preserve">. Of the 79 CyBorD patients who received non–cross-resistant subsequent therapy, 48 (61%) received intravenous daratumumab as monotherapy or in combination with other therapies. </w:t>
      </w:r>
      <w:r w:rsidRPr="006F2DBA">
        <w:t>The submission applied inverse-probability of censoring weights to adjust for crossover in the present analysis for the surrogate outcome, MOD-PFS, as well as alternate analysis methodologies which showed that the results were robust to the methods applied to control for subsequent treatment. Treatment crossover is likely to confound overall survival and MOD-PFS, in future analyses.</w:t>
      </w:r>
    </w:p>
    <w:p w14:paraId="0439F53D" w14:textId="77777777" w:rsidR="001F275B" w:rsidRPr="006F2DBA" w:rsidRDefault="001F275B" w:rsidP="002B7397">
      <w:pPr>
        <w:pStyle w:val="3-BodyText"/>
        <w:rPr>
          <w:snapToGrid/>
        </w:rPr>
      </w:pPr>
      <w:r w:rsidRPr="006F2DBA">
        <w:rPr>
          <w:snapToGrid/>
        </w:rPr>
        <w:t xml:space="preserve">Eligibility criteria for ANDROMEDA and Kastritis et al. 2020 were broadly consistent with the </w:t>
      </w:r>
      <w:r w:rsidR="0026258F" w:rsidRPr="006F2DBA">
        <w:rPr>
          <w:snapToGrid/>
        </w:rPr>
        <w:t>proposed PBS</w:t>
      </w:r>
      <w:r w:rsidRPr="006F2DBA">
        <w:rPr>
          <w:snapToGrid/>
        </w:rPr>
        <w:t xml:space="preserve"> listing as patients were required to </w:t>
      </w:r>
      <w:r w:rsidR="002B7397">
        <w:rPr>
          <w:snapToGrid/>
        </w:rPr>
        <w:t xml:space="preserve">(i) </w:t>
      </w:r>
      <w:r w:rsidRPr="006F2DBA">
        <w:rPr>
          <w:snapToGrid/>
        </w:rPr>
        <w:t>be untreated</w:t>
      </w:r>
      <w:r w:rsidR="002B7397">
        <w:rPr>
          <w:snapToGrid/>
        </w:rPr>
        <w:t>;</w:t>
      </w:r>
      <w:r w:rsidRPr="006F2DBA">
        <w:rPr>
          <w:snapToGrid/>
        </w:rPr>
        <w:t xml:space="preserve"> (</w:t>
      </w:r>
      <w:r w:rsidR="002B7397">
        <w:rPr>
          <w:snapToGrid/>
        </w:rPr>
        <w:t>ii</w:t>
      </w:r>
      <w:r w:rsidRPr="006F2DBA">
        <w:rPr>
          <w:snapToGrid/>
        </w:rPr>
        <w:t>) have no significant cardiac disease</w:t>
      </w:r>
      <w:r w:rsidR="002B7397">
        <w:rPr>
          <w:snapToGrid/>
        </w:rPr>
        <w:t>;</w:t>
      </w:r>
      <w:r w:rsidRPr="006F2DBA">
        <w:rPr>
          <w:snapToGrid/>
        </w:rPr>
        <w:t xml:space="preserve"> and (</w:t>
      </w:r>
      <w:r w:rsidR="002B7397">
        <w:rPr>
          <w:snapToGrid/>
        </w:rPr>
        <w:t>iii</w:t>
      </w:r>
      <w:r w:rsidRPr="006F2DBA">
        <w:rPr>
          <w:snapToGrid/>
        </w:rPr>
        <w:t>) have Eastern Cooperative Oncology Group</w:t>
      </w:r>
      <w:r w:rsidR="002B7397">
        <w:rPr>
          <w:snapToGrid/>
        </w:rPr>
        <w:t xml:space="preserve"> (ECOG)</w:t>
      </w:r>
      <w:r w:rsidRPr="006F2DBA">
        <w:rPr>
          <w:snapToGrid/>
        </w:rPr>
        <w:t xml:space="preserve"> Performance Status</w:t>
      </w:r>
      <w:r w:rsidR="002B7397">
        <w:rPr>
          <w:snapToGrid/>
        </w:rPr>
        <w:t xml:space="preserve"> (PS)</w:t>
      </w:r>
      <w:r w:rsidRPr="006F2DBA">
        <w:rPr>
          <w:snapToGrid/>
        </w:rPr>
        <w:t xml:space="preserve"> ≤ 2. </w:t>
      </w:r>
      <w:r w:rsidR="0013675C" w:rsidRPr="006F2DBA">
        <w:rPr>
          <w:snapToGrid/>
        </w:rPr>
        <w:t>Inconsistent with ANDROMEDA, t</w:t>
      </w:r>
      <w:r w:rsidRPr="006F2DBA">
        <w:rPr>
          <w:snapToGrid/>
        </w:rPr>
        <w:t xml:space="preserve">he </w:t>
      </w:r>
      <w:r w:rsidR="0026258F" w:rsidRPr="006F2DBA">
        <w:rPr>
          <w:snapToGrid/>
        </w:rPr>
        <w:t>proposed PBS</w:t>
      </w:r>
      <w:r w:rsidRPr="006F2DBA">
        <w:rPr>
          <w:snapToGrid/>
        </w:rPr>
        <w:t xml:space="preserve"> restriction does not require patients to have at least one organ impacted by AL amyloidosis and does not restrict use based on ASCT eligibility. </w:t>
      </w:r>
    </w:p>
    <w:p w14:paraId="3E81DE55" w14:textId="77777777" w:rsidR="00DE733E" w:rsidRPr="006F2DBA" w:rsidRDefault="00DE733E" w:rsidP="00DE733E">
      <w:pPr>
        <w:pStyle w:val="3-BodyText"/>
        <w:rPr>
          <w:snapToGrid/>
        </w:rPr>
      </w:pPr>
      <w:r w:rsidRPr="006F2DBA">
        <w:rPr>
          <w:snapToGrid/>
        </w:rPr>
        <w:t>The submission assumed common comparators, CyBorD and BMDex had equivalent efficacy and safety. The submission did not attempt to demonstrate the biological plausibility of this assumption. The MSAG clinical guidelines for AL amyloidosis state that ‘bortezomib is the most active agent in AL amyloidosis’ and therefore that ‘bortezomib based regimens are the preferred front-line therapy’ and that ‘CyBorD and BMD (ex) are the optimal initial treatment regimens for newly-diagnosed AL amyloidosis’ (MSAG, 2019). However, the clinical practice guidelines also note that cyclophosphamide is stem cell sparing compared to melphalan</w:t>
      </w:r>
      <w:r w:rsidR="00135CF6" w:rsidRPr="006F2DBA">
        <w:rPr>
          <w:snapToGrid/>
        </w:rPr>
        <w:t xml:space="preserve"> </w:t>
      </w:r>
      <w:r w:rsidRPr="006F2DBA">
        <w:rPr>
          <w:noProof/>
          <w:snapToGrid/>
        </w:rPr>
        <w:t>(MSAG, 2019)</w:t>
      </w:r>
      <w:r w:rsidRPr="006F2DBA">
        <w:rPr>
          <w:snapToGrid/>
        </w:rPr>
        <w:t>. This may provide patients with the possibility of greater treatment flexibility in the future and ultimately improve long-term outcomes for patients in whom CyBorD is administered as first-line treatment.</w:t>
      </w:r>
    </w:p>
    <w:p w14:paraId="173B2D10" w14:textId="77777777" w:rsidR="006E7C77" w:rsidRPr="006F2DBA" w:rsidRDefault="006E7C77" w:rsidP="00DF1D1E">
      <w:pPr>
        <w:pStyle w:val="3-BodyText"/>
        <w:snapToGrid w:val="0"/>
        <w:spacing w:after="0"/>
      </w:pPr>
      <w:r w:rsidRPr="006F2DBA">
        <w:t>Differences between the trials which may impact the transitivity include</w:t>
      </w:r>
      <w:r w:rsidR="002B7397">
        <w:t>d</w:t>
      </w:r>
      <w:r w:rsidRPr="006F2DBA">
        <w:t xml:space="preserve">:  </w:t>
      </w:r>
    </w:p>
    <w:p w14:paraId="543C6B8B" w14:textId="77777777" w:rsidR="006E7C77" w:rsidRDefault="002B7397" w:rsidP="0070637E">
      <w:pPr>
        <w:pStyle w:val="ListParagraph"/>
        <w:numPr>
          <w:ilvl w:val="0"/>
          <w:numId w:val="22"/>
        </w:numPr>
        <w:snapToGrid w:val="0"/>
        <w:spacing w:after="0"/>
      </w:pPr>
      <w:r>
        <w:t>t</w:t>
      </w:r>
      <w:r w:rsidR="006E7C77" w:rsidRPr="006F2DBA">
        <w:t xml:space="preserve">he submission assumed </w:t>
      </w:r>
      <w:r w:rsidR="00A04224" w:rsidRPr="006F2DBA">
        <w:t xml:space="preserve">the </w:t>
      </w:r>
      <w:r w:rsidR="006E7C77" w:rsidRPr="006F2DBA">
        <w:t>comparators CyBorD and BMDex had equivalent efficacy and safety</w:t>
      </w:r>
      <w:r>
        <w:t>; and</w:t>
      </w:r>
      <w:r w:rsidR="006E7C77" w:rsidRPr="006F2DBA">
        <w:t xml:space="preserve"> </w:t>
      </w:r>
    </w:p>
    <w:p w14:paraId="2CF69E32" w14:textId="77777777" w:rsidR="006E7C77" w:rsidRPr="006F2DBA" w:rsidRDefault="002B7397" w:rsidP="0070637E">
      <w:pPr>
        <w:pStyle w:val="ListParagraph"/>
        <w:numPr>
          <w:ilvl w:val="0"/>
          <w:numId w:val="22"/>
        </w:numPr>
        <w:snapToGrid w:val="0"/>
        <w:spacing w:after="0"/>
      </w:pPr>
      <w:r>
        <w:t>m</w:t>
      </w:r>
      <w:r w:rsidR="009D3F25" w:rsidRPr="006F2DBA">
        <w:t xml:space="preserve">edian follow-up in Kastritis et al. 2020 was 50 months, compared to 11.4 months for ANDROMEDA. </w:t>
      </w:r>
      <w:r w:rsidR="006E7C77" w:rsidRPr="006F2DBA">
        <w:t xml:space="preserve">The </w:t>
      </w:r>
      <w:r w:rsidR="009D3F25">
        <w:t xml:space="preserve">proportion of patients with </w:t>
      </w:r>
      <w:r w:rsidR="006E7C77" w:rsidRPr="006F2DBA">
        <w:t>event</w:t>
      </w:r>
      <w:r w:rsidR="009D3F25">
        <w:t>s</w:t>
      </w:r>
      <w:r w:rsidR="006E7C77" w:rsidRPr="006F2DBA">
        <w:t xml:space="preserve"> in the common comparator arm were not comparable for the outcomes: complete haematological response (CyBorD = 18% vs. BMDex = 23%), MOD-PFS response (CyBorD = 28% vs. BMDex = 52%), and overall survival (CyBorD = 15% vs. BMDex = 32%).</w:t>
      </w:r>
    </w:p>
    <w:p w14:paraId="0C1FB0D2" w14:textId="77777777" w:rsidR="00C23B0E" w:rsidRPr="002A770B" w:rsidRDefault="00C23B0E" w:rsidP="00C23B0E">
      <w:pPr>
        <w:pStyle w:val="ListBullet"/>
        <w:numPr>
          <w:ilvl w:val="0"/>
          <w:numId w:val="0"/>
        </w:numPr>
        <w:ind w:left="360" w:hanging="360"/>
      </w:pPr>
    </w:p>
    <w:p w14:paraId="36CF14CC" w14:textId="77777777" w:rsidR="00B60939" w:rsidRPr="00C9624D" w:rsidRDefault="00B60939" w:rsidP="00EC5836">
      <w:pPr>
        <w:pStyle w:val="4-SubsectionHeading"/>
      </w:pPr>
      <w:bookmarkStart w:id="29" w:name="_Toc22897641"/>
      <w:bookmarkStart w:id="30" w:name="_Toc82436608"/>
      <w:r w:rsidRPr="00C9624D">
        <w:lastRenderedPageBreak/>
        <w:t>Comparative effectiveness</w:t>
      </w:r>
      <w:bookmarkEnd w:id="29"/>
      <w:bookmarkEnd w:id="30"/>
    </w:p>
    <w:p w14:paraId="415DABE7" w14:textId="77777777" w:rsidR="001F275B" w:rsidRPr="001F275B" w:rsidRDefault="001F275B" w:rsidP="001F275B">
      <w:pPr>
        <w:spacing w:after="120"/>
        <w:ind w:left="720" w:hanging="720"/>
        <w:rPr>
          <w:rFonts w:asciiTheme="minorHAnsi" w:hAnsiTheme="minorHAnsi"/>
          <w:snapToGrid w:val="0"/>
          <w:u w:val="single"/>
        </w:rPr>
      </w:pPr>
      <w:r w:rsidRPr="001F275B">
        <w:rPr>
          <w:rFonts w:asciiTheme="minorHAnsi" w:hAnsiTheme="minorHAnsi"/>
          <w:snapToGrid w:val="0"/>
          <w:u w:val="single"/>
        </w:rPr>
        <w:t>Daratumumab SC + CyBorD vs CyBorD</w:t>
      </w:r>
    </w:p>
    <w:p w14:paraId="419895EF" w14:textId="77777777" w:rsidR="001F275B" w:rsidRPr="005E4D45" w:rsidRDefault="001F275B" w:rsidP="001F275B">
      <w:pPr>
        <w:numPr>
          <w:ilvl w:val="1"/>
          <w:numId w:val="1"/>
        </w:numPr>
        <w:spacing w:after="120"/>
        <w:rPr>
          <w:rFonts w:asciiTheme="minorHAnsi" w:hAnsiTheme="minorHAnsi"/>
          <w:snapToGrid w:val="0"/>
        </w:rPr>
      </w:pPr>
      <w:r w:rsidRPr="001F275B">
        <w:rPr>
          <w:rFonts w:asciiTheme="minorHAnsi" w:hAnsiTheme="minorHAnsi"/>
        </w:rPr>
        <w:t xml:space="preserve">For </w:t>
      </w:r>
      <w:r w:rsidR="00A06FE6">
        <w:rPr>
          <w:rFonts w:asciiTheme="minorHAnsi" w:hAnsiTheme="minorHAnsi"/>
        </w:rPr>
        <w:t xml:space="preserve">the </w:t>
      </w:r>
      <w:r w:rsidRPr="001F275B">
        <w:rPr>
          <w:rFonts w:asciiTheme="minorHAnsi" w:hAnsiTheme="minorHAnsi"/>
        </w:rPr>
        <w:t>primary endpoint of the AN</w:t>
      </w:r>
      <w:r w:rsidR="00A06FE6">
        <w:rPr>
          <w:rFonts w:asciiTheme="minorHAnsi" w:hAnsiTheme="minorHAnsi"/>
        </w:rPr>
        <w:t>D</w:t>
      </w:r>
      <w:r w:rsidRPr="001F275B">
        <w:rPr>
          <w:rFonts w:asciiTheme="minorHAnsi" w:hAnsiTheme="minorHAnsi"/>
        </w:rPr>
        <w:t xml:space="preserve">ROMEDA trial, patients in the daratumumab SC + CyBorD treatment arm reported a statistically significant improvement in the overall complete response rate compared to patients treated with CyBorD (odds ratio (OR) = 5.13; 95% confidence interval (CI): 3.22, 8.16; p&lt;0.0001). The </w:t>
      </w:r>
      <w:r w:rsidR="00FF73E0">
        <w:rPr>
          <w:rFonts w:asciiTheme="minorHAnsi" w:hAnsiTheme="minorHAnsi"/>
        </w:rPr>
        <w:t>propo</w:t>
      </w:r>
      <w:r w:rsidR="002B7397">
        <w:rPr>
          <w:rFonts w:asciiTheme="minorHAnsi" w:hAnsiTheme="minorHAnsi"/>
        </w:rPr>
        <w:t>r</w:t>
      </w:r>
      <w:r w:rsidR="00FF73E0">
        <w:rPr>
          <w:rFonts w:asciiTheme="minorHAnsi" w:hAnsiTheme="minorHAnsi"/>
        </w:rPr>
        <w:t>tion</w:t>
      </w:r>
      <w:r w:rsidR="00FF73E0" w:rsidRPr="001F275B">
        <w:rPr>
          <w:rFonts w:asciiTheme="minorHAnsi" w:hAnsiTheme="minorHAnsi"/>
        </w:rPr>
        <w:t xml:space="preserve"> </w:t>
      </w:r>
      <w:r w:rsidRPr="001F275B">
        <w:rPr>
          <w:rFonts w:asciiTheme="minorHAnsi" w:hAnsiTheme="minorHAnsi"/>
        </w:rPr>
        <w:t>of patients having a complete/very good partial response and overall response were significantly greater in the daratumumab SC + CyBorD treatment arm compared to the CyBorD treatment arm</w:t>
      </w:r>
      <w:r w:rsidR="00FC2122">
        <w:rPr>
          <w:rFonts w:asciiTheme="minorHAnsi" w:hAnsiTheme="minorHAnsi"/>
        </w:rPr>
        <w:t xml:space="preserve"> </w:t>
      </w:r>
      <w:r w:rsidR="00FF73E0">
        <w:rPr>
          <w:rFonts w:asciiTheme="minorHAnsi" w:hAnsiTheme="minorHAnsi"/>
        </w:rPr>
        <w:t xml:space="preserve">for both data cuts (median of </w:t>
      </w:r>
      <w:r w:rsidR="003F78B9">
        <w:rPr>
          <w:rFonts w:asciiTheme="minorHAnsi" w:hAnsiTheme="minorHAnsi"/>
        </w:rPr>
        <w:t xml:space="preserve">11.4 </w:t>
      </w:r>
      <w:r w:rsidR="003F78B9" w:rsidRPr="006F2DBA">
        <w:rPr>
          <w:rFonts w:asciiTheme="minorHAnsi" w:hAnsiTheme="minorHAnsi"/>
        </w:rPr>
        <w:t xml:space="preserve">months and 25.8 months </w:t>
      </w:r>
      <w:r w:rsidR="00FF73E0">
        <w:rPr>
          <w:rFonts w:asciiTheme="minorHAnsi" w:hAnsiTheme="minorHAnsi"/>
        </w:rPr>
        <w:t xml:space="preserve">follow-up; </w:t>
      </w:r>
      <w:r w:rsidR="00FC2122" w:rsidRPr="006F2DBA">
        <w:rPr>
          <w:rFonts w:asciiTheme="minorHAnsi" w:hAnsiTheme="minorHAnsi"/>
        </w:rPr>
        <w:t>see</w:t>
      </w:r>
      <w:r w:rsidRPr="006F2DBA">
        <w:rPr>
          <w:rFonts w:asciiTheme="minorHAnsi" w:hAnsiTheme="minorHAnsi"/>
        </w:rPr>
        <w:t xml:space="preserve"> </w:t>
      </w:r>
      <w:r w:rsidR="008A0743" w:rsidRPr="008A0743">
        <w:rPr>
          <w:rFonts w:asciiTheme="minorHAnsi" w:hAnsiTheme="minorHAnsi"/>
        </w:rPr>
        <w:t>Table 4</w:t>
      </w:r>
      <w:r w:rsidR="00802E73" w:rsidRPr="006F2DBA">
        <w:rPr>
          <w:rFonts w:asciiTheme="minorHAnsi" w:hAnsiTheme="minorHAnsi"/>
        </w:rPr>
        <w:t>)</w:t>
      </w:r>
      <w:r w:rsidR="005E4D45" w:rsidRPr="006F2DBA">
        <w:rPr>
          <w:rFonts w:asciiTheme="minorHAnsi" w:hAnsiTheme="minorHAnsi"/>
        </w:rPr>
        <w:t>.</w:t>
      </w:r>
    </w:p>
    <w:p w14:paraId="15BCC393" w14:textId="77777777" w:rsidR="001F275B" w:rsidRPr="001F275B" w:rsidRDefault="001F275B" w:rsidP="001F275B">
      <w:pPr>
        <w:keepNext/>
        <w:rPr>
          <w:rFonts w:ascii="Arial Narrow" w:hAnsi="Arial Narrow"/>
          <w:b/>
          <w:bCs/>
          <w:sz w:val="20"/>
          <w:szCs w:val="18"/>
        </w:rPr>
      </w:pPr>
      <w:bookmarkStart w:id="31" w:name="_Ref79409605"/>
      <w:r w:rsidRPr="001F275B">
        <w:rPr>
          <w:rFonts w:ascii="Arial Narrow" w:hAnsi="Arial Narrow"/>
          <w:b/>
          <w:bCs/>
          <w:sz w:val="20"/>
          <w:szCs w:val="18"/>
        </w:rPr>
        <w:t xml:space="preserve">Table </w:t>
      </w:r>
      <w:r w:rsidR="008A0743">
        <w:rPr>
          <w:rFonts w:ascii="Arial Narrow" w:hAnsi="Arial Narrow"/>
          <w:b/>
          <w:bCs/>
          <w:noProof/>
          <w:sz w:val="20"/>
          <w:szCs w:val="18"/>
        </w:rPr>
        <w:t>4</w:t>
      </w:r>
      <w:bookmarkEnd w:id="31"/>
      <w:r w:rsidRPr="001F275B">
        <w:rPr>
          <w:rFonts w:ascii="Arial Narrow" w:hAnsi="Arial Narrow"/>
          <w:b/>
          <w:bCs/>
          <w:sz w:val="20"/>
          <w:szCs w:val="18"/>
        </w:rPr>
        <w:t>: H</w:t>
      </w:r>
      <w:r w:rsidRPr="001F275B">
        <w:rPr>
          <w:rFonts w:ascii="Arial Narrow" w:hAnsi="Arial Narrow"/>
          <w:b/>
          <w:bCs/>
          <w:sz w:val="20"/>
        </w:rPr>
        <w:t>ematologic response in the ANDROMEDA trial</w:t>
      </w:r>
      <w:r w:rsidR="00B33943">
        <w:rPr>
          <w:rFonts w:ascii="Arial Narrow" w:hAnsi="Arial Narrow"/>
          <w:b/>
          <w:bCs/>
          <w:sz w:val="20"/>
        </w:rPr>
        <w:t xml:space="preserve"> </w:t>
      </w:r>
      <w:r w:rsidR="00DE733E">
        <w:rPr>
          <w:rFonts w:ascii="Arial Narrow" w:hAnsi="Arial Narrow"/>
          <w:b/>
          <w:bCs/>
          <w:sz w:val="20"/>
        </w:rPr>
        <w:t>(median follow-up = 11.4 months</w:t>
      </w:r>
      <w:r w:rsidR="00EA50F3">
        <w:rPr>
          <w:rFonts w:ascii="Arial Narrow" w:hAnsi="Arial Narrow"/>
          <w:b/>
          <w:bCs/>
          <w:sz w:val="20"/>
        </w:rPr>
        <w:t xml:space="preserve"> and 25.8 months</w:t>
      </w:r>
      <w:r w:rsidR="00DE733E">
        <w:rPr>
          <w:rFonts w:ascii="Arial Narrow" w:hAnsi="Arial Narrow"/>
          <w:b/>
          <w:bCs/>
          <w:sz w:val="20"/>
        </w:rPr>
        <w:t xml:space="preserve">) – </w:t>
      </w:r>
      <w:r w:rsidR="00B33943">
        <w:rPr>
          <w:rFonts w:ascii="Arial Narrow" w:hAnsi="Arial Narrow"/>
          <w:b/>
          <w:bCs/>
          <w:sz w:val="20"/>
        </w:rPr>
        <w:t>i</w:t>
      </w:r>
      <w:r w:rsidR="00DE733E">
        <w:rPr>
          <w:rFonts w:ascii="Arial Narrow" w:hAnsi="Arial Narrow"/>
          <w:b/>
          <w:bCs/>
          <w:sz w:val="20"/>
        </w:rPr>
        <w:t>ntention-to-treat population</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Hematologic response in the ANDROMEDA trial (median follow-up = 11.4 months and 25.8 months) – intention-to-treat population"/>
      </w:tblPr>
      <w:tblGrid>
        <w:gridCol w:w="1558"/>
        <w:gridCol w:w="1134"/>
        <w:gridCol w:w="1277"/>
        <w:gridCol w:w="1419"/>
        <w:gridCol w:w="1134"/>
        <w:gridCol w:w="1134"/>
        <w:gridCol w:w="1415"/>
      </w:tblGrid>
      <w:tr w:rsidR="003F78B9" w:rsidRPr="006F2DBA" w14:paraId="0287582D" w14:textId="77777777" w:rsidTr="003F78B9">
        <w:trPr>
          <w:trHeight w:val="20"/>
          <w:tblHeader/>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A79867" w14:textId="77777777" w:rsidR="003F78B9" w:rsidRPr="006F2DBA" w:rsidRDefault="003F78B9">
            <w:pPr>
              <w:pStyle w:val="TableText0"/>
              <w:keepLines/>
              <w:rPr>
                <w:b/>
                <w:szCs w:val="20"/>
              </w:rPr>
            </w:pPr>
            <w:r w:rsidRPr="006F2DBA">
              <w:rPr>
                <w:b/>
                <w:szCs w:val="20"/>
              </w:rPr>
              <w:t>Outcome</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8E4B2A" w14:textId="77777777" w:rsidR="003F78B9" w:rsidRPr="006F2DBA" w:rsidRDefault="003F78B9">
            <w:pPr>
              <w:pStyle w:val="TableText0"/>
              <w:keepLines/>
              <w:jc w:val="center"/>
              <w:rPr>
                <w:b/>
                <w:szCs w:val="20"/>
              </w:rPr>
            </w:pPr>
            <w:r w:rsidRPr="006F2DBA">
              <w:rPr>
                <w:b/>
                <w:szCs w:val="20"/>
              </w:rPr>
              <w:t>Dara + CyBorD</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E63006" w14:textId="77777777" w:rsidR="003F78B9" w:rsidRPr="006F2DBA" w:rsidRDefault="003F78B9">
            <w:pPr>
              <w:pStyle w:val="TableText0"/>
              <w:keepLines/>
              <w:jc w:val="center"/>
              <w:rPr>
                <w:b/>
                <w:szCs w:val="20"/>
              </w:rPr>
            </w:pPr>
            <w:r w:rsidRPr="006F2DBA">
              <w:rPr>
                <w:b/>
                <w:szCs w:val="20"/>
              </w:rPr>
              <w:t>CyBorD</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CD1EA3" w14:textId="77777777" w:rsidR="003F78B9" w:rsidRPr="006F2DBA" w:rsidRDefault="003F78B9">
            <w:pPr>
              <w:pStyle w:val="TableText0"/>
              <w:keepLines/>
              <w:jc w:val="center"/>
              <w:rPr>
                <w:b/>
                <w:szCs w:val="20"/>
              </w:rPr>
            </w:pPr>
            <w:r w:rsidRPr="006F2DBA">
              <w:rPr>
                <w:b/>
                <w:szCs w:val="20"/>
              </w:rPr>
              <w:t>Odds ratio (95% CI)</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1D1F7E" w14:textId="77777777" w:rsidR="003F78B9" w:rsidRPr="006F2DBA" w:rsidRDefault="003F78B9">
            <w:pPr>
              <w:pStyle w:val="TableText0"/>
              <w:keepLines/>
              <w:jc w:val="center"/>
              <w:rPr>
                <w:b/>
                <w:szCs w:val="20"/>
              </w:rPr>
            </w:pPr>
            <w:r w:rsidRPr="006F2DBA">
              <w:rPr>
                <w:b/>
                <w:szCs w:val="20"/>
              </w:rPr>
              <w:t>Dara + CyBorD</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4DFB2B" w14:textId="77777777" w:rsidR="003F78B9" w:rsidRPr="006F2DBA" w:rsidRDefault="003F78B9">
            <w:pPr>
              <w:pStyle w:val="TableText0"/>
              <w:keepLines/>
              <w:jc w:val="center"/>
              <w:rPr>
                <w:b/>
                <w:szCs w:val="20"/>
              </w:rPr>
            </w:pPr>
            <w:r w:rsidRPr="006F2DBA">
              <w:rPr>
                <w:b/>
                <w:szCs w:val="20"/>
              </w:rPr>
              <w:t>CyBorD</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A964A8" w14:textId="77777777" w:rsidR="003F78B9" w:rsidRPr="006F2DBA" w:rsidRDefault="003F78B9">
            <w:pPr>
              <w:pStyle w:val="TableText0"/>
              <w:keepLines/>
              <w:jc w:val="center"/>
              <w:rPr>
                <w:b/>
                <w:szCs w:val="20"/>
              </w:rPr>
            </w:pPr>
            <w:r w:rsidRPr="006F2DBA">
              <w:rPr>
                <w:b/>
                <w:szCs w:val="20"/>
              </w:rPr>
              <w:t>Odds ratio (95% CI)</w:t>
            </w:r>
          </w:p>
        </w:tc>
      </w:tr>
      <w:tr w:rsidR="003F78B9" w:rsidRPr="006F2DBA" w14:paraId="6E9966C4" w14:textId="77777777" w:rsidTr="003F78B9">
        <w:trPr>
          <w:trHeight w:val="20"/>
          <w:tblHeader/>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4E7357" w14:textId="77777777" w:rsidR="003F78B9" w:rsidRPr="006F2DBA" w:rsidRDefault="003F78B9">
            <w:pPr>
              <w:pStyle w:val="TableText0"/>
              <w:keepLines/>
              <w:rPr>
                <w:b/>
                <w:szCs w:val="20"/>
              </w:rPr>
            </w:pPr>
            <w:r w:rsidRPr="006F2DBA">
              <w:rPr>
                <w:b/>
                <w:szCs w:val="20"/>
              </w:rPr>
              <w:t>Median follow-up</w:t>
            </w:r>
          </w:p>
        </w:tc>
        <w:tc>
          <w:tcPr>
            <w:tcW w:w="211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ABA4E6" w14:textId="77777777" w:rsidR="003F78B9" w:rsidRPr="006F2DBA" w:rsidRDefault="003F78B9">
            <w:pPr>
              <w:pStyle w:val="TableText0"/>
              <w:keepLines/>
              <w:jc w:val="center"/>
              <w:rPr>
                <w:b/>
                <w:szCs w:val="20"/>
              </w:rPr>
            </w:pPr>
            <w:r w:rsidRPr="006F2DBA">
              <w:rPr>
                <w:b/>
                <w:szCs w:val="20"/>
              </w:rPr>
              <w:t>11.4 months</w:t>
            </w:r>
          </w:p>
        </w:tc>
        <w:tc>
          <w:tcPr>
            <w:tcW w:w="203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E209AA" w14:textId="77777777" w:rsidR="003F78B9" w:rsidRPr="006F2DBA" w:rsidRDefault="003F78B9">
            <w:pPr>
              <w:pStyle w:val="TableText0"/>
              <w:keepLines/>
              <w:jc w:val="center"/>
              <w:rPr>
                <w:b/>
                <w:szCs w:val="20"/>
              </w:rPr>
            </w:pPr>
            <w:r w:rsidRPr="006F2DBA">
              <w:rPr>
                <w:b/>
                <w:szCs w:val="20"/>
              </w:rPr>
              <w:t>25.8 months</w:t>
            </w:r>
          </w:p>
        </w:tc>
      </w:tr>
      <w:tr w:rsidR="003F78B9" w:rsidRPr="006F2DBA" w14:paraId="5B59A53E"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086D42" w14:textId="77777777" w:rsidR="003F78B9" w:rsidRPr="006F2DBA" w:rsidRDefault="003F78B9">
            <w:pPr>
              <w:pStyle w:val="TableText0"/>
              <w:keepLines/>
              <w:rPr>
                <w:szCs w:val="20"/>
                <w:vertAlign w:val="superscript"/>
              </w:rPr>
            </w:pPr>
            <w:r w:rsidRPr="006F2DBA">
              <w:rPr>
                <w:szCs w:val="20"/>
              </w:rPr>
              <w:t>CR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5440C9" w14:textId="77777777" w:rsidR="003F78B9" w:rsidRPr="006F2DBA" w:rsidRDefault="003F78B9">
            <w:pPr>
              <w:pStyle w:val="TableText0"/>
              <w:keepLines/>
              <w:jc w:val="center"/>
              <w:rPr>
                <w:szCs w:val="20"/>
              </w:rPr>
            </w:pPr>
            <w:r w:rsidRPr="006F2DBA">
              <w:rPr>
                <w:rFonts w:cs="Calibri"/>
                <w:color w:val="000000"/>
                <w:szCs w:val="20"/>
              </w:rPr>
              <w:t>104/195 (53%)</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46479E" w14:textId="77777777" w:rsidR="003F78B9" w:rsidRPr="006F2DBA" w:rsidRDefault="003F78B9">
            <w:pPr>
              <w:pStyle w:val="TableText0"/>
              <w:keepLines/>
              <w:jc w:val="center"/>
              <w:rPr>
                <w:szCs w:val="20"/>
              </w:rPr>
            </w:pPr>
            <w:r w:rsidRPr="006F2DBA">
              <w:rPr>
                <w:rFonts w:cs="Calibri"/>
                <w:color w:val="000000"/>
                <w:szCs w:val="20"/>
              </w:rPr>
              <w:t>35/193 (18%)</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36681E" w14:textId="77777777" w:rsidR="003F78B9" w:rsidRPr="006F2DBA" w:rsidRDefault="003F78B9">
            <w:pPr>
              <w:pStyle w:val="TableText0"/>
              <w:keepLines/>
              <w:jc w:val="center"/>
              <w:rPr>
                <w:b/>
                <w:szCs w:val="20"/>
              </w:rPr>
            </w:pPr>
            <w:r w:rsidRPr="006F2DBA">
              <w:rPr>
                <w:rFonts w:cs="Calibri"/>
                <w:b/>
                <w:color w:val="000000"/>
                <w:szCs w:val="20"/>
              </w:rPr>
              <w:t>5.13 (3.22, 8.16)</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451A12" w14:textId="77777777" w:rsidR="003F78B9" w:rsidRPr="006F2DBA" w:rsidRDefault="003F78B9">
            <w:pPr>
              <w:jc w:val="center"/>
              <w:rPr>
                <w:rFonts w:ascii="Arial Narrow" w:hAnsi="Arial Narrow"/>
                <w:sz w:val="20"/>
              </w:rPr>
            </w:pPr>
            <w:r w:rsidRPr="006F2DBA">
              <w:rPr>
                <w:rFonts w:ascii="Arial Narrow" w:hAnsi="Arial Narrow"/>
                <w:sz w:val="20"/>
              </w:rPr>
              <w:t>116</w:t>
            </w:r>
            <w:r w:rsidRPr="006F2DBA">
              <w:rPr>
                <w:rFonts w:ascii="Arial Narrow" w:hAnsi="Arial Narrow" w:cs="Calibri"/>
                <w:color w:val="000000"/>
                <w:sz w:val="20"/>
              </w:rPr>
              <w:t xml:space="preserve">/195 </w:t>
            </w:r>
            <w:r w:rsidRPr="006F2DBA">
              <w:rPr>
                <w:rFonts w:ascii="Arial Narrow" w:hAnsi="Arial Narrow"/>
                <w:sz w:val="20"/>
              </w:rPr>
              <w:t>(60%)</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05EFD8" w14:textId="77777777" w:rsidR="003F78B9" w:rsidRPr="006F2DBA" w:rsidRDefault="003F78B9">
            <w:pPr>
              <w:jc w:val="center"/>
              <w:rPr>
                <w:rFonts w:ascii="Arial Narrow" w:hAnsi="Arial Narrow"/>
                <w:sz w:val="20"/>
              </w:rPr>
            </w:pPr>
            <w:r w:rsidRPr="006F2DBA">
              <w:rPr>
                <w:rFonts w:ascii="Arial Narrow" w:hAnsi="Arial Narrow"/>
                <w:sz w:val="20"/>
              </w:rPr>
              <w:t>37</w:t>
            </w:r>
            <w:r w:rsidRPr="006F2DBA">
              <w:rPr>
                <w:rFonts w:ascii="Arial Narrow" w:hAnsi="Arial Narrow" w:cs="Calibri"/>
                <w:color w:val="000000"/>
                <w:sz w:val="20"/>
              </w:rPr>
              <w:t>/193</w:t>
            </w:r>
            <w:r w:rsidRPr="006F2DBA">
              <w:rPr>
                <w:rFonts w:ascii="Arial Narrow" w:hAnsi="Arial Narrow"/>
                <w:sz w:val="20"/>
              </w:rPr>
              <w:t xml:space="preserve"> (19%)</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CEF9FF" w14:textId="77777777" w:rsidR="003F78B9" w:rsidRPr="006F2DBA" w:rsidRDefault="003F78B9">
            <w:pPr>
              <w:pStyle w:val="TableText0"/>
              <w:keepLines/>
              <w:jc w:val="center"/>
              <w:rPr>
                <w:rFonts w:cs="Calibri"/>
                <w:b/>
                <w:color w:val="000000"/>
                <w:szCs w:val="20"/>
              </w:rPr>
            </w:pPr>
            <w:r w:rsidRPr="006F2DBA">
              <w:rPr>
                <w:rFonts w:cs="Calibri"/>
                <w:b/>
                <w:color w:val="000000"/>
                <w:szCs w:val="20"/>
              </w:rPr>
              <w:t>6.03 (3.80, 9.58)</w:t>
            </w:r>
          </w:p>
        </w:tc>
      </w:tr>
      <w:tr w:rsidR="003F78B9" w:rsidRPr="006F2DBA" w14:paraId="3C4CED5B"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25343C" w14:textId="77777777" w:rsidR="003F78B9" w:rsidRPr="006F2DBA" w:rsidRDefault="003F78B9">
            <w:pPr>
              <w:pStyle w:val="TableText0"/>
              <w:keepLines/>
              <w:rPr>
                <w:szCs w:val="20"/>
              </w:rPr>
            </w:pPr>
            <w:r w:rsidRPr="006F2DBA">
              <w:rPr>
                <w:szCs w:val="20"/>
              </w:rPr>
              <w:t>VGPR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51AD2D" w14:textId="77777777" w:rsidR="003F78B9" w:rsidRPr="006F2DBA" w:rsidRDefault="003F78B9">
            <w:pPr>
              <w:pStyle w:val="TableText0"/>
              <w:keepLines/>
              <w:jc w:val="center"/>
              <w:rPr>
                <w:szCs w:val="20"/>
              </w:rPr>
            </w:pPr>
            <w:r w:rsidRPr="006F2DBA">
              <w:rPr>
                <w:rFonts w:cs="Calibri"/>
                <w:color w:val="000000"/>
                <w:szCs w:val="20"/>
              </w:rPr>
              <w:t>49/195 (25%)</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6D66D9" w14:textId="77777777" w:rsidR="003F78B9" w:rsidRPr="006F2DBA" w:rsidRDefault="003F78B9">
            <w:pPr>
              <w:pStyle w:val="TableText0"/>
              <w:keepLines/>
              <w:jc w:val="center"/>
              <w:rPr>
                <w:szCs w:val="20"/>
              </w:rPr>
            </w:pPr>
            <w:r w:rsidRPr="006F2DBA">
              <w:rPr>
                <w:rFonts w:cs="Calibri"/>
                <w:color w:val="000000"/>
                <w:szCs w:val="20"/>
              </w:rPr>
              <w:t>60/193 (31%)</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0F61F6" w14:textId="77777777" w:rsidR="003F78B9" w:rsidRPr="006F2DBA" w:rsidRDefault="003F78B9">
            <w:pPr>
              <w:pStyle w:val="TableText0"/>
              <w:keepLines/>
              <w:jc w:val="center"/>
              <w:rPr>
                <w:szCs w:val="20"/>
              </w:rPr>
            </w:pPr>
            <w:r w:rsidRPr="006F2DBA">
              <w:rPr>
                <w:szCs w:val="20"/>
              </w:rPr>
              <w:t>0.74 (0.48, 1.16)</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2DC6A6" w14:textId="77777777" w:rsidR="003F78B9" w:rsidRPr="006F2DBA" w:rsidRDefault="003F78B9">
            <w:pPr>
              <w:jc w:val="center"/>
              <w:rPr>
                <w:rFonts w:ascii="Arial Narrow" w:hAnsi="Arial Narrow"/>
                <w:sz w:val="20"/>
              </w:rPr>
            </w:pPr>
            <w:r w:rsidRPr="006F2DBA">
              <w:rPr>
                <w:rFonts w:ascii="Arial Narrow" w:hAnsi="Arial Narrow"/>
                <w:sz w:val="20"/>
              </w:rPr>
              <w:t>38</w:t>
            </w:r>
            <w:r w:rsidRPr="006F2DBA">
              <w:rPr>
                <w:rFonts w:ascii="Arial Narrow" w:hAnsi="Arial Narrow" w:cs="Calibri"/>
                <w:color w:val="000000"/>
                <w:sz w:val="20"/>
              </w:rPr>
              <w:t xml:space="preserve">/195 </w:t>
            </w:r>
            <w:r w:rsidRPr="006F2DBA">
              <w:rPr>
                <w:rFonts w:ascii="Arial Narrow" w:hAnsi="Arial Narrow"/>
                <w:sz w:val="20"/>
              </w:rPr>
              <w:t>(20%)</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AB58F" w14:textId="77777777" w:rsidR="003F78B9" w:rsidRPr="006F2DBA" w:rsidRDefault="003F78B9">
            <w:pPr>
              <w:jc w:val="center"/>
              <w:rPr>
                <w:rFonts w:ascii="Arial Narrow" w:hAnsi="Arial Narrow"/>
                <w:sz w:val="20"/>
              </w:rPr>
            </w:pPr>
            <w:r w:rsidRPr="006F2DBA">
              <w:rPr>
                <w:rFonts w:ascii="Arial Narrow" w:hAnsi="Arial Narrow"/>
                <w:sz w:val="20"/>
              </w:rPr>
              <w:t>60</w:t>
            </w:r>
            <w:r w:rsidRPr="006F2DBA">
              <w:rPr>
                <w:rFonts w:ascii="Arial Narrow" w:hAnsi="Arial Narrow" w:cs="Calibri"/>
                <w:color w:val="000000"/>
                <w:sz w:val="20"/>
              </w:rPr>
              <w:t>/193</w:t>
            </w:r>
            <w:r w:rsidRPr="006F2DBA">
              <w:rPr>
                <w:rFonts w:ascii="Arial Narrow" w:hAnsi="Arial Narrow"/>
                <w:sz w:val="20"/>
              </w:rPr>
              <w:t xml:space="preserve"> (31%)</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83EDF8" w14:textId="77777777" w:rsidR="003F78B9" w:rsidRPr="006F2DBA" w:rsidRDefault="003F78B9">
            <w:pPr>
              <w:pStyle w:val="TableText0"/>
              <w:keepLines/>
              <w:jc w:val="center"/>
              <w:rPr>
                <w:szCs w:val="20"/>
              </w:rPr>
            </w:pPr>
            <w:r w:rsidRPr="006F2DBA">
              <w:rPr>
                <w:b/>
                <w:szCs w:val="20"/>
              </w:rPr>
              <w:t>0.54 (0.34, 0.86)</w:t>
            </w:r>
          </w:p>
        </w:tc>
      </w:tr>
      <w:tr w:rsidR="003F78B9" w:rsidRPr="006F2DBA" w14:paraId="7BB26CC2"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3A809E" w14:textId="77777777" w:rsidR="003F78B9" w:rsidRPr="006F2DBA" w:rsidRDefault="003F78B9">
            <w:pPr>
              <w:pStyle w:val="TableText0"/>
              <w:keepLines/>
              <w:rPr>
                <w:szCs w:val="20"/>
              </w:rPr>
            </w:pPr>
            <w:r w:rsidRPr="006F2DBA">
              <w:rPr>
                <w:szCs w:val="20"/>
              </w:rPr>
              <w:t>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650EF4" w14:textId="77777777" w:rsidR="003F78B9" w:rsidRPr="006F2DBA" w:rsidRDefault="003F78B9">
            <w:pPr>
              <w:pStyle w:val="TableText0"/>
              <w:keepLines/>
              <w:jc w:val="center"/>
              <w:rPr>
                <w:szCs w:val="20"/>
              </w:rPr>
            </w:pPr>
            <w:r w:rsidRPr="006F2DBA">
              <w:rPr>
                <w:rFonts w:cs="Calibri"/>
                <w:color w:val="000000"/>
                <w:szCs w:val="20"/>
              </w:rPr>
              <w:t>26/195 (13%)</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FB93AA" w14:textId="77777777" w:rsidR="003F78B9" w:rsidRPr="006F2DBA" w:rsidRDefault="003F78B9">
            <w:pPr>
              <w:pStyle w:val="TableText0"/>
              <w:keepLines/>
              <w:jc w:val="center"/>
              <w:rPr>
                <w:szCs w:val="20"/>
              </w:rPr>
            </w:pPr>
            <w:r w:rsidRPr="006F2DBA">
              <w:rPr>
                <w:rFonts w:cs="Calibri"/>
                <w:color w:val="000000"/>
                <w:szCs w:val="20"/>
              </w:rPr>
              <w:t>53/193 (28%)</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5C9F3F" w14:textId="77777777" w:rsidR="003F78B9" w:rsidRPr="006F2DBA" w:rsidRDefault="003F78B9">
            <w:pPr>
              <w:pStyle w:val="TableText0"/>
              <w:keepLines/>
              <w:jc w:val="center"/>
              <w:rPr>
                <w:b/>
                <w:szCs w:val="20"/>
              </w:rPr>
            </w:pPr>
            <w:r w:rsidRPr="006F2DBA">
              <w:rPr>
                <w:b/>
                <w:szCs w:val="20"/>
              </w:rPr>
              <w:t>0.41 (0.24, 0.68)</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562074" w14:textId="77777777" w:rsidR="003F78B9" w:rsidRPr="006F2DBA" w:rsidRDefault="003F78B9">
            <w:pPr>
              <w:jc w:val="center"/>
              <w:rPr>
                <w:rFonts w:ascii="Arial Narrow" w:hAnsi="Arial Narrow"/>
                <w:sz w:val="20"/>
              </w:rPr>
            </w:pPr>
            <w:r w:rsidRPr="006F2DBA">
              <w:rPr>
                <w:rFonts w:ascii="Arial Narrow" w:hAnsi="Arial Narrow"/>
                <w:sz w:val="20"/>
              </w:rPr>
              <w:t>25</w:t>
            </w:r>
            <w:r w:rsidRPr="006F2DBA">
              <w:rPr>
                <w:rFonts w:ascii="Arial Narrow" w:hAnsi="Arial Narrow" w:cs="Calibri"/>
                <w:color w:val="000000"/>
                <w:sz w:val="20"/>
              </w:rPr>
              <w:t xml:space="preserve">/195 </w:t>
            </w:r>
            <w:r w:rsidRPr="006F2DBA">
              <w:rPr>
                <w:rFonts w:ascii="Arial Narrow" w:hAnsi="Arial Narrow"/>
                <w:sz w:val="20"/>
              </w:rPr>
              <w:t>(13%)</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2809FC" w14:textId="77777777" w:rsidR="003F78B9" w:rsidRPr="006F2DBA" w:rsidRDefault="003F78B9">
            <w:pPr>
              <w:jc w:val="center"/>
              <w:rPr>
                <w:rFonts w:ascii="Arial Narrow" w:hAnsi="Arial Narrow"/>
                <w:sz w:val="20"/>
              </w:rPr>
            </w:pPr>
            <w:r w:rsidRPr="006F2DBA">
              <w:rPr>
                <w:rFonts w:ascii="Arial Narrow" w:hAnsi="Arial Narrow"/>
                <w:sz w:val="20"/>
              </w:rPr>
              <w:t>52</w:t>
            </w:r>
            <w:r w:rsidRPr="006F2DBA">
              <w:rPr>
                <w:rFonts w:ascii="Arial Narrow" w:hAnsi="Arial Narrow" w:cs="Calibri"/>
                <w:color w:val="000000"/>
                <w:sz w:val="20"/>
              </w:rPr>
              <w:t>/193</w:t>
            </w:r>
            <w:r w:rsidRPr="006F2DBA">
              <w:rPr>
                <w:rFonts w:ascii="Arial Narrow" w:hAnsi="Arial Narrow"/>
                <w:sz w:val="20"/>
              </w:rPr>
              <w:t xml:space="preserve"> (27%)</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13EE86" w14:textId="77777777" w:rsidR="003F78B9" w:rsidRPr="006F2DBA" w:rsidRDefault="003F78B9">
            <w:pPr>
              <w:pStyle w:val="TableText0"/>
              <w:keepLines/>
              <w:jc w:val="center"/>
              <w:rPr>
                <w:b/>
                <w:szCs w:val="20"/>
              </w:rPr>
            </w:pPr>
            <w:r w:rsidRPr="006F2DBA">
              <w:rPr>
                <w:b/>
                <w:szCs w:val="20"/>
              </w:rPr>
              <w:t>0.40 (0.24, 0.68)</w:t>
            </w:r>
          </w:p>
        </w:tc>
      </w:tr>
      <w:tr w:rsidR="003F78B9" w:rsidRPr="006F2DBA" w14:paraId="4333F1D5"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0345C4" w14:textId="77777777" w:rsidR="003F78B9" w:rsidRPr="006F2DBA" w:rsidRDefault="003F78B9">
            <w:pPr>
              <w:pStyle w:val="TableText0"/>
              <w:keepLines/>
              <w:rPr>
                <w:szCs w:val="20"/>
              </w:rPr>
            </w:pPr>
            <w:r w:rsidRPr="006F2DBA">
              <w:rPr>
                <w:szCs w:val="20"/>
              </w:rPr>
              <w:t>No response</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982A46" w14:textId="77777777" w:rsidR="003F78B9" w:rsidRPr="006F2DBA" w:rsidRDefault="003F78B9">
            <w:pPr>
              <w:pStyle w:val="TableText0"/>
              <w:keepLines/>
              <w:jc w:val="center"/>
              <w:rPr>
                <w:szCs w:val="20"/>
              </w:rPr>
            </w:pPr>
            <w:r w:rsidRPr="006F2DBA">
              <w:rPr>
                <w:rFonts w:cs="Calibri"/>
                <w:color w:val="000000"/>
                <w:szCs w:val="20"/>
              </w:rPr>
              <w:t>8/195 (4%)</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9A9081" w14:textId="77777777" w:rsidR="003F78B9" w:rsidRPr="006F2DBA" w:rsidRDefault="003F78B9">
            <w:pPr>
              <w:pStyle w:val="TableText0"/>
              <w:keepLines/>
              <w:jc w:val="center"/>
              <w:rPr>
                <w:szCs w:val="20"/>
              </w:rPr>
            </w:pPr>
            <w:r w:rsidRPr="006F2DBA">
              <w:rPr>
                <w:rFonts w:cs="Calibri"/>
                <w:color w:val="000000"/>
                <w:szCs w:val="20"/>
              </w:rPr>
              <w:t>38/193 (20%)</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A66CE0" w14:textId="77777777" w:rsidR="003F78B9" w:rsidRPr="006F2DBA" w:rsidRDefault="003F78B9">
            <w:pPr>
              <w:pStyle w:val="TableText0"/>
              <w:keepLines/>
              <w:jc w:val="center"/>
              <w:rPr>
                <w:b/>
                <w:szCs w:val="20"/>
              </w:rPr>
            </w:pPr>
            <w:r w:rsidRPr="006F2DBA">
              <w:rPr>
                <w:b/>
                <w:szCs w:val="20"/>
              </w:rPr>
              <w:t>0.17 (0.08, 0.39)</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AB6FD8" w14:textId="77777777" w:rsidR="003F78B9" w:rsidRPr="006F2DBA" w:rsidRDefault="003F78B9">
            <w:pPr>
              <w:jc w:val="center"/>
              <w:rPr>
                <w:rFonts w:ascii="Arial Narrow" w:hAnsi="Arial Narrow"/>
                <w:sz w:val="20"/>
              </w:rPr>
            </w:pPr>
            <w:r w:rsidRPr="006F2DBA">
              <w:rPr>
                <w:rFonts w:ascii="Arial Narrow" w:hAnsi="Arial Narrow"/>
                <w:sz w:val="20"/>
              </w:rPr>
              <w:t>8</w:t>
            </w:r>
            <w:r w:rsidRPr="006F2DBA">
              <w:rPr>
                <w:rFonts w:ascii="Arial Narrow" w:hAnsi="Arial Narrow" w:cs="Calibri"/>
                <w:color w:val="000000"/>
                <w:sz w:val="20"/>
              </w:rPr>
              <w:t>/195</w:t>
            </w:r>
            <w:r w:rsidRPr="006F2DBA">
              <w:rPr>
                <w:rFonts w:ascii="Arial Narrow" w:hAnsi="Arial Narrow"/>
                <w:sz w:val="20"/>
              </w:rPr>
              <w:t xml:space="preserve"> (4%)</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EE7A39" w14:textId="77777777" w:rsidR="003F78B9" w:rsidRPr="006F2DBA" w:rsidRDefault="003F78B9">
            <w:pPr>
              <w:jc w:val="center"/>
              <w:rPr>
                <w:rFonts w:ascii="Arial Narrow" w:hAnsi="Arial Narrow"/>
                <w:sz w:val="20"/>
              </w:rPr>
            </w:pPr>
            <w:r w:rsidRPr="006F2DBA">
              <w:rPr>
                <w:rFonts w:ascii="Arial Narrow" w:hAnsi="Arial Narrow"/>
                <w:sz w:val="20"/>
              </w:rPr>
              <w:t>37</w:t>
            </w:r>
            <w:r w:rsidRPr="006F2DBA">
              <w:rPr>
                <w:rFonts w:ascii="Arial Narrow" w:hAnsi="Arial Narrow" w:cs="Calibri"/>
                <w:color w:val="000000"/>
                <w:sz w:val="20"/>
              </w:rPr>
              <w:t>/193</w:t>
            </w:r>
            <w:r w:rsidRPr="006F2DBA">
              <w:rPr>
                <w:rFonts w:ascii="Arial Narrow" w:hAnsi="Arial Narrow"/>
                <w:sz w:val="20"/>
              </w:rPr>
              <w:t xml:space="preserve"> (19%)</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D3C4DB" w14:textId="77777777" w:rsidR="003F78B9" w:rsidRPr="006F2DBA" w:rsidRDefault="003F78B9">
            <w:pPr>
              <w:pStyle w:val="TableText0"/>
              <w:keepLines/>
              <w:jc w:val="center"/>
              <w:rPr>
                <w:b/>
                <w:szCs w:val="20"/>
              </w:rPr>
            </w:pPr>
            <w:r w:rsidRPr="006F2DBA">
              <w:rPr>
                <w:b/>
                <w:szCs w:val="20"/>
              </w:rPr>
              <w:t>0.18 (0.08, 0.40)</w:t>
            </w:r>
          </w:p>
        </w:tc>
      </w:tr>
      <w:tr w:rsidR="003F78B9" w:rsidRPr="006F2DBA" w14:paraId="63E605C8"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D13DEA" w14:textId="77777777" w:rsidR="003F78B9" w:rsidRPr="006F2DBA" w:rsidRDefault="003F78B9">
            <w:pPr>
              <w:pStyle w:val="TableText0"/>
              <w:keepLines/>
              <w:rPr>
                <w:szCs w:val="20"/>
              </w:rPr>
            </w:pPr>
            <w:r w:rsidRPr="006F2DBA">
              <w:rPr>
                <w:szCs w:val="20"/>
              </w:rPr>
              <w:t>Disease progression</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410311" w14:textId="77777777" w:rsidR="003F78B9" w:rsidRPr="006F2DBA" w:rsidRDefault="003F78B9">
            <w:pPr>
              <w:pStyle w:val="TableText0"/>
              <w:keepLines/>
              <w:jc w:val="center"/>
              <w:rPr>
                <w:szCs w:val="20"/>
              </w:rPr>
            </w:pPr>
            <w:r w:rsidRPr="006F2DBA">
              <w:rPr>
                <w:szCs w:val="20"/>
              </w:rPr>
              <w:t>0</w:t>
            </w:r>
            <w:r w:rsidRPr="006F2DBA">
              <w:rPr>
                <w:rFonts w:cs="Calibri"/>
                <w:color w:val="000000"/>
                <w:szCs w:val="20"/>
              </w:rPr>
              <w:t>/195</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1F5A79" w14:textId="77777777" w:rsidR="003F78B9" w:rsidRPr="006F2DBA" w:rsidRDefault="003F78B9">
            <w:pPr>
              <w:pStyle w:val="TableText0"/>
              <w:keepLines/>
              <w:jc w:val="center"/>
              <w:rPr>
                <w:szCs w:val="20"/>
              </w:rPr>
            </w:pPr>
            <w:r w:rsidRPr="006F2DBA">
              <w:rPr>
                <w:szCs w:val="20"/>
              </w:rPr>
              <w:t>0/193</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DEAFBE" w14:textId="77777777" w:rsidR="003F78B9" w:rsidRPr="006F2DBA" w:rsidRDefault="003F78B9">
            <w:pPr>
              <w:pStyle w:val="TableText0"/>
              <w:keepLines/>
              <w:jc w:val="center"/>
              <w:rPr>
                <w:szCs w:val="20"/>
              </w:rPr>
            </w:pPr>
            <w:r w:rsidRPr="006F2DBA">
              <w:rPr>
                <w:szCs w:val="20"/>
              </w:rPr>
              <w:t>NE</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08F96A" w14:textId="77777777" w:rsidR="003F78B9" w:rsidRPr="006F2DBA" w:rsidRDefault="003F78B9">
            <w:pPr>
              <w:jc w:val="center"/>
              <w:rPr>
                <w:rFonts w:ascii="Arial Narrow" w:hAnsi="Arial Narrow"/>
                <w:sz w:val="20"/>
              </w:rPr>
            </w:pPr>
            <w:r w:rsidRPr="006F2DBA">
              <w:rPr>
                <w:rFonts w:ascii="Arial Narrow" w:hAnsi="Arial Narrow"/>
                <w:sz w:val="20"/>
              </w:rPr>
              <w:t>8</w:t>
            </w:r>
            <w:r w:rsidRPr="006F2DBA">
              <w:rPr>
                <w:rFonts w:ascii="Arial Narrow" w:hAnsi="Arial Narrow" w:cs="Calibri"/>
                <w:color w:val="000000"/>
                <w:sz w:val="20"/>
              </w:rPr>
              <w:t>/195</w:t>
            </w:r>
            <w:r w:rsidRPr="006F2DBA">
              <w:rPr>
                <w:rFonts w:ascii="Arial Narrow" w:hAnsi="Arial Narrow"/>
                <w:sz w:val="20"/>
              </w:rPr>
              <w:t xml:space="preserve"> (4%)</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555F33" w14:textId="77777777" w:rsidR="003F78B9" w:rsidRPr="006F2DBA" w:rsidRDefault="003F78B9">
            <w:pPr>
              <w:jc w:val="center"/>
              <w:rPr>
                <w:rFonts w:ascii="Arial Narrow" w:hAnsi="Arial Narrow"/>
                <w:sz w:val="20"/>
              </w:rPr>
            </w:pPr>
            <w:r w:rsidRPr="006F2DBA">
              <w:rPr>
                <w:rFonts w:ascii="Arial Narrow" w:hAnsi="Arial Narrow"/>
                <w:sz w:val="20"/>
              </w:rPr>
              <w:t>7</w:t>
            </w:r>
            <w:r w:rsidRPr="006F2DBA">
              <w:rPr>
                <w:rFonts w:ascii="Arial Narrow" w:hAnsi="Arial Narrow" w:cs="Calibri"/>
                <w:color w:val="000000"/>
                <w:sz w:val="20"/>
              </w:rPr>
              <w:t>/193</w:t>
            </w:r>
            <w:r w:rsidRPr="006F2DBA">
              <w:rPr>
                <w:rFonts w:ascii="Arial Narrow" w:hAnsi="Arial Narrow"/>
                <w:sz w:val="20"/>
              </w:rPr>
              <w:t xml:space="preserve"> (4%)</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3225EF" w14:textId="77777777" w:rsidR="003F78B9" w:rsidRPr="006F2DBA" w:rsidRDefault="003F78B9">
            <w:pPr>
              <w:pStyle w:val="TableText0"/>
              <w:keepLines/>
              <w:jc w:val="center"/>
              <w:rPr>
                <w:szCs w:val="20"/>
              </w:rPr>
            </w:pPr>
            <w:r w:rsidRPr="006F2DBA">
              <w:rPr>
                <w:szCs w:val="20"/>
              </w:rPr>
              <w:t>1.14 (0.40, 3.20)</w:t>
            </w:r>
          </w:p>
        </w:tc>
      </w:tr>
      <w:tr w:rsidR="003F78B9" w:rsidRPr="006F2DBA" w14:paraId="2FCA5128"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78C032" w14:textId="77777777" w:rsidR="003F78B9" w:rsidRPr="006F2DBA" w:rsidRDefault="003F78B9">
            <w:pPr>
              <w:pStyle w:val="TableText0"/>
              <w:keepLines/>
              <w:rPr>
                <w:szCs w:val="20"/>
              </w:rPr>
            </w:pPr>
            <w:r w:rsidRPr="006F2DBA">
              <w:rPr>
                <w:szCs w:val="20"/>
              </w:rPr>
              <w:t>CR and VGPR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71FF47" w14:textId="77777777" w:rsidR="003F78B9" w:rsidRPr="006F2DBA" w:rsidRDefault="003F78B9">
            <w:pPr>
              <w:pStyle w:val="TableText0"/>
              <w:keepLines/>
              <w:jc w:val="center"/>
              <w:rPr>
                <w:szCs w:val="20"/>
              </w:rPr>
            </w:pPr>
            <w:r w:rsidRPr="006F2DBA">
              <w:rPr>
                <w:rFonts w:cs="Calibri"/>
                <w:color w:val="000000"/>
                <w:szCs w:val="20"/>
              </w:rPr>
              <w:t>153/195 (79%)</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5B1AB7" w14:textId="77777777" w:rsidR="003F78B9" w:rsidRPr="006F2DBA" w:rsidRDefault="003F78B9">
            <w:pPr>
              <w:pStyle w:val="TableText0"/>
              <w:keepLines/>
              <w:jc w:val="center"/>
              <w:rPr>
                <w:szCs w:val="20"/>
              </w:rPr>
            </w:pPr>
            <w:r w:rsidRPr="006F2DBA">
              <w:rPr>
                <w:rFonts w:cs="Calibri"/>
                <w:color w:val="000000"/>
                <w:szCs w:val="20"/>
              </w:rPr>
              <w:t>95/193 (49%)</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1CA2BD" w14:textId="77777777" w:rsidR="003F78B9" w:rsidRPr="006F2DBA" w:rsidRDefault="003F78B9">
            <w:pPr>
              <w:pStyle w:val="TableText0"/>
              <w:keepLines/>
              <w:jc w:val="center"/>
              <w:rPr>
                <w:b/>
                <w:szCs w:val="20"/>
              </w:rPr>
            </w:pPr>
            <w:r w:rsidRPr="006F2DBA">
              <w:rPr>
                <w:rFonts w:cs="Calibri"/>
                <w:b/>
                <w:color w:val="000000"/>
                <w:szCs w:val="20"/>
              </w:rPr>
              <w:t>3.75 (2.40, 5.85)</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9C18B5" w14:textId="77777777" w:rsidR="003F78B9" w:rsidRPr="006F2DBA" w:rsidRDefault="003F78B9">
            <w:pPr>
              <w:jc w:val="center"/>
              <w:rPr>
                <w:rFonts w:ascii="Arial Narrow" w:hAnsi="Arial Narrow"/>
                <w:sz w:val="20"/>
              </w:rPr>
            </w:pPr>
            <w:r w:rsidRPr="006F2DBA">
              <w:rPr>
                <w:rFonts w:ascii="Arial Narrow" w:hAnsi="Arial Narrow"/>
                <w:sz w:val="20"/>
              </w:rPr>
              <w:t>154</w:t>
            </w:r>
            <w:r w:rsidRPr="006F2DBA">
              <w:rPr>
                <w:rFonts w:ascii="Arial Narrow" w:hAnsi="Arial Narrow" w:cs="Calibri"/>
                <w:color w:val="000000"/>
                <w:sz w:val="20"/>
              </w:rPr>
              <w:t xml:space="preserve">/195 </w:t>
            </w:r>
            <w:r w:rsidRPr="006F2DBA">
              <w:rPr>
                <w:rFonts w:ascii="Arial Narrow" w:hAnsi="Arial Narrow"/>
                <w:sz w:val="20"/>
              </w:rPr>
              <w:t>(79%)</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6CAEE5" w14:textId="77777777" w:rsidR="003F78B9" w:rsidRPr="006F2DBA" w:rsidRDefault="003F78B9">
            <w:pPr>
              <w:jc w:val="center"/>
              <w:rPr>
                <w:rFonts w:ascii="Arial Narrow" w:hAnsi="Arial Narrow"/>
                <w:sz w:val="20"/>
              </w:rPr>
            </w:pPr>
            <w:r w:rsidRPr="006F2DBA">
              <w:rPr>
                <w:rFonts w:ascii="Arial Narrow" w:hAnsi="Arial Narrow"/>
                <w:sz w:val="20"/>
              </w:rPr>
              <w:t>97</w:t>
            </w:r>
            <w:r w:rsidRPr="006F2DBA">
              <w:rPr>
                <w:rFonts w:ascii="Arial Narrow" w:hAnsi="Arial Narrow" w:cs="Calibri"/>
                <w:color w:val="000000"/>
                <w:sz w:val="20"/>
              </w:rPr>
              <w:t>/193</w:t>
            </w:r>
            <w:r w:rsidRPr="006F2DBA">
              <w:rPr>
                <w:rFonts w:ascii="Arial Narrow" w:hAnsi="Arial Narrow"/>
                <w:sz w:val="20"/>
              </w:rPr>
              <w:t xml:space="preserve"> (50%)</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E6A8B" w14:textId="77777777" w:rsidR="003F78B9" w:rsidRPr="006F2DBA" w:rsidRDefault="003F78B9">
            <w:pPr>
              <w:pStyle w:val="TableText0"/>
              <w:keepLines/>
              <w:jc w:val="center"/>
              <w:rPr>
                <w:rFonts w:cs="Calibri"/>
                <w:b/>
                <w:color w:val="000000"/>
                <w:szCs w:val="20"/>
              </w:rPr>
            </w:pPr>
            <w:r w:rsidRPr="006F2DBA">
              <w:rPr>
                <w:rFonts w:cs="Calibri"/>
                <w:b/>
                <w:color w:val="000000"/>
                <w:szCs w:val="20"/>
              </w:rPr>
              <w:t>3.74 (2.39, 5.86)</w:t>
            </w:r>
          </w:p>
        </w:tc>
      </w:tr>
      <w:tr w:rsidR="003F78B9" w:rsidRPr="006F2DBA" w14:paraId="46E292E2"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982C57" w14:textId="77777777" w:rsidR="003F78B9" w:rsidRPr="006F2DBA" w:rsidRDefault="003F78B9">
            <w:pPr>
              <w:pStyle w:val="TableText0"/>
              <w:keepLines/>
              <w:rPr>
                <w:szCs w:val="20"/>
              </w:rPr>
            </w:pPr>
            <w:r w:rsidRPr="006F2DBA">
              <w:rPr>
                <w:szCs w:val="20"/>
              </w:rPr>
              <w:t>Overall response (CR+VGPR+PR)</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EA0A62" w14:textId="77777777" w:rsidR="003F78B9" w:rsidRPr="006F2DBA" w:rsidRDefault="003F78B9">
            <w:pPr>
              <w:pStyle w:val="TableText0"/>
              <w:keepLines/>
              <w:jc w:val="center"/>
              <w:rPr>
                <w:szCs w:val="20"/>
              </w:rPr>
            </w:pPr>
            <w:r w:rsidRPr="006F2DBA">
              <w:rPr>
                <w:rFonts w:cs="Calibri"/>
                <w:color w:val="000000"/>
                <w:szCs w:val="20"/>
              </w:rPr>
              <w:t>179/195 (92%)</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9CFFFC" w14:textId="77777777" w:rsidR="003F78B9" w:rsidRPr="006F2DBA" w:rsidRDefault="003F78B9">
            <w:pPr>
              <w:pStyle w:val="TableText0"/>
              <w:keepLines/>
              <w:jc w:val="center"/>
              <w:rPr>
                <w:szCs w:val="20"/>
              </w:rPr>
            </w:pPr>
            <w:r w:rsidRPr="006F2DBA">
              <w:rPr>
                <w:rFonts w:cs="Calibri"/>
                <w:color w:val="000000"/>
                <w:szCs w:val="20"/>
              </w:rPr>
              <w:t>148/193 (77%)</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152ABC" w14:textId="77777777" w:rsidR="003F78B9" w:rsidRPr="006F2DBA" w:rsidRDefault="003F78B9">
            <w:pPr>
              <w:pStyle w:val="TableText0"/>
              <w:keepLines/>
              <w:jc w:val="center"/>
              <w:rPr>
                <w:b/>
                <w:szCs w:val="20"/>
              </w:rPr>
            </w:pPr>
            <w:r w:rsidRPr="006F2DBA">
              <w:rPr>
                <w:b/>
                <w:szCs w:val="20"/>
              </w:rPr>
              <w:t>3.40 (1.85, 6.26)</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152D03" w14:textId="77777777" w:rsidR="003F78B9" w:rsidRPr="006F2DBA" w:rsidRDefault="003F78B9">
            <w:pPr>
              <w:jc w:val="center"/>
              <w:rPr>
                <w:rFonts w:ascii="Arial Narrow" w:hAnsi="Arial Narrow"/>
                <w:sz w:val="20"/>
              </w:rPr>
            </w:pPr>
            <w:r w:rsidRPr="006F2DBA">
              <w:rPr>
                <w:rFonts w:ascii="Arial Narrow" w:hAnsi="Arial Narrow"/>
                <w:sz w:val="20"/>
              </w:rPr>
              <w:t>179</w:t>
            </w:r>
            <w:r w:rsidRPr="006F2DBA">
              <w:rPr>
                <w:rFonts w:ascii="Arial Narrow" w:hAnsi="Arial Narrow" w:cs="Calibri"/>
                <w:color w:val="000000"/>
                <w:sz w:val="20"/>
              </w:rPr>
              <w:t>/195</w:t>
            </w:r>
            <w:r w:rsidRPr="006F2DBA">
              <w:rPr>
                <w:rFonts w:ascii="Arial Narrow" w:hAnsi="Arial Narrow"/>
                <w:sz w:val="20"/>
              </w:rPr>
              <w:t xml:space="preserve"> (92%)</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6CA734" w14:textId="77777777" w:rsidR="003F78B9" w:rsidRPr="006F2DBA" w:rsidRDefault="003F78B9">
            <w:pPr>
              <w:jc w:val="center"/>
              <w:rPr>
                <w:rFonts w:ascii="Arial Narrow" w:hAnsi="Arial Narrow"/>
                <w:sz w:val="20"/>
              </w:rPr>
            </w:pPr>
            <w:r w:rsidRPr="006F2DBA">
              <w:rPr>
                <w:rFonts w:ascii="Arial Narrow" w:hAnsi="Arial Narrow"/>
                <w:sz w:val="20"/>
              </w:rPr>
              <w:t>149</w:t>
            </w:r>
            <w:r w:rsidRPr="006F2DBA">
              <w:rPr>
                <w:rFonts w:ascii="Arial Narrow" w:hAnsi="Arial Narrow" w:cs="Calibri"/>
                <w:color w:val="000000"/>
                <w:sz w:val="20"/>
              </w:rPr>
              <w:t>/193</w:t>
            </w:r>
            <w:r w:rsidRPr="006F2DBA">
              <w:rPr>
                <w:rFonts w:ascii="Arial Narrow" w:hAnsi="Arial Narrow"/>
                <w:sz w:val="20"/>
              </w:rPr>
              <w:t xml:space="preserve"> (77%)</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74AF0" w14:textId="77777777" w:rsidR="003F78B9" w:rsidRPr="006F2DBA" w:rsidRDefault="003F78B9">
            <w:pPr>
              <w:pStyle w:val="TableText0"/>
              <w:keepLines/>
              <w:jc w:val="center"/>
              <w:rPr>
                <w:b/>
                <w:szCs w:val="20"/>
              </w:rPr>
            </w:pPr>
            <w:r w:rsidRPr="006F2DBA">
              <w:rPr>
                <w:b/>
                <w:szCs w:val="20"/>
              </w:rPr>
              <w:t>3.40 (1.85, 6.26)</w:t>
            </w:r>
          </w:p>
        </w:tc>
      </w:tr>
      <w:tr w:rsidR="004B1914" w:rsidRPr="006F2DBA" w14:paraId="0C6D2C90"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29BCB1" w14:textId="77777777" w:rsidR="004B1914" w:rsidRPr="006F2DBA" w:rsidRDefault="004B1914" w:rsidP="004B1914">
            <w:pPr>
              <w:pStyle w:val="TableText0"/>
              <w:keepLines/>
              <w:rPr>
                <w:szCs w:val="20"/>
              </w:rPr>
            </w:pPr>
            <w:r w:rsidRPr="006F2DBA">
              <w:rPr>
                <w:bCs w:val="0"/>
              </w:rPr>
              <w:t>% patients in CR at 6 months</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38D547"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97/195 (50%)</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5ACBC0"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27/193 (14%)</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75F1E" w14:textId="77777777" w:rsidR="004B1914" w:rsidRPr="006F2DBA" w:rsidRDefault="004B1914" w:rsidP="004B1914">
            <w:pPr>
              <w:pStyle w:val="TableText0"/>
              <w:keepLines/>
              <w:jc w:val="center"/>
              <w:rPr>
                <w:b/>
                <w:szCs w:val="20"/>
              </w:rPr>
            </w:pPr>
            <w:r w:rsidRPr="006F2DBA">
              <w:rPr>
                <w:rFonts w:cs="Calibri"/>
                <w:b/>
                <w:bCs w:val="0"/>
                <w:color w:val="000000"/>
                <w:szCs w:val="20"/>
              </w:rPr>
              <w:t>6.09 (3.70, 10.03)</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18B7A0"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4931AB"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033DF7" w14:textId="77777777" w:rsidR="004B1914" w:rsidRPr="006F2DBA" w:rsidRDefault="004B1914" w:rsidP="004B1914">
            <w:pPr>
              <w:pStyle w:val="TableText0"/>
              <w:keepLines/>
              <w:jc w:val="center"/>
              <w:rPr>
                <w:b/>
                <w:szCs w:val="20"/>
              </w:rPr>
            </w:pPr>
            <w:r w:rsidRPr="006F2DBA">
              <w:rPr>
                <w:b/>
                <w:szCs w:val="20"/>
              </w:rPr>
              <w:t>-</w:t>
            </w:r>
          </w:p>
        </w:tc>
      </w:tr>
      <w:tr w:rsidR="004B1914" w:rsidRPr="006F2DBA" w14:paraId="09038B98" w14:textId="77777777" w:rsidTr="003F78B9">
        <w:trPr>
          <w:trHeight w:val="20"/>
        </w:trPr>
        <w:tc>
          <w:tcPr>
            <w:tcW w:w="8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533F4B" w14:textId="77777777" w:rsidR="004B1914" w:rsidRPr="006F2DBA" w:rsidRDefault="004B1914" w:rsidP="004B1914">
            <w:pPr>
              <w:pStyle w:val="TableText0"/>
              <w:keepLines/>
              <w:rPr>
                <w:szCs w:val="20"/>
              </w:rPr>
            </w:pPr>
            <w:r w:rsidRPr="006F2DBA">
              <w:rPr>
                <w:bCs w:val="0"/>
              </w:rPr>
              <w:t>% patients in CR at 12 months</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AFF5D1"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55/195 (28%)</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761709" w14:textId="77777777" w:rsidR="004B1914" w:rsidRPr="006F2DBA" w:rsidRDefault="004B1914" w:rsidP="004B1914">
            <w:pPr>
              <w:pStyle w:val="TableText0"/>
              <w:keepLines/>
              <w:jc w:val="center"/>
              <w:rPr>
                <w:rFonts w:cs="Calibri"/>
                <w:color w:val="000000"/>
                <w:szCs w:val="20"/>
              </w:rPr>
            </w:pPr>
            <w:r w:rsidRPr="006F2DBA">
              <w:rPr>
                <w:rFonts w:cs="Calibri"/>
                <w:bCs w:val="0"/>
                <w:color w:val="000000"/>
                <w:szCs w:val="20"/>
              </w:rPr>
              <w:t>14/193 (7%)</w:t>
            </w:r>
          </w:p>
        </w:tc>
        <w:tc>
          <w:tcPr>
            <w:tcW w:w="7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5E9262" w14:textId="77777777" w:rsidR="004B1914" w:rsidRPr="006F2DBA" w:rsidRDefault="004B1914" w:rsidP="004B1914">
            <w:pPr>
              <w:pStyle w:val="TableText0"/>
              <w:keepLines/>
              <w:jc w:val="center"/>
              <w:rPr>
                <w:b/>
                <w:szCs w:val="20"/>
              </w:rPr>
            </w:pPr>
            <w:r w:rsidRPr="006F2DBA">
              <w:rPr>
                <w:rFonts w:cs="Calibri"/>
                <w:b/>
                <w:bCs w:val="0"/>
                <w:color w:val="000000"/>
                <w:szCs w:val="20"/>
              </w:rPr>
              <w:t>5.24 (2.77, 9.90)</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227278"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6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8E60A1" w14:textId="77777777" w:rsidR="004B1914" w:rsidRPr="006F2DBA" w:rsidRDefault="004B1914" w:rsidP="004B1914">
            <w:pPr>
              <w:jc w:val="center"/>
              <w:rPr>
                <w:rFonts w:ascii="Arial Narrow" w:hAnsi="Arial Narrow"/>
                <w:sz w:val="20"/>
              </w:rPr>
            </w:pPr>
            <w:r w:rsidRPr="006F2DBA">
              <w:rPr>
                <w:rFonts w:ascii="Arial Narrow" w:hAnsi="Arial Narrow"/>
                <w:sz w:val="20"/>
              </w:rPr>
              <w:t>-</w:t>
            </w:r>
          </w:p>
        </w:tc>
        <w:tc>
          <w:tcPr>
            <w:tcW w:w="7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1DBDB4" w14:textId="77777777" w:rsidR="004B1914" w:rsidRPr="006F2DBA" w:rsidRDefault="004B1914" w:rsidP="004B1914">
            <w:pPr>
              <w:pStyle w:val="TableText0"/>
              <w:keepLines/>
              <w:jc w:val="center"/>
              <w:rPr>
                <w:b/>
                <w:szCs w:val="20"/>
              </w:rPr>
            </w:pPr>
            <w:r w:rsidRPr="006F2DBA">
              <w:rPr>
                <w:b/>
                <w:szCs w:val="20"/>
              </w:rPr>
              <w:t>-</w:t>
            </w:r>
          </w:p>
        </w:tc>
      </w:tr>
    </w:tbl>
    <w:p w14:paraId="680EFA97" w14:textId="77777777" w:rsidR="001F275B" w:rsidRPr="001F275B" w:rsidRDefault="001F275B" w:rsidP="001F275B">
      <w:pPr>
        <w:spacing w:after="120"/>
        <w:contextualSpacing/>
        <w:rPr>
          <w:rFonts w:ascii="Arial Narrow" w:hAnsi="Arial Narrow"/>
          <w:snapToGrid w:val="0"/>
          <w:sz w:val="20"/>
          <w:szCs w:val="22"/>
        </w:rPr>
      </w:pPr>
      <w:r w:rsidRPr="001F275B">
        <w:rPr>
          <w:rFonts w:ascii="Arial Narrow" w:hAnsi="Arial Narrow"/>
          <w:snapToGrid w:val="0"/>
          <w:sz w:val="18"/>
          <w:szCs w:val="22"/>
        </w:rPr>
        <w:t>Source: Table 2-28 and Table 2-32, p131-136 of the submission</w:t>
      </w:r>
      <w:r w:rsidR="003F78B9">
        <w:rPr>
          <w:rFonts w:ascii="Arial Narrow" w:hAnsi="Arial Narrow"/>
          <w:snapToGrid w:val="0"/>
          <w:sz w:val="18"/>
          <w:szCs w:val="22"/>
        </w:rPr>
        <w:t xml:space="preserve"> and Table 1 of the PSCR</w:t>
      </w:r>
    </w:p>
    <w:p w14:paraId="21B071C9" w14:textId="77777777" w:rsidR="003F78B9"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CI = confidence interval; </w:t>
      </w:r>
      <w:r w:rsidR="00DB2FCF">
        <w:rPr>
          <w:rFonts w:ascii="Arial Narrow" w:eastAsia="Calibri" w:hAnsi="Arial Narrow"/>
          <w:snapToGrid w:val="0"/>
          <w:sz w:val="18"/>
          <w:szCs w:val="22"/>
        </w:rPr>
        <w:t>CR = complete</w:t>
      </w:r>
      <w:r w:rsidRPr="001F275B">
        <w:rPr>
          <w:rFonts w:ascii="Arial Narrow" w:eastAsia="Calibri" w:hAnsi="Arial Narrow"/>
          <w:snapToGrid w:val="0"/>
          <w:sz w:val="18"/>
          <w:szCs w:val="22"/>
        </w:rPr>
        <w:t xml:space="preserve"> response; </w:t>
      </w:r>
      <w:r w:rsidR="009F38C1">
        <w:rPr>
          <w:rFonts w:ascii="Arial Narrow" w:eastAsia="Calibri" w:hAnsi="Arial Narrow"/>
          <w:snapToGrid w:val="0"/>
          <w:sz w:val="18"/>
          <w:szCs w:val="22"/>
        </w:rPr>
        <w:t>CyBorD = cy</w:t>
      </w:r>
      <w:r w:rsidRPr="001F275B">
        <w:rPr>
          <w:rFonts w:ascii="Arial Narrow" w:eastAsia="Calibri" w:hAnsi="Arial Narrow"/>
          <w:snapToGrid w:val="0"/>
          <w:sz w:val="18"/>
          <w:szCs w:val="22"/>
        </w:rPr>
        <w:t xml:space="preserve">clophosphamide, bortezomib and dexamethasone; </w:t>
      </w:r>
      <w:r w:rsidR="005E4175">
        <w:rPr>
          <w:rFonts w:ascii="Arial Narrow" w:eastAsia="Calibri" w:hAnsi="Arial Narrow"/>
          <w:snapToGrid w:val="0"/>
          <w:sz w:val="18"/>
          <w:szCs w:val="22"/>
        </w:rPr>
        <w:t xml:space="preserve">Dara </w:t>
      </w:r>
      <w:r w:rsidR="00825D95">
        <w:rPr>
          <w:rFonts w:ascii="Arial Narrow" w:eastAsia="Calibri" w:hAnsi="Arial Narrow"/>
          <w:snapToGrid w:val="0"/>
          <w:sz w:val="18"/>
          <w:szCs w:val="22"/>
        </w:rPr>
        <w:t>=</w:t>
      </w:r>
      <w:r w:rsidR="009F38C1">
        <w:rPr>
          <w:rFonts w:ascii="Arial Narrow" w:eastAsia="Calibri" w:hAnsi="Arial Narrow"/>
          <w:snapToGrid w:val="0"/>
          <w:sz w:val="18"/>
          <w:szCs w:val="22"/>
        </w:rPr>
        <w:t xml:space="preserve"> d</w:t>
      </w:r>
      <w:r w:rsidRPr="001F275B">
        <w:rPr>
          <w:rFonts w:ascii="Arial Narrow" w:eastAsia="Calibri" w:hAnsi="Arial Narrow"/>
          <w:snapToGrid w:val="0"/>
          <w:sz w:val="18"/>
          <w:szCs w:val="22"/>
        </w:rPr>
        <w:t>aratumumab subcutaneous; NE</w:t>
      </w:r>
      <w:r w:rsidR="003F78B9">
        <w:rPr>
          <w:rFonts w:ascii="Arial Narrow" w:eastAsia="Calibri" w:hAnsi="Arial Narrow"/>
          <w:snapToGrid w:val="0"/>
          <w:sz w:val="18"/>
          <w:szCs w:val="22"/>
        </w:rPr>
        <w:t xml:space="preserve"> </w:t>
      </w:r>
      <w:r w:rsidRPr="001F275B">
        <w:rPr>
          <w:rFonts w:ascii="Arial Narrow" w:eastAsia="Calibri" w:hAnsi="Arial Narrow"/>
          <w:snapToGrid w:val="0"/>
          <w:sz w:val="18"/>
          <w:szCs w:val="22"/>
        </w:rPr>
        <w:t>=</w:t>
      </w:r>
      <w:r w:rsidR="003F78B9">
        <w:rPr>
          <w:rFonts w:ascii="Arial Narrow" w:eastAsia="Calibri" w:hAnsi="Arial Narrow"/>
          <w:snapToGrid w:val="0"/>
          <w:sz w:val="18"/>
          <w:szCs w:val="22"/>
        </w:rPr>
        <w:t xml:space="preserve"> </w:t>
      </w:r>
      <w:r w:rsidRPr="001F275B">
        <w:rPr>
          <w:rFonts w:ascii="Arial Narrow" w:eastAsia="Calibri" w:hAnsi="Arial Narrow"/>
          <w:snapToGrid w:val="0"/>
          <w:sz w:val="18"/>
          <w:szCs w:val="22"/>
        </w:rPr>
        <w:t xml:space="preserve">not estimable; </w:t>
      </w:r>
      <w:r w:rsidR="003F78B9">
        <w:rPr>
          <w:rFonts w:ascii="Arial Narrow" w:eastAsia="Calibri" w:hAnsi="Arial Narrow"/>
          <w:snapToGrid w:val="0"/>
          <w:sz w:val="18"/>
          <w:szCs w:val="22"/>
        </w:rPr>
        <w:t xml:space="preserve">PR = partial response; </w:t>
      </w:r>
      <w:r w:rsidR="00DB2FCF">
        <w:rPr>
          <w:rFonts w:ascii="Arial Narrow" w:eastAsia="Calibri" w:hAnsi="Arial Narrow"/>
          <w:snapToGrid w:val="0"/>
          <w:sz w:val="18"/>
          <w:szCs w:val="22"/>
        </w:rPr>
        <w:t>VGPR =</w:t>
      </w:r>
      <w:r w:rsidRPr="001F275B">
        <w:rPr>
          <w:rFonts w:ascii="Arial Narrow" w:eastAsia="Calibri" w:hAnsi="Arial Narrow"/>
          <w:snapToGrid w:val="0"/>
          <w:sz w:val="18"/>
          <w:szCs w:val="22"/>
        </w:rPr>
        <w:t xml:space="preserve"> very good partial response</w:t>
      </w:r>
      <w:r w:rsidR="00CF7351" w:rsidRPr="00CF7351">
        <w:rPr>
          <w:rFonts w:ascii="Arial Narrow" w:eastAsia="Calibri" w:hAnsi="Arial Narrow"/>
          <w:b/>
          <w:snapToGrid w:val="0"/>
          <w:sz w:val="18"/>
          <w:szCs w:val="22"/>
        </w:rPr>
        <w:t>; bold</w:t>
      </w:r>
      <w:r w:rsidRPr="001F275B">
        <w:rPr>
          <w:rFonts w:ascii="Arial Narrow" w:eastAsia="Calibri" w:hAnsi="Arial Narrow"/>
          <w:snapToGrid w:val="0"/>
          <w:sz w:val="18"/>
          <w:szCs w:val="22"/>
        </w:rPr>
        <w:t xml:space="preserve"> = statistically significant at p-vale &lt;0.05</w:t>
      </w:r>
    </w:p>
    <w:p w14:paraId="0909FA53" w14:textId="77777777" w:rsidR="00C23B0E" w:rsidRPr="001F275B" w:rsidRDefault="00C23B0E" w:rsidP="00C23B0E">
      <w:pPr>
        <w:rPr>
          <w:rFonts w:eastAsia="Calibri"/>
          <w:snapToGrid w:val="0"/>
        </w:rPr>
      </w:pPr>
    </w:p>
    <w:p w14:paraId="5ED4EE82" w14:textId="77777777" w:rsidR="0070293F" w:rsidRPr="006F2DBA" w:rsidRDefault="0070293F" w:rsidP="0070293F">
      <w:pPr>
        <w:pStyle w:val="3-BodyText"/>
      </w:pPr>
      <w:r w:rsidRPr="006F2DBA">
        <w:t xml:space="preserve">The </w:t>
      </w:r>
      <w:r w:rsidR="002B7397">
        <w:t xml:space="preserve">proportion of patients with a response </w:t>
      </w:r>
      <w:r w:rsidRPr="006F2DBA">
        <w:t xml:space="preserve">was significantly higher with daratumumab SC + CyBorD than CyBorD </w:t>
      </w:r>
      <w:r w:rsidR="002B7397">
        <w:t xml:space="preserve">at 6 months </w:t>
      </w:r>
      <w:r w:rsidRPr="006F2DBA">
        <w:t xml:space="preserve">(OR = 6.09; 95 CI: 3.70, 10.03) and </w:t>
      </w:r>
      <w:r w:rsidR="002B7397">
        <w:t xml:space="preserve">at </w:t>
      </w:r>
      <w:r w:rsidRPr="006F2DBA">
        <w:t>12 months follow-up (OR = 5.24</w:t>
      </w:r>
      <w:r w:rsidR="00251104" w:rsidRPr="006F2DBA">
        <w:t>;</w:t>
      </w:r>
      <w:r w:rsidRPr="006F2DBA">
        <w:t xml:space="preserve"> 95% CI: 2.77, 9.90). </w:t>
      </w:r>
      <w:r w:rsidR="003C05EF">
        <w:t>T</w:t>
      </w:r>
      <w:r w:rsidRPr="006F2DBA">
        <w:t xml:space="preserve">he </w:t>
      </w:r>
      <w:r w:rsidR="00856FC8" w:rsidRPr="006F2DBA">
        <w:t>percent of patients in CR was lower at 12 months compared with 6 months</w:t>
      </w:r>
      <w:r w:rsidRPr="006F2DBA">
        <w:t xml:space="preserve">. </w:t>
      </w:r>
      <w:r w:rsidR="004B1914" w:rsidRPr="006F2DBA">
        <w:rPr>
          <w:rFonts w:cstheme="minorHAnsi"/>
        </w:rPr>
        <w:t xml:space="preserve">The ESC noted that haematologic responses remained superior </w:t>
      </w:r>
      <w:r w:rsidR="004B1914" w:rsidRPr="006F2DBA">
        <w:t xml:space="preserve">for daratumumab SC + CyBorD compared with CyBorD alone in the updated analysis </w:t>
      </w:r>
      <w:r w:rsidR="003C05EF">
        <w:t>with</w:t>
      </w:r>
      <w:r w:rsidR="003C05EF" w:rsidRPr="006F2DBA">
        <w:t xml:space="preserve"> </w:t>
      </w:r>
      <w:r w:rsidR="004B1914" w:rsidRPr="006F2DBA">
        <w:t>25.8 months median follow-up.</w:t>
      </w:r>
    </w:p>
    <w:p w14:paraId="29CEDF73" w14:textId="77777777" w:rsidR="001F275B" w:rsidRPr="002A770B" w:rsidRDefault="008A0743" w:rsidP="001F275B">
      <w:pPr>
        <w:numPr>
          <w:ilvl w:val="1"/>
          <w:numId w:val="1"/>
        </w:numPr>
        <w:spacing w:after="120"/>
        <w:rPr>
          <w:rFonts w:asciiTheme="minorHAnsi" w:hAnsiTheme="minorHAnsi"/>
        </w:rPr>
      </w:pPr>
      <w:r w:rsidRPr="008A0743">
        <w:rPr>
          <w:rFonts w:asciiTheme="minorHAnsi" w:hAnsiTheme="minorHAnsi" w:cstheme="minorHAnsi"/>
          <w:bCs/>
        </w:rPr>
        <w:t xml:space="preserve">Table </w:t>
      </w:r>
      <w:r w:rsidRPr="008A0743">
        <w:rPr>
          <w:rFonts w:asciiTheme="minorHAnsi" w:hAnsiTheme="minorHAnsi" w:cstheme="minorHAnsi"/>
          <w:bCs/>
          <w:noProof/>
        </w:rPr>
        <w:t>5</w:t>
      </w:r>
      <w:r w:rsidR="00D62B28" w:rsidRPr="002A770B">
        <w:rPr>
          <w:rFonts w:asciiTheme="minorHAnsi" w:eastAsia="Calibri" w:hAnsiTheme="minorHAnsi" w:cstheme="minorHAnsi"/>
          <w:snapToGrid w:val="0"/>
        </w:rPr>
        <w:t xml:space="preserve"> </w:t>
      </w:r>
      <w:r w:rsidR="001F275B" w:rsidRPr="002A770B">
        <w:rPr>
          <w:rFonts w:asciiTheme="minorHAnsi" w:eastAsia="Calibri" w:hAnsiTheme="minorHAnsi" w:cstheme="minorHAnsi"/>
          <w:snapToGrid w:val="0"/>
        </w:rPr>
        <w:t>presents</w:t>
      </w:r>
      <w:r w:rsidR="001F275B" w:rsidRPr="002A770B">
        <w:rPr>
          <w:rFonts w:asciiTheme="minorHAnsi" w:eastAsia="Calibri" w:hAnsiTheme="minorHAnsi"/>
          <w:snapToGrid w:val="0"/>
        </w:rPr>
        <w:t xml:space="preserve"> the rates of cardiac</w:t>
      </w:r>
      <w:r w:rsidR="003043F7" w:rsidRPr="002A770B">
        <w:rPr>
          <w:rFonts w:asciiTheme="minorHAnsi" w:eastAsia="Calibri" w:hAnsiTheme="minorHAnsi"/>
          <w:snapToGrid w:val="0"/>
        </w:rPr>
        <w:t xml:space="preserve"> and </w:t>
      </w:r>
      <w:r w:rsidR="001F275B" w:rsidRPr="002A770B">
        <w:rPr>
          <w:rFonts w:asciiTheme="minorHAnsi" w:eastAsia="Calibri" w:hAnsiTheme="minorHAnsi"/>
          <w:snapToGrid w:val="0"/>
        </w:rPr>
        <w:t>renal responses in the ANDROMEDA trial at 6, 12- and 18-months follow-up.</w:t>
      </w:r>
    </w:p>
    <w:p w14:paraId="005EF9AD" w14:textId="77777777" w:rsidR="001F275B" w:rsidRPr="001F275B" w:rsidRDefault="001F275B" w:rsidP="001F275B">
      <w:pPr>
        <w:keepNext/>
        <w:rPr>
          <w:rFonts w:ascii="Arial Narrow" w:hAnsi="Arial Narrow"/>
          <w:b/>
          <w:bCs/>
          <w:sz w:val="20"/>
          <w:szCs w:val="18"/>
        </w:rPr>
      </w:pPr>
      <w:bookmarkStart w:id="32" w:name="_Ref79673586"/>
      <w:r w:rsidRPr="001F275B">
        <w:rPr>
          <w:rFonts w:ascii="Arial Narrow" w:hAnsi="Arial Narrow"/>
          <w:b/>
          <w:bCs/>
          <w:sz w:val="20"/>
          <w:szCs w:val="18"/>
        </w:rPr>
        <w:lastRenderedPageBreak/>
        <w:t xml:space="preserve">Table </w:t>
      </w:r>
      <w:r w:rsidR="008A0743">
        <w:rPr>
          <w:rFonts w:ascii="Arial Narrow" w:hAnsi="Arial Narrow"/>
          <w:b/>
          <w:bCs/>
          <w:noProof/>
          <w:sz w:val="20"/>
          <w:szCs w:val="18"/>
        </w:rPr>
        <w:t>5</w:t>
      </w:r>
      <w:bookmarkEnd w:id="32"/>
      <w:r w:rsidRPr="001F275B">
        <w:rPr>
          <w:rFonts w:ascii="Arial Narrow" w:hAnsi="Arial Narrow"/>
          <w:b/>
          <w:bCs/>
          <w:sz w:val="20"/>
          <w:szCs w:val="18"/>
        </w:rPr>
        <w:t xml:space="preserve">: Organ response in ANDROMEDA, without censoring for subsequent therapies </w:t>
      </w:r>
      <w:r w:rsidR="00DE733E">
        <w:rPr>
          <w:rFonts w:ascii="Arial Narrow" w:hAnsi="Arial Narrow"/>
          <w:b/>
          <w:bCs/>
          <w:sz w:val="20"/>
        </w:rPr>
        <w:t>(median follow-up = 11.4 months</w:t>
      </w:r>
      <w:r w:rsidR="004B1914">
        <w:rPr>
          <w:rFonts w:ascii="Arial Narrow" w:hAnsi="Arial Narrow"/>
          <w:b/>
          <w:bCs/>
          <w:sz w:val="20"/>
        </w:rPr>
        <w:t xml:space="preserve"> and 25.8 months</w:t>
      </w:r>
      <w:r w:rsidR="00DE733E">
        <w:rPr>
          <w:rFonts w:ascii="Arial Narrow" w:hAnsi="Arial Narrow"/>
          <w:b/>
          <w:bCs/>
          <w:sz w:val="20"/>
        </w:rPr>
        <w:t xml:space="preserve">) – </w:t>
      </w:r>
      <w:r w:rsidR="00B33943">
        <w:rPr>
          <w:rFonts w:ascii="Arial Narrow" w:hAnsi="Arial Narrow"/>
          <w:b/>
          <w:bCs/>
          <w:sz w:val="20"/>
        </w:rPr>
        <w:t>i</w:t>
      </w:r>
      <w:r w:rsidR="00DE733E">
        <w:rPr>
          <w:rFonts w:ascii="Arial Narrow" w:hAnsi="Arial Narrow"/>
          <w:b/>
          <w:bCs/>
          <w:sz w:val="20"/>
        </w:rPr>
        <w:t>ntention-to-treat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le 5: Organ response in ANDROMEDA, without censoring for subsequent therapies (median follow-up = 11.4 months and 25.8 months) – intention-to-treat population"/>
      </w:tblPr>
      <w:tblGrid>
        <w:gridCol w:w="1556"/>
        <w:gridCol w:w="1416"/>
        <w:gridCol w:w="1279"/>
        <w:gridCol w:w="1134"/>
        <w:gridCol w:w="1558"/>
        <w:gridCol w:w="1134"/>
        <w:gridCol w:w="940"/>
      </w:tblGrid>
      <w:tr w:rsidR="004B1914" w:rsidRPr="006F2DBA" w14:paraId="16600354"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D0C7B" w14:textId="77777777" w:rsidR="004B1914" w:rsidRPr="006F2DBA" w:rsidRDefault="004B1914" w:rsidP="001F275B">
            <w:pPr>
              <w:keepNext/>
              <w:jc w:val="left"/>
              <w:rPr>
                <w:rFonts w:ascii="Arial Narrow" w:eastAsiaTheme="majorEastAsia" w:hAnsi="Arial Narrow" w:cstheme="majorBidi"/>
                <w:b/>
                <w:bCs/>
                <w:sz w:val="20"/>
              </w:rPr>
            </w:pPr>
            <w:r w:rsidRPr="006F2DBA">
              <w:rPr>
                <w:rFonts w:ascii="Arial Narrow" w:eastAsiaTheme="majorEastAsia" w:hAnsi="Arial Narrow" w:cstheme="majorBidi"/>
                <w:b/>
                <w:bCs/>
                <w:sz w:val="20"/>
              </w:rPr>
              <w:t>Event</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4B216"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 xml:space="preserve">Dara + </w:t>
            </w:r>
            <w:r w:rsidRPr="006F2DBA">
              <w:rPr>
                <w:rFonts w:ascii="Arial Narrow" w:eastAsiaTheme="majorEastAsia" w:hAnsi="Arial Narrow" w:cstheme="majorBidi"/>
                <w:b/>
                <w:bCs/>
                <w:sz w:val="20"/>
              </w:rPr>
              <w:br/>
              <w:t>CyBorD</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0D155"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CyBorD</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344B6D77"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Absolute difference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41ED"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Hazard ratio (95% CI)</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4F6D2"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Dara + CyBorD</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D81F9"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CyBorD</w:t>
            </w:r>
          </w:p>
        </w:tc>
      </w:tr>
      <w:tr w:rsidR="004B1914" w:rsidRPr="006F2DBA" w14:paraId="57DD4130"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6722" w14:textId="77777777" w:rsidR="004B1914" w:rsidRPr="006F2DBA" w:rsidRDefault="004B1914" w:rsidP="001F275B">
            <w:pPr>
              <w:keepNext/>
              <w:jc w:val="left"/>
              <w:rPr>
                <w:rFonts w:ascii="Arial Narrow" w:eastAsiaTheme="majorEastAsia" w:hAnsi="Arial Narrow" w:cstheme="majorBidi"/>
                <w:b/>
                <w:bCs/>
                <w:sz w:val="20"/>
              </w:rPr>
            </w:pPr>
            <w:r w:rsidRPr="006F2DBA">
              <w:rPr>
                <w:rFonts w:ascii="Arial Narrow" w:eastAsiaTheme="majorEastAsia" w:hAnsi="Arial Narrow" w:cstheme="majorBidi"/>
                <w:b/>
                <w:bCs/>
                <w:sz w:val="20"/>
              </w:rPr>
              <w:t>Median follow up</w:t>
            </w:r>
          </w:p>
        </w:tc>
        <w:tc>
          <w:tcPr>
            <w:tcW w:w="298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7757"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11.4 months</w:t>
            </w:r>
          </w:p>
        </w:tc>
        <w:tc>
          <w:tcPr>
            <w:tcW w:w="11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82557"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25.8 months</w:t>
            </w:r>
          </w:p>
        </w:tc>
      </w:tr>
      <w:tr w:rsidR="004B1914" w:rsidRPr="006F2DBA" w14:paraId="4051B67B" w14:textId="77777777" w:rsidTr="004B191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1AAC52" w14:textId="77777777" w:rsidR="004B1914" w:rsidRPr="006F2DBA" w:rsidRDefault="004B1914" w:rsidP="001F275B">
            <w:pPr>
              <w:keepNext/>
              <w:rPr>
                <w:rFonts w:ascii="Arial Narrow" w:hAnsi="Arial Narrow"/>
                <w:b/>
                <w:bCs/>
                <w:sz w:val="20"/>
                <w:szCs w:val="18"/>
              </w:rPr>
            </w:pPr>
            <w:r w:rsidRPr="006F2DBA">
              <w:rPr>
                <w:rFonts w:ascii="Arial Narrow" w:hAnsi="Arial Narrow"/>
                <w:b/>
                <w:bCs/>
                <w:sz w:val="20"/>
                <w:szCs w:val="18"/>
              </w:rPr>
              <w:t>Cardiac response</w:t>
            </w:r>
          </w:p>
        </w:tc>
      </w:tr>
      <w:tr w:rsidR="004B1914" w:rsidRPr="006F2DBA" w14:paraId="44BC88C2"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26DB8" w14:textId="77777777" w:rsidR="004B1914" w:rsidRPr="006F2DBA" w:rsidRDefault="004B1914" w:rsidP="001F275B">
            <w:pPr>
              <w:keepNext/>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Overall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7E7F0"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58/118 (49%)</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AF9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39/117 (33%)</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3C71FFAF"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16%</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AAF84"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1.93 (1.14, 3.28)</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C5E14"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1FA4F"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34D5CE6F"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74F13" w14:textId="77777777" w:rsidR="004B1914" w:rsidRPr="006F2DBA" w:rsidRDefault="004B1914" w:rsidP="0070637E">
            <w:pPr>
              <w:keepNext/>
              <w:numPr>
                <w:ilvl w:val="0"/>
                <w:numId w:val="6"/>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6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1422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49/118 (42%)</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39921"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26/117 (22%)</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3263AFD"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20%</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1D800"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2.44 (1.35, 4.42)</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8348B"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42%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48958"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22%</w:t>
            </w:r>
          </w:p>
        </w:tc>
      </w:tr>
      <w:tr w:rsidR="004B1914" w:rsidRPr="006F2DBA" w14:paraId="72365338" w14:textId="77777777" w:rsidTr="004B1914">
        <w:trPr>
          <w:trHeight w:val="64"/>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D4D85" w14:textId="77777777" w:rsidR="004B1914" w:rsidRPr="006F2DBA" w:rsidRDefault="004B1914" w:rsidP="0070637E">
            <w:pPr>
              <w:keepNext/>
              <w:numPr>
                <w:ilvl w:val="0"/>
                <w:numId w:val="6"/>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12 months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3AEF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34/118 (29%)</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B6CA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15/117 (13%)</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515339D9"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16%</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F201D"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2.62 (1.32, 5.20)</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FB754"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8CD3C"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351184AE"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37A64" w14:textId="77777777" w:rsidR="004B1914" w:rsidRPr="006F2DBA" w:rsidRDefault="004B1914" w:rsidP="0070637E">
            <w:pPr>
              <w:keepNext/>
              <w:numPr>
                <w:ilvl w:val="0"/>
                <w:numId w:val="6"/>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18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B094C"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8/118 (7%)</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08094"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5/117 (4%)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6916AAE"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688E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1.56 (0.49, 4.91)</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ECAC7"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53%</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B70"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24%</w:t>
            </w:r>
          </w:p>
        </w:tc>
      </w:tr>
      <w:tr w:rsidR="004B1914" w:rsidRPr="006F2DBA" w14:paraId="53C0CAF7" w14:textId="77777777" w:rsidTr="004B191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C1BDB80" w14:textId="77777777" w:rsidR="004B1914" w:rsidRPr="006F2DBA" w:rsidRDefault="004B1914" w:rsidP="001F275B">
            <w:pPr>
              <w:keepNext/>
              <w:rPr>
                <w:rFonts w:ascii="Arial Narrow" w:hAnsi="Arial Narrow"/>
                <w:b/>
                <w:bCs/>
                <w:sz w:val="20"/>
                <w:szCs w:val="18"/>
              </w:rPr>
            </w:pPr>
            <w:r w:rsidRPr="006F2DBA">
              <w:rPr>
                <w:rFonts w:ascii="Arial Narrow" w:hAnsi="Arial Narrow"/>
                <w:b/>
                <w:bCs/>
                <w:sz w:val="20"/>
                <w:szCs w:val="18"/>
              </w:rPr>
              <w:t>Renal response</w:t>
            </w:r>
          </w:p>
        </w:tc>
      </w:tr>
      <w:tr w:rsidR="004B1914" w:rsidRPr="006F2DBA" w14:paraId="5220D4D8"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73D2C" w14:textId="77777777" w:rsidR="004B1914" w:rsidRPr="006F2DBA" w:rsidRDefault="004B1914" w:rsidP="001F275B">
            <w:pPr>
              <w:keepNext/>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Overall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299DA"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83/117 (71%)</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5040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45/113 (40%)</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2B782F7"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31%</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80716"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3.69 (2.12, 6.39)</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4AA2B"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D890"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05EE798D"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235B7" w14:textId="77777777" w:rsidR="004B1914" w:rsidRPr="006F2DBA" w:rsidRDefault="004B1914" w:rsidP="0070637E">
            <w:pPr>
              <w:keepNext/>
              <w:numPr>
                <w:ilvl w:val="0"/>
                <w:numId w:val="6"/>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6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37FC1"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63/117 (54%)</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8D386"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31/113 (27%)</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F078F4C"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27%</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14BBA"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3.34 (1.88, 5.94)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2CE74"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54%</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EE3D" w14:textId="77777777" w:rsidR="004B1914" w:rsidRPr="006F2DBA" w:rsidRDefault="004B1914" w:rsidP="004B1914">
            <w:pPr>
              <w:keepNext/>
              <w:jc w:val="center"/>
              <w:rPr>
                <w:rFonts w:ascii="Arial Narrow" w:eastAsiaTheme="majorEastAsia" w:hAnsi="Arial Narrow" w:cstheme="majorBidi"/>
                <w:sz w:val="20"/>
              </w:rPr>
            </w:pPr>
            <w:r w:rsidRPr="006F2DBA">
              <w:rPr>
                <w:rFonts w:ascii="Arial Narrow" w:eastAsiaTheme="majorEastAsia" w:hAnsi="Arial Narrow" w:cstheme="majorBidi"/>
                <w:sz w:val="20"/>
              </w:rPr>
              <w:t>27%</w:t>
            </w:r>
          </w:p>
        </w:tc>
      </w:tr>
      <w:tr w:rsidR="004B1914" w:rsidRPr="006F2DBA" w14:paraId="44295C3A" w14:textId="77777777" w:rsidTr="004B1914">
        <w:trPr>
          <w:trHeight w:val="65"/>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9C31B" w14:textId="77777777" w:rsidR="004B1914" w:rsidRPr="006F2DBA" w:rsidRDefault="004B1914" w:rsidP="0070637E">
            <w:pPr>
              <w:keepNext/>
              <w:numPr>
                <w:ilvl w:val="0"/>
                <w:numId w:val="6"/>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 xml:space="preserve">12 months </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EB514"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35/117 (30%)</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5AB0B"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18/113 (16%)</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7AF7254"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14%</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63C" w14:textId="77777777" w:rsidR="004B1914" w:rsidRPr="006F2DBA" w:rsidRDefault="004B1914" w:rsidP="001F275B">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2.43 (1.27, 4.64)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8DD9"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6D56" w14:textId="77777777" w:rsidR="004B1914" w:rsidRPr="006F2DBA" w:rsidRDefault="004B1914" w:rsidP="004B1914">
            <w:pPr>
              <w:keepNext/>
              <w:jc w:val="center"/>
              <w:rPr>
                <w:rFonts w:ascii="Arial Narrow" w:eastAsiaTheme="majorEastAsia" w:hAnsi="Arial Narrow" w:cstheme="majorBidi"/>
                <w:b/>
                <w:bCs/>
                <w:sz w:val="20"/>
              </w:rPr>
            </w:pPr>
            <w:r w:rsidRPr="006F2DBA">
              <w:rPr>
                <w:rFonts w:ascii="Arial Narrow" w:eastAsiaTheme="majorEastAsia" w:hAnsi="Arial Narrow" w:cstheme="majorBidi"/>
                <w:b/>
                <w:bCs/>
                <w:sz w:val="20"/>
              </w:rPr>
              <w:t>-</w:t>
            </w:r>
          </w:p>
        </w:tc>
      </w:tr>
      <w:tr w:rsidR="004B1914" w:rsidRPr="006F2DBA" w14:paraId="659C8155" w14:textId="77777777" w:rsidTr="004B1914">
        <w:trPr>
          <w:trHeight w:val="20"/>
        </w:trPr>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3EAB3" w14:textId="77777777" w:rsidR="004B1914" w:rsidRPr="006F2DBA" w:rsidRDefault="004B1914" w:rsidP="0070637E">
            <w:pPr>
              <w:keepNext/>
              <w:numPr>
                <w:ilvl w:val="0"/>
                <w:numId w:val="6"/>
              </w:numPr>
              <w:ind w:left="360"/>
              <w:jc w:val="left"/>
              <w:rPr>
                <w:rFonts w:ascii="Arial Narrow" w:eastAsiaTheme="majorEastAsia" w:hAnsi="Arial Narrow" w:cstheme="majorBidi"/>
                <w:bCs/>
                <w:sz w:val="20"/>
              </w:rPr>
            </w:pPr>
            <w:r w:rsidRPr="006F2DBA">
              <w:rPr>
                <w:rFonts w:ascii="Arial Narrow" w:eastAsiaTheme="majorEastAsia" w:hAnsi="Arial Narrow" w:cstheme="majorBidi"/>
                <w:bCs/>
                <w:sz w:val="20"/>
              </w:rPr>
              <w:t>18 months</w:t>
            </w:r>
          </w:p>
        </w:tc>
        <w:tc>
          <w:tcPr>
            <w:tcW w:w="7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8F65"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5/117 (4%)</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D02A3"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5/113 (4%)</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C5B1C1A"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0%</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1F912" w14:textId="77777777" w:rsidR="004B1914" w:rsidRPr="006F2DBA" w:rsidRDefault="004B1914" w:rsidP="001F275B">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1.00 (0.27, 3.68)</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D0966"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58%</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E4A13" w14:textId="77777777" w:rsidR="004B1914" w:rsidRPr="006F2DBA" w:rsidRDefault="004B1914" w:rsidP="004B1914">
            <w:pPr>
              <w:keepNext/>
              <w:jc w:val="center"/>
              <w:rPr>
                <w:rFonts w:ascii="Arial Narrow" w:eastAsiaTheme="majorEastAsia" w:hAnsi="Arial Narrow" w:cstheme="majorBidi"/>
                <w:bCs/>
                <w:sz w:val="20"/>
              </w:rPr>
            </w:pPr>
            <w:r w:rsidRPr="006F2DBA">
              <w:rPr>
                <w:rFonts w:ascii="Arial Narrow" w:eastAsiaTheme="majorEastAsia" w:hAnsi="Arial Narrow" w:cstheme="majorBidi"/>
                <w:bCs/>
                <w:sz w:val="20"/>
              </w:rPr>
              <w:t>26%</w:t>
            </w:r>
          </w:p>
        </w:tc>
      </w:tr>
    </w:tbl>
    <w:p w14:paraId="401A9031" w14:textId="77777777" w:rsidR="001F275B" w:rsidRP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Source: Table 2-37 – Table 2-39, p 146-148</w:t>
      </w:r>
      <w:r w:rsidR="004B1914">
        <w:rPr>
          <w:rFonts w:ascii="Arial Narrow" w:eastAsia="Calibri" w:hAnsi="Arial Narrow"/>
          <w:snapToGrid w:val="0"/>
          <w:sz w:val="18"/>
          <w:szCs w:val="22"/>
        </w:rPr>
        <w:t xml:space="preserve"> and Table 3 of the PSCR</w:t>
      </w:r>
    </w:p>
    <w:p w14:paraId="561A7A5F" w14:textId="77777777" w:rsidR="001F275B" w:rsidRDefault="001F275B" w:rsidP="001F275B">
      <w:pPr>
        <w:spacing w:after="120"/>
        <w:contextualSpacing/>
        <w:rPr>
          <w:rFonts w:ascii="Arial Narrow" w:hAnsi="Arial Narrow"/>
          <w:snapToGrid w:val="0"/>
          <w:sz w:val="18"/>
          <w:szCs w:val="22"/>
        </w:rPr>
      </w:pPr>
      <w:r w:rsidRPr="001F275B">
        <w:rPr>
          <w:rFonts w:ascii="Arial Narrow" w:hAnsi="Arial Narrow"/>
          <w:snapToGrid w:val="0"/>
          <w:sz w:val="18"/>
          <w:szCs w:val="22"/>
        </w:rPr>
        <w:t xml:space="preserve"> CI = confidence interval; </w:t>
      </w:r>
      <w:r w:rsidR="009F38C1">
        <w:rPr>
          <w:rFonts w:ascii="Arial Narrow" w:hAnsi="Arial Narrow"/>
          <w:snapToGrid w:val="0"/>
          <w:sz w:val="18"/>
          <w:szCs w:val="22"/>
        </w:rPr>
        <w:t>CyBorD = cy</w:t>
      </w:r>
      <w:r w:rsidRPr="001F275B">
        <w:rPr>
          <w:rFonts w:ascii="Arial Narrow" w:hAnsi="Arial Narrow"/>
          <w:snapToGrid w:val="0"/>
          <w:sz w:val="18"/>
          <w:szCs w:val="22"/>
        </w:rPr>
        <w:t>clophosphamide, bortezomib and dexamethasone</w:t>
      </w:r>
      <w:r w:rsidRPr="001F275B">
        <w:rPr>
          <w:rFonts w:ascii="Arial Narrow" w:hAnsi="Arial Narrow"/>
          <w:b/>
          <w:snapToGrid w:val="0"/>
          <w:sz w:val="18"/>
          <w:szCs w:val="22"/>
        </w:rPr>
        <w:t xml:space="preserve">; </w:t>
      </w:r>
      <w:r w:rsidR="009F38C1">
        <w:rPr>
          <w:rFonts w:ascii="Arial Narrow" w:hAnsi="Arial Narrow"/>
          <w:snapToGrid w:val="0"/>
          <w:sz w:val="18"/>
          <w:szCs w:val="22"/>
        </w:rPr>
        <w:t>Dara = d</w:t>
      </w:r>
      <w:r w:rsidRPr="001F275B">
        <w:rPr>
          <w:rFonts w:ascii="Arial Narrow" w:hAnsi="Arial Narrow"/>
          <w:snapToGrid w:val="0"/>
          <w:sz w:val="18"/>
          <w:szCs w:val="22"/>
        </w:rPr>
        <w:t>aratumumab subcutaneous</w:t>
      </w:r>
    </w:p>
    <w:p w14:paraId="50D56ECB" w14:textId="77777777" w:rsidR="005E4D45" w:rsidRPr="001F275B" w:rsidRDefault="005E4D45" w:rsidP="001F275B">
      <w:pPr>
        <w:spacing w:after="120"/>
        <w:contextualSpacing/>
        <w:rPr>
          <w:rFonts w:ascii="Arial Narrow" w:eastAsia="Calibri" w:hAnsi="Arial Narrow"/>
          <w:snapToGrid w:val="0"/>
          <w:sz w:val="18"/>
          <w:szCs w:val="22"/>
        </w:rPr>
      </w:pPr>
    </w:p>
    <w:p w14:paraId="27084B3F" w14:textId="77777777" w:rsidR="001F275B" w:rsidRPr="006F2DBA" w:rsidRDefault="00840C8C" w:rsidP="001F275B">
      <w:pPr>
        <w:numPr>
          <w:ilvl w:val="1"/>
          <w:numId w:val="1"/>
        </w:numPr>
        <w:spacing w:after="120"/>
        <w:rPr>
          <w:rFonts w:asciiTheme="minorHAnsi" w:hAnsiTheme="minorHAnsi"/>
          <w:iCs/>
        </w:rPr>
      </w:pPr>
      <w:r w:rsidRPr="006F2DBA">
        <w:rPr>
          <w:rFonts w:asciiTheme="minorHAnsi" w:eastAsia="Calibri" w:hAnsiTheme="minorHAnsi"/>
          <w:iCs/>
          <w:snapToGrid w:val="0"/>
        </w:rPr>
        <w:t>P</w:t>
      </w:r>
      <w:r w:rsidR="001F275B" w:rsidRPr="006F2DBA">
        <w:rPr>
          <w:rFonts w:asciiTheme="minorHAnsi" w:eastAsia="Calibri" w:hAnsiTheme="minorHAnsi"/>
          <w:iCs/>
          <w:snapToGrid w:val="0"/>
        </w:rPr>
        <w:t xml:space="preserve">atients treated with daratumumab + CyBorD had </w:t>
      </w:r>
      <w:r w:rsidR="00240402" w:rsidRPr="006F2DBA">
        <w:rPr>
          <w:rFonts w:asciiTheme="minorHAnsi" w:eastAsia="Calibri" w:hAnsiTheme="minorHAnsi"/>
          <w:iCs/>
          <w:snapToGrid w:val="0"/>
        </w:rPr>
        <w:t xml:space="preserve">statistically significantly </w:t>
      </w:r>
      <w:r w:rsidR="001F275B" w:rsidRPr="006F2DBA">
        <w:rPr>
          <w:rFonts w:asciiTheme="minorHAnsi" w:eastAsia="Calibri" w:hAnsiTheme="minorHAnsi"/>
          <w:iCs/>
          <w:snapToGrid w:val="0"/>
        </w:rPr>
        <w:t>superior cardiac and renal responses at 6- and 12-months follow-up</w:t>
      </w:r>
      <w:r w:rsidR="00240402" w:rsidRPr="006F2DBA">
        <w:rPr>
          <w:rFonts w:asciiTheme="minorHAnsi" w:eastAsia="Calibri" w:hAnsiTheme="minorHAnsi"/>
          <w:iCs/>
          <w:snapToGrid w:val="0"/>
        </w:rPr>
        <w:t>.</w:t>
      </w:r>
      <w:r w:rsidR="001F275B" w:rsidRPr="006F2DBA">
        <w:rPr>
          <w:rFonts w:asciiTheme="minorHAnsi" w:eastAsia="Calibri" w:hAnsiTheme="minorHAnsi"/>
          <w:iCs/>
          <w:snapToGrid w:val="0"/>
        </w:rPr>
        <w:t xml:space="preserve"> However, at 18-months follow-up daratumumab + CyBorD treatment benefit in terms of cardiac and renal response was no longer </w:t>
      </w:r>
      <w:r w:rsidR="00240402" w:rsidRPr="006F2DBA">
        <w:rPr>
          <w:rFonts w:asciiTheme="minorHAnsi" w:eastAsia="Calibri" w:hAnsiTheme="minorHAnsi"/>
          <w:iCs/>
          <w:snapToGrid w:val="0"/>
        </w:rPr>
        <w:t xml:space="preserve">statistically </w:t>
      </w:r>
      <w:r w:rsidR="001F275B" w:rsidRPr="006F2DBA">
        <w:rPr>
          <w:rFonts w:asciiTheme="minorHAnsi" w:eastAsia="Calibri" w:hAnsiTheme="minorHAnsi"/>
          <w:iCs/>
          <w:snapToGrid w:val="0"/>
        </w:rPr>
        <w:t>significant</w:t>
      </w:r>
      <w:r w:rsidRPr="006F2DBA">
        <w:rPr>
          <w:rFonts w:asciiTheme="minorHAnsi" w:eastAsia="Calibri" w:hAnsiTheme="minorHAnsi"/>
          <w:iCs/>
          <w:snapToGrid w:val="0"/>
        </w:rPr>
        <w:t xml:space="preserve">, potentially </w:t>
      </w:r>
      <w:r w:rsidR="001F275B" w:rsidRPr="006F2DBA">
        <w:rPr>
          <w:rFonts w:asciiTheme="minorHAnsi" w:eastAsia="Calibri" w:hAnsiTheme="minorHAnsi"/>
          <w:iCs/>
          <w:snapToGrid w:val="0"/>
        </w:rPr>
        <w:t>due to the small number of patients with follow-up beyond 12 months.</w:t>
      </w:r>
      <w:r w:rsidR="00DA47FE" w:rsidRPr="006F2DBA">
        <w:rPr>
          <w:rFonts w:asciiTheme="minorHAnsi" w:eastAsia="Calibri" w:hAnsiTheme="minorHAnsi"/>
          <w:iCs/>
          <w:snapToGrid w:val="0"/>
        </w:rPr>
        <w:t xml:space="preserve">  </w:t>
      </w:r>
      <w:r w:rsidR="004B1914" w:rsidRPr="006F2DBA">
        <w:rPr>
          <w:iCs/>
        </w:rPr>
        <w:t>The ESC noted that cardiac and renal responses were superior for daratumumab SC + CyBorD compared with CyBorD alone in the updated analysis provided in the PSCR.</w:t>
      </w:r>
    </w:p>
    <w:p w14:paraId="043B8024" w14:textId="77777777" w:rsidR="003A0AB1" w:rsidRPr="006F2DBA" w:rsidRDefault="00C275C9" w:rsidP="003A0AB1">
      <w:pPr>
        <w:numPr>
          <w:ilvl w:val="1"/>
          <w:numId w:val="1"/>
        </w:numPr>
        <w:spacing w:after="120"/>
        <w:rPr>
          <w:rFonts w:asciiTheme="minorHAnsi" w:hAnsiTheme="minorHAnsi" w:cstheme="minorHAnsi"/>
          <w:iCs/>
        </w:rPr>
      </w:pPr>
      <w:r w:rsidRPr="006F2DBA">
        <w:rPr>
          <w:rFonts w:asciiTheme="minorHAnsi" w:hAnsiTheme="minorHAnsi" w:cstheme="minorHAnsi"/>
          <w:iCs/>
        </w:rPr>
        <w:t>P</w:t>
      </w:r>
      <w:r w:rsidR="003A0AB1" w:rsidRPr="006F2DBA">
        <w:rPr>
          <w:rFonts w:asciiTheme="minorHAnsi" w:hAnsiTheme="minorHAnsi" w:cstheme="minorHAnsi"/>
          <w:iCs/>
        </w:rPr>
        <w:t xml:space="preserve">atients treated with daratumumab + CyBorD </w:t>
      </w:r>
      <w:r w:rsidRPr="006F2DBA">
        <w:rPr>
          <w:rFonts w:asciiTheme="minorHAnsi" w:hAnsiTheme="minorHAnsi" w:cstheme="minorHAnsi"/>
          <w:iCs/>
        </w:rPr>
        <w:t xml:space="preserve">were </w:t>
      </w:r>
      <w:r w:rsidR="003A0AB1" w:rsidRPr="006F2DBA">
        <w:rPr>
          <w:rFonts w:asciiTheme="minorHAnsi" w:hAnsiTheme="minorHAnsi" w:cstheme="minorHAnsi"/>
          <w:iCs/>
        </w:rPr>
        <w:t>significantly less likely to have a MOD-PFS event than patients treated with CyBorD (</w:t>
      </w:r>
      <w:r w:rsidR="00B51426" w:rsidRPr="006F2DBA">
        <w:rPr>
          <w:rFonts w:asciiTheme="minorHAnsi" w:hAnsiTheme="minorHAnsi" w:cstheme="minorHAnsi"/>
          <w:iCs/>
        </w:rPr>
        <w:t>hazard ratio (</w:t>
      </w:r>
      <w:r w:rsidR="003A0AB1" w:rsidRPr="006F2DBA">
        <w:rPr>
          <w:rFonts w:asciiTheme="minorHAnsi" w:hAnsiTheme="minorHAnsi" w:cstheme="minorHAnsi"/>
          <w:iCs/>
        </w:rPr>
        <w:t>HR</w:t>
      </w:r>
      <w:r w:rsidR="00B51426" w:rsidRPr="006F2DBA">
        <w:rPr>
          <w:rFonts w:asciiTheme="minorHAnsi" w:hAnsiTheme="minorHAnsi" w:cstheme="minorHAnsi"/>
          <w:iCs/>
        </w:rPr>
        <w:t>)</w:t>
      </w:r>
      <w:r w:rsidR="003A0AB1" w:rsidRPr="006F2DBA">
        <w:rPr>
          <w:rFonts w:asciiTheme="minorHAnsi" w:hAnsiTheme="minorHAnsi" w:cstheme="minorHAnsi"/>
          <w:iCs/>
        </w:rPr>
        <w:t xml:space="preserve"> = 0.58; 95% CI: 0.36, 0.93</w:t>
      </w:r>
      <w:r w:rsidRPr="006F2DBA">
        <w:rPr>
          <w:rFonts w:asciiTheme="minorHAnsi" w:hAnsiTheme="minorHAnsi" w:cstheme="minorHAnsi"/>
          <w:iCs/>
        </w:rPr>
        <w:t>,</w:t>
      </w:r>
      <w:r w:rsidR="00B51426" w:rsidRPr="006F2DBA">
        <w:rPr>
          <w:rFonts w:asciiTheme="minorHAnsi" w:hAnsiTheme="minorHAnsi" w:cstheme="minorHAnsi"/>
          <w:iCs/>
        </w:rPr>
        <w:t xml:space="preserve"> see</w:t>
      </w:r>
      <w:r w:rsidRPr="006F2DBA">
        <w:rPr>
          <w:rFonts w:asciiTheme="minorHAnsi" w:hAnsiTheme="minorHAnsi" w:cstheme="minorHAnsi"/>
          <w:iCs/>
        </w:rPr>
        <w:t xml:space="preserve"> </w:t>
      </w:r>
      <w:r w:rsidR="008A0743" w:rsidRPr="008A0743">
        <w:rPr>
          <w:rFonts w:asciiTheme="minorHAnsi" w:hAnsiTheme="minorHAnsi" w:cstheme="minorHAnsi"/>
          <w:bCs/>
          <w:iCs/>
        </w:rPr>
        <w:t xml:space="preserve">Table </w:t>
      </w:r>
      <w:r w:rsidR="008A0743" w:rsidRPr="008A0743">
        <w:rPr>
          <w:rFonts w:asciiTheme="minorHAnsi" w:hAnsiTheme="minorHAnsi" w:cstheme="minorHAnsi"/>
          <w:bCs/>
          <w:iCs/>
          <w:noProof/>
        </w:rPr>
        <w:t>6</w:t>
      </w:r>
      <w:r w:rsidR="003A0AB1" w:rsidRPr="006F2DBA">
        <w:rPr>
          <w:rFonts w:asciiTheme="minorHAnsi" w:hAnsiTheme="minorHAnsi" w:cstheme="minorHAnsi"/>
          <w:iCs/>
        </w:rPr>
        <w:t>)</w:t>
      </w:r>
      <w:r w:rsidRPr="006F2DBA">
        <w:rPr>
          <w:rFonts w:asciiTheme="minorHAnsi" w:hAnsiTheme="minorHAnsi" w:cstheme="minorHAnsi"/>
          <w:iCs/>
          <w:snapToGrid w:val="0"/>
        </w:rPr>
        <w:t>.</w:t>
      </w:r>
    </w:p>
    <w:p w14:paraId="79AF86CB" w14:textId="77777777" w:rsidR="001F275B" w:rsidRPr="001F275B" w:rsidRDefault="001F275B" w:rsidP="001F275B">
      <w:pPr>
        <w:keepNext/>
        <w:rPr>
          <w:rFonts w:ascii="Arial Narrow" w:hAnsi="Arial Narrow"/>
          <w:b/>
          <w:bCs/>
          <w:sz w:val="20"/>
          <w:szCs w:val="18"/>
        </w:rPr>
      </w:pPr>
      <w:bookmarkStart w:id="33" w:name="_Ref79411656"/>
      <w:r w:rsidRPr="001F275B">
        <w:rPr>
          <w:rFonts w:ascii="Arial Narrow" w:hAnsi="Arial Narrow"/>
          <w:b/>
          <w:bCs/>
          <w:sz w:val="20"/>
          <w:szCs w:val="18"/>
        </w:rPr>
        <w:t xml:space="preserve">Table </w:t>
      </w:r>
      <w:r w:rsidR="008A0743">
        <w:rPr>
          <w:rFonts w:ascii="Arial Narrow" w:hAnsi="Arial Narrow"/>
          <w:b/>
          <w:bCs/>
          <w:noProof/>
          <w:sz w:val="20"/>
          <w:szCs w:val="18"/>
        </w:rPr>
        <w:t>6</w:t>
      </w:r>
      <w:bookmarkEnd w:id="33"/>
      <w:r w:rsidRPr="001F275B">
        <w:rPr>
          <w:rFonts w:ascii="Arial Narrow" w:hAnsi="Arial Narrow"/>
          <w:b/>
          <w:bCs/>
          <w:sz w:val="20"/>
          <w:szCs w:val="18"/>
        </w:rPr>
        <w:t>: Major organ deterioration-progression free survival in ANDROMEDA</w:t>
      </w:r>
      <w:r w:rsidR="00B33943">
        <w:rPr>
          <w:rFonts w:ascii="Arial Narrow" w:hAnsi="Arial Narrow"/>
          <w:b/>
          <w:bCs/>
          <w:sz w:val="20"/>
          <w:szCs w:val="18"/>
        </w:rPr>
        <w:t xml:space="preserve"> </w:t>
      </w:r>
      <w:r w:rsidR="00DE733E">
        <w:rPr>
          <w:rFonts w:ascii="Arial Narrow" w:hAnsi="Arial Narrow"/>
          <w:b/>
          <w:bCs/>
          <w:sz w:val="20"/>
        </w:rPr>
        <w:t>(median follow-up = 11.4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Major organ deterioration-progression free survival in ANDROMEDA (median follow-up = 11.4 months)"/>
      </w:tblPr>
      <w:tblGrid>
        <w:gridCol w:w="3256"/>
        <w:gridCol w:w="1488"/>
        <w:gridCol w:w="1630"/>
        <w:gridCol w:w="1134"/>
        <w:gridCol w:w="1509"/>
      </w:tblGrid>
      <w:tr w:rsidR="00DE733E" w:rsidRPr="002A770B" w14:paraId="381D40E0" w14:textId="77777777" w:rsidTr="008B0D30">
        <w:trPr>
          <w:cantSplit/>
          <w:tblHeader/>
        </w:trPr>
        <w:tc>
          <w:tcPr>
            <w:tcW w:w="1805" w:type="pct"/>
            <w:vAlign w:val="center"/>
          </w:tcPr>
          <w:p w14:paraId="5DD30FE8"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Outcome</w:t>
            </w:r>
          </w:p>
        </w:tc>
        <w:tc>
          <w:tcPr>
            <w:tcW w:w="825" w:type="pct"/>
            <w:vAlign w:val="center"/>
          </w:tcPr>
          <w:p w14:paraId="0516225C"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Dara + CyBorD</w:t>
            </w:r>
          </w:p>
        </w:tc>
        <w:tc>
          <w:tcPr>
            <w:tcW w:w="904" w:type="pct"/>
            <w:vAlign w:val="center"/>
          </w:tcPr>
          <w:p w14:paraId="3D30C630"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CyBorD</w:t>
            </w:r>
          </w:p>
        </w:tc>
        <w:tc>
          <w:tcPr>
            <w:tcW w:w="629" w:type="pct"/>
            <w:vAlign w:val="center"/>
          </w:tcPr>
          <w:p w14:paraId="13300412"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Absolute difference</w:t>
            </w:r>
          </w:p>
        </w:tc>
        <w:tc>
          <w:tcPr>
            <w:tcW w:w="837" w:type="pct"/>
            <w:vAlign w:val="center"/>
          </w:tcPr>
          <w:p w14:paraId="3418D7D8" w14:textId="77777777" w:rsidR="00DE733E" w:rsidRPr="002A770B" w:rsidRDefault="00DE733E" w:rsidP="008B0D30">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HR (95% CI)</w:t>
            </w:r>
          </w:p>
        </w:tc>
      </w:tr>
      <w:tr w:rsidR="00DE733E" w:rsidRPr="002A770B" w14:paraId="46A387CC" w14:textId="77777777" w:rsidTr="008B0D30">
        <w:trPr>
          <w:cantSplit/>
          <w:tblHeader/>
        </w:trPr>
        <w:tc>
          <w:tcPr>
            <w:tcW w:w="5000" w:type="pct"/>
            <w:gridSpan w:val="5"/>
            <w:vAlign w:val="center"/>
          </w:tcPr>
          <w:p w14:paraId="554EAF2F" w14:textId="77777777" w:rsidR="00DE733E" w:rsidRPr="002A770B" w:rsidRDefault="00DE733E" w:rsidP="003D3A34">
            <w:pPr>
              <w:keepNext/>
              <w:jc w:val="left"/>
              <w:rPr>
                <w:rFonts w:ascii="Arial Narrow" w:eastAsiaTheme="majorEastAsia" w:hAnsi="Arial Narrow" w:cs="Times New Roman"/>
                <w:b/>
                <w:sz w:val="20"/>
              </w:rPr>
            </w:pPr>
            <w:r w:rsidRPr="002A770B">
              <w:rPr>
                <w:rFonts w:ascii="Arial Narrow" w:eastAsiaTheme="majorEastAsia" w:hAnsi="Arial Narrow" w:cs="Times New Roman"/>
                <w:b/>
                <w:sz w:val="20"/>
              </w:rPr>
              <w:t>IPCW method for patients who commenced non-cross resistant anti-plasma cell therapy</w:t>
            </w:r>
          </w:p>
        </w:tc>
      </w:tr>
      <w:tr w:rsidR="00DE733E" w:rsidRPr="002A770B" w14:paraId="14FBDECA" w14:textId="77777777" w:rsidTr="008B0D30">
        <w:trPr>
          <w:cantSplit/>
        </w:trPr>
        <w:tc>
          <w:tcPr>
            <w:tcW w:w="1805" w:type="pct"/>
            <w:vAlign w:val="center"/>
          </w:tcPr>
          <w:p w14:paraId="0A9D8244"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Progressed, n (%)</w:t>
            </w:r>
          </w:p>
        </w:tc>
        <w:tc>
          <w:tcPr>
            <w:tcW w:w="825" w:type="pct"/>
          </w:tcPr>
          <w:p w14:paraId="579B266B"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34/195 (17%)</w:t>
            </w:r>
          </w:p>
        </w:tc>
        <w:tc>
          <w:tcPr>
            <w:tcW w:w="904" w:type="pct"/>
          </w:tcPr>
          <w:p w14:paraId="761DCE27"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53/193 (28%)</w:t>
            </w:r>
          </w:p>
        </w:tc>
        <w:tc>
          <w:tcPr>
            <w:tcW w:w="629" w:type="pct"/>
            <w:vAlign w:val="center"/>
          </w:tcPr>
          <w:p w14:paraId="707AB4F6" w14:textId="77777777" w:rsidR="00DE733E" w:rsidRPr="002A770B" w:rsidRDefault="007F5820" w:rsidP="008B0D30">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837" w:type="pct"/>
            <w:vAlign w:val="center"/>
          </w:tcPr>
          <w:p w14:paraId="2E7D38E1" w14:textId="77777777" w:rsidR="00DE733E" w:rsidRPr="002A770B" w:rsidRDefault="00DE733E" w:rsidP="008B0D30">
            <w:pPr>
              <w:keepNext/>
              <w:jc w:val="center"/>
              <w:rPr>
                <w:rFonts w:ascii="Arial Narrow" w:eastAsiaTheme="majorEastAsia" w:hAnsi="Arial Narrow" w:cstheme="majorBidi"/>
                <w:b/>
                <w:bCs/>
                <w:sz w:val="20"/>
                <w:vertAlign w:val="superscript"/>
              </w:rPr>
            </w:pPr>
            <w:r w:rsidRPr="002A770B">
              <w:rPr>
                <w:rFonts w:ascii="Arial Narrow" w:eastAsiaTheme="majorEastAsia" w:hAnsi="Arial Narrow" w:cstheme="majorBidi"/>
                <w:b/>
                <w:bCs/>
                <w:sz w:val="20"/>
              </w:rPr>
              <w:t>0.58 (0.36, 0.93)</w:t>
            </w:r>
          </w:p>
        </w:tc>
      </w:tr>
      <w:tr w:rsidR="00DE733E" w:rsidRPr="002A770B" w14:paraId="6CE1A5D2" w14:textId="77777777" w:rsidTr="008B0D30">
        <w:trPr>
          <w:cantSplit/>
        </w:trPr>
        <w:tc>
          <w:tcPr>
            <w:tcW w:w="5000" w:type="pct"/>
            <w:gridSpan w:val="5"/>
            <w:vAlign w:val="center"/>
          </w:tcPr>
          <w:p w14:paraId="1D9EB710" w14:textId="77777777" w:rsidR="00DE733E" w:rsidRPr="002A770B" w:rsidRDefault="00DE733E"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
                <w:bCs/>
                <w:sz w:val="20"/>
              </w:rPr>
              <w:t>Intention-to-treat population</w:t>
            </w:r>
          </w:p>
        </w:tc>
      </w:tr>
      <w:tr w:rsidR="00DE733E" w:rsidRPr="002A770B" w14:paraId="19C0479E" w14:textId="77777777" w:rsidTr="008B0D30">
        <w:trPr>
          <w:cantSplit/>
        </w:trPr>
        <w:tc>
          <w:tcPr>
            <w:tcW w:w="1805" w:type="pct"/>
            <w:vAlign w:val="center"/>
          </w:tcPr>
          <w:p w14:paraId="27A34E4B"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Progressed, n (%)</w:t>
            </w:r>
          </w:p>
        </w:tc>
        <w:tc>
          <w:tcPr>
            <w:tcW w:w="825" w:type="pct"/>
          </w:tcPr>
          <w:p w14:paraId="3EFF6764"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34/195 (17%)</w:t>
            </w:r>
          </w:p>
        </w:tc>
        <w:tc>
          <w:tcPr>
            <w:tcW w:w="904" w:type="pct"/>
          </w:tcPr>
          <w:p w14:paraId="672E407E"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53/193 (28%)</w:t>
            </w:r>
          </w:p>
        </w:tc>
        <w:tc>
          <w:tcPr>
            <w:tcW w:w="629" w:type="pct"/>
            <w:vAlign w:val="center"/>
          </w:tcPr>
          <w:p w14:paraId="746D0174" w14:textId="77777777" w:rsidR="00DE733E" w:rsidRPr="002A770B" w:rsidRDefault="007F5820" w:rsidP="008B0D30">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837" w:type="pct"/>
            <w:vAlign w:val="center"/>
          </w:tcPr>
          <w:p w14:paraId="14DDBD9F"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
                <w:bCs/>
                <w:sz w:val="20"/>
              </w:rPr>
              <w:t>0.57 (0.37, 0.87</w:t>
            </w:r>
            <w:r w:rsidRPr="002A770B">
              <w:rPr>
                <w:rFonts w:ascii="Arial Narrow" w:eastAsiaTheme="majorEastAsia" w:hAnsi="Arial Narrow" w:cstheme="majorBidi"/>
                <w:bCs/>
                <w:sz w:val="20"/>
              </w:rPr>
              <w:t>)</w:t>
            </w:r>
          </w:p>
        </w:tc>
      </w:tr>
      <w:tr w:rsidR="00DE733E" w:rsidRPr="002A770B" w14:paraId="05AB83A9" w14:textId="77777777" w:rsidTr="008B0D30">
        <w:trPr>
          <w:cantSplit/>
        </w:trPr>
        <w:tc>
          <w:tcPr>
            <w:tcW w:w="5000" w:type="pct"/>
            <w:gridSpan w:val="5"/>
            <w:vAlign w:val="center"/>
          </w:tcPr>
          <w:p w14:paraId="00883D7D" w14:textId="77777777" w:rsidR="00DE733E" w:rsidRPr="002A770B" w:rsidRDefault="00DE733E" w:rsidP="003D3A34">
            <w:pPr>
              <w:keepNext/>
              <w:jc w:val="left"/>
              <w:rPr>
                <w:rFonts w:ascii="Arial Narrow" w:eastAsiaTheme="majorEastAsia" w:hAnsi="Arial Narrow" w:cstheme="majorBidi"/>
                <w:b/>
                <w:bCs/>
                <w:sz w:val="20"/>
              </w:rPr>
            </w:pPr>
            <w:r w:rsidRPr="002A770B">
              <w:rPr>
                <w:rFonts w:ascii="Arial Narrow" w:eastAsiaTheme="majorEastAsia" w:hAnsi="Arial Narrow" w:cstheme="majorBidi"/>
                <w:b/>
                <w:bCs/>
                <w:sz w:val="20"/>
              </w:rPr>
              <w:t>Kaplan-Meier Estimates</w:t>
            </w:r>
          </w:p>
        </w:tc>
      </w:tr>
      <w:tr w:rsidR="00DE733E" w:rsidRPr="002A770B" w14:paraId="69959F4C" w14:textId="77777777" w:rsidTr="008B0D30">
        <w:trPr>
          <w:cantSplit/>
        </w:trPr>
        <w:tc>
          <w:tcPr>
            <w:tcW w:w="1805" w:type="pct"/>
            <w:vAlign w:val="center"/>
          </w:tcPr>
          <w:p w14:paraId="1FE6940F"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Median MOD-PFS, months (95% CI)</w:t>
            </w:r>
          </w:p>
        </w:tc>
        <w:tc>
          <w:tcPr>
            <w:tcW w:w="825" w:type="pct"/>
            <w:vAlign w:val="center"/>
          </w:tcPr>
          <w:p w14:paraId="6BCAC21F"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cstheme="majorBidi"/>
                <w:bCs/>
                <w:sz w:val="20"/>
              </w:rPr>
              <w:t>NE (NE, NE)</w:t>
            </w:r>
          </w:p>
        </w:tc>
        <w:tc>
          <w:tcPr>
            <w:tcW w:w="904" w:type="pct"/>
            <w:vAlign w:val="center"/>
          </w:tcPr>
          <w:p w14:paraId="5C86026E"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cstheme="majorBidi"/>
                <w:bCs/>
                <w:sz w:val="20"/>
              </w:rPr>
              <w:t>NE (18.66, NE)</w:t>
            </w:r>
          </w:p>
        </w:tc>
        <w:tc>
          <w:tcPr>
            <w:tcW w:w="629" w:type="pct"/>
            <w:vAlign w:val="center"/>
          </w:tcPr>
          <w:p w14:paraId="1C180C0E"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cstheme="majorBidi"/>
                <w:bCs/>
                <w:sz w:val="20"/>
              </w:rPr>
              <w:t>NE</w:t>
            </w:r>
          </w:p>
        </w:tc>
        <w:tc>
          <w:tcPr>
            <w:tcW w:w="837" w:type="pct"/>
            <w:vAlign w:val="center"/>
          </w:tcPr>
          <w:p w14:paraId="6193439C"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DE733E" w:rsidRPr="002A770B" w14:paraId="75A1CA9B" w14:textId="77777777" w:rsidTr="008B0D30">
        <w:trPr>
          <w:cantSplit/>
        </w:trPr>
        <w:tc>
          <w:tcPr>
            <w:tcW w:w="1805" w:type="pct"/>
          </w:tcPr>
          <w:p w14:paraId="2C0D0878"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xml:space="preserve">% not progressed at 6 months (95% CI) </w:t>
            </w:r>
          </w:p>
        </w:tc>
        <w:tc>
          <w:tcPr>
            <w:tcW w:w="825" w:type="pct"/>
            <w:vAlign w:val="center"/>
          </w:tcPr>
          <w:p w14:paraId="0B0A9F9D"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87% (81%, 91%)</w:t>
            </w:r>
          </w:p>
        </w:tc>
        <w:tc>
          <w:tcPr>
            <w:tcW w:w="904" w:type="pct"/>
            <w:vAlign w:val="center"/>
          </w:tcPr>
          <w:p w14:paraId="319A1078"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83% (77%, 88%)</w:t>
            </w:r>
          </w:p>
        </w:tc>
        <w:tc>
          <w:tcPr>
            <w:tcW w:w="629" w:type="pct"/>
            <w:vAlign w:val="center"/>
          </w:tcPr>
          <w:p w14:paraId="7E769B8A"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5%</w:t>
            </w:r>
          </w:p>
        </w:tc>
        <w:tc>
          <w:tcPr>
            <w:tcW w:w="837" w:type="pct"/>
            <w:vAlign w:val="center"/>
          </w:tcPr>
          <w:p w14:paraId="2739F612" w14:textId="77777777" w:rsidR="00DE733E" w:rsidRPr="002A770B" w:rsidDel="0061549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DE733E" w:rsidRPr="002A770B" w14:paraId="7A5A28F7" w14:textId="77777777" w:rsidTr="008B0D30">
        <w:trPr>
          <w:cantSplit/>
        </w:trPr>
        <w:tc>
          <w:tcPr>
            <w:tcW w:w="1805" w:type="pct"/>
          </w:tcPr>
          <w:p w14:paraId="5AE693BE"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xml:space="preserve">% not progressed at 12 months (95% CI) </w:t>
            </w:r>
          </w:p>
        </w:tc>
        <w:tc>
          <w:tcPr>
            <w:tcW w:w="825" w:type="pct"/>
            <w:vAlign w:val="center"/>
          </w:tcPr>
          <w:p w14:paraId="5ABECE8B"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82% (75%, 87%)</w:t>
            </w:r>
          </w:p>
        </w:tc>
        <w:tc>
          <w:tcPr>
            <w:tcW w:w="904" w:type="pct"/>
            <w:vAlign w:val="center"/>
          </w:tcPr>
          <w:p w14:paraId="65068143"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71% (62%, 77%)</w:t>
            </w:r>
          </w:p>
        </w:tc>
        <w:tc>
          <w:tcPr>
            <w:tcW w:w="629" w:type="pct"/>
            <w:vAlign w:val="center"/>
          </w:tcPr>
          <w:p w14:paraId="4599CE37"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11%</w:t>
            </w:r>
          </w:p>
        </w:tc>
        <w:tc>
          <w:tcPr>
            <w:tcW w:w="837" w:type="pct"/>
            <w:vAlign w:val="center"/>
          </w:tcPr>
          <w:p w14:paraId="3888FCE1"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DE733E" w:rsidRPr="002A770B" w14:paraId="496C4231" w14:textId="77777777" w:rsidTr="008B0D30">
        <w:trPr>
          <w:cantSplit/>
          <w:trHeight w:val="42"/>
        </w:trPr>
        <w:tc>
          <w:tcPr>
            <w:tcW w:w="1805" w:type="pct"/>
          </w:tcPr>
          <w:p w14:paraId="6FE274C7" w14:textId="77777777" w:rsidR="00DE733E" w:rsidRPr="002A770B" w:rsidRDefault="00DE733E" w:rsidP="008B0D30">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xml:space="preserve">% not progressed at 18 months (95% CI) </w:t>
            </w:r>
          </w:p>
        </w:tc>
        <w:tc>
          <w:tcPr>
            <w:tcW w:w="825" w:type="pct"/>
            <w:vAlign w:val="center"/>
          </w:tcPr>
          <w:p w14:paraId="5DA6E99B"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79% (70%, 85%)</w:t>
            </w:r>
          </w:p>
        </w:tc>
        <w:tc>
          <w:tcPr>
            <w:tcW w:w="904" w:type="pct"/>
            <w:vAlign w:val="center"/>
          </w:tcPr>
          <w:p w14:paraId="675CCE20"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63% (52%, 72%)</w:t>
            </w:r>
          </w:p>
        </w:tc>
        <w:tc>
          <w:tcPr>
            <w:tcW w:w="629" w:type="pct"/>
            <w:vAlign w:val="center"/>
          </w:tcPr>
          <w:p w14:paraId="6E5C9443" w14:textId="77777777" w:rsidR="00DE733E" w:rsidRPr="002A770B" w:rsidRDefault="00DE733E" w:rsidP="008B0D30">
            <w:pPr>
              <w:keepNext/>
              <w:jc w:val="center"/>
              <w:rPr>
                <w:rFonts w:ascii="Arial Narrow" w:eastAsiaTheme="majorEastAsia" w:hAnsi="Arial Narrow"/>
                <w:bCs/>
                <w:sz w:val="20"/>
              </w:rPr>
            </w:pPr>
            <w:r w:rsidRPr="002A770B">
              <w:rPr>
                <w:rFonts w:ascii="Arial Narrow" w:eastAsiaTheme="majorEastAsia" w:hAnsi="Arial Narrow"/>
                <w:bCs/>
                <w:sz w:val="20"/>
              </w:rPr>
              <w:t>16%</w:t>
            </w:r>
          </w:p>
        </w:tc>
        <w:tc>
          <w:tcPr>
            <w:tcW w:w="837" w:type="pct"/>
            <w:vAlign w:val="center"/>
          </w:tcPr>
          <w:p w14:paraId="70B0CB18" w14:textId="77777777" w:rsidR="00DE733E" w:rsidRPr="002A770B" w:rsidRDefault="00DE733E" w:rsidP="008B0D30">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bl>
    <w:p w14:paraId="59342FFC" w14:textId="77777777" w:rsid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Source: Table 2-31, p133 of the submission, Table TEFMPFS01A, 1073 of the ANDROMEDA CSR</w:t>
      </w:r>
    </w:p>
    <w:p w14:paraId="4221BCC0" w14:textId="77777777" w:rsid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CI = confidence interval; </w:t>
      </w:r>
      <w:r w:rsidR="00DB2FCF">
        <w:rPr>
          <w:rFonts w:ascii="Arial Narrow" w:eastAsia="Calibri" w:hAnsi="Arial Narrow"/>
          <w:snapToGrid w:val="0"/>
          <w:sz w:val="18"/>
          <w:szCs w:val="22"/>
        </w:rPr>
        <w:t xml:space="preserve">CyBorD </w:t>
      </w:r>
      <w:r w:rsidR="009F38C1">
        <w:rPr>
          <w:rFonts w:ascii="Arial Narrow" w:eastAsia="Calibri" w:hAnsi="Arial Narrow"/>
          <w:snapToGrid w:val="0"/>
          <w:sz w:val="18"/>
          <w:szCs w:val="22"/>
        </w:rPr>
        <w:t>= cy</w:t>
      </w:r>
      <w:r w:rsidRPr="001F275B">
        <w:rPr>
          <w:rFonts w:ascii="Arial Narrow" w:eastAsia="Calibri" w:hAnsi="Arial Narrow"/>
          <w:snapToGrid w:val="0"/>
          <w:sz w:val="18"/>
          <w:szCs w:val="22"/>
        </w:rPr>
        <w:t xml:space="preserve">clophosphamide, bortezomib and dexamethasone; Dara </w:t>
      </w:r>
      <w:r w:rsidR="009F38C1">
        <w:rPr>
          <w:rFonts w:ascii="Arial Narrow" w:eastAsia="Calibri" w:hAnsi="Arial Narrow"/>
          <w:snapToGrid w:val="0"/>
          <w:sz w:val="18"/>
          <w:szCs w:val="22"/>
        </w:rPr>
        <w:t>= d</w:t>
      </w:r>
      <w:r w:rsidRPr="001F275B">
        <w:rPr>
          <w:rFonts w:ascii="Arial Narrow" w:eastAsia="Calibri" w:hAnsi="Arial Narrow"/>
          <w:snapToGrid w:val="0"/>
          <w:sz w:val="18"/>
          <w:szCs w:val="22"/>
        </w:rPr>
        <w:t xml:space="preserve">aratumumab subcutaneous; HR = hazard ratio; </w:t>
      </w:r>
      <w:r w:rsidR="002626E6">
        <w:rPr>
          <w:rFonts w:ascii="Arial Narrow" w:eastAsia="Calibri" w:hAnsi="Arial Narrow"/>
          <w:snapToGrid w:val="0"/>
          <w:sz w:val="18"/>
          <w:szCs w:val="22"/>
        </w:rPr>
        <w:t>IPCW = inverse probability of censoring weigh</w:t>
      </w:r>
      <w:r w:rsidR="00C151F5">
        <w:rPr>
          <w:rFonts w:ascii="Arial Narrow" w:eastAsia="Calibri" w:hAnsi="Arial Narrow"/>
          <w:snapToGrid w:val="0"/>
          <w:sz w:val="18"/>
          <w:szCs w:val="22"/>
        </w:rPr>
        <w:t xml:space="preserve">t; </w:t>
      </w:r>
      <w:r w:rsidRPr="001F275B">
        <w:rPr>
          <w:rFonts w:ascii="Arial Narrow" w:eastAsia="Calibri" w:hAnsi="Arial Narrow"/>
          <w:snapToGrid w:val="0"/>
          <w:sz w:val="18"/>
          <w:szCs w:val="22"/>
        </w:rPr>
        <w:t xml:space="preserve">MOD-PFS = major organ deterioration progression-free survival; NE = not estimable, </w:t>
      </w:r>
      <w:r w:rsidRPr="001F275B">
        <w:rPr>
          <w:rFonts w:ascii="Arial Narrow" w:eastAsia="Calibri" w:hAnsi="Arial Narrow"/>
          <w:b/>
          <w:snapToGrid w:val="0"/>
          <w:sz w:val="18"/>
          <w:szCs w:val="22"/>
        </w:rPr>
        <w:t>Bold</w:t>
      </w:r>
      <w:r w:rsidRPr="001F275B">
        <w:rPr>
          <w:rFonts w:ascii="Arial Narrow" w:eastAsia="Calibri" w:hAnsi="Arial Narrow"/>
          <w:snapToGrid w:val="0"/>
          <w:sz w:val="18"/>
          <w:szCs w:val="22"/>
        </w:rPr>
        <w:t xml:space="preserve"> = statistically significant; </w:t>
      </w:r>
      <w:r w:rsidR="00CF7351" w:rsidRPr="00CF7351">
        <w:rPr>
          <w:rFonts w:ascii="Arial Narrow" w:eastAsia="Calibri" w:hAnsi="Arial Narrow"/>
          <w:i/>
          <w:snapToGrid w:val="0"/>
          <w:sz w:val="18"/>
          <w:szCs w:val="22"/>
        </w:rPr>
        <w:t>italics</w:t>
      </w:r>
      <w:r w:rsidRPr="001F275B">
        <w:rPr>
          <w:rFonts w:ascii="Arial Narrow" w:eastAsia="Calibri" w:hAnsi="Arial Narrow"/>
          <w:snapToGrid w:val="0"/>
          <w:sz w:val="18"/>
          <w:szCs w:val="22"/>
        </w:rPr>
        <w:t xml:space="preserve"> = conducted by the evaluation</w:t>
      </w:r>
    </w:p>
    <w:p w14:paraId="2352E24D" w14:textId="77777777" w:rsidR="003D3A34" w:rsidRPr="001F275B" w:rsidRDefault="003D3A34" w:rsidP="001F275B">
      <w:pPr>
        <w:spacing w:after="120"/>
        <w:contextualSpacing/>
        <w:rPr>
          <w:rFonts w:ascii="Arial Narrow" w:eastAsia="Calibri" w:hAnsi="Arial Narrow"/>
          <w:snapToGrid w:val="0"/>
          <w:sz w:val="18"/>
          <w:szCs w:val="22"/>
        </w:rPr>
      </w:pPr>
    </w:p>
    <w:p w14:paraId="3DC06190" w14:textId="77777777" w:rsidR="001F275B" w:rsidRPr="002A770B" w:rsidRDefault="001F275B" w:rsidP="001F275B">
      <w:pPr>
        <w:numPr>
          <w:ilvl w:val="1"/>
          <w:numId w:val="1"/>
        </w:numPr>
        <w:spacing w:after="120"/>
        <w:rPr>
          <w:rFonts w:asciiTheme="minorHAnsi" w:hAnsiTheme="minorHAnsi" w:cstheme="minorHAnsi"/>
          <w:iCs/>
        </w:rPr>
      </w:pPr>
      <w:r w:rsidRPr="002A770B">
        <w:rPr>
          <w:rFonts w:asciiTheme="minorHAnsi" w:hAnsiTheme="minorHAnsi" w:cstheme="minorHAnsi"/>
          <w:iCs/>
        </w:rPr>
        <w:t>The separatio</w:t>
      </w:r>
      <w:r w:rsidRPr="009E2F8E">
        <w:t>n of the Kaplan-Meier curve</w:t>
      </w:r>
      <w:r w:rsidR="00DE733E" w:rsidRPr="009E2F8E">
        <w:t xml:space="preserve"> at approximately </w:t>
      </w:r>
      <w:r w:rsidR="003D3A34" w:rsidRPr="009E2F8E">
        <w:t>seven</w:t>
      </w:r>
      <w:r w:rsidR="00DE733E" w:rsidRPr="009E2F8E">
        <w:t xml:space="preserve"> months</w:t>
      </w:r>
      <w:r w:rsidRPr="009E2F8E">
        <w:t xml:space="preserve"> (</w:t>
      </w:r>
      <w:r w:rsidR="008A0743" w:rsidRPr="008A0743">
        <w:rPr>
          <w:rFonts w:asciiTheme="minorHAnsi" w:hAnsiTheme="minorHAnsi" w:cstheme="minorHAnsi"/>
        </w:rPr>
        <w:t xml:space="preserve">Figure </w:t>
      </w:r>
      <w:r w:rsidR="008A0743" w:rsidRPr="008A0743">
        <w:rPr>
          <w:rFonts w:asciiTheme="minorHAnsi" w:hAnsiTheme="minorHAnsi" w:cstheme="minorHAnsi"/>
          <w:noProof/>
        </w:rPr>
        <w:t>2</w:t>
      </w:r>
      <w:r w:rsidR="009E2F8E" w:rsidRPr="00833643">
        <w:rPr>
          <w:rFonts w:asciiTheme="minorHAnsi" w:hAnsiTheme="minorHAnsi" w:cstheme="minorHAnsi"/>
        </w:rPr>
        <w:t>)</w:t>
      </w:r>
      <w:r w:rsidR="009E2F8E" w:rsidRPr="009E2F8E">
        <w:t xml:space="preserve"> </w:t>
      </w:r>
      <w:r w:rsidR="003C05EF">
        <w:t>suggested</w:t>
      </w:r>
      <w:r w:rsidR="003C05EF" w:rsidRPr="009E2F8E">
        <w:t xml:space="preserve"> </w:t>
      </w:r>
      <w:r w:rsidR="00DE733E" w:rsidRPr="009E2F8E">
        <w:t xml:space="preserve">a </w:t>
      </w:r>
      <w:r w:rsidRPr="009E2F8E">
        <w:t xml:space="preserve">clear treatment benefit </w:t>
      </w:r>
      <w:r w:rsidR="00240402" w:rsidRPr="009E2F8E">
        <w:t xml:space="preserve">of daratumumab SC + CyBorD </w:t>
      </w:r>
      <w:r w:rsidRPr="009E2F8E">
        <w:t>in terms of MOD-PFS. However</w:t>
      </w:r>
      <w:r w:rsidRPr="002A770B">
        <w:rPr>
          <w:rFonts w:asciiTheme="minorHAnsi" w:hAnsiTheme="minorHAnsi" w:cstheme="minorHAnsi"/>
          <w:iCs/>
        </w:rPr>
        <w:t>, the nominal p-value of 0.0211, did not cross the prespecified stopping boundary (p</w:t>
      </w:r>
      <w:r w:rsidR="00A04224" w:rsidRPr="002A770B">
        <w:rPr>
          <w:rFonts w:asciiTheme="minorHAnsi" w:hAnsiTheme="minorHAnsi" w:cstheme="minorHAnsi"/>
          <w:iCs/>
        </w:rPr>
        <w:t xml:space="preserve"> </w:t>
      </w:r>
      <w:r w:rsidRPr="002A770B">
        <w:rPr>
          <w:rFonts w:asciiTheme="minorHAnsi" w:hAnsiTheme="minorHAnsi" w:cstheme="minorHAnsi"/>
          <w:iCs/>
        </w:rPr>
        <w:t>=</w:t>
      </w:r>
      <w:r w:rsidR="00A04224" w:rsidRPr="002A770B">
        <w:rPr>
          <w:rFonts w:asciiTheme="minorHAnsi" w:hAnsiTheme="minorHAnsi" w:cstheme="minorHAnsi"/>
          <w:iCs/>
        </w:rPr>
        <w:t xml:space="preserve"> </w:t>
      </w:r>
      <w:r w:rsidRPr="002A770B">
        <w:rPr>
          <w:rFonts w:asciiTheme="minorHAnsi" w:hAnsiTheme="minorHAnsi" w:cstheme="minorHAnsi"/>
          <w:iCs/>
        </w:rPr>
        <w:t xml:space="preserve">0.00136), with 87 MOD-PFS events observed representing 43.5% of the </w:t>
      </w:r>
      <w:r w:rsidRPr="002A770B">
        <w:rPr>
          <w:rFonts w:asciiTheme="minorHAnsi" w:hAnsiTheme="minorHAnsi" w:cstheme="minorHAnsi"/>
          <w:iCs/>
        </w:rPr>
        <w:lastRenderedPageBreak/>
        <w:t>200 planned events and median MOD-PFS was not reached in either treatment arm (p95 of the CSR).</w:t>
      </w:r>
    </w:p>
    <w:p w14:paraId="186BB6FE" w14:textId="30BF36D0" w:rsidR="002D2388" w:rsidRDefault="00DE733E" w:rsidP="000A03F7">
      <w:pPr>
        <w:numPr>
          <w:ilvl w:val="1"/>
          <w:numId w:val="1"/>
        </w:numPr>
        <w:spacing w:after="120"/>
        <w:rPr>
          <w:rFonts w:cstheme="minorHAnsi"/>
          <w:iCs/>
        </w:rPr>
      </w:pPr>
      <w:r w:rsidRPr="006F2DBA">
        <w:rPr>
          <w:rFonts w:asciiTheme="minorHAnsi" w:hAnsiTheme="minorHAnsi" w:cstheme="minorHAnsi"/>
          <w:iCs/>
        </w:rPr>
        <w:t>The submission stated that inverse-probability of censoring weights</w:t>
      </w:r>
      <w:r w:rsidR="00DF4A24" w:rsidRPr="006F2DBA">
        <w:rPr>
          <w:rFonts w:asciiTheme="minorHAnsi" w:hAnsiTheme="minorHAnsi" w:cstheme="minorHAnsi"/>
          <w:iCs/>
        </w:rPr>
        <w:t xml:space="preserve"> (IPCW)</w:t>
      </w:r>
      <w:r w:rsidRPr="006F2DBA">
        <w:rPr>
          <w:rFonts w:asciiTheme="minorHAnsi" w:hAnsiTheme="minorHAnsi" w:cstheme="minorHAnsi"/>
          <w:iCs/>
        </w:rPr>
        <w:t xml:space="preserve"> were employed to adjust for patients undergoing treatment with subsequent non-cross resistant, anti-plasma cell therapy. </w:t>
      </w:r>
      <w:r w:rsidR="00DF4A24" w:rsidRPr="006F2DBA">
        <w:rPr>
          <w:rFonts w:asciiTheme="minorHAnsi" w:hAnsiTheme="minorHAnsi" w:cstheme="minorHAnsi"/>
          <w:iCs/>
        </w:rPr>
        <w:t>The Advisory Committee on Medicines</w:t>
      </w:r>
      <w:r w:rsidR="003C05EF">
        <w:rPr>
          <w:rFonts w:asciiTheme="minorHAnsi" w:hAnsiTheme="minorHAnsi" w:cstheme="minorHAnsi"/>
          <w:iCs/>
        </w:rPr>
        <w:t xml:space="preserve"> (ACM)</w:t>
      </w:r>
      <w:r w:rsidR="00DF4A24" w:rsidRPr="006F2DBA">
        <w:rPr>
          <w:rFonts w:asciiTheme="minorHAnsi" w:hAnsiTheme="minorHAnsi" w:cstheme="minorHAnsi"/>
          <w:iCs/>
        </w:rPr>
        <w:t xml:space="preserve"> also advised that the IPCW </w:t>
      </w:r>
      <w:r w:rsidR="00753278" w:rsidRPr="006F2DBA">
        <w:rPr>
          <w:rFonts w:asciiTheme="minorHAnsi" w:hAnsiTheme="minorHAnsi" w:cstheme="minorHAnsi"/>
          <w:iCs/>
        </w:rPr>
        <w:t xml:space="preserve">method was ‘a valid statistical technique in this scenario given the nature of the data and that this is an interim analysis’ </w:t>
      </w:r>
      <w:r w:rsidR="00A35CD9" w:rsidRPr="006F2DBA">
        <w:rPr>
          <w:rFonts w:asciiTheme="minorHAnsi" w:hAnsiTheme="minorHAnsi" w:cstheme="minorHAnsi"/>
          <w:iCs/>
        </w:rPr>
        <w:t xml:space="preserve">(ACM minutes). </w:t>
      </w:r>
      <w:r w:rsidRPr="006F2DBA">
        <w:rPr>
          <w:rFonts w:asciiTheme="minorHAnsi" w:hAnsiTheme="minorHAnsi" w:cstheme="minorHAnsi"/>
          <w:iCs/>
        </w:rPr>
        <w:t>Additionally, the submission appropriately presented various methods of calculating the hazard ratio for MOD-PFS, which showed the results were robust to the methods employed to control for subsequent treatment.</w:t>
      </w:r>
      <w:r w:rsidR="000867FD" w:rsidRPr="006F2DBA">
        <w:rPr>
          <w:rFonts w:asciiTheme="minorHAnsi" w:hAnsiTheme="minorHAnsi" w:cstheme="minorHAnsi"/>
          <w:iCs/>
        </w:rPr>
        <w:t xml:space="preserve">  </w:t>
      </w:r>
      <w:r w:rsidR="002D2388" w:rsidRPr="006F2DBA">
        <w:rPr>
          <w:rFonts w:cstheme="minorHAnsi"/>
          <w:iCs/>
        </w:rPr>
        <w:t xml:space="preserve">The ESC noted that the IPCW method was used in the MOD-PFS analysis to adjust for patients undergoing treatment with subsequent therapy. The ESC considered this appropriate and noted that other </w:t>
      </w:r>
      <w:r w:rsidR="000867FD" w:rsidRPr="006F2DBA">
        <w:rPr>
          <w:rFonts w:cstheme="minorHAnsi"/>
          <w:iCs/>
        </w:rPr>
        <w:t xml:space="preserve">adjustment </w:t>
      </w:r>
      <w:r w:rsidR="002D2388" w:rsidRPr="006F2DBA">
        <w:rPr>
          <w:rFonts w:cstheme="minorHAnsi"/>
          <w:iCs/>
        </w:rPr>
        <w:t>methods demonstrated similar results.</w:t>
      </w:r>
    </w:p>
    <w:p w14:paraId="7757F467" w14:textId="77777777" w:rsidR="00A437EC" w:rsidRPr="00DF6E07" w:rsidRDefault="00A437EC" w:rsidP="00DF6E07"/>
    <w:p w14:paraId="04481439" w14:textId="77777777" w:rsidR="00240402" w:rsidRPr="00240402" w:rsidRDefault="009E2F8E" w:rsidP="00273B4E">
      <w:pPr>
        <w:pStyle w:val="TableTitleA"/>
        <w:keepNext/>
        <w:numPr>
          <w:ilvl w:val="0"/>
          <w:numId w:val="0"/>
        </w:numPr>
        <w:spacing w:after="0"/>
        <w:ind w:left="851" w:hanging="851"/>
        <w:rPr>
          <w:rFonts w:ascii="Arial Narrow" w:hAnsi="Arial Narrow"/>
        </w:rPr>
      </w:pPr>
      <w:bookmarkStart w:id="34" w:name="_Ref84838136"/>
      <w:r w:rsidRPr="009E2F8E">
        <w:rPr>
          <w:rFonts w:ascii="Arial Narrow" w:hAnsi="Arial Narrow"/>
        </w:rPr>
        <w:t xml:space="preserve">Figure </w:t>
      </w:r>
      <w:r w:rsidR="008A0743">
        <w:rPr>
          <w:rFonts w:ascii="Arial Narrow" w:hAnsi="Arial Narrow"/>
          <w:noProof/>
        </w:rPr>
        <w:t>2</w:t>
      </w:r>
      <w:bookmarkEnd w:id="34"/>
      <w:r w:rsidRPr="009E2F8E">
        <w:rPr>
          <w:rFonts w:ascii="Arial Narrow" w:hAnsi="Arial Narrow"/>
        </w:rPr>
        <w:t xml:space="preserve">: </w:t>
      </w:r>
      <w:r w:rsidR="00240402" w:rsidRPr="00240402">
        <w:rPr>
          <w:rFonts w:ascii="Arial Narrow" w:hAnsi="Arial Narrow"/>
        </w:rPr>
        <w:t>Inverse probability weighted Kaplan-Meier graph for MOD-PFS</w:t>
      </w:r>
    </w:p>
    <w:p w14:paraId="5C3C8B79" w14:textId="77777777" w:rsidR="001F275B" w:rsidRPr="001F275B" w:rsidRDefault="001F275B" w:rsidP="00273B4E">
      <w:pPr>
        <w:keepNext/>
        <w:jc w:val="left"/>
        <w:rPr>
          <w:rFonts w:ascii="Arial Narrow" w:eastAsiaTheme="majorEastAsia" w:hAnsi="Arial Narrow" w:cstheme="majorBidi"/>
          <w:bCs/>
          <w:sz w:val="20"/>
        </w:rPr>
      </w:pPr>
      <w:r w:rsidRPr="001F275B">
        <w:rPr>
          <w:rFonts w:ascii="Arial Narrow" w:eastAsiaTheme="majorEastAsia" w:hAnsi="Arial Narrow" w:cstheme="majorBidi"/>
          <w:bCs/>
          <w:noProof/>
          <w:sz w:val="20"/>
        </w:rPr>
        <w:drawing>
          <wp:inline distT="0" distB="0" distL="0" distR="0" wp14:anchorId="64544713" wp14:editId="3AD178A6">
            <wp:extent cx="5930808" cy="3448050"/>
            <wp:effectExtent l="0" t="0" r="0" b="0"/>
            <wp:docPr id="28" name="Picture 28" title="Figure 2: Inverse probability weighted Kaplan-Meier graph for MOD-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908" cy="3473689"/>
                    </a:xfrm>
                    <a:prstGeom prst="rect">
                      <a:avLst/>
                    </a:prstGeom>
                    <a:noFill/>
                    <a:ln>
                      <a:noFill/>
                    </a:ln>
                  </pic:spPr>
                </pic:pic>
              </a:graphicData>
            </a:graphic>
          </wp:inline>
        </w:drawing>
      </w:r>
    </w:p>
    <w:p w14:paraId="19BF86B6" w14:textId="77777777" w:rsidR="001F275B" w:rsidRPr="001F275B" w:rsidRDefault="001F275B" w:rsidP="00273B4E">
      <w:pPr>
        <w:keepNext/>
        <w:keepLines/>
        <w:jc w:val="left"/>
        <w:rPr>
          <w:rFonts w:ascii="Arial Narrow" w:eastAsiaTheme="majorEastAsia" w:hAnsi="Arial Narrow" w:cstheme="majorBidi"/>
          <w:bCs/>
          <w:sz w:val="20"/>
        </w:rPr>
      </w:pPr>
      <w:r w:rsidRPr="001F275B">
        <w:rPr>
          <w:rFonts w:ascii="Arial Narrow" w:eastAsiaTheme="majorEastAsia" w:hAnsi="Arial Narrow" w:cstheme="majorBidi"/>
          <w:bCs/>
          <w:sz w:val="20"/>
        </w:rPr>
        <w:t>Source: ANDROMEDA CSR, Figure 7, p 96</w:t>
      </w:r>
    </w:p>
    <w:p w14:paraId="639FC137" w14:textId="77777777" w:rsidR="001F275B" w:rsidRPr="001F275B" w:rsidRDefault="001F275B" w:rsidP="00273B4E">
      <w:pPr>
        <w:keepNext/>
        <w:keepLines/>
        <w:jc w:val="left"/>
        <w:rPr>
          <w:rFonts w:ascii="Arial Narrow" w:eastAsiaTheme="majorEastAsia" w:hAnsi="Arial Narrow" w:cstheme="majorBidi"/>
          <w:bCs/>
          <w:sz w:val="20"/>
        </w:rPr>
      </w:pPr>
      <w:r w:rsidRPr="001F275B">
        <w:rPr>
          <w:rFonts w:ascii="Arial Narrow" w:eastAsiaTheme="majorEastAsia" w:hAnsi="Arial Narrow" w:cstheme="majorBidi"/>
          <w:bCs/>
          <w:sz w:val="20"/>
        </w:rPr>
        <w:t xml:space="preserve">CI = confidence interval; </w:t>
      </w:r>
      <w:r w:rsidR="00827BA3">
        <w:rPr>
          <w:rFonts w:ascii="Arial Narrow" w:eastAsiaTheme="majorEastAsia" w:hAnsi="Arial Narrow" w:cstheme="majorBidi"/>
          <w:bCs/>
          <w:sz w:val="20"/>
        </w:rPr>
        <w:t xml:space="preserve">CyBorD = </w:t>
      </w:r>
      <w:r w:rsidR="009F38C1">
        <w:rPr>
          <w:rFonts w:ascii="Arial Narrow" w:eastAsiaTheme="majorEastAsia" w:hAnsi="Arial Narrow" w:cstheme="majorBidi"/>
          <w:bCs/>
          <w:sz w:val="20"/>
        </w:rPr>
        <w:t>cy</w:t>
      </w:r>
      <w:r w:rsidRPr="001F275B">
        <w:rPr>
          <w:rFonts w:ascii="Arial Narrow" w:eastAsiaTheme="majorEastAsia" w:hAnsi="Arial Narrow" w:cstheme="majorBidi"/>
          <w:bCs/>
          <w:sz w:val="20"/>
        </w:rPr>
        <w:t>clophosphamide, bortezomib and dexamethasone</w:t>
      </w:r>
      <w:r w:rsidRPr="001F275B">
        <w:rPr>
          <w:rFonts w:ascii="Arial Narrow" w:eastAsiaTheme="majorEastAsia" w:hAnsi="Arial Narrow" w:cstheme="majorBidi"/>
          <w:b/>
          <w:bCs/>
          <w:sz w:val="20"/>
        </w:rPr>
        <w:t xml:space="preserve">; </w:t>
      </w:r>
      <w:r w:rsidR="009F38C1">
        <w:rPr>
          <w:rFonts w:ascii="Arial Narrow" w:eastAsiaTheme="majorEastAsia" w:hAnsi="Arial Narrow" w:cstheme="majorBidi"/>
          <w:bCs/>
          <w:sz w:val="20"/>
        </w:rPr>
        <w:t>Dara = d</w:t>
      </w:r>
      <w:r w:rsidRPr="001F275B">
        <w:rPr>
          <w:rFonts w:ascii="Arial Narrow" w:eastAsiaTheme="majorEastAsia" w:hAnsi="Arial Narrow" w:cstheme="majorBidi"/>
          <w:bCs/>
          <w:sz w:val="20"/>
        </w:rPr>
        <w:t xml:space="preserve">aratumumab subcutaneous; HR = hazard ratio; </w:t>
      </w:r>
      <w:r w:rsidR="00DB2FCF">
        <w:rPr>
          <w:rFonts w:ascii="Arial Narrow" w:eastAsiaTheme="majorEastAsia" w:hAnsi="Arial Narrow" w:cstheme="majorBidi"/>
          <w:bCs/>
          <w:sz w:val="20"/>
        </w:rPr>
        <w:t>MOD-PFS = m</w:t>
      </w:r>
      <w:r w:rsidRPr="001F275B">
        <w:rPr>
          <w:rFonts w:ascii="Arial Narrow" w:eastAsiaTheme="majorEastAsia" w:hAnsi="Arial Narrow" w:cstheme="majorBidi"/>
          <w:bCs/>
          <w:sz w:val="20"/>
        </w:rPr>
        <w:t>ajor organ deterioration-progression free survival</w:t>
      </w:r>
    </w:p>
    <w:p w14:paraId="02C457AA" w14:textId="77777777" w:rsidR="001F275B" w:rsidRPr="001F275B" w:rsidRDefault="001F275B" w:rsidP="001F275B"/>
    <w:p w14:paraId="4163D1D3" w14:textId="77777777" w:rsidR="00A35CD9" w:rsidRPr="006E0CF2" w:rsidRDefault="001F275B" w:rsidP="006E0CF2">
      <w:pPr>
        <w:numPr>
          <w:ilvl w:val="1"/>
          <w:numId w:val="1"/>
        </w:numPr>
        <w:spacing w:after="120"/>
        <w:rPr>
          <w:rFonts w:asciiTheme="minorHAnsi" w:hAnsiTheme="minorHAnsi" w:cstheme="minorHAnsi"/>
          <w:bCs/>
        </w:rPr>
      </w:pPr>
      <w:r w:rsidRPr="001F275B">
        <w:rPr>
          <w:rFonts w:asciiTheme="minorHAnsi" w:hAnsiTheme="minorHAnsi"/>
        </w:rPr>
        <w:t xml:space="preserve">The results for overall survival </w:t>
      </w:r>
      <w:r w:rsidRPr="006E0CF2">
        <w:rPr>
          <w:rFonts w:asciiTheme="minorHAnsi" w:hAnsiTheme="minorHAnsi" w:cstheme="minorHAnsi"/>
        </w:rPr>
        <w:t>are presented in</w:t>
      </w:r>
      <w:r w:rsidR="006E0CF2" w:rsidRPr="006E0CF2">
        <w:rPr>
          <w:rFonts w:asciiTheme="minorHAnsi" w:hAnsiTheme="minorHAnsi" w:cstheme="minorHAnsi"/>
        </w:rPr>
        <w:t xml:space="preserve"> </w:t>
      </w:r>
      <w:r w:rsidR="008A0743" w:rsidRPr="008A0743">
        <w:rPr>
          <w:rFonts w:asciiTheme="minorHAnsi" w:hAnsiTheme="minorHAnsi" w:cstheme="minorHAnsi"/>
          <w:bCs/>
        </w:rPr>
        <w:t xml:space="preserve">Table </w:t>
      </w:r>
      <w:r w:rsidR="008A0743" w:rsidRPr="008A0743">
        <w:rPr>
          <w:rFonts w:asciiTheme="minorHAnsi" w:hAnsiTheme="minorHAnsi" w:cstheme="minorHAnsi"/>
          <w:bCs/>
          <w:noProof/>
        </w:rPr>
        <w:t>7</w:t>
      </w:r>
      <w:r w:rsidRPr="006E0CF2">
        <w:rPr>
          <w:rFonts w:asciiTheme="minorHAnsi" w:hAnsiTheme="minorHAnsi" w:cstheme="minorHAnsi"/>
        </w:rPr>
        <w:t xml:space="preserve"> and</w:t>
      </w:r>
      <w:r w:rsidR="00A35CD9" w:rsidRPr="006E0CF2">
        <w:rPr>
          <w:rFonts w:asciiTheme="minorHAnsi" w:hAnsiTheme="minorHAnsi" w:cstheme="minorHAnsi"/>
        </w:rPr>
        <w:t xml:space="preserve"> Figure 3.</w:t>
      </w:r>
      <w:bookmarkStart w:id="35" w:name="_Ref79412581"/>
    </w:p>
    <w:p w14:paraId="2D7566EB" w14:textId="77777777" w:rsidR="001F275B" w:rsidRPr="001F275B" w:rsidRDefault="001F275B" w:rsidP="003D3A34">
      <w:pPr>
        <w:keepNext/>
        <w:rPr>
          <w:rFonts w:ascii="Arial Narrow" w:hAnsi="Arial Narrow"/>
          <w:b/>
          <w:bCs/>
          <w:sz w:val="20"/>
          <w:szCs w:val="18"/>
        </w:rPr>
      </w:pPr>
      <w:bookmarkStart w:id="36" w:name="_Ref84838210"/>
      <w:r w:rsidRPr="001F275B">
        <w:rPr>
          <w:rFonts w:ascii="Arial Narrow" w:hAnsi="Arial Narrow"/>
          <w:b/>
          <w:bCs/>
          <w:sz w:val="20"/>
          <w:szCs w:val="18"/>
        </w:rPr>
        <w:lastRenderedPageBreak/>
        <w:t xml:space="preserve">Table </w:t>
      </w:r>
      <w:r w:rsidR="008A0743">
        <w:rPr>
          <w:rFonts w:ascii="Arial Narrow" w:hAnsi="Arial Narrow"/>
          <w:b/>
          <w:bCs/>
          <w:noProof/>
          <w:sz w:val="20"/>
          <w:szCs w:val="18"/>
        </w:rPr>
        <w:t>7</w:t>
      </w:r>
      <w:bookmarkEnd w:id="35"/>
      <w:bookmarkEnd w:id="36"/>
      <w:r w:rsidRPr="001F275B">
        <w:rPr>
          <w:rFonts w:ascii="Arial Narrow" w:hAnsi="Arial Narrow"/>
          <w:b/>
          <w:bCs/>
          <w:sz w:val="20"/>
          <w:szCs w:val="18"/>
        </w:rPr>
        <w:t>: Overall survival in ANDROMEDA</w:t>
      </w:r>
      <w:r w:rsidR="00B33943">
        <w:rPr>
          <w:rFonts w:ascii="Arial Narrow" w:hAnsi="Arial Narrow"/>
          <w:b/>
          <w:bCs/>
          <w:sz w:val="20"/>
          <w:szCs w:val="18"/>
        </w:rPr>
        <w:t xml:space="preserve"> </w:t>
      </w:r>
      <w:r w:rsidR="00DE733E">
        <w:rPr>
          <w:rFonts w:ascii="Arial Narrow" w:hAnsi="Arial Narrow"/>
          <w:b/>
          <w:bCs/>
          <w:sz w:val="20"/>
        </w:rPr>
        <w:t xml:space="preserve">(median follow-up = 11.4 months) – </w:t>
      </w:r>
      <w:r w:rsidR="00B33943">
        <w:rPr>
          <w:rFonts w:ascii="Arial Narrow" w:hAnsi="Arial Narrow"/>
          <w:b/>
          <w:bCs/>
          <w:sz w:val="20"/>
        </w:rPr>
        <w:t>i</w:t>
      </w:r>
      <w:r w:rsidR="00DE733E">
        <w:rPr>
          <w:rFonts w:ascii="Arial Narrow" w:hAnsi="Arial Narrow"/>
          <w:b/>
          <w:bCs/>
          <w:sz w:val="20"/>
        </w:rPr>
        <w:t>ntention-to-treat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Overall survival in ANDROMEDA (median follow-up = 11.4 months) – intention-to-treat population"/>
      </w:tblPr>
      <w:tblGrid>
        <w:gridCol w:w="3256"/>
        <w:gridCol w:w="1488"/>
        <w:gridCol w:w="1630"/>
        <w:gridCol w:w="1134"/>
        <w:gridCol w:w="1509"/>
      </w:tblGrid>
      <w:tr w:rsidR="001F275B" w:rsidRPr="002A770B" w14:paraId="1665B0A3" w14:textId="77777777" w:rsidTr="00F071FF">
        <w:trPr>
          <w:cantSplit/>
          <w:tblHeader/>
        </w:trPr>
        <w:tc>
          <w:tcPr>
            <w:tcW w:w="1805" w:type="pct"/>
            <w:vAlign w:val="center"/>
          </w:tcPr>
          <w:p w14:paraId="0BFA18FF"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Outcome</w:t>
            </w:r>
          </w:p>
        </w:tc>
        <w:tc>
          <w:tcPr>
            <w:tcW w:w="825" w:type="pct"/>
            <w:vAlign w:val="center"/>
          </w:tcPr>
          <w:p w14:paraId="149D9707"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Dara + CyBorD</w:t>
            </w:r>
          </w:p>
        </w:tc>
        <w:tc>
          <w:tcPr>
            <w:tcW w:w="904" w:type="pct"/>
            <w:vAlign w:val="center"/>
          </w:tcPr>
          <w:p w14:paraId="7CB79758"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CyBorD</w:t>
            </w:r>
          </w:p>
        </w:tc>
        <w:tc>
          <w:tcPr>
            <w:tcW w:w="629" w:type="pct"/>
            <w:vAlign w:val="center"/>
          </w:tcPr>
          <w:p w14:paraId="2A3606D4"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Absolute difference</w:t>
            </w:r>
          </w:p>
        </w:tc>
        <w:tc>
          <w:tcPr>
            <w:tcW w:w="837" w:type="pct"/>
            <w:vAlign w:val="center"/>
          </w:tcPr>
          <w:p w14:paraId="75B0B03B" w14:textId="77777777" w:rsidR="001F275B" w:rsidRPr="002A770B" w:rsidRDefault="001F275B" w:rsidP="003D3A34">
            <w:pPr>
              <w:keepNext/>
              <w:jc w:val="center"/>
              <w:rPr>
                <w:rFonts w:ascii="Arial Narrow" w:eastAsiaTheme="majorEastAsia" w:hAnsi="Arial Narrow" w:cs="Times New Roman"/>
                <w:b/>
                <w:sz w:val="20"/>
              </w:rPr>
            </w:pPr>
            <w:r w:rsidRPr="002A770B">
              <w:rPr>
                <w:rFonts w:ascii="Arial Narrow" w:eastAsiaTheme="majorEastAsia" w:hAnsi="Arial Narrow" w:cs="Times New Roman"/>
                <w:b/>
                <w:sz w:val="20"/>
              </w:rPr>
              <w:t>HR (95% CI)</w:t>
            </w:r>
          </w:p>
        </w:tc>
      </w:tr>
      <w:tr w:rsidR="001F275B" w:rsidRPr="002A770B" w14:paraId="7E0AF1A2" w14:textId="77777777" w:rsidTr="00F071FF">
        <w:trPr>
          <w:cantSplit/>
        </w:trPr>
        <w:tc>
          <w:tcPr>
            <w:tcW w:w="1805" w:type="pct"/>
            <w:vAlign w:val="center"/>
          </w:tcPr>
          <w:p w14:paraId="56361197"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Deaths, n/N (%)</w:t>
            </w:r>
          </w:p>
        </w:tc>
        <w:tc>
          <w:tcPr>
            <w:tcW w:w="825" w:type="pct"/>
          </w:tcPr>
          <w:p w14:paraId="734DA66B"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27/195 (14%)</w:t>
            </w:r>
          </w:p>
        </w:tc>
        <w:tc>
          <w:tcPr>
            <w:tcW w:w="904" w:type="pct"/>
          </w:tcPr>
          <w:p w14:paraId="04F64B8A"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29/193 (15%)</w:t>
            </w:r>
          </w:p>
        </w:tc>
        <w:tc>
          <w:tcPr>
            <w:tcW w:w="629" w:type="pct"/>
            <w:vAlign w:val="center"/>
          </w:tcPr>
          <w:p w14:paraId="77BC9990" w14:textId="77777777" w:rsidR="001F275B" w:rsidRPr="002A770B" w:rsidRDefault="007F5820" w:rsidP="003D3A34">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c>
          <w:tcPr>
            <w:tcW w:w="837" w:type="pct"/>
            <w:vAlign w:val="center"/>
          </w:tcPr>
          <w:p w14:paraId="195C1E81"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Calibri"/>
                <w:bCs/>
                <w:color w:val="000000"/>
                <w:sz w:val="20"/>
                <w:szCs w:val="20"/>
              </w:rPr>
              <w:t>0.90 (0.53, 1.53)</w:t>
            </w:r>
          </w:p>
        </w:tc>
      </w:tr>
      <w:tr w:rsidR="001F275B" w:rsidRPr="002A770B" w14:paraId="38939426" w14:textId="77777777" w:rsidTr="00F071FF">
        <w:trPr>
          <w:cantSplit/>
        </w:trPr>
        <w:tc>
          <w:tcPr>
            <w:tcW w:w="1805" w:type="pct"/>
            <w:vAlign w:val="center"/>
          </w:tcPr>
          <w:p w14:paraId="04E4CB97"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Median months OS (95% CI)</w:t>
            </w:r>
          </w:p>
        </w:tc>
        <w:tc>
          <w:tcPr>
            <w:tcW w:w="825" w:type="pct"/>
            <w:vAlign w:val="center"/>
          </w:tcPr>
          <w:p w14:paraId="58631D85"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 (NE, NE)</w:t>
            </w:r>
          </w:p>
        </w:tc>
        <w:tc>
          <w:tcPr>
            <w:tcW w:w="904" w:type="pct"/>
            <w:vAlign w:val="center"/>
          </w:tcPr>
          <w:p w14:paraId="6D7063F6"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 (15.44, NE)</w:t>
            </w:r>
          </w:p>
        </w:tc>
        <w:tc>
          <w:tcPr>
            <w:tcW w:w="629" w:type="pct"/>
            <w:vAlign w:val="center"/>
          </w:tcPr>
          <w:p w14:paraId="0BB7BCBF" w14:textId="77777777" w:rsidR="001F275B" w:rsidRPr="002A770B" w:rsidRDefault="001F275B" w:rsidP="003D3A34">
            <w:pPr>
              <w:keepNext/>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w:t>
            </w:r>
          </w:p>
        </w:tc>
        <w:tc>
          <w:tcPr>
            <w:tcW w:w="837" w:type="pct"/>
            <w:vAlign w:val="center"/>
          </w:tcPr>
          <w:p w14:paraId="22D09FEA" w14:textId="77777777" w:rsidR="001F275B" w:rsidRPr="002A770B" w:rsidRDefault="00251104" w:rsidP="003D3A34">
            <w:pPr>
              <w:keepNext/>
              <w:jc w:val="center"/>
              <w:rPr>
                <w:rFonts w:ascii="Arial Narrow" w:eastAsiaTheme="majorEastAsia" w:hAnsi="Arial Narrow" w:cstheme="majorBidi"/>
                <w:bCs/>
                <w:sz w:val="20"/>
              </w:rPr>
            </w:pPr>
            <w:r>
              <w:rPr>
                <w:rFonts w:ascii="Arial Narrow" w:eastAsiaTheme="majorEastAsia" w:hAnsi="Arial Narrow" w:cstheme="majorBidi"/>
                <w:bCs/>
                <w:sz w:val="20"/>
              </w:rPr>
              <w:t>-</w:t>
            </w:r>
          </w:p>
        </w:tc>
      </w:tr>
      <w:tr w:rsidR="001F275B" w:rsidRPr="002A770B" w14:paraId="72B54759" w14:textId="77777777" w:rsidTr="00F071FF">
        <w:trPr>
          <w:cantSplit/>
        </w:trPr>
        <w:tc>
          <w:tcPr>
            <w:tcW w:w="1805" w:type="pct"/>
          </w:tcPr>
          <w:p w14:paraId="10A73BDE"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alive at 6 months (95% CI)</w:t>
            </w:r>
          </w:p>
        </w:tc>
        <w:tc>
          <w:tcPr>
            <w:tcW w:w="825" w:type="pct"/>
          </w:tcPr>
          <w:p w14:paraId="7AB060C1"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87% (81</w:t>
            </w:r>
            <w:r w:rsidR="0044148A" w:rsidRPr="002A770B">
              <w:rPr>
                <w:rFonts w:ascii="Arial Narrow" w:eastAsiaTheme="majorEastAsia" w:hAnsi="Arial Narrow"/>
                <w:bCs/>
                <w:sz w:val="20"/>
              </w:rPr>
              <w:t>%</w:t>
            </w:r>
            <w:r w:rsidRPr="002A770B">
              <w:rPr>
                <w:rFonts w:ascii="Arial Narrow" w:eastAsiaTheme="majorEastAsia" w:hAnsi="Arial Narrow"/>
                <w:bCs/>
                <w:sz w:val="20"/>
              </w:rPr>
              <w:t>, 91%)</w:t>
            </w:r>
          </w:p>
        </w:tc>
        <w:tc>
          <w:tcPr>
            <w:tcW w:w="904" w:type="pct"/>
          </w:tcPr>
          <w:p w14:paraId="5B7CB34A"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89% (83</w:t>
            </w:r>
            <w:r w:rsidR="0044148A" w:rsidRPr="002A770B">
              <w:rPr>
                <w:rFonts w:ascii="Arial Narrow" w:eastAsiaTheme="majorEastAsia" w:hAnsi="Arial Narrow"/>
                <w:bCs/>
                <w:sz w:val="20"/>
              </w:rPr>
              <w:t>%</w:t>
            </w:r>
            <w:r w:rsidRPr="002A770B">
              <w:rPr>
                <w:rFonts w:ascii="Arial Narrow" w:eastAsiaTheme="majorEastAsia" w:hAnsi="Arial Narrow"/>
                <w:bCs/>
                <w:sz w:val="20"/>
              </w:rPr>
              <w:t>, 93%)</w:t>
            </w:r>
          </w:p>
        </w:tc>
        <w:tc>
          <w:tcPr>
            <w:tcW w:w="629" w:type="pct"/>
            <w:vAlign w:val="center"/>
          </w:tcPr>
          <w:p w14:paraId="59F6FC5E"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-2%</w:t>
            </w:r>
          </w:p>
        </w:tc>
        <w:tc>
          <w:tcPr>
            <w:tcW w:w="837" w:type="pct"/>
            <w:vAlign w:val="center"/>
          </w:tcPr>
          <w:p w14:paraId="733C7DDC"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w:t>
            </w:r>
          </w:p>
        </w:tc>
      </w:tr>
      <w:tr w:rsidR="001F275B" w:rsidRPr="002A770B" w14:paraId="1F386984" w14:textId="77777777" w:rsidTr="00F071FF">
        <w:trPr>
          <w:cantSplit/>
        </w:trPr>
        <w:tc>
          <w:tcPr>
            <w:tcW w:w="1805" w:type="pct"/>
          </w:tcPr>
          <w:p w14:paraId="2F7F06DC"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alive at 12 months (95% CI)</w:t>
            </w:r>
          </w:p>
        </w:tc>
        <w:tc>
          <w:tcPr>
            <w:tcW w:w="825" w:type="pct"/>
            <w:vAlign w:val="center"/>
          </w:tcPr>
          <w:p w14:paraId="3737048F"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86% (80%, 90%)</w:t>
            </w:r>
          </w:p>
        </w:tc>
        <w:tc>
          <w:tcPr>
            <w:tcW w:w="904" w:type="pct"/>
            <w:vAlign w:val="center"/>
          </w:tcPr>
          <w:p w14:paraId="54B6A53C"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86% (79%, 901%)</w:t>
            </w:r>
          </w:p>
        </w:tc>
        <w:tc>
          <w:tcPr>
            <w:tcW w:w="629" w:type="pct"/>
            <w:vAlign w:val="center"/>
          </w:tcPr>
          <w:p w14:paraId="7DEDCCFA"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0%</w:t>
            </w:r>
          </w:p>
        </w:tc>
        <w:tc>
          <w:tcPr>
            <w:tcW w:w="837" w:type="pct"/>
            <w:vAlign w:val="center"/>
          </w:tcPr>
          <w:p w14:paraId="26DD9F63" w14:textId="77777777" w:rsidR="001F275B" w:rsidRPr="002A770B" w:rsidRDefault="00251104" w:rsidP="003D3A34">
            <w:pPr>
              <w:keepNext/>
              <w:jc w:val="center"/>
              <w:rPr>
                <w:rFonts w:ascii="Arial Narrow" w:eastAsiaTheme="majorEastAsia" w:hAnsi="Arial Narrow"/>
                <w:bCs/>
                <w:sz w:val="20"/>
              </w:rPr>
            </w:pPr>
            <w:r>
              <w:rPr>
                <w:rFonts w:ascii="Arial Narrow" w:eastAsiaTheme="majorEastAsia" w:hAnsi="Arial Narrow"/>
                <w:bCs/>
                <w:sz w:val="20"/>
              </w:rPr>
              <w:t>-</w:t>
            </w:r>
          </w:p>
        </w:tc>
      </w:tr>
      <w:tr w:rsidR="001F275B" w:rsidRPr="002A770B" w14:paraId="44968B36" w14:textId="77777777" w:rsidTr="00F071FF">
        <w:trPr>
          <w:cantSplit/>
          <w:trHeight w:val="55"/>
        </w:trPr>
        <w:tc>
          <w:tcPr>
            <w:tcW w:w="1805" w:type="pct"/>
          </w:tcPr>
          <w:p w14:paraId="5234AA8B" w14:textId="77777777" w:rsidR="001F275B" w:rsidRPr="002A770B" w:rsidRDefault="001F275B" w:rsidP="003D3A34">
            <w:pPr>
              <w:keepNext/>
              <w:jc w:val="left"/>
              <w:rPr>
                <w:rFonts w:ascii="Arial Narrow" w:eastAsiaTheme="majorEastAsia" w:hAnsi="Arial Narrow" w:cstheme="majorBidi"/>
                <w:bCs/>
                <w:sz w:val="20"/>
              </w:rPr>
            </w:pPr>
            <w:r w:rsidRPr="002A770B">
              <w:rPr>
                <w:rFonts w:ascii="Arial Narrow" w:eastAsiaTheme="majorEastAsia" w:hAnsi="Arial Narrow" w:cstheme="majorBidi"/>
                <w:bCs/>
                <w:sz w:val="20"/>
              </w:rPr>
              <w:t>% alive at 18 months (95% CI)</w:t>
            </w:r>
          </w:p>
        </w:tc>
        <w:tc>
          <w:tcPr>
            <w:tcW w:w="825" w:type="pct"/>
            <w:vAlign w:val="center"/>
          </w:tcPr>
          <w:p w14:paraId="497F7C2C"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86% (80%, 90%)</w:t>
            </w:r>
          </w:p>
        </w:tc>
        <w:tc>
          <w:tcPr>
            <w:tcW w:w="904" w:type="pct"/>
            <w:vAlign w:val="center"/>
          </w:tcPr>
          <w:p w14:paraId="3ACB907B"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77% (65%, 85%)</w:t>
            </w:r>
          </w:p>
        </w:tc>
        <w:tc>
          <w:tcPr>
            <w:tcW w:w="629" w:type="pct"/>
            <w:vAlign w:val="center"/>
          </w:tcPr>
          <w:p w14:paraId="2E729920" w14:textId="77777777" w:rsidR="001F275B" w:rsidRPr="002A770B" w:rsidRDefault="001F275B" w:rsidP="003D3A34">
            <w:pPr>
              <w:keepNext/>
              <w:jc w:val="center"/>
              <w:rPr>
                <w:rFonts w:ascii="Arial Narrow" w:eastAsiaTheme="majorEastAsia" w:hAnsi="Arial Narrow"/>
                <w:bCs/>
                <w:sz w:val="20"/>
              </w:rPr>
            </w:pPr>
            <w:r w:rsidRPr="002A770B">
              <w:rPr>
                <w:rFonts w:ascii="Arial Narrow" w:eastAsiaTheme="majorEastAsia" w:hAnsi="Arial Narrow"/>
                <w:bCs/>
                <w:sz w:val="20"/>
              </w:rPr>
              <w:t>9%</w:t>
            </w:r>
          </w:p>
        </w:tc>
        <w:tc>
          <w:tcPr>
            <w:tcW w:w="837" w:type="pct"/>
            <w:vAlign w:val="center"/>
          </w:tcPr>
          <w:p w14:paraId="7D691D50" w14:textId="77777777" w:rsidR="001F275B" w:rsidRPr="002A770B" w:rsidRDefault="00251104" w:rsidP="003D3A34">
            <w:pPr>
              <w:keepNext/>
              <w:jc w:val="center"/>
              <w:rPr>
                <w:rFonts w:ascii="Arial Narrow" w:eastAsiaTheme="majorEastAsia" w:hAnsi="Arial Narrow"/>
                <w:bCs/>
                <w:sz w:val="20"/>
              </w:rPr>
            </w:pPr>
            <w:r>
              <w:rPr>
                <w:rFonts w:ascii="Arial Narrow" w:eastAsiaTheme="majorEastAsia" w:hAnsi="Arial Narrow"/>
                <w:bCs/>
                <w:sz w:val="20"/>
              </w:rPr>
              <w:t>-</w:t>
            </w:r>
          </w:p>
        </w:tc>
      </w:tr>
    </w:tbl>
    <w:p w14:paraId="5E6767EA" w14:textId="77777777" w:rsidR="001F275B" w:rsidRP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Source: </w:t>
      </w:r>
      <w:r w:rsidRPr="001F275B">
        <w:rPr>
          <w:rFonts w:ascii="Arial Narrow" w:hAnsi="Arial Narrow"/>
          <w:snapToGrid w:val="0"/>
          <w:sz w:val="18"/>
          <w:szCs w:val="22"/>
        </w:rPr>
        <w:t>Table 2-35, p 143 of the submission</w:t>
      </w:r>
      <w:r w:rsidRPr="001F275B">
        <w:rPr>
          <w:rFonts w:ascii="Arial Narrow" w:eastAsia="Calibri" w:hAnsi="Arial Narrow"/>
          <w:snapToGrid w:val="0"/>
          <w:sz w:val="18"/>
          <w:szCs w:val="22"/>
        </w:rPr>
        <w:t xml:space="preserve">, Table 2-31, p133 of the submission, Table TEFMPFS01A, </w:t>
      </w:r>
      <w:r w:rsidR="003043F7">
        <w:rPr>
          <w:rFonts w:ascii="Arial Narrow" w:eastAsia="Calibri" w:hAnsi="Arial Narrow"/>
          <w:snapToGrid w:val="0"/>
          <w:sz w:val="18"/>
          <w:szCs w:val="22"/>
        </w:rPr>
        <w:t>p</w:t>
      </w:r>
      <w:r w:rsidRPr="001F275B">
        <w:rPr>
          <w:rFonts w:ascii="Arial Narrow" w:eastAsia="Calibri" w:hAnsi="Arial Narrow"/>
          <w:snapToGrid w:val="0"/>
          <w:sz w:val="18"/>
          <w:szCs w:val="22"/>
        </w:rPr>
        <w:t>1073 of the ANDROMEDA CSR, Table 21, p103 of the ANDROMEDA CSR</w:t>
      </w:r>
    </w:p>
    <w:p w14:paraId="400A58EB" w14:textId="77777777" w:rsidR="001F275B" w:rsidRDefault="001F275B" w:rsidP="001F275B">
      <w:pPr>
        <w:spacing w:after="120"/>
        <w:contextualSpacing/>
        <w:rPr>
          <w:rFonts w:ascii="Arial Narrow" w:eastAsia="Calibri" w:hAnsi="Arial Narrow"/>
          <w:snapToGrid w:val="0"/>
          <w:sz w:val="18"/>
          <w:szCs w:val="22"/>
        </w:rPr>
      </w:pPr>
      <w:r w:rsidRPr="001F275B">
        <w:rPr>
          <w:rFonts w:ascii="Arial Narrow" w:eastAsia="Calibri" w:hAnsi="Arial Narrow"/>
          <w:snapToGrid w:val="0"/>
          <w:sz w:val="18"/>
          <w:szCs w:val="22"/>
        </w:rPr>
        <w:t xml:space="preserve">CI = confidence interval; </w:t>
      </w:r>
      <w:r w:rsidR="00827BA3">
        <w:rPr>
          <w:rFonts w:ascii="Arial Narrow" w:eastAsia="Calibri" w:hAnsi="Arial Narrow"/>
          <w:snapToGrid w:val="0"/>
          <w:sz w:val="18"/>
          <w:szCs w:val="22"/>
        </w:rPr>
        <w:t xml:space="preserve">CyBorD = </w:t>
      </w:r>
      <w:r w:rsidR="009F38C1">
        <w:rPr>
          <w:rFonts w:ascii="Arial Narrow" w:eastAsia="Calibri" w:hAnsi="Arial Narrow"/>
          <w:snapToGrid w:val="0"/>
          <w:sz w:val="18"/>
          <w:szCs w:val="22"/>
        </w:rPr>
        <w:t>cy</w:t>
      </w:r>
      <w:r w:rsidRPr="001F275B">
        <w:rPr>
          <w:rFonts w:ascii="Arial Narrow" w:eastAsia="Calibri" w:hAnsi="Arial Narrow"/>
          <w:snapToGrid w:val="0"/>
          <w:sz w:val="18"/>
          <w:szCs w:val="22"/>
        </w:rPr>
        <w:t xml:space="preserve">clophosphamide, bortezomib and dexamethasone; Dara </w:t>
      </w:r>
      <w:r w:rsidR="00827BA3">
        <w:rPr>
          <w:rFonts w:ascii="Arial Narrow" w:eastAsia="Calibri" w:hAnsi="Arial Narrow"/>
          <w:snapToGrid w:val="0"/>
          <w:sz w:val="18"/>
          <w:szCs w:val="22"/>
        </w:rPr>
        <w:t xml:space="preserve">= </w:t>
      </w:r>
      <w:r w:rsidR="009F38C1">
        <w:rPr>
          <w:rFonts w:ascii="Arial Narrow" w:eastAsia="Calibri" w:hAnsi="Arial Narrow"/>
          <w:snapToGrid w:val="0"/>
          <w:sz w:val="18"/>
          <w:szCs w:val="22"/>
        </w:rPr>
        <w:t>d</w:t>
      </w:r>
      <w:r w:rsidRPr="001F275B">
        <w:rPr>
          <w:rFonts w:ascii="Arial Narrow" w:eastAsia="Calibri" w:hAnsi="Arial Narrow"/>
          <w:snapToGrid w:val="0"/>
          <w:sz w:val="18"/>
          <w:szCs w:val="22"/>
        </w:rPr>
        <w:t xml:space="preserve">aratumumab subcutaneous e; HR = hazard ratio; OS = overall survival; NE = not estimable, </w:t>
      </w:r>
      <w:r w:rsidRPr="001F275B">
        <w:rPr>
          <w:rFonts w:ascii="Arial Narrow" w:eastAsia="Calibri" w:hAnsi="Arial Narrow"/>
          <w:b/>
          <w:snapToGrid w:val="0"/>
          <w:sz w:val="18"/>
          <w:szCs w:val="22"/>
        </w:rPr>
        <w:t>Bold</w:t>
      </w:r>
      <w:r w:rsidRPr="001F275B">
        <w:rPr>
          <w:rFonts w:ascii="Arial Narrow" w:eastAsia="Calibri" w:hAnsi="Arial Narrow"/>
          <w:snapToGrid w:val="0"/>
          <w:sz w:val="18"/>
          <w:szCs w:val="22"/>
        </w:rPr>
        <w:t xml:space="preserve"> = statistically significant; </w:t>
      </w:r>
      <w:r w:rsidR="00CF7351" w:rsidRPr="00CF7351">
        <w:rPr>
          <w:rFonts w:ascii="Arial Narrow" w:eastAsia="Calibri" w:hAnsi="Arial Narrow"/>
          <w:i/>
          <w:snapToGrid w:val="0"/>
          <w:sz w:val="18"/>
          <w:szCs w:val="22"/>
        </w:rPr>
        <w:t>italics</w:t>
      </w:r>
      <w:r w:rsidRPr="001F275B">
        <w:rPr>
          <w:rFonts w:ascii="Arial Narrow" w:eastAsia="Calibri" w:hAnsi="Arial Narrow"/>
          <w:snapToGrid w:val="0"/>
          <w:sz w:val="18"/>
          <w:szCs w:val="22"/>
        </w:rPr>
        <w:t xml:space="preserve"> = conducted by the evaluation</w:t>
      </w:r>
    </w:p>
    <w:p w14:paraId="68021233" w14:textId="77777777" w:rsidR="009009D2" w:rsidRDefault="009009D2" w:rsidP="009009D2">
      <w:pPr>
        <w:keepNext/>
        <w:keepLines/>
        <w:jc w:val="left"/>
        <w:rPr>
          <w:rFonts w:ascii="Arial Narrow" w:eastAsiaTheme="majorEastAsia" w:hAnsi="Arial Narrow" w:cstheme="majorBidi"/>
          <w:b/>
          <w:bCs/>
          <w:sz w:val="20"/>
        </w:rPr>
      </w:pPr>
      <w:bookmarkStart w:id="37" w:name="_Ref79494587"/>
    </w:p>
    <w:p w14:paraId="32811EC5" w14:textId="77777777" w:rsidR="009009D2" w:rsidRDefault="009E2F8E" w:rsidP="009009D2">
      <w:pPr>
        <w:keepNext/>
        <w:keepLines/>
        <w:jc w:val="left"/>
        <w:rPr>
          <w:rFonts w:ascii="Arial Narrow" w:eastAsiaTheme="majorEastAsia" w:hAnsi="Arial Narrow" w:cstheme="majorBidi"/>
          <w:b/>
          <w:bCs/>
          <w:sz w:val="20"/>
        </w:rPr>
      </w:pPr>
      <w:r w:rsidRPr="009E2F8E">
        <w:rPr>
          <w:rFonts w:ascii="Arial Narrow" w:eastAsiaTheme="majorEastAsia" w:hAnsi="Arial Narrow" w:cstheme="majorBidi"/>
          <w:b/>
          <w:bCs/>
          <w:sz w:val="20"/>
        </w:rPr>
        <w:t xml:space="preserve">Figure </w:t>
      </w:r>
      <w:r w:rsidR="008A0743">
        <w:rPr>
          <w:rFonts w:ascii="Arial Narrow" w:eastAsiaTheme="majorEastAsia" w:hAnsi="Arial Narrow" w:cstheme="majorBidi"/>
          <w:b/>
          <w:bCs/>
          <w:noProof/>
          <w:sz w:val="20"/>
        </w:rPr>
        <w:t>3</w:t>
      </w:r>
      <w:r w:rsidRPr="009E2F8E">
        <w:rPr>
          <w:rFonts w:ascii="Arial Narrow" w:eastAsiaTheme="majorEastAsia" w:hAnsi="Arial Narrow" w:cstheme="majorBidi"/>
          <w:b/>
          <w:bCs/>
          <w:sz w:val="20"/>
        </w:rPr>
        <w:t xml:space="preserve">: </w:t>
      </w:r>
      <w:bookmarkEnd w:id="37"/>
      <w:r w:rsidR="009009D2" w:rsidRPr="001F275B">
        <w:rPr>
          <w:rFonts w:ascii="Arial Narrow" w:eastAsiaTheme="majorEastAsia" w:hAnsi="Arial Narrow" w:cstheme="majorBidi"/>
          <w:b/>
          <w:bCs/>
          <w:sz w:val="20"/>
        </w:rPr>
        <w:t xml:space="preserve">Kaplan-Meier graph for overall survival in the ANDROMEDA trial </w:t>
      </w:r>
    </w:p>
    <w:p w14:paraId="1E864927" w14:textId="77777777" w:rsidR="00DE733E" w:rsidRPr="001F275B" w:rsidRDefault="00DE733E" w:rsidP="009009D2">
      <w:pPr>
        <w:keepNext/>
        <w:keepLines/>
        <w:jc w:val="left"/>
        <w:rPr>
          <w:rFonts w:ascii="Arial Narrow" w:eastAsiaTheme="majorEastAsia" w:hAnsi="Arial Narrow" w:cstheme="majorBidi"/>
          <w:b/>
          <w:bCs/>
          <w:sz w:val="20"/>
        </w:rPr>
      </w:pPr>
      <w:r>
        <w:rPr>
          <w:rFonts w:ascii="Arial Narrow" w:eastAsiaTheme="majorEastAsia" w:hAnsi="Arial Narrow" w:cstheme="majorBidi"/>
          <w:b/>
          <w:bCs/>
          <w:noProof/>
          <w:sz w:val="20"/>
        </w:rPr>
        <w:drawing>
          <wp:inline distT="0" distB="0" distL="0" distR="0" wp14:anchorId="3D8C006D" wp14:editId="7B2FA930">
            <wp:extent cx="5730875" cy="4627245"/>
            <wp:effectExtent l="0" t="0" r="3175" b="1905"/>
            <wp:docPr id="20" name="Picture 20" title="Figure 3: Kaplan-Meier graph for overall survival in the ANDROMEDA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627245"/>
                    </a:xfrm>
                    <a:prstGeom prst="rect">
                      <a:avLst/>
                    </a:prstGeom>
                    <a:noFill/>
                  </pic:spPr>
                </pic:pic>
              </a:graphicData>
            </a:graphic>
          </wp:inline>
        </w:drawing>
      </w:r>
    </w:p>
    <w:p w14:paraId="20B131FD" w14:textId="77777777" w:rsidR="001F275B" w:rsidRPr="001F275B" w:rsidRDefault="001F275B" w:rsidP="001F275B">
      <w:pPr>
        <w:keepNext/>
        <w:keepLines/>
        <w:jc w:val="left"/>
        <w:rPr>
          <w:rFonts w:ascii="Arial Narrow" w:eastAsiaTheme="majorEastAsia" w:hAnsi="Arial Narrow" w:cstheme="majorBidi"/>
          <w:bCs/>
          <w:sz w:val="20"/>
        </w:rPr>
      </w:pPr>
      <w:r w:rsidRPr="001F275B">
        <w:rPr>
          <w:rFonts w:ascii="Arial Narrow" w:eastAsiaTheme="majorEastAsia" w:hAnsi="Arial Narrow" w:cstheme="majorBidi"/>
          <w:bCs/>
          <w:sz w:val="20"/>
        </w:rPr>
        <w:t>Source: Figure 2-14, p144 of the submission ANDROMEDA CSR, Figure 10, p104</w:t>
      </w:r>
    </w:p>
    <w:p w14:paraId="48D78210" w14:textId="77777777" w:rsidR="001F275B" w:rsidRPr="001F275B" w:rsidRDefault="001F275B" w:rsidP="001F275B">
      <w:pPr>
        <w:keepNext/>
        <w:keepLines/>
        <w:jc w:val="left"/>
        <w:rPr>
          <w:rFonts w:ascii="Arial Narrow" w:eastAsia="Calibri" w:hAnsi="Arial Narrow" w:cstheme="majorBidi"/>
          <w:bCs/>
          <w:sz w:val="20"/>
        </w:rPr>
      </w:pPr>
      <w:r w:rsidRPr="001F275B">
        <w:rPr>
          <w:rFonts w:ascii="Arial Narrow" w:eastAsia="Calibri" w:hAnsi="Arial Narrow" w:cstheme="majorBidi"/>
          <w:bCs/>
          <w:sz w:val="20"/>
        </w:rPr>
        <w:t xml:space="preserve"> </w:t>
      </w:r>
      <w:r w:rsidR="00827BA3">
        <w:rPr>
          <w:rFonts w:ascii="Arial Narrow" w:eastAsia="Calibri" w:hAnsi="Arial Narrow" w:cstheme="majorBidi"/>
          <w:bCs/>
          <w:sz w:val="20"/>
        </w:rPr>
        <w:t xml:space="preserve">CyBorD = </w:t>
      </w:r>
      <w:r w:rsidR="009F38C1">
        <w:rPr>
          <w:rFonts w:ascii="Arial Narrow" w:eastAsia="Calibri" w:hAnsi="Arial Narrow" w:cstheme="majorBidi"/>
          <w:bCs/>
          <w:sz w:val="20"/>
        </w:rPr>
        <w:t>cy</w:t>
      </w:r>
      <w:r w:rsidRPr="001F275B">
        <w:rPr>
          <w:rFonts w:ascii="Arial Narrow" w:eastAsia="Calibri" w:hAnsi="Arial Narrow" w:cstheme="majorBidi"/>
          <w:bCs/>
          <w:sz w:val="20"/>
        </w:rPr>
        <w:t>clophosphamide, bortezomib and dexamethasone; Dara SC =</w:t>
      </w:r>
      <w:r w:rsidR="00023AE3">
        <w:rPr>
          <w:rFonts w:ascii="Arial Narrow" w:eastAsia="Calibri" w:hAnsi="Arial Narrow" w:cstheme="majorBidi"/>
          <w:bCs/>
          <w:sz w:val="20"/>
        </w:rPr>
        <w:t xml:space="preserve"> </w:t>
      </w:r>
      <w:r w:rsidRPr="001F275B">
        <w:rPr>
          <w:rFonts w:ascii="Arial Narrow" w:eastAsia="Calibri" w:hAnsi="Arial Narrow" w:cstheme="majorBidi"/>
          <w:bCs/>
          <w:sz w:val="20"/>
        </w:rPr>
        <w:t xml:space="preserve">daratumumab subcutaneous </w:t>
      </w:r>
    </w:p>
    <w:p w14:paraId="0EA580C6" w14:textId="77777777" w:rsidR="001F275B" w:rsidRPr="001F275B" w:rsidRDefault="001F275B" w:rsidP="00C23B0E">
      <w:pPr>
        <w:rPr>
          <w:rFonts w:eastAsia="Calibri"/>
          <w:snapToGrid w:val="0"/>
        </w:rPr>
      </w:pPr>
    </w:p>
    <w:p w14:paraId="7E49E10D" w14:textId="77777777" w:rsidR="001F275B" w:rsidRPr="00DF6E07" w:rsidRDefault="001F275B" w:rsidP="00C81A19">
      <w:pPr>
        <w:numPr>
          <w:ilvl w:val="1"/>
          <w:numId w:val="1"/>
        </w:numPr>
        <w:spacing w:after="120"/>
        <w:rPr>
          <w:rFonts w:asciiTheme="minorHAnsi" w:hAnsiTheme="minorHAnsi"/>
          <w:snapToGrid w:val="0"/>
        </w:rPr>
      </w:pPr>
      <w:r w:rsidRPr="00DF6E07">
        <w:rPr>
          <w:rFonts w:asciiTheme="minorHAnsi" w:hAnsiTheme="minorHAnsi"/>
          <w:snapToGrid w:val="0"/>
        </w:rPr>
        <w:t>At the time of the second interim analysis (</w:t>
      </w:r>
      <w:r w:rsidR="00DF6E07" w:rsidRPr="00DF6E07">
        <w:rPr>
          <w:rFonts w:asciiTheme="minorHAnsi" w:hAnsiTheme="minorHAnsi"/>
          <w:snapToGrid w:val="0"/>
        </w:rPr>
        <w:t>as presented in the submission</w:t>
      </w:r>
      <w:r w:rsidRPr="00DF6E07">
        <w:rPr>
          <w:rFonts w:asciiTheme="minorHAnsi" w:hAnsiTheme="minorHAnsi"/>
          <w:snapToGrid w:val="0"/>
        </w:rPr>
        <w:t xml:space="preserve">), there were 27 deaths (14%) in the daratumumab SC + CyBorD </w:t>
      </w:r>
      <w:r w:rsidR="00233E02" w:rsidRPr="00DF6E07">
        <w:rPr>
          <w:rFonts w:asciiTheme="minorHAnsi" w:hAnsiTheme="minorHAnsi"/>
          <w:snapToGrid w:val="0"/>
        </w:rPr>
        <w:t xml:space="preserve">arm </w:t>
      </w:r>
      <w:r w:rsidRPr="00DF6E07">
        <w:rPr>
          <w:rFonts w:asciiTheme="minorHAnsi" w:hAnsiTheme="minorHAnsi"/>
          <w:snapToGrid w:val="0"/>
        </w:rPr>
        <w:t xml:space="preserve">and 29 deaths (15%) in the CyBorD arm. The hazard ratio for survival was 0.91 (95% CI: 0.54, 1.53). </w:t>
      </w:r>
      <w:r w:rsidR="00833643" w:rsidRPr="00DF6E07">
        <w:rPr>
          <w:rFonts w:asciiTheme="minorHAnsi" w:hAnsiTheme="minorHAnsi"/>
          <w:snapToGrid w:val="0"/>
        </w:rPr>
        <w:t xml:space="preserve">The ESC noted </w:t>
      </w:r>
      <w:r w:rsidR="00833643" w:rsidRPr="00DF6E07">
        <w:rPr>
          <w:rFonts w:asciiTheme="minorHAnsi" w:hAnsiTheme="minorHAnsi"/>
          <w:snapToGrid w:val="0"/>
        </w:rPr>
        <w:lastRenderedPageBreak/>
        <w:t>that m</w:t>
      </w:r>
      <w:r w:rsidR="00194A97" w:rsidRPr="00DF6E07">
        <w:rPr>
          <w:rFonts w:asciiTheme="minorHAnsi" w:hAnsiTheme="minorHAnsi"/>
          <w:snapToGrid w:val="0"/>
        </w:rPr>
        <w:t>edian survival was not reached in either arm at the time of analysis, suggesting survival data are immature.</w:t>
      </w:r>
      <w:r w:rsidR="000867FD" w:rsidRPr="00DF6E07">
        <w:rPr>
          <w:rFonts w:asciiTheme="minorHAnsi" w:hAnsiTheme="minorHAnsi"/>
          <w:snapToGrid w:val="0"/>
        </w:rPr>
        <w:t xml:space="preserve">  </w:t>
      </w:r>
    </w:p>
    <w:p w14:paraId="734BA79B" w14:textId="77777777" w:rsidR="008D44D3" w:rsidRPr="009E082D" w:rsidRDefault="008D44D3" w:rsidP="00A8787E">
      <w:pPr>
        <w:numPr>
          <w:ilvl w:val="1"/>
          <w:numId w:val="1"/>
        </w:numPr>
        <w:spacing w:after="120"/>
        <w:rPr>
          <w:rFonts w:asciiTheme="minorHAnsi" w:hAnsiTheme="minorHAnsi"/>
          <w:snapToGrid w:val="0"/>
        </w:rPr>
      </w:pPr>
      <w:r w:rsidRPr="006F2DBA">
        <w:t xml:space="preserve">In regard to overall survival, the ESC </w:t>
      </w:r>
      <w:r w:rsidR="00D42A35" w:rsidRPr="006F2DBA">
        <w:rPr>
          <w:rFonts w:eastAsiaTheme="minorEastAsia" w:cstheme="minorBidi"/>
        </w:rPr>
        <w:t>considered</w:t>
      </w:r>
      <w:r w:rsidRPr="006F2DBA">
        <w:rPr>
          <w:rFonts w:eastAsiaTheme="minorEastAsia" w:cstheme="minorBidi"/>
        </w:rPr>
        <w:t xml:space="preserve"> it is biologically plausible that a rapid haematological response and stabilisation or recovery of organ function, in particular as measured by cardiac response</w:t>
      </w:r>
      <w:r w:rsidR="00D42A35" w:rsidRPr="006F2DBA">
        <w:rPr>
          <w:rFonts w:eastAsiaTheme="minorEastAsia" w:cstheme="minorBidi"/>
        </w:rPr>
        <w:t>,</w:t>
      </w:r>
      <w:r w:rsidRPr="006F2DBA">
        <w:rPr>
          <w:rFonts w:eastAsiaTheme="minorEastAsia" w:cstheme="minorBidi"/>
        </w:rPr>
        <w:t xml:space="preserve"> would influence OS.</w:t>
      </w:r>
    </w:p>
    <w:p w14:paraId="3869D720" w14:textId="77777777" w:rsidR="001F275B" w:rsidRPr="001F275B" w:rsidRDefault="001F275B" w:rsidP="00032096">
      <w:pPr>
        <w:keepNext/>
        <w:spacing w:after="120"/>
        <w:rPr>
          <w:rFonts w:asciiTheme="minorHAnsi" w:hAnsiTheme="minorHAnsi"/>
          <w:u w:val="single"/>
        </w:rPr>
      </w:pPr>
      <w:r w:rsidRPr="001F275B">
        <w:rPr>
          <w:rFonts w:asciiTheme="minorHAnsi" w:hAnsiTheme="minorHAnsi"/>
          <w:u w:val="single"/>
        </w:rPr>
        <w:t xml:space="preserve">Daratumumab vs. MDex </w:t>
      </w:r>
      <w:r w:rsidR="003A0AB1">
        <w:rPr>
          <w:rFonts w:asciiTheme="minorHAnsi" w:hAnsiTheme="minorHAnsi"/>
          <w:u w:val="single"/>
        </w:rPr>
        <w:t>(ITC</w:t>
      </w:r>
      <w:r w:rsidRPr="001F275B">
        <w:rPr>
          <w:rFonts w:asciiTheme="minorHAnsi" w:hAnsiTheme="minorHAnsi"/>
          <w:u w:val="single"/>
        </w:rPr>
        <w:t xml:space="preserve">) </w:t>
      </w:r>
    </w:p>
    <w:p w14:paraId="4F6EBD2B" w14:textId="77777777" w:rsidR="001F275B" w:rsidRDefault="008A0743" w:rsidP="001F275B">
      <w:pPr>
        <w:numPr>
          <w:ilvl w:val="1"/>
          <w:numId w:val="1"/>
        </w:numPr>
        <w:spacing w:after="120"/>
        <w:rPr>
          <w:rFonts w:asciiTheme="minorHAnsi" w:hAnsiTheme="minorHAnsi" w:cstheme="minorHAnsi"/>
          <w:snapToGrid w:val="0"/>
        </w:rPr>
      </w:pPr>
      <w:r w:rsidRPr="008A0743">
        <w:rPr>
          <w:rFonts w:asciiTheme="minorHAnsi" w:hAnsiTheme="minorHAnsi" w:cstheme="minorHAnsi"/>
          <w:bCs/>
        </w:rPr>
        <w:t xml:space="preserve">Table </w:t>
      </w:r>
      <w:r w:rsidR="001A7573">
        <w:rPr>
          <w:rFonts w:asciiTheme="minorHAnsi" w:hAnsiTheme="minorHAnsi" w:cstheme="minorHAnsi"/>
          <w:snapToGrid w:val="0"/>
        </w:rPr>
        <w:t>8</w:t>
      </w:r>
      <w:r w:rsidR="001F275B" w:rsidRPr="001F275B">
        <w:rPr>
          <w:rFonts w:asciiTheme="minorHAnsi" w:hAnsiTheme="minorHAnsi" w:cstheme="minorHAnsi"/>
          <w:snapToGrid w:val="0"/>
        </w:rPr>
        <w:t xml:space="preserve"> presents the indirect comparison of MOD-PFS</w:t>
      </w:r>
      <w:r w:rsidR="00247852">
        <w:rPr>
          <w:rFonts w:asciiTheme="minorHAnsi" w:hAnsiTheme="minorHAnsi" w:cstheme="minorHAnsi"/>
          <w:snapToGrid w:val="0"/>
        </w:rPr>
        <w:t>/PFS</w:t>
      </w:r>
      <w:r w:rsidR="001F275B" w:rsidRPr="001F275B">
        <w:rPr>
          <w:rFonts w:asciiTheme="minorHAnsi" w:hAnsiTheme="minorHAnsi" w:cstheme="minorHAnsi"/>
          <w:snapToGrid w:val="0"/>
        </w:rPr>
        <w:t xml:space="preserve"> for daratumumab SC + CyBorD compared with MDex.</w:t>
      </w:r>
    </w:p>
    <w:p w14:paraId="665BEC97" w14:textId="77777777" w:rsidR="001F275B" w:rsidRDefault="001F275B" w:rsidP="001F275B">
      <w:pPr>
        <w:keepNext/>
        <w:rPr>
          <w:rFonts w:ascii="Arial Narrow" w:hAnsi="Arial Narrow"/>
          <w:b/>
          <w:bCs/>
          <w:sz w:val="20"/>
          <w:szCs w:val="18"/>
        </w:rPr>
      </w:pPr>
      <w:bookmarkStart w:id="38" w:name="_Ref79581316"/>
      <w:r w:rsidRPr="001F275B">
        <w:rPr>
          <w:rFonts w:ascii="Arial Narrow" w:hAnsi="Arial Narrow"/>
          <w:b/>
          <w:bCs/>
          <w:sz w:val="20"/>
          <w:szCs w:val="18"/>
        </w:rPr>
        <w:t xml:space="preserve">Table </w:t>
      </w:r>
      <w:bookmarkEnd w:id="38"/>
      <w:r w:rsidR="00695A67">
        <w:rPr>
          <w:rFonts w:ascii="Arial Narrow" w:hAnsi="Arial Narrow"/>
          <w:b/>
          <w:bCs/>
          <w:sz w:val="20"/>
          <w:szCs w:val="18"/>
        </w:rPr>
        <w:t>8</w:t>
      </w:r>
      <w:r w:rsidRPr="001F275B">
        <w:rPr>
          <w:rFonts w:ascii="Arial Narrow" w:hAnsi="Arial Narrow"/>
          <w:b/>
          <w:bCs/>
          <w:sz w:val="20"/>
          <w:szCs w:val="18"/>
        </w:rPr>
        <w:t xml:space="preserve">: Indirect comparison of Dara +CyBorD vs. MDex, via the common comparator, bortezomib based regimens for the outcome – complete hematologic response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ndirect comparison of Dara +CyBorD vs. MDex, via the common comparator, bortezomib based regimens for the outcome – complete hematologic response "/>
      </w:tblPr>
      <w:tblGrid>
        <w:gridCol w:w="1451"/>
        <w:gridCol w:w="1805"/>
        <w:gridCol w:w="1417"/>
        <w:gridCol w:w="1559"/>
        <w:gridCol w:w="1418"/>
        <w:gridCol w:w="1367"/>
      </w:tblGrid>
      <w:tr w:rsidR="005F48E6" w:rsidRPr="001F275B" w14:paraId="7BB05959" w14:textId="77777777" w:rsidTr="003B4BE3">
        <w:trPr>
          <w:tblHeader/>
        </w:trPr>
        <w:tc>
          <w:tcPr>
            <w:tcW w:w="1451" w:type="dxa"/>
            <w:tcMar>
              <w:left w:w="28" w:type="dxa"/>
              <w:right w:w="28" w:type="dxa"/>
            </w:tcMar>
            <w:vAlign w:val="center"/>
          </w:tcPr>
          <w:p w14:paraId="6F90521E" w14:textId="77777777" w:rsidR="005F48E6" w:rsidRPr="001F275B" w:rsidRDefault="00636E95" w:rsidP="008B0D30">
            <w:pPr>
              <w:keepNext/>
              <w:jc w:val="left"/>
              <w:rPr>
                <w:rFonts w:ascii="Arial Narrow" w:eastAsiaTheme="majorEastAsia" w:hAnsi="Arial Narrow" w:cstheme="majorBidi"/>
                <w:b/>
                <w:bCs/>
                <w:sz w:val="20"/>
              </w:rPr>
            </w:pPr>
            <w:r>
              <w:rPr>
                <w:rFonts w:ascii="Arial Narrow" w:eastAsiaTheme="majorEastAsia" w:hAnsi="Arial Narrow" w:cstheme="majorBidi"/>
                <w:b/>
                <w:bCs/>
                <w:sz w:val="20"/>
              </w:rPr>
              <w:t xml:space="preserve">Comparison </w:t>
            </w:r>
          </w:p>
        </w:tc>
        <w:tc>
          <w:tcPr>
            <w:tcW w:w="1805" w:type="dxa"/>
            <w:shd w:val="clear" w:color="auto" w:fill="auto"/>
            <w:tcMar>
              <w:left w:w="28" w:type="dxa"/>
              <w:right w:w="28" w:type="dxa"/>
            </w:tcMar>
            <w:vAlign w:val="center"/>
          </w:tcPr>
          <w:p w14:paraId="0EAB2D02" w14:textId="77777777" w:rsidR="005F48E6" w:rsidRPr="001F275B" w:rsidRDefault="005F48E6" w:rsidP="008B0D30">
            <w:pPr>
              <w:keepNext/>
              <w:jc w:val="left"/>
              <w:rPr>
                <w:rFonts w:ascii="Arial Narrow" w:eastAsiaTheme="majorEastAsia" w:hAnsi="Arial Narrow" w:cstheme="majorBidi"/>
                <w:b/>
                <w:bCs/>
                <w:sz w:val="20"/>
              </w:rPr>
            </w:pPr>
            <w:r w:rsidRPr="001F275B">
              <w:rPr>
                <w:rFonts w:ascii="Arial Narrow" w:eastAsiaTheme="majorEastAsia" w:hAnsi="Arial Narrow" w:cstheme="majorBidi"/>
                <w:b/>
                <w:bCs/>
                <w:sz w:val="20"/>
              </w:rPr>
              <w:t>Trial</w:t>
            </w:r>
          </w:p>
        </w:tc>
        <w:tc>
          <w:tcPr>
            <w:tcW w:w="1417" w:type="dxa"/>
            <w:shd w:val="clear" w:color="auto" w:fill="auto"/>
            <w:tcMar>
              <w:left w:w="28" w:type="dxa"/>
              <w:right w:w="28" w:type="dxa"/>
            </w:tcMar>
            <w:vAlign w:val="center"/>
          </w:tcPr>
          <w:p w14:paraId="57EA4C9D"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Intervention</w:t>
            </w:r>
          </w:p>
          <w:p w14:paraId="528A074A"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n/N (%)</w:t>
            </w:r>
          </w:p>
        </w:tc>
        <w:tc>
          <w:tcPr>
            <w:tcW w:w="1559" w:type="dxa"/>
            <w:shd w:val="clear" w:color="auto" w:fill="auto"/>
            <w:tcMar>
              <w:left w:w="28" w:type="dxa"/>
              <w:right w:w="28" w:type="dxa"/>
            </w:tcMar>
            <w:vAlign w:val="center"/>
          </w:tcPr>
          <w:p w14:paraId="14467D13"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Bortezomib based regimens</w:t>
            </w:r>
          </w:p>
          <w:p w14:paraId="6F38F78C"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n/N (%)</w:t>
            </w:r>
          </w:p>
        </w:tc>
        <w:tc>
          <w:tcPr>
            <w:tcW w:w="1418" w:type="dxa"/>
            <w:shd w:val="clear" w:color="auto" w:fill="auto"/>
            <w:tcMar>
              <w:left w:w="28" w:type="dxa"/>
              <w:right w:w="28" w:type="dxa"/>
            </w:tcMar>
            <w:vAlign w:val="center"/>
          </w:tcPr>
          <w:p w14:paraId="777DB828"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Odd</w:t>
            </w:r>
            <w:r w:rsidR="003B4BE3">
              <w:rPr>
                <w:rFonts w:ascii="Arial Narrow" w:eastAsiaTheme="majorEastAsia" w:hAnsi="Arial Narrow" w:cstheme="majorBidi"/>
                <w:b/>
                <w:bCs/>
                <w:sz w:val="20"/>
              </w:rPr>
              <w:t>s</w:t>
            </w:r>
            <w:r w:rsidRPr="001F275B">
              <w:rPr>
                <w:rFonts w:ascii="Arial Narrow" w:eastAsiaTheme="majorEastAsia" w:hAnsi="Arial Narrow" w:cstheme="majorBidi"/>
                <w:b/>
                <w:bCs/>
                <w:sz w:val="20"/>
              </w:rPr>
              <w:t xml:space="preserve"> Ratio</w:t>
            </w:r>
          </w:p>
          <w:p w14:paraId="2D0ED1F1"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(95% CI)</w:t>
            </w:r>
          </w:p>
        </w:tc>
        <w:tc>
          <w:tcPr>
            <w:tcW w:w="1367" w:type="dxa"/>
            <w:shd w:val="clear" w:color="auto" w:fill="auto"/>
            <w:tcMar>
              <w:left w:w="28" w:type="dxa"/>
              <w:right w:w="28" w:type="dxa"/>
            </w:tcMar>
            <w:vAlign w:val="center"/>
          </w:tcPr>
          <w:p w14:paraId="2C98C452"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 xml:space="preserve">Relative Risk </w:t>
            </w:r>
            <w:r w:rsidR="003B4BE3">
              <w:rPr>
                <w:rFonts w:ascii="Arial Narrow" w:eastAsiaTheme="majorEastAsia" w:hAnsi="Arial Narrow" w:cstheme="majorBidi"/>
                <w:b/>
                <w:bCs/>
                <w:sz w:val="20"/>
              </w:rPr>
              <w:br/>
            </w:r>
            <w:r w:rsidRPr="001F275B">
              <w:rPr>
                <w:rFonts w:ascii="Arial Narrow" w:eastAsiaTheme="majorEastAsia" w:hAnsi="Arial Narrow" w:cstheme="majorBidi"/>
                <w:b/>
                <w:bCs/>
                <w:sz w:val="20"/>
              </w:rPr>
              <w:t>(95% CI)</w:t>
            </w:r>
          </w:p>
        </w:tc>
      </w:tr>
      <w:tr w:rsidR="005F48E6" w:rsidRPr="001F275B" w14:paraId="0AC6987F" w14:textId="77777777" w:rsidTr="003B4BE3">
        <w:trPr>
          <w:trHeight w:val="249"/>
        </w:trPr>
        <w:tc>
          <w:tcPr>
            <w:tcW w:w="1451" w:type="dxa"/>
            <w:vMerge w:val="restart"/>
            <w:tcMar>
              <w:left w:w="28" w:type="dxa"/>
              <w:right w:w="28" w:type="dxa"/>
            </w:tcMar>
            <w:vAlign w:val="center"/>
          </w:tcPr>
          <w:p w14:paraId="3760AA30"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Dara +CyBorD vs. CyBorD</w:t>
            </w:r>
            <w:r>
              <w:rPr>
                <w:rFonts w:ascii="Arial Narrow" w:eastAsiaTheme="majorEastAsia" w:hAnsi="Arial Narrow" w:cstheme="majorBidi"/>
                <w:bCs/>
                <w:sz w:val="20"/>
              </w:rPr>
              <w:t>- ITT</w:t>
            </w:r>
          </w:p>
        </w:tc>
        <w:tc>
          <w:tcPr>
            <w:tcW w:w="1805" w:type="dxa"/>
            <w:shd w:val="clear" w:color="auto" w:fill="auto"/>
            <w:tcMar>
              <w:left w:w="28" w:type="dxa"/>
              <w:right w:w="28" w:type="dxa"/>
            </w:tcMar>
            <w:vAlign w:val="center"/>
          </w:tcPr>
          <w:p w14:paraId="126DBAD9"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ANDROMEDA</w:t>
            </w:r>
          </w:p>
        </w:tc>
        <w:tc>
          <w:tcPr>
            <w:tcW w:w="1417" w:type="dxa"/>
            <w:shd w:val="clear" w:color="auto" w:fill="auto"/>
            <w:tcMar>
              <w:left w:w="28" w:type="dxa"/>
              <w:right w:w="28" w:type="dxa"/>
            </w:tcMar>
            <w:vAlign w:val="center"/>
          </w:tcPr>
          <w:p w14:paraId="16A5CE48"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104/195 (53%)</w:t>
            </w:r>
          </w:p>
        </w:tc>
        <w:tc>
          <w:tcPr>
            <w:tcW w:w="1559" w:type="dxa"/>
            <w:shd w:val="clear" w:color="auto" w:fill="auto"/>
            <w:tcMar>
              <w:left w:w="28" w:type="dxa"/>
              <w:right w:w="28" w:type="dxa"/>
            </w:tcMar>
            <w:vAlign w:val="center"/>
          </w:tcPr>
          <w:p w14:paraId="71E76384"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35/193 (18%)</w:t>
            </w:r>
          </w:p>
        </w:tc>
        <w:tc>
          <w:tcPr>
            <w:tcW w:w="1418" w:type="dxa"/>
            <w:shd w:val="clear" w:color="auto" w:fill="auto"/>
            <w:tcMar>
              <w:left w:w="28" w:type="dxa"/>
              <w:right w:w="28" w:type="dxa"/>
            </w:tcMar>
            <w:vAlign w:val="center"/>
          </w:tcPr>
          <w:p w14:paraId="54E1A41B"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5.13 (3.22, 8.16)</w:t>
            </w:r>
          </w:p>
        </w:tc>
        <w:tc>
          <w:tcPr>
            <w:tcW w:w="1367" w:type="dxa"/>
            <w:shd w:val="clear" w:color="auto" w:fill="auto"/>
            <w:tcMar>
              <w:left w:w="28" w:type="dxa"/>
              <w:right w:w="28" w:type="dxa"/>
            </w:tcMar>
            <w:vAlign w:val="center"/>
          </w:tcPr>
          <w:p w14:paraId="6F618209"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2.94 (2.12, 4.08)</w:t>
            </w:r>
          </w:p>
        </w:tc>
      </w:tr>
      <w:tr w:rsidR="005F48E6" w:rsidRPr="001F275B" w14:paraId="49C20E3A" w14:textId="77777777" w:rsidTr="003B4BE3">
        <w:trPr>
          <w:trHeight w:val="249"/>
        </w:trPr>
        <w:tc>
          <w:tcPr>
            <w:tcW w:w="1451" w:type="dxa"/>
            <w:vMerge/>
            <w:tcMar>
              <w:left w:w="28" w:type="dxa"/>
              <w:right w:w="28" w:type="dxa"/>
            </w:tcMar>
            <w:vAlign w:val="center"/>
          </w:tcPr>
          <w:p w14:paraId="7FD4F21C" w14:textId="77777777" w:rsidR="005F48E6" w:rsidRPr="001F275B" w:rsidRDefault="005F48E6" w:rsidP="008B0D30">
            <w:pPr>
              <w:keepNext/>
              <w:jc w:val="left"/>
              <w:rPr>
                <w:rFonts w:ascii="Arial Narrow" w:eastAsiaTheme="majorEastAsia" w:hAnsi="Arial Narrow" w:cstheme="majorBidi"/>
                <w:bCs/>
                <w:sz w:val="20"/>
              </w:rPr>
            </w:pPr>
          </w:p>
        </w:tc>
        <w:tc>
          <w:tcPr>
            <w:tcW w:w="1805" w:type="dxa"/>
            <w:shd w:val="clear" w:color="auto" w:fill="auto"/>
            <w:tcMar>
              <w:left w:w="28" w:type="dxa"/>
              <w:right w:w="28" w:type="dxa"/>
            </w:tcMar>
            <w:vAlign w:val="center"/>
          </w:tcPr>
          <w:p w14:paraId="2759224C"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Median follow-up (months)</w:t>
            </w:r>
          </w:p>
        </w:tc>
        <w:tc>
          <w:tcPr>
            <w:tcW w:w="1417" w:type="dxa"/>
            <w:shd w:val="clear" w:color="auto" w:fill="auto"/>
            <w:tcMar>
              <w:left w:w="28" w:type="dxa"/>
              <w:right w:w="28" w:type="dxa"/>
            </w:tcMar>
            <w:vAlign w:val="center"/>
          </w:tcPr>
          <w:p w14:paraId="2185767B"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iCs/>
                <w:sz w:val="20"/>
              </w:rPr>
              <w:t>11.</w:t>
            </w:r>
            <w:r>
              <w:rPr>
                <w:rFonts w:ascii="Arial Narrow" w:eastAsiaTheme="majorEastAsia" w:hAnsi="Arial Narrow" w:cstheme="majorBidi"/>
                <w:bCs/>
                <w:iCs/>
                <w:sz w:val="20"/>
              </w:rPr>
              <w:t>4</w:t>
            </w:r>
          </w:p>
        </w:tc>
        <w:tc>
          <w:tcPr>
            <w:tcW w:w="1559" w:type="dxa"/>
            <w:shd w:val="clear" w:color="auto" w:fill="auto"/>
            <w:tcMar>
              <w:left w:w="28" w:type="dxa"/>
              <w:right w:w="28" w:type="dxa"/>
            </w:tcMar>
            <w:vAlign w:val="center"/>
          </w:tcPr>
          <w:p w14:paraId="181F215B"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iCs/>
                <w:sz w:val="20"/>
              </w:rPr>
              <w:t>11.</w:t>
            </w:r>
            <w:r>
              <w:rPr>
                <w:rFonts w:ascii="Arial Narrow" w:eastAsiaTheme="majorEastAsia" w:hAnsi="Arial Narrow" w:cstheme="majorBidi"/>
                <w:bCs/>
                <w:iCs/>
                <w:sz w:val="20"/>
              </w:rPr>
              <w:t>4</w:t>
            </w:r>
          </w:p>
        </w:tc>
        <w:tc>
          <w:tcPr>
            <w:tcW w:w="1418" w:type="dxa"/>
            <w:shd w:val="clear" w:color="auto" w:fill="auto"/>
            <w:tcMar>
              <w:left w:w="28" w:type="dxa"/>
              <w:right w:w="28" w:type="dxa"/>
            </w:tcMar>
            <w:vAlign w:val="center"/>
          </w:tcPr>
          <w:p w14:paraId="7D4F5D46" w14:textId="77777777" w:rsidR="005F48E6" w:rsidRPr="001F275B" w:rsidRDefault="005F48E6" w:rsidP="008B0D30">
            <w:pPr>
              <w:keepNext/>
              <w:jc w:val="center"/>
              <w:rPr>
                <w:rFonts w:ascii="Arial Narrow" w:eastAsiaTheme="majorEastAsia" w:hAnsi="Arial Narrow" w:cs="Calibri"/>
                <w:b/>
                <w:bCs/>
                <w:color w:val="000000"/>
                <w:sz w:val="20"/>
                <w:szCs w:val="20"/>
              </w:rPr>
            </w:pPr>
            <w:r>
              <w:rPr>
                <w:rFonts w:ascii="Arial Narrow" w:eastAsiaTheme="majorEastAsia" w:hAnsi="Arial Narrow" w:cs="Calibri"/>
                <w:b/>
                <w:bCs/>
                <w:color w:val="000000"/>
                <w:sz w:val="20"/>
                <w:szCs w:val="20"/>
              </w:rPr>
              <w:t>-</w:t>
            </w:r>
          </w:p>
        </w:tc>
        <w:tc>
          <w:tcPr>
            <w:tcW w:w="1367" w:type="dxa"/>
            <w:shd w:val="clear" w:color="auto" w:fill="auto"/>
            <w:tcMar>
              <w:left w:w="28" w:type="dxa"/>
              <w:right w:w="28" w:type="dxa"/>
            </w:tcMar>
            <w:vAlign w:val="center"/>
          </w:tcPr>
          <w:p w14:paraId="68BA2FA0" w14:textId="77777777" w:rsidR="005F48E6" w:rsidRPr="001F275B" w:rsidRDefault="005F48E6" w:rsidP="008B0D30">
            <w:pPr>
              <w:keepNext/>
              <w:jc w:val="center"/>
              <w:rPr>
                <w:rFonts w:ascii="Arial Narrow" w:eastAsiaTheme="majorEastAsia" w:hAnsi="Arial Narrow" w:cs="Calibri"/>
                <w:b/>
                <w:bCs/>
                <w:color w:val="000000"/>
                <w:sz w:val="20"/>
                <w:szCs w:val="20"/>
              </w:rPr>
            </w:pPr>
            <w:r>
              <w:rPr>
                <w:rFonts w:ascii="Arial Narrow" w:eastAsiaTheme="majorEastAsia" w:hAnsi="Arial Narrow" w:cs="Calibri"/>
                <w:b/>
                <w:bCs/>
                <w:color w:val="000000"/>
                <w:sz w:val="20"/>
                <w:szCs w:val="20"/>
              </w:rPr>
              <w:t>-</w:t>
            </w:r>
          </w:p>
        </w:tc>
      </w:tr>
      <w:tr w:rsidR="005F48E6" w:rsidRPr="001F275B" w14:paraId="59FD9635" w14:textId="77777777" w:rsidTr="003B4BE3">
        <w:tc>
          <w:tcPr>
            <w:tcW w:w="1451" w:type="dxa"/>
            <w:vMerge w:val="restart"/>
            <w:tcMar>
              <w:left w:w="28" w:type="dxa"/>
              <w:right w:w="28" w:type="dxa"/>
            </w:tcMar>
            <w:vAlign w:val="center"/>
          </w:tcPr>
          <w:p w14:paraId="34A89FA3"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MDex vs BMDex</w:t>
            </w:r>
            <w:r>
              <w:rPr>
                <w:rFonts w:ascii="Arial Narrow" w:eastAsiaTheme="majorEastAsia" w:hAnsi="Arial Narrow" w:cstheme="majorBidi"/>
                <w:bCs/>
                <w:sz w:val="20"/>
              </w:rPr>
              <w:t>-MITT</w:t>
            </w:r>
          </w:p>
        </w:tc>
        <w:tc>
          <w:tcPr>
            <w:tcW w:w="1805" w:type="dxa"/>
            <w:shd w:val="clear" w:color="auto" w:fill="auto"/>
            <w:tcMar>
              <w:left w:w="28" w:type="dxa"/>
              <w:right w:w="28" w:type="dxa"/>
            </w:tcMar>
            <w:vAlign w:val="center"/>
          </w:tcPr>
          <w:p w14:paraId="4400FE84" w14:textId="77777777" w:rsidR="005F48E6" w:rsidRPr="00C03EF8" w:rsidRDefault="005F48E6" w:rsidP="008B0D30">
            <w:pPr>
              <w:keepNext/>
              <w:jc w:val="left"/>
              <w:rPr>
                <w:rFonts w:ascii="Arial Narrow" w:eastAsiaTheme="majorEastAsia" w:hAnsi="Arial Narrow" w:cstheme="majorBidi"/>
                <w:bCs/>
                <w:sz w:val="20"/>
                <w:vertAlign w:val="superscript"/>
              </w:rPr>
            </w:pPr>
            <w:r w:rsidRPr="001F275B">
              <w:rPr>
                <w:rFonts w:ascii="Arial Narrow" w:eastAsiaTheme="majorEastAsia" w:hAnsi="Arial Narrow" w:cs="Calibri"/>
                <w:bCs/>
                <w:color w:val="000000"/>
                <w:sz w:val="20"/>
                <w:szCs w:val="20"/>
              </w:rPr>
              <w:t>Kastritis et al. 2020</w:t>
            </w:r>
          </w:p>
        </w:tc>
        <w:tc>
          <w:tcPr>
            <w:tcW w:w="1417" w:type="dxa"/>
            <w:shd w:val="clear" w:color="auto" w:fill="auto"/>
            <w:tcMar>
              <w:left w:w="28" w:type="dxa"/>
              <w:right w:w="28" w:type="dxa"/>
            </w:tcMar>
            <w:vAlign w:val="center"/>
          </w:tcPr>
          <w:p w14:paraId="7530E0AC"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11/ 56 (20%)</w:t>
            </w:r>
          </w:p>
        </w:tc>
        <w:tc>
          <w:tcPr>
            <w:tcW w:w="1559" w:type="dxa"/>
            <w:shd w:val="clear" w:color="auto" w:fill="auto"/>
            <w:tcMar>
              <w:left w:w="28" w:type="dxa"/>
              <w:right w:w="28" w:type="dxa"/>
            </w:tcMar>
            <w:vAlign w:val="center"/>
          </w:tcPr>
          <w:p w14:paraId="6F2814B4"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12/53 (23%)</w:t>
            </w:r>
          </w:p>
        </w:tc>
        <w:tc>
          <w:tcPr>
            <w:tcW w:w="1418" w:type="dxa"/>
            <w:shd w:val="clear" w:color="auto" w:fill="auto"/>
            <w:tcMar>
              <w:left w:w="28" w:type="dxa"/>
              <w:right w:w="28" w:type="dxa"/>
            </w:tcMar>
            <w:vAlign w:val="center"/>
          </w:tcPr>
          <w:p w14:paraId="6FAF1EB8"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Calibri"/>
                <w:bCs/>
                <w:color w:val="000000"/>
                <w:sz w:val="20"/>
                <w:szCs w:val="20"/>
              </w:rPr>
              <w:t>0.84 (0.33, 2.1)</w:t>
            </w:r>
          </w:p>
        </w:tc>
        <w:tc>
          <w:tcPr>
            <w:tcW w:w="1367" w:type="dxa"/>
            <w:shd w:val="clear" w:color="auto" w:fill="auto"/>
            <w:tcMar>
              <w:left w:w="28" w:type="dxa"/>
              <w:right w:w="28" w:type="dxa"/>
            </w:tcMar>
            <w:vAlign w:val="center"/>
          </w:tcPr>
          <w:p w14:paraId="2C3A7740"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Calibri"/>
                <w:bCs/>
                <w:color w:val="000000"/>
                <w:sz w:val="20"/>
                <w:szCs w:val="20"/>
              </w:rPr>
              <w:t>0.87 (0.42, 1.79)</w:t>
            </w:r>
          </w:p>
        </w:tc>
      </w:tr>
      <w:tr w:rsidR="005F48E6" w:rsidRPr="001F275B" w14:paraId="2719FE1E" w14:textId="77777777" w:rsidTr="003B4BE3">
        <w:tc>
          <w:tcPr>
            <w:tcW w:w="1451" w:type="dxa"/>
            <w:vMerge/>
            <w:tcMar>
              <w:left w:w="28" w:type="dxa"/>
              <w:right w:w="28" w:type="dxa"/>
            </w:tcMar>
            <w:vAlign w:val="center"/>
          </w:tcPr>
          <w:p w14:paraId="707865CA" w14:textId="77777777" w:rsidR="005F48E6" w:rsidRPr="001F275B" w:rsidRDefault="005F48E6" w:rsidP="008B0D30">
            <w:pPr>
              <w:keepNext/>
              <w:jc w:val="left"/>
              <w:rPr>
                <w:rFonts w:ascii="Arial Narrow" w:eastAsiaTheme="majorEastAsia" w:hAnsi="Arial Narrow" w:cstheme="majorBidi"/>
                <w:bCs/>
                <w:sz w:val="20"/>
              </w:rPr>
            </w:pPr>
          </w:p>
        </w:tc>
        <w:tc>
          <w:tcPr>
            <w:tcW w:w="1805" w:type="dxa"/>
            <w:shd w:val="clear" w:color="auto" w:fill="auto"/>
            <w:tcMar>
              <w:left w:w="28" w:type="dxa"/>
              <w:right w:w="28" w:type="dxa"/>
            </w:tcMar>
            <w:vAlign w:val="center"/>
          </w:tcPr>
          <w:p w14:paraId="55E5DDDC" w14:textId="77777777" w:rsidR="005F48E6" w:rsidRPr="001F275B" w:rsidRDefault="005F48E6" w:rsidP="008B0D30">
            <w:pPr>
              <w:keepNext/>
              <w:jc w:val="left"/>
              <w:rPr>
                <w:rFonts w:ascii="Arial Narrow" w:eastAsiaTheme="majorEastAsia" w:hAnsi="Arial Narrow" w:cs="Calibri"/>
                <w:bCs/>
                <w:color w:val="000000"/>
                <w:sz w:val="20"/>
                <w:szCs w:val="20"/>
              </w:rPr>
            </w:pPr>
            <w:r w:rsidRPr="001F275B">
              <w:rPr>
                <w:rFonts w:ascii="Arial Narrow" w:eastAsiaTheme="majorEastAsia" w:hAnsi="Arial Narrow" w:cstheme="majorBidi"/>
                <w:bCs/>
                <w:sz w:val="20"/>
              </w:rPr>
              <w:t>Median follow-up (months)</w:t>
            </w:r>
          </w:p>
        </w:tc>
        <w:tc>
          <w:tcPr>
            <w:tcW w:w="1417" w:type="dxa"/>
            <w:shd w:val="clear" w:color="auto" w:fill="auto"/>
            <w:tcMar>
              <w:left w:w="28" w:type="dxa"/>
              <w:right w:w="28" w:type="dxa"/>
            </w:tcMar>
            <w:vAlign w:val="center"/>
          </w:tcPr>
          <w:p w14:paraId="6E7D14EA"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559" w:type="dxa"/>
            <w:shd w:val="clear" w:color="auto" w:fill="auto"/>
            <w:tcMar>
              <w:left w:w="28" w:type="dxa"/>
              <w:right w:w="28" w:type="dxa"/>
            </w:tcMar>
            <w:vAlign w:val="center"/>
          </w:tcPr>
          <w:p w14:paraId="4F984699" w14:textId="77777777" w:rsidR="005F48E6" w:rsidRPr="001F275B" w:rsidRDefault="005F48E6" w:rsidP="008B0D30">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418" w:type="dxa"/>
            <w:shd w:val="clear" w:color="auto" w:fill="auto"/>
            <w:tcMar>
              <w:left w:w="28" w:type="dxa"/>
              <w:right w:w="28" w:type="dxa"/>
            </w:tcMar>
            <w:vAlign w:val="center"/>
          </w:tcPr>
          <w:p w14:paraId="1FD94383" w14:textId="77777777" w:rsidR="005F48E6" w:rsidRPr="001F275B" w:rsidRDefault="005F48E6" w:rsidP="008B0D30">
            <w:pPr>
              <w:keepNext/>
              <w:jc w:val="center"/>
              <w:rPr>
                <w:rFonts w:ascii="Arial Narrow" w:eastAsiaTheme="majorEastAsia" w:hAnsi="Arial Narrow" w:cs="Calibri"/>
                <w:bCs/>
                <w:color w:val="000000"/>
                <w:sz w:val="20"/>
                <w:szCs w:val="20"/>
              </w:rPr>
            </w:pPr>
            <w:r w:rsidRPr="001F275B">
              <w:rPr>
                <w:rFonts w:ascii="Arial Narrow" w:eastAsiaTheme="majorEastAsia" w:hAnsi="Arial Narrow" w:cstheme="majorBidi"/>
                <w:bCs/>
                <w:sz w:val="20"/>
              </w:rPr>
              <w:t>-</w:t>
            </w:r>
          </w:p>
        </w:tc>
        <w:tc>
          <w:tcPr>
            <w:tcW w:w="1367" w:type="dxa"/>
            <w:shd w:val="clear" w:color="auto" w:fill="auto"/>
            <w:tcMar>
              <w:left w:w="28" w:type="dxa"/>
              <w:right w:w="28" w:type="dxa"/>
            </w:tcMar>
            <w:vAlign w:val="center"/>
          </w:tcPr>
          <w:p w14:paraId="6CFFA997" w14:textId="77777777" w:rsidR="005F48E6" w:rsidRPr="001F275B" w:rsidRDefault="005F48E6" w:rsidP="008B0D30">
            <w:pPr>
              <w:keepNext/>
              <w:jc w:val="center"/>
              <w:rPr>
                <w:rFonts w:ascii="Arial Narrow" w:eastAsiaTheme="majorEastAsia" w:hAnsi="Arial Narrow" w:cs="Calibri"/>
                <w:bCs/>
                <w:color w:val="000000"/>
                <w:sz w:val="20"/>
                <w:szCs w:val="20"/>
              </w:rPr>
            </w:pPr>
            <w:r>
              <w:rPr>
                <w:rFonts w:ascii="Arial Narrow" w:eastAsiaTheme="majorEastAsia" w:hAnsi="Arial Narrow" w:cs="Calibri"/>
                <w:bCs/>
                <w:color w:val="000000"/>
                <w:sz w:val="20"/>
                <w:szCs w:val="20"/>
              </w:rPr>
              <w:t>-</w:t>
            </w:r>
          </w:p>
        </w:tc>
      </w:tr>
      <w:tr w:rsidR="005F48E6" w:rsidRPr="001F275B" w14:paraId="7B166D08" w14:textId="77777777" w:rsidTr="003B4BE3">
        <w:tc>
          <w:tcPr>
            <w:tcW w:w="6232" w:type="dxa"/>
            <w:gridSpan w:val="4"/>
            <w:tcMar>
              <w:left w:w="28" w:type="dxa"/>
              <w:right w:w="28" w:type="dxa"/>
            </w:tcMar>
            <w:vAlign w:val="center"/>
          </w:tcPr>
          <w:p w14:paraId="2B368CE8" w14:textId="77777777" w:rsidR="005F48E6" w:rsidRPr="001F275B" w:rsidRDefault="005F48E6" w:rsidP="008B0D30">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Indirect estimate of Dara + CyBorD vs. MDex effect adjusted for the common comparator, bortezomib based regimens (CyBorD / BMDex)</w:t>
            </w:r>
          </w:p>
        </w:tc>
        <w:tc>
          <w:tcPr>
            <w:tcW w:w="1418" w:type="dxa"/>
            <w:shd w:val="clear" w:color="auto" w:fill="auto"/>
            <w:tcMar>
              <w:left w:w="28" w:type="dxa"/>
              <w:right w:w="28" w:type="dxa"/>
            </w:tcMar>
            <w:vAlign w:val="center"/>
          </w:tcPr>
          <w:p w14:paraId="66C8691C"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6.18 (2.2, 17.31)</w:t>
            </w:r>
          </w:p>
        </w:tc>
        <w:tc>
          <w:tcPr>
            <w:tcW w:w="1367" w:type="dxa"/>
            <w:shd w:val="clear" w:color="auto" w:fill="auto"/>
            <w:tcMar>
              <w:left w:w="28" w:type="dxa"/>
              <w:right w:w="28" w:type="dxa"/>
            </w:tcMar>
            <w:vAlign w:val="center"/>
          </w:tcPr>
          <w:p w14:paraId="3175464B" w14:textId="77777777" w:rsidR="005F48E6" w:rsidRPr="001F275B" w:rsidRDefault="005F48E6" w:rsidP="008B0D30">
            <w:pPr>
              <w:keepNext/>
              <w:jc w:val="center"/>
              <w:rPr>
                <w:rFonts w:ascii="Arial Narrow" w:eastAsiaTheme="majorEastAsia" w:hAnsi="Arial Narrow" w:cstheme="majorBidi"/>
                <w:b/>
                <w:bCs/>
                <w:sz w:val="20"/>
              </w:rPr>
            </w:pPr>
            <w:r w:rsidRPr="001F275B">
              <w:rPr>
                <w:rFonts w:ascii="Arial Narrow" w:eastAsiaTheme="majorEastAsia" w:hAnsi="Arial Narrow" w:cs="Calibri"/>
                <w:b/>
                <w:bCs/>
                <w:color w:val="000000"/>
                <w:sz w:val="20"/>
                <w:szCs w:val="20"/>
              </w:rPr>
              <w:t>3.39 (1.53, 7.52)</w:t>
            </w:r>
          </w:p>
        </w:tc>
      </w:tr>
    </w:tbl>
    <w:p w14:paraId="2661B82E" w14:textId="77777777" w:rsidR="001F275B" w:rsidRPr="001F275B" w:rsidRDefault="001F275B" w:rsidP="001F275B">
      <w:pPr>
        <w:spacing w:after="120"/>
        <w:contextualSpacing/>
        <w:rPr>
          <w:rFonts w:ascii="Arial Narrow" w:hAnsi="Arial Narrow"/>
          <w:snapToGrid w:val="0"/>
          <w:sz w:val="18"/>
          <w:szCs w:val="22"/>
        </w:rPr>
      </w:pPr>
      <w:r w:rsidRPr="001F275B">
        <w:rPr>
          <w:rFonts w:ascii="Arial Narrow" w:hAnsi="Arial Narrow"/>
          <w:snapToGrid w:val="0"/>
          <w:sz w:val="18"/>
          <w:szCs w:val="22"/>
        </w:rPr>
        <w:t xml:space="preserve">Source: </w:t>
      </w:r>
      <w:r w:rsidR="005F48E6" w:rsidRPr="001F275B">
        <w:rPr>
          <w:rFonts w:ascii="Arial Narrow" w:hAnsi="Arial Narrow"/>
          <w:snapToGrid w:val="0"/>
          <w:sz w:val="18"/>
          <w:szCs w:val="22"/>
        </w:rPr>
        <w:t xml:space="preserve">Table 2-66, p181 of the submission </w:t>
      </w:r>
    </w:p>
    <w:p w14:paraId="0DE38253" w14:textId="77777777" w:rsidR="001F275B" w:rsidRDefault="001F275B" w:rsidP="006C221F">
      <w:pPr>
        <w:contextualSpacing/>
        <w:rPr>
          <w:rFonts w:ascii="Arial Narrow" w:eastAsia="Calibri" w:hAnsi="Arial Narrow"/>
          <w:snapToGrid w:val="0"/>
          <w:sz w:val="18"/>
          <w:szCs w:val="22"/>
        </w:rPr>
      </w:pPr>
      <w:r w:rsidRPr="001F275B">
        <w:rPr>
          <w:rFonts w:ascii="Arial Narrow" w:hAnsi="Arial Narrow"/>
          <w:snapToGrid w:val="0"/>
          <w:sz w:val="18"/>
          <w:szCs w:val="22"/>
        </w:rPr>
        <w:t>BMDex</w:t>
      </w:r>
      <w:r w:rsidR="003043F7">
        <w:rPr>
          <w:rFonts w:ascii="Arial Narrow" w:hAnsi="Arial Narrow"/>
          <w:snapToGrid w:val="0"/>
          <w:sz w:val="18"/>
          <w:szCs w:val="22"/>
        </w:rPr>
        <w:t xml:space="preserve"> </w:t>
      </w:r>
      <w:r w:rsidRPr="001F275B">
        <w:rPr>
          <w:rFonts w:ascii="Arial Narrow" w:hAnsi="Arial Narrow"/>
          <w:snapToGrid w:val="0"/>
          <w:sz w:val="18"/>
          <w:szCs w:val="22"/>
        </w:rPr>
        <w:t>=</w:t>
      </w:r>
      <w:r w:rsidR="003043F7">
        <w:rPr>
          <w:rFonts w:ascii="Arial Narrow" w:hAnsi="Arial Narrow"/>
          <w:snapToGrid w:val="0"/>
          <w:sz w:val="18"/>
          <w:szCs w:val="22"/>
        </w:rPr>
        <w:t xml:space="preserve"> </w:t>
      </w:r>
      <w:r w:rsidRPr="001F275B">
        <w:rPr>
          <w:rFonts w:ascii="Arial Narrow" w:hAnsi="Arial Narrow"/>
          <w:snapToGrid w:val="0"/>
          <w:sz w:val="18"/>
          <w:szCs w:val="22"/>
        </w:rPr>
        <w:t xml:space="preserve">bortezomib, melphalan, and dexamethasone; </w:t>
      </w:r>
      <w:r w:rsidRPr="001F275B">
        <w:rPr>
          <w:rFonts w:ascii="Arial Narrow" w:eastAsia="Calibri" w:hAnsi="Arial Narrow"/>
          <w:snapToGrid w:val="0"/>
          <w:sz w:val="18"/>
          <w:szCs w:val="22"/>
        </w:rPr>
        <w:t>CI = confidence interval; CR</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complete response; CyBorD</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w:t>
      </w:r>
      <w:r w:rsidR="003043F7">
        <w:rPr>
          <w:rFonts w:ascii="Arial Narrow" w:eastAsia="Calibri" w:hAnsi="Arial Narrow"/>
          <w:snapToGrid w:val="0"/>
          <w:sz w:val="18"/>
          <w:szCs w:val="22"/>
        </w:rPr>
        <w:t xml:space="preserve"> </w:t>
      </w:r>
      <w:r w:rsidRPr="001F275B">
        <w:rPr>
          <w:rFonts w:ascii="Arial Narrow" w:eastAsia="Calibri" w:hAnsi="Arial Narrow"/>
          <w:snapToGrid w:val="0"/>
          <w:sz w:val="18"/>
          <w:szCs w:val="22"/>
        </w:rPr>
        <w:t xml:space="preserve">cyclophosphamide, bortezomib and dexamethasone; Dara = daratumumab subcutaneous; </w:t>
      </w:r>
      <w:r w:rsidR="007C3BC0">
        <w:rPr>
          <w:rFonts w:ascii="Arial Narrow" w:hAnsi="Arial Narrow"/>
          <w:snapToGrid w:val="0"/>
          <w:sz w:val="18"/>
          <w:szCs w:val="22"/>
        </w:rPr>
        <w:t>MDex = melphalan</w:t>
      </w:r>
      <w:r w:rsidRPr="001F275B">
        <w:rPr>
          <w:rFonts w:ascii="Arial Narrow" w:hAnsi="Arial Narrow"/>
          <w:snapToGrid w:val="0"/>
          <w:sz w:val="18"/>
          <w:szCs w:val="22"/>
        </w:rPr>
        <w:t xml:space="preserve"> and dexamethasone</w:t>
      </w:r>
      <w:r w:rsidR="00CF7351" w:rsidRPr="00023AE3">
        <w:rPr>
          <w:rFonts w:ascii="Arial Narrow" w:eastAsia="Calibri" w:hAnsi="Arial Narrow"/>
          <w:snapToGrid w:val="0"/>
          <w:sz w:val="18"/>
          <w:szCs w:val="22"/>
        </w:rPr>
        <w:t xml:space="preserve">; </w:t>
      </w:r>
      <w:r w:rsidR="00CF7351" w:rsidRPr="00CF7351">
        <w:rPr>
          <w:rFonts w:ascii="Arial Narrow" w:eastAsia="Calibri" w:hAnsi="Arial Narrow"/>
          <w:b/>
          <w:snapToGrid w:val="0"/>
          <w:sz w:val="18"/>
          <w:szCs w:val="22"/>
        </w:rPr>
        <w:t>bold</w:t>
      </w:r>
      <w:r w:rsidRPr="001F275B">
        <w:rPr>
          <w:rFonts w:ascii="Arial Narrow" w:eastAsia="Calibri" w:hAnsi="Arial Narrow"/>
          <w:snapToGrid w:val="0"/>
          <w:sz w:val="18"/>
          <w:szCs w:val="22"/>
        </w:rPr>
        <w:t xml:space="preserve"> = statistically significant at p-val</w:t>
      </w:r>
      <w:r w:rsidR="005F48E6">
        <w:rPr>
          <w:rFonts w:ascii="Arial Narrow" w:eastAsia="Calibri" w:hAnsi="Arial Narrow"/>
          <w:snapToGrid w:val="0"/>
          <w:sz w:val="18"/>
          <w:szCs w:val="22"/>
        </w:rPr>
        <w:t>u</w:t>
      </w:r>
      <w:r w:rsidRPr="001F275B">
        <w:rPr>
          <w:rFonts w:ascii="Arial Narrow" w:eastAsia="Calibri" w:hAnsi="Arial Narrow"/>
          <w:snapToGrid w:val="0"/>
          <w:sz w:val="18"/>
          <w:szCs w:val="22"/>
        </w:rPr>
        <w:t>e &lt;0.05</w:t>
      </w:r>
    </w:p>
    <w:p w14:paraId="6C0B53CF" w14:textId="77777777" w:rsidR="00C23B0E" w:rsidRPr="001F275B" w:rsidRDefault="00C23B0E" w:rsidP="00C23B0E">
      <w:pPr>
        <w:rPr>
          <w:snapToGrid w:val="0"/>
        </w:rPr>
      </w:pPr>
    </w:p>
    <w:p w14:paraId="099B2C1B" w14:textId="77777777" w:rsidR="001F275B" w:rsidRPr="002A770B" w:rsidRDefault="64EB2404" w:rsidP="005F48E6">
      <w:pPr>
        <w:numPr>
          <w:ilvl w:val="1"/>
          <w:numId w:val="1"/>
        </w:numPr>
        <w:spacing w:after="120"/>
        <w:rPr>
          <w:rFonts w:asciiTheme="minorHAnsi" w:hAnsiTheme="minorHAnsi"/>
          <w:snapToGrid w:val="0"/>
        </w:rPr>
      </w:pPr>
      <w:r w:rsidRPr="002A770B">
        <w:rPr>
          <w:rFonts w:asciiTheme="minorHAnsi" w:hAnsiTheme="minorHAnsi"/>
          <w:snapToGrid w:val="0"/>
        </w:rPr>
        <w:t>The</w:t>
      </w:r>
      <w:r w:rsidR="1AA21FF2" w:rsidRPr="002A770B">
        <w:rPr>
          <w:rFonts w:asciiTheme="minorHAnsi" w:hAnsiTheme="minorHAnsi"/>
          <w:snapToGrid w:val="0"/>
        </w:rPr>
        <w:t xml:space="preserve"> results of the ITC </w:t>
      </w:r>
      <w:r w:rsidR="00233E02" w:rsidRPr="002A770B">
        <w:rPr>
          <w:rFonts w:asciiTheme="minorHAnsi" w:hAnsiTheme="minorHAnsi"/>
          <w:snapToGrid w:val="0"/>
        </w:rPr>
        <w:t>suggest</w:t>
      </w:r>
      <w:r w:rsidR="00A041D5" w:rsidRPr="002A770B">
        <w:rPr>
          <w:rFonts w:asciiTheme="minorHAnsi" w:hAnsiTheme="minorHAnsi"/>
          <w:snapToGrid w:val="0"/>
        </w:rPr>
        <w:t>ed</w:t>
      </w:r>
      <w:r w:rsidR="00233E02" w:rsidRPr="002A770B">
        <w:rPr>
          <w:rFonts w:asciiTheme="minorHAnsi" w:hAnsiTheme="minorHAnsi"/>
          <w:snapToGrid w:val="0"/>
        </w:rPr>
        <w:t xml:space="preserve"> </w:t>
      </w:r>
      <w:r w:rsidR="1AA21FF2" w:rsidRPr="002A770B">
        <w:rPr>
          <w:rFonts w:asciiTheme="minorHAnsi" w:hAnsiTheme="minorHAnsi"/>
          <w:snapToGrid w:val="0"/>
        </w:rPr>
        <w:t>that patients treated with daratumumab SC + CyBorD were 6</w:t>
      </w:r>
      <w:r w:rsidRPr="002A770B">
        <w:rPr>
          <w:rFonts w:asciiTheme="minorHAnsi" w:hAnsiTheme="minorHAnsi"/>
          <w:snapToGrid w:val="0"/>
        </w:rPr>
        <w:t>.18</w:t>
      </w:r>
      <w:r w:rsidR="1AA21FF2" w:rsidRPr="002A770B">
        <w:rPr>
          <w:rFonts w:asciiTheme="minorHAnsi" w:hAnsiTheme="minorHAnsi"/>
          <w:snapToGrid w:val="0"/>
        </w:rPr>
        <w:t xml:space="preserve"> times more likely to have a complete response after or during treatment than patients treated with MDex (OR</w:t>
      </w:r>
      <w:r w:rsidR="00A04224" w:rsidRPr="002A770B">
        <w:rPr>
          <w:rFonts w:asciiTheme="minorHAnsi" w:hAnsiTheme="minorHAnsi"/>
          <w:snapToGrid w:val="0"/>
        </w:rPr>
        <w:t xml:space="preserve"> =</w:t>
      </w:r>
      <w:r w:rsidR="1AA21FF2" w:rsidRPr="002A770B">
        <w:rPr>
          <w:rFonts w:asciiTheme="minorHAnsi" w:hAnsiTheme="minorHAnsi"/>
          <w:snapToGrid w:val="0"/>
        </w:rPr>
        <w:t xml:space="preserve"> 6.18; 95% CI: 2.2, 17.31). </w:t>
      </w:r>
      <w:r w:rsidR="005F48E6" w:rsidRPr="002A770B">
        <w:rPr>
          <w:rFonts w:asciiTheme="minorHAnsi" w:hAnsiTheme="minorHAnsi"/>
          <w:snapToGrid w:val="0"/>
        </w:rPr>
        <w:t xml:space="preserve">However, it should be noted that the common event rates were higher in Kastritis et al. 2020 (23%) than ANDROMEDA (18%). </w:t>
      </w:r>
      <w:r w:rsidR="00637522" w:rsidRPr="002A770B">
        <w:rPr>
          <w:rFonts w:asciiTheme="minorHAnsi" w:hAnsiTheme="minorHAnsi"/>
          <w:snapToGrid w:val="0"/>
        </w:rPr>
        <w:t>Further, t</w:t>
      </w:r>
      <w:r w:rsidR="00637522" w:rsidRPr="002A770B">
        <w:t>he results of the ITC were confounded by the exchangeability issues between the trials. In particular, the longer follow-up data available for Kastritis et al. 2020 compared to ANDROMEDA (median of 50 months vs. 11.4 months).</w:t>
      </w:r>
    </w:p>
    <w:p w14:paraId="20F7BDAF" w14:textId="77777777" w:rsidR="00023AE3" w:rsidRPr="002A770B" w:rsidRDefault="00023AE3" w:rsidP="00636E95">
      <w:pPr>
        <w:numPr>
          <w:ilvl w:val="1"/>
          <w:numId w:val="1"/>
        </w:numPr>
        <w:spacing w:after="120"/>
        <w:rPr>
          <w:rFonts w:asciiTheme="minorHAnsi" w:eastAsiaTheme="minorEastAsia" w:hAnsiTheme="minorHAnsi"/>
          <w:snapToGrid w:val="0"/>
        </w:rPr>
      </w:pPr>
      <w:r w:rsidRPr="002A770B">
        <w:rPr>
          <w:rFonts w:asciiTheme="minorHAnsi" w:hAnsiTheme="minorHAnsi"/>
          <w:snapToGrid w:val="0"/>
        </w:rPr>
        <w:t xml:space="preserve">The results of the ITC </w:t>
      </w:r>
      <w:r w:rsidR="007D0CDE" w:rsidRPr="002A770B">
        <w:rPr>
          <w:rFonts w:asciiTheme="minorHAnsi" w:hAnsiTheme="minorHAnsi"/>
          <w:snapToGrid w:val="0"/>
        </w:rPr>
        <w:t xml:space="preserve">suggested </w:t>
      </w:r>
      <w:r w:rsidRPr="002A770B">
        <w:rPr>
          <w:rFonts w:asciiTheme="minorHAnsi" w:hAnsiTheme="minorHAnsi"/>
          <w:snapToGrid w:val="0"/>
        </w:rPr>
        <w:t>a statistically significant improvement in the rates of MOD-PFS for patients receiving daratumumab SC + CyBorD compared with MDex (HR</w:t>
      </w:r>
      <w:r w:rsidR="00A04224" w:rsidRPr="002A770B">
        <w:rPr>
          <w:rFonts w:asciiTheme="minorHAnsi" w:hAnsiTheme="minorHAnsi"/>
          <w:snapToGrid w:val="0"/>
        </w:rPr>
        <w:t xml:space="preserve"> </w:t>
      </w:r>
      <w:r w:rsidRPr="002A770B">
        <w:rPr>
          <w:rFonts w:asciiTheme="minorHAnsi" w:hAnsiTheme="minorHAnsi"/>
          <w:snapToGrid w:val="0"/>
        </w:rPr>
        <w:t>=</w:t>
      </w:r>
      <w:r w:rsidR="00A04224" w:rsidRPr="002A770B">
        <w:rPr>
          <w:rFonts w:asciiTheme="minorHAnsi" w:hAnsiTheme="minorHAnsi"/>
          <w:snapToGrid w:val="0"/>
        </w:rPr>
        <w:t xml:space="preserve"> </w:t>
      </w:r>
      <w:r w:rsidRPr="002A770B">
        <w:rPr>
          <w:rFonts w:asciiTheme="minorHAnsi" w:hAnsiTheme="minorHAnsi"/>
          <w:snapToGrid w:val="0"/>
        </w:rPr>
        <w:t>0.27; 95% CI: 0.14, 0.53). However, as the MOD-PFS</w:t>
      </w:r>
      <w:r w:rsidR="00247852">
        <w:rPr>
          <w:rFonts w:asciiTheme="minorHAnsi" w:hAnsiTheme="minorHAnsi"/>
          <w:snapToGrid w:val="0"/>
        </w:rPr>
        <w:t>/PFS</w:t>
      </w:r>
      <w:r w:rsidRPr="002A770B">
        <w:rPr>
          <w:rFonts w:asciiTheme="minorHAnsi" w:hAnsiTheme="minorHAnsi"/>
          <w:snapToGrid w:val="0"/>
        </w:rPr>
        <w:t xml:space="preserve"> events in the common comparator arm in the trials were not comparable (CyBorD = 28% vs. BMDex = 52%) </w:t>
      </w:r>
      <w:r w:rsidR="000B1FA9" w:rsidRPr="002A770B">
        <w:rPr>
          <w:rFonts w:asciiTheme="minorHAnsi" w:hAnsiTheme="minorHAnsi"/>
          <w:snapToGrid w:val="0"/>
        </w:rPr>
        <w:t>and the</w:t>
      </w:r>
      <w:r w:rsidR="006C221F" w:rsidRPr="002A770B">
        <w:rPr>
          <w:rFonts w:asciiTheme="minorHAnsi" w:hAnsiTheme="minorHAnsi"/>
          <w:snapToGrid w:val="0"/>
        </w:rPr>
        <w:t>re were</w:t>
      </w:r>
      <w:r w:rsidR="000B1FA9" w:rsidRPr="002A770B">
        <w:rPr>
          <w:rFonts w:asciiTheme="minorHAnsi" w:hAnsiTheme="minorHAnsi"/>
          <w:snapToGrid w:val="0"/>
        </w:rPr>
        <w:t xml:space="preserve"> exchangeability issues between trials </w:t>
      </w:r>
      <w:r w:rsidRPr="002A770B">
        <w:rPr>
          <w:rFonts w:asciiTheme="minorHAnsi" w:hAnsiTheme="minorHAnsi"/>
          <w:snapToGrid w:val="0"/>
        </w:rPr>
        <w:t>the results should be interpreted with caution.</w:t>
      </w:r>
      <w:r w:rsidR="00A22657" w:rsidRPr="002A770B">
        <w:rPr>
          <w:rFonts w:asciiTheme="minorHAnsi" w:hAnsiTheme="minorHAnsi"/>
          <w:snapToGrid w:val="0"/>
        </w:rPr>
        <w:t xml:space="preserve"> </w:t>
      </w:r>
      <w:r w:rsidRPr="002A770B">
        <w:t xml:space="preserve">See </w:t>
      </w:r>
      <w:r w:rsidR="001A7573">
        <w:t>Table 9</w:t>
      </w:r>
      <w:r w:rsidRPr="002A770B">
        <w:t>.</w:t>
      </w:r>
    </w:p>
    <w:p w14:paraId="5B34AD0D" w14:textId="77777777" w:rsidR="001F275B" w:rsidRPr="004F42C5" w:rsidRDefault="001F275B" w:rsidP="004F42C5">
      <w:pPr>
        <w:pStyle w:val="Caption"/>
      </w:pPr>
      <w:bookmarkStart w:id="39" w:name="_Ref79582249"/>
      <w:r w:rsidRPr="004F42C5">
        <w:lastRenderedPageBreak/>
        <w:t>Table</w:t>
      </w:r>
      <w:bookmarkEnd w:id="39"/>
      <w:r w:rsidR="001A7573">
        <w:t xml:space="preserve"> 9</w:t>
      </w:r>
      <w:r w:rsidRPr="004F42C5">
        <w:t>: Results of the indirect comparison, Dara + CyBorD vs. MDex,</w:t>
      </w:r>
      <w:r w:rsidR="006E7C77" w:rsidRPr="004F42C5">
        <w:t xml:space="preserve"> via </w:t>
      </w:r>
      <w:r w:rsidRPr="004F42C5">
        <w:t>the common comparator, bortezomib based regimens (CyBorD/ BMDex) for MOD-PFS</w:t>
      </w:r>
      <w:r w:rsidR="00247852">
        <w:t>/PFS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indirect comparison, Dara + CyBorD vs. MDex, via the common comparator, bortezomib based regimens (CyBorD/ BMDex) for MOD-PFS/PFS"/>
      </w:tblPr>
      <w:tblGrid>
        <w:gridCol w:w="2263"/>
        <w:gridCol w:w="2127"/>
        <w:gridCol w:w="1559"/>
        <w:gridCol w:w="1558"/>
        <w:gridCol w:w="1510"/>
      </w:tblGrid>
      <w:tr w:rsidR="00820E06" w:rsidRPr="001F275B" w14:paraId="38896EAD" w14:textId="77777777" w:rsidTr="00820E06">
        <w:trPr>
          <w:tblHeader/>
        </w:trPr>
        <w:tc>
          <w:tcPr>
            <w:tcW w:w="2263" w:type="dxa"/>
            <w:tcMar>
              <w:left w:w="28" w:type="dxa"/>
              <w:right w:w="28" w:type="dxa"/>
            </w:tcMar>
            <w:vAlign w:val="center"/>
          </w:tcPr>
          <w:p w14:paraId="0EDFBAB2" w14:textId="77777777" w:rsidR="00820E06" w:rsidRPr="001F275B" w:rsidRDefault="00820E06" w:rsidP="006C221F">
            <w:pPr>
              <w:keepNext/>
              <w:jc w:val="left"/>
              <w:rPr>
                <w:rFonts w:ascii="Arial Narrow" w:eastAsiaTheme="majorEastAsia" w:hAnsi="Arial Narrow" w:cs="Times New Roman"/>
                <w:b/>
                <w:sz w:val="20"/>
              </w:rPr>
            </w:pPr>
            <w:r w:rsidRPr="001F275B">
              <w:rPr>
                <w:rFonts w:ascii="Arial Narrow" w:eastAsiaTheme="majorEastAsia" w:hAnsi="Arial Narrow" w:cs="Times New Roman"/>
                <w:b/>
                <w:sz w:val="20"/>
              </w:rPr>
              <w:t>Trial</w:t>
            </w:r>
          </w:p>
        </w:tc>
        <w:tc>
          <w:tcPr>
            <w:tcW w:w="2127" w:type="dxa"/>
            <w:shd w:val="clear" w:color="auto" w:fill="auto"/>
            <w:tcMar>
              <w:left w:w="28" w:type="dxa"/>
              <w:right w:w="28" w:type="dxa"/>
            </w:tcMar>
            <w:vAlign w:val="center"/>
          </w:tcPr>
          <w:p w14:paraId="3809F284" w14:textId="77777777" w:rsidR="00820E06" w:rsidRPr="001F275B" w:rsidRDefault="00820E06" w:rsidP="006C221F">
            <w:pPr>
              <w:keepNext/>
              <w:jc w:val="center"/>
              <w:rPr>
                <w:rFonts w:ascii="Arial Narrow" w:eastAsiaTheme="majorEastAsia" w:hAnsi="Arial Narrow" w:cs="Times New Roman"/>
                <w:b/>
                <w:sz w:val="20"/>
              </w:rPr>
            </w:pPr>
            <w:r w:rsidRPr="001F275B">
              <w:rPr>
                <w:rFonts w:ascii="Arial Narrow" w:eastAsiaTheme="majorEastAsia" w:hAnsi="Arial Narrow" w:cs="Times New Roman"/>
                <w:b/>
                <w:sz w:val="20"/>
              </w:rPr>
              <w:t>Outcome</w:t>
            </w:r>
          </w:p>
        </w:tc>
        <w:tc>
          <w:tcPr>
            <w:tcW w:w="1559" w:type="dxa"/>
            <w:shd w:val="clear" w:color="auto" w:fill="auto"/>
            <w:tcMar>
              <w:left w:w="28" w:type="dxa"/>
              <w:right w:w="28" w:type="dxa"/>
            </w:tcMar>
            <w:vAlign w:val="center"/>
          </w:tcPr>
          <w:p w14:paraId="70A9801A" w14:textId="77777777" w:rsidR="00820E06" w:rsidRPr="001F275B" w:rsidRDefault="00820E06" w:rsidP="006C221F">
            <w:pPr>
              <w:keepNext/>
              <w:jc w:val="center"/>
              <w:rPr>
                <w:rFonts w:ascii="Arial Narrow" w:eastAsiaTheme="majorEastAsia" w:hAnsi="Arial Narrow" w:cs="Times New Roman"/>
                <w:b/>
                <w:sz w:val="20"/>
              </w:rPr>
            </w:pPr>
            <w:r w:rsidRPr="001F275B">
              <w:rPr>
                <w:rFonts w:ascii="Arial Narrow" w:eastAsiaTheme="majorEastAsia" w:hAnsi="Arial Narrow" w:cs="Times New Roman"/>
                <w:b/>
                <w:sz w:val="20"/>
              </w:rPr>
              <w:t>D</w:t>
            </w:r>
            <w:r w:rsidRPr="001F275B">
              <w:rPr>
                <w:rFonts w:ascii="Arial Narrow" w:eastAsiaTheme="majorEastAsia" w:hAnsi="Arial Narrow" w:cs="Times New Roman"/>
                <w:b/>
                <w:sz w:val="20"/>
                <w:lang w:val="en-US"/>
              </w:rPr>
              <w:t>ara + CyBorD/</w:t>
            </w:r>
            <w:r>
              <w:rPr>
                <w:rFonts w:ascii="Arial Narrow" w:eastAsiaTheme="majorEastAsia" w:hAnsi="Arial Narrow" w:cs="Times New Roman"/>
                <w:b/>
                <w:sz w:val="20"/>
                <w:lang w:val="en-US"/>
              </w:rPr>
              <w:br/>
            </w:r>
            <w:r w:rsidRPr="001F275B">
              <w:rPr>
                <w:rFonts w:ascii="Arial Narrow" w:eastAsiaTheme="majorEastAsia" w:hAnsi="Arial Narrow" w:cs="Times New Roman"/>
                <w:b/>
                <w:sz w:val="20"/>
                <w:lang w:val="en-US"/>
              </w:rPr>
              <w:t>MDex</w:t>
            </w:r>
          </w:p>
        </w:tc>
        <w:tc>
          <w:tcPr>
            <w:tcW w:w="1558" w:type="dxa"/>
            <w:shd w:val="clear" w:color="auto" w:fill="auto"/>
            <w:tcMar>
              <w:left w:w="28" w:type="dxa"/>
              <w:right w:w="28" w:type="dxa"/>
            </w:tcMar>
            <w:vAlign w:val="center"/>
          </w:tcPr>
          <w:p w14:paraId="31A45098"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CyBorD/</w:t>
            </w:r>
            <w:r>
              <w:rPr>
                <w:rFonts w:ascii="Arial Narrow" w:eastAsiaTheme="majorEastAsia" w:hAnsi="Arial Narrow" w:cstheme="majorBidi"/>
                <w:b/>
                <w:bCs/>
                <w:sz w:val="20"/>
              </w:rPr>
              <w:br/>
            </w:r>
            <w:r w:rsidRPr="001F275B">
              <w:rPr>
                <w:rFonts w:ascii="Arial Narrow" w:eastAsiaTheme="majorEastAsia" w:hAnsi="Arial Narrow" w:cstheme="majorBidi"/>
                <w:b/>
                <w:bCs/>
                <w:sz w:val="20"/>
              </w:rPr>
              <w:t>BMDex</w:t>
            </w:r>
          </w:p>
        </w:tc>
        <w:tc>
          <w:tcPr>
            <w:tcW w:w="1510" w:type="dxa"/>
            <w:shd w:val="clear" w:color="auto" w:fill="auto"/>
            <w:tcMar>
              <w:left w:w="28" w:type="dxa"/>
              <w:right w:w="28" w:type="dxa"/>
            </w:tcMar>
            <w:vAlign w:val="center"/>
          </w:tcPr>
          <w:p w14:paraId="07B4A779" w14:textId="77777777" w:rsidR="00820E06" w:rsidRPr="001F275B" w:rsidRDefault="00820E06" w:rsidP="006C221F">
            <w:pPr>
              <w:keepNext/>
              <w:jc w:val="center"/>
              <w:rPr>
                <w:rFonts w:ascii="Arial Narrow" w:eastAsiaTheme="majorEastAsia" w:hAnsi="Arial Narrow" w:cs="Times New Roman"/>
                <w:b/>
                <w:sz w:val="20"/>
              </w:rPr>
            </w:pPr>
            <w:r w:rsidRPr="001F275B">
              <w:rPr>
                <w:rFonts w:ascii="Arial Narrow" w:eastAsiaTheme="majorEastAsia" w:hAnsi="Arial Narrow" w:cs="Times New Roman"/>
                <w:b/>
                <w:sz w:val="20"/>
              </w:rPr>
              <w:t>HR (95% CI)</w:t>
            </w:r>
          </w:p>
        </w:tc>
      </w:tr>
      <w:tr w:rsidR="00820E06" w:rsidRPr="001F275B" w14:paraId="250FDE7B" w14:textId="77777777" w:rsidTr="00820E06">
        <w:tc>
          <w:tcPr>
            <w:tcW w:w="2263" w:type="dxa"/>
            <w:vMerge w:val="restart"/>
            <w:tcMar>
              <w:left w:w="28" w:type="dxa"/>
              <w:right w:w="28" w:type="dxa"/>
            </w:tcMar>
            <w:vAlign w:val="center"/>
          </w:tcPr>
          <w:p w14:paraId="0B67B2A6" w14:textId="77777777" w:rsidR="00820E06" w:rsidRPr="001F275B" w:rsidRDefault="00820E06" w:rsidP="006C221F">
            <w:pPr>
              <w:keepNext/>
              <w:jc w:val="left"/>
              <w:rPr>
                <w:rFonts w:ascii="Arial Narrow" w:eastAsiaTheme="majorEastAsia" w:hAnsi="Arial Narrow" w:cstheme="majorBidi"/>
                <w:bCs/>
                <w:sz w:val="20"/>
                <w:vertAlign w:val="superscript"/>
              </w:rPr>
            </w:pPr>
            <w:r w:rsidRPr="001F275B">
              <w:rPr>
                <w:rFonts w:ascii="Arial Narrow" w:eastAsiaTheme="majorEastAsia" w:hAnsi="Arial Narrow" w:cstheme="majorBidi"/>
                <w:bCs/>
                <w:sz w:val="20"/>
              </w:rPr>
              <w:t>ANDROMEDA (Dara +CyBorD vs. CyBorD)</w:t>
            </w:r>
            <w:r>
              <w:rPr>
                <w:rFonts w:ascii="Arial Narrow" w:eastAsiaTheme="majorEastAsia" w:hAnsi="Arial Narrow" w:cstheme="majorBidi"/>
                <w:bCs/>
                <w:sz w:val="20"/>
              </w:rPr>
              <w:t xml:space="preserve"> - IPCW</w:t>
            </w:r>
          </w:p>
        </w:tc>
        <w:tc>
          <w:tcPr>
            <w:tcW w:w="2127" w:type="dxa"/>
            <w:shd w:val="clear" w:color="auto" w:fill="auto"/>
            <w:tcMar>
              <w:left w:w="28" w:type="dxa"/>
              <w:right w:w="28" w:type="dxa"/>
            </w:tcMar>
            <w:vAlign w:val="center"/>
          </w:tcPr>
          <w:p w14:paraId="243D4EF1"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Progressed</w:t>
            </w:r>
          </w:p>
        </w:tc>
        <w:tc>
          <w:tcPr>
            <w:tcW w:w="1559" w:type="dxa"/>
            <w:shd w:val="clear" w:color="auto" w:fill="auto"/>
            <w:tcMar>
              <w:left w:w="28" w:type="dxa"/>
              <w:right w:w="28" w:type="dxa"/>
            </w:tcMar>
            <w:vAlign w:val="center"/>
          </w:tcPr>
          <w:p w14:paraId="5F0A35B6"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sz w:val="20"/>
              </w:rPr>
              <w:t>34/195 (17%)</w:t>
            </w:r>
          </w:p>
        </w:tc>
        <w:tc>
          <w:tcPr>
            <w:tcW w:w="1558" w:type="dxa"/>
            <w:shd w:val="clear" w:color="auto" w:fill="auto"/>
            <w:tcMar>
              <w:left w:w="28" w:type="dxa"/>
              <w:right w:w="28" w:type="dxa"/>
            </w:tcMar>
            <w:vAlign w:val="center"/>
          </w:tcPr>
          <w:p w14:paraId="25BB6FDE"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sz w:val="20"/>
              </w:rPr>
              <w:t>53/193 (28%)</w:t>
            </w:r>
          </w:p>
        </w:tc>
        <w:tc>
          <w:tcPr>
            <w:tcW w:w="1510" w:type="dxa"/>
            <w:shd w:val="clear" w:color="auto" w:fill="auto"/>
            <w:tcMar>
              <w:left w:w="28" w:type="dxa"/>
              <w:right w:w="28" w:type="dxa"/>
            </w:tcMar>
            <w:vAlign w:val="center"/>
          </w:tcPr>
          <w:p w14:paraId="22BF6EF1"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w:t>
            </w:r>
          </w:p>
        </w:tc>
      </w:tr>
      <w:tr w:rsidR="00820E06" w:rsidRPr="001F275B" w14:paraId="19ADB8AF" w14:textId="77777777" w:rsidTr="00820E06">
        <w:tc>
          <w:tcPr>
            <w:tcW w:w="2263" w:type="dxa"/>
            <w:vMerge/>
            <w:tcBorders>
              <w:bottom w:val="double" w:sz="4" w:space="0" w:color="auto"/>
            </w:tcBorders>
            <w:tcMar>
              <w:left w:w="28" w:type="dxa"/>
              <w:right w:w="28" w:type="dxa"/>
            </w:tcMar>
            <w:vAlign w:val="center"/>
          </w:tcPr>
          <w:p w14:paraId="6CD6E0BC" w14:textId="77777777" w:rsidR="00820E06" w:rsidRPr="001F275B" w:rsidRDefault="00820E06" w:rsidP="006C221F">
            <w:pPr>
              <w:keepNext/>
              <w:jc w:val="left"/>
              <w:rPr>
                <w:rFonts w:ascii="Arial Narrow" w:eastAsiaTheme="majorEastAsia" w:hAnsi="Arial Narrow" w:cstheme="majorBidi"/>
                <w:bCs/>
                <w:sz w:val="20"/>
              </w:rPr>
            </w:pPr>
          </w:p>
        </w:tc>
        <w:tc>
          <w:tcPr>
            <w:tcW w:w="2127" w:type="dxa"/>
            <w:tcBorders>
              <w:bottom w:val="double" w:sz="4" w:space="0" w:color="auto"/>
            </w:tcBorders>
            <w:shd w:val="clear" w:color="auto" w:fill="auto"/>
            <w:tcMar>
              <w:left w:w="28" w:type="dxa"/>
              <w:right w:w="28" w:type="dxa"/>
            </w:tcMar>
            <w:vAlign w:val="center"/>
          </w:tcPr>
          <w:p w14:paraId="0A787427"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Median follow-up (months)</w:t>
            </w:r>
          </w:p>
        </w:tc>
        <w:tc>
          <w:tcPr>
            <w:tcW w:w="1559" w:type="dxa"/>
            <w:tcBorders>
              <w:bottom w:val="double" w:sz="4" w:space="0" w:color="auto"/>
            </w:tcBorders>
            <w:shd w:val="clear" w:color="auto" w:fill="auto"/>
            <w:tcMar>
              <w:left w:w="28" w:type="dxa"/>
              <w:right w:w="28" w:type="dxa"/>
            </w:tcMar>
            <w:vAlign w:val="center"/>
          </w:tcPr>
          <w:p w14:paraId="4A0CA65A"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iCs/>
                <w:sz w:val="20"/>
              </w:rPr>
              <w:t>11.11</w:t>
            </w:r>
          </w:p>
        </w:tc>
        <w:tc>
          <w:tcPr>
            <w:tcW w:w="1558" w:type="dxa"/>
            <w:tcBorders>
              <w:bottom w:val="double" w:sz="4" w:space="0" w:color="auto"/>
            </w:tcBorders>
            <w:shd w:val="clear" w:color="auto" w:fill="auto"/>
            <w:tcMar>
              <w:left w:w="28" w:type="dxa"/>
              <w:right w:w="28" w:type="dxa"/>
            </w:tcMar>
            <w:vAlign w:val="center"/>
          </w:tcPr>
          <w:p w14:paraId="6256AEA6" w14:textId="77777777" w:rsidR="00820E06" w:rsidRPr="001F275B" w:rsidRDefault="00820E06" w:rsidP="006C221F">
            <w:pPr>
              <w:keepNext/>
              <w:jc w:val="center"/>
              <w:rPr>
                <w:rFonts w:ascii="Arial Narrow" w:eastAsiaTheme="majorEastAsia" w:hAnsi="Arial Narrow" w:cstheme="majorBidi"/>
                <w:bCs/>
                <w:iCs/>
                <w:sz w:val="20"/>
              </w:rPr>
            </w:pPr>
            <w:r w:rsidRPr="001F275B">
              <w:rPr>
                <w:rFonts w:ascii="Arial Narrow" w:eastAsiaTheme="majorEastAsia" w:hAnsi="Arial Narrow" w:cstheme="majorBidi"/>
                <w:bCs/>
                <w:iCs/>
                <w:sz w:val="20"/>
              </w:rPr>
              <w:t>11.9</w:t>
            </w:r>
          </w:p>
        </w:tc>
        <w:tc>
          <w:tcPr>
            <w:tcW w:w="1510" w:type="dxa"/>
            <w:tcBorders>
              <w:bottom w:val="double" w:sz="4" w:space="0" w:color="auto"/>
            </w:tcBorders>
            <w:shd w:val="clear" w:color="auto" w:fill="auto"/>
            <w:tcMar>
              <w:left w:w="28" w:type="dxa"/>
              <w:right w:w="28" w:type="dxa"/>
            </w:tcMar>
            <w:vAlign w:val="center"/>
          </w:tcPr>
          <w:p w14:paraId="3276FBFC"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0.58 (0.36, 0.93)</w:t>
            </w:r>
          </w:p>
        </w:tc>
      </w:tr>
      <w:tr w:rsidR="00820E06" w:rsidRPr="001F275B" w14:paraId="73406F2E" w14:textId="77777777" w:rsidTr="00820E06">
        <w:tc>
          <w:tcPr>
            <w:tcW w:w="2263" w:type="dxa"/>
            <w:vMerge w:val="restart"/>
            <w:tcBorders>
              <w:top w:val="single" w:sz="4" w:space="0" w:color="auto"/>
            </w:tcBorders>
            <w:tcMar>
              <w:left w:w="28" w:type="dxa"/>
              <w:right w:w="28" w:type="dxa"/>
            </w:tcMar>
            <w:vAlign w:val="center"/>
          </w:tcPr>
          <w:p w14:paraId="3892C5A6"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Calibri"/>
                <w:bCs/>
                <w:color w:val="000000"/>
                <w:sz w:val="20"/>
                <w:szCs w:val="20"/>
              </w:rPr>
              <w:t>Kastritis et al. 2020 (</w:t>
            </w:r>
            <w:r w:rsidRPr="001F275B">
              <w:rPr>
                <w:rFonts w:ascii="Arial Narrow" w:eastAsiaTheme="majorEastAsia" w:hAnsi="Arial Narrow" w:cstheme="majorBidi"/>
                <w:bCs/>
                <w:sz w:val="20"/>
              </w:rPr>
              <w:t>MDex vs BMDex)</w:t>
            </w:r>
            <w:r>
              <w:rPr>
                <w:rFonts w:ascii="Arial Narrow" w:eastAsiaTheme="majorEastAsia" w:hAnsi="Arial Narrow" w:cstheme="majorBidi"/>
                <w:bCs/>
                <w:sz w:val="20"/>
              </w:rPr>
              <w:t xml:space="preserve"> - MITT</w:t>
            </w:r>
          </w:p>
        </w:tc>
        <w:tc>
          <w:tcPr>
            <w:tcW w:w="2127" w:type="dxa"/>
            <w:tcBorders>
              <w:top w:val="single" w:sz="4" w:space="0" w:color="auto"/>
            </w:tcBorders>
            <w:shd w:val="clear" w:color="auto" w:fill="auto"/>
            <w:tcMar>
              <w:left w:w="28" w:type="dxa"/>
              <w:right w:w="28" w:type="dxa"/>
            </w:tcMar>
            <w:vAlign w:val="center"/>
          </w:tcPr>
          <w:p w14:paraId="71B5545B"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Progressed</w:t>
            </w:r>
          </w:p>
        </w:tc>
        <w:tc>
          <w:tcPr>
            <w:tcW w:w="1559" w:type="dxa"/>
            <w:tcBorders>
              <w:top w:val="single" w:sz="4" w:space="0" w:color="auto"/>
            </w:tcBorders>
            <w:shd w:val="clear" w:color="auto" w:fill="auto"/>
            <w:tcMar>
              <w:left w:w="28" w:type="dxa"/>
              <w:right w:w="28" w:type="dxa"/>
            </w:tcMar>
          </w:tcPr>
          <w:p w14:paraId="54722C35"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44/56 (90%)</w:t>
            </w:r>
          </w:p>
        </w:tc>
        <w:tc>
          <w:tcPr>
            <w:tcW w:w="1558" w:type="dxa"/>
            <w:tcBorders>
              <w:top w:val="single" w:sz="4" w:space="0" w:color="auto"/>
            </w:tcBorders>
            <w:shd w:val="clear" w:color="auto" w:fill="auto"/>
            <w:tcMar>
              <w:left w:w="28" w:type="dxa"/>
              <w:right w:w="28" w:type="dxa"/>
            </w:tcMar>
          </w:tcPr>
          <w:p w14:paraId="3B16BE8D"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28/53 (52%)</w:t>
            </w:r>
          </w:p>
        </w:tc>
        <w:tc>
          <w:tcPr>
            <w:tcW w:w="1510" w:type="dxa"/>
            <w:tcBorders>
              <w:top w:val="single" w:sz="4" w:space="0" w:color="auto"/>
            </w:tcBorders>
            <w:shd w:val="clear" w:color="auto" w:fill="auto"/>
            <w:tcMar>
              <w:left w:w="28" w:type="dxa"/>
              <w:right w:w="28" w:type="dxa"/>
            </w:tcMar>
            <w:vAlign w:val="center"/>
          </w:tcPr>
          <w:p w14:paraId="72990422" w14:textId="77777777" w:rsidR="00820E06" w:rsidRPr="001F275B" w:rsidRDefault="00820E06"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w:t>
            </w:r>
          </w:p>
        </w:tc>
      </w:tr>
      <w:tr w:rsidR="00820E06" w:rsidRPr="001F275B" w14:paraId="645AFFD7" w14:textId="77777777" w:rsidTr="00820E06">
        <w:tc>
          <w:tcPr>
            <w:tcW w:w="2263" w:type="dxa"/>
            <w:vMerge/>
            <w:tcMar>
              <w:left w:w="28" w:type="dxa"/>
              <w:right w:w="28" w:type="dxa"/>
            </w:tcMar>
            <w:vAlign w:val="center"/>
          </w:tcPr>
          <w:p w14:paraId="09F62808" w14:textId="77777777" w:rsidR="00820E06" w:rsidRPr="001F275B" w:rsidRDefault="00820E06" w:rsidP="006C221F">
            <w:pPr>
              <w:keepNext/>
              <w:jc w:val="center"/>
              <w:rPr>
                <w:rFonts w:ascii="Arial Narrow" w:eastAsiaTheme="majorEastAsia" w:hAnsi="Arial Narrow" w:cstheme="majorBidi"/>
                <w:bCs/>
                <w:sz w:val="20"/>
              </w:rPr>
            </w:pPr>
          </w:p>
        </w:tc>
        <w:tc>
          <w:tcPr>
            <w:tcW w:w="2127" w:type="dxa"/>
            <w:shd w:val="clear" w:color="auto" w:fill="auto"/>
            <w:tcMar>
              <w:left w:w="28" w:type="dxa"/>
              <w:right w:w="28" w:type="dxa"/>
            </w:tcMar>
            <w:vAlign w:val="center"/>
          </w:tcPr>
          <w:p w14:paraId="436A792C" w14:textId="77777777" w:rsidR="00820E06" w:rsidRPr="001F275B" w:rsidRDefault="00820E06" w:rsidP="006C221F">
            <w:pPr>
              <w:keepNext/>
              <w:jc w:val="left"/>
              <w:rPr>
                <w:rFonts w:ascii="Arial Narrow" w:eastAsiaTheme="majorEastAsia" w:hAnsi="Arial Narrow" w:cstheme="majorBidi"/>
                <w:bCs/>
                <w:sz w:val="20"/>
              </w:rPr>
            </w:pPr>
            <w:r w:rsidRPr="001F275B">
              <w:rPr>
                <w:rFonts w:ascii="Arial Narrow" w:eastAsiaTheme="majorEastAsia" w:hAnsi="Arial Narrow" w:cstheme="majorBidi"/>
                <w:bCs/>
                <w:sz w:val="20"/>
              </w:rPr>
              <w:t>Median follow-up (months)</w:t>
            </w:r>
          </w:p>
        </w:tc>
        <w:tc>
          <w:tcPr>
            <w:tcW w:w="1559" w:type="dxa"/>
            <w:shd w:val="clear" w:color="auto" w:fill="auto"/>
            <w:tcMar>
              <w:left w:w="28" w:type="dxa"/>
              <w:right w:w="28" w:type="dxa"/>
            </w:tcMar>
            <w:vAlign w:val="center"/>
          </w:tcPr>
          <w:p w14:paraId="66B764A6"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558" w:type="dxa"/>
            <w:shd w:val="clear" w:color="auto" w:fill="auto"/>
            <w:tcMar>
              <w:left w:w="28" w:type="dxa"/>
              <w:right w:w="28" w:type="dxa"/>
            </w:tcMar>
            <w:vAlign w:val="center"/>
          </w:tcPr>
          <w:p w14:paraId="249D2214" w14:textId="77777777" w:rsidR="00820E06" w:rsidRPr="001F275B" w:rsidRDefault="00820E06" w:rsidP="006C221F">
            <w:pPr>
              <w:keepNext/>
              <w:jc w:val="center"/>
              <w:rPr>
                <w:rFonts w:ascii="Arial Narrow" w:eastAsiaTheme="majorEastAsia" w:hAnsi="Arial Narrow" w:cstheme="majorBidi"/>
                <w:bCs/>
                <w:sz w:val="20"/>
              </w:rPr>
            </w:pPr>
            <w:r w:rsidRPr="001F275B">
              <w:rPr>
                <w:rFonts w:ascii="Arial Narrow" w:eastAsiaTheme="majorEastAsia" w:hAnsi="Arial Narrow" w:cstheme="majorBidi"/>
                <w:bCs/>
                <w:sz w:val="20"/>
              </w:rPr>
              <w:t>50</w:t>
            </w:r>
          </w:p>
        </w:tc>
        <w:tc>
          <w:tcPr>
            <w:tcW w:w="1510" w:type="dxa"/>
            <w:shd w:val="clear" w:color="auto" w:fill="auto"/>
            <w:tcMar>
              <w:left w:w="28" w:type="dxa"/>
              <w:right w:w="28" w:type="dxa"/>
            </w:tcMar>
            <w:vAlign w:val="center"/>
          </w:tcPr>
          <w:p w14:paraId="3B3110B7" w14:textId="77777777" w:rsidR="00820E06" w:rsidRPr="001F275B" w:rsidRDefault="00820E06" w:rsidP="00820E06">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2.17</w:t>
            </w:r>
            <w:r>
              <w:rPr>
                <w:rFonts w:ascii="Arial Narrow" w:eastAsiaTheme="majorEastAsia" w:hAnsi="Arial Narrow" w:cstheme="majorBidi"/>
                <w:b/>
                <w:bCs/>
                <w:sz w:val="20"/>
              </w:rPr>
              <w:t xml:space="preserve"> </w:t>
            </w:r>
            <w:r w:rsidRPr="001F275B">
              <w:rPr>
                <w:rFonts w:ascii="Arial Narrow" w:eastAsiaTheme="majorEastAsia" w:hAnsi="Arial Narrow" w:cstheme="majorBidi"/>
                <w:b/>
                <w:bCs/>
                <w:sz w:val="20"/>
              </w:rPr>
              <w:t>(1.35, 3. 57)</w:t>
            </w:r>
          </w:p>
        </w:tc>
      </w:tr>
      <w:tr w:rsidR="001F275B" w:rsidRPr="001F275B" w14:paraId="558CBE5F" w14:textId="77777777" w:rsidTr="00820E06">
        <w:tc>
          <w:tcPr>
            <w:tcW w:w="7507" w:type="dxa"/>
            <w:gridSpan w:val="4"/>
            <w:tcMar>
              <w:left w:w="28" w:type="dxa"/>
              <w:right w:w="28" w:type="dxa"/>
            </w:tcMar>
            <w:vAlign w:val="center"/>
          </w:tcPr>
          <w:p w14:paraId="1215C043" w14:textId="77777777" w:rsidR="001F275B" w:rsidRPr="001F275B" w:rsidRDefault="001F275B" w:rsidP="006C221F">
            <w:pPr>
              <w:keepNext/>
              <w:jc w:val="right"/>
              <w:rPr>
                <w:rFonts w:ascii="Arial Narrow" w:eastAsiaTheme="majorEastAsia" w:hAnsi="Arial Narrow" w:cstheme="majorBidi"/>
                <w:b/>
                <w:bCs/>
                <w:sz w:val="20"/>
              </w:rPr>
            </w:pPr>
            <w:r w:rsidRPr="001F275B">
              <w:rPr>
                <w:rFonts w:ascii="Arial Narrow" w:eastAsiaTheme="majorEastAsia" w:hAnsi="Arial Narrow" w:cstheme="majorBidi"/>
                <w:b/>
                <w:bCs/>
                <w:sz w:val="20"/>
              </w:rPr>
              <w:t>Indirect comparison: Dara + CyBorD vs. MDex</w:t>
            </w:r>
          </w:p>
        </w:tc>
        <w:tc>
          <w:tcPr>
            <w:tcW w:w="1510" w:type="dxa"/>
            <w:shd w:val="clear" w:color="auto" w:fill="auto"/>
            <w:tcMar>
              <w:left w:w="28" w:type="dxa"/>
              <w:right w:w="28" w:type="dxa"/>
            </w:tcMar>
            <w:vAlign w:val="center"/>
          </w:tcPr>
          <w:p w14:paraId="677D860E" w14:textId="77777777" w:rsidR="001F275B" w:rsidRPr="001F275B" w:rsidRDefault="001F275B" w:rsidP="006C221F">
            <w:pPr>
              <w:keepNext/>
              <w:jc w:val="center"/>
              <w:rPr>
                <w:rFonts w:ascii="Arial Narrow" w:eastAsiaTheme="majorEastAsia" w:hAnsi="Arial Narrow" w:cstheme="majorBidi"/>
                <w:b/>
                <w:bCs/>
                <w:sz w:val="20"/>
              </w:rPr>
            </w:pPr>
            <w:r w:rsidRPr="001F275B">
              <w:rPr>
                <w:rFonts w:ascii="Arial Narrow" w:eastAsiaTheme="majorEastAsia" w:hAnsi="Arial Narrow" w:cstheme="majorBidi"/>
                <w:b/>
                <w:bCs/>
                <w:sz w:val="20"/>
              </w:rPr>
              <w:t>0.27 (0.14, 0.53)</w:t>
            </w:r>
          </w:p>
        </w:tc>
      </w:tr>
    </w:tbl>
    <w:p w14:paraId="137022F3" w14:textId="77777777" w:rsidR="001F275B" w:rsidRPr="001F275B" w:rsidRDefault="001F275B" w:rsidP="006C221F">
      <w:pPr>
        <w:keepNext/>
        <w:spacing w:after="120"/>
        <w:contextualSpacing/>
        <w:rPr>
          <w:rFonts w:ascii="Arial Narrow" w:hAnsi="Arial Narrow"/>
          <w:snapToGrid w:val="0"/>
          <w:sz w:val="18"/>
          <w:szCs w:val="22"/>
        </w:rPr>
      </w:pPr>
      <w:r w:rsidRPr="001F275B">
        <w:rPr>
          <w:rFonts w:ascii="Arial Narrow" w:hAnsi="Arial Narrow"/>
          <w:snapToGrid w:val="0"/>
          <w:sz w:val="18"/>
          <w:szCs w:val="22"/>
        </w:rPr>
        <w:t>Source: Table 2-</w:t>
      </w:r>
      <w:r w:rsidR="00AF5FFD">
        <w:rPr>
          <w:rFonts w:ascii="Arial Narrow" w:hAnsi="Arial Narrow"/>
          <w:snapToGrid w:val="0"/>
          <w:sz w:val="18"/>
          <w:szCs w:val="22"/>
        </w:rPr>
        <w:t>6</w:t>
      </w:r>
      <w:r w:rsidR="00AF5FFD" w:rsidRPr="001F275B">
        <w:rPr>
          <w:rFonts w:ascii="Arial Narrow" w:hAnsi="Arial Narrow"/>
          <w:snapToGrid w:val="0"/>
          <w:sz w:val="18"/>
          <w:szCs w:val="22"/>
        </w:rPr>
        <w:t>6</w:t>
      </w:r>
      <w:r w:rsidRPr="001F275B">
        <w:rPr>
          <w:rFonts w:ascii="Arial Narrow" w:hAnsi="Arial Narrow"/>
          <w:snapToGrid w:val="0"/>
          <w:sz w:val="18"/>
          <w:szCs w:val="22"/>
        </w:rPr>
        <w:t>, p 182 of the submission</w:t>
      </w:r>
    </w:p>
    <w:p w14:paraId="4FF96EFC" w14:textId="77777777" w:rsidR="001F275B" w:rsidRPr="005E366C" w:rsidRDefault="001F275B" w:rsidP="006C221F">
      <w:pPr>
        <w:keepNext/>
        <w:spacing w:after="120"/>
        <w:contextualSpacing/>
        <w:rPr>
          <w:rFonts w:ascii="Arial Narrow" w:eastAsia="Calibri" w:hAnsi="Arial Narrow"/>
          <w:snapToGrid w:val="0"/>
          <w:sz w:val="18"/>
          <w:szCs w:val="22"/>
        </w:rPr>
      </w:pPr>
      <w:r w:rsidRPr="005E366C">
        <w:rPr>
          <w:rFonts w:ascii="Arial Narrow" w:hAnsi="Arial Narrow"/>
          <w:snapToGrid w:val="0"/>
          <w:sz w:val="18"/>
          <w:szCs w:val="22"/>
        </w:rPr>
        <w:t xml:space="preserve">BMDex = bortezomib, melphalan, and dexamethasone; </w:t>
      </w:r>
      <w:r w:rsidRPr="005E366C">
        <w:rPr>
          <w:rFonts w:ascii="Arial Narrow" w:eastAsia="Calibri" w:hAnsi="Arial Narrow"/>
          <w:snapToGrid w:val="0"/>
          <w:sz w:val="18"/>
          <w:szCs w:val="22"/>
        </w:rPr>
        <w:t xml:space="preserve">CI = confidence interval; </w:t>
      </w:r>
      <w:r w:rsidR="00DB2FCF" w:rsidRPr="005E366C">
        <w:rPr>
          <w:rFonts w:ascii="Arial Narrow" w:eastAsia="Calibri" w:hAnsi="Arial Narrow"/>
          <w:snapToGrid w:val="0"/>
          <w:sz w:val="18"/>
          <w:szCs w:val="22"/>
        </w:rPr>
        <w:t>CR = complete</w:t>
      </w:r>
      <w:r w:rsidRPr="005E366C">
        <w:rPr>
          <w:rFonts w:ascii="Arial Narrow" w:eastAsia="Calibri" w:hAnsi="Arial Narrow"/>
          <w:snapToGrid w:val="0"/>
          <w:sz w:val="18"/>
          <w:szCs w:val="22"/>
        </w:rPr>
        <w:t xml:space="preserve"> response; </w:t>
      </w:r>
      <w:r w:rsidR="00827BA3" w:rsidRPr="005E366C">
        <w:rPr>
          <w:rFonts w:ascii="Arial Narrow" w:eastAsia="Calibri" w:hAnsi="Arial Narrow"/>
          <w:snapToGrid w:val="0"/>
          <w:sz w:val="18"/>
          <w:szCs w:val="22"/>
        </w:rPr>
        <w:t xml:space="preserve">CyBorD = </w:t>
      </w:r>
      <w:r w:rsidR="009F38C1" w:rsidRPr="005E366C">
        <w:rPr>
          <w:rFonts w:ascii="Arial Narrow" w:eastAsia="Calibri" w:hAnsi="Arial Narrow"/>
          <w:snapToGrid w:val="0"/>
          <w:sz w:val="18"/>
          <w:szCs w:val="22"/>
        </w:rPr>
        <w:t>cy</w:t>
      </w:r>
      <w:r w:rsidRPr="005E366C">
        <w:rPr>
          <w:rFonts w:ascii="Arial Narrow" w:eastAsia="Calibri" w:hAnsi="Arial Narrow"/>
          <w:snapToGrid w:val="0"/>
          <w:sz w:val="18"/>
          <w:szCs w:val="22"/>
        </w:rPr>
        <w:t xml:space="preserve">clophosphamide, bortezomib and dexamethasone; Dara + CyBorD = daratumumab subcutaneous and cyclophosphamide, bortezomib and dexamethasone; </w:t>
      </w:r>
      <w:r w:rsidR="00DB2FCF" w:rsidRPr="005E366C">
        <w:rPr>
          <w:rFonts w:ascii="Arial Narrow" w:hAnsi="Arial Narrow"/>
          <w:snapToGrid w:val="0"/>
          <w:sz w:val="18"/>
          <w:szCs w:val="22"/>
        </w:rPr>
        <w:t>HR = hazard ratio</w:t>
      </w:r>
      <w:r w:rsidRPr="005E366C">
        <w:rPr>
          <w:rFonts w:ascii="Arial Narrow" w:hAnsi="Arial Narrow"/>
          <w:snapToGrid w:val="0"/>
          <w:sz w:val="18"/>
          <w:szCs w:val="22"/>
        </w:rPr>
        <w:t xml:space="preserve">; </w:t>
      </w:r>
      <w:r w:rsidR="005E366C">
        <w:rPr>
          <w:rFonts w:ascii="Arial Narrow" w:hAnsi="Arial Narrow"/>
          <w:snapToGrid w:val="0"/>
          <w:sz w:val="18"/>
          <w:szCs w:val="22"/>
        </w:rPr>
        <w:t xml:space="preserve">IPCW = inverse probability of censoring weights; </w:t>
      </w:r>
      <w:r w:rsidR="007C3BC0" w:rsidRPr="005E366C">
        <w:rPr>
          <w:rFonts w:ascii="Arial Narrow" w:hAnsi="Arial Narrow"/>
          <w:snapToGrid w:val="0"/>
          <w:sz w:val="18"/>
          <w:szCs w:val="22"/>
        </w:rPr>
        <w:t>MDex = melphalan</w:t>
      </w:r>
      <w:r w:rsidRPr="005E366C">
        <w:rPr>
          <w:rFonts w:ascii="Arial Narrow" w:hAnsi="Arial Narrow"/>
          <w:snapToGrid w:val="0"/>
          <w:sz w:val="18"/>
          <w:szCs w:val="22"/>
        </w:rPr>
        <w:t xml:space="preserve"> and dexamethasone</w:t>
      </w:r>
      <w:r w:rsidR="00CF7351" w:rsidRPr="005E366C">
        <w:rPr>
          <w:rFonts w:ascii="Arial Narrow" w:eastAsia="Calibri" w:hAnsi="Arial Narrow"/>
          <w:snapToGrid w:val="0"/>
          <w:sz w:val="18"/>
          <w:szCs w:val="22"/>
        </w:rPr>
        <w:t xml:space="preserve">; </w:t>
      </w:r>
      <w:r w:rsidR="000B1FA9" w:rsidRPr="005E366C">
        <w:rPr>
          <w:rFonts w:ascii="Arial Narrow" w:eastAsia="Calibri" w:hAnsi="Arial Narrow"/>
          <w:snapToGrid w:val="0"/>
          <w:sz w:val="18"/>
          <w:szCs w:val="22"/>
        </w:rPr>
        <w:t>MITT = modified intention to treat</w:t>
      </w:r>
      <w:r w:rsidR="005E366C" w:rsidRPr="005E366C">
        <w:rPr>
          <w:rFonts w:ascii="Arial Narrow" w:eastAsia="Calibri" w:hAnsi="Arial Narrow"/>
          <w:snapToGrid w:val="0"/>
          <w:sz w:val="18"/>
          <w:szCs w:val="22"/>
        </w:rPr>
        <w:t xml:space="preserve">. </w:t>
      </w:r>
      <w:r w:rsidR="00CF7351" w:rsidRPr="005E366C">
        <w:rPr>
          <w:rFonts w:ascii="Arial Narrow" w:eastAsia="Calibri" w:hAnsi="Arial Narrow"/>
          <w:snapToGrid w:val="0"/>
          <w:sz w:val="18"/>
          <w:szCs w:val="22"/>
        </w:rPr>
        <w:t>bold</w:t>
      </w:r>
      <w:r w:rsidRPr="005E366C">
        <w:rPr>
          <w:rFonts w:ascii="Arial Narrow" w:eastAsia="Calibri" w:hAnsi="Arial Narrow"/>
          <w:snapToGrid w:val="0"/>
          <w:sz w:val="18"/>
          <w:szCs w:val="22"/>
        </w:rPr>
        <w:t xml:space="preserve"> = statistically significant at p-val</w:t>
      </w:r>
      <w:r w:rsidR="00A22657" w:rsidRPr="005E366C">
        <w:rPr>
          <w:rFonts w:ascii="Arial Narrow" w:eastAsia="Calibri" w:hAnsi="Arial Narrow"/>
          <w:snapToGrid w:val="0"/>
          <w:sz w:val="18"/>
          <w:szCs w:val="22"/>
        </w:rPr>
        <w:t>u</w:t>
      </w:r>
      <w:r w:rsidRPr="005E366C">
        <w:rPr>
          <w:rFonts w:ascii="Arial Narrow" w:eastAsia="Calibri" w:hAnsi="Arial Narrow"/>
          <w:snapToGrid w:val="0"/>
          <w:sz w:val="18"/>
          <w:szCs w:val="22"/>
        </w:rPr>
        <w:t>e &lt;0.05</w:t>
      </w:r>
    </w:p>
    <w:p w14:paraId="2F23A7EB" w14:textId="77777777" w:rsidR="00023AE3" w:rsidRPr="001F275B" w:rsidRDefault="00023AE3" w:rsidP="001F275B">
      <w:pPr>
        <w:spacing w:after="120"/>
        <w:contextualSpacing/>
        <w:rPr>
          <w:rFonts w:ascii="Arial Narrow" w:hAnsi="Arial Narrow"/>
          <w:snapToGrid w:val="0"/>
          <w:sz w:val="18"/>
          <w:szCs w:val="22"/>
        </w:rPr>
      </w:pPr>
    </w:p>
    <w:p w14:paraId="05EDAB35" w14:textId="77777777" w:rsidR="00023AE3" w:rsidRPr="002A770B" w:rsidRDefault="00023AE3" w:rsidP="00023AE3">
      <w:pPr>
        <w:numPr>
          <w:ilvl w:val="1"/>
          <w:numId w:val="1"/>
        </w:numPr>
        <w:spacing w:after="120"/>
        <w:rPr>
          <w:rFonts w:asciiTheme="minorHAnsi" w:hAnsiTheme="minorHAnsi"/>
          <w:snapToGrid w:val="0"/>
        </w:rPr>
      </w:pPr>
      <w:r w:rsidRPr="002A770B">
        <w:rPr>
          <w:rFonts w:asciiTheme="minorHAnsi" w:hAnsiTheme="minorHAnsi"/>
          <w:snapToGrid w:val="0"/>
        </w:rPr>
        <w:t>Patients treated with daratumumab SC + CyBorD had a significant reduction in the risk of death compared to patients treated with MDex (HR</w:t>
      </w:r>
      <w:r w:rsidR="00A041D5" w:rsidRPr="002A770B">
        <w:rPr>
          <w:rFonts w:asciiTheme="minorHAnsi" w:hAnsiTheme="minorHAnsi"/>
          <w:snapToGrid w:val="0"/>
        </w:rPr>
        <w:t xml:space="preserve"> </w:t>
      </w:r>
      <w:r w:rsidRPr="002A770B">
        <w:rPr>
          <w:rFonts w:asciiTheme="minorHAnsi" w:hAnsiTheme="minorHAnsi"/>
          <w:snapToGrid w:val="0"/>
        </w:rPr>
        <w:t>=</w:t>
      </w:r>
      <w:r w:rsidR="00A041D5" w:rsidRPr="002A770B">
        <w:rPr>
          <w:rFonts w:asciiTheme="minorHAnsi" w:hAnsiTheme="minorHAnsi"/>
          <w:snapToGrid w:val="0"/>
        </w:rPr>
        <w:t xml:space="preserve"> </w:t>
      </w:r>
      <w:r w:rsidRPr="002A770B">
        <w:rPr>
          <w:rFonts w:asciiTheme="minorHAnsi" w:hAnsiTheme="minorHAnsi"/>
          <w:snapToGrid w:val="0"/>
        </w:rPr>
        <w:t xml:space="preserve">0.29, 95% CI: 0.14, 0.62). However, as the death rate in the common comparator arm in the trials were not comparable (CyBorD = 15% vs. BMDex = 32%) the results should be interpreted with caution. </w:t>
      </w:r>
      <w:r w:rsidRPr="002A770B">
        <w:t xml:space="preserve">See </w:t>
      </w:r>
      <w:r w:rsidR="008A0743" w:rsidRPr="00C6167F">
        <w:t xml:space="preserve">Table </w:t>
      </w:r>
      <w:r w:rsidR="001A7573">
        <w:t>10</w:t>
      </w:r>
      <w:r w:rsidRPr="002A770B">
        <w:t>.</w:t>
      </w:r>
    </w:p>
    <w:p w14:paraId="09CDB2A6" w14:textId="77777777" w:rsidR="00C6167F" w:rsidRPr="00C6167F" w:rsidRDefault="001F275B" w:rsidP="001924C7">
      <w:pPr>
        <w:pStyle w:val="Caption"/>
      </w:pPr>
      <w:bookmarkStart w:id="40" w:name="_Ref79582462"/>
      <w:r w:rsidRPr="00C6167F">
        <w:t xml:space="preserve">Table </w:t>
      </w:r>
      <w:r w:rsidR="001A7573">
        <w:t>10</w:t>
      </w:r>
      <w:bookmarkEnd w:id="40"/>
      <w:r w:rsidRPr="00C6167F">
        <w:t>: Results of the indirect comparison, Dara + CyBorD vs. MDex,</w:t>
      </w:r>
      <w:r w:rsidR="006E7C77" w:rsidRPr="00C6167F">
        <w:t xml:space="preserve"> via </w:t>
      </w:r>
      <w:r w:rsidRPr="00C6167F">
        <w:t xml:space="preserve">the common comparator, bortezomib based regimens (CyBorD/ BMDex) </w:t>
      </w:r>
      <w:r w:rsidR="00C6167F" w:rsidRPr="00C6167F">
        <w:t xml:space="preserve">for overall survival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indirect comparison, Dara + CyBorD vs. MDex, via the common comparator, bortezomib based regimens (CyBorD/ BMDex) for overall survival "/>
      </w:tblPr>
      <w:tblGrid>
        <w:gridCol w:w="2263"/>
        <w:gridCol w:w="2127"/>
        <w:gridCol w:w="1559"/>
        <w:gridCol w:w="1559"/>
        <w:gridCol w:w="1509"/>
      </w:tblGrid>
      <w:tr w:rsidR="00820E06" w:rsidRPr="00C6167F" w14:paraId="0C08582C" w14:textId="77777777" w:rsidTr="00820E06">
        <w:trPr>
          <w:tblHeader/>
        </w:trPr>
        <w:tc>
          <w:tcPr>
            <w:tcW w:w="2263" w:type="dxa"/>
            <w:tcMar>
              <w:left w:w="28" w:type="dxa"/>
              <w:right w:w="28" w:type="dxa"/>
            </w:tcMar>
            <w:vAlign w:val="center"/>
          </w:tcPr>
          <w:p w14:paraId="334B4C18" w14:textId="77777777" w:rsidR="00820E06" w:rsidRPr="00C6167F" w:rsidRDefault="00820E06" w:rsidP="00DB2FCF">
            <w:pPr>
              <w:pStyle w:val="In-tableHeading"/>
              <w:keepLines/>
              <w:rPr>
                <w:lang w:val="en-AU"/>
              </w:rPr>
            </w:pPr>
            <w:r w:rsidRPr="00C6167F">
              <w:rPr>
                <w:lang w:val="en-AU"/>
              </w:rPr>
              <w:t>Trial</w:t>
            </w:r>
          </w:p>
        </w:tc>
        <w:tc>
          <w:tcPr>
            <w:tcW w:w="2127" w:type="dxa"/>
            <w:shd w:val="clear" w:color="auto" w:fill="auto"/>
            <w:tcMar>
              <w:left w:w="28" w:type="dxa"/>
              <w:right w:w="28" w:type="dxa"/>
            </w:tcMar>
            <w:vAlign w:val="center"/>
          </w:tcPr>
          <w:p w14:paraId="6AB2FAA0" w14:textId="77777777" w:rsidR="00820E06" w:rsidRPr="00C6167F" w:rsidRDefault="00820E06" w:rsidP="00DB2FCF">
            <w:pPr>
              <w:pStyle w:val="In-tableHeading"/>
              <w:keepLines/>
              <w:jc w:val="center"/>
              <w:rPr>
                <w:lang w:val="en-AU"/>
              </w:rPr>
            </w:pPr>
            <w:r w:rsidRPr="00C6167F">
              <w:rPr>
                <w:lang w:val="en-AU"/>
              </w:rPr>
              <w:t>Outcome</w:t>
            </w:r>
          </w:p>
        </w:tc>
        <w:tc>
          <w:tcPr>
            <w:tcW w:w="1559" w:type="dxa"/>
            <w:shd w:val="clear" w:color="auto" w:fill="auto"/>
            <w:tcMar>
              <w:left w:w="28" w:type="dxa"/>
              <w:right w:w="28" w:type="dxa"/>
            </w:tcMar>
            <w:vAlign w:val="center"/>
          </w:tcPr>
          <w:p w14:paraId="6F45B805" w14:textId="77777777" w:rsidR="00820E06" w:rsidRPr="00C6167F" w:rsidRDefault="00820E06" w:rsidP="00DB2FCF">
            <w:pPr>
              <w:pStyle w:val="In-tableHeading"/>
              <w:keepLines/>
              <w:jc w:val="center"/>
              <w:rPr>
                <w:lang w:val="en-AU"/>
              </w:rPr>
            </w:pPr>
            <w:r w:rsidRPr="00C6167F">
              <w:rPr>
                <w:lang w:val="en-AU"/>
              </w:rPr>
              <w:t>D</w:t>
            </w:r>
            <w:r w:rsidRPr="00C6167F">
              <w:t>ara + CyBorD/ MDex</w:t>
            </w:r>
          </w:p>
        </w:tc>
        <w:tc>
          <w:tcPr>
            <w:tcW w:w="1559" w:type="dxa"/>
            <w:shd w:val="clear" w:color="auto" w:fill="auto"/>
            <w:tcMar>
              <w:left w:w="28" w:type="dxa"/>
              <w:right w:w="28" w:type="dxa"/>
            </w:tcMar>
            <w:vAlign w:val="center"/>
          </w:tcPr>
          <w:p w14:paraId="60B1873C" w14:textId="77777777" w:rsidR="00820E06" w:rsidRDefault="00820E06" w:rsidP="00DB2FCF">
            <w:pPr>
              <w:pStyle w:val="TableText0"/>
              <w:keepLines/>
              <w:jc w:val="center"/>
              <w:rPr>
                <w:b/>
              </w:rPr>
            </w:pPr>
            <w:r w:rsidRPr="00C6167F">
              <w:rPr>
                <w:b/>
              </w:rPr>
              <w:t xml:space="preserve">CyBorD/ </w:t>
            </w:r>
          </w:p>
          <w:p w14:paraId="159DE689" w14:textId="77777777" w:rsidR="00820E06" w:rsidRPr="00C6167F" w:rsidRDefault="00820E06" w:rsidP="00DB2FCF">
            <w:pPr>
              <w:pStyle w:val="TableText0"/>
              <w:keepLines/>
              <w:jc w:val="center"/>
              <w:rPr>
                <w:b/>
              </w:rPr>
            </w:pPr>
            <w:r w:rsidRPr="00C6167F">
              <w:rPr>
                <w:b/>
              </w:rPr>
              <w:t>BMDex</w:t>
            </w:r>
          </w:p>
        </w:tc>
        <w:tc>
          <w:tcPr>
            <w:tcW w:w="1509" w:type="dxa"/>
            <w:shd w:val="clear" w:color="auto" w:fill="auto"/>
            <w:tcMar>
              <w:left w:w="28" w:type="dxa"/>
              <w:right w:w="28" w:type="dxa"/>
            </w:tcMar>
            <w:vAlign w:val="center"/>
          </w:tcPr>
          <w:p w14:paraId="65A1D229" w14:textId="77777777" w:rsidR="00820E06" w:rsidRPr="00C6167F" w:rsidRDefault="00820E06" w:rsidP="00DB2FCF">
            <w:pPr>
              <w:pStyle w:val="In-tableHeading"/>
              <w:keepLines/>
              <w:jc w:val="center"/>
              <w:rPr>
                <w:lang w:val="en-AU"/>
              </w:rPr>
            </w:pPr>
            <w:r w:rsidRPr="00C6167F">
              <w:rPr>
                <w:lang w:val="en-AU"/>
              </w:rPr>
              <w:t>HR (95% CI)</w:t>
            </w:r>
          </w:p>
        </w:tc>
      </w:tr>
      <w:tr w:rsidR="00820E06" w:rsidRPr="00C6167F" w14:paraId="381C624B" w14:textId="77777777" w:rsidTr="00820E06">
        <w:tc>
          <w:tcPr>
            <w:tcW w:w="2263" w:type="dxa"/>
            <w:vMerge w:val="restart"/>
            <w:tcMar>
              <w:left w:w="28" w:type="dxa"/>
              <w:right w:w="28" w:type="dxa"/>
            </w:tcMar>
            <w:vAlign w:val="center"/>
          </w:tcPr>
          <w:p w14:paraId="372B4B54" w14:textId="77777777" w:rsidR="00820E06" w:rsidRPr="00C6167F" w:rsidRDefault="00820E06" w:rsidP="00A22657">
            <w:pPr>
              <w:pStyle w:val="TableText0"/>
              <w:keepLines/>
              <w:rPr>
                <w:vertAlign w:val="superscript"/>
              </w:rPr>
            </w:pPr>
            <w:r w:rsidRPr="00C6167F">
              <w:t>ANDROMEDA (Dara +CyBorD vs. CyBorD)</w:t>
            </w:r>
            <w:r w:rsidRPr="00C6167F" w:rsidDel="00A22657">
              <w:rPr>
                <w:vertAlign w:val="superscript"/>
              </w:rPr>
              <w:t xml:space="preserve"> </w:t>
            </w:r>
            <w:r>
              <w:t>- ITT</w:t>
            </w:r>
          </w:p>
        </w:tc>
        <w:tc>
          <w:tcPr>
            <w:tcW w:w="2127" w:type="dxa"/>
            <w:shd w:val="clear" w:color="auto" w:fill="auto"/>
            <w:tcMar>
              <w:left w:w="28" w:type="dxa"/>
              <w:right w:w="28" w:type="dxa"/>
            </w:tcMar>
            <w:vAlign w:val="center"/>
          </w:tcPr>
          <w:p w14:paraId="12F5A9F6" w14:textId="77777777" w:rsidR="00820E06" w:rsidRPr="00C6167F" w:rsidRDefault="00820E06" w:rsidP="00DB2FCF">
            <w:pPr>
              <w:pStyle w:val="TableText0"/>
              <w:keepLines/>
            </w:pPr>
            <w:r w:rsidRPr="00C6167F">
              <w:t>Deaths</w:t>
            </w:r>
          </w:p>
        </w:tc>
        <w:tc>
          <w:tcPr>
            <w:tcW w:w="1559" w:type="dxa"/>
            <w:shd w:val="clear" w:color="auto" w:fill="auto"/>
            <w:tcMar>
              <w:left w:w="28" w:type="dxa"/>
              <w:right w:w="28" w:type="dxa"/>
            </w:tcMar>
            <w:vAlign w:val="center"/>
          </w:tcPr>
          <w:p w14:paraId="7586110A" w14:textId="77777777" w:rsidR="00820E06" w:rsidRPr="00C6167F" w:rsidRDefault="00820E06" w:rsidP="00DB2FCF">
            <w:pPr>
              <w:pStyle w:val="TableText0"/>
              <w:keepLines/>
              <w:jc w:val="center"/>
              <w:rPr>
                <w:iCs/>
              </w:rPr>
            </w:pPr>
            <w:r w:rsidRPr="00C6167F">
              <w:t>27/195 (14%)</w:t>
            </w:r>
          </w:p>
        </w:tc>
        <w:tc>
          <w:tcPr>
            <w:tcW w:w="1559" w:type="dxa"/>
            <w:shd w:val="clear" w:color="auto" w:fill="auto"/>
            <w:tcMar>
              <w:left w:w="28" w:type="dxa"/>
              <w:right w:w="28" w:type="dxa"/>
            </w:tcMar>
            <w:vAlign w:val="center"/>
          </w:tcPr>
          <w:p w14:paraId="3348A232" w14:textId="77777777" w:rsidR="00820E06" w:rsidRPr="00C6167F" w:rsidRDefault="00820E06" w:rsidP="00DB2FCF">
            <w:pPr>
              <w:pStyle w:val="TableText0"/>
              <w:keepLines/>
              <w:jc w:val="center"/>
              <w:rPr>
                <w:iCs/>
              </w:rPr>
            </w:pPr>
            <w:r w:rsidRPr="00C6167F">
              <w:t>29/193 (15%)</w:t>
            </w:r>
          </w:p>
        </w:tc>
        <w:tc>
          <w:tcPr>
            <w:tcW w:w="1509" w:type="dxa"/>
            <w:shd w:val="clear" w:color="auto" w:fill="auto"/>
            <w:tcMar>
              <w:left w:w="28" w:type="dxa"/>
              <w:right w:w="28" w:type="dxa"/>
            </w:tcMar>
            <w:vAlign w:val="center"/>
          </w:tcPr>
          <w:p w14:paraId="048331DB" w14:textId="77777777" w:rsidR="00820E06" w:rsidRPr="00C6167F" w:rsidRDefault="00820E06" w:rsidP="00DB2FCF">
            <w:pPr>
              <w:pStyle w:val="TableText0"/>
              <w:keepLines/>
              <w:jc w:val="center"/>
            </w:pPr>
            <w:r w:rsidRPr="00C6167F">
              <w:t>-</w:t>
            </w:r>
          </w:p>
        </w:tc>
      </w:tr>
      <w:tr w:rsidR="00820E06" w:rsidRPr="00C6167F" w14:paraId="48823CA4" w14:textId="77777777" w:rsidTr="00820E06">
        <w:tc>
          <w:tcPr>
            <w:tcW w:w="2263" w:type="dxa"/>
            <w:vMerge/>
            <w:tcBorders>
              <w:bottom w:val="double" w:sz="4" w:space="0" w:color="auto"/>
            </w:tcBorders>
            <w:tcMar>
              <w:left w:w="28" w:type="dxa"/>
              <w:right w:w="28" w:type="dxa"/>
            </w:tcMar>
            <w:vAlign w:val="center"/>
          </w:tcPr>
          <w:p w14:paraId="33F3B8E1" w14:textId="77777777" w:rsidR="00820E06" w:rsidRPr="00C6167F" w:rsidRDefault="00820E06" w:rsidP="00DB2FCF">
            <w:pPr>
              <w:pStyle w:val="TableText0"/>
              <w:keepLines/>
            </w:pPr>
          </w:p>
        </w:tc>
        <w:tc>
          <w:tcPr>
            <w:tcW w:w="2127" w:type="dxa"/>
            <w:tcBorders>
              <w:bottom w:val="double" w:sz="4" w:space="0" w:color="auto"/>
            </w:tcBorders>
            <w:shd w:val="clear" w:color="auto" w:fill="auto"/>
            <w:tcMar>
              <w:left w:w="28" w:type="dxa"/>
              <w:right w:w="28" w:type="dxa"/>
            </w:tcMar>
            <w:vAlign w:val="center"/>
          </w:tcPr>
          <w:p w14:paraId="28085D37" w14:textId="77777777" w:rsidR="00820E06" w:rsidRPr="00C6167F" w:rsidRDefault="00820E06" w:rsidP="00DB2FCF">
            <w:pPr>
              <w:pStyle w:val="TableText0"/>
              <w:keepLines/>
            </w:pPr>
            <w:r w:rsidRPr="00C6167F">
              <w:t>Median follow-up (months)</w:t>
            </w:r>
          </w:p>
        </w:tc>
        <w:tc>
          <w:tcPr>
            <w:tcW w:w="1559" w:type="dxa"/>
            <w:tcBorders>
              <w:bottom w:val="double" w:sz="4" w:space="0" w:color="auto"/>
            </w:tcBorders>
            <w:shd w:val="clear" w:color="auto" w:fill="auto"/>
            <w:tcMar>
              <w:left w:w="28" w:type="dxa"/>
              <w:right w:w="28" w:type="dxa"/>
            </w:tcMar>
            <w:vAlign w:val="center"/>
          </w:tcPr>
          <w:p w14:paraId="63ECD9C6" w14:textId="77777777" w:rsidR="00820E06" w:rsidRPr="00C6167F" w:rsidRDefault="00820E06" w:rsidP="00DB2FCF">
            <w:pPr>
              <w:pStyle w:val="TableText0"/>
              <w:keepLines/>
              <w:jc w:val="center"/>
              <w:rPr>
                <w:iCs/>
              </w:rPr>
            </w:pPr>
            <w:r w:rsidRPr="00C6167F">
              <w:rPr>
                <w:iCs/>
              </w:rPr>
              <w:t>11.11</w:t>
            </w:r>
          </w:p>
        </w:tc>
        <w:tc>
          <w:tcPr>
            <w:tcW w:w="1559" w:type="dxa"/>
            <w:tcBorders>
              <w:bottom w:val="double" w:sz="4" w:space="0" w:color="auto"/>
            </w:tcBorders>
            <w:shd w:val="clear" w:color="auto" w:fill="auto"/>
            <w:tcMar>
              <w:left w:w="28" w:type="dxa"/>
              <w:right w:w="28" w:type="dxa"/>
            </w:tcMar>
            <w:vAlign w:val="center"/>
          </w:tcPr>
          <w:p w14:paraId="106B761F" w14:textId="77777777" w:rsidR="00820E06" w:rsidRPr="00C6167F" w:rsidRDefault="00820E06" w:rsidP="00DB2FCF">
            <w:pPr>
              <w:pStyle w:val="TableText0"/>
              <w:keepLines/>
              <w:jc w:val="center"/>
              <w:rPr>
                <w:iCs/>
              </w:rPr>
            </w:pPr>
            <w:r w:rsidRPr="00C6167F">
              <w:rPr>
                <w:iCs/>
              </w:rPr>
              <w:t>11.9</w:t>
            </w:r>
          </w:p>
        </w:tc>
        <w:tc>
          <w:tcPr>
            <w:tcW w:w="1509" w:type="dxa"/>
            <w:tcBorders>
              <w:bottom w:val="double" w:sz="4" w:space="0" w:color="auto"/>
            </w:tcBorders>
            <w:shd w:val="clear" w:color="auto" w:fill="auto"/>
            <w:tcMar>
              <w:left w:w="28" w:type="dxa"/>
              <w:right w:w="28" w:type="dxa"/>
            </w:tcMar>
            <w:vAlign w:val="center"/>
          </w:tcPr>
          <w:p w14:paraId="059F3A0A" w14:textId="77777777" w:rsidR="00820E06" w:rsidRPr="00C6167F" w:rsidRDefault="00820E06" w:rsidP="00DB2FCF">
            <w:pPr>
              <w:pStyle w:val="TableText0"/>
              <w:keepLines/>
              <w:jc w:val="center"/>
            </w:pPr>
            <w:r w:rsidRPr="00C6167F">
              <w:t>0.90 (0.53, 1.53)</w:t>
            </w:r>
          </w:p>
        </w:tc>
      </w:tr>
      <w:tr w:rsidR="00820E06" w:rsidRPr="00C6167F" w14:paraId="7C15B686" w14:textId="77777777" w:rsidTr="00820E06">
        <w:tc>
          <w:tcPr>
            <w:tcW w:w="2263" w:type="dxa"/>
            <w:vMerge w:val="restart"/>
            <w:tcBorders>
              <w:top w:val="single" w:sz="4" w:space="0" w:color="auto"/>
            </w:tcBorders>
            <w:tcMar>
              <w:left w:w="28" w:type="dxa"/>
              <w:right w:w="28" w:type="dxa"/>
            </w:tcMar>
            <w:vAlign w:val="center"/>
          </w:tcPr>
          <w:p w14:paraId="475D4375" w14:textId="77777777" w:rsidR="00820E06" w:rsidRPr="00C6167F" w:rsidRDefault="00820E06" w:rsidP="00DB2FCF">
            <w:pPr>
              <w:pStyle w:val="TableText0"/>
              <w:keepLines/>
            </w:pPr>
            <w:r w:rsidRPr="00C6167F">
              <w:rPr>
                <w:rFonts w:cs="Calibri"/>
                <w:color w:val="000000"/>
                <w:szCs w:val="20"/>
              </w:rPr>
              <w:t>Kastritis et al. 2020 (</w:t>
            </w:r>
            <w:r w:rsidRPr="00C6167F">
              <w:t>MDex vs BMDex)</w:t>
            </w:r>
            <w:r>
              <w:t xml:space="preserve"> - MITT</w:t>
            </w:r>
          </w:p>
        </w:tc>
        <w:tc>
          <w:tcPr>
            <w:tcW w:w="2127" w:type="dxa"/>
            <w:tcBorders>
              <w:top w:val="single" w:sz="4" w:space="0" w:color="auto"/>
            </w:tcBorders>
            <w:shd w:val="clear" w:color="auto" w:fill="auto"/>
            <w:tcMar>
              <w:left w:w="28" w:type="dxa"/>
              <w:right w:w="28" w:type="dxa"/>
            </w:tcMar>
            <w:vAlign w:val="center"/>
          </w:tcPr>
          <w:p w14:paraId="5FF1BE36" w14:textId="77777777" w:rsidR="00820E06" w:rsidRPr="00C6167F" w:rsidRDefault="00820E06" w:rsidP="00DB2FCF">
            <w:pPr>
              <w:pStyle w:val="TableText0"/>
              <w:keepLines/>
            </w:pPr>
            <w:r w:rsidRPr="00C6167F">
              <w:t>Deaths</w:t>
            </w:r>
          </w:p>
        </w:tc>
        <w:tc>
          <w:tcPr>
            <w:tcW w:w="1559" w:type="dxa"/>
            <w:tcBorders>
              <w:top w:val="single" w:sz="4" w:space="0" w:color="auto"/>
            </w:tcBorders>
            <w:shd w:val="clear" w:color="auto" w:fill="auto"/>
            <w:tcMar>
              <w:left w:w="28" w:type="dxa"/>
              <w:right w:w="28" w:type="dxa"/>
            </w:tcMar>
          </w:tcPr>
          <w:p w14:paraId="581B0E3C" w14:textId="77777777" w:rsidR="00820E06" w:rsidRPr="00C6167F" w:rsidRDefault="00820E06" w:rsidP="00DB2FCF">
            <w:pPr>
              <w:pStyle w:val="TableText0"/>
              <w:keepLines/>
              <w:jc w:val="center"/>
            </w:pPr>
            <w:r w:rsidRPr="00C6167F">
              <w:t>31/56 (53%)</w:t>
            </w:r>
          </w:p>
        </w:tc>
        <w:tc>
          <w:tcPr>
            <w:tcW w:w="1559" w:type="dxa"/>
            <w:tcBorders>
              <w:top w:val="single" w:sz="4" w:space="0" w:color="auto"/>
            </w:tcBorders>
            <w:shd w:val="clear" w:color="auto" w:fill="auto"/>
            <w:tcMar>
              <w:left w:w="28" w:type="dxa"/>
              <w:right w:w="28" w:type="dxa"/>
            </w:tcMar>
          </w:tcPr>
          <w:p w14:paraId="20FDEDDD" w14:textId="77777777" w:rsidR="00820E06" w:rsidRPr="00C6167F" w:rsidRDefault="00820E06" w:rsidP="00DB2FCF">
            <w:pPr>
              <w:pStyle w:val="TableText0"/>
              <w:keepLines/>
              <w:jc w:val="center"/>
            </w:pPr>
            <w:r w:rsidRPr="00C6167F">
              <w:t>17/53 (32%)</w:t>
            </w:r>
          </w:p>
        </w:tc>
        <w:tc>
          <w:tcPr>
            <w:tcW w:w="1509" w:type="dxa"/>
            <w:tcBorders>
              <w:top w:val="single" w:sz="4" w:space="0" w:color="auto"/>
            </w:tcBorders>
            <w:shd w:val="clear" w:color="auto" w:fill="auto"/>
            <w:tcMar>
              <w:left w:w="28" w:type="dxa"/>
              <w:right w:w="28" w:type="dxa"/>
            </w:tcMar>
            <w:vAlign w:val="center"/>
          </w:tcPr>
          <w:p w14:paraId="489AF780" w14:textId="77777777" w:rsidR="00820E06" w:rsidRPr="00C6167F" w:rsidRDefault="00820E06" w:rsidP="00DB2FCF">
            <w:pPr>
              <w:pStyle w:val="TableText0"/>
              <w:keepLines/>
              <w:jc w:val="center"/>
            </w:pPr>
            <w:r w:rsidRPr="00C6167F">
              <w:t>-</w:t>
            </w:r>
          </w:p>
        </w:tc>
      </w:tr>
      <w:tr w:rsidR="00820E06" w:rsidRPr="00C6167F" w14:paraId="18A148B4" w14:textId="77777777" w:rsidTr="00820E06">
        <w:tc>
          <w:tcPr>
            <w:tcW w:w="2263" w:type="dxa"/>
            <w:vMerge/>
            <w:tcMar>
              <w:left w:w="28" w:type="dxa"/>
              <w:right w:w="28" w:type="dxa"/>
            </w:tcMar>
            <w:vAlign w:val="center"/>
          </w:tcPr>
          <w:p w14:paraId="68082864" w14:textId="77777777" w:rsidR="00820E06" w:rsidRPr="00C6167F" w:rsidRDefault="00820E06" w:rsidP="00DB2FCF">
            <w:pPr>
              <w:pStyle w:val="TableText0"/>
              <w:keepLines/>
              <w:jc w:val="center"/>
            </w:pPr>
          </w:p>
        </w:tc>
        <w:tc>
          <w:tcPr>
            <w:tcW w:w="2127" w:type="dxa"/>
            <w:shd w:val="clear" w:color="auto" w:fill="auto"/>
            <w:tcMar>
              <w:left w:w="28" w:type="dxa"/>
              <w:right w:w="28" w:type="dxa"/>
            </w:tcMar>
            <w:vAlign w:val="center"/>
          </w:tcPr>
          <w:p w14:paraId="1C026BF5" w14:textId="77777777" w:rsidR="00820E06" w:rsidRPr="00C6167F" w:rsidRDefault="00820E06" w:rsidP="00DB2FCF">
            <w:pPr>
              <w:pStyle w:val="TableText0"/>
              <w:keepLines/>
            </w:pPr>
            <w:r w:rsidRPr="00C6167F">
              <w:t>Median follow-up (months)</w:t>
            </w:r>
          </w:p>
        </w:tc>
        <w:tc>
          <w:tcPr>
            <w:tcW w:w="1559" w:type="dxa"/>
            <w:shd w:val="clear" w:color="auto" w:fill="auto"/>
            <w:tcMar>
              <w:left w:w="28" w:type="dxa"/>
              <w:right w:w="28" w:type="dxa"/>
            </w:tcMar>
            <w:vAlign w:val="center"/>
          </w:tcPr>
          <w:p w14:paraId="23F45180" w14:textId="77777777" w:rsidR="00820E06" w:rsidRPr="00C6167F" w:rsidRDefault="00820E06" w:rsidP="00DB2FCF">
            <w:pPr>
              <w:pStyle w:val="TableText0"/>
              <w:keepLines/>
              <w:jc w:val="center"/>
            </w:pPr>
            <w:r w:rsidRPr="00C6167F">
              <w:t>50</w:t>
            </w:r>
          </w:p>
        </w:tc>
        <w:tc>
          <w:tcPr>
            <w:tcW w:w="1559" w:type="dxa"/>
            <w:shd w:val="clear" w:color="auto" w:fill="auto"/>
            <w:tcMar>
              <w:left w:w="28" w:type="dxa"/>
              <w:right w:w="28" w:type="dxa"/>
            </w:tcMar>
            <w:vAlign w:val="center"/>
          </w:tcPr>
          <w:p w14:paraId="6EE75784" w14:textId="77777777" w:rsidR="00820E06" w:rsidRPr="00C6167F" w:rsidRDefault="00820E06" w:rsidP="00DB2FCF">
            <w:pPr>
              <w:pStyle w:val="TableText0"/>
              <w:keepLines/>
              <w:jc w:val="center"/>
            </w:pPr>
            <w:r w:rsidRPr="00C6167F">
              <w:t>50</w:t>
            </w:r>
          </w:p>
        </w:tc>
        <w:tc>
          <w:tcPr>
            <w:tcW w:w="1509" w:type="dxa"/>
            <w:shd w:val="clear" w:color="auto" w:fill="auto"/>
            <w:tcMar>
              <w:left w:w="28" w:type="dxa"/>
              <w:right w:w="28" w:type="dxa"/>
            </w:tcMar>
            <w:vAlign w:val="center"/>
          </w:tcPr>
          <w:p w14:paraId="3C154FC0" w14:textId="77777777" w:rsidR="00820E06" w:rsidRPr="00820E06" w:rsidRDefault="00820E06" w:rsidP="00DB2FCF">
            <w:pPr>
              <w:pStyle w:val="TableText0"/>
              <w:keepLines/>
              <w:jc w:val="center"/>
              <w:rPr>
                <w:b/>
                <w:bCs w:val="0"/>
              </w:rPr>
            </w:pPr>
            <w:r w:rsidRPr="00820E06">
              <w:rPr>
                <w:b/>
                <w:bCs w:val="0"/>
              </w:rPr>
              <w:t>2.00 (1.11, 3.70)</w:t>
            </w:r>
          </w:p>
        </w:tc>
      </w:tr>
      <w:tr w:rsidR="00C6167F" w:rsidRPr="00C6167F" w14:paraId="4CF575DC" w14:textId="77777777" w:rsidTr="00820E06">
        <w:tc>
          <w:tcPr>
            <w:tcW w:w="7508" w:type="dxa"/>
            <w:gridSpan w:val="4"/>
            <w:tcMar>
              <w:left w:w="28" w:type="dxa"/>
              <w:right w:w="28" w:type="dxa"/>
            </w:tcMar>
            <w:vAlign w:val="center"/>
          </w:tcPr>
          <w:p w14:paraId="7E6ECD98" w14:textId="77777777" w:rsidR="00C6167F" w:rsidRPr="00820E06" w:rsidRDefault="00C6167F" w:rsidP="00DB2FCF">
            <w:pPr>
              <w:pStyle w:val="TableText0"/>
              <w:keepLines/>
              <w:jc w:val="right"/>
              <w:rPr>
                <w:b/>
                <w:bCs w:val="0"/>
              </w:rPr>
            </w:pPr>
            <w:r w:rsidRPr="00820E06">
              <w:rPr>
                <w:b/>
                <w:bCs w:val="0"/>
              </w:rPr>
              <w:t>Indirect comparison: Dara + CyBorD vs. MDex</w:t>
            </w:r>
          </w:p>
        </w:tc>
        <w:tc>
          <w:tcPr>
            <w:tcW w:w="1509" w:type="dxa"/>
            <w:shd w:val="clear" w:color="auto" w:fill="auto"/>
            <w:tcMar>
              <w:left w:w="28" w:type="dxa"/>
              <w:right w:w="28" w:type="dxa"/>
            </w:tcMar>
            <w:vAlign w:val="center"/>
          </w:tcPr>
          <w:p w14:paraId="7BD246DD" w14:textId="77777777" w:rsidR="00C6167F" w:rsidRPr="00820E06" w:rsidRDefault="00C6167F" w:rsidP="00DB2FCF">
            <w:pPr>
              <w:pStyle w:val="TableText0"/>
              <w:keepLines/>
              <w:jc w:val="center"/>
              <w:rPr>
                <w:b/>
                <w:bCs w:val="0"/>
              </w:rPr>
            </w:pPr>
            <w:r w:rsidRPr="00820E06">
              <w:rPr>
                <w:b/>
                <w:bCs w:val="0"/>
              </w:rPr>
              <w:t>0.29 (0.14, 0.62)</w:t>
            </w:r>
          </w:p>
        </w:tc>
      </w:tr>
    </w:tbl>
    <w:p w14:paraId="7FB75036" w14:textId="77777777" w:rsidR="00C6167F" w:rsidRPr="00C6167F" w:rsidRDefault="00C6167F" w:rsidP="00C6167F">
      <w:pPr>
        <w:pStyle w:val="TableFigureFooter"/>
      </w:pPr>
      <w:r w:rsidRPr="00C6167F">
        <w:t>Source: Table 2-27, p 182 of the submission</w:t>
      </w:r>
    </w:p>
    <w:p w14:paraId="368D18E9" w14:textId="77777777" w:rsidR="001F275B" w:rsidRDefault="00C6167F" w:rsidP="00023AE3">
      <w:pPr>
        <w:pStyle w:val="TableFigureFooter"/>
        <w:rPr>
          <w:rFonts w:eastAsia="Calibri"/>
        </w:rPr>
      </w:pPr>
      <w:r w:rsidRPr="00C6167F">
        <w:t xml:space="preserve">BMDex = bortezomib, melphalan, and dexamethasone; </w:t>
      </w:r>
      <w:r w:rsidRPr="00C6167F">
        <w:rPr>
          <w:rFonts w:eastAsia="Calibri"/>
        </w:rPr>
        <w:t xml:space="preserve">CI = confidence interval; </w:t>
      </w:r>
      <w:r w:rsidR="00DB2FCF">
        <w:rPr>
          <w:rFonts w:eastAsia="Calibri"/>
        </w:rPr>
        <w:t>CR = complete</w:t>
      </w:r>
      <w:r w:rsidRPr="00C6167F">
        <w:rPr>
          <w:rFonts w:eastAsia="Calibri"/>
        </w:rPr>
        <w:t xml:space="preserve"> response; </w:t>
      </w:r>
      <w:r w:rsidR="00827BA3">
        <w:rPr>
          <w:rFonts w:eastAsia="Calibri"/>
        </w:rPr>
        <w:t xml:space="preserve">CyBorD = </w:t>
      </w:r>
      <w:r w:rsidR="009F38C1">
        <w:rPr>
          <w:rFonts w:eastAsia="Calibri"/>
        </w:rPr>
        <w:t>cy</w:t>
      </w:r>
      <w:r w:rsidRPr="00C6167F">
        <w:rPr>
          <w:rFonts w:eastAsia="Calibri"/>
        </w:rPr>
        <w:t xml:space="preserve">clophosphamide, bortezomib and dexamethasone; Dara + CyBorD = daratumumab subcutaneous and cyclophosphamide, bortezomib and dexamethasone; </w:t>
      </w:r>
      <w:r w:rsidR="00DB2FCF">
        <w:t>HR = hazard ratio</w:t>
      </w:r>
      <w:r w:rsidRPr="00C6167F">
        <w:t xml:space="preserve">; </w:t>
      </w:r>
      <w:r w:rsidR="00EF6510">
        <w:t xml:space="preserve">ITT = intention to treat; </w:t>
      </w:r>
      <w:r w:rsidR="007C3BC0">
        <w:t>MDex = melphalan</w:t>
      </w:r>
      <w:r w:rsidRPr="00C6167F">
        <w:t xml:space="preserve"> and dexamethasone</w:t>
      </w:r>
      <w:r w:rsidRPr="00C6167F">
        <w:rPr>
          <w:rFonts w:eastAsia="Calibri"/>
        </w:rPr>
        <w:t>;</w:t>
      </w:r>
      <w:r w:rsidRPr="00C6167F">
        <w:t xml:space="preserve"> </w:t>
      </w:r>
      <w:r w:rsidR="00A22657">
        <w:rPr>
          <w:rFonts w:eastAsia="Calibri"/>
        </w:rPr>
        <w:t>MITT = modified intention-to-treat population;</w:t>
      </w:r>
      <w:r w:rsidR="00A22657" w:rsidRPr="00C6167F">
        <w:t xml:space="preserve"> </w:t>
      </w:r>
      <w:r w:rsidR="00DB2FCF">
        <w:t>MOD-PFS = m</w:t>
      </w:r>
      <w:r w:rsidRPr="00C6167F">
        <w:t>ajor organ deterioration-progression free survival</w:t>
      </w:r>
      <w:r w:rsidR="00CF7351" w:rsidRPr="00CF7351">
        <w:rPr>
          <w:b/>
        </w:rPr>
        <w:t>; bold</w:t>
      </w:r>
      <w:r w:rsidRPr="00C6167F">
        <w:rPr>
          <w:rFonts w:eastAsia="Calibri"/>
        </w:rPr>
        <w:t xml:space="preserve"> = statistically significant at p-val</w:t>
      </w:r>
      <w:r w:rsidR="00A22657">
        <w:rPr>
          <w:rFonts w:eastAsia="Calibri"/>
        </w:rPr>
        <w:t>u</w:t>
      </w:r>
      <w:r w:rsidRPr="00C6167F">
        <w:rPr>
          <w:rFonts w:eastAsia="Calibri"/>
        </w:rPr>
        <w:t>e &lt;0.05</w:t>
      </w:r>
    </w:p>
    <w:p w14:paraId="5E016EB2" w14:textId="77777777" w:rsidR="00A07A71" w:rsidRDefault="00A07A71" w:rsidP="00023AE3">
      <w:pPr>
        <w:pStyle w:val="TableFigureFooter"/>
        <w:rPr>
          <w:rFonts w:eastAsia="Calibri"/>
        </w:rPr>
      </w:pPr>
    </w:p>
    <w:p w14:paraId="78008A83" w14:textId="32A686B5" w:rsidR="00A437EC" w:rsidRPr="004F42C5" w:rsidRDefault="00C80C95" w:rsidP="00B425EB">
      <w:pPr>
        <w:numPr>
          <w:ilvl w:val="1"/>
          <w:numId w:val="1"/>
        </w:numPr>
        <w:spacing w:after="120"/>
        <w:rPr>
          <w:iCs/>
        </w:rPr>
      </w:pPr>
      <w:r w:rsidRPr="004F42C5">
        <w:rPr>
          <w:rFonts w:asciiTheme="minorHAnsi" w:hAnsiTheme="minorHAnsi"/>
          <w:iCs/>
          <w:snapToGrid w:val="0"/>
        </w:rPr>
        <w:t xml:space="preserve">The PSCR argued that while the rates of CR were different between CyBorD and BMDex, the </w:t>
      </w:r>
      <w:r w:rsidR="00636E95">
        <w:rPr>
          <w:rFonts w:asciiTheme="minorHAnsi" w:hAnsiTheme="minorHAnsi"/>
          <w:iCs/>
          <w:snapToGrid w:val="0"/>
        </w:rPr>
        <w:t xml:space="preserve">absolute </w:t>
      </w:r>
      <w:r w:rsidRPr="004F42C5">
        <w:rPr>
          <w:rFonts w:asciiTheme="minorHAnsi" w:hAnsiTheme="minorHAnsi"/>
          <w:iCs/>
          <w:snapToGrid w:val="0"/>
        </w:rPr>
        <w:t xml:space="preserve">difference was relatively small at </w:t>
      </w:r>
      <w:r w:rsidRPr="004F42C5">
        <w:rPr>
          <w:iCs/>
        </w:rPr>
        <w:t>5%. The ESC noted that the PSCR did not comment on the much larger discrepancies see</w:t>
      </w:r>
      <w:r w:rsidR="004F42C5" w:rsidRPr="004F42C5">
        <w:rPr>
          <w:iCs/>
        </w:rPr>
        <w:t xml:space="preserve">n for MOD-PFS and OS (see </w:t>
      </w:r>
      <w:r w:rsidR="008A0743" w:rsidRPr="004F42C5">
        <w:t xml:space="preserve">Table </w:t>
      </w:r>
      <w:r w:rsidR="001A7573">
        <w:rPr>
          <w:iCs/>
        </w:rPr>
        <w:t>9</w:t>
      </w:r>
      <w:r w:rsidR="004F42C5" w:rsidRPr="004F42C5">
        <w:rPr>
          <w:iCs/>
        </w:rPr>
        <w:t xml:space="preserve"> and </w:t>
      </w:r>
      <w:r w:rsidR="008A0743" w:rsidRPr="00C6167F">
        <w:t xml:space="preserve">Table </w:t>
      </w:r>
      <w:r w:rsidR="001A7573">
        <w:rPr>
          <w:iCs/>
        </w:rPr>
        <w:t>10</w:t>
      </w:r>
      <w:r w:rsidRPr="004F42C5">
        <w:rPr>
          <w:iCs/>
        </w:rPr>
        <w:t xml:space="preserve">). </w:t>
      </w:r>
      <w:r w:rsidR="000D16AF" w:rsidRPr="004F42C5">
        <w:rPr>
          <w:rFonts w:asciiTheme="minorHAnsi" w:hAnsiTheme="minorHAnsi"/>
          <w:iCs/>
          <w:snapToGrid w:val="0"/>
        </w:rPr>
        <w:t>The ESC considered that a</w:t>
      </w:r>
      <w:r w:rsidR="00A22657" w:rsidRPr="004F42C5">
        <w:rPr>
          <w:rFonts w:asciiTheme="minorHAnsi" w:hAnsiTheme="minorHAnsi"/>
          <w:iCs/>
          <w:snapToGrid w:val="0"/>
        </w:rPr>
        <w:t xml:space="preserve">lthough, the results of the ITC </w:t>
      </w:r>
      <w:r w:rsidR="00D1132D" w:rsidRPr="004F42C5">
        <w:rPr>
          <w:rFonts w:asciiTheme="minorHAnsi" w:hAnsiTheme="minorHAnsi"/>
          <w:iCs/>
          <w:snapToGrid w:val="0"/>
        </w:rPr>
        <w:t>suggested</w:t>
      </w:r>
      <w:r w:rsidR="00A22657" w:rsidRPr="004F42C5">
        <w:rPr>
          <w:rFonts w:asciiTheme="minorHAnsi" w:hAnsiTheme="minorHAnsi"/>
          <w:iCs/>
          <w:snapToGrid w:val="0"/>
        </w:rPr>
        <w:t xml:space="preserve"> statistically significant differences, in terms of complete haematological response, MOD-PFS and OS, in favour of daratumumab SC + CyBorD compared to MDex</w:t>
      </w:r>
      <w:r w:rsidR="0016616A" w:rsidRPr="004F42C5">
        <w:rPr>
          <w:rFonts w:asciiTheme="minorHAnsi" w:hAnsiTheme="minorHAnsi"/>
          <w:iCs/>
          <w:snapToGrid w:val="0"/>
        </w:rPr>
        <w:t xml:space="preserve">, </w:t>
      </w:r>
      <w:r w:rsidR="00A22657" w:rsidRPr="004F42C5">
        <w:rPr>
          <w:rFonts w:asciiTheme="minorHAnsi" w:hAnsiTheme="minorHAnsi"/>
          <w:iCs/>
          <w:snapToGrid w:val="0"/>
        </w:rPr>
        <w:t xml:space="preserve">the </w:t>
      </w:r>
      <w:r w:rsidR="0016616A" w:rsidRPr="004F42C5">
        <w:rPr>
          <w:rFonts w:asciiTheme="minorHAnsi" w:hAnsiTheme="minorHAnsi"/>
          <w:iCs/>
          <w:snapToGrid w:val="0"/>
        </w:rPr>
        <w:t>results of the ITC were</w:t>
      </w:r>
      <w:r w:rsidR="00A22657" w:rsidRPr="004F42C5">
        <w:rPr>
          <w:rFonts w:asciiTheme="minorHAnsi" w:hAnsiTheme="minorHAnsi"/>
          <w:iCs/>
          <w:snapToGrid w:val="0"/>
        </w:rPr>
        <w:t xml:space="preserve"> uncertain given the potential transitivity issues identified with the indirect comparison.</w:t>
      </w:r>
      <w:r w:rsidR="00B344E0" w:rsidRPr="004F42C5">
        <w:rPr>
          <w:rFonts w:asciiTheme="minorHAnsi" w:hAnsiTheme="minorHAnsi"/>
          <w:iCs/>
          <w:snapToGrid w:val="0"/>
        </w:rPr>
        <w:t xml:space="preserve">  </w:t>
      </w:r>
    </w:p>
    <w:p w14:paraId="47CEBA5A" w14:textId="77777777" w:rsidR="001F275B" w:rsidRPr="009572CD" w:rsidRDefault="001F275B" w:rsidP="001F275B">
      <w:pPr>
        <w:keepNext/>
        <w:spacing w:before="120" w:after="120"/>
        <w:outlineLvl w:val="1"/>
        <w:rPr>
          <w:rFonts w:asciiTheme="minorHAnsi" w:eastAsiaTheme="majorEastAsia" w:hAnsiTheme="minorHAnsi" w:cstheme="majorBidi"/>
          <w:b/>
          <w:i/>
          <w:spacing w:val="5"/>
          <w:kern w:val="28"/>
          <w:sz w:val="28"/>
          <w:szCs w:val="28"/>
        </w:rPr>
      </w:pPr>
      <w:bookmarkStart w:id="41" w:name="_Toc79314644"/>
      <w:bookmarkStart w:id="42" w:name="_Toc79580401"/>
      <w:r w:rsidRPr="009572CD">
        <w:rPr>
          <w:rFonts w:asciiTheme="minorHAnsi" w:eastAsiaTheme="majorEastAsia" w:hAnsiTheme="minorHAnsi" w:cstheme="majorBidi"/>
          <w:b/>
          <w:i/>
          <w:spacing w:val="5"/>
          <w:kern w:val="28"/>
          <w:sz w:val="28"/>
          <w:szCs w:val="28"/>
        </w:rPr>
        <w:t>Comparative harms</w:t>
      </w:r>
      <w:bookmarkEnd w:id="41"/>
      <w:bookmarkEnd w:id="42"/>
    </w:p>
    <w:p w14:paraId="60CFE4C9" w14:textId="77777777" w:rsidR="000A2249" w:rsidRPr="000A2249" w:rsidRDefault="00183E22" w:rsidP="000A2249">
      <w:pPr>
        <w:spacing w:after="120"/>
        <w:ind w:left="720" w:hanging="720"/>
        <w:rPr>
          <w:rFonts w:asciiTheme="minorHAnsi" w:hAnsiTheme="minorHAnsi"/>
          <w:snapToGrid w:val="0"/>
          <w:u w:val="single"/>
        </w:rPr>
      </w:pPr>
      <w:r>
        <w:rPr>
          <w:rFonts w:asciiTheme="minorHAnsi" w:hAnsiTheme="minorHAnsi"/>
          <w:snapToGrid w:val="0"/>
          <w:u w:val="single"/>
        </w:rPr>
        <w:t>D</w:t>
      </w:r>
      <w:r w:rsidR="00C9703D">
        <w:rPr>
          <w:rFonts w:asciiTheme="minorHAnsi" w:hAnsiTheme="minorHAnsi"/>
          <w:snapToGrid w:val="0"/>
          <w:u w:val="single"/>
        </w:rPr>
        <w:t>aratumumab SC + CyBorD</w:t>
      </w:r>
      <w:r w:rsidR="000A2249">
        <w:rPr>
          <w:rFonts w:asciiTheme="minorHAnsi" w:hAnsiTheme="minorHAnsi"/>
          <w:snapToGrid w:val="0"/>
          <w:u w:val="single"/>
        </w:rPr>
        <w:t xml:space="preserve"> vs CyBorD</w:t>
      </w:r>
    </w:p>
    <w:p w14:paraId="2288E7E9" w14:textId="77777777" w:rsidR="001F275B" w:rsidRPr="001F275B" w:rsidRDefault="1AA21FF2" w:rsidP="13701661">
      <w:pPr>
        <w:numPr>
          <w:ilvl w:val="1"/>
          <w:numId w:val="1"/>
        </w:numPr>
        <w:spacing w:after="120"/>
        <w:rPr>
          <w:rFonts w:asciiTheme="minorHAnsi" w:hAnsiTheme="minorHAnsi"/>
          <w:snapToGrid w:val="0"/>
        </w:rPr>
      </w:pPr>
      <w:r w:rsidRPr="13701661">
        <w:rPr>
          <w:rFonts w:asciiTheme="minorHAnsi" w:hAnsiTheme="minorHAnsi"/>
          <w:snapToGrid w:val="0"/>
        </w:rPr>
        <w:t xml:space="preserve">A summary of adverse events in ANDROMEDA is presented in </w:t>
      </w:r>
      <w:r w:rsidR="00F5389A">
        <w:rPr>
          <w:rFonts w:asciiTheme="minorHAnsi" w:hAnsiTheme="minorHAnsi"/>
          <w:snapToGrid w:val="0"/>
        </w:rPr>
        <w:t>Table 1</w:t>
      </w:r>
      <w:r w:rsidR="001A7573">
        <w:rPr>
          <w:rFonts w:asciiTheme="minorHAnsi" w:hAnsiTheme="minorHAnsi"/>
          <w:snapToGrid w:val="0"/>
        </w:rPr>
        <w:t>1</w:t>
      </w:r>
      <w:r w:rsidRPr="13701661">
        <w:rPr>
          <w:rFonts w:asciiTheme="minorHAnsi" w:hAnsiTheme="minorHAnsi"/>
          <w:snapToGrid w:val="0"/>
        </w:rPr>
        <w:t>.</w:t>
      </w:r>
    </w:p>
    <w:p w14:paraId="793596E7" w14:textId="77777777" w:rsidR="001F275B" w:rsidRPr="001F275B" w:rsidRDefault="001F275B" w:rsidP="001F275B">
      <w:pPr>
        <w:keepNext/>
        <w:keepLines/>
        <w:rPr>
          <w:rFonts w:ascii="Arial Narrow" w:hAnsi="Arial Narrow"/>
          <w:b/>
          <w:bCs/>
          <w:sz w:val="20"/>
          <w:szCs w:val="18"/>
        </w:rPr>
      </w:pPr>
      <w:bookmarkStart w:id="43" w:name="_Ref79675612"/>
      <w:r w:rsidRPr="001F275B">
        <w:rPr>
          <w:rFonts w:ascii="Arial Narrow" w:hAnsi="Arial Narrow"/>
          <w:b/>
          <w:bCs/>
          <w:sz w:val="20"/>
          <w:szCs w:val="18"/>
        </w:rPr>
        <w:lastRenderedPageBreak/>
        <w:t xml:space="preserve">Table </w:t>
      </w:r>
      <w:r w:rsidR="008A0743">
        <w:rPr>
          <w:rFonts w:ascii="Arial Narrow" w:hAnsi="Arial Narrow"/>
          <w:b/>
          <w:bCs/>
          <w:noProof/>
          <w:sz w:val="20"/>
          <w:szCs w:val="18"/>
        </w:rPr>
        <w:t>1</w:t>
      </w:r>
      <w:bookmarkEnd w:id="43"/>
      <w:r w:rsidR="001A7573">
        <w:rPr>
          <w:rFonts w:ascii="Arial Narrow" w:hAnsi="Arial Narrow"/>
          <w:b/>
          <w:bCs/>
          <w:sz w:val="20"/>
          <w:szCs w:val="18"/>
        </w:rPr>
        <w:t>1</w:t>
      </w:r>
      <w:r w:rsidRPr="001F275B">
        <w:rPr>
          <w:rFonts w:ascii="Arial Narrow" w:hAnsi="Arial Narrow"/>
          <w:b/>
          <w:bCs/>
          <w:sz w:val="20"/>
          <w:szCs w:val="18"/>
        </w:rPr>
        <w:t>: Key safety outcomes reported in ANDROMEDA</w:t>
      </w:r>
    </w:p>
    <w:tbl>
      <w:tblPr>
        <w:tblW w:w="5000" w:type="pct"/>
        <w:tblLayout w:type="fixed"/>
        <w:tblLook w:val="04A0" w:firstRow="1" w:lastRow="0" w:firstColumn="1" w:lastColumn="0" w:noHBand="0" w:noVBand="1"/>
        <w:tblCaption w:val="Table 11: Key safety outcomes reported in ANDROMEDA"/>
      </w:tblPr>
      <w:tblGrid>
        <w:gridCol w:w="3968"/>
        <w:gridCol w:w="1697"/>
        <w:gridCol w:w="1419"/>
        <w:gridCol w:w="1933"/>
      </w:tblGrid>
      <w:tr w:rsidR="001F275B" w:rsidRPr="002A770B" w14:paraId="06C961E6" w14:textId="77777777" w:rsidTr="00D71DEE">
        <w:trPr>
          <w:trHeight w:val="20"/>
          <w:tblHeader/>
        </w:trPr>
        <w:tc>
          <w:tcPr>
            <w:tcW w:w="2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B2424" w14:textId="77777777" w:rsidR="001F275B" w:rsidRPr="002A770B" w:rsidRDefault="001F275B" w:rsidP="001F275B">
            <w:pPr>
              <w:keepNext/>
              <w:keepLines/>
              <w:jc w:val="left"/>
              <w:rPr>
                <w:rFonts w:ascii="Arial Narrow" w:eastAsiaTheme="majorEastAsia" w:hAnsi="Arial Narrow" w:cstheme="majorBidi"/>
                <w:b/>
                <w:bCs/>
                <w:sz w:val="20"/>
              </w:rPr>
            </w:pPr>
            <w:r w:rsidRPr="002A770B">
              <w:rPr>
                <w:rFonts w:ascii="Arial Narrow" w:eastAsiaTheme="majorEastAsia" w:hAnsi="Arial Narrow" w:cstheme="majorBidi"/>
                <w:b/>
                <w:bCs/>
                <w:sz w:val="20"/>
              </w:rPr>
              <w:t>Summary of TEAEs</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32D6353F" w14:textId="77777777" w:rsidR="001F275B" w:rsidRPr="002A770B" w:rsidRDefault="001F275B" w:rsidP="001F275B">
            <w:pPr>
              <w:keepNext/>
              <w:keepLines/>
              <w:jc w:val="center"/>
              <w:rPr>
                <w:rFonts w:ascii="Arial Narrow" w:eastAsiaTheme="majorEastAsia" w:hAnsi="Arial Narrow" w:cstheme="majorBidi"/>
                <w:b/>
                <w:bCs/>
                <w:sz w:val="20"/>
              </w:rPr>
            </w:pPr>
            <w:r w:rsidRPr="002A770B">
              <w:rPr>
                <w:rFonts w:ascii="Arial Narrow" w:eastAsiaTheme="majorEastAsia" w:hAnsi="Arial Narrow" w:cstheme="majorBidi"/>
                <w:b/>
                <w:bCs/>
                <w:sz w:val="20"/>
              </w:rPr>
              <w:t>Dara</w:t>
            </w:r>
            <w:r w:rsidR="00D71DEE" w:rsidRPr="002A770B">
              <w:rPr>
                <w:rFonts w:ascii="Arial Narrow" w:eastAsiaTheme="majorEastAsia" w:hAnsi="Arial Narrow" w:cstheme="majorBidi"/>
                <w:b/>
                <w:bCs/>
                <w:sz w:val="20"/>
              </w:rPr>
              <w:t xml:space="preserve"> </w:t>
            </w:r>
            <w:r w:rsidRPr="002A770B">
              <w:rPr>
                <w:rFonts w:ascii="Arial Narrow" w:eastAsiaTheme="majorEastAsia" w:hAnsi="Arial Narrow" w:cstheme="majorBidi"/>
                <w:b/>
                <w:bCs/>
                <w:sz w:val="20"/>
              </w:rPr>
              <w:t>+ CyBorD</w:t>
            </w:r>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5EC58641" w14:textId="77777777" w:rsidR="001F275B" w:rsidRPr="002A770B" w:rsidRDefault="001F275B" w:rsidP="001F275B">
            <w:pPr>
              <w:keepNext/>
              <w:keepLines/>
              <w:jc w:val="center"/>
              <w:rPr>
                <w:rFonts w:ascii="Arial Narrow" w:eastAsiaTheme="majorEastAsia" w:hAnsi="Arial Narrow" w:cstheme="majorBidi"/>
                <w:b/>
                <w:bCs/>
                <w:sz w:val="20"/>
              </w:rPr>
            </w:pPr>
            <w:r w:rsidRPr="002A770B">
              <w:rPr>
                <w:rFonts w:ascii="Arial Narrow" w:eastAsiaTheme="majorEastAsia" w:hAnsi="Arial Narrow" w:cstheme="majorBidi"/>
                <w:b/>
                <w:bCs/>
                <w:sz w:val="20"/>
              </w:rPr>
              <w:t>CyBorD</w:t>
            </w:r>
          </w:p>
        </w:tc>
        <w:tc>
          <w:tcPr>
            <w:tcW w:w="1072" w:type="pct"/>
            <w:tcBorders>
              <w:top w:val="single" w:sz="4" w:space="0" w:color="auto"/>
              <w:left w:val="nil"/>
              <w:bottom w:val="single" w:sz="4" w:space="0" w:color="auto"/>
              <w:right w:val="single" w:sz="4" w:space="0" w:color="auto"/>
            </w:tcBorders>
            <w:vAlign w:val="center"/>
          </w:tcPr>
          <w:p w14:paraId="5ABC59AE" w14:textId="77777777" w:rsidR="001F275B" w:rsidRPr="002A770B" w:rsidRDefault="001F275B" w:rsidP="001F275B">
            <w:pPr>
              <w:keepNext/>
              <w:keepLines/>
              <w:jc w:val="center"/>
              <w:rPr>
                <w:rFonts w:ascii="Arial Narrow" w:eastAsiaTheme="majorEastAsia" w:hAnsi="Arial Narrow" w:cstheme="majorBidi"/>
                <w:b/>
                <w:bCs/>
                <w:sz w:val="20"/>
              </w:rPr>
            </w:pPr>
            <w:r w:rsidRPr="002A770B">
              <w:rPr>
                <w:rFonts w:ascii="Arial Narrow" w:eastAsiaTheme="majorEastAsia" w:hAnsi="Arial Narrow" w:cstheme="majorBidi"/>
                <w:b/>
                <w:bCs/>
                <w:sz w:val="20"/>
              </w:rPr>
              <w:t>RR (95% CI)</w:t>
            </w:r>
          </w:p>
        </w:tc>
      </w:tr>
      <w:tr w:rsidR="001F275B" w:rsidRPr="002A770B" w14:paraId="32578E0F"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76BD676E"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Safety analysis set</w:t>
            </w:r>
          </w:p>
        </w:tc>
        <w:tc>
          <w:tcPr>
            <w:tcW w:w="941" w:type="pct"/>
            <w:tcBorders>
              <w:top w:val="nil"/>
              <w:left w:val="nil"/>
              <w:bottom w:val="single" w:sz="4" w:space="0" w:color="auto"/>
              <w:right w:val="single" w:sz="4" w:space="0" w:color="auto"/>
            </w:tcBorders>
            <w:shd w:val="clear" w:color="auto" w:fill="auto"/>
            <w:noWrap/>
            <w:vAlign w:val="center"/>
            <w:hideMark/>
          </w:tcPr>
          <w:p w14:paraId="5B35CD9D"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193</w:t>
            </w:r>
          </w:p>
        </w:tc>
        <w:tc>
          <w:tcPr>
            <w:tcW w:w="787" w:type="pct"/>
            <w:tcBorders>
              <w:top w:val="nil"/>
              <w:left w:val="nil"/>
              <w:bottom w:val="single" w:sz="4" w:space="0" w:color="auto"/>
              <w:right w:val="single" w:sz="4" w:space="0" w:color="auto"/>
            </w:tcBorders>
            <w:shd w:val="clear" w:color="auto" w:fill="auto"/>
            <w:noWrap/>
            <w:vAlign w:val="center"/>
            <w:hideMark/>
          </w:tcPr>
          <w:p w14:paraId="3A1DD42E"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188</w:t>
            </w:r>
          </w:p>
        </w:tc>
        <w:tc>
          <w:tcPr>
            <w:tcW w:w="1072" w:type="pct"/>
            <w:tcBorders>
              <w:top w:val="nil"/>
              <w:left w:val="nil"/>
              <w:bottom w:val="single" w:sz="4" w:space="0" w:color="auto"/>
              <w:right w:val="single" w:sz="4" w:space="0" w:color="auto"/>
            </w:tcBorders>
            <w:vAlign w:val="center"/>
          </w:tcPr>
          <w:p w14:paraId="2561C1E1"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1F275B" w:rsidRPr="002A770B" w14:paraId="5BF7D6A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63F1AD90"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Any TEAE</w:t>
            </w:r>
          </w:p>
        </w:tc>
        <w:tc>
          <w:tcPr>
            <w:tcW w:w="941" w:type="pct"/>
            <w:tcBorders>
              <w:top w:val="nil"/>
              <w:left w:val="nil"/>
              <w:bottom w:val="single" w:sz="4" w:space="0" w:color="auto"/>
              <w:right w:val="single" w:sz="4" w:space="0" w:color="auto"/>
            </w:tcBorders>
            <w:shd w:val="clear" w:color="auto" w:fill="auto"/>
            <w:noWrap/>
            <w:vAlign w:val="center"/>
            <w:hideMark/>
          </w:tcPr>
          <w:p w14:paraId="499C5E87"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189/193 (98%)</w:t>
            </w:r>
          </w:p>
        </w:tc>
        <w:tc>
          <w:tcPr>
            <w:tcW w:w="787" w:type="pct"/>
            <w:tcBorders>
              <w:top w:val="nil"/>
              <w:left w:val="nil"/>
              <w:bottom w:val="single" w:sz="4" w:space="0" w:color="auto"/>
              <w:right w:val="single" w:sz="4" w:space="0" w:color="auto"/>
            </w:tcBorders>
            <w:shd w:val="clear" w:color="auto" w:fill="auto"/>
            <w:noWrap/>
            <w:vAlign w:val="center"/>
            <w:hideMark/>
          </w:tcPr>
          <w:p w14:paraId="0EE34C7E"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185/188 (98%)</w:t>
            </w:r>
          </w:p>
        </w:tc>
        <w:tc>
          <w:tcPr>
            <w:tcW w:w="1072" w:type="pct"/>
            <w:tcBorders>
              <w:top w:val="nil"/>
              <w:left w:val="nil"/>
              <w:bottom w:val="single" w:sz="4" w:space="0" w:color="auto"/>
              <w:right w:val="single" w:sz="4" w:space="0" w:color="auto"/>
            </w:tcBorders>
            <w:vAlign w:val="center"/>
          </w:tcPr>
          <w:p w14:paraId="40FA4362"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1.00 (0.22, 4.51)</w:t>
            </w:r>
          </w:p>
        </w:tc>
      </w:tr>
      <w:tr w:rsidR="001F275B" w:rsidRPr="002A770B" w14:paraId="3C237CE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4DF191AA" w14:textId="77777777" w:rsidR="001F275B" w:rsidRPr="002A770B" w:rsidRDefault="001F275B" w:rsidP="0070637E">
            <w:pPr>
              <w:keepNext/>
              <w:keepLines/>
              <w:numPr>
                <w:ilvl w:val="0"/>
                <w:numId w:val="6"/>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At least one related to daratumumab</w:t>
            </w:r>
          </w:p>
        </w:tc>
        <w:tc>
          <w:tcPr>
            <w:tcW w:w="941" w:type="pct"/>
            <w:tcBorders>
              <w:top w:val="nil"/>
              <w:left w:val="nil"/>
              <w:bottom w:val="single" w:sz="4" w:space="0" w:color="auto"/>
              <w:right w:val="single" w:sz="4" w:space="0" w:color="auto"/>
            </w:tcBorders>
            <w:shd w:val="clear" w:color="auto" w:fill="auto"/>
            <w:noWrap/>
            <w:vAlign w:val="center"/>
            <w:hideMark/>
          </w:tcPr>
          <w:p w14:paraId="476E02EB"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110/193 (57%)</w:t>
            </w:r>
          </w:p>
        </w:tc>
        <w:tc>
          <w:tcPr>
            <w:tcW w:w="787" w:type="pct"/>
            <w:tcBorders>
              <w:top w:val="nil"/>
              <w:left w:val="nil"/>
              <w:bottom w:val="single" w:sz="4" w:space="0" w:color="auto"/>
              <w:right w:val="single" w:sz="4" w:space="0" w:color="auto"/>
            </w:tcBorders>
            <w:shd w:val="clear" w:color="auto" w:fill="auto"/>
            <w:noWrap/>
            <w:vAlign w:val="center"/>
            <w:hideMark/>
          </w:tcPr>
          <w:p w14:paraId="6272DB3E" w14:textId="77777777" w:rsidR="001F275B" w:rsidRPr="002A770B" w:rsidRDefault="001F275B" w:rsidP="001F275B">
            <w:pPr>
              <w:keepNext/>
              <w:keepLines/>
              <w:jc w:val="center"/>
              <w:rPr>
                <w:rFonts w:ascii="Arial Narrow" w:eastAsiaTheme="majorEastAsia" w:hAnsi="Arial Narrow" w:cstheme="majorBidi"/>
                <w:bCs/>
                <w:sz w:val="20"/>
                <w:vertAlign w:val="superscript"/>
              </w:rPr>
            </w:pPr>
            <w:r w:rsidRPr="002A770B">
              <w:rPr>
                <w:rFonts w:ascii="Arial Narrow" w:eastAsiaTheme="majorEastAsia" w:hAnsi="Arial Narrow" w:cstheme="majorBidi"/>
                <w:bCs/>
                <w:sz w:val="20"/>
              </w:rPr>
              <w:t>1/188 (1%)</w:t>
            </w:r>
            <w:r w:rsidR="00086CA2" w:rsidRPr="002A770B">
              <w:rPr>
                <w:rFonts w:ascii="Arial Narrow" w:eastAsiaTheme="majorEastAsia" w:hAnsi="Arial Narrow" w:cstheme="majorBidi"/>
                <w:bCs/>
                <w:sz w:val="20"/>
                <w:vertAlign w:val="superscript"/>
              </w:rPr>
              <w:t>a</w:t>
            </w:r>
          </w:p>
        </w:tc>
        <w:tc>
          <w:tcPr>
            <w:tcW w:w="1072" w:type="pct"/>
            <w:tcBorders>
              <w:top w:val="nil"/>
              <w:left w:val="nil"/>
              <w:bottom w:val="single" w:sz="4" w:space="0" w:color="auto"/>
              <w:right w:val="single" w:sz="4" w:space="0" w:color="auto"/>
            </w:tcBorders>
            <w:vAlign w:val="center"/>
          </w:tcPr>
          <w:p w14:paraId="6B51CC9C"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w:t>
            </w:r>
          </w:p>
        </w:tc>
      </w:tr>
      <w:tr w:rsidR="001F275B" w:rsidRPr="002A770B" w14:paraId="60CBE7BF"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387A6F1F"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Maximum toxicity grade</w:t>
            </w:r>
          </w:p>
        </w:tc>
        <w:tc>
          <w:tcPr>
            <w:tcW w:w="941" w:type="pct"/>
            <w:tcBorders>
              <w:top w:val="nil"/>
              <w:left w:val="nil"/>
              <w:bottom w:val="single" w:sz="4" w:space="0" w:color="auto"/>
              <w:right w:val="single" w:sz="4" w:space="0" w:color="auto"/>
            </w:tcBorders>
            <w:shd w:val="clear" w:color="auto" w:fill="auto"/>
            <w:noWrap/>
            <w:vAlign w:val="center"/>
          </w:tcPr>
          <w:p w14:paraId="4C05D89E" w14:textId="77777777" w:rsidR="001F275B" w:rsidRPr="002A770B" w:rsidRDefault="001F275B" w:rsidP="001F275B">
            <w:pPr>
              <w:keepNext/>
              <w:keepLines/>
              <w:jc w:val="center"/>
              <w:rPr>
                <w:rFonts w:ascii="Arial Narrow" w:eastAsiaTheme="majorEastAsia" w:hAnsi="Arial Narrow" w:cstheme="majorBidi"/>
                <w:bCs/>
                <w:sz w:val="20"/>
              </w:rPr>
            </w:pPr>
          </w:p>
        </w:tc>
        <w:tc>
          <w:tcPr>
            <w:tcW w:w="787" w:type="pct"/>
            <w:tcBorders>
              <w:top w:val="nil"/>
              <w:left w:val="nil"/>
              <w:bottom w:val="single" w:sz="4" w:space="0" w:color="auto"/>
              <w:right w:val="single" w:sz="4" w:space="0" w:color="auto"/>
            </w:tcBorders>
            <w:shd w:val="clear" w:color="auto" w:fill="auto"/>
            <w:noWrap/>
            <w:vAlign w:val="center"/>
          </w:tcPr>
          <w:p w14:paraId="175415DE" w14:textId="77777777" w:rsidR="001F275B" w:rsidRPr="002A770B" w:rsidRDefault="001F275B" w:rsidP="001F275B">
            <w:pPr>
              <w:keepNext/>
              <w:keepLines/>
              <w:jc w:val="center"/>
              <w:rPr>
                <w:rFonts w:ascii="Arial Narrow" w:eastAsiaTheme="majorEastAsia" w:hAnsi="Arial Narrow" w:cstheme="majorBidi"/>
                <w:bCs/>
                <w:sz w:val="20"/>
              </w:rPr>
            </w:pPr>
          </w:p>
        </w:tc>
        <w:tc>
          <w:tcPr>
            <w:tcW w:w="1072" w:type="pct"/>
            <w:tcBorders>
              <w:top w:val="nil"/>
              <w:left w:val="nil"/>
              <w:bottom w:val="single" w:sz="4" w:space="0" w:color="auto"/>
              <w:right w:val="single" w:sz="4" w:space="0" w:color="auto"/>
            </w:tcBorders>
            <w:vAlign w:val="center"/>
          </w:tcPr>
          <w:p w14:paraId="0FD7B1C7"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w:t>
            </w:r>
          </w:p>
        </w:tc>
      </w:tr>
      <w:tr w:rsidR="001F275B" w:rsidRPr="002A770B" w14:paraId="1F95EF3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tcPr>
          <w:p w14:paraId="09867D08" w14:textId="77777777" w:rsidR="001F275B" w:rsidRPr="002A770B" w:rsidRDefault="001F275B" w:rsidP="0070637E">
            <w:pPr>
              <w:keepNext/>
              <w:keepLines/>
              <w:numPr>
                <w:ilvl w:val="0"/>
                <w:numId w:val="6"/>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Grade 3</w:t>
            </w:r>
          </w:p>
        </w:tc>
        <w:tc>
          <w:tcPr>
            <w:tcW w:w="941" w:type="pct"/>
            <w:tcBorders>
              <w:top w:val="nil"/>
              <w:left w:val="nil"/>
              <w:bottom w:val="single" w:sz="4" w:space="0" w:color="auto"/>
              <w:right w:val="single" w:sz="4" w:space="0" w:color="auto"/>
            </w:tcBorders>
            <w:shd w:val="clear" w:color="auto" w:fill="auto"/>
            <w:noWrap/>
            <w:vAlign w:val="center"/>
          </w:tcPr>
          <w:p w14:paraId="07774BF0"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79/193 (41%)</w:t>
            </w:r>
          </w:p>
        </w:tc>
        <w:tc>
          <w:tcPr>
            <w:tcW w:w="787" w:type="pct"/>
            <w:tcBorders>
              <w:top w:val="nil"/>
              <w:left w:val="nil"/>
              <w:bottom w:val="single" w:sz="4" w:space="0" w:color="auto"/>
              <w:right w:val="single" w:sz="4" w:space="0" w:color="auto"/>
            </w:tcBorders>
            <w:shd w:val="clear" w:color="auto" w:fill="auto"/>
            <w:noWrap/>
            <w:vAlign w:val="center"/>
          </w:tcPr>
          <w:p w14:paraId="06A8FA3A"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83/188 (44%)</w:t>
            </w:r>
          </w:p>
        </w:tc>
        <w:tc>
          <w:tcPr>
            <w:tcW w:w="1072" w:type="pct"/>
            <w:tcBorders>
              <w:top w:val="nil"/>
              <w:left w:val="nil"/>
              <w:bottom w:val="single" w:sz="4" w:space="0" w:color="auto"/>
              <w:right w:val="single" w:sz="4" w:space="0" w:color="auto"/>
            </w:tcBorders>
            <w:vAlign w:val="center"/>
          </w:tcPr>
          <w:p w14:paraId="1B9433DA"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0.93 (0.62, 1.39)</w:t>
            </w:r>
          </w:p>
        </w:tc>
      </w:tr>
      <w:tr w:rsidR="001F275B" w:rsidRPr="002A770B" w14:paraId="616F165B"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5605D8BB" w14:textId="77777777" w:rsidR="001F275B" w:rsidRPr="002A770B" w:rsidRDefault="001F275B" w:rsidP="0070637E">
            <w:pPr>
              <w:keepNext/>
              <w:keepLines/>
              <w:numPr>
                <w:ilvl w:val="0"/>
                <w:numId w:val="6"/>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Grade 4</w:t>
            </w:r>
          </w:p>
        </w:tc>
        <w:tc>
          <w:tcPr>
            <w:tcW w:w="941" w:type="pct"/>
            <w:tcBorders>
              <w:top w:val="nil"/>
              <w:left w:val="nil"/>
              <w:bottom w:val="single" w:sz="4" w:space="0" w:color="auto"/>
              <w:right w:val="single" w:sz="4" w:space="0" w:color="auto"/>
            </w:tcBorders>
            <w:shd w:val="clear" w:color="auto" w:fill="auto"/>
            <w:noWrap/>
            <w:vAlign w:val="center"/>
          </w:tcPr>
          <w:p w14:paraId="39586509"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18/193 (9%)</w:t>
            </w:r>
          </w:p>
        </w:tc>
        <w:tc>
          <w:tcPr>
            <w:tcW w:w="787" w:type="pct"/>
            <w:tcBorders>
              <w:top w:val="nil"/>
              <w:left w:val="nil"/>
              <w:bottom w:val="single" w:sz="4" w:space="0" w:color="auto"/>
              <w:right w:val="single" w:sz="4" w:space="0" w:color="auto"/>
            </w:tcBorders>
            <w:shd w:val="clear" w:color="auto" w:fill="auto"/>
            <w:noWrap/>
            <w:vAlign w:val="center"/>
          </w:tcPr>
          <w:p w14:paraId="0F28E1B7"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16/188 (9%)</w:t>
            </w:r>
          </w:p>
        </w:tc>
        <w:tc>
          <w:tcPr>
            <w:tcW w:w="1072" w:type="pct"/>
            <w:tcBorders>
              <w:top w:val="nil"/>
              <w:left w:val="nil"/>
              <w:bottom w:val="single" w:sz="4" w:space="0" w:color="auto"/>
              <w:right w:val="single" w:sz="4" w:space="0" w:color="auto"/>
            </w:tcBorders>
            <w:vAlign w:val="center"/>
          </w:tcPr>
          <w:p w14:paraId="2E67DBFC"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1.10 (0.54, 2.22)</w:t>
            </w:r>
          </w:p>
        </w:tc>
      </w:tr>
      <w:tr w:rsidR="001F275B" w:rsidRPr="002A770B" w14:paraId="4D00540E"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7DB989A8" w14:textId="77777777" w:rsidR="001F275B" w:rsidRPr="002A770B" w:rsidRDefault="001F275B" w:rsidP="0070637E">
            <w:pPr>
              <w:keepNext/>
              <w:keepLines/>
              <w:numPr>
                <w:ilvl w:val="0"/>
                <w:numId w:val="6"/>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Grade 5</w:t>
            </w:r>
          </w:p>
        </w:tc>
        <w:tc>
          <w:tcPr>
            <w:tcW w:w="941" w:type="pct"/>
            <w:tcBorders>
              <w:top w:val="nil"/>
              <w:left w:val="nil"/>
              <w:bottom w:val="single" w:sz="4" w:space="0" w:color="auto"/>
              <w:right w:val="single" w:sz="4" w:space="0" w:color="auto"/>
            </w:tcBorders>
            <w:shd w:val="clear" w:color="auto" w:fill="auto"/>
            <w:noWrap/>
            <w:vAlign w:val="center"/>
          </w:tcPr>
          <w:p w14:paraId="51E2E1C0"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22/193 (11%)</w:t>
            </w:r>
          </w:p>
        </w:tc>
        <w:tc>
          <w:tcPr>
            <w:tcW w:w="787" w:type="pct"/>
            <w:tcBorders>
              <w:top w:val="nil"/>
              <w:left w:val="nil"/>
              <w:bottom w:val="single" w:sz="4" w:space="0" w:color="auto"/>
              <w:right w:val="single" w:sz="4" w:space="0" w:color="auto"/>
            </w:tcBorders>
            <w:shd w:val="clear" w:color="auto" w:fill="auto"/>
            <w:noWrap/>
            <w:vAlign w:val="center"/>
          </w:tcPr>
          <w:p w14:paraId="07FB5600"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15/188 (8%)</w:t>
            </w:r>
          </w:p>
        </w:tc>
        <w:tc>
          <w:tcPr>
            <w:tcW w:w="1072" w:type="pct"/>
            <w:tcBorders>
              <w:top w:val="nil"/>
              <w:left w:val="nil"/>
              <w:bottom w:val="single" w:sz="4" w:space="0" w:color="auto"/>
              <w:right w:val="single" w:sz="4" w:space="0" w:color="auto"/>
            </w:tcBorders>
            <w:vAlign w:val="center"/>
          </w:tcPr>
          <w:p w14:paraId="501EE9E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1.43 (0.72, 2.85)</w:t>
            </w:r>
          </w:p>
        </w:tc>
      </w:tr>
      <w:tr w:rsidR="001F275B" w:rsidRPr="002A770B" w14:paraId="403DED8F"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20A570B5"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Any serious TEAE</w:t>
            </w:r>
          </w:p>
        </w:tc>
        <w:tc>
          <w:tcPr>
            <w:tcW w:w="941" w:type="pct"/>
            <w:tcBorders>
              <w:top w:val="nil"/>
              <w:left w:val="nil"/>
              <w:bottom w:val="single" w:sz="4" w:space="0" w:color="auto"/>
              <w:right w:val="single" w:sz="4" w:space="0" w:color="auto"/>
            </w:tcBorders>
            <w:shd w:val="clear" w:color="auto" w:fill="auto"/>
            <w:noWrap/>
            <w:vAlign w:val="center"/>
            <w:hideMark/>
          </w:tcPr>
          <w:p w14:paraId="05E19E82"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83/193 (43%)</w:t>
            </w:r>
          </w:p>
        </w:tc>
        <w:tc>
          <w:tcPr>
            <w:tcW w:w="787" w:type="pct"/>
            <w:tcBorders>
              <w:top w:val="nil"/>
              <w:left w:val="nil"/>
              <w:bottom w:val="single" w:sz="4" w:space="0" w:color="auto"/>
              <w:right w:val="single" w:sz="4" w:space="0" w:color="auto"/>
            </w:tcBorders>
            <w:shd w:val="clear" w:color="auto" w:fill="auto"/>
            <w:noWrap/>
            <w:vAlign w:val="center"/>
            <w:hideMark/>
          </w:tcPr>
          <w:p w14:paraId="3B8A910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68/188 (36%)</w:t>
            </w:r>
          </w:p>
        </w:tc>
        <w:tc>
          <w:tcPr>
            <w:tcW w:w="1072" w:type="pct"/>
            <w:tcBorders>
              <w:top w:val="nil"/>
              <w:left w:val="nil"/>
              <w:bottom w:val="single" w:sz="4" w:space="0" w:color="auto"/>
              <w:right w:val="single" w:sz="4" w:space="0" w:color="auto"/>
            </w:tcBorders>
            <w:vAlign w:val="center"/>
          </w:tcPr>
          <w:p w14:paraId="4DEAB566"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1.19 (0.79, 1.80)</w:t>
            </w:r>
          </w:p>
        </w:tc>
      </w:tr>
      <w:tr w:rsidR="001F275B" w:rsidRPr="002A770B" w14:paraId="5031D2F0"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hideMark/>
          </w:tcPr>
          <w:p w14:paraId="22CF692F" w14:textId="77777777" w:rsidR="001F275B" w:rsidRPr="002A770B" w:rsidRDefault="001F275B" w:rsidP="0070637E">
            <w:pPr>
              <w:keepNext/>
              <w:keepLines/>
              <w:numPr>
                <w:ilvl w:val="0"/>
                <w:numId w:val="7"/>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At least one related to daratumumab</w:t>
            </w:r>
          </w:p>
        </w:tc>
        <w:tc>
          <w:tcPr>
            <w:tcW w:w="941" w:type="pct"/>
            <w:tcBorders>
              <w:top w:val="nil"/>
              <w:left w:val="nil"/>
              <w:bottom w:val="single" w:sz="4" w:space="0" w:color="auto"/>
              <w:right w:val="single" w:sz="4" w:space="0" w:color="auto"/>
            </w:tcBorders>
            <w:shd w:val="clear" w:color="auto" w:fill="auto"/>
            <w:noWrap/>
            <w:vAlign w:val="center"/>
            <w:hideMark/>
          </w:tcPr>
          <w:p w14:paraId="0A02E893"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24/193 (12%)</w:t>
            </w:r>
          </w:p>
        </w:tc>
        <w:tc>
          <w:tcPr>
            <w:tcW w:w="787" w:type="pct"/>
            <w:tcBorders>
              <w:top w:val="nil"/>
              <w:left w:val="nil"/>
              <w:bottom w:val="single" w:sz="4" w:space="0" w:color="auto"/>
              <w:right w:val="single" w:sz="4" w:space="0" w:color="auto"/>
            </w:tcBorders>
            <w:shd w:val="clear" w:color="auto" w:fill="auto"/>
            <w:noWrap/>
            <w:vAlign w:val="center"/>
            <w:hideMark/>
          </w:tcPr>
          <w:p w14:paraId="2CA1013B"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0/188</w:t>
            </w:r>
          </w:p>
        </w:tc>
        <w:tc>
          <w:tcPr>
            <w:tcW w:w="1072" w:type="pct"/>
            <w:tcBorders>
              <w:top w:val="nil"/>
              <w:left w:val="nil"/>
              <w:bottom w:val="single" w:sz="4" w:space="0" w:color="auto"/>
              <w:right w:val="single" w:sz="4" w:space="0" w:color="auto"/>
            </w:tcBorders>
            <w:vAlign w:val="center"/>
          </w:tcPr>
          <w:p w14:paraId="37B90642"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NE</w:t>
            </w:r>
          </w:p>
        </w:tc>
      </w:tr>
      <w:tr w:rsidR="001F275B" w:rsidRPr="002A770B" w14:paraId="392FFC8E" w14:textId="77777777" w:rsidTr="00D71DEE">
        <w:trPr>
          <w:trHeight w:val="20"/>
        </w:trPr>
        <w:tc>
          <w:tcPr>
            <w:tcW w:w="2200" w:type="pct"/>
            <w:tcBorders>
              <w:top w:val="nil"/>
              <w:left w:val="single" w:sz="4" w:space="0" w:color="auto"/>
              <w:bottom w:val="single" w:sz="4" w:space="0" w:color="auto"/>
              <w:right w:val="single" w:sz="4" w:space="0" w:color="auto"/>
            </w:tcBorders>
            <w:shd w:val="clear" w:color="auto" w:fill="auto"/>
            <w:noWrap/>
            <w:vAlign w:val="center"/>
          </w:tcPr>
          <w:p w14:paraId="22762D89" w14:textId="77777777" w:rsidR="001F275B" w:rsidRPr="002A770B" w:rsidRDefault="001F275B" w:rsidP="0070637E">
            <w:pPr>
              <w:keepNext/>
              <w:keepLines/>
              <w:numPr>
                <w:ilvl w:val="0"/>
                <w:numId w:val="7"/>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Cardiac disorders</w:t>
            </w:r>
          </w:p>
        </w:tc>
        <w:tc>
          <w:tcPr>
            <w:tcW w:w="941" w:type="pct"/>
            <w:tcBorders>
              <w:top w:val="nil"/>
              <w:left w:val="nil"/>
              <w:bottom w:val="single" w:sz="4" w:space="0" w:color="auto"/>
              <w:right w:val="single" w:sz="4" w:space="0" w:color="auto"/>
            </w:tcBorders>
            <w:shd w:val="clear" w:color="auto" w:fill="auto"/>
            <w:noWrap/>
          </w:tcPr>
          <w:p w14:paraId="2ABDAD46"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30/193 (16%)</w:t>
            </w:r>
          </w:p>
        </w:tc>
        <w:tc>
          <w:tcPr>
            <w:tcW w:w="787" w:type="pct"/>
            <w:tcBorders>
              <w:top w:val="nil"/>
              <w:left w:val="nil"/>
              <w:bottom w:val="single" w:sz="4" w:space="0" w:color="auto"/>
              <w:right w:val="single" w:sz="4" w:space="0" w:color="auto"/>
            </w:tcBorders>
            <w:shd w:val="clear" w:color="auto" w:fill="auto"/>
            <w:noWrap/>
          </w:tcPr>
          <w:p w14:paraId="49AD1B5D"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25/188 (13%)</w:t>
            </w:r>
          </w:p>
        </w:tc>
        <w:tc>
          <w:tcPr>
            <w:tcW w:w="1072" w:type="pct"/>
            <w:tcBorders>
              <w:top w:val="nil"/>
              <w:left w:val="nil"/>
              <w:bottom w:val="single" w:sz="4" w:space="0" w:color="auto"/>
              <w:right w:val="single" w:sz="4" w:space="0" w:color="auto"/>
            </w:tcBorders>
          </w:tcPr>
          <w:p w14:paraId="10FF9CD3"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1.17 (0.66, 2.07)</w:t>
            </w:r>
          </w:p>
        </w:tc>
      </w:tr>
      <w:tr w:rsidR="001F275B" w:rsidRPr="002A770B" w14:paraId="3A2CC4BC" w14:textId="77777777" w:rsidTr="00D71DEE">
        <w:trPr>
          <w:trHeight w:val="20"/>
        </w:trPr>
        <w:tc>
          <w:tcPr>
            <w:tcW w:w="2200" w:type="pct"/>
            <w:tcBorders>
              <w:top w:val="single" w:sz="4" w:space="0" w:color="auto"/>
              <w:left w:val="single" w:sz="4" w:space="0" w:color="auto"/>
              <w:bottom w:val="single" w:sz="4" w:space="0" w:color="auto"/>
              <w:right w:val="single" w:sz="4" w:space="0" w:color="auto"/>
            </w:tcBorders>
            <w:shd w:val="clear" w:color="auto" w:fill="auto"/>
            <w:noWrap/>
          </w:tcPr>
          <w:p w14:paraId="00F8AC61"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Patients with TEAE with the outcome resulting in death</w:t>
            </w:r>
          </w:p>
        </w:tc>
        <w:tc>
          <w:tcPr>
            <w:tcW w:w="941" w:type="pct"/>
            <w:tcBorders>
              <w:top w:val="single" w:sz="4" w:space="0" w:color="auto"/>
              <w:left w:val="nil"/>
              <w:bottom w:val="single" w:sz="4" w:space="0" w:color="auto"/>
              <w:right w:val="single" w:sz="4" w:space="0" w:color="auto"/>
            </w:tcBorders>
            <w:shd w:val="clear" w:color="auto" w:fill="auto"/>
            <w:noWrap/>
            <w:vAlign w:val="center"/>
          </w:tcPr>
          <w:p w14:paraId="5EF9C214"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22/193 (11%)</w:t>
            </w:r>
          </w:p>
        </w:tc>
        <w:tc>
          <w:tcPr>
            <w:tcW w:w="787" w:type="pct"/>
            <w:tcBorders>
              <w:top w:val="single" w:sz="4" w:space="0" w:color="auto"/>
              <w:left w:val="nil"/>
              <w:bottom w:val="single" w:sz="4" w:space="0" w:color="auto"/>
              <w:right w:val="single" w:sz="4" w:space="0" w:color="auto"/>
            </w:tcBorders>
            <w:shd w:val="clear" w:color="auto" w:fill="auto"/>
            <w:noWrap/>
            <w:vAlign w:val="center"/>
          </w:tcPr>
          <w:p w14:paraId="2E9765FD"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15/188 (8%)</w:t>
            </w:r>
          </w:p>
        </w:tc>
        <w:tc>
          <w:tcPr>
            <w:tcW w:w="1072" w:type="pct"/>
            <w:tcBorders>
              <w:top w:val="single" w:sz="4" w:space="0" w:color="auto"/>
              <w:left w:val="nil"/>
              <w:bottom w:val="single" w:sz="4" w:space="0" w:color="auto"/>
              <w:right w:val="single" w:sz="4" w:space="0" w:color="auto"/>
            </w:tcBorders>
            <w:vAlign w:val="center"/>
          </w:tcPr>
          <w:p w14:paraId="01306F5C"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1.43 (0.72, 2.85)</w:t>
            </w:r>
          </w:p>
        </w:tc>
      </w:tr>
      <w:tr w:rsidR="001F275B" w:rsidRPr="002A770B" w14:paraId="2AF052E6" w14:textId="77777777" w:rsidTr="00D71DEE">
        <w:trPr>
          <w:trHeight w:val="20"/>
        </w:trPr>
        <w:tc>
          <w:tcPr>
            <w:tcW w:w="2200" w:type="pct"/>
            <w:tcBorders>
              <w:top w:val="single" w:sz="4" w:space="0" w:color="auto"/>
              <w:left w:val="single" w:sz="4" w:space="0" w:color="auto"/>
              <w:bottom w:val="single" w:sz="4" w:space="0" w:color="auto"/>
              <w:right w:val="single" w:sz="4" w:space="0" w:color="auto"/>
            </w:tcBorders>
            <w:shd w:val="clear" w:color="auto" w:fill="auto"/>
            <w:noWrap/>
          </w:tcPr>
          <w:p w14:paraId="62842F7F" w14:textId="77777777" w:rsidR="001F275B" w:rsidRPr="002A770B" w:rsidRDefault="001F275B" w:rsidP="0070637E">
            <w:pPr>
              <w:keepNext/>
              <w:keepLines/>
              <w:numPr>
                <w:ilvl w:val="0"/>
                <w:numId w:val="6"/>
              </w:numPr>
              <w:jc w:val="left"/>
              <w:rPr>
                <w:rFonts w:ascii="Arial Narrow" w:eastAsiaTheme="majorEastAsia" w:hAnsi="Arial Narrow" w:cstheme="majorBidi"/>
                <w:bCs/>
                <w:sz w:val="20"/>
              </w:rPr>
            </w:pPr>
            <w:r w:rsidRPr="002A770B">
              <w:rPr>
                <w:rFonts w:ascii="Arial Narrow" w:eastAsiaTheme="majorEastAsia" w:hAnsi="Arial Narrow" w:cstheme="majorBidi"/>
                <w:bCs/>
                <w:sz w:val="20"/>
              </w:rPr>
              <w:t>Cardiac disorders resulting in death</w:t>
            </w:r>
          </w:p>
        </w:tc>
        <w:tc>
          <w:tcPr>
            <w:tcW w:w="941" w:type="pct"/>
            <w:tcBorders>
              <w:top w:val="single" w:sz="4" w:space="0" w:color="auto"/>
              <w:left w:val="nil"/>
              <w:bottom w:val="single" w:sz="4" w:space="0" w:color="auto"/>
              <w:right w:val="single" w:sz="4" w:space="0" w:color="auto"/>
            </w:tcBorders>
            <w:shd w:val="clear" w:color="auto" w:fill="auto"/>
            <w:noWrap/>
          </w:tcPr>
          <w:p w14:paraId="041F003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14/193 (7%)</w:t>
            </w:r>
          </w:p>
        </w:tc>
        <w:tc>
          <w:tcPr>
            <w:tcW w:w="787" w:type="pct"/>
            <w:tcBorders>
              <w:top w:val="single" w:sz="4" w:space="0" w:color="auto"/>
              <w:left w:val="nil"/>
              <w:bottom w:val="single" w:sz="4" w:space="0" w:color="auto"/>
              <w:right w:val="single" w:sz="4" w:space="0" w:color="auto"/>
            </w:tcBorders>
            <w:shd w:val="clear" w:color="auto" w:fill="auto"/>
            <w:noWrap/>
          </w:tcPr>
          <w:p w14:paraId="34581918"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8/188 (4%)</w:t>
            </w:r>
          </w:p>
        </w:tc>
        <w:tc>
          <w:tcPr>
            <w:tcW w:w="1072" w:type="pct"/>
            <w:tcBorders>
              <w:top w:val="single" w:sz="4" w:space="0" w:color="auto"/>
              <w:left w:val="nil"/>
              <w:bottom w:val="single" w:sz="4" w:space="0" w:color="auto"/>
              <w:right w:val="single" w:sz="4" w:space="0" w:color="auto"/>
            </w:tcBorders>
          </w:tcPr>
          <w:p w14:paraId="32C782C3"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1.46 (0.58, 3.66)</w:t>
            </w:r>
          </w:p>
        </w:tc>
      </w:tr>
      <w:tr w:rsidR="001F275B" w:rsidRPr="002A770B" w14:paraId="5B8E6B53" w14:textId="77777777" w:rsidTr="00D71DEE">
        <w:trPr>
          <w:trHeight w:val="20"/>
        </w:trPr>
        <w:tc>
          <w:tcPr>
            <w:tcW w:w="2200" w:type="pct"/>
            <w:tcBorders>
              <w:top w:val="single" w:sz="4" w:space="0" w:color="auto"/>
              <w:left w:val="single" w:sz="4" w:space="0" w:color="auto"/>
              <w:bottom w:val="single" w:sz="4" w:space="0" w:color="auto"/>
              <w:right w:val="single" w:sz="4" w:space="0" w:color="auto"/>
            </w:tcBorders>
            <w:shd w:val="clear" w:color="auto" w:fill="auto"/>
            <w:noWrap/>
          </w:tcPr>
          <w:p w14:paraId="60A91626" w14:textId="77777777" w:rsidR="001F275B" w:rsidRPr="002A770B" w:rsidRDefault="001F275B" w:rsidP="001F275B">
            <w:pPr>
              <w:keepNext/>
              <w:keepLines/>
              <w:jc w:val="left"/>
              <w:rPr>
                <w:rFonts w:ascii="Arial Narrow" w:eastAsiaTheme="majorEastAsia" w:hAnsi="Arial Narrow" w:cstheme="majorBidi"/>
                <w:bCs/>
                <w:sz w:val="20"/>
              </w:rPr>
            </w:pPr>
            <w:r w:rsidRPr="002A770B">
              <w:rPr>
                <w:rFonts w:ascii="Arial Narrow" w:eastAsiaTheme="majorEastAsia" w:hAnsi="Arial Narrow" w:cstheme="majorBidi"/>
                <w:bCs/>
                <w:sz w:val="20"/>
              </w:rPr>
              <w:t>Patients with &gt;1 TEAEs leading to discontinuation of trial treatment</w:t>
            </w:r>
          </w:p>
        </w:tc>
        <w:tc>
          <w:tcPr>
            <w:tcW w:w="941" w:type="pct"/>
            <w:tcBorders>
              <w:top w:val="single" w:sz="4" w:space="0" w:color="auto"/>
              <w:left w:val="nil"/>
              <w:bottom w:val="single" w:sz="4" w:space="0" w:color="auto"/>
              <w:right w:val="single" w:sz="4" w:space="0" w:color="auto"/>
            </w:tcBorders>
            <w:shd w:val="clear" w:color="auto" w:fill="auto"/>
            <w:noWrap/>
            <w:vAlign w:val="center"/>
          </w:tcPr>
          <w:p w14:paraId="51C38C6A"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8/193 (4%)</w:t>
            </w:r>
          </w:p>
        </w:tc>
        <w:tc>
          <w:tcPr>
            <w:tcW w:w="787" w:type="pct"/>
            <w:tcBorders>
              <w:top w:val="single" w:sz="4" w:space="0" w:color="auto"/>
              <w:left w:val="nil"/>
              <w:bottom w:val="single" w:sz="4" w:space="0" w:color="auto"/>
              <w:right w:val="single" w:sz="4" w:space="0" w:color="auto"/>
            </w:tcBorders>
            <w:shd w:val="clear" w:color="auto" w:fill="auto"/>
            <w:noWrap/>
            <w:vAlign w:val="center"/>
          </w:tcPr>
          <w:p w14:paraId="55EEABD4"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8/188 (4%)</w:t>
            </w:r>
          </w:p>
        </w:tc>
        <w:tc>
          <w:tcPr>
            <w:tcW w:w="1072" w:type="pct"/>
            <w:tcBorders>
              <w:top w:val="single" w:sz="4" w:space="0" w:color="auto"/>
              <w:left w:val="nil"/>
              <w:bottom w:val="single" w:sz="4" w:space="0" w:color="auto"/>
              <w:right w:val="single" w:sz="4" w:space="0" w:color="auto"/>
            </w:tcBorders>
            <w:vAlign w:val="center"/>
          </w:tcPr>
          <w:p w14:paraId="4042BE61" w14:textId="77777777" w:rsidR="001F275B" w:rsidRPr="002A770B" w:rsidRDefault="001F275B" w:rsidP="001F275B">
            <w:pPr>
              <w:keepNext/>
              <w:keepLines/>
              <w:jc w:val="center"/>
              <w:rPr>
                <w:rFonts w:ascii="Arial Narrow" w:eastAsiaTheme="majorEastAsia" w:hAnsi="Arial Narrow" w:cstheme="majorBidi"/>
                <w:bCs/>
                <w:sz w:val="20"/>
              </w:rPr>
            </w:pPr>
            <w:r w:rsidRPr="002A770B">
              <w:rPr>
                <w:rFonts w:ascii="Arial Narrow" w:eastAsiaTheme="majorEastAsia" w:hAnsi="Arial Narrow" w:cstheme="majorBidi"/>
                <w:bCs/>
                <w:sz w:val="20"/>
              </w:rPr>
              <w:t>0.97 (0.36, 2.65)</w:t>
            </w:r>
          </w:p>
        </w:tc>
      </w:tr>
    </w:tbl>
    <w:p w14:paraId="01B83210" w14:textId="77777777" w:rsidR="001F275B" w:rsidRPr="001F275B" w:rsidRDefault="001F275B" w:rsidP="001F275B">
      <w:pPr>
        <w:keepNext/>
        <w:keepLines/>
        <w:spacing w:after="120"/>
        <w:contextualSpacing/>
        <w:rPr>
          <w:rFonts w:ascii="Arial Narrow" w:hAnsi="Arial Narrow"/>
          <w:snapToGrid w:val="0"/>
          <w:sz w:val="18"/>
          <w:szCs w:val="22"/>
        </w:rPr>
      </w:pPr>
      <w:r w:rsidRPr="001F275B">
        <w:rPr>
          <w:rFonts w:ascii="Arial Narrow" w:hAnsi="Arial Narrow"/>
          <w:snapToGrid w:val="0"/>
          <w:sz w:val="18"/>
          <w:szCs w:val="22"/>
        </w:rPr>
        <w:t xml:space="preserve">Source: Table 2-51, p 161 of the submission </w:t>
      </w:r>
    </w:p>
    <w:p w14:paraId="12653A4D" w14:textId="12CE77A0" w:rsidR="001F275B" w:rsidRPr="001F275B" w:rsidRDefault="001F275B" w:rsidP="001F275B">
      <w:pPr>
        <w:keepNext/>
        <w:keepLines/>
        <w:spacing w:after="120"/>
        <w:contextualSpacing/>
        <w:jc w:val="left"/>
        <w:rPr>
          <w:rFonts w:ascii="Arial Narrow" w:hAnsi="Arial Narrow"/>
          <w:snapToGrid w:val="0"/>
          <w:sz w:val="18"/>
          <w:szCs w:val="22"/>
        </w:rPr>
      </w:pPr>
      <w:r w:rsidRPr="001F275B">
        <w:rPr>
          <w:rFonts w:ascii="Arial Narrow" w:hAnsi="Arial Narrow"/>
          <w:snapToGrid w:val="0"/>
          <w:sz w:val="18"/>
          <w:szCs w:val="22"/>
        </w:rPr>
        <w:t xml:space="preserve"> CI = confidence interval CyBorD</w:t>
      </w:r>
      <w:r w:rsidR="003043F7">
        <w:rPr>
          <w:rFonts w:ascii="Arial Narrow" w:hAnsi="Arial Narrow"/>
          <w:snapToGrid w:val="0"/>
          <w:sz w:val="18"/>
          <w:szCs w:val="22"/>
        </w:rPr>
        <w:t xml:space="preserve"> </w:t>
      </w:r>
      <w:r w:rsidRPr="001F275B">
        <w:rPr>
          <w:rFonts w:ascii="Arial Narrow" w:hAnsi="Arial Narrow"/>
          <w:snapToGrid w:val="0"/>
          <w:sz w:val="18"/>
          <w:szCs w:val="22"/>
        </w:rPr>
        <w:t>=</w:t>
      </w:r>
      <w:r w:rsidR="003043F7">
        <w:rPr>
          <w:rFonts w:ascii="Arial Narrow" w:hAnsi="Arial Narrow"/>
          <w:snapToGrid w:val="0"/>
          <w:sz w:val="18"/>
          <w:szCs w:val="22"/>
        </w:rPr>
        <w:t xml:space="preserve"> </w:t>
      </w:r>
      <w:r w:rsidRPr="001F275B">
        <w:rPr>
          <w:rFonts w:ascii="Arial Narrow" w:hAnsi="Arial Narrow"/>
          <w:snapToGrid w:val="0"/>
          <w:sz w:val="18"/>
          <w:szCs w:val="22"/>
        </w:rPr>
        <w:t>cyclophosphamide, bortezomib and dexamethasone; daratumumab SC =</w:t>
      </w:r>
      <w:r w:rsidR="003043F7">
        <w:rPr>
          <w:rFonts w:ascii="Arial Narrow" w:hAnsi="Arial Narrow"/>
          <w:snapToGrid w:val="0"/>
          <w:sz w:val="18"/>
          <w:szCs w:val="22"/>
        </w:rPr>
        <w:t xml:space="preserve"> </w:t>
      </w:r>
      <w:r w:rsidRPr="001F275B">
        <w:rPr>
          <w:rFonts w:ascii="Arial Narrow" w:hAnsi="Arial Narrow"/>
          <w:snapToGrid w:val="0"/>
          <w:sz w:val="18"/>
          <w:szCs w:val="22"/>
        </w:rPr>
        <w:t>daratumumab subcutaneous; NE = not estimable; TEAEs</w:t>
      </w:r>
      <w:r w:rsidR="003043F7">
        <w:rPr>
          <w:rFonts w:ascii="Arial Narrow" w:hAnsi="Arial Narrow"/>
          <w:snapToGrid w:val="0"/>
          <w:sz w:val="18"/>
          <w:szCs w:val="22"/>
        </w:rPr>
        <w:t xml:space="preserve"> </w:t>
      </w:r>
      <w:r w:rsidRPr="001F275B">
        <w:rPr>
          <w:rFonts w:ascii="Arial Narrow" w:hAnsi="Arial Narrow"/>
          <w:snapToGrid w:val="0"/>
          <w:sz w:val="18"/>
          <w:szCs w:val="22"/>
        </w:rPr>
        <w:t>=</w:t>
      </w:r>
      <w:r w:rsidR="003043F7">
        <w:rPr>
          <w:rFonts w:ascii="Arial Narrow" w:hAnsi="Arial Narrow"/>
          <w:snapToGrid w:val="0"/>
          <w:sz w:val="18"/>
          <w:szCs w:val="22"/>
        </w:rPr>
        <w:t xml:space="preserve"> </w:t>
      </w:r>
      <w:r w:rsidRPr="001F275B">
        <w:rPr>
          <w:rFonts w:ascii="Arial Narrow" w:hAnsi="Arial Narrow"/>
          <w:snapToGrid w:val="0"/>
          <w:sz w:val="18"/>
          <w:szCs w:val="22"/>
        </w:rPr>
        <w:t>treatment emergent adverse events; RR</w:t>
      </w:r>
      <w:r w:rsidR="003043F7">
        <w:rPr>
          <w:rFonts w:ascii="Arial Narrow" w:hAnsi="Arial Narrow"/>
          <w:snapToGrid w:val="0"/>
          <w:sz w:val="18"/>
          <w:szCs w:val="22"/>
        </w:rPr>
        <w:t xml:space="preserve"> </w:t>
      </w:r>
      <w:r w:rsidRPr="001F275B">
        <w:rPr>
          <w:rFonts w:ascii="Arial Narrow" w:hAnsi="Arial Narrow"/>
          <w:snapToGrid w:val="0"/>
          <w:sz w:val="18"/>
          <w:szCs w:val="22"/>
        </w:rPr>
        <w:t xml:space="preserve">= relative risk; </w:t>
      </w:r>
      <w:r w:rsidR="00CF7351" w:rsidRPr="00CF7351">
        <w:rPr>
          <w:rFonts w:ascii="Arial Narrow" w:hAnsi="Arial Narrow"/>
          <w:i/>
          <w:snapToGrid w:val="0"/>
          <w:sz w:val="18"/>
          <w:szCs w:val="22"/>
        </w:rPr>
        <w:t>italics</w:t>
      </w:r>
      <w:r w:rsidRPr="001F275B">
        <w:rPr>
          <w:rFonts w:ascii="Arial Narrow" w:hAnsi="Arial Narrow"/>
          <w:snapToGrid w:val="0"/>
          <w:sz w:val="18"/>
          <w:szCs w:val="22"/>
        </w:rPr>
        <w:t xml:space="preserve"> = calculated during the evaluation</w:t>
      </w:r>
      <w:r w:rsidR="00CF7351" w:rsidRPr="00CF7351">
        <w:rPr>
          <w:rFonts w:ascii="Arial Narrow" w:hAnsi="Arial Narrow"/>
          <w:b/>
          <w:snapToGrid w:val="0"/>
          <w:sz w:val="18"/>
          <w:szCs w:val="22"/>
        </w:rPr>
        <w:t>; bold</w:t>
      </w:r>
      <w:r w:rsidRPr="001F275B">
        <w:rPr>
          <w:rFonts w:ascii="Arial Narrow" w:hAnsi="Arial Narrow"/>
          <w:snapToGrid w:val="0"/>
          <w:sz w:val="18"/>
          <w:szCs w:val="22"/>
        </w:rPr>
        <w:t xml:space="preserve"> = statistically significant at p-value &lt; 0.05</w:t>
      </w:r>
    </w:p>
    <w:p w14:paraId="507A4F13" w14:textId="77777777" w:rsidR="001F275B" w:rsidRDefault="00086CA2" w:rsidP="001F275B">
      <w:pPr>
        <w:keepNext/>
        <w:keepLines/>
        <w:spacing w:after="120"/>
        <w:contextualSpacing/>
        <w:rPr>
          <w:rFonts w:ascii="Arial Narrow" w:hAnsi="Arial Narrow"/>
          <w:snapToGrid w:val="0"/>
          <w:sz w:val="18"/>
          <w:szCs w:val="22"/>
        </w:rPr>
      </w:pPr>
      <w:r>
        <w:rPr>
          <w:rFonts w:ascii="Arial Narrow" w:eastAsiaTheme="majorEastAsia" w:hAnsi="Arial Narrow" w:cstheme="majorBidi"/>
          <w:bCs/>
          <w:sz w:val="20"/>
          <w:vertAlign w:val="superscript"/>
        </w:rPr>
        <w:t>a</w:t>
      </w:r>
      <w:r w:rsidRPr="001F275B" w:rsidDel="00086CA2">
        <w:rPr>
          <w:rFonts w:ascii="Arial Narrow" w:hAnsi="Arial Narrow"/>
          <w:snapToGrid w:val="0"/>
          <w:sz w:val="18"/>
          <w:szCs w:val="22"/>
        </w:rPr>
        <w:t xml:space="preserve"> </w:t>
      </w:r>
      <w:r w:rsidR="001F275B" w:rsidRPr="001F275B">
        <w:rPr>
          <w:rFonts w:ascii="Arial Narrow" w:hAnsi="Arial Narrow"/>
          <w:snapToGrid w:val="0"/>
          <w:sz w:val="18"/>
          <w:szCs w:val="22"/>
        </w:rPr>
        <w:t xml:space="preserve"> </w:t>
      </w:r>
      <w:r w:rsidR="003043F7">
        <w:rPr>
          <w:rFonts w:ascii="Arial Narrow" w:hAnsi="Arial Narrow"/>
          <w:snapToGrid w:val="0"/>
          <w:sz w:val="18"/>
          <w:szCs w:val="22"/>
        </w:rPr>
        <w:t>One</w:t>
      </w:r>
      <w:r w:rsidR="001F275B" w:rsidRPr="001F275B">
        <w:rPr>
          <w:rFonts w:ascii="Arial Narrow" w:hAnsi="Arial Narrow"/>
          <w:snapToGrid w:val="0"/>
          <w:sz w:val="18"/>
          <w:szCs w:val="22"/>
        </w:rPr>
        <w:t xml:space="preserve"> site reported at least 1 AE as related to daratumumab in error, for 1 patient randomised to CyBorD arm</w:t>
      </w:r>
    </w:p>
    <w:p w14:paraId="7F387818" w14:textId="77777777" w:rsidR="003A0AB1" w:rsidRPr="001F275B" w:rsidRDefault="003A0AB1" w:rsidP="003A0AB1">
      <w:pPr>
        <w:rPr>
          <w:snapToGrid w:val="0"/>
        </w:rPr>
      </w:pPr>
    </w:p>
    <w:p w14:paraId="34643C03" w14:textId="77777777" w:rsidR="001F275B" w:rsidRDefault="1AA21FF2" w:rsidP="13701661">
      <w:pPr>
        <w:numPr>
          <w:ilvl w:val="1"/>
          <w:numId w:val="1"/>
        </w:numPr>
        <w:spacing w:after="120"/>
        <w:rPr>
          <w:rFonts w:asciiTheme="minorHAnsi" w:hAnsiTheme="minorHAnsi"/>
          <w:color w:val="000000" w:themeColor="text1"/>
        </w:rPr>
      </w:pPr>
      <w:r w:rsidRPr="13701661">
        <w:rPr>
          <w:rFonts w:asciiTheme="minorHAnsi" w:hAnsiTheme="minorHAnsi"/>
          <w:color w:val="000000" w:themeColor="text1"/>
        </w:rPr>
        <w:t xml:space="preserve">The median duration of treatment in ANDROMEDA was longer in the daratumumab SC + CyBorD arm (9.6 months) compared to the CyBorD arm (5.3 months). Over this period, nearly all patients in both arms experienced at least 1 treatment-emergent adverse event (TEAE). The overall incidence of serious TEAEs (43% and 36%), Grade 5 TEAEs (11% and 8%) and TEAE resulting in death (11% and </w:t>
      </w:r>
      <w:r w:rsidR="19B929F9" w:rsidRPr="13701661">
        <w:rPr>
          <w:rFonts w:asciiTheme="minorHAnsi" w:hAnsiTheme="minorHAnsi"/>
          <w:color w:val="000000" w:themeColor="text1"/>
        </w:rPr>
        <w:t>8</w:t>
      </w:r>
      <w:r w:rsidRPr="13701661">
        <w:rPr>
          <w:rFonts w:asciiTheme="minorHAnsi" w:hAnsiTheme="minorHAnsi"/>
          <w:color w:val="000000" w:themeColor="text1"/>
        </w:rPr>
        <w:t xml:space="preserve">%) were all numerically higher in the daratumumab SC + CyBorD arm compared with CyBorD. </w:t>
      </w:r>
    </w:p>
    <w:p w14:paraId="045F0C58" w14:textId="77777777" w:rsidR="00404E42" w:rsidRPr="00404E42" w:rsidRDefault="00183E22" w:rsidP="00404E42">
      <w:pPr>
        <w:spacing w:after="120"/>
        <w:rPr>
          <w:rFonts w:asciiTheme="minorHAnsi" w:hAnsiTheme="minorHAnsi"/>
          <w:color w:val="000000" w:themeColor="text1"/>
          <w:u w:val="single"/>
        </w:rPr>
      </w:pPr>
      <w:r>
        <w:rPr>
          <w:rFonts w:asciiTheme="minorHAnsi" w:hAnsiTheme="minorHAnsi"/>
          <w:color w:val="000000" w:themeColor="text1"/>
          <w:u w:val="single"/>
        </w:rPr>
        <w:t>D</w:t>
      </w:r>
      <w:r w:rsidR="00C9703D">
        <w:rPr>
          <w:rFonts w:asciiTheme="minorHAnsi" w:hAnsiTheme="minorHAnsi"/>
          <w:color w:val="000000" w:themeColor="text1"/>
          <w:u w:val="single"/>
        </w:rPr>
        <w:t>aratumumab SC + CyBorD</w:t>
      </w:r>
      <w:r w:rsidR="00404E42" w:rsidRPr="00404E42">
        <w:rPr>
          <w:rFonts w:asciiTheme="minorHAnsi" w:hAnsiTheme="minorHAnsi"/>
          <w:color w:val="000000" w:themeColor="text1"/>
          <w:u w:val="single"/>
        </w:rPr>
        <w:t xml:space="preserve"> vs MDex</w:t>
      </w:r>
    </w:p>
    <w:p w14:paraId="4D6949DC" w14:textId="77777777" w:rsidR="001F275B" w:rsidRPr="002A770B" w:rsidRDefault="74C41D5A" w:rsidP="13701661">
      <w:pPr>
        <w:numPr>
          <w:ilvl w:val="1"/>
          <w:numId w:val="1"/>
        </w:numPr>
        <w:spacing w:after="120"/>
        <w:rPr>
          <w:rFonts w:asciiTheme="minorHAnsi" w:hAnsiTheme="minorHAnsi"/>
          <w:color w:val="000000" w:themeColor="text1"/>
        </w:rPr>
      </w:pPr>
      <w:r w:rsidRPr="002A770B">
        <w:rPr>
          <w:rFonts w:asciiTheme="minorHAnsi" w:hAnsiTheme="minorHAnsi"/>
          <w:color w:val="000000" w:themeColor="text1"/>
        </w:rPr>
        <w:t xml:space="preserve">The submission did not present any comparative clinical evidence to demonstrate the </w:t>
      </w:r>
      <w:r w:rsidR="1AA21FF2" w:rsidRPr="002A770B">
        <w:rPr>
          <w:rFonts w:asciiTheme="minorHAnsi" w:hAnsiTheme="minorHAnsi"/>
          <w:color w:val="000000" w:themeColor="text1"/>
        </w:rPr>
        <w:t xml:space="preserve">comparative safety of daratumumab SC + CyBorD to MDex, due to the difference in reporting methods between the trials. Kastritis et al. 2020 reported the number of events observed during the trial, whilst ANDROMEDA reported the number of patients with adverse events. </w:t>
      </w:r>
    </w:p>
    <w:p w14:paraId="5B43581C" w14:textId="77777777" w:rsidR="007F1017" w:rsidRPr="00C9624D" w:rsidRDefault="007F1017" w:rsidP="00D86231">
      <w:pPr>
        <w:pStyle w:val="4-SubsectionHeading"/>
      </w:pPr>
      <w:bookmarkStart w:id="44" w:name="_Toc22897643"/>
      <w:bookmarkStart w:id="45" w:name="_Toc82436609"/>
      <w:r w:rsidRPr="00C9624D">
        <w:t>Benefits/harms</w:t>
      </w:r>
      <w:bookmarkEnd w:id="44"/>
      <w:bookmarkEnd w:id="45"/>
    </w:p>
    <w:p w14:paraId="4198062F" w14:textId="77777777" w:rsidR="001F275B" w:rsidRPr="00945CB3" w:rsidRDefault="1AA21FF2" w:rsidP="001F275B">
      <w:pPr>
        <w:pStyle w:val="3-BodyText"/>
        <w:rPr>
          <w:rStyle w:val="CommentReference"/>
          <w:color w:val="0066FF"/>
        </w:rPr>
      </w:pPr>
      <w:r>
        <w:t xml:space="preserve">A summary of the comparative benefits and harms for </w:t>
      </w:r>
      <w:r w:rsidR="74C41D5A">
        <w:t xml:space="preserve">daratumumab </w:t>
      </w:r>
      <w:r>
        <w:t xml:space="preserve">SC + CyBorD versus CyBorD, based on the results of ANDROMEDA is presented in </w:t>
      </w:r>
      <w:r w:rsidR="008A0743" w:rsidRPr="008A0743">
        <w:t>Table 1</w:t>
      </w:r>
      <w:r w:rsidR="001A7573">
        <w:t>2</w:t>
      </w:r>
      <w:r>
        <w:t>.</w:t>
      </w:r>
    </w:p>
    <w:p w14:paraId="00321504" w14:textId="77777777" w:rsidR="001F275B" w:rsidRPr="001F275B" w:rsidRDefault="001F275B" w:rsidP="001F275B">
      <w:pPr>
        <w:pStyle w:val="TableText0"/>
        <w:rPr>
          <w:b/>
        </w:rPr>
      </w:pPr>
      <w:bookmarkStart w:id="46" w:name="_Ref79421085"/>
      <w:r w:rsidRPr="001F275B">
        <w:rPr>
          <w:b/>
        </w:rPr>
        <w:lastRenderedPageBreak/>
        <w:t xml:space="preserve">Table </w:t>
      </w:r>
      <w:r w:rsidR="008A0743">
        <w:rPr>
          <w:b/>
          <w:noProof/>
        </w:rPr>
        <w:t>1</w:t>
      </w:r>
      <w:bookmarkEnd w:id="46"/>
      <w:r w:rsidR="001A7573">
        <w:rPr>
          <w:b/>
        </w:rPr>
        <w:t>2</w:t>
      </w:r>
      <w:r w:rsidRPr="001F275B">
        <w:rPr>
          <w:b/>
        </w:rPr>
        <w:t xml:space="preserve">: Summary of comparative benefits and harms for </w:t>
      </w:r>
      <w:bookmarkStart w:id="47" w:name="_Hlk79420286"/>
      <w:r w:rsidR="00C9703D">
        <w:rPr>
          <w:b/>
        </w:rPr>
        <w:t>daratumumab SC + CyBorD</w:t>
      </w:r>
      <w:r w:rsidR="00C0440E">
        <w:rPr>
          <w:b/>
        </w:rPr>
        <w:t xml:space="preserve"> </w:t>
      </w:r>
      <w:bookmarkEnd w:id="47"/>
      <w:r w:rsidR="00C0440E">
        <w:rPr>
          <w:b/>
        </w:rPr>
        <w:t>versus</w:t>
      </w:r>
      <w:r w:rsidRPr="001F275B">
        <w:rPr>
          <w:b/>
        </w:rPr>
        <w:t xml:space="preserve"> CyBorD</w:t>
      </w:r>
    </w:p>
    <w:tbl>
      <w:tblPr>
        <w:tblW w:w="5000" w:type="pct"/>
        <w:tblLayout w:type="fixed"/>
        <w:tblCellMar>
          <w:left w:w="28" w:type="dxa"/>
          <w:right w:w="28" w:type="dxa"/>
        </w:tblCellMar>
        <w:tblLook w:val="04A0" w:firstRow="1" w:lastRow="0" w:firstColumn="1" w:lastColumn="0" w:noHBand="0" w:noVBand="1"/>
        <w:tblCaption w:val="Table 12: Summary of comparative benefits and harms for daratumumab SC + CyBorD versus CyBorD"/>
      </w:tblPr>
      <w:tblGrid>
        <w:gridCol w:w="1322"/>
        <w:gridCol w:w="1322"/>
        <w:gridCol w:w="1322"/>
        <w:gridCol w:w="1419"/>
        <w:gridCol w:w="967"/>
        <w:gridCol w:w="1127"/>
        <w:gridCol w:w="1538"/>
      </w:tblGrid>
      <w:tr w:rsidR="001F275B" w:rsidRPr="002A770B" w14:paraId="5D8D9C61" w14:textId="77777777" w:rsidTr="00F071FF">
        <w:trPr>
          <w:cantSplit/>
          <w:trHeight w:val="150"/>
          <w:tblHead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5CE910" w14:textId="77777777" w:rsidR="001F275B" w:rsidRPr="002A770B" w:rsidRDefault="001F275B" w:rsidP="00F071FF">
            <w:pPr>
              <w:pStyle w:val="In-tableHeading"/>
              <w:keepLines/>
              <w:rPr>
                <w:lang w:val="en-AU"/>
              </w:rPr>
            </w:pPr>
            <w:r w:rsidRPr="002A770B">
              <w:rPr>
                <w:lang w:val="en-AU"/>
              </w:rPr>
              <w:t>Trial</w:t>
            </w:r>
          </w:p>
        </w:tc>
        <w:tc>
          <w:tcPr>
            <w:tcW w:w="733" w:type="pct"/>
            <w:vMerge w:val="restart"/>
            <w:tcBorders>
              <w:top w:val="single" w:sz="4" w:space="0" w:color="auto"/>
              <w:left w:val="single" w:sz="4" w:space="0" w:color="auto"/>
              <w:bottom w:val="single" w:sz="4" w:space="0" w:color="auto"/>
              <w:right w:val="single" w:sz="4" w:space="0" w:color="auto"/>
            </w:tcBorders>
            <w:vAlign w:val="center"/>
          </w:tcPr>
          <w:p w14:paraId="3365BD8B" w14:textId="77777777" w:rsidR="001F275B" w:rsidRPr="002A770B" w:rsidRDefault="001F275B" w:rsidP="00F071FF">
            <w:pPr>
              <w:pStyle w:val="In-tableHeading"/>
              <w:keepLines/>
              <w:jc w:val="center"/>
              <w:rPr>
                <w:lang w:val="en-AU"/>
              </w:rPr>
            </w:pPr>
            <w:r w:rsidRPr="002A770B">
              <w:rPr>
                <w:lang w:val="en-AU"/>
              </w:rPr>
              <w:t>Dara + CyBorD</w:t>
            </w:r>
          </w:p>
        </w:tc>
        <w:tc>
          <w:tcPr>
            <w:tcW w:w="733" w:type="pct"/>
            <w:vMerge w:val="restart"/>
            <w:tcBorders>
              <w:top w:val="single" w:sz="4" w:space="0" w:color="auto"/>
              <w:left w:val="single" w:sz="4" w:space="0" w:color="auto"/>
              <w:bottom w:val="single" w:sz="4" w:space="0" w:color="auto"/>
              <w:right w:val="single" w:sz="4" w:space="0" w:color="auto"/>
            </w:tcBorders>
            <w:vAlign w:val="center"/>
          </w:tcPr>
          <w:p w14:paraId="61253E3C" w14:textId="77777777" w:rsidR="001F275B" w:rsidRPr="002A770B" w:rsidRDefault="001F275B" w:rsidP="00F071FF">
            <w:pPr>
              <w:pStyle w:val="In-tableHeading"/>
              <w:keepLines/>
              <w:jc w:val="center"/>
              <w:rPr>
                <w:lang w:val="en-AU"/>
              </w:rPr>
            </w:pPr>
            <w:r w:rsidRPr="002A770B">
              <w:rPr>
                <w:lang w:val="en-AU"/>
              </w:rPr>
              <w:t>CyBorD</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14:paraId="6CD15B3C" w14:textId="77777777" w:rsidR="001F275B" w:rsidRPr="002A770B" w:rsidRDefault="001F275B" w:rsidP="00F071FF">
            <w:pPr>
              <w:pStyle w:val="In-tableHeading"/>
              <w:keepLines/>
              <w:jc w:val="center"/>
              <w:rPr>
                <w:lang w:val="en-AU"/>
              </w:rPr>
            </w:pPr>
            <w:r w:rsidRPr="002A770B">
              <w:rPr>
                <w:lang w:val="en-AU"/>
              </w:rPr>
              <w:t>OR</w:t>
            </w:r>
          </w:p>
          <w:p w14:paraId="36A60C07" w14:textId="77777777" w:rsidR="001F275B" w:rsidRPr="002A770B" w:rsidRDefault="001F275B" w:rsidP="00F071FF">
            <w:pPr>
              <w:pStyle w:val="In-tableHeading"/>
              <w:keepLines/>
              <w:jc w:val="center"/>
              <w:rPr>
                <w:lang w:val="en-AU"/>
              </w:rPr>
            </w:pPr>
            <w:r w:rsidRPr="002A770B">
              <w:rPr>
                <w:lang w:val="en-AU"/>
              </w:rPr>
              <w:t>(95% CI)</w:t>
            </w:r>
          </w:p>
        </w:tc>
        <w:tc>
          <w:tcPr>
            <w:tcW w:w="1161" w:type="pct"/>
            <w:gridSpan w:val="2"/>
            <w:tcBorders>
              <w:top w:val="single" w:sz="4" w:space="0" w:color="auto"/>
              <w:left w:val="single" w:sz="4" w:space="0" w:color="auto"/>
              <w:bottom w:val="single" w:sz="4" w:space="0" w:color="auto"/>
              <w:right w:val="single" w:sz="4" w:space="0" w:color="auto"/>
            </w:tcBorders>
            <w:vAlign w:val="center"/>
          </w:tcPr>
          <w:p w14:paraId="1B282C81" w14:textId="77777777" w:rsidR="001F275B" w:rsidRPr="002A770B" w:rsidRDefault="001F275B" w:rsidP="00E16B7A">
            <w:pPr>
              <w:pStyle w:val="In-tableHeading"/>
              <w:keepLines/>
              <w:jc w:val="center"/>
              <w:rPr>
                <w:lang w:val="en-AU"/>
              </w:rPr>
            </w:pPr>
            <w:r w:rsidRPr="002A770B">
              <w:rPr>
                <w:lang w:val="en-AU"/>
              </w:rPr>
              <w:t>Event rate/100 patients</w:t>
            </w:r>
          </w:p>
        </w:tc>
        <w:tc>
          <w:tcPr>
            <w:tcW w:w="853" w:type="pct"/>
            <w:vMerge w:val="restart"/>
            <w:tcBorders>
              <w:top w:val="single" w:sz="4" w:space="0" w:color="auto"/>
              <w:left w:val="single" w:sz="4" w:space="0" w:color="auto"/>
              <w:bottom w:val="single" w:sz="4" w:space="0" w:color="auto"/>
              <w:right w:val="single" w:sz="4" w:space="0" w:color="auto"/>
            </w:tcBorders>
            <w:vAlign w:val="center"/>
          </w:tcPr>
          <w:p w14:paraId="6F402109" w14:textId="77777777" w:rsidR="001F275B" w:rsidRPr="002A770B" w:rsidRDefault="001F275B" w:rsidP="00F071FF">
            <w:pPr>
              <w:pStyle w:val="In-tableHeading"/>
              <w:keepLines/>
              <w:jc w:val="center"/>
              <w:rPr>
                <w:lang w:val="en-AU"/>
              </w:rPr>
            </w:pPr>
            <w:r w:rsidRPr="002A770B">
              <w:rPr>
                <w:lang w:val="en-AU"/>
              </w:rPr>
              <w:t>RD</w:t>
            </w:r>
          </w:p>
          <w:p w14:paraId="0A403DC0" w14:textId="77777777" w:rsidR="001F275B" w:rsidRPr="002A770B" w:rsidRDefault="001F275B" w:rsidP="00F071FF">
            <w:pPr>
              <w:pStyle w:val="In-tableHeading"/>
              <w:keepLines/>
              <w:jc w:val="center"/>
              <w:rPr>
                <w:lang w:val="en-AU"/>
              </w:rPr>
            </w:pPr>
            <w:r w:rsidRPr="002A770B">
              <w:rPr>
                <w:lang w:val="en-AU"/>
              </w:rPr>
              <w:t>(95% CI)</w:t>
            </w:r>
          </w:p>
        </w:tc>
      </w:tr>
      <w:tr w:rsidR="001F275B" w:rsidRPr="002A770B" w14:paraId="521F4547" w14:textId="77777777" w:rsidTr="00F071FF">
        <w:trPr>
          <w:cantSplit/>
          <w:trHeight w:val="315"/>
        </w:trPr>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B526D5" w14:textId="77777777" w:rsidR="001F275B" w:rsidRPr="002A770B" w:rsidRDefault="001F275B" w:rsidP="00F071FF">
            <w:pPr>
              <w:pStyle w:val="In-tableHeading"/>
              <w:keepLines/>
              <w:jc w:val="center"/>
              <w:rPr>
                <w:lang w:val="en-AU"/>
              </w:rPr>
            </w:pPr>
          </w:p>
        </w:tc>
        <w:tc>
          <w:tcPr>
            <w:tcW w:w="733" w:type="pct"/>
            <w:vMerge/>
            <w:tcBorders>
              <w:top w:val="single" w:sz="4" w:space="0" w:color="auto"/>
              <w:left w:val="single" w:sz="4" w:space="0" w:color="auto"/>
              <w:bottom w:val="single" w:sz="4" w:space="0" w:color="auto"/>
              <w:right w:val="single" w:sz="4" w:space="0" w:color="auto"/>
            </w:tcBorders>
            <w:vAlign w:val="center"/>
          </w:tcPr>
          <w:p w14:paraId="6C9F7AF0" w14:textId="77777777" w:rsidR="001F275B" w:rsidRPr="002A770B" w:rsidRDefault="001F275B" w:rsidP="00F071FF">
            <w:pPr>
              <w:pStyle w:val="In-tableHeading"/>
              <w:keepLines/>
              <w:jc w:val="center"/>
              <w:rPr>
                <w:lang w:val="en-AU"/>
              </w:rPr>
            </w:pPr>
          </w:p>
        </w:tc>
        <w:tc>
          <w:tcPr>
            <w:tcW w:w="733" w:type="pct"/>
            <w:vMerge/>
            <w:tcBorders>
              <w:top w:val="single" w:sz="4" w:space="0" w:color="auto"/>
              <w:left w:val="single" w:sz="4" w:space="0" w:color="auto"/>
              <w:bottom w:val="single" w:sz="4" w:space="0" w:color="auto"/>
              <w:right w:val="single" w:sz="4" w:space="0" w:color="auto"/>
            </w:tcBorders>
            <w:vAlign w:val="center"/>
          </w:tcPr>
          <w:p w14:paraId="3D3C46EB" w14:textId="77777777" w:rsidR="001F275B" w:rsidRPr="002A770B" w:rsidRDefault="001F275B" w:rsidP="00F071FF">
            <w:pPr>
              <w:pStyle w:val="In-tableHeading"/>
              <w:keepLines/>
              <w:jc w:val="center"/>
              <w:rPr>
                <w:lang w:val="en-AU"/>
              </w:rPr>
            </w:pPr>
          </w:p>
        </w:tc>
        <w:tc>
          <w:tcPr>
            <w:tcW w:w="787" w:type="pct"/>
            <w:vMerge/>
            <w:tcBorders>
              <w:top w:val="single" w:sz="4" w:space="0" w:color="auto"/>
              <w:left w:val="single" w:sz="4" w:space="0" w:color="auto"/>
              <w:bottom w:val="single" w:sz="4" w:space="0" w:color="auto"/>
              <w:right w:val="single" w:sz="4" w:space="0" w:color="auto"/>
            </w:tcBorders>
            <w:vAlign w:val="center"/>
          </w:tcPr>
          <w:p w14:paraId="4C79776B" w14:textId="77777777" w:rsidR="001F275B" w:rsidRPr="002A770B" w:rsidRDefault="001F275B" w:rsidP="00F071FF">
            <w:pPr>
              <w:pStyle w:val="In-tableHeading"/>
              <w:keepLines/>
              <w:jc w:val="center"/>
              <w:rPr>
                <w:lang w:val="en-AU"/>
              </w:rPr>
            </w:pPr>
          </w:p>
        </w:tc>
        <w:tc>
          <w:tcPr>
            <w:tcW w:w="536" w:type="pct"/>
            <w:tcBorders>
              <w:top w:val="single" w:sz="4" w:space="0" w:color="auto"/>
              <w:left w:val="single" w:sz="4" w:space="0" w:color="auto"/>
              <w:bottom w:val="single" w:sz="4" w:space="0" w:color="auto"/>
              <w:right w:val="single" w:sz="4" w:space="0" w:color="auto"/>
            </w:tcBorders>
            <w:vAlign w:val="center"/>
          </w:tcPr>
          <w:p w14:paraId="6AE719BD" w14:textId="77777777" w:rsidR="001F275B" w:rsidRPr="002A770B" w:rsidRDefault="001F275B" w:rsidP="00F071FF">
            <w:pPr>
              <w:pStyle w:val="In-tableHeading"/>
              <w:keepLines/>
              <w:jc w:val="center"/>
              <w:rPr>
                <w:lang w:val="en-AU"/>
              </w:rPr>
            </w:pPr>
            <w:r w:rsidRPr="002A770B">
              <w:rPr>
                <w:lang w:val="en-AU"/>
              </w:rPr>
              <w:t>Dara + CyBorD</w:t>
            </w:r>
          </w:p>
        </w:tc>
        <w:tc>
          <w:tcPr>
            <w:tcW w:w="625" w:type="pct"/>
            <w:tcBorders>
              <w:top w:val="single" w:sz="4" w:space="0" w:color="auto"/>
              <w:left w:val="single" w:sz="4" w:space="0" w:color="auto"/>
              <w:bottom w:val="single" w:sz="4" w:space="0" w:color="auto"/>
              <w:right w:val="single" w:sz="4" w:space="0" w:color="auto"/>
            </w:tcBorders>
            <w:vAlign w:val="center"/>
          </w:tcPr>
          <w:p w14:paraId="3ED347A5" w14:textId="77777777" w:rsidR="001F275B" w:rsidRPr="002A770B" w:rsidRDefault="001F275B" w:rsidP="00F071FF">
            <w:pPr>
              <w:pStyle w:val="In-tableHeading"/>
              <w:keepLines/>
              <w:jc w:val="center"/>
              <w:rPr>
                <w:lang w:val="en-AU"/>
              </w:rPr>
            </w:pPr>
            <w:r w:rsidRPr="002A770B">
              <w:rPr>
                <w:lang w:val="en-AU"/>
              </w:rPr>
              <w:t>CyBorD</w:t>
            </w:r>
          </w:p>
        </w:tc>
        <w:tc>
          <w:tcPr>
            <w:tcW w:w="853" w:type="pct"/>
            <w:vMerge/>
            <w:tcBorders>
              <w:top w:val="single" w:sz="4" w:space="0" w:color="auto"/>
              <w:left w:val="single" w:sz="4" w:space="0" w:color="auto"/>
              <w:bottom w:val="single" w:sz="4" w:space="0" w:color="auto"/>
              <w:right w:val="single" w:sz="4" w:space="0" w:color="auto"/>
            </w:tcBorders>
            <w:vAlign w:val="center"/>
          </w:tcPr>
          <w:p w14:paraId="4A7052A4" w14:textId="77777777" w:rsidR="001F275B" w:rsidRPr="002A770B" w:rsidRDefault="001F275B" w:rsidP="00F071FF">
            <w:pPr>
              <w:pStyle w:val="In-tableHeading"/>
              <w:keepLines/>
              <w:jc w:val="center"/>
              <w:rPr>
                <w:lang w:val="en-AU"/>
              </w:rPr>
            </w:pPr>
          </w:p>
        </w:tc>
      </w:tr>
      <w:tr w:rsidR="001F275B" w:rsidRPr="002A770B" w14:paraId="7CF894A8" w14:textId="77777777" w:rsidTr="00F071FF">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14B19D9F" w14:textId="77777777" w:rsidR="001F275B" w:rsidRPr="002A770B" w:rsidRDefault="001F275B" w:rsidP="00F071FF">
            <w:pPr>
              <w:pStyle w:val="In-tableHeading"/>
              <w:keepLines/>
              <w:rPr>
                <w:lang w:val="en-AU"/>
              </w:rPr>
            </w:pPr>
            <w:r w:rsidRPr="002A770B">
              <w:rPr>
                <w:lang w:val="en-AU"/>
              </w:rPr>
              <w:t>Benefits</w:t>
            </w:r>
          </w:p>
        </w:tc>
      </w:tr>
      <w:tr w:rsidR="001F275B" w:rsidRPr="002A770B" w14:paraId="30383D65" w14:textId="77777777" w:rsidTr="00F071FF">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76BDE33" w14:textId="77777777" w:rsidR="001F275B" w:rsidRPr="002A770B" w:rsidRDefault="001F275B" w:rsidP="00F071FF">
            <w:pPr>
              <w:pStyle w:val="In-tableHeading"/>
              <w:keepLines/>
              <w:rPr>
                <w:lang w:val="en-AU"/>
              </w:rPr>
            </w:pPr>
            <w:r w:rsidRPr="002A770B">
              <w:t xml:space="preserve">Overall complete hematologic response </w:t>
            </w:r>
            <w:r w:rsidR="00E16B7A" w:rsidRPr="002A770B">
              <w:t>– intention-to-treat population</w:t>
            </w:r>
          </w:p>
        </w:tc>
      </w:tr>
      <w:tr w:rsidR="001F275B" w:rsidRPr="002A770B" w14:paraId="3EF1DE4B" w14:textId="77777777" w:rsidTr="00F071FF">
        <w:trPr>
          <w:cantSplit/>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898109F" w14:textId="77777777" w:rsidR="001F275B" w:rsidRPr="002A770B" w:rsidRDefault="001F275B" w:rsidP="00F071FF">
            <w:pPr>
              <w:pStyle w:val="TableText0"/>
              <w:keepLines/>
            </w:pPr>
            <w:r w:rsidRPr="002A770B">
              <w:t xml:space="preserve">ANDROMEDA </w:t>
            </w:r>
          </w:p>
        </w:tc>
        <w:tc>
          <w:tcPr>
            <w:tcW w:w="733" w:type="pct"/>
            <w:tcBorders>
              <w:top w:val="single" w:sz="4" w:space="0" w:color="auto"/>
              <w:left w:val="single" w:sz="4" w:space="0" w:color="auto"/>
              <w:bottom w:val="single" w:sz="4" w:space="0" w:color="auto"/>
              <w:right w:val="single" w:sz="4" w:space="0" w:color="auto"/>
            </w:tcBorders>
            <w:vAlign w:val="center"/>
          </w:tcPr>
          <w:p w14:paraId="7CC2A828" w14:textId="77777777" w:rsidR="001F275B" w:rsidRPr="002A770B" w:rsidRDefault="001F275B" w:rsidP="00F071FF">
            <w:pPr>
              <w:pStyle w:val="TableText0"/>
              <w:keepLines/>
              <w:jc w:val="center"/>
            </w:pPr>
            <w:r w:rsidRPr="002A770B">
              <w:t>104/195 (53%)</w:t>
            </w:r>
          </w:p>
        </w:tc>
        <w:tc>
          <w:tcPr>
            <w:tcW w:w="733" w:type="pct"/>
            <w:tcBorders>
              <w:top w:val="single" w:sz="4" w:space="0" w:color="auto"/>
              <w:left w:val="single" w:sz="4" w:space="0" w:color="auto"/>
              <w:bottom w:val="single" w:sz="4" w:space="0" w:color="auto"/>
              <w:right w:val="single" w:sz="4" w:space="0" w:color="auto"/>
            </w:tcBorders>
            <w:vAlign w:val="center"/>
          </w:tcPr>
          <w:p w14:paraId="52BA053C" w14:textId="77777777" w:rsidR="001F275B" w:rsidRPr="002A770B" w:rsidRDefault="001F275B" w:rsidP="00F071FF">
            <w:pPr>
              <w:pStyle w:val="TableText0"/>
              <w:keepLines/>
              <w:jc w:val="center"/>
            </w:pPr>
            <w:r w:rsidRPr="002A770B">
              <w:t>35/193 (18%)</w:t>
            </w:r>
          </w:p>
        </w:tc>
        <w:tc>
          <w:tcPr>
            <w:tcW w:w="787" w:type="pct"/>
            <w:tcBorders>
              <w:top w:val="single" w:sz="4" w:space="0" w:color="auto"/>
              <w:left w:val="single" w:sz="4" w:space="0" w:color="auto"/>
              <w:bottom w:val="single" w:sz="4" w:space="0" w:color="auto"/>
              <w:right w:val="single" w:sz="4" w:space="0" w:color="auto"/>
            </w:tcBorders>
            <w:vAlign w:val="center"/>
          </w:tcPr>
          <w:p w14:paraId="4567AEA1" w14:textId="77777777" w:rsidR="001F275B" w:rsidRPr="002A770B" w:rsidRDefault="001F275B" w:rsidP="00F071FF">
            <w:pPr>
              <w:pStyle w:val="TableText0"/>
              <w:keepLines/>
              <w:jc w:val="center"/>
              <w:rPr>
                <w:b/>
              </w:rPr>
            </w:pPr>
            <w:r w:rsidRPr="002A770B">
              <w:rPr>
                <w:b/>
              </w:rPr>
              <w:t>5.13 (3.22, 8.16)</w:t>
            </w:r>
          </w:p>
        </w:tc>
        <w:tc>
          <w:tcPr>
            <w:tcW w:w="536" w:type="pct"/>
            <w:tcBorders>
              <w:top w:val="single" w:sz="4" w:space="0" w:color="auto"/>
              <w:left w:val="single" w:sz="4" w:space="0" w:color="auto"/>
              <w:bottom w:val="single" w:sz="4" w:space="0" w:color="auto"/>
              <w:right w:val="single" w:sz="4" w:space="0" w:color="auto"/>
            </w:tcBorders>
            <w:vAlign w:val="center"/>
          </w:tcPr>
          <w:p w14:paraId="35A33C8B" w14:textId="77777777" w:rsidR="001F275B" w:rsidRPr="002A770B" w:rsidRDefault="001F275B" w:rsidP="00F071FF">
            <w:pPr>
              <w:pStyle w:val="TableText0"/>
              <w:keepLines/>
              <w:jc w:val="center"/>
            </w:pPr>
            <w:r w:rsidRPr="002A770B">
              <w:t>53.3</w:t>
            </w:r>
          </w:p>
        </w:tc>
        <w:tc>
          <w:tcPr>
            <w:tcW w:w="625" w:type="pct"/>
            <w:tcBorders>
              <w:top w:val="single" w:sz="4" w:space="0" w:color="auto"/>
              <w:left w:val="single" w:sz="4" w:space="0" w:color="auto"/>
              <w:bottom w:val="single" w:sz="4" w:space="0" w:color="auto"/>
              <w:right w:val="single" w:sz="4" w:space="0" w:color="auto"/>
            </w:tcBorders>
            <w:vAlign w:val="center"/>
          </w:tcPr>
          <w:p w14:paraId="5256631B" w14:textId="77777777" w:rsidR="001F275B" w:rsidRPr="002A770B" w:rsidRDefault="001F275B" w:rsidP="00F071FF">
            <w:pPr>
              <w:pStyle w:val="TableText0"/>
              <w:keepLines/>
              <w:jc w:val="center"/>
            </w:pPr>
            <w:r w:rsidRPr="002A770B">
              <w:t>18.1</w:t>
            </w:r>
          </w:p>
        </w:tc>
        <w:tc>
          <w:tcPr>
            <w:tcW w:w="853" w:type="pct"/>
            <w:tcBorders>
              <w:top w:val="single" w:sz="4" w:space="0" w:color="auto"/>
              <w:left w:val="single" w:sz="4" w:space="0" w:color="auto"/>
              <w:bottom w:val="single" w:sz="4" w:space="0" w:color="auto"/>
              <w:right w:val="single" w:sz="4" w:space="0" w:color="auto"/>
            </w:tcBorders>
            <w:vAlign w:val="center"/>
          </w:tcPr>
          <w:p w14:paraId="5724EF01" w14:textId="77777777" w:rsidR="001F275B" w:rsidRPr="002A770B" w:rsidRDefault="001F275B" w:rsidP="00F071FF">
            <w:pPr>
              <w:pStyle w:val="TableText0"/>
              <w:keepLines/>
              <w:jc w:val="center"/>
            </w:pPr>
            <w:r w:rsidRPr="002A770B">
              <w:rPr>
                <w:b/>
              </w:rPr>
              <w:t>35% (26%, 44%)</w:t>
            </w:r>
          </w:p>
        </w:tc>
      </w:tr>
    </w:tbl>
    <w:tbl>
      <w:tblPr>
        <w:tblStyle w:val="TableGrid"/>
        <w:tblW w:w="5000" w:type="pct"/>
        <w:tblLayout w:type="fixed"/>
        <w:tblCellMar>
          <w:left w:w="28" w:type="dxa"/>
          <w:right w:w="28" w:type="dxa"/>
        </w:tblCellMar>
        <w:tblLook w:val="04A0" w:firstRow="1" w:lastRow="0" w:firstColumn="1" w:lastColumn="0" w:noHBand="0" w:noVBand="1"/>
        <w:tblCaption w:val="Table 12: Summary of comparative benefits and harms for daratumumab SC + CyBorD versus CyBorD"/>
      </w:tblPr>
      <w:tblGrid>
        <w:gridCol w:w="2464"/>
        <w:gridCol w:w="1446"/>
        <w:gridCol w:w="1515"/>
        <w:gridCol w:w="2083"/>
        <w:gridCol w:w="1509"/>
      </w:tblGrid>
      <w:tr w:rsidR="001F275B" w:rsidRPr="002A770B" w14:paraId="2321FC86" w14:textId="77777777" w:rsidTr="00CE2643">
        <w:trPr>
          <w:trHeight w:val="20"/>
          <w:tblHeader/>
        </w:trPr>
        <w:tc>
          <w:tcPr>
            <w:tcW w:w="5000" w:type="pct"/>
            <w:gridSpan w:val="5"/>
            <w:shd w:val="clear" w:color="auto" w:fill="auto"/>
          </w:tcPr>
          <w:p w14:paraId="5FE9B06C" w14:textId="77777777" w:rsidR="001F275B" w:rsidRPr="002A770B" w:rsidRDefault="001F275B" w:rsidP="00F071FF">
            <w:pPr>
              <w:pStyle w:val="In-tableHeading"/>
              <w:keepLines/>
              <w:rPr>
                <w:lang w:val="en-AU"/>
              </w:rPr>
            </w:pPr>
            <w:r w:rsidRPr="002A770B">
              <w:rPr>
                <w:lang w:val="en-AU"/>
              </w:rPr>
              <w:t>Major organ deterioration-progression free survival</w:t>
            </w:r>
            <w:r w:rsidR="00995FAC" w:rsidRPr="002A770B">
              <w:rPr>
                <w:lang w:val="en-AU"/>
              </w:rPr>
              <w:t xml:space="preserve"> (IPCW method)</w:t>
            </w:r>
            <w:r w:rsidRPr="002A770B">
              <w:rPr>
                <w:lang w:val="en-AU"/>
              </w:rPr>
              <w:t xml:space="preserve"> in ANDROMEDA (median duration of follow-up: 11.4 months)</w:t>
            </w:r>
          </w:p>
        </w:tc>
      </w:tr>
      <w:tr w:rsidR="001F275B" w:rsidRPr="002A770B" w14:paraId="5D1D5234" w14:textId="77777777" w:rsidTr="00F071FF">
        <w:trPr>
          <w:trHeight w:val="20"/>
        </w:trPr>
        <w:tc>
          <w:tcPr>
            <w:tcW w:w="1366" w:type="pct"/>
            <w:tcBorders>
              <w:bottom w:val="single" w:sz="4" w:space="0" w:color="auto"/>
            </w:tcBorders>
            <w:shd w:val="clear" w:color="auto" w:fill="auto"/>
          </w:tcPr>
          <w:p w14:paraId="69E1599F" w14:textId="77777777" w:rsidR="001F275B" w:rsidRPr="002A770B" w:rsidRDefault="001F275B" w:rsidP="00F071FF">
            <w:pPr>
              <w:pStyle w:val="In-tableHeading"/>
              <w:keepLines/>
              <w:rPr>
                <w:lang w:val="en-AU"/>
              </w:rPr>
            </w:pPr>
            <w:r w:rsidRPr="002A770B">
              <w:rPr>
                <w:lang w:val="en-AU"/>
              </w:rPr>
              <w:t>Event</w:t>
            </w:r>
          </w:p>
        </w:tc>
        <w:tc>
          <w:tcPr>
            <w:tcW w:w="802" w:type="pct"/>
            <w:tcBorders>
              <w:bottom w:val="single" w:sz="4" w:space="0" w:color="auto"/>
            </w:tcBorders>
            <w:shd w:val="clear" w:color="auto" w:fill="auto"/>
            <w:vAlign w:val="center"/>
          </w:tcPr>
          <w:p w14:paraId="05382AC4" w14:textId="77777777" w:rsidR="001F275B" w:rsidRPr="002A770B" w:rsidRDefault="001F275B" w:rsidP="00F071FF">
            <w:pPr>
              <w:pStyle w:val="In-tableHeading"/>
              <w:keepLines/>
              <w:jc w:val="center"/>
              <w:rPr>
                <w:lang w:val="en-AU"/>
              </w:rPr>
            </w:pPr>
            <w:r w:rsidRPr="002A770B">
              <w:rPr>
                <w:lang w:val="en-AU"/>
              </w:rPr>
              <w:t>Dara + CyBorD</w:t>
            </w:r>
          </w:p>
        </w:tc>
        <w:tc>
          <w:tcPr>
            <w:tcW w:w="840" w:type="pct"/>
            <w:tcBorders>
              <w:bottom w:val="single" w:sz="4" w:space="0" w:color="auto"/>
            </w:tcBorders>
            <w:shd w:val="clear" w:color="auto" w:fill="auto"/>
            <w:vAlign w:val="center"/>
          </w:tcPr>
          <w:p w14:paraId="56CD5A4C" w14:textId="77777777" w:rsidR="001F275B" w:rsidRPr="002A770B" w:rsidRDefault="001F275B" w:rsidP="00F071FF">
            <w:pPr>
              <w:pStyle w:val="In-tableHeading"/>
              <w:keepLines/>
              <w:jc w:val="center"/>
              <w:rPr>
                <w:lang w:val="en-AU"/>
              </w:rPr>
            </w:pPr>
            <w:r w:rsidRPr="002A770B">
              <w:rPr>
                <w:lang w:val="en-AU"/>
              </w:rPr>
              <w:t>CyBorD</w:t>
            </w:r>
          </w:p>
        </w:tc>
        <w:tc>
          <w:tcPr>
            <w:tcW w:w="1155" w:type="pct"/>
            <w:tcBorders>
              <w:bottom w:val="single" w:sz="4" w:space="0" w:color="auto"/>
            </w:tcBorders>
            <w:shd w:val="clear" w:color="auto" w:fill="auto"/>
          </w:tcPr>
          <w:p w14:paraId="1F0DFF30" w14:textId="77777777" w:rsidR="001F275B" w:rsidRPr="002A770B" w:rsidRDefault="001F275B" w:rsidP="00F071FF">
            <w:pPr>
              <w:pStyle w:val="In-tableHeading"/>
              <w:keepLines/>
              <w:jc w:val="center"/>
              <w:rPr>
                <w:rFonts w:asciiTheme="minorHAnsi" w:hAnsiTheme="minorHAnsi"/>
                <w:lang w:val="en-AU"/>
              </w:rPr>
            </w:pPr>
            <w:r w:rsidRPr="002A770B">
              <w:rPr>
                <w:lang w:val="en-AU"/>
              </w:rPr>
              <w:t>Absolute Difference</w:t>
            </w:r>
          </w:p>
        </w:tc>
        <w:tc>
          <w:tcPr>
            <w:tcW w:w="837" w:type="pct"/>
            <w:tcBorders>
              <w:bottom w:val="single" w:sz="4" w:space="0" w:color="auto"/>
            </w:tcBorders>
            <w:shd w:val="clear" w:color="auto" w:fill="auto"/>
          </w:tcPr>
          <w:p w14:paraId="7703854A" w14:textId="77777777" w:rsidR="001F275B" w:rsidRPr="002A770B" w:rsidRDefault="001F275B" w:rsidP="00F071FF">
            <w:pPr>
              <w:pStyle w:val="In-tableHeading"/>
              <w:keepLines/>
              <w:jc w:val="center"/>
              <w:rPr>
                <w:lang w:val="en-AU"/>
              </w:rPr>
            </w:pPr>
            <w:r w:rsidRPr="002A770B">
              <w:rPr>
                <w:lang w:val="en-AU"/>
              </w:rPr>
              <w:t>HR (95% CI)</w:t>
            </w:r>
          </w:p>
        </w:tc>
      </w:tr>
      <w:tr w:rsidR="008819AA" w:rsidRPr="002A770B" w14:paraId="16B39218" w14:textId="77777777" w:rsidTr="00251104">
        <w:trPr>
          <w:trHeight w:val="20"/>
        </w:trPr>
        <w:tc>
          <w:tcPr>
            <w:tcW w:w="1366" w:type="pct"/>
            <w:tcBorders>
              <w:bottom w:val="single" w:sz="4" w:space="0" w:color="auto"/>
              <w:right w:val="single" w:sz="4" w:space="0" w:color="auto"/>
            </w:tcBorders>
            <w:shd w:val="clear" w:color="auto" w:fill="auto"/>
            <w:vAlign w:val="center"/>
          </w:tcPr>
          <w:p w14:paraId="48E78B80" w14:textId="77777777" w:rsidR="008819AA" w:rsidRPr="002A770B" w:rsidRDefault="008819AA" w:rsidP="00F071FF">
            <w:pPr>
              <w:pStyle w:val="TableText0"/>
              <w:keepLines/>
              <w:widowControl w:val="0"/>
            </w:pPr>
            <w:r w:rsidRPr="002A770B">
              <w:t>Progressed, n (%)</w:t>
            </w:r>
          </w:p>
        </w:tc>
        <w:tc>
          <w:tcPr>
            <w:tcW w:w="802" w:type="pct"/>
            <w:tcBorders>
              <w:left w:val="single" w:sz="4" w:space="0" w:color="auto"/>
              <w:bottom w:val="single" w:sz="4" w:space="0" w:color="auto"/>
              <w:right w:val="single" w:sz="4" w:space="0" w:color="auto"/>
            </w:tcBorders>
            <w:shd w:val="clear" w:color="auto" w:fill="auto"/>
          </w:tcPr>
          <w:p w14:paraId="75DF9BF1" w14:textId="77777777" w:rsidR="008819AA" w:rsidRPr="002A770B" w:rsidRDefault="008819AA" w:rsidP="00F071FF">
            <w:pPr>
              <w:pStyle w:val="TableText0"/>
              <w:keepLines/>
              <w:widowControl w:val="0"/>
              <w:jc w:val="center"/>
            </w:pPr>
            <w:r w:rsidRPr="002A770B">
              <w:t>34/195 (17%)</w:t>
            </w:r>
          </w:p>
        </w:tc>
        <w:tc>
          <w:tcPr>
            <w:tcW w:w="840" w:type="pct"/>
            <w:tcBorders>
              <w:left w:val="single" w:sz="4" w:space="0" w:color="auto"/>
              <w:bottom w:val="single" w:sz="4" w:space="0" w:color="auto"/>
              <w:right w:val="single" w:sz="4" w:space="0" w:color="auto"/>
            </w:tcBorders>
            <w:shd w:val="clear" w:color="auto" w:fill="auto"/>
          </w:tcPr>
          <w:p w14:paraId="1E6E62B7" w14:textId="77777777" w:rsidR="008819AA" w:rsidRPr="002A770B" w:rsidRDefault="008819AA" w:rsidP="00F071FF">
            <w:pPr>
              <w:pStyle w:val="TableText0"/>
              <w:keepLines/>
              <w:widowControl w:val="0"/>
              <w:jc w:val="center"/>
            </w:pPr>
            <w:r w:rsidRPr="002A770B">
              <w:t>53/193 (28%)</w:t>
            </w:r>
          </w:p>
        </w:tc>
        <w:tc>
          <w:tcPr>
            <w:tcW w:w="1155" w:type="pct"/>
            <w:tcBorders>
              <w:left w:val="single" w:sz="4" w:space="0" w:color="auto"/>
              <w:bottom w:val="single" w:sz="4" w:space="0" w:color="auto"/>
              <w:right w:val="single" w:sz="4" w:space="0" w:color="auto"/>
            </w:tcBorders>
            <w:shd w:val="clear" w:color="auto" w:fill="auto"/>
            <w:vAlign w:val="center"/>
          </w:tcPr>
          <w:p w14:paraId="0BCDCB31" w14:textId="77777777" w:rsidR="008819AA" w:rsidRPr="002A770B" w:rsidRDefault="008819AA" w:rsidP="00F071FF">
            <w:pPr>
              <w:pStyle w:val="TableText0"/>
              <w:keepLines/>
              <w:widowControl w:val="0"/>
              <w:jc w:val="center"/>
            </w:pPr>
            <w:r>
              <w:t>-</w:t>
            </w:r>
          </w:p>
        </w:tc>
        <w:tc>
          <w:tcPr>
            <w:tcW w:w="837" w:type="pct"/>
            <w:vMerge w:val="restart"/>
            <w:tcBorders>
              <w:left w:val="single" w:sz="4" w:space="0" w:color="auto"/>
            </w:tcBorders>
            <w:shd w:val="clear" w:color="auto" w:fill="auto"/>
            <w:vAlign w:val="center"/>
          </w:tcPr>
          <w:p w14:paraId="70F8DFEE" w14:textId="77777777" w:rsidR="008819AA" w:rsidRPr="002A770B" w:rsidRDefault="008819AA" w:rsidP="00F071FF">
            <w:pPr>
              <w:pStyle w:val="TableText0"/>
              <w:keepLines/>
              <w:widowControl w:val="0"/>
              <w:jc w:val="center"/>
            </w:pPr>
            <w:r w:rsidRPr="002A770B">
              <w:rPr>
                <w:b/>
              </w:rPr>
              <w:t>0.58 (0.36, 0.93)</w:t>
            </w:r>
            <w:r w:rsidRPr="002A770B">
              <w:rPr>
                <w:b/>
                <w:vertAlign w:val="superscript"/>
              </w:rPr>
              <w:t>1</w:t>
            </w:r>
          </w:p>
        </w:tc>
      </w:tr>
      <w:tr w:rsidR="008819AA" w:rsidRPr="002A770B" w14:paraId="2AD10438" w14:textId="77777777" w:rsidTr="00251104">
        <w:trPr>
          <w:trHeight w:val="20"/>
        </w:trPr>
        <w:tc>
          <w:tcPr>
            <w:tcW w:w="1366" w:type="pct"/>
            <w:tcBorders>
              <w:bottom w:val="single" w:sz="4" w:space="0" w:color="auto"/>
              <w:right w:val="single" w:sz="4" w:space="0" w:color="auto"/>
            </w:tcBorders>
            <w:shd w:val="clear" w:color="auto" w:fill="auto"/>
            <w:vAlign w:val="center"/>
          </w:tcPr>
          <w:p w14:paraId="01F8541A" w14:textId="77777777" w:rsidR="008819AA" w:rsidRPr="002A770B" w:rsidRDefault="008819AA" w:rsidP="00F071FF">
            <w:pPr>
              <w:pStyle w:val="TableText0"/>
              <w:keepLines/>
              <w:widowControl w:val="0"/>
            </w:pPr>
            <w:r w:rsidRPr="002A770B">
              <w:t>Median MOD- PFS, months (95% CI)</w:t>
            </w:r>
          </w:p>
        </w:tc>
        <w:tc>
          <w:tcPr>
            <w:tcW w:w="802" w:type="pct"/>
            <w:tcBorders>
              <w:left w:val="single" w:sz="4" w:space="0" w:color="auto"/>
              <w:bottom w:val="single" w:sz="4" w:space="0" w:color="auto"/>
              <w:right w:val="single" w:sz="4" w:space="0" w:color="auto"/>
            </w:tcBorders>
            <w:shd w:val="clear" w:color="auto" w:fill="auto"/>
            <w:vAlign w:val="center"/>
          </w:tcPr>
          <w:p w14:paraId="2EBF1175" w14:textId="77777777" w:rsidR="008819AA" w:rsidRPr="002A770B" w:rsidRDefault="008819AA" w:rsidP="00F071FF">
            <w:pPr>
              <w:pStyle w:val="TableText0"/>
              <w:keepLines/>
              <w:widowControl w:val="0"/>
              <w:jc w:val="center"/>
              <w:rPr>
                <w:rFonts w:cs="Times New Roman"/>
                <w:szCs w:val="20"/>
              </w:rPr>
            </w:pPr>
            <w:r w:rsidRPr="002A770B">
              <w:t>NE (NE, NE)</w:t>
            </w:r>
          </w:p>
        </w:tc>
        <w:tc>
          <w:tcPr>
            <w:tcW w:w="840" w:type="pct"/>
            <w:tcBorders>
              <w:left w:val="single" w:sz="4" w:space="0" w:color="auto"/>
              <w:bottom w:val="single" w:sz="4" w:space="0" w:color="auto"/>
              <w:right w:val="single" w:sz="4" w:space="0" w:color="auto"/>
            </w:tcBorders>
            <w:shd w:val="clear" w:color="auto" w:fill="auto"/>
            <w:vAlign w:val="center"/>
          </w:tcPr>
          <w:p w14:paraId="730D8F31" w14:textId="77777777" w:rsidR="008819AA" w:rsidRPr="002A770B" w:rsidRDefault="008819AA" w:rsidP="00F071FF">
            <w:pPr>
              <w:pStyle w:val="TableText0"/>
              <w:keepLines/>
              <w:widowControl w:val="0"/>
              <w:jc w:val="center"/>
              <w:rPr>
                <w:rFonts w:cs="Times New Roman"/>
                <w:szCs w:val="20"/>
              </w:rPr>
            </w:pPr>
            <w:r w:rsidRPr="002A770B">
              <w:t>NE (18.66, NE)</w:t>
            </w:r>
          </w:p>
        </w:tc>
        <w:tc>
          <w:tcPr>
            <w:tcW w:w="1155" w:type="pct"/>
            <w:tcBorders>
              <w:left w:val="single" w:sz="4" w:space="0" w:color="auto"/>
              <w:bottom w:val="single" w:sz="4" w:space="0" w:color="auto"/>
              <w:right w:val="single" w:sz="4" w:space="0" w:color="auto"/>
            </w:tcBorders>
            <w:shd w:val="clear" w:color="auto" w:fill="auto"/>
            <w:vAlign w:val="center"/>
          </w:tcPr>
          <w:p w14:paraId="6A3B4BE6" w14:textId="77777777" w:rsidR="008819AA" w:rsidRPr="002A770B" w:rsidRDefault="0050647F" w:rsidP="00F071FF">
            <w:pPr>
              <w:pStyle w:val="TableText0"/>
              <w:keepLines/>
              <w:widowControl w:val="0"/>
              <w:jc w:val="center"/>
            </w:pPr>
            <w:r>
              <w:t>NE</w:t>
            </w:r>
          </w:p>
        </w:tc>
        <w:tc>
          <w:tcPr>
            <w:tcW w:w="837" w:type="pct"/>
            <w:vMerge/>
            <w:tcBorders>
              <w:left w:val="single" w:sz="4" w:space="0" w:color="auto"/>
              <w:bottom w:val="nil"/>
            </w:tcBorders>
            <w:shd w:val="clear" w:color="auto" w:fill="auto"/>
            <w:vAlign w:val="center"/>
          </w:tcPr>
          <w:p w14:paraId="7FDBB58E" w14:textId="77777777" w:rsidR="008819AA" w:rsidRPr="002A770B" w:rsidRDefault="008819AA" w:rsidP="00F071FF">
            <w:pPr>
              <w:pStyle w:val="TableText0"/>
              <w:keepLines/>
              <w:widowControl w:val="0"/>
              <w:jc w:val="center"/>
              <w:rPr>
                <w:szCs w:val="20"/>
              </w:rPr>
            </w:pPr>
          </w:p>
        </w:tc>
      </w:tr>
      <w:tr w:rsidR="00E16B7A" w:rsidRPr="002A770B" w14:paraId="78E58C93" w14:textId="77777777" w:rsidTr="00E16B7A">
        <w:trPr>
          <w:trHeight w:val="20"/>
        </w:trPr>
        <w:tc>
          <w:tcPr>
            <w:tcW w:w="1366" w:type="pct"/>
            <w:tcBorders>
              <w:bottom w:val="single" w:sz="4" w:space="0" w:color="auto"/>
              <w:right w:val="single" w:sz="4" w:space="0" w:color="auto"/>
            </w:tcBorders>
            <w:shd w:val="clear" w:color="auto" w:fill="auto"/>
          </w:tcPr>
          <w:p w14:paraId="2F9BA718" w14:textId="77777777" w:rsidR="00E16B7A" w:rsidRPr="002A770B" w:rsidRDefault="00E16B7A" w:rsidP="00E16B7A">
            <w:pPr>
              <w:pStyle w:val="TableText0"/>
              <w:keepLines/>
              <w:widowControl w:val="0"/>
            </w:pPr>
            <w:r w:rsidRPr="002A770B">
              <w:t>% not progressed at 6 months (95% CI)</w:t>
            </w:r>
          </w:p>
        </w:tc>
        <w:tc>
          <w:tcPr>
            <w:tcW w:w="802" w:type="pct"/>
            <w:tcBorders>
              <w:left w:val="single" w:sz="4" w:space="0" w:color="auto"/>
              <w:bottom w:val="single" w:sz="4" w:space="0" w:color="auto"/>
              <w:right w:val="single" w:sz="4" w:space="0" w:color="auto"/>
            </w:tcBorders>
            <w:shd w:val="clear" w:color="auto" w:fill="auto"/>
            <w:vAlign w:val="center"/>
          </w:tcPr>
          <w:p w14:paraId="016619E4" w14:textId="77777777" w:rsidR="00E16B7A" w:rsidRPr="002A770B" w:rsidRDefault="00E16B7A" w:rsidP="00E16B7A">
            <w:pPr>
              <w:pStyle w:val="TableText0"/>
              <w:keepLines/>
              <w:widowControl w:val="0"/>
              <w:jc w:val="center"/>
            </w:pPr>
            <w:r w:rsidRPr="002A770B">
              <w:rPr>
                <w:rFonts w:cs="Arial"/>
              </w:rPr>
              <w:t>87% (81%, 91%)</w:t>
            </w:r>
          </w:p>
        </w:tc>
        <w:tc>
          <w:tcPr>
            <w:tcW w:w="840" w:type="pct"/>
            <w:tcBorders>
              <w:left w:val="single" w:sz="4" w:space="0" w:color="auto"/>
              <w:bottom w:val="single" w:sz="4" w:space="0" w:color="auto"/>
              <w:right w:val="single" w:sz="4" w:space="0" w:color="auto"/>
            </w:tcBorders>
            <w:shd w:val="clear" w:color="auto" w:fill="auto"/>
            <w:vAlign w:val="center"/>
          </w:tcPr>
          <w:p w14:paraId="44FBEEF5" w14:textId="77777777" w:rsidR="00E16B7A" w:rsidRPr="002A770B" w:rsidRDefault="00E16B7A" w:rsidP="00E16B7A">
            <w:pPr>
              <w:pStyle w:val="TableText0"/>
              <w:keepLines/>
              <w:widowControl w:val="0"/>
              <w:jc w:val="center"/>
            </w:pPr>
            <w:r w:rsidRPr="002A770B">
              <w:rPr>
                <w:rFonts w:cs="Arial"/>
              </w:rPr>
              <w:t>83% (77%, 88%)</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100B1083" w14:textId="77777777" w:rsidR="00E16B7A" w:rsidRPr="002A770B" w:rsidRDefault="00251104" w:rsidP="00E16B7A">
            <w:pPr>
              <w:pStyle w:val="TableText0"/>
              <w:keepLines/>
              <w:widowControl w:val="0"/>
              <w:jc w:val="center"/>
            </w:pPr>
            <w:r>
              <w:rPr>
                <w:rFonts w:cs="Arial"/>
              </w:rPr>
              <w:t>4</w:t>
            </w:r>
            <w:r w:rsidR="00E16B7A" w:rsidRPr="002A770B">
              <w:rPr>
                <w:rFonts w:cs="Arial"/>
              </w:rPr>
              <w:t>%</w:t>
            </w:r>
          </w:p>
        </w:tc>
        <w:tc>
          <w:tcPr>
            <w:tcW w:w="837" w:type="pct"/>
            <w:tcBorders>
              <w:top w:val="single" w:sz="4" w:space="0" w:color="auto"/>
              <w:left w:val="single" w:sz="4" w:space="0" w:color="auto"/>
              <w:bottom w:val="single" w:sz="4" w:space="0" w:color="auto"/>
            </w:tcBorders>
            <w:shd w:val="clear" w:color="auto" w:fill="auto"/>
            <w:vAlign w:val="center"/>
          </w:tcPr>
          <w:p w14:paraId="138538ED" w14:textId="77777777" w:rsidR="00E16B7A" w:rsidRPr="002A770B" w:rsidRDefault="008819AA" w:rsidP="00E16B7A">
            <w:pPr>
              <w:pStyle w:val="TableText0"/>
              <w:keepLines/>
              <w:widowControl w:val="0"/>
              <w:jc w:val="center"/>
            </w:pPr>
            <w:r>
              <w:t>-</w:t>
            </w:r>
          </w:p>
        </w:tc>
      </w:tr>
      <w:tr w:rsidR="00E16B7A" w:rsidRPr="002A770B" w14:paraId="68D4F9F1" w14:textId="77777777" w:rsidTr="00E16B7A">
        <w:trPr>
          <w:trHeight w:val="20"/>
        </w:trPr>
        <w:tc>
          <w:tcPr>
            <w:tcW w:w="1366" w:type="pct"/>
            <w:tcBorders>
              <w:bottom w:val="single" w:sz="4" w:space="0" w:color="auto"/>
              <w:right w:val="single" w:sz="4" w:space="0" w:color="auto"/>
            </w:tcBorders>
            <w:shd w:val="clear" w:color="auto" w:fill="auto"/>
          </w:tcPr>
          <w:p w14:paraId="194ED140" w14:textId="77777777" w:rsidR="00E16B7A" w:rsidRPr="002A770B" w:rsidRDefault="00E16B7A" w:rsidP="00E16B7A">
            <w:pPr>
              <w:pStyle w:val="TableText0"/>
              <w:keepLines/>
              <w:widowControl w:val="0"/>
            </w:pPr>
            <w:r w:rsidRPr="002A770B">
              <w:t>% not progressed at 12 months (95% CI)</w:t>
            </w:r>
          </w:p>
        </w:tc>
        <w:tc>
          <w:tcPr>
            <w:tcW w:w="802" w:type="pct"/>
            <w:tcBorders>
              <w:left w:val="single" w:sz="4" w:space="0" w:color="auto"/>
              <w:bottom w:val="single" w:sz="4" w:space="0" w:color="auto"/>
              <w:right w:val="single" w:sz="4" w:space="0" w:color="auto"/>
            </w:tcBorders>
            <w:shd w:val="clear" w:color="auto" w:fill="auto"/>
            <w:vAlign w:val="center"/>
          </w:tcPr>
          <w:p w14:paraId="7FBE42D0" w14:textId="77777777" w:rsidR="00E16B7A" w:rsidRPr="002A770B" w:rsidRDefault="00E16B7A" w:rsidP="00E16B7A">
            <w:pPr>
              <w:pStyle w:val="TableText0"/>
              <w:keepLines/>
              <w:widowControl w:val="0"/>
              <w:jc w:val="center"/>
            </w:pPr>
            <w:r w:rsidRPr="002A770B">
              <w:rPr>
                <w:rFonts w:cs="Arial"/>
              </w:rPr>
              <w:t>82% (75%, 87%)</w:t>
            </w:r>
          </w:p>
        </w:tc>
        <w:tc>
          <w:tcPr>
            <w:tcW w:w="840" w:type="pct"/>
            <w:tcBorders>
              <w:left w:val="single" w:sz="4" w:space="0" w:color="auto"/>
              <w:bottom w:val="single" w:sz="4" w:space="0" w:color="auto"/>
              <w:right w:val="single" w:sz="4" w:space="0" w:color="auto"/>
            </w:tcBorders>
            <w:shd w:val="clear" w:color="auto" w:fill="auto"/>
            <w:vAlign w:val="center"/>
          </w:tcPr>
          <w:p w14:paraId="4116191A" w14:textId="77777777" w:rsidR="00E16B7A" w:rsidRPr="002A770B" w:rsidRDefault="00E16B7A" w:rsidP="00E16B7A">
            <w:pPr>
              <w:pStyle w:val="TableText0"/>
              <w:keepLines/>
              <w:widowControl w:val="0"/>
              <w:jc w:val="center"/>
            </w:pPr>
            <w:r w:rsidRPr="002A770B">
              <w:rPr>
                <w:rFonts w:cs="Arial"/>
              </w:rPr>
              <w:t>71% (62%, 77%)</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07CDD7E2" w14:textId="77777777" w:rsidR="00E16B7A" w:rsidRPr="002A770B" w:rsidRDefault="00E16B7A" w:rsidP="00E16B7A">
            <w:pPr>
              <w:pStyle w:val="TableText0"/>
              <w:keepLines/>
              <w:widowControl w:val="0"/>
              <w:jc w:val="center"/>
            </w:pPr>
            <w:r w:rsidRPr="002A770B">
              <w:rPr>
                <w:rFonts w:cs="Arial"/>
              </w:rPr>
              <w:t>11%</w:t>
            </w:r>
          </w:p>
        </w:tc>
        <w:tc>
          <w:tcPr>
            <w:tcW w:w="837" w:type="pct"/>
            <w:tcBorders>
              <w:top w:val="single" w:sz="4" w:space="0" w:color="auto"/>
              <w:left w:val="single" w:sz="4" w:space="0" w:color="auto"/>
              <w:bottom w:val="single" w:sz="4" w:space="0" w:color="auto"/>
            </w:tcBorders>
            <w:shd w:val="clear" w:color="auto" w:fill="auto"/>
            <w:vAlign w:val="center"/>
          </w:tcPr>
          <w:p w14:paraId="7EDFBFFB" w14:textId="77777777" w:rsidR="00E16B7A" w:rsidRPr="002A770B" w:rsidRDefault="008819AA" w:rsidP="00E16B7A">
            <w:pPr>
              <w:pStyle w:val="TableText0"/>
              <w:keepLines/>
              <w:widowControl w:val="0"/>
              <w:jc w:val="center"/>
            </w:pPr>
            <w:r>
              <w:t>-</w:t>
            </w:r>
          </w:p>
        </w:tc>
      </w:tr>
      <w:tr w:rsidR="001F275B" w:rsidRPr="002A770B" w14:paraId="13933EE2" w14:textId="77777777" w:rsidTr="00F071F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D8572D5" w14:textId="77777777" w:rsidR="001F275B" w:rsidRPr="002A770B" w:rsidRDefault="001F275B" w:rsidP="00F071FF">
            <w:pPr>
              <w:pStyle w:val="In-tableHeading"/>
              <w:keepLines/>
              <w:rPr>
                <w:lang w:val="en-AU"/>
              </w:rPr>
            </w:pPr>
            <w:r w:rsidRPr="002A770B">
              <w:rPr>
                <w:lang w:val="en-AU"/>
              </w:rPr>
              <w:t>Overall survival in ANDROMEDA (median duration of follow-up: 11.4 months)</w:t>
            </w:r>
            <w:r w:rsidR="00995FAC" w:rsidRPr="002A770B">
              <w:rPr>
                <w:lang w:val="en-AU"/>
              </w:rPr>
              <w:t xml:space="preserve"> – intention to treat population</w:t>
            </w:r>
          </w:p>
        </w:tc>
      </w:tr>
      <w:tr w:rsidR="008819AA" w:rsidRPr="002A770B" w14:paraId="4F990512" w14:textId="77777777" w:rsidTr="00251104">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12E00DFD" w14:textId="77777777" w:rsidR="008819AA" w:rsidRPr="002A770B" w:rsidRDefault="008819AA" w:rsidP="00F071FF">
            <w:pPr>
              <w:pStyle w:val="TableText0"/>
              <w:keepLines/>
              <w:widowControl w:val="0"/>
            </w:pPr>
            <w:r w:rsidRPr="002A770B">
              <w:t>Deaths, n/N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38856AFE" w14:textId="77777777" w:rsidR="008819AA" w:rsidRPr="002A770B" w:rsidRDefault="008819AA" w:rsidP="00F071FF">
            <w:pPr>
              <w:pStyle w:val="TableText0"/>
              <w:keepLines/>
              <w:widowControl w:val="0"/>
              <w:jc w:val="center"/>
            </w:pPr>
            <w:r w:rsidRPr="002A770B">
              <w:t>27/195 (14%)</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71666212" w14:textId="77777777" w:rsidR="008819AA" w:rsidRPr="002A770B" w:rsidRDefault="008819AA" w:rsidP="00F071FF">
            <w:pPr>
              <w:pStyle w:val="TableText0"/>
              <w:keepLines/>
              <w:widowControl w:val="0"/>
              <w:jc w:val="center"/>
            </w:pPr>
            <w:r w:rsidRPr="002A770B">
              <w:t>29/193 (15%)</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7FCD3788" w14:textId="77777777" w:rsidR="008819AA" w:rsidRPr="002A770B" w:rsidRDefault="008819AA" w:rsidP="00F071FF">
            <w:pPr>
              <w:pStyle w:val="TableText0"/>
              <w:keepLines/>
              <w:widowControl w:val="0"/>
              <w:jc w:val="center"/>
            </w:pPr>
            <w:r>
              <w:t>-</w:t>
            </w:r>
          </w:p>
        </w:tc>
        <w:tc>
          <w:tcPr>
            <w:tcW w:w="837" w:type="pct"/>
            <w:vMerge w:val="restart"/>
            <w:tcBorders>
              <w:top w:val="single" w:sz="4" w:space="0" w:color="auto"/>
              <w:left w:val="single" w:sz="4" w:space="0" w:color="auto"/>
              <w:right w:val="single" w:sz="4" w:space="0" w:color="auto"/>
            </w:tcBorders>
            <w:shd w:val="clear" w:color="auto" w:fill="auto"/>
            <w:vAlign w:val="center"/>
          </w:tcPr>
          <w:p w14:paraId="7ED86B4A" w14:textId="77777777" w:rsidR="008819AA" w:rsidRPr="002A770B" w:rsidRDefault="008819AA" w:rsidP="00F071FF">
            <w:pPr>
              <w:pStyle w:val="TableText0"/>
              <w:keepLines/>
              <w:widowControl w:val="0"/>
              <w:jc w:val="center"/>
            </w:pPr>
            <w:r w:rsidRPr="002A770B">
              <w:rPr>
                <w:rFonts w:cs="Calibri"/>
                <w:color w:val="000000"/>
                <w:szCs w:val="20"/>
              </w:rPr>
              <w:t>0.90 (0.53, 1.53)</w:t>
            </w:r>
          </w:p>
        </w:tc>
      </w:tr>
      <w:tr w:rsidR="008819AA" w:rsidRPr="002A770B" w14:paraId="7A05BC14" w14:textId="77777777" w:rsidTr="00251104">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3C6461E0" w14:textId="77777777" w:rsidR="008819AA" w:rsidRPr="002A770B" w:rsidRDefault="008819AA" w:rsidP="00F071FF">
            <w:pPr>
              <w:pStyle w:val="TableText0"/>
              <w:keepLines/>
              <w:widowControl w:val="0"/>
            </w:pPr>
            <w:r w:rsidRPr="002A770B">
              <w:t>Median months OS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20B9C26" w14:textId="77777777" w:rsidR="008819AA" w:rsidRPr="002A770B" w:rsidRDefault="008819AA" w:rsidP="00F071FF">
            <w:pPr>
              <w:pStyle w:val="TableText0"/>
              <w:keepLines/>
              <w:widowControl w:val="0"/>
              <w:jc w:val="center"/>
              <w:rPr>
                <w:rFonts w:cs="Times New Roman"/>
                <w:szCs w:val="20"/>
              </w:rPr>
            </w:pPr>
            <w:r w:rsidRPr="002A770B">
              <w:t>NE (NE, NE)</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42724C79" w14:textId="77777777" w:rsidR="008819AA" w:rsidRPr="002A770B" w:rsidRDefault="008819AA" w:rsidP="00F071FF">
            <w:pPr>
              <w:pStyle w:val="TableText0"/>
              <w:keepLines/>
              <w:widowControl w:val="0"/>
              <w:jc w:val="center"/>
              <w:rPr>
                <w:rFonts w:cs="Times New Roman"/>
                <w:szCs w:val="20"/>
              </w:rPr>
            </w:pPr>
            <w:r w:rsidRPr="002A770B">
              <w:t>NE (</w:t>
            </w:r>
            <w:r w:rsidR="00251104">
              <w:t>NE</w:t>
            </w:r>
            <w:r w:rsidRPr="002A770B">
              <w:t>, NE)</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35ECA2BD" w14:textId="77777777" w:rsidR="008819AA" w:rsidRPr="002A770B" w:rsidRDefault="008819AA" w:rsidP="00F071FF">
            <w:pPr>
              <w:pStyle w:val="TableText0"/>
              <w:keepLines/>
              <w:widowControl w:val="0"/>
              <w:jc w:val="center"/>
            </w:pPr>
            <w:r w:rsidRPr="002A770B">
              <w:t>NE</w:t>
            </w:r>
          </w:p>
        </w:tc>
        <w:tc>
          <w:tcPr>
            <w:tcW w:w="837" w:type="pct"/>
            <w:vMerge/>
            <w:tcBorders>
              <w:left w:val="single" w:sz="4" w:space="0" w:color="auto"/>
              <w:bottom w:val="nil"/>
              <w:right w:val="single" w:sz="4" w:space="0" w:color="auto"/>
            </w:tcBorders>
            <w:shd w:val="clear" w:color="auto" w:fill="auto"/>
            <w:vAlign w:val="center"/>
          </w:tcPr>
          <w:p w14:paraId="522BEBE6" w14:textId="77777777" w:rsidR="008819AA" w:rsidRPr="002A770B" w:rsidRDefault="008819AA" w:rsidP="00F071FF">
            <w:pPr>
              <w:pStyle w:val="TableText0"/>
              <w:keepLines/>
              <w:widowControl w:val="0"/>
              <w:jc w:val="center"/>
              <w:rPr>
                <w:szCs w:val="20"/>
              </w:rPr>
            </w:pPr>
          </w:p>
        </w:tc>
      </w:tr>
      <w:tr w:rsidR="00E16B7A" w:rsidRPr="002A770B" w14:paraId="641318F1" w14:textId="77777777" w:rsidTr="00E16B7A">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90D5030" w14:textId="77777777" w:rsidR="00E16B7A" w:rsidRPr="002A770B" w:rsidRDefault="00E16B7A" w:rsidP="00E16B7A">
            <w:pPr>
              <w:pStyle w:val="TableText0"/>
              <w:keepLines/>
              <w:widowControl w:val="0"/>
            </w:pPr>
            <w:r w:rsidRPr="002A770B">
              <w:t>% alive at 6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ECA2445" w14:textId="77777777" w:rsidR="00E16B7A" w:rsidRPr="002A770B" w:rsidRDefault="00251104" w:rsidP="00E16B7A">
            <w:pPr>
              <w:pStyle w:val="TableText0"/>
              <w:keepLines/>
              <w:widowControl w:val="0"/>
              <w:jc w:val="center"/>
            </w:pPr>
            <w:r>
              <w:rPr>
                <w:rFonts w:cs="Arial"/>
              </w:rPr>
              <w:t>87% (81%, 91%)</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4BDE34F2" w14:textId="77777777" w:rsidR="00E16B7A" w:rsidRPr="002A770B" w:rsidRDefault="00251104" w:rsidP="00E16B7A">
            <w:pPr>
              <w:pStyle w:val="TableText0"/>
              <w:keepLines/>
              <w:widowControl w:val="0"/>
              <w:jc w:val="center"/>
            </w:pPr>
            <w:r>
              <w:t>89% (83%, 93%)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26A20580" w14:textId="77777777" w:rsidR="00E16B7A" w:rsidRPr="002A770B" w:rsidRDefault="00E16B7A" w:rsidP="00E16B7A">
            <w:pPr>
              <w:pStyle w:val="TableText0"/>
              <w:keepLines/>
              <w:widowControl w:val="0"/>
              <w:jc w:val="center"/>
            </w:pPr>
            <w:r w:rsidRPr="002A770B" w:rsidDel="00527B6B">
              <w:rPr>
                <w:rFonts w:cs="Arial"/>
              </w:rPr>
              <w:t>-2</w:t>
            </w:r>
            <w:r w:rsidRPr="002A770B">
              <w:rPr>
                <w:rFonts w:cs="Arial"/>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0B9D452" w14:textId="77777777" w:rsidR="00E16B7A" w:rsidRPr="002A770B" w:rsidRDefault="008819AA" w:rsidP="00E16B7A">
            <w:pPr>
              <w:pStyle w:val="TableText0"/>
              <w:keepLines/>
              <w:widowControl w:val="0"/>
              <w:jc w:val="center"/>
              <w:rPr>
                <w:szCs w:val="20"/>
              </w:rPr>
            </w:pPr>
            <w:r>
              <w:rPr>
                <w:szCs w:val="20"/>
              </w:rPr>
              <w:t>-</w:t>
            </w:r>
          </w:p>
        </w:tc>
      </w:tr>
      <w:tr w:rsidR="00E16B7A" w:rsidRPr="002A770B" w14:paraId="28A97891" w14:textId="77777777" w:rsidTr="00E16B7A">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BB0B682" w14:textId="77777777" w:rsidR="00E16B7A" w:rsidRPr="002A770B" w:rsidRDefault="00E16B7A" w:rsidP="00E16B7A">
            <w:pPr>
              <w:pStyle w:val="TableText0"/>
              <w:keepLines/>
              <w:widowControl w:val="0"/>
            </w:pPr>
            <w:r w:rsidRPr="002A770B">
              <w:t>% alive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55674B7" w14:textId="77777777" w:rsidR="00E16B7A" w:rsidRPr="002A770B" w:rsidRDefault="00E16B7A" w:rsidP="00E16B7A">
            <w:pPr>
              <w:pStyle w:val="TableText0"/>
              <w:keepLines/>
              <w:widowControl w:val="0"/>
              <w:jc w:val="center"/>
            </w:pPr>
            <w:r w:rsidRPr="002A770B">
              <w:rPr>
                <w:rFonts w:cs="Arial"/>
              </w:rPr>
              <w:t>86% (80%, 90%)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70C86200" w14:textId="77777777" w:rsidR="00E16B7A" w:rsidRPr="002A770B" w:rsidRDefault="00251104" w:rsidP="00E16B7A">
            <w:pPr>
              <w:pStyle w:val="TableText0"/>
              <w:keepLines/>
              <w:widowControl w:val="0"/>
              <w:jc w:val="center"/>
            </w:pPr>
            <w:r>
              <w:rPr>
                <w:rFonts w:cs="Arial"/>
              </w:rPr>
              <w:t>86% (79%, 90%)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52648BD1" w14:textId="77777777" w:rsidR="00E16B7A" w:rsidRPr="002A770B" w:rsidRDefault="00251104" w:rsidP="00E16B7A">
            <w:pPr>
              <w:pStyle w:val="TableText0"/>
              <w:keepLines/>
              <w:widowControl w:val="0"/>
              <w:jc w:val="center"/>
            </w:pPr>
            <w:r>
              <w:rPr>
                <w:rFonts w:cs="Arial"/>
              </w:rPr>
              <w:t>0</w:t>
            </w:r>
            <w:r w:rsidR="00E16B7A" w:rsidRPr="002A770B">
              <w:rPr>
                <w:rFonts w:cs="Arial"/>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654A777" w14:textId="77777777" w:rsidR="00E16B7A" w:rsidRPr="002A770B" w:rsidRDefault="008819AA" w:rsidP="00E16B7A">
            <w:pPr>
              <w:pStyle w:val="TableText0"/>
              <w:keepLines/>
              <w:widowControl w:val="0"/>
              <w:jc w:val="center"/>
              <w:rPr>
                <w:szCs w:val="20"/>
              </w:rPr>
            </w:pPr>
            <w:r>
              <w:rPr>
                <w:szCs w:val="20"/>
              </w:rPr>
              <w:t>-</w:t>
            </w:r>
          </w:p>
        </w:tc>
      </w:tr>
    </w:tbl>
    <w:tbl>
      <w:tblPr>
        <w:tblW w:w="5000" w:type="pct"/>
        <w:tblLayout w:type="fixed"/>
        <w:tblCellMar>
          <w:left w:w="28" w:type="dxa"/>
          <w:right w:w="28" w:type="dxa"/>
        </w:tblCellMar>
        <w:tblLook w:val="04A0" w:firstRow="1" w:lastRow="0" w:firstColumn="1" w:lastColumn="0" w:noHBand="0" w:noVBand="1"/>
        <w:tblCaption w:val="Table 12: Summary of comparative benefits and harms for daratumumab SC + CyBorD versus CyBorD"/>
      </w:tblPr>
      <w:tblGrid>
        <w:gridCol w:w="2405"/>
        <w:gridCol w:w="994"/>
        <w:gridCol w:w="994"/>
        <w:gridCol w:w="1273"/>
        <w:gridCol w:w="922"/>
        <w:gridCol w:w="923"/>
        <w:gridCol w:w="1506"/>
      </w:tblGrid>
      <w:tr w:rsidR="001F275B" w:rsidRPr="002A770B" w14:paraId="29B1A840" w14:textId="77777777" w:rsidTr="00F071FF">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088321BB" w14:textId="77777777" w:rsidR="001F275B" w:rsidRPr="002A770B" w:rsidRDefault="001F275B" w:rsidP="00F071FF">
            <w:pPr>
              <w:pStyle w:val="In-tableHeading"/>
              <w:keepLines/>
              <w:rPr>
                <w:lang w:val="en-AU"/>
              </w:rPr>
            </w:pPr>
            <w:r w:rsidRPr="002A770B">
              <w:rPr>
                <w:lang w:val="en-AU"/>
              </w:rPr>
              <w:t xml:space="preserve">Harms reported in ANDROMEDA (median duration </w:t>
            </w:r>
            <w:r w:rsidR="00E16B7A" w:rsidRPr="002A770B">
              <w:rPr>
                <w:lang w:val="en-AU"/>
              </w:rPr>
              <w:t xml:space="preserve">of treatment </w:t>
            </w:r>
            <w:r w:rsidRPr="002A770B">
              <w:rPr>
                <w:lang w:val="en-AU"/>
              </w:rPr>
              <w:t>in the daratumumab SC + CyBorD arm = 9.6 months vs. CyBorD arm = 5.3 months).</w:t>
            </w:r>
          </w:p>
        </w:tc>
      </w:tr>
      <w:tr w:rsidR="001F275B" w:rsidRPr="002A770B" w14:paraId="11507F8D" w14:textId="77777777" w:rsidTr="00F071FF">
        <w:trPr>
          <w:trHeight w:val="70"/>
        </w:trPr>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6443" w14:textId="77777777" w:rsidR="001F275B" w:rsidRPr="002A770B" w:rsidRDefault="001F275B" w:rsidP="00F071FF">
            <w:pPr>
              <w:pStyle w:val="In-tableHeading"/>
              <w:keepLines/>
              <w:rPr>
                <w:lang w:val="en-AU"/>
              </w:rPr>
            </w:pPr>
            <w:r w:rsidRPr="002A770B">
              <w:rPr>
                <w:lang w:val="en-AU"/>
              </w:rPr>
              <w:t>Adverse Event</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01631CFC" w14:textId="77777777" w:rsidR="001F275B" w:rsidRPr="002A770B" w:rsidRDefault="001F275B" w:rsidP="00F071FF">
            <w:pPr>
              <w:pStyle w:val="In-tableHeading"/>
              <w:keepLines/>
              <w:jc w:val="center"/>
              <w:rPr>
                <w:lang w:val="en-AU"/>
              </w:rPr>
            </w:pPr>
            <w:r w:rsidRPr="002A770B">
              <w:rPr>
                <w:lang w:val="en-AU"/>
              </w:rPr>
              <w:t>Dara + CyBorD</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25B9D54" w14:textId="77777777" w:rsidR="001F275B" w:rsidRPr="002A770B" w:rsidRDefault="001F275B" w:rsidP="00F071FF">
            <w:pPr>
              <w:pStyle w:val="In-tableHeading"/>
              <w:keepLines/>
              <w:jc w:val="center"/>
              <w:rPr>
                <w:lang w:val="en-AU"/>
              </w:rPr>
            </w:pPr>
            <w:r w:rsidRPr="002A770B">
              <w:rPr>
                <w:lang w:val="en-AU"/>
              </w:rPr>
              <w:t>CyBorD</w:t>
            </w:r>
          </w:p>
        </w:tc>
        <w:tc>
          <w:tcPr>
            <w:tcW w:w="706" w:type="pct"/>
            <w:vMerge w:val="restart"/>
            <w:tcBorders>
              <w:top w:val="single" w:sz="4" w:space="0" w:color="auto"/>
              <w:left w:val="single" w:sz="4" w:space="0" w:color="auto"/>
              <w:bottom w:val="single" w:sz="4" w:space="0" w:color="auto"/>
              <w:right w:val="single" w:sz="4" w:space="0" w:color="auto"/>
            </w:tcBorders>
            <w:vAlign w:val="center"/>
          </w:tcPr>
          <w:p w14:paraId="1FAF78AF" w14:textId="77777777" w:rsidR="001F275B" w:rsidRPr="002A770B" w:rsidRDefault="001F275B" w:rsidP="00F071FF">
            <w:pPr>
              <w:pStyle w:val="In-tableHeading"/>
              <w:keepLines/>
              <w:jc w:val="center"/>
              <w:rPr>
                <w:lang w:val="en-AU"/>
              </w:rPr>
            </w:pPr>
            <w:r w:rsidRPr="002A770B">
              <w:rPr>
                <w:lang w:val="en-AU"/>
              </w:rPr>
              <w:t>RR</w:t>
            </w:r>
          </w:p>
          <w:p w14:paraId="29B5965C" w14:textId="77777777" w:rsidR="001F275B" w:rsidRPr="002A770B" w:rsidRDefault="001F275B" w:rsidP="00F071FF">
            <w:pPr>
              <w:pStyle w:val="In-tableHeading"/>
              <w:keepLines/>
              <w:jc w:val="center"/>
              <w:rPr>
                <w:lang w:val="en-AU"/>
              </w:rPr>
            </w:pPr>
            <w:r w:rsidRPr="002A770B">
              <w:rPr>
                <w:lang w:val="en-AU"/>
              </w:rPr>
              <w:t>(95% CI)</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36561785" w14:textId="77777777" w:rsidR="001F275B" w:rsidRPr="002A770B" w:rsidRDefault="001F275B" w:rsidP="00E16B7A">
            <w:pPr>
              <w:pStyle w:val="In-tableHeading"/>
              <w:keepLines/>
              <w:jc w:val="center"/>
              <w:rPr>
                <w:lang w:val="en-AU"/>
              </w:rPr>
            </w:pPr>
            <w:r w:rsidRPr="002A770B">
              <w:rPr>
                <w:lang w:val="en-AU"/>
              </w:rPr>
              <w:t>Event rate/100 patients</w:t>
            </w:r>
          </w:p>
        </w:tc>
        <w:tc>
          <w:tcPr>
            <w:tcW w:w="835" w:type="pct"/>
            <w:vMerge w:val="restart"/>
            <w:tcBorders>
              <w:top w:val="single" w:sz="4" w:space="0" w:color="auto"/>
              <w:left w:val="single" w:sz="4" w:space="0" w:color="auto"/>
              <w:bottom w:val="single" w:sz="4" w:space="0" w:color="auto"/>
              <w:right w:val="single" w:sz="4" w:space="0" w:color="auto"/>
            </w:tcBorders>
            <w:vAlign w:val="center"/>
          </w:tcPr>
          <w:p w14:paraId="1FD129D4" w14:textId="77777777" w:rsidR="001F275B" w:rsidRPr="002A770B" w:rsidRDefault="001F275B" w:rsidP="00F071FF">
            <w:pPr>
              <w:pStyle w:val="In-tableHeading"/>
              <w:keepLines/>
              <w:jc w:val="center"/>
              <w:rPr>
                <w:lang w:val="en-AU"/>
              </w:rPr>
            </w:pPr>
            <w:r w:rsidRPr="002A770B">
              <w:rPr>
                <w:lang w:val="en-AU"/>
              </w:rPr>
              <w:t>RD</w:t>
            </w:r>
          </w:p>
          <w:p w14:paraId="363E5BB2" w14:textId="77777777" w:rsidR="001F275B" w:rsidRPr="002A770B" w:rsidRDefault="001F275B" w:rsidP="00F071FF">
            <w:pPr>
              <w:pStyle w:val="In-tableHeading"/>
              <w:keepLines/>
              <w:jc w:val="center"/>
              <w:rPr>
                <w:lang w:val="en-AU"/>
              </w:rPr>
            </w:pPr>
            <w:r w:rsidRPr="002A770B">
              <w:rPr>
                <w:lang w:val="en-AU"/>
              </w:rPr>
              <w:t>(95% CI)</w:t>
            </w:r>
          </w:p>
        </w:tc>
      </w:tr>
      <w:tr w:rsidR="001F275B" w:rsidRPr="002A770B" w14:paraId="06639FDE" w14:textId="77777777" w:rsidTr="00F071FF">
        <w:trPr>
          <w:trHeight w:val="390"/>
        </w:trPr>
        <w:tc>
          <w:tcPr>
            <w:tcW w:w="13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3A0D6D" w14:textId="77777777" w:rsidR="001F275B" w:rsidRPr="002A770B" w:rsidRDefault="001F275B" w:rsidP="00F071FF">
            <w:pPr>
              <w:pStyle w:val="In-tableHeading"/>
              <w:keepLines/>
              <w:rPr>
                <w:lang w:val="en-AU"/>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4621FA32" w14:textId="77777777" w:rsidR="001F275B" w:rsidRPr="002A770B" w:rsidRDefault="001F275B" w:rsidP="00F071FF">
            <w:pPr>
              <w:pStyle w:val="In-tableHeading"/>
              <w:keepLines/>
              <w:rPr>
                <w:lang w:val="en-AU"/>
              </w:rPr>
            </w:pPr>
          </w:p>
        </w:tc>
        <w:tc>
          <w:tcPr>
            <w:tcW w:w="551" w:type="pct"/>
            <w:vMerge/>
            <w:tcBorders>
              <w:top w:val="single" w:sz="4" w:space="0" w:color="auto"/>
              <w:left w:val="single" w:sz="4" w:space="0" w:color="auto"/>
              <w:bottom w:val="single" w:sz="4" w:space="0" w:color="auto"/>
              <w:right w:val="single" w:sz="4" w:space="0" w:color="auto"/>
            </w:tcBorders>
            <w:vAlign w:val="center"/>
          </w:tcPr>
          <w:p w14:paraId="208823B6" w14:textId="77777777" w:rsidR="001F275B" w:rsidRPr="002A770B" w:rsidRDefault="001F275B" w:rsidP="00F071FF">
            <w:pPr>
              <w:pStyle w:val="In-tableHeading"/>
              <w:keepLines/>
              <w:rPr>
                <w:lang w:val="en-AU"/>
              </w:rPr>
            </w:pPr>
          </w:p>
        </w:tc>
        <w:tc>
          <w:tcPr>
            <w:tcW w:w="706" w:type="pct"/>
            <w:vMerge/>
            <w:tcBorders>
              <w:top w:val="single" w:sz="4" w:space="0" w:color="auto"/>
              <w:left w:val="single" w:sz="4" w:space="0" w:color="auto"/>
              <w:bottom w:val="single" w:sz="4" w:space="0" w:color="auto"/>
              <w:right w:val="single" w:sz="4" w:space="0" w:color="auto"/>
            </w:tcBorders>
            <w:vAlign w:val="center"/>
          </w:tcPr>
          <w:p w14:paraId="21CEC4E7" w14:textId="77777777" w:rsidR="001F275B" w:rsidRPr="002A770B" w:rsidRDefault="001F275B" w:rsidP="00F071FF">
            <w:pPr>
              <w:pStyle w:val="In-tableHeading"/>
              <w:keepLines/>
              <w:rPr>
                <w:lang w:val="en-AU"/>
              </w:rPr>
            </w:pPr>
          </w:p>
        </w:tc>
        <w:tc>
          <w:tcPr>
            <w:tcW w:w="511" w:type="pct"/>
            <w:tcBorders>
              <w:top w:val="single" w:sz="4" w:space="0" w:color="auto"/>
              <w:left w:val="single" w:sz="4" w:space="0" w:color="auto"/>
              <w:bottom w:val="single" w:sz="4" w:space="0" w:color="auto"/>
              <w:right w:val="single" w:sz="4" w:space="0" w:color="auto"/>
            </w:tcBorders>
            <w:vAlign w:val="center"/>
          </w:tcPr>
          <w:p w14:paraId="146485D9" w14:textId="77777777" w:rsidR="001F275B" w:rsidRPr="002A770B" w:rsidRDefault="001F275B" w:rsidP="00F071FF">
            <w:pPr>
              <w:pStyle w:val="In-tableHeading"/>
              <w:keepLines/>
              <w:jc w:val="center"/>
              <w:rPr>
                <w:lang w:val="en-AU"/>
              </w:rPr>
            </w:pPr>
            <w:r w:rsidRPr="002A770B">
              <w:rPr>
                <w:lang w:val="en-AU"/>
              </w:rPr>
              <w:t>Dara + CyBorD</w:t>
            </w:r>
          </w:p>
        </w:tc>
        <w:tc>
          <w:tcPr>
            <w:tcW w:w="512" w:type="pct"/>
            <w:tcBorders>
              <w:top w:val="single" w:sz="4" w:space="0" w:color="auto"/>
              <w:left w:val="single" w:sz="4" w:space="0" w:color="auto"/>
              <w:bottom w:val="single" w:sz="4" w:space="0" w:color="auto"/>
              <w:right w:val="single" w:sz="4" w:space="0" w:color="auto"/>
            </w:tcBorders>
            <w:vAlign w:val="center"/>
          </w:tcPr>
          <w:p w14:paraId="6F6F8496" w14:textId="77777777" w:rsidR="001F275B" w:rsidRPr="002A770B" w:rsidRDefault="001F275B" w:rsidP="00F071FF">
            <w:pPr>
              <w:pStyle w:val="In-tableHeading"/>
              <w:keepLines/>
              <w:jc w:val="center"/>
              <w:rPr>
                <w:lang w:val="en-AU"/>
              </w:rPr>
            </w:pPr>
            <w:r w:rsidRPr="002A770B">
              <w:rPr>
                <w:lang w:val="en-AU"/>
              </w:rPr>
              <w:t>CyBorD</w:t>
            </w:r>
          </w:p>
        </w:tc>
        <w:tc>
          <w:tcPr>
            <w:tcW w:w="835" w:type="pct"/>
            <w:vMerge/>
            <w:tcBorders>
              <w:top w:val="single" w:sz="4" w:space="0" w:color="auto"/>
              <w:left w:val="single" w:sz="4" w:space="0" w:color="auto"/>
              <w:bottom w:val="single" w:sz="4" w:space="0" w:color="auto"/>
              <w:right w:val="single" w:sz="4" w:space="0" w:color="auto"/>
            </w:tcBorders>
            <w:vAlign w:val="center"/>
          </w:tcPr>
          <w:p w14:paraId="243E5585" w14:textId="77777777" w:rsidR="001F275B" w:rsidRPr="002A770B" w:rsidRDefault="001F275B" w:rsidP="00F071FF">
            <w:pPr>
              <w:pStyle w:val="In-tableHeading"/>
              <w:keepLines/>
              <w:rPr>
                <w:lang w:val="en-AU"/>
              </w:rPr>
            </w:pPr>
          </w:p>
        </w:tc>
      </w:tr>
      <w:tr w:rsidR="001F275B" w:rsidRPr="002A770B" w14:paraId="20BAB5DF"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36F8C53E" w14:textId="77777777" w:rsidR="001F275B" w:rsidRPr="002A770B" w:rsidRDefault="001F275B" w:rsidP="00F071FF">
            <w:pPr>
              <w:pStyle w:val="TableText0"/>
              <w:keepLines/>
              <w:rPr>
                <w:szCs w:val="20"/>
              </w:rPr>
            </w:pPr>
            <w:r w:rsidRPr="002A770B">
              <w:rPr>
                <w:szCs w:val="20"/>
              </w:rPr>
              <w:t>Any serious TEAE</w:t>
            </w:r>
          </w:p>
        </w:tc>
        <w:tc>
          <w:tcPr>
            <w:tcW w:w="551" w:type="pct"/>
            <w:tcBorders>
              <w:top w:val="single" w:sz="4" w:space="0" w:color="auto"/>
              <w:left w:val="single" w:sz="4" w:space="0" w:color="auto"/>
              <w:bottom w:val="single" w:sz="4" w:space="0" w:color="auto"/>
              <w:right w:val="single" w:sz="4" w:space="0" w:color="auto"/>
            </w:tcBorders>
            <w:vAlign w:val="center"/>
          </w:tcPr>
          <w:p w14:paraId="00B39AD8" w14:textId="77777777" w:rsidR="001F275B" w:rsidRPr="002A770B" w:rsidRDefault="001F275B" w:rsidP="00F071FF">
            <w:pPr>
              <w:pStyle w:val="TableText0"/>
              <w:keepLines/>
              <w:jc w:val="center"/>
              <w:rPr>
                <w:szCs w:val="20"/>
              </w:rPr>
            </w:pPr>
            <w:r w:rsidRPr="002A770B">
              <w:rPr>
                <w:szCs w:val="20"/>
              </w:rPr>
              <w:t>83/193</w:t>
            </w:r>
          </w:p>
        </w:tc>
        <w:tc>
          <w:tcPr>
            <w:tcW w:w="551" w:type="pct"/>
            <w:tcBorders>
              <w:top w:val="single" w:sz="4" w:space="0" w:color="auto"/>
              <w:left w:val="single" w:sz="4" w:space="0" w:color="auto"/>
              <w:bottom w:val="single" w:sz="4" w:space="0" w:color="auto"/>
              <w:right w:val="single" w:sz="4" w:space="0" w:color="auto"/>
            </w:tcBorders>
            <w:vAlign w:val="center"/>
          </w:tcPr>
          <w:p w14:paraId="0547F03E" w14:textId="77777777" w:rsidR="001F275B" w:rsidRPr="002A770B" w:rsidRDefault="001F275B" w:rsidP="00F071FF">
            <w:pPr>
              <w:pStyle w:val="TableText0"/>
              <w:keepLines/>
              <w:jc w:val="center"/>
              <w:rPr>
                <w:szCs w:val="20"/>
              </w:rPr>
            </w:pPr>
            <w:r w:rsidRPr="002A770B">
              <w:rPr>
                <w:szCs w:val="20"/>
              </w:rPr>
              <w:t>68/188</w:t>
            </w:r>
          </w:p>
        </w:tc>
        <w:tc>
          <w:tcPr>
            <w:tcW w:w="706" w:type="pct"/>
            <w:tcBorders>
              <w:top w:val="single" w:sz="4" w:space="0" w:color="auto"/>
              <w:left w:val="single" w:sz="4" w:space="0" w:color="auto"/>
              <w:bottom w:val="single" w:sz="4" w:space="0" w:color="auto"/>
              <w:right w:val="single" w:sz="4" w:space="0" w:color="auto"/>
            </w:tcBorders>
            <w:vAlign w:val="center"/>
          </w:tcPr>
          <w:p w14:paraId="33D82E9A" w14:textId="77777777" w:rsidR="001F275B" w:rsidRPr="002A770B" w:rsidRDefault="001F275B" w:rsidP="00F071FF">
            <w:pPr>
              <w:pStyle w:val="TableText0"/>
              <w:keepLines/>
              <w:jc w:val="center"/>
            </w:pPr>
            <w:r w:rsidRPr="002A770B">
              <w:t>1.19 (0.79, 1.8)</w:t>
            </w:r>
          </w:p>
        </w:tc>
        <w:tc>
          <w:tcPr>
            <w:tcW w:w="511" w:type="pct"/>
            <w:tcBorders>
              <w:top w:val="single" w:sz="4" w:space="0" w:color="auto"/>
              <w:left w:val="single" w:sz="4" w:space="0" w:color="auto"/>
              <w:bottom w:val="single" w:sz="4" w:space="0" w:color="auto"/>
              <w:right w:val="single" w:sz="4" w:space="0" w:color="auto"/>
            </w:tcBorders>
            <w:vAlign w:val="center"/>
          </w:tcPr>
          <w:p w14:paraId="07809223" w14:textId="77777777" w:rsidR="001F275B" w:rsidRPr="002A770B" w:rsidRDefault="001F275B" w:rsidP="00F071FF">
            <w:pPr>
              <w:pStyle w:val="TableText0"/>
              <w:keepLines/>
              <w:jc w:val="center"/>
            </w:pPr>
            <w:r w:rsidRPr="002A770B">
              <w:t>43.0</w:t>
            </w:r>
          </w:p>
        </w:tc>
        <w:tc>
          <w:tcPr>
            <w:tcW w:w="512" w:type="pct"/>
            <w:tcBorders>
              <w:top w:val="single" w:sz="4" w:space="0" w:color="auto"/>
              <w:left w:val="single" w:sz="4" w:space="0" w:color="auto"/>
              <w:bottom w:val="single" w:sz="4" w:space="0" w:color="auto"/>
              <w:right w:val="single" w:sz="4" w:space="0" w:color="auto"/>
            </w:tcBorders>
            <w:vAlign w:val="center"/>
          </w:tcPr>
          <w:p w14:paraId="6A730824" w14:textId="77777777" w:rsidR="001F275B" w:rsidRPr="002A770B" w:rsidRDefault="001F275B" w:rsidP="00F071FF">
            <w:pPr>
              <w:pStyle w:val="TableText0"/>
              <w:keepLines/>
              <w:jc w:val="center"/>
            </w:pPr>
            <w:r w:rsidRPr="002A770B">
              <w:t>36.2</w:t>
            </w:r>
          </w:p>
        </w:tc>
        <w:tc>
          <w:tcPr>
            <w:tcW w:w="835" w:type="pct"/>
            <w:tcBorders>
              <w:top w:val="single" w:sz="4" w:space="0" w:color="auto"/>
              <w:left w:val="single" w:sz="4" w:space="0" w:color="auto"/>
              <w:bottom w:val="single" w:sz="4" w:space="0" w:color="auto"/>
              <w:right w:val="single" w:sz="4" w:space="0" w:color="auto"/>
            </w:tcBorders>
            <w:vAlign w:val="center"/>
          </w:tcPr>
          <w:p w14:paraId="5A0C30D8" w14:textId="77777777" w:rsidR="001F275B" w:rsidRPr="002A770B" w:rsidRDefault="001F275B" w:rsidP="00F071FF">
            <w:pPr>
              <w:pStyle w:val="TableText0"/>
              <w:keepLines/>
              <w:jc w:val="center"/>
            </w:pPr>
            <w:r w:rsidRPr="002A770B">
              <w:t>7% (-3%, 17%)</w:t>
            </w:r>
          </w:p>
        </w:tc>
      </w:tr>
      <w:tr w:rsidR="001F275B" w:rsidRPr="002A770B" w14:paraId="563796E2"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tcPr>
          <w:p w14:paraId="35DFF8F7" w14:textId="77777777" w:rsidR="001F275B" w:rsidRPr="002A770B" w:rsidRDefault="001F275B" w:rsidP="00F071FF">
            <w:pPr>
              <w:pStyle w:val="TableText0"/>
              <w:keepLines/>
              <w:rPr>
                <w:szCs w:val="20"/>
              </w:rPr>
            </w:pPr>
            <w:r w:rsidRPr="002A770B">
              <w:t>Patients with TEAE with the outcome resulting in death</w:t>
            </w:r>
          </w:p>
        </w:tc>
        <w:tc>
          <w:tcPr>
            <w:tcW w:w="551" w:type="pct"/>
            <w:tcBorders>
              <w:top w:val="single" w:sz="4" w:space="0" w:color="auto"/>
              <w:left w:val="single" w:sz="4" w:space="0" w:color="auto"/>
              <w:bottom w:val="single" w:sz="4" w:space="0" w:color="auto"/>
              <w:right w:val="single" w:sz="4" w:space="0" w:color="auto"/>
            </w:tcBorders>
            <w:vAlign w:val="center"/>
          </w:tcPr>
          <w:p w14:paraId="6C5EE41C" w14:textId="77777777" w:rsidR="001F275B" w:rsidRPr="002A770B" w:rsidRDefault="001F275B" w:rsidP="00F071FF">
            <w:pPr>
              <w:pStyle w:val="TableText0"/>
              <w:keepLines/>
              <w:jc w:val="center"/>
              <w:rPr>
                <w:szCs w:val="20"/>
              </w:rPr>
            </w:pPr>
            <w:r w:rsidRPr="002A770B">
              <w:rPr>
                <w:szCs w:val="20"/>
              </w:rPr>
              <w:t>22/193</w:t>
            </w:r>
          </w:p>
        </w:tc>
        <w:tc>
          <w:tcPr>
            <w:tcW w:w="551" w:type="pct"/>
            <w:tcBorders>
              <w:top w:val="single" w:sz="4" w:space="0" w:color="auto"/>
              <w:left w:val="single" w:sz="4" w:space="0" w:color="auto"/>
              <w:bottom w:val="single" w:sz="4" w:space="0" w:color="auto"/>
              <w:right w:val="single" w:sz="4" w:space="0" w:color="auto"/>
            </w:tcBorders>
            <w:vAlign w:val="center"/>
          </w:tcPr>
          <w:p w14:paraId="0F61F1D9" w14:textId="77777777" w:rsidR="001F275B" w:rsidRPr="002A770B" w:rsidRDefault="001F275B" w:rsidP="00F071FF">
            <w:pPr>
              <w:pStyle w:val="TableText0"/>
              <w:keepLines/>
              <w:jc w:val="center"/>
              <w:rPr>
                <w:szCs w:val="20"/>
              </w:rPr>
            </w:pPr>
            <w:r w:rsidRPr="002A770B">
              <w:rPr>
                <w:szCs w:val="20"/>
              </w:rPr>
              <w:t>15/188</w:t>
            </w:r>
          </w:p>
        </w:tc>
        <w:tc>
          <w:tcPr>
            <w:tcW w:w="706" w:type="pct"/>
            <w:tcBorders>
              <w:top w:val="single" w:sz="4" w:space="0" w:color="auto"/>
              <w:left w:val="single" w:sz="4" w:space="0" w:color="auto"/>
              <w:bottom w:val="single" w:sz="4" w:space="0" w:color="auto"/>
              <w:right w:val="single" w:sz="4" w:space="0" w:color="auto"/>
            </w:tcBorders>
            <w:vAlign w:val="center"/>
          </w:tcPr>
          <w:p w14:paraId="3B87C60F" w14:textId="77777777" w:rsidR="001F275B" w:rsidRPr="002A770B" w:rsidRDefault="001F275B" w:rsidP="00F071FF">
            <w:pPr>
              <w:pStyle w:val="TableText0"/>
              <w:keepLines/>
              <w:jc w:val="center"/>
            </w:pPr>
            <w:r w:rsidRPr="002A770B">
              <w:t>1.43 (0.72, 2.85)</w:t>
            </w:r>
          </w:p>
        </w:tc>
        <w:tc>
          <w:tcPr>
            <w:tcW w:w="511" w:type="pct"/>
            <w:tcBorders>
              <w:top w:val="single" w:sz="4" w:space="0" w:color="auto"/>
              <w:left w:val="single" w:sz="4" w:space="0" w:color="auto"/>
              <w:bottom w:val="single" w:sz="4" w:space="0" w:color="auto"/>
              <w:right w:val="single" w:sz="4" w:space="0" w:color="auto"/>
            </w:tcBorders>
            <w:vAlign w:val="center"/>
          </w:tcPr>
          <w:p w14:paraId="62C5F813" w14:textId="77777777" w:rsidR="001F275B" w:rsidRPr="002A770B" w:rsidRDefault="001F275B" w:rsidP="00F071FF">
            <w:pPr>
              <w:pStyle w:val="TableText0"/>
              <w:keepLines/>
              <w:jc w:val="center"/>
            </w:pPr>
            <w:r w:rsidRPr="002A770B">
              <w:t>11.4</w:t>
            </w:r>
          </w:p>
        </w:tc>
        <w:tc>
          <w:tcPr>
            <w:tcW w:w="512" w:type="pct"/>
            <w:tcBorders>
              <w:top w:val="single" w:sz="4" w:space="0" w:color="auto"/>
              <w:left w:val="single" w:sz="4" w:space="0" w:color="auto"/>
              <w:bottom w:val="single" w:sz="4" w:space="0" w:color="auto"/>
              <w:right w:val="single" w:sz="4" w:space="0" w:color="auto"/>
            </w:tcBorders>
            <w:vAlign w:val="center"/>
          </w:tcPr>
          <w:p w14:paraId="5FCAEDCE" w14:textId="77777777" w:rsidR="001F275B" w:rsidRPr="002A770B" w:rsidRDefault="001F275B" w:rsidP="00F071FF">
            <w:pPr>
              <w:pStyle w:val="TableText0"/>
              <w:keepLines/>
              <w:jc w:val="center"/>
            </w:pPr>
            <w:r w:rsidRPr="002A770B">
              <w:t>8.0</w:t>
            </w:r>
          </w:p>
        </w:tc>
        <w:tc>
          <w:tcPr>
            <w:tcW w:w="835" w:type="pct"/>
            <w:tcBorders>
              <w:top w:val="single" w:sz="4" w:space="0" w:color="auto"/>
              <w:left w:val="single" w:sz="4" w:space="0" w:color="auto"/>
              <w:bottom w:val="single" w:sz="4" w:space="0" w:color="auto"/>
              <w:right w:val="single" w:sz="4" w:space="0" w:color="auto"/>
            </w:tcBorders>
            <w:vAlign w:val="center"/>
          </w:tcPr>
          <w:p w14:paraId="0711F02D" w14:textId="77777777" w:rsidR="001F275B" w:rsidRPr="002A770B" w:rsidRDefault="001F275B" w:rsidP="00F071FF">
            <w:pPr>
              <w:pStyle w:val="TableText0"/>
              <w:keepLines/>
              <w:jc w:val="center"/>
            </w:pPr>
            <w:r w:rsidRPr="002A770B">
              <w:t>3% (-3%, 9%)</w:t>
            </w:r>
          </w:p>
        </w:tc>
      </w:tr>
      <w:tr w:rsidR="001F275B" w:rsidRPr="002A770B" w14:paraId="01F183A5"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tcPr>
          <w:p w14:paraId="2DA44035" w14:textId="77777777" w:rsidR="001F275B" w:rsidRPr="002A770B" w:rsidRDefault="001F275B" w:rsidP="00F071FF">
            <w:pPr>
              <w:pStyle w:val="TableText0"/>
              <w:keepLines/>
              <w:rPr>
                <w:szCs w:val="20"/>
              </w:rPr>
            </w:pPr>
            <w:r w:rsidRPr="002A770B">
              <w:t xml:space="preserve">Patients with &gt;1 TEAEs leading to treatment discontinuation </w:t>
            </w:r>
          </w:p>
        </w:tc>
        <w:tc>
          <w:tcPr>
            <w:tcW w:w="551" w:type="pct"/>
            <w:tcBorders>
              <w:top w:val="single" w:sz="4" w:space="0" w:color="auto"/>
              <w:left w:val="single" w:sz="4" w:space="0" w:color="auto"/>
              <w:bottom w:val="single" w:sz="4" w:space="0" w:color="auto"/>
              <w:right w:val="single" w:sz="4" w:space="0" w:color="auto"/>
            </w:tcBorders>
            <w:vAlign w:val="center"/>
          </w:tcPr>
          <w:p w14:paraId="113FFE82" w14:textId="77777777" w:rsidR="001F275B" w:rsidRPr="002A770B" w:rsidRDefault="001F275B" w:rsidP="00F071FF">
            <w:pPr>
              <w:pStyle w:val="TableText0"/>
              <w:keepLines/>
              <w:jc w:val="center"/>
              <w:rPr>
                <w:szCs w:val="20"/>
              </w:rPr>
            </w:pPr>
            <w:r w:rsidRPr="002A770B">
              <w:rPr>
                <w:szCs w:val="20"/>
              </w:rPr>
              <w:t>8/193</w:t>
            </w:r>
          </w:p>
        </w:tc>
        <w:tc>
          <w:tcPr>
            <w:tcW w:w="551" w:type="pct"/>
            <w:tcBorders>
              <w:top w:val="single" w:sz="4" w:space="0" w:color="auto"/>
              <w:left w:val="single" w:sz="4" w:space="0" w:color="auto"/>
              <w:bottom w:val="single" w:sz="4" w:space="0" w:color="auto"/>
              <w:right w:val="single" w:sz="4" w:space="0" w:color="auto"/>
            </w:tcBorders>
            <w:vAlign w:val="center"/>
          </w:tcPr>
          <w:p w14:paraId="5F137F1E" w14:textId="77777777" w:rsidR="001F275B" w:rsidRPr="002A770B" w:rsidRDefault="001F275B" w:rsidP="00F071FF">
            <w:pPr>
              <w:pStyle w:val="TableText0"/>
              <w:keepLines/>
              <w:jc w:val="center"/>
              <w:rPr>
                <w:szCs w:val="20"/>
              </w:rPr>
            </w:pPr>
            <w:r w:rsidRPr="002A770B">
              <w:rPr>
                <w:szCs w:val="20"/>
              </w:rPr>
              <w:t>8/188</w:t>
            </w:r>
          </w:p>
        </w:tc>
        <w:tc>
          <w:tcPr>
            <w:tcW w:w="706" w:type="pct"/>
            <w:tcBorders>
              <w:top w:val="single" w:sz="4" w:space="0" w:color="auto"/>
              <w:left w:val="single" w:sz="4" w:space="0" w:color="auto"/>
              <w:bottom w:val="single" w:sz="4" w:space="0" w:color="auto"/>
              <w:right w:val="single" w:sz="4" w:space="0" w:color="auto"/>
            </w:tcBorders>
            <w:vAlign w:val="center"/>
          </w:tcPr>
          <w:p w14:paraId="0A007D17" w14:textId="77777777" w:rsidR="001F275B" w:rsidRPr="002A770B" w:rsidRDefault="001F275B" w:rsidP="00F071FF">
            <w:pPr>
              <w:pStyle w:val="TableText0"/>
              <w:keepLines/>
              <w:jc w:val="center"/>
            </w:pPr>
            <w:r w:rsidRPr="002A770B">
              <w:t>0.97 (0.36, 2.65)</w:t>
            </w:r>
          </w:p>
        </w:tc>
        <w:tc>
          <w:tcPr>
            <w:tcW w:w="511" w:type="pct"/>
            <w:tcBorders>
              <w:top w:val="single" w:sz="4" w:space="0" w:color="auto"/>
              <w:left w:val="single" w:sz="4" w:space="0" w:color="auto"/>
              <w:bottom w:val="single" w:sz="4" w:space="0" w:color="auto"/>
              <w:right w:val="single" w:sz="4" w:space="0" w:color="auto"/>
            </w:tcBorders>
            <w:vAlign w:val="center"/>
          </w:tcPr>
          <w:p w14:paraId="4FCB9101" w14:textId="77777777" w:rsidR="001F275B" w:rsidRPr="002A770B" w:rsidRDefault="001F275B" w:rsidP="00F071FF">
            <w:pPr>
              <w:pStyle w:val="TableText0"/>
              <w:keepLines/>
              <w:jc w:val="center"/>
            </w:pPr>
            <w:r w:rsidRPr="002A770B">
              <w:t>4.2</w:t>
            </w:r>
          </w:p>
        </w:tc>
        <w:tc>
          <w:tcPr>
            <w:tcW w:w="512" w:type="pct"/>
            <w:tcBorders>
              <w:top w:val="single" w:sz="4" w:space="0" w:color="auto"/>
              <w:left w:val="single" w:sz="4" w:space="0" w:color="auto"/>
              <w:bottom w:val="single" w:sz="4" w:space="0" w:color="auto"/>
              <w:right w:val="single" w:sz="4" w:space="0" w:color="auto"/>
            </w:tcBorders>
            <w:vAlign w:val="center"/>
          </w:tcPr>
          <w:p w14:paraId="4F86AF4D" w14:textId="77777777" w:rsidR="001F275B" w:rsidRPr="002A770B" w:rsidRDefault="001F275B" w:rsidP="00F071FF">
            <w:pPr>
              <w:pStyle w:val="TableText0"/>
              <w:keepLines/>
              <w:jc w:val="center"/>
            </w:pPr>
            <w:r w:rsidRPr="002A770B">
              <w:t>4.3</w:t>
            </w:r>
          </w:p>
        </w:tc>
        <w:tc>
          <w:tcPr>
            <w:tcW w:w="835" w:type="pct"/>
            <w:tcBorders>
              <w:top w:val="single" w:sz="4" w:space="0" w:color="auto"/>
              <w:left w:val="single" w:sz="4" w:space="0" w:color="auto"/>
              <w:bottom w:val="single" w:sz="4" w:space="0" w:color="auto"/>
              <w:right w:val="single" w:sz="4" w:space="0" w:color="auto"/>
            </w:tcBorders>
            <w:vAlign w:val="center"/>
          </w:tcPr>
          <w:p w14:paraId="7CFFF1F0" w14:textId="77777777" w:rsidR="001F275B" w:rsidRPr="002A770B" w:rsidRDefault="001F275B" w:rsidP="00F071FF">
            <w:pPr>
              <w:pStyle w:val="TableText0"/>
              <w:keepLines/>
              <w:jc w:val="center"/>
            </w:pPr>
            <w:r w:rsidRPr="002A770B">
              <w:t>0% (-4%, 4%)</w:t>
            </w:r>
          </w:p>
        </w:tc>
      </w:tr>
      <w:tr w:rsidR="001F275B" w:rsidRPr="002A770B" w14:paraId="3B7856B0"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2954035F" w14:textId="77777777" w:rsidR="001F275B" w:rsidRPr="002A770B" w:rsidRDefault="001F275B" w:rsidP="00F071FF">
            <w:pPr>
              <w:pStyle w:val="TableText0"/>
              <w:keepLines/>
            </w:pPr>
            <w:r w:rsidRPr="002A770B">
              <w:rPr>
                <w:szCs w:val="20"/>
              </w:rPr>
              <w:t>Peripheral sensory neuropathy</w:t>
            </w:r>
          </w:p>
        </w:tc>
        <w:tc>
          <w:tcPr>
            <w:tcW w:w="551" w:type="pct"/>
            <w:tcBorders>
              <w:top w:val="single" w:sz="4" w:space="0" w:color="auto"/>
              <w:left w:val="single" w:sz="4" w:space="0" w:color="auto"/>
              <w:bottom w:val="single" w:sz="4" w:space="0" w:color="auto"/>
              <w:right w:val="single" w:sz="4" w:space="0" w:color="auto"/>
            </w:tcBorders>
            <w:vAlign w:val="center"/>
          </w:tcPr>
          <w:p w14:paraId="1712105C" w14:textId="77777777" w:rsidR="001F275B" w:rsidRPr="002A770B" w:rsidRDefault="001F275B" w:rsidP="00F071FF">
            <w:pPr>
              <w:pStyle w:val="TableText0"/>
              <w:keepLines/>
              <w:jc w:val="center"/>
            </w:pPr>
            <w:r w:rsidRPr="002A770B">
              <w:rPr>
                <w:szCs w:val="20"/>
              </w:rPr>
              <w:t>60</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2B0A506C" w14:textId="77777777" w:rsidR="001F275B" w:rsidRPr="002A770B" w:rsidRDefault="001F275B" w:rsidP="00F071FF">
            <w:pPr>
              <w:pStyle w:val="TableText0"/>
              <w:keepLines/>
              <w:jc w:val="center"/>
            </w:pPr>
            <w:r w:rsidRPr="002A770B">
              <w:rPr>
                <w:szCs w:val="20"/>
              </w:rPr>
              <w:t>37</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45BBFF26" w14:textId="77777777" w:rsidR="001F275B" w:rsidRPr="002A770B" w:rsidRDefault="001F275B" w:rsidP="00F071FF">
            <w:pPr>
              <w:pStyle w:val="TableText0"/>
              <w:keepLines/>
              <w:jc w:val="center"/>
            </w:pPr>
            <w:r w:rsidRPr="002A770B">
              <w:t>1.58 (0.99, 2.53)</w:t>
            </w:r>
          </w:p>
        </w:tc>
        <w:tc>
          <w:tcPr>
            <w:tcW w:w="511" w:type="pct"/>
            <w:tcBorders>
              <w:top w:val="single" w:sz="4" w:space="0" w:color="auto"/>
              <w:left w:val="single" w:sz="4" w:space="0" w:color="auto"/>
              <w:bottom w:val="single" w:sz="4" w:space="0" w:color="auto"/>
              <w:right w:val="single" w:sz="4" w:space="0" w:color="auto"/>
            </w:tcBorders>
            <w:vAlign w:val="center"/>
          </w:tcPr>
          <w:p w14:paraId="58382C52" w14:textId="77777777" w:rsidR="001F275B" w:rsidRPr="002A770B" w:rsidRDefault="001F275B" w:rsidP="00F071FF">
            <w:pPr>
              <w:pStyle w:val="TableText0"/>
              <w:keepLines/>
              <w:jc w:val="center"/>
            </w:pPr>
            <w:r w:rsidRPr="002A770B">
              <w:t>31.1</w:t>
            </w:r>
          </w:p>
        </w:tc>
        <w:tc>
          <w:tcPr>
            <w:tcW w:w="512" w:type="pct"/>
            <w:tcBorders>
              <w:top w:val="single" w:sz="4" w:space="0" w:color="auto"/>
              <w:left w:val="single" w:sz="4" w:space="0" w:color="auto"/>
              <w:bottom w:val="single" w:sz="4" w:space="0" w:color="auto"/>
              <w:right w:val="single" w:sz="4" w:space="0" w:color="auto"/>
            </w:tcBorders>
            <w:vAlign w:val="center"/>
          </w:tcPr>
          <w:p w14:paraId="7E09259E" w14:textId="77777777" w:rsidR="001F275B" w:rsidRPr="002A770B" w:rsidRDefault="001F275B" w:rsidP="00F071FF">
            <w:pPr>
              <w:pStyle w:val="TableText0"/>
              <w:keepLines/>
              <w:jc w:val="center"/>
            </w:pPr>
            <w:r w:rsidRPr="002A770B">
              <w:t>19.7</w:t>
            </w:r>
          </w:p>
        </w:tc>
        <w:tc>
          <w:tcPr>
            <w:tcW w:w="835" w:type="pct"/>
            <w:tcBorders>
              <w:top w:val="single" w:sz="4" w:space="0" w:color="auto"/>
              <w:left w:val="single" w:sz="4" w:space="0" w:color="auto"/>
              <w:bottom w:val="single" w:sz="4" w:space="0" w:color="auto"/>
              <w:right w:val="single" w:sz="4" w:space="0" w:color="auto"/>
            </w:tcBorders>
          </w:tcPr>
          <w:p w14:paraId="3FF52AD0" w14:textId="77777777" w:rsidR="001F275B" w:rsidRPr="002A770B" w:rsidRDefault="001F275B" w:rsidP="00F071FF">
            <w:pPr>
              <w:pStyle w:val="TableText0"/>
              <w:keepLines/>
              <w:jc w:val="center"/>
            </w:pPr>
            <w:r w:rsidRPr="002A770B">
              <w:t>11% (3%, 20%)</w:t>
            </w:r>
          </w:p>
        </w:tc>
      </w:tr>
      <w:tr w:rsidR="001F275B" w:rsidRPr="002A770B" w14:paraId="06C4B2F6"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12A271B6" w14:textId="77777777" w:rsidR="001F275B" w:rsidRPr="002A770B" w:rsidRDefault="001F275B" w:rsidP="00F071FF">
            <w:pPr>
              <w:pStyle w:val="TableText0"/>
              <w:keepLines/>
              <w:rPr>
                <w:szCs w:val="20"/>
              </w:rPr>
            </w:pPr>
            <w:r w:rsidRPr="002A770B">
              <w:rPr>
                <w:szCs w:val="20"/>
              </w:rPr>
              <w:t>Dyspnoea</w:t>
            </w:r>
          </w:p>
        </w:tc>
        <w:tc>
          <w:tcPr>
            <w:tcW w:w="551" w:type="pct"/>
            <w:tcBorders>
              <w:top w:val="single" w:sz="4" w:space="0" w:color="auto"/>
              <w:left w:val="single" w:sz="4" w:space="0" w:color="auto"/>
              <w:bottom w:val="single" w:sz="4" w:space="0" w:color="auto"/>
              <w:right w:val="single" w:sz="4" w:space="0" w:color="auto"/>
            </w:tcBorders>
            <w:vAlign w:val="center"/>
          </w:tcPr>
          <w:p w14:paraId="7CF10970" w14:textId="77777777" w:rsidR="001F275B" w:rsidRPr="002A770B" w:rsidRDefault="001F275B" w:rsidP="00F071FF">
            <w:pPr>
              <w:pStyle w:val="TableText0"/>
              <w:keepLines/>
              <w:jc w:val="center"/>
              <w:rPr>
                <w:szCs w:val="20"/>
              </w:rPr>
            </w:pPr>
            <w:r w:rsidRPr="002A770B">
              <w:rPr>
                <w:szCs w:val="20"/>
              </w:rPr>
              <w:t>44</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460401FA" w14:textId="77777777" w:rsidR="001F275B" w:rsidRPr="002A770B" w:rsidRDefault="001F275B" w:rsidP="00F071FF">
            <w:pPr>
              <w:pStyle w:val="TableText0"/>
              <w:keepLines/>
              <w:jc w:val="center"/>
              <w:rPr>
                <w:szCs w:val="20"/>
              </w:rPr>
            </w:pPr>
            <w:r w:rsidRPr="002A770B">
              <w:rPr>
                <w:szCs w:val="20"/>
              </w:rPr>
              <w:t>32</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22CCAA11" w14:textId="77777777" w:rsidR="001F275B" w:rsidRPr="002A770B" w:rsidRDefault="001F275B" w:rsidP="00F071FF">
            <w:pPr>
              <w:pStyle w:val="TableText0"/>
              <w:keepLines/>
              <w:jc w:val="center"/>
            </w:pPr>
            <w:r w:rsidRPr="002A770B">
              <w:t>1.34 (0.81, 2.23)</w:t>
            </w:r>
          </w:p>
        </w:tc>
        <w:tc>
          <w:tcPr>
            <w:tcW w:w="511" w:type="pct"/>
            <w:tcBorders>
              <w:top w:val="single" w:sz="4" w:space="0" w:color="auto"/>
              <w:left w:val="single" w:sz="4" w:space="0" w:color="auto"/>
              <w:bottom w:val="single" w:sz="4" w:space="0" w:color="auto"/>
              <w:right w:val="single" w:sz="4" w:space="0" w:color="auto"/>
            </w:tcBorders>
            <w:vAlign w:val="center"/>
          </w:tcPr>
          <w:p w14:paraId="20A50447" w14:textId="77777777" w:rsidR="001F275B" w:rsidRPr="002A770B" w:rsidRDefault="001F275B" w:rsidP="00F071FF">
            <w:pPr>
              <w:pStyle w:val="TableText0"/>
              <w:keepLines/>
              <w:jc w:val="center"/>
            </w:pPr>
            <w:r w:rsidRPr="002A770B">
              <w:t>22.8</w:t>
            </w:r>
          </w:p>
        </w:tc>
        <w:tc>
          <w:tcPr>
            <w:tcW w:w="512" w:type="pct"/>
            <w:tcBorders>
              <w:top w:val="single" w:sz="4" w:space="0" w:color="auto"/>
              <w:left w:val="single" w:sz="4" w:space="0" w:color="auto"/>
              <w:bottom w:val="single" w:sz="4" w:space="0" w:color="auto"/>
              <w:right w:val="single" w:sz="4" w:space="0" w:color="auto"/>
            </w:tcBorders>
            <w:vAlign w:val="center"/>
          </w:tcPr>
          <w:p w14:paraId="75A1D0CF" w14:textId="77777777" w:rsidR="001F275B" w:rsidRPr="002A770B" w:rsidRDefault="001F275B" w:rsidP="00F071FF">
            <w:pPr>
              <w:pStyle w:val="TableText0"/>
              <w:keepLines/>
              <w:jc w:val="center"/>
            </w:pPr>
            <w:r w:rsidRPr="002A770B">
              <w:t>17.0</w:t>
            </w:r>
          </w:p>
        </w:tc>
        <w:tc>
          <w:tcPr>
            <w:tcW w:w="835" w:type="pct"/>
            <w:tcBorders>
              <w:top w:val="single" w:sz="4" w:space="0" w:color="auto"/>
              <w:left w:val="single" w:sz="4" w:space="0" w:color="auto"/>
              <w:bottom w:val="single" w:sz="4" w:space="0" w:color="auto"/>
              <w:right w:val="single" w:sz="4" w:space="0" w:color="auto"/>
            </w:tcBorders>
          </w:tcPr>
          <w:p w14:paraId="5BD49E2B" w14:textId="77777777" w:rsidR="001F275B" w:rsidRPr="002A770B" w:rsidRDefault="001F275B" w:rsidP="00F071FF">
            <w:pPr>
              <w:pStyle w:val="TableText0"/>
              <w:keepLines/>
              <w:jc w:val="center"/>
            </w:pPr>
            <w:r w:rsidRPr="002A770B">
              <w:t>6% (-2%, 14%)</w:t>
            </w:r>
          </w:p>
        </w:tc>
      </w:tr>
      <w:tr w:rsidR="001F275B" w:rsidRPr="002A770B" w14:paraId="08C1E398"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43124AF4" w14:textId="77777777" w:rsidR="001F275B" w:rsidRPr="002A770B" w:rsidRDefault="001F275B" w:rsidP="00F071FF">
            <w:pPr>
              <w:pStyle w:val="TableText0"/>
              <w:keepLines/>
            </w:pPr>
            <w:r w:rsidRPr="002A770B">
              <w:rPr>
                <w:szCs w:val="20"/>
              </w:rPr>
              <w:t>Thrombocytopenia</w:t>
            </w:r>
          </w:p>
        </w:tc>
        <w:tc>
          <w:tcPr>
            <w:tcW w:w="551" w:type="pct"/>
            <w:tcBorders>
              <w:top w:val="single" w:sz="4" w:space="0" w:color="auto"/>
              <w:left w:val="single" w:sz="4" w:space="0" w:color="auto"/>
              <w:bottom w:val="single" w:sz="4" w:space="0" w:color="auto"/>
              <w:right w:val="single" w:sz="4" w:space="0" w:color="auto"/>
            </w:tcBorders>
            <w:vAlign w:val="center"/>
          </w:tcPr>
          <w:p w14:paraId="2FD24656" w14:textId="77777777" w:rsidR="001F275B" w:rsidRPr="002A770B" w:rsidRDefault="001F275B" w:rsidP="00F071FF">
            <w:pPr>
              <w:pStyle w:val="TableText0"/>
              <w:keepLines/>
              <w:jc w:val="center"/>
            </w:pPr>
            <w:r w:rsidRPr="002A770B">
              <w:rPr>
                <w:szCs w:val="20"/>
              </w:rPr>
              <w:t>33</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30E126F6" w14:textId="77777777" w:rsidR="001F275B" w:rsidRPr="002A770B" w:rsidRDefault="001F275B" w:rsidP="00F071FF">
            <w:pPr>
              <w:pStyle w:val="TableText0"/>
              <w:keepLines/>
              <w:jc w:val="center"/>
            </w:pPr>
            <w:r w:rsidRPr="002A770B">
              <w:rPr>
                <w:szCs w:val="20"/>
              </w:rPr>
              <w:t>22</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48A07D6A" w14:textId="77777777" w:rsidR="001F275B" w:rsidRPr="002A770B" w:rsidRDefault="001F275B" w:rsidP="00F071FF">
            <w:pPr>
              <w:pStyle w:val="TableText0"/>
              <w:keepLines/>
              <w:jc w:val="center"/>
            </w:pPr>
            <w:r w:rsidRPr="002A770B">
              <w:t>1.46 (0.82, 2.61)</w:t>
            </w:r>
          </w:p>
        </w:tc>
        <w:tc>
          <w:tcPr>
            <w:tcW w:w="511" w:type="pct"/>
            <w:tcBorders>
              <w:top w:val="single" w:sz="4" w:space="0" w:color="auto"/>
              <w:left w:val="single" w:sz="4" w:space="0" w:color="auto"/>
              <w:bottom w:val="single" w:sz="4" w:space="0" w:color="auto"/>
              <w:right w:val="single" w:sz="4" w:space="0" w:color="auto"/>
            </w:tcBorders>
            <w:vAlign w:val="center"/>
          </w:tcPr>
          <w:p w14:paraId="4FF82160" w14:textId="77777777" w:rsidR="001F275B" w:rsidRPr="002A770B" w:rsidRDefault="001F275B" w:rsidP="00F071FF">
            <w:pPr>
              <w:pStyle w:val="TableText0"/>
              <w:keepLines/>
              <w:jc w:val="center"/>
            </w:pPr>
            <w:r w:rsidRPr="002A770B">
              <w:t>17.1</w:t>
            </w:r>
          </w:p>
        </w:tc>
        <w:tc>
          <w:tcPr>
            <w:tcW w:w="512" w:type="pct"/>
            <w:tcBorders>
              <w:top w:val="single" w:sz="4" w:space="0" w:color="auto"/>
              <w:left w:val="single" w:sz="4" w:space="0" w:color="auto"/>
              <w:bottom w:val="single" w:sz="4" w:space="0" w:color="auto"/>
              <w:right w:val="single" w:sz="4" w:space="0" w:color="auto"/>
            </w:tcBorders>
            <w:vAlign w:val="center"/>
          </w:tcPr>
          <w:p w14:paraId="7D253FDB" w14:textId="77777777" w:rsidR="001F275B" w:rsidRPr="002A770B" w:rsidRDefault="001F275B" w:rsidP="00F071FF">
            <w:pPr>
              <w:pStyle w:val="TableText0"/>
              <w:keepLines/>
              <w:jc w:val="center"/>
            </w:pPr>
            <w:r w:rsidRPr="002A770B">
              <w:t>11.7</w:t>
            </w:r>
          </w:p>
        </w:tc>
        <w:tc>
          <w:tcPr>
            <w:tcW w:w="835" w:type="pct"/>
            <w:tcBorders>
              <w:top w:val="single" w:sz="4" w:space="0" w:color="auto"/>
              <w:left w:val="single" w:sz="4" w:space="0" w:color="auto"/>
              <w:bottom w:val="single" w:sz="4" w:space="0" w:color="auto"/>
              <w:right w:val="single" w:sz="4" w:space="0" w:color="auto"/>
            </w:tcBorders>
          </w:tcPr>
          <w:p w14:paraId="190FA88D" w14:textId="77777777" w:rsidR="001F275B" w:rsidRPr="002A770B" w:rsidRDefault="001F275B" w:rsidP="00F071FF">
            <w:pPr>
              <w:pStyle w:val="TableText0"/>
              <w:keepLines/>
              <w:jc w:val="center"/>
            </w:pPr>
            <w:r w:rsidRPr="002A770B">
              <w:t>5% (-2%, 12%)</w:t>
            </w:r>
          </w:p>
        </w:tc>
      </w:tr>
      <w:tr w:rsidR="001F275B" w:rsidRPr="002A770B" w14:paraId="2E177E9A" w14:textId="77777777" w:rsidTr="00F071FF">
        <w:tc>
          <w:tcPr>
            <w:tcW w:w="1334" w:type="pct"/>
            <w:tcBorders>
              <w:top w:val="single" w:sz="4" w:space="0" w:color="auto"/>
              <w:left w:val="single" w:sz="4" w:space="0" w:color="auto"/>
              <w:bottom w:val="single" w:sz="4" w:space="0" w:color="auto"/>
              <w:right w:val="single" w:sz="4" w:space="0" w:color="auto"/>
            </w:tcBorders>
            <w:shd w:val="clear" w:color="auto" w:fill="auto"/>
            <w:vAlign w:val="bottom"/>
          </w:tcPr>
          <w:p w14:paraId="114504CE" w14:textId="77777777" w:rsidR="001F275B" w:rsidRPr="002A770B" w:rsidRDefault="001F275B" w:rsidP="00F071FF">
            <w:pPr>
              <w:pStyle w:val="TableText0"/>
              <w:keepLines/>
            </w:pPr>
            <w:r w:rsidRPr="002A770B">
              <w:rPr>
                <w:szCs w:val="20"/>
              </w:rPr>
              <w:t>Neutropenia</w:t>
            </w:r>
          </w:p>
        </w:tc>
        <w:tc>
          <w:tcPr>
            <w:tcW w:w="551" w:type="pct"/>
            <w:tcBorders>
              <w:top w:val="single" w:sz="4" w:space="0" w:color="auto"/>
              <w:left w:val="single" w:sz="4" w:space="0" w:color="auto"/>
              <w:bottom w:val="single" w:sz="4" w:space="0" w:color="auto"/>
              <w:right w:val="single" w:sz="4" w:space="0" w:color="auto"/>
            </w:tcBorders>
            <w:vAlign w:val="center"/>
          </w:tcPr>
          <w:p w14:paraId="1FD60A5C" w14:textId="77777777" w:rsidR="001F275B" w:rsidRPr="002A770B" w:rsidRDefault="001F275B" w:rsidP="00F071FF">
            <w:pPr>
              <w:pStyle w:val="TableText0"/>
              <w:keepLines/>
              <w:jc w:val="center"/>
            </w:pPr>
            <w:r w:rsidRPr="002A770B">
              <w:rPr>
                <w:szCs w:val="20"/>
              </w:rPr>
              <w:t>21</w:t>
            </w:r>
            <w:r w:rsidRPr="002A770B">
              <w:t>/193</w:t>
            </w:r>
          </w:p>
        </w:tc>
        <w:tc>
          <w:tcPr>
            <w:tcW w:w="551" w:type="pct"/>
            <w:tcBorders>
              <w:top w:val="single" w:sz="4" w:space="0" w:color="auto"/>
              <w:left w:val="single" w:sz="4" w:space="0" w:color="auto"/>
              <w:bottom w:val="single" w:sz="4" w:space="0" w:color="auto"/>
              <w:right w:val="single" w:sz="4" w:space="0" w:color="auto"/>
            </w:tcBorders>
            <w:vAlign w:val="center"/>
          </w:tcPr>
          <w:p w14:paraId="715835C0" w14:textId="77777777" w:rsidR="001F275B" w:rsidRPr="002A770B" w:rsidRDefault="001F275B" w:rsidP="00F071FF">
            <w:pPr>
              <w:pStyle w:val="TableText0"/>
              <w:keepLines/>
              <w:jc w:val="center"/>
            </w:pPr>
            <w:r w:rsidRPr="002A770B">
              <w:rPr>
                <w:szCs w:val="20"/>
              </w:rPr>
              <w:t>12</w:t>
            </w:r>
            <w:r w:rsidRPr="002A770B">
              <w:t>/188</w:t>
            </w:r>
          </w:p>
        </w:tc>
        <w:tc>
          <w:tcPr>
            <w:tcW w:w="706" w:type="pct"/>
            <w:tcBorders>
              <w:top w:val="single" w:sz="4" w:space="0" w:color="auto"/>
              <w:left w:val="single" w:sz="4" w:space="0" w:color="auto"/>
              <w:bottom w:val="single" w:sz="4" w:space="0" w:color="auto"/>
              <w:right w:val="single" w:sz="4" w:space="0" w:color="auto"/>
            </w:tcBorders>
            <w:vAlign w:val="center"/>
          </w:tcPr>
          <w:p w14:paraId="6012E7C8" w14:textId="77777777" w:rsidR="001F275B" w:rsidRPr="002A770B" w:rsidRDefault="001F275B" w:rsidP="00F071FF">
            <w:pPr>
              <w:pStyle w:val="TableText0"/>
              <w:keepLines/>
              <w:jc w:val="center"/>
            </w:pPr>
            <w:r w:rsidRPr="002A770B">
              <w:t>1.87 (0.90, 3.87)</w:t>
            </w:r>
          </w:p>
        </w:tc>
        <w:tc>
          <w:tcPr>
            <w:tcW w:w="511" w:type="pct"/>
            <w:tcBorders>
              <w:top w:val="single" w:sz="4" w:space="0" w:color="auto"/>
              <w:left w:val="single" w:sz="4" w:space="0" w:color="auto"/>
              <w:bottom w:val="single" w:sz="4" w:space="0" w:color="auto"/>
              <w:right w:val="single" w:sz="4" w:space="0" w:color="auto"/>
            </w:tcBorders>
            <w:vAlign w:val="center"/>
          </w:tcPr>
          <w:p w14:paraId="5052C630" w14:textId="77777777" w:rsidR="001F275B" w:rsidRPr="002A770B" w:rsidRDefault="001F275B" w:rsidP="00F071FF">
            <w:pPr>
              <w:pStyle w:val="TableText0"/>
              <w:keepLines/>
              <w:jc w:val="center"/>
            </w:pPr>
            <w:r w:rsidRPr="002A770B">
              <w:t>10.9</w:t>
            </w:r>
          </w:p>
        </w:tc>
        <w:tc>
          <w:tcPr>
            <w:tcW w:w="512" w:type="pct"/>
            <w:tcBorders>
              <w:top w:val="single" w:sz="4" w:space="0" w:color="auto"/>
              <w:left w:val="single" w:sz="4" w:space="0" w:color="auto"/>
              <w:bottom w:val="single" w:sz="4" w:space="0" w:color="auto"/>
              <w:right w:val="single" w:sz="4" w:space="0" w:color="auto"/>
            </w:tcBorders>
            <w:vAlign w:val="center"/>
          </w:tcPr>
          <w:p w14:paraId="1289F3CF" w14:textId="77777777" w:rsidR="001F275B" w:rsidRPr="002A770B" w:rsidRDefault="001F275B" w:rsidP="00F071FF">
            <w:pPr>
              <w:pStyle w:val="TableText0"/>
              <w:keepLines/>
              <w:jc w:val="center"/>
            </w:pPr>
            <w:r w:rsidRPr="002A770B">
              <w:t>6.4</w:t>
            </w:r>
          </w:p>
        </w:tc>
        <w:tc>
          <w:tcPr>
            <w:tcW w:w="835" w:type="pct"/>
            <w:tcBorders>
              <w:top w:val="single" w:sz="4" w:space="0" w:color="auto"/>
              <w:left w:val="single" w:sz="4" w:space="0" w:color="auto"/>
              <w:bottom w:val="single" w:sz="4" w:space="0" w:color="auto"/>
              <w:right w:val="single" w:sz="4" w:space="0" w:color="auto"/>
            </w:tcBorders>
          </w:tcPr>
          <w:p w14:paraId="515B13E8" w14:textId="77777777" w:rsidR="001F275B" w:rsidRPr="002A770B" w:rsidRDefault="001F275B" w:rsidP="00F071FF">
            <w:pPr>
              <w:pStyle w:val="TableText0"/>
              <w:keepLines/>
              <w:jc w:val="center"/>
            </w:pPr>
            <w:r w:rsidRPr="002A770B">
              <w:t>4% (-1%, 10%)</w:t>
            </w:r>
          </w:p>
        </w:tc>
      </w:tr>
      <w:tr w:rsidR="001F275B" w:rsidRPr="002A770B" w14:paraId="045C8C83" w14:textId="77777777" w:rsidTr="00F071FF">
        <w:trPr>
          <w:trHeight w:val="79"/>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5660B32F" w14:textId="77777777" w:rsidR="001F275B" w:rsidRPr="002A770B" w:rsidRDefault="001F275B" w:rsidP="00F071FF">
            <w:pPr>
              <w:pStyle w:val="TableText0"/>
              <w:keepLines/>
            </w:pPr>
            <w:r w:rsidRPr="002A770B">
              <w:rPr>
                <w:szCs w:val="20"/>
              </w:rPr>
              <w:t>Cardiac failure</w:t>
            </w:r>
          </w:p>
        </w:tc>
        <w:tc>
          <w:tcPr>
            <w:tcW w:w="551" w:type="pct"/>
            <w:tcBorders>
              <w:top w:val="single" w:sz="4" w:space="0" w:color="auto"/>
              <w:left w:val="single" w:sz="4" w:space="0" w:color="auto"/>
              <w:bottom w:val="single" w:sz="4" w:space="0" w:color="auto"/>
              <w:right w:val="single" w:sz="4" w:space="0" w:color="auto"/>
            </w:tcBorders>
            <w:vAlign w:val="center"/>
          </w:tcPr>
          <w:p w14:paraId="56C6F8BA" w14:textId="77777777" w:rsidR="001F275B" w:rsidRPr="002A770B" w:rsidRDefault="001F275B" w:rsidP="00F071FF">
            <w:pPr>
              <w:pStyle w:val="TableText0"/>
              <w:keepLines/>
              <w:jc w:val="center"/>
            </w:pPr>
            <w:r w:rsidRPr="002A770B">
              <w:t>12/193</w:t>
            </w:r>
          </w:p>
        </w:tc>
        <w:tc>
          <w:tcPr>
            <w:tcW w:w="551" w:type="pct"/>
            <w:tcBorders>
              <w:top w:val="single" w:sz="4" w:space="0" w:color="auto"/>
              <w:left w:val="single" w:sz="4" w:space="0" w:color="auto"/>
              <w:bottom w:val="single" w:sz="4" w:space="0" w:color="auto"/>
              <w:right w:val="single" w:sz="4" w:space="0" w:color="auto"/>
            </w:tcBorders>
            <w:vAlign w:val="center"/>
          </w:tcPr>
          <w:p w14:paraId="2A40CB91" w14:textId="77777777" w:rsidR="001F275B" w:rsidRPr="002A770B" w:rsidRDefault="001F275B" w:rsidP="00F071FF">
            <w:pPr>
              <w:pStyle w:val="TableText0"/>
              <w:keepLines/>
              <w:jc w:val="center"/>
            </w:pPr>
            <w:r w:rsidRPr="002A770B">
              <w:t>8/188</w:t>
            </w:r>
          </w:p>
        </w:tc>
        <w:tc>
          <w:tcPr>
            <w:tcW w:w="706" w:type="pct"/>
            <w:tcBorders>
              <w:top w:val="single" w:sz="4" w:space="0" w:color="auto"/>
              <w:left w:val="single" w:sz="4" w:space="0" w:color="auto"/>
              <w:bottom w:val="single" w:sz="4" w:space="0" w:color="auto"/>
              <w:right w:val="single" w:sz="4" w:space="0" w:color="auto"/>
            </w:tcBorders>
            <w:vAlign w:val="center"/>
          </w:tcPr>
          <w:p w14:paraId="12CE44E8" w14:textId="77777777" w:rsidR="001F275B" w:rsidRPr="002A770B" w:rsidRDefault="001F275B" w:rsidP="00F071FF">
            <w:pPr>
              <w:pStyle w:val="TableText0"/>
              <w:keepLines/>
              <w:jc w:val="center"/>
            </w:pPr>
            <w:r w:rsidRPr="002A770B">
              <w:t>1.46 (0.58, 3.66)</w:t>
            </w:r>
          </w:p>
        </w:tc>
        <w:tc>
          <w:tcPr>
            <w:tcW w:w="511" w:type="pct"/>
            <w:tcBorders>
              <w:top w:val="single" w:sz="4" w:space="0" w:color="auto"/>
              <w:left w:val="single" w:sz="4" w:space="0" w:color="auto"/>
              <w:bottom w:val="single" w:sz="4" w:space="0" w:color="auto"/>
              <w:right w:val="single" w:sz="4" w:space="0" w:color="auto"/>
            </w:tcBorders>
            <w:vAlign w:val="center"/>
          </w:tcPr>
          <w:p w14:paraId="0E3639D9" w14:textId="77777777" w:rsidR="001F275B" w:rsidRPr="002A770B" w:rsidRDefault="001F275B" w:rsidP="00F071FF">
            <w:pPr>
              <w:pStyle w:val="TableText0"/>
              <w:keepLines/>
              <w:jc w:val="center"/>
            </w:pPr>
            <w:r w:rsidRPr="002A770B">
              <w:t>6.2</w:t>
            </w:r>
          </w:p>
        </w:tc>
        <w:tc>
          <w:tcPr>
            <w:tcW w:w="512" w:type="pct"/>
            <w:tcBorders>
              <w:top w:val="single" w:sz="4" w:space="0" w:color="auto"/>
              <w:left w:val="single" w:sz="4" w:space="0" w:color="auto"/>
              <w:bottom w:val="single" w:sz="4" w:space="0" w:color="auto"/>
              <w:right w:val="single" w:sz="4" w:space="0" w:color="auto"/>
            </w:tcBorders>
            <w:vAlign w:val="center"/>
          </w:tcPr>
          <w:p w14:paraId="5155EAD6" w14:textId="77777777" w:rsidR="001F275B" w:rsidRPr="002A770B" w:rsidRDefault="001F275B" w:rsidP="00F071FF">
            <w:pPr>
              <w:pStyle w:val="TableText0"/>
              <w:keepLines/>
              <w:jc w:val="center"/>
            </w:pPr>
            <w:r w:rsidRPr="002A770B">
              <w:t>4.3</w:t>
            </w:r>
          </w:p>
        </w:tc>
        <w:tc>
          <w:tcPr>
            <w:tcW w:w="835" w:type="pct"/>
            <w:tcBorders>
              <w:top w:val="single" w:sz="4" w:space="0" w:color="auto"/>
              <w:left w:val="single" w:sz="4" w:space="0" w:color="auto"/>
              <w:bottom w:val="single" w:sz="4" w:space="0" w:color="auto"/>
              <w:right w:val="single" w:sz="4" w:space="0" w:color="auto"/>
            </w:tcBorders>
          </w:tcPr>
          <w:p w14:paraId="681EE5A3" w14:textId="77777777" w:rsidR="001F275B" w:rsidRPr="002A770B" w:rsidRDefault="001F275B" w:rsidP="00F071FF">
            <w:pPr>
              <w:pStyle w:val="TableText0"/>
              <w:keepLines/>
              <w:jc w:val="center"/>
            </w:pPr>
            <w:r w:rsidRPr="002A770B">
              <w:t>2% (-3%, 6%)</w:t>
            </w:r>
          </w:p>
        </w:tc>
      </w:tr>
      <w:tr w:rsidR="001F275B" w:rsidRPr="002A770B" w14:paraId="32DA8138" w14:textId="77777777" w:rsidTr="004D5D5D">
        <w:trPr>
          <w:trHeight w:val="71"/>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6D873F73" w14:textId="77777777" w:rsidR="001F275B" w:rsidRPr="002A770B" w:rsidRDefault="001F275B" w:rsidP="00F071FF">
            <w:pPr>
              <w:pStyle w:val="TableText0"/>
              <w:keepLines/>
            </w:pPr>
            <w:r w:rsidRPr="002A770B">
              <w:rPr>
                <w:szCs w:val="20"/>
              </w:rPr>
              <w:t>Cardiac arrest</w:t>
            </w:r>
          </w:p>
        </w:tc>
        <w:tc>
          <w:tcPr>
            <w:tcW w:w="551" w:type="pct"/>
            <w:tcBorders>
              <w:top w:val="single" w:sz="4" w:space="0" w:color="auto"/>
              <w:left w:val="single" w:sz="4" w:space="0" w:color="auto"/>
              <w:bottom w:val="single" w:sz="4" w:space="0" w:color="auto"/>
              <w:right w:val="single" w:sz="4" w:space="0" w:color="auto"/>
            </w:tcBorders>
            <w:vAlign w:val="center"/>
          </w:tcPr>
          <w:p w14:paraId="789A1204" w14:textId="77777777" w:rsidR="001F275B" w:rsidRPr="002A770B" w:rsidRDefault="001F275B" w:rsidP="00F071FF">
            <w:pPr>
              <w:pStyle w:val="TableText0"/>
              <w:keepLines/>
              <w:jc w:val="center"/>
            </w:pPr>
            <w:r w:rsidRPr="002A770B">
              <w:t>7/193</w:t>
            </w:r>
          </w:p>
        </w:tc>
        <w:tc>
          <w:tcPr>
            <w:tcW w:w="551" w:type="pct"/>
            <w:tcBorders>
              <w:top w:val="single" w:sz="4" w:space="0" w:color="auto"/>
              <w:left w:val="single" w:sz="4" w:space="0" w:color="auto"/>
              <w:bottom w:val="single" w:sz="4" w:space="0" w:color="auto"/>
              <w:right w:val="single" w:sz="4" w:space="0" w:color="auto"/>
            </w:tcBorders>
            <w:vAlign w:val="center"/>
          </w:tcPr>
          <w:p w14:paraId="49B20B61" w14:textId="77777777" w:rsidR="001F275B" w:rsidRPr="002A770B" w:rsidRDefault="001F275B" w:rsidP="00F071FF">
            <w:pPr>
              <w:pStyle w:val="TableText0"/>
              <w:keepLines/>
              <w:jc w:val="center"/>
            </w:pPr>
            <w:r w:rsidRPr="002A770B">
              <w:t>3/188</w:t>
            </w:r>
          </w:p>
        </w:tc>
        <w:tc>
          <w:tcPr>
            <w:tcW w:w="706" w:type="pct"/>
            <w:tcBorders>
              <w:top w:val="single" w:sz="4" w:space="0" w:color="auto"/>
              <w:left w:val="single" w:sz="4" w:space="0" w:color="auto"/>
              <w:bottom w:val="single" w:sz="4" w:space="0" w:color="auto"/>
              <w:right w:val="single" w:sz="4" w:space="0" w:color="auto"/>
            </w:tcBorders>
            <w:vAlign w:val="center"/>
          </w:tcPr>
          <w:p w14:paraId="4E6B5FAE" w14:textId="77777777" w:rsidR="001F275B" w:rsidRPr="002A770B" w:rsidRDefault="001F275B" w:rsidP="00F071FF">
            <w:pPr>
              <w:pStyle w:val="TableText0"/>
              <w:keepLines/>
              <w:jc w:val="center"/>
            </w:pPr>
            <w:r w:rsidRPr="002A770B">
              <w:t>2.27 (0.58, 8.92)</w:t>
            </w:r>
          </w:p>
        </w:tc>
        <w:tc>
          <w:tcPr>
            <w:tcW w:w="511" w:type="pct"/>
            <w:tcBorders>
              <w:top w:val="single" w:sz="4" w:space="0" w:color="auto"/>
              <w:left w:val="single" w:sz="4" w:space="0" w:color="auto"/>
              <w:bottom w:val="single" w:sz="4" w:space="0" w:color="auto"/>
              <w:right w:val="single" w:sz="4" w:space="0" w:color="auto"/>
            </w:tcBorders>
            <w:vAlign w:val="center"/>
          </w:tcPr>
          <w:p w14:paraId="08426F14" w14:textId="77777777" w:rsidR="001F275B" w:rsidRPr="002A770B" w:rsidRDefault="001F275B" w:rsidP="00F071FF">
            <w:pPr>
              <w:pStyle w:val="TableText0"/>
              <w:keepLines/>
              <w:jc w:val="center"/>
            </w:pPr>
            <w:r w:rsidRPr="002A770B">
              <w:t>3.6</w:t>
            </w:r>
          </w:p>
        </w:tc>
        <w:tc>
          <w:tcPr>
            <w:tcW w:w="512" w:type="pct"/>
            <w:tcBorders>
              <w:top w:val="single" w:sz="4" w:space="0" w:color="auto"/>
              <w:left w:val="single" w:sz="4" w:space="0" w:color="auto"/>
              <w:bottom w:val="single" w:sz="4" w:space="0" w:color="auto"/>
              <w:right w:val="single" w:sz="4" w:space="0" w:color="auto"/>
            </w:tcBorders>
            <w:vAlign w:val="center"/>
          </w:tcPr>
          <w:p w14:paraId="77AC1613" w14:textId="77777777" w:rsidR="001F275B" w:rsidRPr="002A770B" w:rsidRDefault="001F275B" w:rsidP="00F071FF">
            <w:pPr>
              <w:pStyle w:val="TableText0"/>
              <w:keepLines/>
              <w:jc w:val="center"/>
            </w:pPr>
            <w:r w:rsidRPr="002A770B">
              <w:t>1.6</w:t>
            </w:r>
          </w:p>
        </w:tc>
        <w:tc>
          <w:tcPr>
            <w:tcW w:w="835" w:type="pct"/>
            <w:tcBorders>
              <w:top w:val="single" w:sz="4" w:space="0" w:color="auto"/>
              <w:left w:val="single" w:sz="4" w:space="0" w:color="auto"/>
              <w:bottom w:val="single" w:sz="4" w:space="0" w:color="auto"/>
              <w:right w:val="single" w:sz="4" w:space="0" w:color="auto"/>
            </w:tcBorders>
          </w:tcPr>
          <w:p w14:paraId="1FD7BF81" w14:textId="77777777" w:rsidR="001F275B" w:rsidRPr="002A770B" w:rsidRDefault="001F275B" w:rsidP="00F071FF">
            <w:pPr>
              <w:pStyle w:val="TableText0"/>
              <w:keepLines/>
              <w:jc w:val="center"/>
            </w:pPr>
            <w:r w:rsidRPr="002A770B">
              <w:t>2% (-1%, 5%)</w:t>
            </w:r>
          </w:p>
        </w:tc>
      </w:tr>
    </w:tbl>
    <w:p w14:paraId="039C1485" w14:textId="77777777" w:rsidR="00251104" w:rsidRDefault="001F275B" w:rsidP="004D5D5D">
      <w:pPr>
        <w:pStyle w:val="TableFigureFooter"/>
        <w:keepNext/>
        <w:keepLines/>
      </w:pPr>
      <w:r w:rsidRPr="00945CB3">
        <w:t xml:space="preserve">Source: </w:t>
      </w:r>
      <w:r>
        <w:t xml:space="preserve">Constructed during evaluation </w:t>
      </w:r>
      <w:r w:rsidR="002A444B">
        <w:t>from</w:t>
      </w:r>
      <w:r w:rsidR="00B40362">
        <w:t xml:space="preserve"> </w:t>
      </w:r>
      <w:r w:rsidR="008A0743" w:rsidRPr="008A0743">
        <w:t>Table 4</w:t>
      </w:r>
      <w:r w:rsidR="00B40362">
        <w:t xml:space="preserve">, </w:t>
      </w:r>
      <w:r w:rsidR="008A0743" w:rsidRPr="008A0743">
        <w:t>Table 5</w:t>
      </w:r>
      <w:r w:rsidR="00B40362">
        <w:t xml:space="preserve">, </w:t>
      </w:r>
      <w:r w:rsidR="008A0743" w:rsidRPr="008A0743">
        <w:t>Table 6</w:t>
      </w:r>
      <w:r w:rsidR="00B40362">
        <w:t>,</w:t>
      </w:r>
      <w:r w:rsidR="004D5D5D">
        <w:t xml:space="preserve"> Table 7</w:t>
      </w:r>
      <w:r w:rsidR="004D5D5D">
        <w:rPr>
          <w:noProof/>
          <w:szCs w:val="18"/>
        </w:rPr>
        <w:t>,</w:t>
      </w:r>
      <w:r w:rsidR="00B40362">
        <w:t xml:space="preserve"> </w:t>
      </w:r>
      <w:r w:rsidR="008A0743" w:rsidRPr="008A0743">
        <w:t>Table 10</w:t>
      </w:r>
      <w:r w:rsidR="00B40362">
        <w:t>,</w:t>
      </w:r>
      <w:r w:rsidR="003043F7">
        <w:t xml:space="preserve"> Table 2.5.11</w:t>
      </w:r>
      <w:r w:rsidR="00B40362">
        <w:t xml:space="preserve"> of this Commentary</w:t>
      </w:r>
      <w:r w:rsidR="00251104">
        <w:t xml:space="preserve">; Table 21, p103 of the ANDROMEDA CSR; Table 2-57, p167 of the submission </w:t>
      </w:r>
    </w:p>
    <w:p w14:paraId="15CBD742" w14:textId="77777777" w:rsidR="00E16B7A" w:rsidRDefault="001F275B" w:rsidP="00251104">
      <w:pPr>
        <w:pStyle w:val="TableFigureFooter"/>
        <w:keepNext/>
        <w:keepLines/>
        <w:spacing w:after="0"/>
      </w:pPr>
      <w:r w:rsidRPr="008D6E9F">
        <w:t xml:space="preserve">CI = confidence interval </w:t>
      </w:r>
      <w:r w:rsidR="00827BA3">
        <w:t xml:space="preserve">CyBorD = </w:t>
      </w:r>
      <w:r w:rsidR="009F38C1">
        <w:t>cy</w:t>
      </w:r>
      <w:r w:rsidRPr="008D6E9F">
        <w:t xml:space="preserve">clophosphamide, bortezomib and dexamethasone; daratumumab SC + </w:t>
      </w:r>
      <w:r w:rsidR="00827BA3">
        <w:t xml:space="preserve">CyBorD = </w:t>
      </w:r>
      <w:r w:rsidR="009F38C1">
        <w:t>d</w:t>
      </w:r>
      <w:r w:rsidRPr="008D6E9F">
        <w:t>aratumumab subcutaneous and cyclophosphamide, bortezomib and dexamethasone;</w:t>
      </w:r>
      <w:r>
        <w:t xml:space="preserve"> </w:t>
      </w:r>
      <w:r w:rsidRPr="00945CB3">
        <w:t>HR = hazard ratio</w:t>
      </w:r>
      <w:r>
        <w:t>;</w:t>
      </w:r>
      <w:r w:rsidR="00C638D0">
        <w:t xml:space="preserve"> IPCW = inverse probability of censoring weights; </w:t>
      </w:r>
      <w:r w:rsidRPr="008D6E9F">
        <w:t xml:space="preserve"> NE = not estimable;</w:t>
      </w:r>
      <w:r>
        <w:t xml:space="preserve"> OR = odds ratio;</w:t>
      </w:r>
      <w:r w:rsidRPr="008D6E9F">
        <w:t xml:space="preserve"> </w:t>
      </w:r>
      <w:r>
        <w:t>RD = risk difference;</w:t>
      </w:r>
      <w:r w:rsidRPr="008D6E9F">
        <w:t xml:space="preserve"> RR = relative risk; </w:t>
      </w:r>
      <w:r w:rsidR="00CF7351" w:rsidRPr="00CF7351">
        <w:rPr>
          <w:b/>
        </w:rPr>
        <w:t>bold</w:t>
      </w:r>
      <w:r w:rsidRPr="008D6E9F">
        <w:t xml:space="preserve"> = statistically significant at p-value &lt; 0.05</w:t>
      </w:r>
    </w:p>
    <w:p w14:paraId="480DC782" w14:textId="77777777" w:rsidR="00251104" w:rsidRDefault="00251104" w:rsidP="00251104">
      <w:pPr>
        <w:pStyle w:val="TableFigureFootnote"/>
        <w:spacing w:before="0" w:after="0"/>
        <w:rPr>
          <w:rFonts w:eastAsia="Calibri"/>
          <w:snapToGrid w:val="0"/>
          <w:szCs w:val="22"/>
        </w:rPr>
      </w:pPr>
      <w:r>
        <w:rPr>
          <w:rFonts w:eastAsia="Calibri"/>
          <w:snapToGrid w:val="0"/>
          <w:szCs w:val="22"/>
        </w:rPr>
        <w:t xml:space="preserve">Note: </w:t>
      </w:r>
      <w:r>
        <w:rPr>
          <w:rFonts w:eastAsia="Calibri"/>
          <w:snapToGrid w:val="0"/>
          <w:szCs w:val="22"/>
          <w:vertAlign w:val="superscript"/>
        </w:rPr>
        <w:t>1</w:t>
      </w:r>
      <w:r>
        <w:rPr>
          <w:rFonts w:eastAsia="Calibri"/>
          <w:snapToGrid w:val="0"/>
          <w:szCs w:val="22"/>
        </w:rPr>
        <w:t xml:space="preserve"> inverse probability of censoring weight was applied for patients who commenced non-cross resistant anti-plasma cell therapy</w:t>
      </w:r>
    </w:p>
    <w:p w14:paraId="53AB9979" w14:textId="77777777" w:rsidR="00E16B7A" w:rsidRDefault="00E16B7A" w:rsidP="001F275B">
      <w:pPr>
        <w:pStyle w:val="TableFigureFooter"/>
        <w:keepNext/>
        <w:keepLines/>
      </w:pPr>
    </w:p>
    <w:p w14:paraId="792B893A" w14:textId="77777777" w:rsidR="001F275B" w:rsidRPr="00C739B2" w:rsidRDefault="1AA21FF2" w:rsidP="001F275B">
      <w:pPr>
        <w:pStyle w:val="3-BodyText"/>
        <w:rPr>
          <w:color w:val="000000" w:themeColor="text1"/>
        </w:rPr>
      </w:pPr>
      <w:r w:rsidRPr="00C739B2">
        <w:rPr>
          <w:snapToGrid/>
          <w:color w:val="000000" w:themeColor="text1"/>
          <w:lang w:val="en-US"/>
        </w:rPr>
        <w:t xml:space="preserve">On the basis of the direct evidence presented by the submission from </w:t>
      </w:r>
      <w:r>
        <w:rPr>
          <w:snapToGrid/>
          <w:color w:val="000000" w:themeColor="text1"/>
          <w:lang w:val="en-US"/>
        </w:rPr>
        <w:t>ANDROMEDA</w:t>
      </w:r>
      <w:r w:rsidRPr="00C739B2">
        <w:rPr>
          <w:snapToGrid/>
          <w:color w:val="000000" w:themeColor="text1"/>
          <w:lang w:val="en-US"/>
        </w:rPr>
        <w:t xml:space="preserve">, for every 100 patients treated with </w:t>
      </w:r>
      <w:r w:rsidR="19D50E36" w:rsidRPr="13701661">
        <w:rPr>
          <w:color w:val="000000" w:themeColor="text1"/>
          <w:lang w:val="en-US"/>
        </w:rPr>
        <w:t xml:space="preserve">daratumumab </w:t>
      </w:r>
      <w:r w:rsidRPr="008D6E9F">
        <w:rPr>
          <w:snapToGrid/>
          <w:color w:val="000000" w:themeColor="text1"/>
          <w:lang w:val="en-US"/>
        </w:rPr>
        <w:t xml:space="preserve">SC + CyBorD </w:t>
      </w:r>
      <w:r w:rsidRPr="00C739B2">
        <w:rPr>
          <w:snapToGrid/>
          <w:color w:val="000000" w:themeColor="text1"/>
          <w:lang w:val="en-US"/>
        </w:rPr>
        <w:t xml:space="preserve">in comparison with </w:t>
      </w:r>
      <w:r>
        <w:rPr>
          <w:snapToGrid/>
          <w:color w:val="000000" w:themeColor="text1"/>
          <w:lang w:val="en-US"/>
        </w:rPr>
        <w:t>CyBorD</w:t>
      </w:r>
      <w:r w:rsidRPr="00C739B2">
        <w:rPr>
          <w:snapToGrid/>
          <w:color w:val="000000" w:themeColor="text1"/>
          <w:lang w:val="en-US"/>
        </w:rPr>
        <w:t xml:space="preserve"> </w:t>
      </w:r>
      <w:r>
        <w:rPr>
          <w:snapToGrid/>
          <w:color w:val="000000" w:themeColor="text1"/>
          <w:lang w:val="en-US"/>
        </w:rPr>
        <w:t xml:space="preserve">in newly diagnosed </w:t>
      </w:r>
      <w:r w:rsidRPr="00C739B2">
        <w:rPr>
          <w:snapToGrid/>
          <w:color w:val="000000" w:themeColor="text1"/>
          <w:lang w:val="en-US"/>
        </w:rPr>
        <w:t xml:space="preserve">patients with </w:t>
      </w:r>
      <w:r>
        <w:rPr>
          <w:snapToGrid/>
          <w:color w:val="000000" w:themeColor="text1"/>
          <w:lang w:val="en-US"/>
        </w:rPr>
        <w:t xml:space="preserve">AL amyloidosis: </w:t>
      </w:r>
    </w:p>
    <w:p w14:paraId="163C60D9" w14:textId="77777777" w:rsidR="001F275B" w:rsidRPr="00A72643" w:rsidRDefault="001F275B" w:rsidP="0070637E">
      <w:pPr>
        <w:pStyle w:val="3-BodyText"/>
        <w:numPr>
          <w:ilvl w:val="0"/>
          <w:numId w:val="8"/>
        </w:numPr>
        <w:spacing w:after="0"/>
        <w:ind w:left="1077" w:hanging="357"/>
        <w:rPr>
          <w:color w:val="000000" w:themeColor="text1"/>
        </w:rPr>
      </w:pPr>
      <w:r w:rsidRPr="00C739B2">
        <w:rPr>
          <w:color w:val="000000" w:themeColor="text1"/>
        </w:rPr>
        <w:t xml:space="preserve">Approximately </w:t>
      </w:r>
      <w:r>
        <w:rPr>
          <w:color w:val="000000" w:themeColor="text1"/>
        </w:rPr>
        <w:t>35</w:t>
      </w:r>
      <w:r w:rsidRPr="00C739B2">
        <w:rPr>
          <w:color w:val="000000" w:themeColor="text1"/>
        </w:rPr>
        <w:t xml:space="preserve"> additional patients </w:t>
      </w:r>
      <w:r>
        <w:rPr>
          <w:color w:val="000000" w:themeColor="text1"/>
        </w:rPr>
        <w:t>will achieve a complete haematologic response</w:t>
      </w:r>
      <w:r w:rsidR="008819AA">
        <w:rPr>
          <w:color w:val="000000" w:themeColor="text1"/>
        </w:rPr>
        <w:t xml:space="preserve"> over a median duration of follow-up of 11.4 months</w:t>
      </w:r>
      <w:r>
        <w:rPr>
          <w:color w:val="000000" w:themeColor="text1"/>
        </w:rPr>
        <w:t>.</w:t>
      </w:r>
    </w:p>
    <w:p w14:paraId="255C122A" w14:textId="77777777" w:rsidR="00E16B7A" w:rsidRDefault="00E16B7A" w:rsidP="0070637E">
      <w:pPr>
        <w:pStyle w:val="3-BodyText"/>
        <w:numPr>
          <w:ilvl w:val="0"/>
          <w:numId w:val="8"/>
        </w:numPr>
        <w:spacing w:after="0"/>
        <w:ind w:left="1077" w:hanging="357"/>
        <w:rPr>
          <w:color w:val="000000" w:themeColor="text1"/>
        </w:rPr>
      </w:pPr>
      <w:r w:rsidRPr="00C739B2">
        <w:rPr>
          <w:color w:val="000000" w:themeColor="text1"/>
        </w:rPr>
        <w:lastRenderedPageBreak/>
        <w:t xml:space="preserve">Approximately </w:t>
      </w:r>
      <w:r>
        <w:rPr>
          <w:color w:val="000000" w:themeColor="text1"/>
        </w:rPr>
        <w:t xml:space="preserve">11 fewer patients will experience a </w:t>
      </w:r>
      <w:r w:rsidR="008819AA">
        <w:rPr>
          <w:color w:val="000000" w:themeColor="text1"/>
        </w:rPr>
        <w:t>major organ deterioration P</w:t>
      </w:r>
      <w:r>
        <w:rPr>
          <w:color w:val="000000" w:themeColor="text1"/>
        </w:rPr>
        <w:t>FS event at 12-months follow-up.</w:t>
      </w:r>
    </w:p>
    <w:p w14:paraId="5831AAFA" w14:textId="77777777" w:rsidR="008819AA" w:rsidRDefault="008819AA" w:rsidP="0070637E">
      <w:pPr>
        <w:pStyle w:val="3-BodyText"/>
        <w:numPr>
          <w:ilvl w:val="0"/>
          <w:numId w:val="8"/>
        </w:numPr>
        <w:spacing w:after="0"/>
        <w:ind w:left="1077" w:hanging="357"/>
        <w:rPr>
          <w:color w:val="000000" w:themeColor="text1"/>
        </w:rPr>
      </w:pPr>
      <w:r>
        <w:rPr>
          <w:color w:val="000000" w:themeColor="text1"/>
        </w:rPr>
        <w:t>Approximately 11 additional patients will experience peripheral sensory neuropathy over a median duration of follow up of 11.4 months.</w:t>
      </w:r>
    </w:p>
    <w:p w14:paraId="04790ADF" w14:textId="77777777" w:rsidR="001F275B" w:rsidRPr="00945CB3" w:rsidRDefault="001F275B" w:rsidP="001F275B">
      <w:pPr>
        <w:pStyle w:val="3-BodyText"/>
        <w:numPr>
          <w:ilvl w:val="0"/>
          <w:numId w:val="0"/>
        </w:numPr>
        <w:spacing w:after="0"/>
        <w:ind w:left="720" w:hanging="720"/>
      </w:pPr>
    </w:p>
    <w:p w14:paraId="32A2BC84" w14:textId="77777777" w:rsidR="001F275B" w:rsidRDefault="008A0743" w:rsidP="001F275B">
      <w:pPr>
        <w:pStyle w:val="3-BodyText"/>
        <w:rPr>
          <w:rFonts w:eastAsiaTheme="minorEastAsia"/>
        </w:rPr>
      </w:pPr>
      <w:r w:rsidRPr="008A0743">
        <w:t>Table 1</w:t>
      </w:r>
      <w:r w:rsidR="00695A67">
        <w:t>3</w:t>
      </w:r>
      <w:r w:rsidR="1AA21FF2">
        <w:t xml:space="preserve"> presents the benefits of </w:t>
      </w:r>
      <w:r w:rsidR="26C75C0A">
        <w:t>daratumumab SC + CyBorD</w:t>
      </w:r>
      <w:r w:rsidR="1AA21FF2">
        <w:t xml:space="preserve"> compared to the submission’s supplementary comparator, MDex, based on the results of </w:t>
      </w:r>
      <w:r w:rsidR="19D50E36">
        <w:t>ITC</w:t>
      </w:r>
      <w:r w:rsidR="1AA21FF2">
        <w:t>,</w:t>
      </w:r>
      <w:r w:rsidR="1F4A0D1A">
        <w:t xml:space="preserve"> via </w:t>
      </w:r>
      <w:r w:rsidR="1AA21FF2">
        <w:t>the common comparator, bortezomib</w:t>
      </w:r>
      <w:r w:rsidR="5E65AEAE">
        <w:t>-</w:t>
      </w:r>
      <w:r w:rsidR="1AA21FF2">
        <w:t xml:space="preserve">based regimens (i.e. CyBorD/BMDex). </w:t>
      </w:r>
    </w:p>
    <w:p w14:paraId="2826F3F0" w14:textId="77777777" w:rsidR="00F11C51" w:rsidRDefault="00F11C51" w:rsidP="00F11C51">
      <w:pPr>
        <w:pStyle w:val="3-BodyText"/>
      </w:pPr>
      <w:r>
        <w:t xml:space="preserve">The submission presented no comparative safety evidence, comparing daratumumab + CyBorD with MDex. Accordingly, the harms component of this table was not presented. </w:t>
      </w:r>
    </w:p>
    <w:p w14:paraId="79690BCF" w14:textId="77777777" w:rsidR="001F275B" w:rsidRPr="001F275B" w:rsidRDefault="001F275B" w:rsidP="001F275B">
      <w:pPr>
        <w:pStyle w:val="TableText0"/>
        <w:rPr>
          <w:b/>
        </w:rPr>
      </w:pPr>
      <w:bookmarkStart w:id="48" w:name="_Ref79427238"/>
      <w:r w:rsidRPr="001F275B">
        <w:rPr>
          <w:b/>
        </w:rPr>
        <w:t xml:space="preserve">Table </w:t>
      </w:r>
      <w:r w:rsidR="008A0743">
        <w:rPr>
          <w:b/>
          <w:noProof/>
        </w:rPr>
        <w:t>1</w:t>
      </w:r>
      <w:bookmarkEnd w:id="48"/>
      <w:r w:rsidR="001A7573">
        <w:rPr>
          <w:b/>
        </w:rPr>
        <w:t>3</w:t>
      </w:r>
      <w:r w:rsidRPr="001F275B">
        <w:t xml:space="preserve">: </w:t>
      </w:r>
      <w:r w:rsidRPr="001F275B">
        <w:rPr>
          <w:rStyle w:val="CommentReference"/>
          <w:szCs w:val="24"/>
        </w:rPr>
        <w:t xml:space="preserve">Indirect comparison of comparative benefits for </w:t>
      </w:r>
      <w:r w:rsidR="00C9703D">
        <w:rPr>
          <w:rStyle w:val="CommentReference"/>
          <w:szCs w:val="24"/>
        </w:rPr>
        <w:t>daratumumab SC + CyBorD</w:t>
      </w:r>
      <w:r w:rsidRPr="001F275B">
        <w:rPr>
          <w:rStyle w:val="CommentReference"/>
          <w:szCs w:val="24"/>
        </w:rPr>
        <w:t xml:space="preserve"> vs. MDex,</w:t>
      </w:r>
      <w:r w:rsidR="006E7C77">
        <w:t xml:space="preserve"> </w:t>
      </w:r>
      <w:r w:rsidR="006E7C77" w:rsidRPr="00C9703D">
        <w:rPr>
          <w:b/>
        </w:rPr>
        <w:t>via</w:t>
      </w:r>
      <w:r w:rsidR="006E7C77">
        <w:t xml:space="preserve"> </w:t>
      </w:r>
      <w:r w:rsidRPr="001F275B">
        <w:rPr>
          <w:rStyle w:val="CommentReference"/>
          <w:szCs w:val="24"/>
        </w:rPr>
        <w:t>the common comparator, bortezomib based regimens</w:t>
      </w:r>
      <w:r w:rsidR="003043F7">
        <w:rPr>
          <w:rStyle w:val="CommentReference"/>
          <w:szCs w:val="24"/>
        </w:rPr>
        <w:t xml:space="preserve"> (CyBorD/BMDex)</w:t>
      </w:r>
    </w:p>
    <w:tbl>
      <w:tblPr>
        <w:tblW w:w="5000" w:type="pct"/>
        <w:tblLayout w:type="fixed"/>
        <w:tblCellMar>
          <w:left w:w="28" w:type="dxa"/>
          <w:right w:w="28" w:type="dxa"/>
        </w:tblCellMar>
        <w:tblLook w:val="04A0" w:firstRow="1" w:lastRow="0" w:firstColumn="1" w:lastColumn="0" w:noHBand="0" w:noVBand="1"/>
        <w:tblCaption w:val="Table 13: Indirect comparison of comparative benefits for daratumumab SC + CyBorD vs. MDex, via the common comparator, bortezomib based regimens (CyBorD/BMDex)"/>
      </w:tblPr>
      <w:tblGrid>
        <w:gridCol w:w="1153"/>
        <w:gridCol w:w="846"/>
        <w:gridCol w:w="707"/>
        <w:gridCol w:w="126"/>
        <w:gridCol w:w="855"/>
        <w:gridCol w:w="990"/>
        <w:gridCol w:w="146"/>
        <w:gridCol w:w="986"/>
        <w:gridCol w:w="9"/>
        <w:gridCol w:w="703"/>
        <w:gridCol w:w="849"/>
        <w:gridCol w:w="1647"/>
      </w:tblGrid>
      <w:tr w:rsidR="001F275B" w:rsidRPr="002A770B" w14:paraId="5DA31D6A" w14:textId="77777777" w:rsidTr="002C5278">
        <w:trPr>
          <w:trHeight w:val="150"/>
        </w:trPr>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F70B4B" w14:textId="77777777" w:rsidR="001F275B" w:rsidRPr="002A770B" w:rsidRDefault="001F275B" w:rsidP="00F071FF">
            <w:pPr>
              <w:pStyle w:val="In-tableHeading"/>
              <w:rPr>
                <w:lang w:val="en-AU"/>
              </w:rPr>
            </w:pPr>
            <w:r w:rsidRPr="002A770B">
              <w:rPr>
                <w:lang w:val="en-AU"/>
              </w:rPr>
              <w:t>Trial</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14:paraId="19792945" w14:textId="77777777" w:rsidR="001F275B" w:rsidRPr="002A770B" w:rsidRDefault="001F275B" w:rsidP="00F071FF">
            <w:pPr>
              <w:pStyle w:val="In-tableHeading"/>
              <w:jc w:val="center"/>
              <w:rPr>
                <w:lang w:val="en-AU"/>
              </w:rPr>
            </w:pPr>
            <w:r w:rsidRPr="002A770B">
              <w:rPr>
                <w:lang w:val="en-AU"/>
              </w:rPr>
              <w:t>Dara + CyBorD</w:t>
            </w:r>
          </w:p>
        </w:tc>
        <w:tc>
          <w:tcPr>
            <w:tcW w:w="936" w:type="pct"/>
            <w:gridSpan w:val="3"/>
            <w:vMerge w:val="restart"/>
            <w:tcBorders>
              <w:top w:val="single" w:sz="4" w:space="0" w:color="auto"/>
              <w:left w:val="single" w:sz="4" w:space="0" w:color="auto"/>
              <w:bottom w:val="single" w:sz="4" w:space="0" w:color="auto"/>
              <w:right w:val="single" w:sz="4" w:space="0" w:color="auto"/>
            </w:tcBorders>
            <w:vAlign w:val="center"/>
          </w:tcPr>
          <w:p w14:paraId="5830FA8E" w14:textId="77777777" w:rsidR="001F275B" w:rsidRPr="002A770B" w:rsidRDefault="001F275B" w:rsidP="00F071FF">
            <w:pPr>
              <w:pStyle w:val="In-tableHeading"/>
              <w:jc w:val="center"/>
              <w:rPr>
                <w:lang w:val="en-AU"/>
              </w:rPr>
            </w:pPr>
            <w:r w:rsidRPr="002A770B">
              <w:rPr>
                <w:lang w:val="en-AU"/>
              </w:rPr>
              <w:t>CyBorD / BM</w:t>
            </w:r>
            <w:r w:rsidR="003043F7" w:rsidRPr="002A770B">
              <w:rPr>
                <w:lang w:val="en-AU"/>
              </w:rPr>
              <w:t>D</w:t>
            </w:r>
            <w:r w:rsidR="003043F7" w:rsidRPr="002A770B">
              <w:t>ex</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6A090628" w14:textId="77777777" w:rsidR="001F275B" w:rsidRPr="002A770B" w:rsidRDefault="001F275B" w:rsidP="00F071FF">
            <w:pPr>
              <w:pStyle w:val="In-tableHeading"/>
              <w:jc w:val="center"/>
              <w:rPr>
                <w:lang w:val="en-AU"/>
              </w:rPr>
            </w:pPr>
            <w:r w:rsidRPr="002A770B">
              <w:rPr>
                <w:lang w:val="en-AU"/>
              </w:rPr>
              <w:t>RR</w:t>
            </w:r>
          </w:p>
          <w:p w14:paraId="773E0DEF" w14:textId="77777777" w:rsidR="001F275B" w:rsidRPr="002A770B" w:rsidRDefault="001F275B" w:rsidP="00F071FF">
            <w:pPr>
              <w:pStyle w:val="In-tableHeading"/>
              <w:jc w:val="center"/>
              <w:rPr>
                <w:lang w:val="en-AU"/>
              </w:rPr>
            </w:pPr>
            <w:r w:rsidRPr="002A770B">
              <w:rPr>
                <w:lang w:val="en-AU"/>
              </w:rPr>
              <w:t>(95% CI)</w:t>
            </w:r>
          </w:p>
        </w:tc>
        <w:tc>
          <w:tcPr>
            <w:tcW w:w="1412" w:type="pct"/>
            <w:gridSpan w:val="4"/>
            <w:tcBorders>
              <w:top w:val="single" w:sz="4" w:space="0" w:color="auto"/>
              <w:left w:val="single" w:sz="4" w:space="0" w:color="auto"/>
              <w:bottom w:val="single" w:sz="4" w:space="0" w:color="auto"/>
              <w:right w:val="single" w:sz="4" w:space="0" w:color="auto"/>
            </w:tcBorders>
            <w:vAlign w:val="center"/>
          </w:tcPr>
          <w:p w14:paraId="22A98F20" w14:textId="77777777" w:rsidR="001F275B" w:rsidRPr="002A770B" w:rsidRDefault="001F275B" w:rsidP="00F071FF">
            <w:pPr>
              <w:pStyle w:val="In-tableHeading"/>
              <w:jc w:val="center"/>
              <w:rPr>
                <w:lang w:val="en-AU"/>
              </w:rPr>
            </w:pPr>
            <w:r w:rsidRPr="002A770B">
              <w:rPr>
                <w:lang w:val="en-AU"/>
              </w:rPr>
              <w:t>Event rate/100 patients*</w:t>
            </w:r>
          </w:p>
        </w:tc>
        <w:tc>
          <w:tcPr>
            <w:tcW w:w="914" w:type="pct"/>
            <w:vMerge w:val="restart"/>
            <w:tcBorders>
              <w:top w:val="single" w:sz="4" w:space="0" w:color="auto"/>
              <w:left w:val="single" w:sz="4" w:space="0" w:color="auto"/>
              <w:bottom w:val="single" w:sz="4" w:space="0" w:color="auto"/>
              <w:right w:val="single" w:sz="4" w:space="0" w:color="auto"/>
            </w:tcBorders>
            <w:vAlign w:val="center"/>
          </w:tcPr>
          <w:p w14:paraId="5DE4777E" w14:textId="77777777" w:rsidR="001F275B" w:rsidRPr="002A770B" w:rsidRDefault="001F275B" w:rsidP="00F071FF">
            <w:pPr>
              <w:pStyle w:val="In-tableHeading"/>
              <w:jc w:val="center"/>
              <w:rPr>
                <w:lang w:val="en-AU"/>
              </w:rPr>
            </w:pPr>
            <w:r w:rsidRPr="002A770B">
              <w:rPr>
                <w:lang w:val="en-AU"/>
              </w:rPr>
              <w:t>RD</w:t>
            </w:r>
          </w:p>
          <w:p w14:paraId="20C917CF" w14:textId="77777777" w:rsidR="001F275B" w:rsidRPr="002A770B" w:rsidRDefault="001F275B" w:rsidP="00F071FF">
            <w:pPr>
              <w:pStyle w:val="In-tableHeading"/>
              <w:jc w:val="center"/>
              <w:rPr>
                <w:lang w:val="en-AU"/>
              </w:rPr>
            </w:pPr>
            <w:r w:rsidRPr="002A770B">
              <w:rPr>
                <w:lang w:val="en-AU"/>
              </w:rPr>
              <w:t>(95% CI)</w:t>
            </w:r>
          </w:p>
        </w:tc>
      </w:tr>
      <w:tr w:rsidR="001F275B" w:rsidRPr="002A770B" w14:paraId="1385CDF2" w14:textId="77777777" w:rsidTr="002C5278">
        <w:trPr>
          <w:trHeight w:val="315"/>
        </w:trPr>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AC54B5" w14:textId="77777777" w:rsidR="001F275B" w:rsidRPr="002A770B" w:rsidRDefault="001F275B" w:rsidP="00F071FF">
            <w:pPr>
              <w:pStyle w:val="In-tableHeading"/>
              <w:jc w:val="center"/>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4F3A7E7E" w14:textId="77777777" w:rsidR="001F275B" w:rsidRPr="002A770B" w:rsidRDefault="001F275B" w:rsidP="00F071FF">
            <w:pPr>
              <w:pStyle w:val="In-tableHeading"/>
              <w:jc w:val="center"/>
              <w:rPr>
                <w:lang w:val="en-AU"/>
              </w:rPr>
            </w:pPr>
          </w:p>
        </w:tc>
        <w:tc>
          <w:tcPr>
            <w:tcW w:w="936" w:type="pct"/>
            <w:gridSpan w:val="3"/>
            <w:vMerge/>
            <w:tcBorders>
              <w:top w:val="single" w:sz="4" w:space="0" w:color="auto"/>
              <w:left w:val="single" w:sz="4" w:space="0" w:color="auto"/>
              <w:bottom w:val="single" w:sz="4" w:space="0" w:color="auto"/>
              <w:right w:val="single" w:sz="4" w:space="0" w:color="auto"/>
            </w:tcBorders>
            <w:vAlign w:val="center"/>
          </w:tcPr>
          <w:p w14:paraId="12138058" w14:textId="77777777" w:rsidR="001F275B" w:rsidRPr="002A770B" w:rsidRDefault="001F275B" w:rsidP="00F071FF">
            <w:pPr>
              <w:pStyle w:val="In-tableHeading"/>
              <w:jc w:val="center"/>
              <w:rPr>
                <w:lang w:val="en-AU"/>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112F57E9" w14:textId="77777777" w:rsidR="001F275B" w:rsidRPr="002A770B" w:rsidRDefault="001F275B" w:rsidP="00F071FF">
            <w:pPr>
              <w:pStyle w:val="In-tableHeading"/>
              <w:jc w:val="center"/>
              <w:rPr>
                <w:lang w:val="en-AU"/>
              </w:rPr>
            </w:pPr>
          </w:p>
        </w:tc>
        <w:tc>
          <w:tcPr>
            <w:tcW w:w="552" w:type="pct"/>
            <w:gridSpan w:val="2"/>
            <w:tcBorders>
              <w:top w:val="single" w:sz="4" w:space="0" w:color="auto"/>
              <w:left w:val="single" w:sz="4" w:space="0" w:color="auto"/>
              <w:bottom w:val="single" w:sz="4" w:space="0" w:color="auto"/>
              <w:right w:val="single" w:sz="4" w:space="0" w:color="auto"/>
            </w:tcBorders>
            <w:vAlign w:val="center"/>
          </w:tcPr>
          <w:p w14:paraId="604C3200" w14:textId="77777777" w:rsidR="001F275B" w:rsidRPr="002A770B" w:rsidRDefault="001F275B" w:rsidP="00F071FF">
            <w:pPr>
              <w:pStyle w:val="In-tableHeading"/>
              <w:jc w:val="center"/>
              <w:rPr>
                <w:lang w:val="en-AU"/>
              </w:rPr>
            </w:pPr>
            <w:r w:rsidRPr="002A770B">
              <w:rPr>
                <w:lang w:val="en-AU"/>
              </w:rPr>
              <w:t>Dara + CyBorD</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6271838" w14:textId="77777777" w:rsidR="001F275B" w:rsidRPr="002A770B" w:rsidRDefault="001F275B" w:rsidP="00F071FF">
            <w:pPr>
              <w:pStyle w:val="In-tableHeading"/>
              <w:jc w:val="center"/>
              <w:rPr>
                <w:lang w:val="en-AU"/>
              </w:rPr>
            </w:pPr>
            <w:r w:rsidRPr="002A770B">
              <w:rPr>
                <w:lang w:val="en-AU"/>
              </w:rPr>
              <w:t>CyBorD / BMEX</w:t>
            </w:r>
          </w:p>
        </w:tc>
        <w:tc>
          <w:tcPr>
            <w:tcW w:w="914" w:type="pct"/>
            <w:vMerge/>
            <w:tcBorders>
              <w:top w:val="single" w:sz="4" w:space="0" w:color="auto"/>
              <w:left w:val="single" w:sz="4" w:space="0" w:color="auto"/>
              <w:bottom w:val="single" w:sz="4" w:space="0" w:color="auto"/>
              <w:right w:val="single" w:sz="4" w:space="0" w:color="auto"/>
            </w:tcBorders>
            <w:vAlign w:val="center"/>
          </w:tcPr>
          <w:p w14:paraId="04D8FD9B" w14:textId="77777777" w:rsidR="001F275B" w:rsidRPr="002A770B" w:rsidRDefault="001F275B" w:rsidP="00F071FF">
            <w:pPr>
              <w:pStyle w:val="In-tableHeading"/>
              <w:jc w:val="center"/>
              <w:rPr>
                <w:lang w:val="en-AU"/>
              </w:rPr>
            </w:pPr>
          </w:p>
        </w:tc>
      </w:tr>
      <w:tr w:rsidR="001F275B" w:rsidRPr="002A770B" w14:paraId="51FEC697" w14:textId="77777777" w:rsidTr="002C5278">
        <w:tc>
          <w:tcPr>
            <w:tcW w:w="5000" w:type="pct"/>
            <w:gridSpan w:val="12"/>
            <w:tcBorders>
              <w:top w:val="single" w:sz="4" w:space="0" w:color="auto"/>
              <w:left w:val="single" w:sz="4" w:space="0" w:color="auto"/>
              <w:bottom w:val="double" w:sz="4" w:space="0" w:color="auto"/>
              <w:right w:val="single" w:sz="4" w:space="0" w:color="auto"/>
            </w:tcBorders>
            <w:shd w:val="clear" w:color="auto" w:fill="auto"/>
            <w:vAlign w:val="center"/>
          </w:tcPr>
          <w:p w14:paraId="0F3A7DF5" w14:textId="77777777" w:rsidR="001F275B" w:rsidRPr="002A770B" w:rsidRDefault="001F275B" w:rsidP="00F071FF">
            <w:pPr>
              <w:pStyle w:val="In-tableHeading"/>
              <w:rPr>
                <w:lang w:val="en-AU"/>
              </w:rPr>
            </w:pPr>
            <w:r w:rsidRPr="002A770B">
              <w:rPr>
                <w:lang w:val="en-AU"/>
              </w:rPr>
              <w:t>Benefits</w:t>
            </w:r>
          </w:p>
        </w:tc>
      </w:tr>
      <w:tr w:rsidR="001F275B" w:rsidRPr="002A770B" w14:paraId="71804240" w14:textId="77777777" w:rsidTr="002C5278">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36157D9A" w14:textId="77777777" w:rsidR="001F275B" w:rsidRPr="002A770B" w:rsidRDefault="00E16B7A" w:rsidP="00E16B7A">
            <w:pPr>
              <w:pStyle w:val="In-tableHeading"/>
              <w:rPr>
                <w:lang w:val="en-AU"/>
              </w:rPr>
            </w:pPr>
            <w:r w:rsidRPr="002A770B">
              <w:rPr>
                <w:lang w:val="en-AU"/>
              </w:rPr>
              <w:t>Overall complete</w:t>
            </w:r>
            <w:r w:rsidR="001F275B" w:rsidRPr="002A770B">
              <w:rPr>
                <w:lang w:val="en-AU"/>
              </w:rPr>
              <w:t xml:space="preserve"> response rates reported in ANDROMEDA vs. Kastritis et al. 2020</w:t>
            </w:r>
          </w:p>
        </w:tc>
      </w:tr>
      <w:tr w:rsidR="001F275B" w:rsidRPr="002A770B" w14:paraId="7E0A8196" w14:textId="77777777" w:rsidTr="002C5278">
        <w:trPr>
          <w:trHeight w:val="105"/>
        </w:trPr>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A9220" w14:textId="77777777" w:rsidR="001F275B" w:rsidRPr="002A770B" w:rsidRDefault="001F275B" w:rsidP="00F071FF">
            <w:pPr>
              <w:pStyle w:val="In-tableHeading"/>
              <w:rPr>
                <w:lang w:val="en-AU"/>
              </w:rPr>
            </w:pPr>
            <w:r w:rsidRPr="002A770B">
              <w:rPr>
                <w:lang w:val="en-AU"/>
              </w:rPr>
              <w:t>Trial</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14:paraId="5944BFA6" w14:textId="77777777" w:rsidR="001F275B" w:rsidRPr="002A770B" w:rsidRDefault="001F275B" w:rsidP="00F071FF">
            <w:pPr>
              <w:pStyle w:val="In-tableHeading"/>
              <w:jc w:val="center"/>
              <w:rPr>
                <w:lang w:val="en-AU"/>
              </w:rPr>
            </w:pPr>
            <w:r w:rsidRPr="002A770B">
              <w:rPr>
                <w:lang w:val="en-AU"/>
              </w:rPr>
              <w:t>Dara + CyBorD</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3D791DF8" w14:textId="77777777" w:rsidR="001F275B" w:rsidRPr="002A770B" w:rsidRDefault="001F275B" w:rsidP="00F071FF">
            <w:pPr>
              <w:pStyle w:val="In-tableHeading"/>
              <w:jc w:val="center"/>
              <w:rPr>
                <w:lang w:val="en-AU"/>
              </w:rPr>
            </w:pPr>
            <w:r w:rsidRPr="002A770B">
              <w:rPr>
                <w:lang w:val="en-AU"/>
              </w:rPr>
              <w:t>MDex</w:t>
            </w:r>
          </w:p>
        </w:tc>
        <w:tc>
          <w:tcPr>
            <w:tcW w:w="544" w:type="pct"/>
            <w:gridSpan w:val="2"/>
            <w:vMerge w:val="restart"/>
            <w:tcBorders>
              <w:top w:val="single" w:sz="4" w:space="0" w:color="auto"/>
              <w:left w:val="single" w:sz="4" w:space="0" w:color="auto"/>
              <w:bottom w:val="single" w:sz="4" w:space="0" w:color="auto"/>
              <w:right w:val="single" w:sz="4" w:space="0" w:color="auto"/>
            </w:tcBorders>
            <w:vAlign w:val="center"/>
          </w:tcPr>
          <w:p w14:paraId="6A7F84B0" w14:textId="77777777" w:rsidR="001F275B" w:rsidRPr="002A770B" w:rsidRDefault="003043F7" w:rsidP="00F071FF">
            <w:pPr>
              <w:pStyle w:val="In-tableHeading"/>
              <w:jc w:val="center"/>
              <w:rPr>
                <w:lang w:val="en-AU"/>
              </w:rPr>
            </w:pPr>
            <w:r w:rsidRPr="002A770B">
              <w:rPr>
                <w:lang w:val="en-AU"/>
              </w:rPr>
              <w:t>CyBorD / BMD</w:t>
            </w:r>
            <w:r w:rsidRPr="002A770B">
              <w:t>ex</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tcPr>
          <w:p w14:paraId="39124CB9" w14:textId="77777777" w:rsidR="001F275B" w:rsidRPr="002A770B" w:rsidRDefault="001F275B" w:rsidP="00F071FF">
            <w:pPr>
              <w:pStyle w:val="In-tableHeading"/>
              <w:jc w:val="center"/>
              <w:rPr>
                <w:lang w:val="en-AU"/>
              </w:rPr>
            </w:pPr>
            <w:r w:rsidRPr="002A770B">
              <w:rPr>
                <w:lang w:val="en-AU"/>
              </w:rPr>
              <w:t>Odds Ratio</w:t>
            </w:r>
          </w:p>
          <w:p w14:paraId="0E16278E" w14:textId="77777777" w:rsidR="001F275B" w:rsidRPr="002A770B" w:rsidRDefault="001F275B" w:rsidP="00F071FF">
            <w:pPr>
              <w:pStyle w:val="In-tableHeading"/>
              <w:jc w:val="center"/>
              <w:rPr>
                <w:lang w:val="en-AU"/>
              </w:rPr>
            </w:pPr>
            <w:r w:rsidRPr="002A770B">
              <w:rPr>
                <w:lang w:val="en-AU"/>
              </w:rPr>
              <w:t>(95% CI)</w:t>
            </w:r>
          </w:p>
        </w:tc>
        <w:tc>
          <w:tcPr>
            <w:tcW w:w="1412" w:type="pct"/>
            <w:gridSpan w:val="4"/>
            <w:tcBorders>
              <w:top w:val="single" w:sz="4" w:space="0" w:color="auto"/>
              <w:left w:val="single" w:sz="4" w:space="0" w:color="auto"/>
              <w:bottom w:val="single" w:sz="4" w:space="0" w:color="auto"/>
              <w:right w:val="single" w:sz="4" w:space="0" w:color="auto"/>
            </w:tcBorders>
            <w:vAlign w:val="center"/>
          </w:tcPr>
          <w:p w14:paraId="02F83DF8" w14:textId="77777777" w:rsidR="001F275B" w:rsidRPr="002A770B" w:rsidRDefault="001F275B" w:rsidP="00F071FF">
            <w:pPr>
              <w:pStyle w:val="In-tableHeading"/>
              <w:jc w:val="center"/>
              <w:rPr>
                <w:lang w:val="en-AU"/>
              </w:rPr>
            </w:pPr>
            <w:r w:rsidRPr="002A770B">
              <w:rPr>
                <w:lang w:val="en-AU"/>
              </w:rPr>
              <w:t>Event rate/100 patients*</w:t>
            </w:r>
          </w:p>
        </w:tc>
        <w:tc>
          <w:tcPr>
            <w:tcW w:w="914" w:type="pct"/>
            <w:vMerge w:val="restart"/>
            <w:tcBorders>
              <w:top w:val="single" w:sz="4" w:space="0" w:color="auto"/>
              <w:left w:val="single" w:sz="4" w:space="0" w:color="auto"/>
              <w:bottom w:val="single" w:sz="4" w:space="0" w:color="auto"/>
              <w:right w:val="single" w:sz="4" w:space="0" w:color="auto"/>
            </w:tcBorders>
            <w:vAlign w:val="center"/>
          </w:tcPr>
          <w:p w14:paraId="086DFC3C" w14:textId="77777777" w:rsidR="001F275B" w:rsidRPr="002A770B" w:rsidRDefault="001F275B" w:rsidP="00F071FF">
            <w:pPr>
              <w:pStyle w:val="In-tableHeading"/>
              <w:jc w:val="center"/>
              <w:rPr>
                <w:lang w:val="en-AU"/>
              </w:rPr>
            </w:pPr>
            <w:r w:rsidRPr="002A770B">
              <w:rPr>
                <w:lang w:val="en-AU"/>
              </w:rPr>
              <w:t>RD</w:t>
            </w:r>
          </w:p>
          <w:p w14:paraId="7E72328F" w14:textId="77777777" w:rsidR="001F275B" w:rsidRPr="002A770B" w:rsidRDefault="001F275B" w:rsidP="00F071FF">
            <w:pPr>
              <w:pStyle w:val="In-tableHeading"/>
              <w:jc w:val="center"/>
              <w:rPr>
                <w:lang w:val="en-AU"/>
              </w:rPr>
            </w:pPr>
            <w:r w:rsidRPr="002A770B">
              <w:rPr>
                <w:lang w:val="en-AU"/>
              </w:rPr>
              <w:t>(95% CI)</w:t>
            </w:r>
          </w:p>
        </w:tc>
      </w:tr>
      <w:tr w:rsidR="001F275B" w:rsidRPr="002A770B" w14:paraId="66FC64DA" w14:textId="77777777" w:rsidTr="002C5278">
        <w:trPr>
          <w:trHeight w:val="70"/>
        </w:trPr>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1A4CE7" w14:textId="77777777" w:rsidR="001F275B" w:rsidRPr="002A770B" w:rsidRDefault="001F275B" w:rsidP="00F071FF">
            <w:pPr>
              <w:pStyle w:val="In-tableHeading"/>
              <w:jc w:val="center"/>
              <w:rPr>
                <w:lang w:val="en-AU"/>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30052C09" w14:textId="77777777" w:rsidR="001F275B" w:rsidRPr="002A770B" w:rsidRDefault="001F275B" w:rsidP="00F071FF">
            <w:pPr>
              <w:pStyle w:val="In-tableHeading"/>
              <w:jc w:val="center"/>
              <w:rPr>
                <w:lang w:val="en-AU"/>
              </w:rPr>
            </w:pPr>
          </w:p>
        </w:tc>
        <w:tc>
          <w:tcPr>
            <w:tcW w:w="392" w:type="pct"/>
            <w:vMerge/>
            <w:tcBorders>
              <w:top w:val="single" w:sz="4" w:space="0" w:color="auto"/>
              <w:left w:val="single" w:sz="4" w:space="0" w:color="auto"/>
              <w:bottom w:val="single" w:sz="4" w:space="0" w:color="auto"/>
              <w:right w:val="single" w:sz="4" w:space="0" w:color="auto"/>
            </w:tcBorders>
            <w:vAlign w:val="center"/>
          </w:tcPr>
          <w:p w14:paraId="51772152" w14:textId="77777777" w:rsidR="001F275B" w:rsidRPr="002A770B" w:rsidRDefault="001F275B" w:rsidP="00F071FF">
            <w:pPr>
              <w:pStyle w:val="In-tableHeading"/>
              <w:jc w:val="center"/>
              <w:rPr>
                <w:lang w:val="en-AU"/>
              </w:rPr>
            </w:pPr>
          </w:p>
        </w:tc>
        <w:tc>
          <w:tcPr>
            <w:tcW w:w="544" w:type="pct"/>
            <w:gridSpan w:val="2"/>
            <w:vMerge/>
            <w:tcBorders>
              <w:top w:val="single" w:sz="4" w:space="0" w:color="auto"/>
              <w:left w:val="single" w:sz="4" w:space="0" w:color="auto"/>
              <w:bottom w:val="single" w:sz="4" w:space="0" w:color="auto"/>
              <w:right w:val="single" w:sz="4" w:space="0" w:color="auto"/>
            </w:tcBorders>
            <w:vAlign w:val="center"/>
          </w:tcPr>
          <w:p w14:paraId="62462EA3" w14:textId="77777777" w:rsidR="001F275B" w:rsidRPr="002A770B" w:rsidRDefault="001F275B" w:rsidP="00F071FF">
            <w:pPr>
              <w:pStyle w:val="In-tableHeading"/>
              <w:jc w:val="center"/>
              <w:rPr>
                <w:lang w:val="en-AU"/>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tcPr>
          <w:p w14:paraId="397819FA" w14:textId="77777777" w:rsidR="001F275B" w:rsidRPr="002A770B" w:rsidRDefault="001F275B" w:rsidP="00F071FF">
            <w:pPr>
              <w:pStyle w:val="In-tableHeading"/>
              <w:jc w:val="center"/>
              <w:rPr>
                <w:lang w:val="en-AU"/>
              </w:rPr>
            </w:pPr>
          </w:p>
        </w:tc>
        <w:tc>
          <w:tcPr>
            <w:tcW w:w="547" w:type="pct"/>
            <w:tcBorders>
              <w:top w:val="single" w:sz="4" w:space="0" w:color="auto"/>
              <w:left w:val="single" w:sz="4" w:space="0" w:color="auto"/>
              <w:bottom w:val="single" w:sz="4" w:space="0" w:color="auto"/>
              <w:right w:val="single" w:sz="4" w:space="0" w:color="auto"/>
            </w:tcBorders>
            <w:vAlign w:val="center"/>
          </w:tcPr>
          <w:p w14:paraId="4F8961D6" w14:textId="77777777" w:rsidR="001F275B" w:rsidRPr="002A770B" w:rsidRDefault="001F275B" w:rsidP="00F071FF">
            <w:pPr>
              <w:pStyle w:val="In-tableHeading"/>
              <w:jc w:val="center"/>
              <w:rPr>
                <w:lang w:val="en-AU"/>
              </w:rPr>
            </w:pPr>
            <w:r w:rsidRPr="002A770B">
              <w:rPr>
                <w:lang w:val="en-AU"/>
              </w:rPr>
              <w:t>Dara + CyBorD</w:t>
            </w: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647B3CA9" w14:textId="77777777" w:rsidR="001F275B" w:rsidRPr="002A770B" w:rsidRDefault="001F275B" w:rsidP="00F071FF">
            <w:pPr>
              <w:pStyle w:val="In-tableHeading"/>
              <w:jc w:val="center"/>
              <w:rPr>
                <w:lang w:val="en-AU"/>
              </w:rPr>
            </w:pPr>
            <w:r w:rsidRPr="002A770B">
              <w:rPr>
                <w:lang w:val="en-AU"/>
              </w:rPr>
              <w:t>MDex</w:t>
            </w:r>
          </w:p>
        </w:tc>
        <w:tc>
          <w:tcPr>
            <w:tcW w:w="471" w:type="pct"/>
            <w:tcBorders>
              <w:top w:val="single" w:sz="4" w:space="0" w:color="auto"/>
              <w:left w:val="single" w:sz="4" w:space="0" w:color="auto"/>
              <w:bottom w:val="single" w:sz="4" w:space="0" w:color="auto"/>
              <w:right w:val="single" w:sz="4" w:space="0" w:color="auto"/>
            </w:tcBorders>
            <w:vAlign w:val="center"/>
          </w:tcPr>
          <w:p w14:paraId="66D30B24" w14:textId="77777777" w:rsidR="001F275B" w:rsidRPr="002A770B" w:rsidRDefault="003043F7" w:rsidP="00F071FF">
            <w:pPr>
              <w:pStyle w:val="In-tableHeading"/>
              <w:jc w:val="center"/>
              <w:rPr>
                <w:lang w:val="en-AU"/>
              </w:rPr>
            </w:pPr>
            <w:r w:rsidRPr="002A770B">
              <w:rPr>
                <w:lang w:val="en-AU"/>
              </w:rPr>
              <w:t>CyBorD / BMD</w:t>
            </w:r>
            <w:r w:rsidRPr="002A770B">
              <w:t>ex</w:t>
            </w:r>
          </w:p>
        </w:tc>
        <w:tc>
          <w:tcPr>
            <w:tcW w:w="914" w:type="pct"/>
            <w:vMerge/>
            <w:tcBorders>
              <w:top w:val="single" w:sz="4" w:space="0" w:color="auto"/>
              <w:left w:val="single" w:sz="4" w:space="0" w:color="auto"/>
              <w:bottom w:val="single" w:sz="4" w:space="0" w:color="auto"/>
              <w:right w:val="single" w:sz="4" w:space="0" w:color="auto"/>
            </w:tcBorders>
            <w:vAlign w:val="center"/>
          </w:tcPr>
          <w:p w14:paraId="495F458F" w14:textId="77777777" w:rsidR="001F275B" w:rsidRPr="002A770B" w:rsidRDefault="001F275B" w:rsidP="00F071FF">
            <w:pPr>
              <w:pStyle w:val="In-tableHeading"/>
              <w:jc w:val="center"/>
              <w:rPr>
                <w:lang w:val="en-AU"/>
              </w:rPr>
            </w:pPr>
          </w:p>
        </w:tc>
      </w:tr>
      <w:tr w:rsidR="001F275B" w:rsidRPr="002A770B" w14:paraId="27843639" w14:textId="77777777" w:rsidTr="002C5278">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BB5DA3B" w14:textId="77777777" w:rsidR="001F275B" w:rsidRPr="002A770B" w:rsidRDefault="001F275B" w:rsidP="00F071FF">
            <w:pPr>
              <w:pStyle w:val="TableText0"/>
            </w:pPr>
            <w:r w:rsidRPr="002A770B">
              <w:t>ANDROMEDA</w:t>
            </w:r>
          </w:p>
        </w:tc>
        <w:tc>
          <w:tcPr>
            <w:tcW w:w="469" w:type="pct"/>
            <w:tcBorders>
              <w:top w:val="single" w:sz="4" w:space="0" w:color="auto"/>
              <w:left w:val="single" w:sz="4" w:space="0" w:color="auto"/>
              <w:bottom w:val="single" w:sz="4" w:space="0" w:color="auto"/>
              <w:right w:val="single" w:sz="4" w:space="0" w:color="auto"/>
            </w:tcBorders>
            <w:vAlign w:val="center"/>
          </w:tcPr>
          <w:p w14:paraId="0A81FDE0" w14:textId="77777777" w:rsidR="001F275B" w:rsidRPr="002A770B" w:rsidRDefault="001F275B" w:rsidP="00F071FF">
            <w:pPr>
              <w:pStyle w:val="TableText0"/>
              <w:jc w:val="center"/>
            </w:pPr>
            <w:r w:rsidRPr="002A770B">
              <w:t>104/195</w:t>
            </w:r>
          </w:p>
        </w:tc>
        <w:tc>
          <w:tcPr>
            <w:tcW w:w="392" w:type="pct"/>
            <w:tcBorders>
              <w:top w:val="single" w:sz="4" w:space="0" w:color="auto"/>
              <w:left w:val="single" w:sz="4" w:space="0" w:color="auto"/>
              <w:bottom w:val="single" w:sz="4" w:space="0" w:color="auto"/>
              <w:right w:val="single" w:sz="4" w:space="0" w:color="auto"/>
            </w:tcBorders>
            <w:vAlign w:val="center"/>
          </w:tcPr>
          <w:p w14:paraId="37F53857" w14:textId="77777777" w:rsidR="001F275B" w:rsidRPr="002A770B" w:rsidRDefault="001F275B" w:rsidP="00F071FF">
            <w:pPr>
              <w:pStyle w:val="TableText0"/>
              <w:jc w:val="center"/>
            </w:pPr>
            <w:r w:rsidRPr="002A770B">
              <w:t>-</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557F43C3" w14:textId="77777777" w:rsidR="001F275B" w:rsidRPr="002A770B" w:rsidRDefault="001F275B" w:rsidP="00F071FF">
            <w:pPr>
              <w:pStyle w:val="TableText0"/>
              <w:jc w:val="center"/>
            </w:pPr>
            <w:r w:rsidRPr="002A770B">
              <w:t>35/193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0E5767BC" w14:textId="77777777" w:rsidR="001F275B" w:rsidRPr="002A770B" w:rsidRDefault="001F275B" w:rsidP="00F071FF">
            <w:pPr>
              <w:pStyle w:val="TableText0"/>
              <w:jc w:val="center"/>
            </w:pPr>
            <w:r w:rsidRPr="002A770B">
              <w:t xml:space="preserve">5.13 </w:t>
            </w:r>
          </w:p>
          <w:p w14:paraId="4A334D3F" w14:textId="77777777" w:rsidR="001F275B" w:rsidRPr="002A770B" w:rsidRDefault="001F275B" w:rsidP="00F071FF">
            <w:pPr>
              <w:pStyle w:val="TableText0"/>
              <w:jc w:val="center"/>
            </w:pPr>
            <w:r w:rsidRPr="002A770B">
              <w:t>(3.22, 8.16)</w:t>
            </w:r>
          </w:p>
        </w:tc>
        <w:tc>
          <w:tcPr>
            <w:tcW w:w="547" w:type="pct"/>
            <w:tcBorders>
              <w:top w:val="single" w:sz="4" w:space="0" w:color="auto"/>
              <w:left w:val="single" w:sz="4" w:space="0" w:color="auto"/>
              <w:bottom w:val="single" w:sz="4" w:space="0" w:color="auto"/>
              <w:right w:val="single" w:sz="4" w:space="0" w:color="auto"/>
            </w:tcBorders>
            <w:vAlign w:val="center"/>
          </w:tcPr>
          <w:p w14:paraId="2D273B56" w14:textId="77777777" w:rsidR="001F275B" w:rsidRPr="002A770B" w:rsidRDefault="001F275B" w:rsidP="00F071FF">
            <w:pPr>
              <w:pStyle w:val="TableText0"/>
              <w:jc w:val="center"/>
            </w:pPr>
            <w:r w:rsidRPr="002A770B">
              <w:t>53.3</w:t>
            </w: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551C16BA" w14:textId="77777777" w:rsidR="001F275B" w:rsidRPr="002A770B" w:rsidRDefault="00251104" w:rsidP="00F071FF">
            <w:pPr>
              <w:pStyle w:val="TableText0"/>
              <w:jc w:val="center"/>
            </w:pPr>
            <w:r>
              <w:t>-</w:t>
            </w:r>
          </w:p>
        </w:tc>
        <w:tc>
          <w:tcPr>
            <w:tcW w:w="471" w:type="pct"/>
            <w:tcBorders>
              <w:top w:val="single" w:sz="4" w:space="0" w:color="auto"/>
              <w:left w:val="single" w:sz="4" w:space="0" w:color="auto"/>
              <w:bottom w:val="single" w:sz="4" w:space="0" w:color="auto"/>
              <w:right w:val="single" w:sz="4" w:space="0" w:color="auto"/>
            </w:tcBorders>
            <w:vAlign w:val="center"/>
          </w:tcPr>
          <w:p w14:paraId="31A0B829" w14:textId="77777777" w:rsidR="001F275B" w:rsidRPr="002A770B" w:rsidRDefault="001F275B" w:rsidP="00F071FF">
            <w:pPr>
              <w:pStyle w:val="TableText0"/>
              <w:jc w:val="center"/>
            </w:pPr>
            <w:r w:rsidRPr="002A770B">
              <w:t>18.1</w:t>
            </w:r>
          </w:p>
        </w:tc>
        <w:tc>
          <w:tcPr>
            <w:tcW w:w="914" w:type="pct"/>
            <w:tcBorders>
              <w:top w:val="single" w:sz="4" w:space="0" w:color="auto"/>
              <w:left w:val="single" w:sz="4" w:space="0" w:color="auto"/>
              <w:bottom w:val="single" w:sz="4" w:space="0" w:color="auto"/>
              <w:right w:val="single" w:sz="4" w:space="0" w:color="auto"/>
            </w:tcBorders>
            <w:vAlign w:val="center"/>
          </w:tcPr>
          <w:p w14:paraId="7DC5C785" w14:textId="77777777" w:rsidR="001F275B" w:rsidRPr="002A770B" w:rsidRDefault="00B34EB8" w:rsidP="00F071FF">
            <w:pPr>
              <w:pStyle w:val="TableText0"/>
              <w:jc w:val="center"/>
            </w:pPr>
            <w:r w:rsidRPr="002A770B">
              <w:rPr>
                <w:b/>
              </w:rPr>
              <w:t>35%</w:t>
            </w:r>
            <w:r w:rsidR="004C0A37" w:rsidRPr="002A770B">
              <w:rPr>
                <w:b/>
              </w:rPr>
              <w:t xml:space="preserve"> </w:t>
            </w:r>
            <w:r w:rsidR="003F78B9">
              <w:rPr>
                <w:b/>
              </w:rPr>
              <w:br/>
            </w:r>
            <w:r w:rsidR="004C0A37" w:rsidRPr="002A770B">
              <w:rPr>
                <w:b/>
              </w:rPr>
              <w:t>(26%, 44%)</w:t>
            </w:r>
          </w:p>
        </w:tc>
      </w:tr>
      <w:tr w:rsidR="001F275B" w:rsidRPr="002A770B" w14:paraId="000A3547" w14:textId="77777777" w:rsidTr="002C5278">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620FAC2" w14:textId="77777777" w:rsidR="001F275B" w:rsidRPr="002A770B" w:rsidRDefault="001F275B" w:rsidP="00F071FF">
            <w:pPr>
              <w:pStyle w:val="TableText0"/>
            </w:pPr>
            <w:r w:rsidRPr="002A770B">
              <w:rPr>
                <w:rFonts w:cs="Calibri"/>
                <w:color w:val="000000"/>
                <w:szCs w:val="20"/>
              </w:rPr>
              <w:t>Kastritis et al. 2020</w:t>
            </w:r>
          </w:p>
        </w:tc>
        <w:tc>
          <w:tcPr>
            <w:tcW w:w="469" w:type="pct"/>
            <w:tcBorders>
              <w:top w:val="single" w:sz="4" w:space="0" w:color="auto"/>
              <w:left w:val="single" w:sz="4" w:space="0" w:color="auto"/>
              <w:bottom w:val="single" w:sz="4" w:space="0" w:color="auto"/>
              <w:right w:val="single" w:sz="4" w:space="0" w:color="auto"/>
            </w:tcBorders>
            <w:vAlign w:val="center"/>
          </w:tcPr>
          <w:p w14:paraId="0A4093FC" w14:textId="77777777" w:rsidR="001F275B" w:rsidRPr="002A770B" w:rsidRDefault="001F275B" w:rsidP="00F071FF">
            <w:pPr>
              <w:pStyle w:val="TableText0"/>
              <w:jc w:val="center"/>
            </w:pPr>
            <w:r w:rsidRPr="002A770B">
              <w:t>-</w:t>
            </w:r>
          </w:p>
        </w:tc>
        <w:tc>
          <w:tcPr>
            <w:tcW w:w="392" w:type="pct"/>
            <w:tcBorders>
              <w:top w:val="single" w:sz="4" w:space="0" w:color="auto"/>
              <w:left w:val="single" w:sz="4" w:space="0" w:color="auto"/>
              <w:bottom w:val="single" w:sz="4" w:space="0" w:color="auto"/>
              <w:right w:val="single" w:sz="4" w:space="0" w:color="auto"/>
            </w:tcBorders>
            <w:vAlign w:val="center"/>
          </w:tcPr>
          <w:p w14:paraId="6A79E42A" w14:textId="77777777" w:rsidR="001F275B" w:rsidRPr="002A770B" w:rsidRDefault="001F275B" w:rsidP="00F071FF">
            <w:pPr>
              <w:pStyle w:val="TableText0"/>
              <w:jc w:val="center"/>
            </w:pPr>
            <w:r w:rsidRPr="002A770B">
              <w:t>11/56</w:t>
            </w:r>
          </w:p>
        </w:tc>
        <w:tc>
          <w:tcPr>
            <w:tcW w:w="544" w:type="pct"/>
            <w:gridSpan w:val="2"/>
            <w:tcBorders>
              <w:top w:val="single" w:sz="4" w:space="0" w:color="auto"/>
              <w:left w:val="single" w:sz="4" w:space="0" w:color="auto"/>
              <w:bottom w:val="single" w:sz="4" w:space="0" w:color="auto"/>
              <w:right w:val="single" w:sz="4" w:space="0" w:color="auto"/>
            </w:tcBorders>
            <w:vAlign w:val="center"/>
          </w:tcPr>
          <w:p w14:paraId="6133133F" w14:textId="77777777" w:rsidR="001F275B" w:rsidRPr="002A770B" w:rsidRDefault="001F275B" w:rsidP="00F071FF">
            <w:pPr>
              <w:pStyle w:val="TableText0"/>
              <w:jc w:val="center"/>
            </w:pPr>
            <w:r w:rsidRPr="002A770B">
              <w:t>12/53</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F76389E" w14:textId="77777777" w:rsidR="001F275B" w:rsidRPr="002A770B" w:rsidRDefault="001F275B" w:rsidP="00F071FF">
            <w:pPr>
              <w:pStyle w:val="TableText0"/>
              <w:jc w:val="center"/>
            </w:pPr>
            <w:r w:rsidRPr="002A770B">
              <w:t>0.84</w:t>
            </w:r>
          </w:p>
          <w:p w14:paraId="7566F257" w14:textId="77777777" w:rsidR="001F275B" w:rsidRPr="002A770B" w:rsidRDefault="001F275B" w:rsidP="00F071FF">
            <w:pPr>
              <w:pStyle w:val="TableText0"/>
              <w:jc w:val="center"/>
            </w:pPr>
            <w:r w:rsidRPr="002A770B">
              <w:t xml:space="preserve"> (0.33, 2.1)</w:t>
            </w:r>
          </w:p>
        </w:tc>
        <w:tc>
          <w:tcPr>
            <w:tcW w:w="547" w:type="pct"/>
            <w:tcBorders>
              <w:top w:val="single" w:sz="4" w:space="0" w:color="auto"/>
              <w:left w:val="single" w:sz="4" w:space="0" w:color="auto"/>
              <w:bottom w:val="single" w:sz="4" w:space="0" w:color="auto"/>
              <w:right w:val="single" w:sz="4" w:space="0" w:color="auto"/>
            </w:tcBorders>
            <w:vAlign w:val="center"/>
          </w:tcPr>
          <w:p w14:paraId="096BF802" w14:textId="77777777" w:rsidR="001F275B" w:rsidRPr="002A770B" w:rsidRDefault="00251104" w:rsidP="00F071FF">
            <w:pPr>
              <w:pStyle w:val="TableText0"/>
              <w:jc w:val="center"/>
            </w:pPr>
            <w:r>
              <w:t>-</w:t>
            </w:r>
          </w:p>
        </w:tc>
        <w:tc>
          <w:tcPr>
            <w:tcW w:w="395" w:type="pct"/>
            <w:gridSpan w:val="2"/>
            <w:tcBorders>
              <w:top w:val="single" w:sz="4" w:space="0" w:color="auto"/>
              <w:left w:val="single" w:sz="4" w:space="0" w:color="auto"/>
              <w:bottom w:val="single" w:sz="4" w:space="0" w:color="auto"/>
              <w:right w:val="single" w:sz="4" w:space="0" w:color="auto"/>
            </w:tcBorders>
            <w:vAlign w:val="center"/>
          </w:tcPr>
          <w:p w14:paraId="0E1616B5" w14:textId="77777777" w:rsidR="001F275B" w:rsidRPr="002A770B" w:rsidRDefault="001F275B" w:rsidP="00F071FF">
            <w:pPr>
              <w:pStyle w:val="TableText0"/>
              <w:jc w:val="center"/>
            </w:pPr>
            <w:r w:rsidRPr="002A770B">
              <w:t>19.6</w:t>
            </w:r>
          </w:p>
        </w:tc>
        <w:tc>
          <w:tcPr>
            <w:tcW w:w="471" w:type="pct"/>
            <w:tcBorders>
              <w:top w:val="single" w:sz="4" w:space="0" w:color="auto"/>
              <w:left w:val="single" w:sz="4" w:space="0" w:color="auto"/>
              <w:bottom w:val="single" w:sz="4" w:space="0" w:color="auto"/>
              <w:right w:val="single" w:sz="4" w:space="0" w:color="auto"/>
            </w:tcBorders>
            <w:vAlign w:val="center"/>
          </w:tcPr>
          <w:p w14:paraId="0071D727" w14:textId="77777777" w:rsidR="001F275B" w:rsidRPr="002A770B" w:rsidRDefault="001F275B" w:rsidP="00F071FF">
            <w:pPr>
              <w:pStyle w:val="TableText0"/>
              <w:jc w:val="center"/>
            </w:pPr>
            <w:r w:rsidRPr="002A770B">
              <w:t>22.6</w:t>
            </w:r>
          </w:p>
        </w:tc>
        <w:tc>
          <w:tcPr>
            <w:tcW w:w="914" w:type="pct"/>
            <w:tcBorders>
              <w:top w:val="single" w:sz="4" w:space="0" w:color="auto"/>
              <w:left w:val="single" w:sz="4" w:space="0" w:color="auto"/>
              <w:bottom w:val="single" w:sz="4" w:space="0" w:color="auto"/>
              <w:right w:val="single" w:sz="4" w:space="0" w:color="auto"/>
            </w:tcBorders>
            <w:vAlign w:val="center"/>
          </w:tcPr>
          <w:p w14:paraId="2A57ABE4" w14:textId="77777777" w:rsidR="001F275B" w:rsidRPr="002A770B" w:rsidRDefault="001F275B" w:rsidP="00F071FF">
            <w:pPr>
              <w:pStyle w:val="TableText0"/>
              <w:jc w:val="center"/>
            </w:pPr>
            <w:r w:rsidRPr="002A770B">
              <w:t>-3%</w:t>
            </w:r>
          </w:p>
          <w:p w14:paraId="006A1091" w14:textId="77777777" w:rsidR="001F275B" w:rsidRPr="002A770B" w:rsidRDefault="001F275B" w:rsidP="00F071FF">
            <w:pPr>
              <w:pStyle w:val="TableText0"/>
              <w:jc w:val="center"/>
            </w:pPr>
            <w:r w:rsidRPr="002A770B">
              <w:t xml:space="preserve"> (-18%, 12%)</w:t>
            </w:r>
          </w:p>
        </w:tc>
      </w:tr>
      <w:tr w:rsidR="001F275B" w:rsidRPr="002A770B" w14:paraId="0E5B01C7" w14:textId="77777777" w:rsidTr="002C5278">
        <w:tc>
          <w:tcPr>
            <w:tcW w:w="2044" w:type="pct"/>
            <w:gridSpan w:val="5"/>
            <w:tcBorders>
              <w:top w:val="single" w:sz="4" w:space="0" w:color="auto"/>
              <w:left w:val="single" w:sz="4" w:space="0" w:color="auto"/>
              <w:bottom w:val="double" w:sz="4" w:space="0" w:color="auto"/>
              <w:right w:val="single" w:sz="4" w:space="0" w:color="auto"/>
            </w:tcBorders>
            <w:shd w:val="clear" w:color="auto" w:fill="auto"/>
            <w:vAlign w:val="center"/>
          </w:tcPr>
          <w:p w14:paraId="22AA8F2B" w14:textId="77777777" w:rsidR="001F275B" w:rsidRPr="002A770B" w:rsidRDefault="001F275B" w:rsidP="00F071FF">
            <w:pPr>
              <w:pStyle w:val="TableText0"/>
            </w:pPr>
            <w:r w:rsidRPr="002A770B">
              <w:t xml:space="preserve">Indirect comparison: </w:t>
            </w:r>
            <w:r w:rsidR="005F48E6" w:rsidRPr="002A770B">
              <w:rPr>
                <w:b/>
              </w:rPr>
              <w:t>Dara + CyBorD vs. MDex</w:t>
            </w:r>
          </w:p>
        </w:tc>
        <w:tc>
          <w:tcPr>
            <w:tcW w:w="630" w:type="pct"/>
            <w:gridSpan w:val="2"/>
            <w:tcBorders>
              <w:top w:val="single" w:sz="4" w:space="0" w:color="auto"/>
              <w:left w:val="single" w:sz="4" w:space="0" w:color="auto"/>
              <w:bottom w:val="double" w:sz="4" w:space="0" w:color="auto"/>
              <w:right w:val="single" w:sz="4" w:space="0" w:color="auto"/>
            </w:tcBorders>
            <w:vAlign w:val="center"/>
          </w:tcPr>
          <w:p w14:paraId="04432BF4" w14:textId="77777777" w:rsidR="001F275B" w:rsidRPr="002A770B" w:rsidRDefault="001F275B" w:rsidP="00F071FF">
            <w:pPr>
              <w:pStyle w:val="TableText0"/>
              <w:jc w:val="center"/>
            </w:pPr>
            <w:r w:rsidRPr="002A770B">
              <w:t xml:space="preserve">6.18 </w:t>
            </w:r>
          </w:p>
          <w:p w14:paraId="1FF9F1A8" w14:textId="77777777" w:rsidR="001F275B" w:rsidRPr="002A770B" w:rsidRDefault="001F275B" w:rsidP="00F071FF">
            <w:pPr>
              <w:pStyle w:val="TableText0"/>
              <w:jc w:val="center"/>
            </w:pPr>
            <w:r w:rsidRPr="002A770B">
              <w:t>(2.2, 17.31)</w:t>
            </w:r>
          </w:p>
        </w:tc>
        <w:tc>
          <w:tcPr>
            <w:tcW w:w="1412"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52B86E7B" w14:textId="77777777" w:rsidR="001F275B" w:rsidRPr="002A770B" w:rsidRDefault="001F275B" w:rsidP="00F071FF">
            <w:pPr>
              <w:pStyle w:val="TableText0"/>
              <w:jc w:val="center"/>
            </w:pPr>
            <w:r w:rsidRPr="002A770B">
              <w:t>-</w:t>
            </w:r>
          </w:p>
        </w:tc>
        <w:tc>
          <w:tcPr>
            <w:tcW w:w="914" w:type="pct"/>
            <w:tcBorders>
              <w:top w:val="single" w:sz="4" w:space="0" w:color="auto"/>
              <w:left w:val="single" w:sz="4" w:space="0" w:color="auto"/>
              <w:bottom w:val="double" w:sz="4" w:space="0" w:color="auto"/>
              <w:right w:val="single" w:sz="4" w:space="0" w:color="auto"/>
            </w:tcBorders>
            <w:vAlign w:val="center"/>
          </w:tcPr>
          <w:p w14:paraId="08734439" w14:textId="77777777" w:rsidR="001F275B" w:rsidRPr="002A770B" w:rsidRDefault="001F275B" w:rsidP="00F071FF">
            <w:pPr>
              <w:pStyle w:val="TableText0"/>
              <w:jc w:val="center"/>
              <w:rPr>
                <w:b/>
              </w:rPr>
            </w:pPr>
            <w:r w:rsidRPr="002A770B">
              <w:rPr>
                <w:b/>
              </w:rPr>
              <w:t xml:space="preserve">38% </w:t>
            </w:r>
          </w:p>
          <w:p w14:paraId="490CE286" w14:textId="77777777" w:rsidR="001F275B" w:rsidRPr="002A770B" w:rsidRDefault="001F275B" w:rsidP="00F071FF">
            <w:pPr>
              <w:pStyle w:val="TableText0"/>
              <w:jc w:val="center"/>
            </w:pPr>
            <w:r w:rsidRPr="002A770B">
              <w:rPr>
                <w:b/>
              </w:rPr>
              <w:t>(20%, 56%)</w:t>
            </w:r>
          </w:p>
        </w:tc>
      </w:tr>
      <w:tr w:rsidR="001F275B" w:rsidRPr="002A770B" w14:paraId="00123425" w14:textId="77777777" w:rsidTr="002C5278">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545FF3A0" w14:textId="77777777" w:rsidR="001F275B" w:rsidRPr="002A770B" w:rsidRDefault="001F275B" w:rsidP="00F071FF">
            <w:pPr>
              <w:pStyle w:val="In-tableHeading"/>
              <w:rPr>
                <w:lang w:val="en-AU"/>
              </w:rPr>
            </w:pPr>
            <w:r w:rsidRPr="002A770B">
              <w:rPr>
                <w:lang w:val="en-AU"/>
              </w:rPr>
              <w:t>Major organ deterioration-progression free survival reported in ANDROMEDA (median duration of follow-up: 11.4 months) vs. Kastritis et al. 2020 (median duration of follow-up: 50 months)</w:t>
            </w:r>
          </w:p>
        </w:tc>
      </w:tr>
      <w:tr w:rsidR="00820E06" w:rsidRPr="002A770B" w14:paraId="311B2814" w14:textId="77777777" w:rsidTr="002C5278">
        <w:tc>
          <w:tcPr>
            <w:tcW w:w="15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71BF3" w14:textId="77777777" w:rsidR="00820E06" w:rsidRPr="002A770B" w:rsidRDefault="00820E06" w:rsidP="00F071FF">
            <w:pPr>
              <w:pStyle w:val="TableText0"/>
              <w:rPr>
                <w:b/>
              </w:rPr>
            </w:pPr>
            <w:r w:rsidRPr="002A770B">
              <w:rPr>
                <w:b/>
              </w:rPr>
              <w:t>Trial</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6FA80F12" w14:textId="77777777" w:rsidR="00820E06" w:rsidRPr="002A770B" w:rsidRDefault="00820E06" w:rsidP="00F071FF">
            <w:pPr>
              <w:pStyle w:val="In-tableHeading"/>
              <w:jc w:val="center"/>
              <w:rPr>
                <w:lang w:val="en-AU"/>
              </w:rPr>
            </w:pPr>
            <w:r w:rsidRPr="002A770B">
              <w:rPr>
                <w:lang w:val="en-AU"/>
              </w:rPr>
              <w:t>D</w:t>
            </w:r>
            <w:r w:rsidRPr="002A770B">
              <w:t>ara + CyBorD / MDex</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1D570C31" w14:textId="77777777" w:rsidR="00820E06" w:rsidRPr="002A770B" w:rsidRDefault="00820E06" w:rsidP="00F071FF">
            <w:pPr>
              <w:pStyle w:val="In-tableHeading"/>
              <w:jc w:val="center"/>
              <w:rPr>
                <w:lang w:val="en-AU"/>
              </w:rPr>
            </w:pPr>
            <w:r w:rsidRPr="002A770B">
              <w:t>CyBorD / BMDex</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2F7B87F2" w14:textId="77777777" w:rsidR="00820E06" w:rsidRPr="002A770B" w:rsidRDefault="00820E06" w:rsidP="00F071FF">
            <w:pPr>
              <w:pStyle w:val="In-tableHeading"/>
              <w:jc w:val="center"/>
              <w:rPr>
                <w:lang w:val="en-AU"/>
              </w:rPr>
            </w:pPr>
            <w:r w:rsidRPr="002A770B">
              <w:rPr>
                <w:lang w:val="en-AU"/>
              </w:rPr>
              <w:t>HR (95% CI)</w:t>
            </w:r>
          </w:p>
        </w:tc>
      </w:tr>
      <w:tr w:rsidR="00820E06" w:rsidRPr="002A770B" w14:paraId="6E041185"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79DD66F2" w14:textId="77777777" w:rsidR="00820E06" w:rsidRPr="002A770B" w:rsidRDefault="00820E06" w:rsidP="00F071FF">
            <w:pPr>
              <w:pStyle w:val="TableText0"/>
            </w:pPr>
            <w:r w:rsidRPr="002A770B">
              <w:t>ANDROMEDA (Dara +CyBorD vs. CyBorD)</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3DC35065" w14:textId="77777777" w:rsidR="00820E06" w:rsidRPr="002A770B" w:rsidRDefault="00820E06" w:rsidP="00F071FF">
            <w:pPr>
              <w:pStyle w:val="TableText0"/>
              <w:jc w:val="center"/>
            </w:pPr>
            <w:r w:rsidRPr="002A770B">
              <w:t>34/195 (17%)</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08EFFD8C" w14:textId="77777777" w:rsidR="00820E06" w:rsidRPr="002A770B" w:rsidRDefault="00820E06" w:rsidP="00F071FF">
            <w:pPr>
              <w:pStyle w:val="TableText0"/>
              <w:jc w:val="center"/>
            </w:pPr>
            <w:r w:rsidRPr="002A770B">
              <w:t>53/193 (28%)</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9DEA8F1" w14:textId="77777777" w:rsidR="00820E06" w:rsidRPr="002A770B" w:rsidRDefault="00820E06" w:rsidP="00F071FF">
            <w:pPr>
              <w:pStyle w:val="TableText0"/>
              <w:jc w:val="center"/>
              <w:rPr>
                <w:b/>
                <w:vertAlign w:val="superscript"/>
              </w:rPr>
            </w:pPr>
            <w:r w:rsidRPr="002A770B">
              <w:rPr>
                <w:b/>
              </w:rPr>
              <w:t>0.58 (0.36, 0.93)</w:t>
            </w:r>
          </w:p>
        </w:tc>
      </w:tr>
      <w:tr w:rsidR="00820E06" w:rsidRPr="002A770B" w14:paraId="1B2D3B84"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2D2111C8" w14:textId="77777777" w:rsidR="00820E06" w:rsidRPr="002A770B" w:rsidRDefault="00820E06" w:rsidP="00F071FF">
            <w:pPr>
              <w:pStyle w:val="TableText0"/>
            </w:pPr>
            <w:r w:rsidRPr="002A770B">
              <w:rPr>
                <w:rFonts w:cs="Calibri"/>
                <w:color w:val="000000"/>
                <w:szCs w:val="20"/>
              </w:rPr>
              <w:t>Kastritis et al. 2020 (</w:t>
            </w:r>
            <w:r w:rsidRPr="002A770B">
              <w:t>MDex vs BMDex)</w:t>
            </w:r>
          </w:p>
        </w:tc>
        <w:tc>
          <w:tcPr>
            <w:tcW w:w="1023" w:type="pct"/>
            <w:gridSpan w:val="2"/>
            <w:tcBorders>
              <w:top w:val="single" w:sz="4" w:space="0" w:color="auto"/>
              <w:left w:val="single" w:sz="4" w:space="0" w:color="auto"/>
              <w:bottom w:val="single" w:sz="4" w:space="0" w:color="auto"/>
              <w:right w:val="single" w:sz="4" w:space="0" w:color="auto"/>
            </w:tcBorders>
          </w:tcPr>
          <w:p w14:paraId="68B3DFE0" w14:textId="77777777" w:rsidR="00820E06" w:rsidRPr="002A770B" w:rsidRDefault="00820E06" w:rsidP="00F071FF">
            <w:pPr>
              <w:pStyle w:val="TableText0"/>
              <w:jc w:val="center"/>
            </w:pPr>
            <w:r w:rsidRPr="002A770B">
              <w:t>44/56 (90%)</w:t>
            </w:r>
          </w:p>
        </w:tc>
        <w:tc>
          <w:tcPr>
            <w:tcW w:w="1023" w:type="pct"/>
            <w:gridSpan w:val="4"/>
            <w:tcBorders>
              <w:top w:val="single" w:sz="4" w:space="0" w:color="auto"/>
              <w:left w:val="single" w:sz="4" w:space="0" w:color="auto"/>
              <w:bottom w:val="single" w:sz="4" w:space="0" w:color="auto"/>
              <w:right w:val="single" w:sz="4" w:space="0" w:color="auto"/>
            </w:tcBorders>
          </w:tcPr>
          <w:p w14:paraId="57A07362" w14:textId="77777777" w:rsidR="00820E06" w:rsidRPr="002A770B" w:rsidRDefault="00820E06" w:rsidP="00F071FF">
            <w:pPr>
              <w:pStyle w:val="TableText0"/>
              <w:jc w:val="center"/>
            </w:pPr>
            <w:r w:rsidRPr="002A770B">
              <w:t>28/53 (52%)</w:t>
            </w:r>
          </w:p>
        </w:tc>
        <w:tc>
          <w:tcPr>
            <w:tcW w:w="1385" w:type="pct"/>
            <w:gridSpan w:val="2"/>
            <w:tcBorders>
              <w:top w:val="single" w:sz="4" w:space="0" w:color="auto"/>
              <w:left w:val="single" w:sz="4" w:space="0" w:color="auto"/>
              <w:bottom w:val="single" w:sz="4" w:space="0" w:color="auto"/>
              <w:right w:val="single" w:sz="4" w:space="0" w:color="auto"/>
            </w:tcBorders>
          </w:tcPr>
          <w:p w14:paraId="41775CBB" w14:textId="77777777" w:rsidR="00820E06" w:rsidRPr="002A770B" w:rsidRDefault="00820E06" w:rsidP="00F071FF">
            <w:pPr>
              <w:pStyle w:val="TableText0"/>
              <w:jc w:val="center"/>
              <w:rPr>
                <w:b/>
                <w:vertAlign w:val="superscript"/>
              </w:rPr>
            </w:pPr>
            <w:r w:rsidRPr="002A770B">
              <w:rPr>
                <w:b/>
              </w:rPr>
              <w:t>2.17 (1.35, 3.57)</w:t>
            </w:r>
          </w:p>
        </w:tc>
      </w:tr>
      <w:tr w:rsidR="00820E06" w:rsidRPr="002A770B" w14:paraId="31C46A78" w14:textId="77777777" w:rsidTr="002C5278">
        <w:tc>
          <w:tcPr>
            <w:tcW w:w="361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0F8AB" w14:textId="77777777" w:rsidR="00820E06" w:rsidRPr="002A770B" w:rsidRDefault="00820E06" w:rsidP="00F071FF">
            <w:pPr>
              <w:pStyle w:val="TableText0"/>
            </w:pPr>
            <w:r w:rsidRPr="002A770B">
              <w:rPr>
                <w:b/>
              </w:rPr>
              <w:t>Indirect comparison: Dara + CyBorD vs. MDex</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0A607711" w14:textId="77777777" w:rsidR="00820E06" w:rsidRPr="002A770B" w:rsidRDefault="00820E06" w:rsidP="00F071FF">
            <w:pPr>
              <w:pStyle w:val="TableText0"/>
              <w:jc w:val="center"/>
            </w:pPr>
            <w:r w:rsidRPr="002A770B">
              <w:rPr>
                <w:b/>
              </w:rPr>
              <w:t>0.27 (0.14, 0.53)</w:t>
            </w:r>
          </w:p>
        </w:tc>
      </w:tr>
      <w:tr w:rsidR="001F275B" w:rsidRPr="002A770B" w14:paraId="31D5CC9D" w14:textId="77777777" w:rsidTr="002C5278">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14:paraId="57354646" w14:textId="77777777" w:rsidR="001F275B" w:rsidRPr="002A770B" w:rsidRDefault="001F275B" w:rsidP="00F071FF">
            <w:pPr>
              <w:pStyle w:val="In-tableHeading"/>
              <w:rPr>
                <w:lang w:val="en-AU"/>
              </w:rPr>
            </w:pPr>
            <w:r w:rsidRPr="002A770B">
              <w:rPr>
                <w:lang w:val="en-AU"/>
              </w:rPr>
              <w:t>Overall survival reported in ANDROMEDA (median duration of follow-up: 11.4 months) vs. Kastritis et al. 2020 (median duration of follow-up: 50 months)</w:t>
            </w:r>
          </w:p>
        </w:tc>
      </w:tr>
      <w:tr w:rsidR="00820E06" w:rsidRPr="002A770B" w14:paraId="3C74489B" w14:textId="77777777" w:rsidTr="002C5278">
        <w:tc>
          <w:tcPr>
            <w:tcW w:w="15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76D10" w14:textId="77777777" w:rsidR="00820E06" w:rsidRPr="002A770B" w:rsidRDefault="00820E06" w:rsidP="00F071FF">
            <w:pPr>
              <w:pStyle w:val="TableText0"/>
              <w:rPr>
                <w:b/>
              </w:rPr>
            </w:pPr>
            <w:r w:rsidRPr="002A770B">
              <w:rPr>
                <w:b/>
              </w:rPr>
              <w:t>Trial</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07BFEA57" w14:textId="77777777" w:rsidR="00820E06" w:rsidRPr="002A770B" w:rsidRDefault="00820E06" w:rsidP="00F071FF">
            <w:pPr>
              <w:pStyle w:val="In-tableHeading"/>
              <w:jc w:val="center"/>
              <w:rPr>
                <w:lang w:val="en-AU"/>
              </w:rPr>
            </w:pPr>
            <w:r w:rsidRPr="002A770B">
              <w:rPr>
                <w:lang w:val="en-AU"/>
              </w:rPr>
              <w:t>D</w:t>
            </w:r>
            <w:r w:rsidRPr="002A770B">
              <w:t>ara + CyBorD / MDex</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688DB1E4" w14:textId="77777777" w:rsidR="00820E06" w:rsidRPr="002A770B" w:rsidRDefault="00820E06" w:rsidP="00F071FF">
            <w:pPr>
              <w:pStyle w:val="In-tableHeading"/>
              <w:jc w:val="center"/>
              <w:rPr>
                <w:lang w:val="en-AU"/>
              </w:rPr>
            </w:pPr>
            <w:r w:rsidRPr="002A770B">
              <w:t>CyBorD / BMDex</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1EEE7110" w14:textId="77777777" w:rsidR="00820E06" w:rsidRPr="002A770B" w:rsidRDefault="00820E06" w:rsidP="00F071FF">
            <w:pPr>
              <w:pStyle w:val="In-tableHeading"/>
              <w:jc w:val="center"/>
              <w:rPr>
                <w:lang w:val="en-AU"/>
              </w:rPr>
            </w:pPr>
            <w:r w:rsidRPr="002A770B">
              <w:rPr>
                <w:lang w:val="en-AU"/>
              </w:rPr>
              <w:t>HR (95% CI)</w:t>
            </w:r>
          </w:p>
        </w:tc>
      </w:tr>
      <w:tr w:rsidR="00820E06" w:rsidRPr="002A770B" w14:paraId="784172A9"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54123B53" w14:textId="77777777" w:rsidR="00820E06" w:rsidRPr="002A770B" w:rsidRDefault="00820E06" w:rsidP="00004FBA">
            <w:pPr>
              <w:pStyle w:val="TableText0"/>
            </w:pPr>
            <w:r w:rsidRPr="002A770B">
              <w:t>ANDROMEDA (Dara +CyBorD vs. CyBorD)</w:t>
            </w: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5A7AB0E6" w14:textId="77777777" w:rsidR="00820E06" w:rsidRPr="002A770B" w:rsidRDefault="00820E06" w:rsidP="00004FBA">
            <w:pPr>
              <w:pStyle w:val="TableText0"/>
              <w:jc w:val="center"/>
            </w:pPr>
            <w:r w:rsidRPr="002A770B">
              <w:t>27/195 (14%)</w:t>
            </w:r>
          </w:p>
        </w:tc>
        <w:tc>
          <w:tcPr>
            <w:tcW w:w="1023" w:type="pct"/>
            <w:gridSpan w:val="4"/>
            <w:tcBorders>
              <w:top w:val="single" w:sz="4" w:space="0" w:color="auto"/>
              <w:left w:val="single" w:sz="4" w:space="0" w:color="auto"/>
              <w:bottom w:val="single" w:sz="4" w:space="0" w:color="auto"/>
              <w:right w:val="single" w:sz="4" w:space="0" w:color="auto"/>
            </w:tcBorders>
            <w:vAlign w:val="center"/>
          </w:tcPr>
          <w:p w14:paraId="2FE147EA" w14:textId="77777777" w:rsidR="00820E06" w:rsidRPr="002A770B" w:rsidRDefault="00820E06" w:rsidP="00004FBA">
            <w:pPr>
              <w:pStyle w:val="TableText0"/>
              <w:jc w:val="center"/>
            </w:pPr>
            <w:r w:rsidRPr="002A770B">
              <w:t>29/193 (15%)</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090A61C" w14:textId="77777777" w:rsidR="00820E06" w:rsidRPr="002A770B" w:rsidRDefault="00820E06" w:rsidP="00004FBA">
            <w:pPr>
              <w:pStyle w:val="TableText0"/>
              <w:jc w:val="center"/>
              <w:rPr>
                <w:b/>
                <w:vertAlign w:val="superscript"/>
              </w:rPr>
            </w:pPr>
            <w:r w:rsidRPr="002A770B">
              <w:t>0.90 (0.53, 1.53)</w:t>
            </w:r>
          </w:p>
        </w:tc>
      </w:tr>
      <w:tr w:rsidR="00820E06" w:rsidRPr="002A770B" w14:paraId="332E225F" w14:textId="77777777" w:rsidTr="002C5278">
        <w:tc>
          <w:tcPr>
            <w:tcW w:w="1570" w:type="pct"/>
            <w:gridSpan w:val="4"/>
            <w:tcBorders>
              <w:top w:val="single" w:sz="4" w:space="0" w:color="auto"/>
              <w:left w:val="single" w:sz="4" w:space="0" w:color="auto"/>
              <w:right w:val="single" w:sz="4" w:space="0" w:color="auto"/>
            </w:tcBorders>
            <w:shd w:val="clear" w:color="auto" w:fill="auto"/>
            <w:vAlign w:val="center"/>
          </w:tcPr>
          <w:p w14:paraId="01D8AC38" w14:textId="77777777" w:rsidR="00820E06" w:rsidRPr="002A770B" w:rsidRDefault="00820E06" w:rsidP="00004FBA">
            <w:pPr>
              <w:pStyle w:val="TableText0"/>
            </w:pPr>
            <w:r w:rsidRPr="002A770B">
              <w:rPr>
                <w:rFonts w:cs="Calibri"/>
                <w:color w:val="000000"/>
                <w:szCs w:val="20"/>
              </w:rPr>
              <w:t>Kastritis et al. 2020 (</w:t>
            </w:r>
            <w:r w:rsidRPr="002A770B">
              <w:t>MDex vs BMDex)</w:t>
            </w:r>
          </w:p>
        </w:tc>
        <w:tc>
          <w:tcPr>
            <w:tcW w:w="1023" w:type="pct"/>
            <w:gridSpan w:val="2"/>
            <w:tcBorders>
              <w:top w:val="single" w:sz="4" w:space="0" w:color="auto"/>
              <w:left w:val="single" w:sz="4" w:space="0" w:color="auto"/>
              <w:bottom w:val="single" w:sz="4" w:space="0" w:color="auto"/>
              <w:right w:val="single" w:sz="4" w:space="0" w:color="auto"/>
            </w:tcBorders>
          </w:tcPr>
          <w:p w14:paraId="70538654" w14:textId="77777777" w:rsidR="00820E06" w:rsidRPr="002A770B" w:rsidRDefault="00820E06" w:rsidP="00004FBA">
            <w:pPr>
              <w:pStyle w:val="TableText0"/>
              <w:jc w:val="center"/>
            </w:pPr>
            <w:r w:rsidRPr="002A770B">
              <w:t>31/56 (53%)</w:t>
            </w:r>
          </w:p>
        </w:tc>
        <w:tc>
          <w:tcPr>
            <w:tcW w:w="1023" w:type="pct"/>
            <w:gridSpan w:val="4"/>
            <w:tcBorders>
              <w:top w:val="single" w:sz="4" w:space="0" w:color="auto"/>
              <w:left w:val="single" w:sz="4" w:space="0" w:color="auto"/>
              <w:bottom w:val="single" w:sz="4" w:space="0" w:color="auto"/>
              <w:right w:val="single" w:sz="4" w:space="0" w:color="auto"/>
            </w:tcBorders>
          </w:tcPr>
          <w:p w14:paraId="4F55483E" w14:textId="77777777" w:rsidR="00820E06" w:rsidRPr="002A770B" w:rsidRDefault="00820E06" w:rsidP="00004FBA">
            <w:pPr>
              <w:pStyle w:val="TableText0"/>
              <w:jc w:val="center"/>
            </w:pPr>
            <w:r w:rsidRPr="002A770B">
              <w:t>17/53 (32%)</w:t>
            </w:r>
          </w:p>
        </w:tc>
        <w:tc>
          <w:tcPr>
            <w:tcW w:w="1385" w:type="pct"/>
            <w:gridSpan w:val="2"/>
            <w:tcBorders>
              <w:top w:val="single" w:sz="4" w:space="0" w:color="auto"/>
              <w:left w:val="single" w:sz="4" w:space="0" w:color="auto"/>
              <w:bottom w:val="single" w:sz="4" w:space="0" w:color="auto"/>
              <w:right w:val="single" w:sz="4" w:space="0" w:color="auto"/>
            </w:tcBorders>
          </w:tcPr>
          <w:p w14:paraId="15C14985" w14:textId="77777777" w:rsidR="00820E06" w:rsidRPr="002A770B" w:rsidRDefault="00820E06" w:rsidP="00004FBA">
            <w:pPr>
              <w:pStyle w:val="TableText0"/>
              <w:jc w:val="center"/>
              <w:rPr>
                <w:b/>
                <w:vertAlign w:val="superscript"/>
              </w:rPr>
            </w:pPr>
            <w:r w:rsidRPr="002A770B">
              <w:rPr>
                <w:b/>
              </w:rPr>
              <w:t>2.00 (1.11, 3.70)</w:t>
            </w:r>
          </w:p>
        </w:tc>
      </w:tr>
      <w:tr w:rsidR="00820E06" w:rsidRPr="002A770B" w14:paraId="1F1D199B" w14:textId="77777777" w:rsidTr="002C5278">
        <w:tc>
          <w:tcPr>
            <w:tcW w:w="361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E9730D" w14:textId="77777777" w:rsidR="00820E06" w:rsidRPr="002A770B" w:rsidRDefault="00820E06" w:rsidP="00F071FF">
            <w:pPr>
              <w:pStyle w:val="TableText0"/>
            </w:pPr>
            <w:r w:rsidRPr="002A770B">
              <w:rPr>
                <w:b/>
              </w:rPr>
              <w:t>Indirect comparison: Dara + CyBorD vs. MDex</w:t>
            </w:r>
          </w:p>
        </w:tc>
        <w:tc>
          <w:tcPr>
            <w:tcW w:w="1387" w:type="pct"/>
            <w:gridSpan w:val="2"/>
            <w:tcBorders>
              <w:top w:val="single" w:sz="4" w:space="0" w:color="auto"/>
              <w:left w:val="single" w:sz="4" w:space="0" w:color="auto"/>
              <w:bottom w:val="single" w:sz="4" w:space="0" w:color="auto"/>
              <w:right w:val="single" w:sz="4" w:space="0" w:color="auto"/>
            </w:tcBorders>
            <w:vAlign w:val="center"/>
          </w:tcPr>
          <w:p w14:paraId="15EF79B7" w14:textId="77777777" w:rsidR="00820E06" w:rsidRPr="002A770B" w:rsidRDefault="00820E06" w:rsidP="00F071FF">
            <w:pPr>
              <w:pStyle w:val="TableText0"/>
              <w:jc w:val="center"/>
            </w:pPr>
            <w:r w:rsidRPr="002A770B">
              <w:rPr>
                <w:b/>
              </w:rPr>
              <w:t>0.29 (0.14, 0.62)</w:t>
            </w:r>
          </w:p>
        </w:tc>
      </w:tr>
    </w:tbl>
    <w:p w14:paraId="3A6C04A9" w14:textId="15CFE6F5" w:rsidR="001F275B" w:rsidRPr="003A327E" w:rsidRDefault="001F275B" w:rsidP="001F275B">
      <w:pPr>
        <w:pStyle w:val="TableFigureFooter"/>
        <w:rPr>
          <w:szCs w:val="18"/>
        </w:rPr>
      </w:pPr>
      <w:r w:rsidRPr="003A327E">
        <w:rPr>
          <w:szCs w:val="18"/>
        </w:rPr>
        <w:t>Source: Constructed during evaluation</w:t>
      </w:r>
      <w:r w:rsidR="003A327E" w:rsidRPr="003A327E">
        <w:rPr>
          <w:szCs w:val="18"/>
        </w:rPr>
        <w:t xml:space="preserve"> from </w:t>
      </w:r>
      <w:r w:rsidR="008A0743" w:rsidRPr="008A0743">
        <w:rPr>
          <w:bCs/>
          <w:szCs w:val="18"/>
        </w:rPr>
        <w:t>Table</w:t>
      </w:r>
      <w:r w:rsidR="003A327E" w:rsidRPr="003A327E">
        <w:rPr>
          <w:szCs w:val="18"/>
        </w:rPr>
        <w:t>,</w:t>
      </w:r>
      <w:r w:rsidRPr="003A327E">
        <w:rPr>
          <w:szCs w:val="18"/>
        </w:rPr>
        <w:t xml:space="preserve"> </w:t>
      </w:r>
      <w:r w:rsidR="008A0743" w:rsidRPr="008A0743">
        <w:rPr>
          <w:bCs/>
          <w:szCs w:val="18"/>
        </w:rPr>
        <w:t xml:space="preserve">Table </w:t>
      </w:r>
      <w:r w:rsidR="008A0743" w:rsidRPr="008A0743">
        <w:rPr>
          <w:bCs/>
          <w:noProof/>
          <w:szCs w:val="18"/>
        </w:rPr>
        <w:t>8</w:t>
      </w:r>
      <w:r w:rsidR="003A327E" w:rsidRPr="003A327E">
        <w:rPr>
          <w:szCs w:val="18"/>
        </w:rPr>
        <w:t xml:space="preserve">, </w:t>
      </w:r>
      <w:r w:rsidR="008A0743" w:rsidRPr="008A0743">
        <w:rPr>
          <w:bCs/>
          <w:szCs w:val="18"/>
        </w:rPr>
        <w:t xml:space="preserve">Table </w:t>
      </w:r>
      <w:r w:rsidR="008A0743" w:rsidRPr="008A0743">
        <w:rPr>
          <w:bCs/>
          <w:noProof/>
          <w:szCs w:val="18"/>
        </w:rPr>
        <w:t>9</w:t>
      </w:r>
      <w:r w:rsidR="003A327E" w:rsidRPr="003A327E">
        <w:rPr>
          <w:szCs w:val="18"/>
        </w:rPr>
        <w:t xml:space="preserve"> of this Commentary.</w:t>
      </w:r>
    </w:p>
    <w:p w14:paraId="5CFB8775" w14:textId="63DBF076" w:rsidR="001F275B" w:rsidRPr="003A327E" w:rsidRDefault="003043F7" w:rsidP="001F275B">
      <w:pPr>
        <w:pStyle w:val="TableFigureFooter"/>
        <w:rPr>
          <w:szCs w:val="18"/>
        </w:rPr>
      </w:pPr>
      <w:r w:rsidRPr="00C6167F">
        <w:t xml:space="preserve">BMDex = bortezomib, melphalan, and dexamethasone; </w:t>
      </w:r>
      <w:r w:rsidR="001F275B" w:rsidRPr="003A327E">
        <w:rPr>
          <w:szCs w:val="18"/>
        </w:rPr>
        <w:t>CI = confidence interval</w:t>
      </w:r>
      <w:r>
        <w:rPr>
          <w:szCs w:val="18"/>
        </w:rPr>
        <w:t xml:space="preserve">; </w:t>
      </w:r>
      <w:r w:rsidR="00827BA3">
        <w:rPr>
          <w:szCs w:val="18"/>
        </w:rPr>
        <w:t xml:space="preserve">CyBorD = </w:t>
      </w:r>
      <w:r w:rsidR="009F38C1">
        <w:rPr>
          <w:szCs w:val="18"/>
        </w:rPr>
        <w:t>cy</w:t>
      </w:r>
      <w:r w:rsidR="001F275B" w:rsidRPr="003A327E">
        <w:rPr>
          <w:szCs w:val="18"/>
        </w:rPr>
        <w:t xml:space="preserve">clophosphamide, bortezomib and dexamethasone; daratumumab SC </w:t>
      </w:r>
      <w:r w:rsidR="00DB2FCF">
        <w:rPr>
          <w:szCs w:val="18"/>
        </w:rPr>
        <w:t>CyBorD =</w:t>
      </w:r>
      <w:r>
        <w:rPr>
          <w:szCs w:val="18"/>
        </w:rPr>
        <w:t xml:space="preserve"> </w:t>
      </w:r>
      <w:r w:rsidR="001F275B" w:rsidRPr="003A327E">
        <w:rPr>
          <w:szCs w:val="18"/>
        </w:rPr>
        <w:t xml:space="preserve">daratumumab subcutaneous; HR = hazard ratio; </w:t>
      </w:r>
      <w:r w:rsidRPr="00C6167F">
        <w:t xml:space="preserve">MDex </w:t>
      </w:r>
      <w:r>
        <w:t>=</w:t>
      </w:r>
      <w:r w:rsidRPr="00C6167F">
        <w:t xml:space="preserve"> melphalan, and dexamethasone; </w:t>
      </w:r>
      <w:r w:rsidR="001F275B" w:rsidRPr="003A327E">
        <w:rPr>
          <w:szCs w:val="18"/>
        </w:rPr>
        <w:t xml:space="preserve">NE = not estimable; RD = risk difference; RR = relative risk; </w:t>
      </w:r>
      <w:r w:rsidR="00CF7351" w:rsidRPr="00CF7351">
        <w:rPr>
          <w:b/>
          <w:szCs w:val="18"/>
        </w:rPr>
        <w:t>bold</w:t>
      </w:r>
      <w:r w:rsidR="001F275B" w:rsidRPr="003A327E">
        <w:rPr>
          <w:szCs w:val="18"/>
        </w:rPr>
        <w:t xml:space="preserve"> = statistically significant at p-value &lt; 0.05</w:t>
      </w:r>
    </w:p>
    <w:p w14:paraId="388878F5" w14:textId="77777777" w:rsidR="00C23B0E" w:rsidRDefault="00C23B0E" w:rsidP="00C23B0E"/>
    <w:p w14:paraId="1AD06FDF" w14:textId="77777777" w:rsidR="00454A4F" w:rsidRDefault="1AA21FF2" w:rsidP="00454A4F">
      <w:pPr>
        <w:pStyle w:val="3-BodyText"/>
      </w:pPr>
      <w:r>
        <w:lastRenderedPageBreak/>
        <w:t xml:space="preserve">On the basis of indirect comparison, the evidence presented by the submission, for every 100 patients treated with </w:t>
      </w:r>
      <w:r w:rsidR="26C75C0A">
        <w:t>daratumumab SC + CyBorD</w:t>
      </w:r>
      <w:r>
        <w:t xml:space="preserve"> </w:t>
      </w:r>
      <w:r w:rsidR="00B266ED">
        <w:t xml:space="preserve">over a median follow up of 11.4 months </w:t>
      </w:r>
      <w:r>
        <w:t>in comparison with MDex</w:t>
      </w:r>
      <w:r w:rsidR="00B266ED">
        <w:t xml:space="preserve"> over a median follow up of 50 months</w:t>
      </w:r>
      <w:r>
        <w:t>:</w:t>
      </w:r>
    </w:p>
    <w:p w14:paraId="02F67C06" w14:textId="68297DEA" w:rsidR="001F275B" w:rsidRDefault="001F275B" w:rsidP="0070637E">
      <w:pPr>
        <w:pStyle w:val="3-BodyText"/>
        <w:numPr>
          <w:ilvl w:val="0"/>
          <w:numId w:val="23"/>
        </w:numPr>
      </w:pPr>
      <w:r w:rsidRPr="00945CB3">
        <w:t xml:space="preserve">Approximately </w:t>
      </w:r>
      <w:r>
        <w:t xml:space="preserve">38 additional patients would have a complete hematologic response. </w:t>
      </w:r>
    </w:p>
    <w:p w14:paraId="4500ADBF" w14:textId="77777777" w:rsidR="00B60939" w:rsidRPr="00C9624D" w:rsidRDefault="00B60939" w:rsidP="00E9094A">
      <w:pPr>
        <w:pStyle w:val="4-SubsectionHeading"/>
      </w:pPr>
      <w:bookmarkStart w:id="49" w:name="_Toc22897644"/>
      <w:bookmarkStart w:id="50" w:name="_Toc82436610"/>
      <w:r w:rsidRPr="00C9624D">
        <w:t>Clinical claim</w:t>
      </w:r>
      <w:bookmarkEnd w:id="49"/>
      <w:bookmarkEnd w:id="50"/>
    </w:p>
    <w:p w14:paraId="461661BD" w14:textId="77777777" w:rsidR="001F275B" w:rsidRPr="00945CB3" w:rsidRDefault="001F275B" w:rsidP="001F275B">
      <w:pPr>
        <w:pStyle w:val="5-SubsectionSubheading"/>
      </w:pPr>
      <w:bookmarkStart w:id="51" w:name="_Toc79580404"/>
      <w:bookmarkStart w:id="52" w:name="_Toc82436611"/>
      <w:bookmarkStart w:id="53" w:name="_Toc22897645"/>
      <w:r>
        <w:t xml:space="preserve">Efficacy and safety of </w:t>
      </w:r>
      <w:r w:rsidRPr="00695A54">
        <w:t xml:space="preserve">daratumumab SC + CyBorD </w:t>
      </w:r>
      <w:r>
        <w:t>vs CyBorD</w:t>
      </w:r>
      <w:bookmarkEnd w:id="51"/>
      <w:bookmarkEnd w:id="52"/>
    </w:p>
    <w:p w14:paraId="63B068F9" w14:textId="77777777" w:rsidR="001F275B" w:rsidRPr="006F2DBA" w:rsidRDefault="1AA21FF2" w:rsidP="001F275B">
      <w:pPr>
        <w:pStyle w:val="3-BodyText"/>
        <w:rPr>
          <w:rFonts w:eastAsia="Calibri"/>
        </w:rPr>
      </w:pPr>
      <w:r w:rsidRPr="006F2DBA">
        <w:t xml:space="preserve">The submission described daratumumab SC + CyBorD as superior in terms of effectiveness compared with CyBorD based on: (1) complete and very good partial hematologic response, (2) </w:t>
      </w:r>
      <w:r w:rsidRPr="006F2DBA">
        <w:rPr>
          <w:rFonts w:eastAsia="Calibri"/>
        </w:rPr>
        <w:t xml:space="preserve">MOD-PFS, and (3) cardiac and renal responses. The submission claimed that the superiority of these surrogate outcomes would translate into superior long-term survival. </w:t>
      </w:r>
      <w:r w:rsidRPr="00ED6D96">
        <w:rPr>
          <w:rFonts w:eastAsia="Calibri"/>
        </w:rPr>
        <w:t xml:space="preserve">The </w:t>
      </w:r>
      <w:r w:rsidR="00ED6D96" w:rsidRPr="00ED6D96">
        <w:rPr>
          <w:rFonts w:eastAsia="Calibri"/>
        </w:rPr>
        <w:t xml:space="preserve">PBAC </w:t>
      </w:r>
      <w:r w:rsidR="004F5989" w:rsidRPr="00ED6D96">
        <w:rPr>
          <w:rFonts w:eastAsia="Calibri"/>
        </w:rPr>
        <w:t>considered</w:t>
      </w:r>
      <w:r w:rsidR="000D16AF" w:rsidRPr="00ED6D96">
        <w:rPr>
          <w:rFonts w:eastAsia="Calibri"/>
        </w:rPr>
        <w:t xml:space="preserve"> that the </w:t>
      </w:r>
      <w:r w:rsidRPr="00ED6D96">
        <w:rPr>
          <w:rFonts w:eastAsia="Calibri"/>
        </w:rPr>
        <w:t>primary</w:t>
      </w:r>
      <w:r w:rsidRPr="006F2DBA">
        <w:rPr>
          <w:rFonts w:eastAsia="Calibri"/>
        </w:rPr>
        <w:t xml:space="preserve"> clinical claim for daratumumab SC + CyBorD versus CyBorD was supported by the evidence presented for </w:t>
      </w:r>
      <w:r w:rsidR="002B0E47" w:rsidRPr="006F2DBA">
        <w:rPr>
          <w:rFonts w:eastAsia="Calibri"/>
        </w:rPr>
        <w:t xml:space="preserve">the </w:t>
      </w:r>
      <w:r w:rsidRPr="006F2DBA">
        <w:rPr>
          <w:rFonts w:eastAsia="Calibri"/>
        </w:rPr>
        <w:t>surrogate outcomes.</w:t>
      </w:r>
    </w:p>
    <w:p w14:paraId="01B80615" w14:textId="77777777" w:rsidR="00ED6D96" w:rsidRDefault="001F275B" w:rsidP="001F275B">
      <w:pPr>
        <w:pStyle w:val="3-BodyText"/>
        <w:rPr>
          <w:rFonts w:eastAsia="Calibri"/>
        </w:rPr>
      </w:pPr>
      <w:r w:rsidRPr="006F2DBA">
        <w:rPr>
          <w:rFonts w:eastAsia="Calibri"/>
        </w:rPr>
        <w:t>The submission claimed that the data was too immature to demonstrate a survival benefit as only 87 of the 200 prespecified MOD-PFS events had occurred (data was 43.5% mature). The submission presented a modelled analysis to demonstrate the relationship between haematological response and survival outcomes</w:t>
      </w:r>
      <w:r w:rsidR="004A657B" w:rsidRPr="006F2DBA">
        <w:rPr>
          <w:rFonts w:eastAsia="Calibri"/>
        </w:rPr>
        <w:t>.</w:t>
      </w:r>
      <w:r w:rsidR="00D411C7" w:rsidRPr="006F2DBA">
        <w:rPr>
          <w:rFonts w:eastAsia="Calibri"/>
        </w:rPr>
        <w:t xml:space="preserve">  </w:t>
      </w:r>
      <w:r w:rsidR="00ED6D96" w:rsidRPr="006F2DBA">
        <w:rPr>
          <w:rFonts w:eastAsia="Calibri"/>
        </w:rPr>
        <w:t xml:space="preserve">The </w:t>
      </w:r>
      <w:r w:rsidR="00ED6D96">
        <w:rPr>
          <w:rFonts w:eastAsia="Calibri"/>
        </w:rPr>
        <w:t>PBAC</w:t>
      </w:r>
      <w:r w:rsidR="00ED6D96" w:rsidRPr="006F2DBA">
        <w:rPr>
          <w:rFonts w:eastAsia="Calibri"/>
        </w:rPr>
        <w:t xml:space="preserve"> agreed </w:t>
      </w:r>
      <w:r w:rsidR="00ED6D96">
        <w:rPr>
          <w:rFonts w:eastAsia="Calibri"/>
        </w:rPr>
        <w:t xml:space="preserve">with the ESC </w:t>
      </w:r>
      <w:r w:rsidR="00ED6D96" w:rsidRPr="006F2DBA">
        <w:rPr>
          <w:rFonts w:eastAsia="Calibri"/>
        </w:rPr>
        <w:t>that the data were immature</w:t>
      </w:r>
      <w:r w:rsidR="00D23C4F">
        <w:rPr>
          <w:rFonts w:eastAsia="Calibri"/>
        </w:rPr>
        <w:t xml:space="preserve">.  In addition, </w:t>
      </w:r>
      <w:r w:rsidR="00D23C4F" w:rsidRPr="00D23C4F">
        <w:rPr>
          <w:rFonts w:eastAsia="Calibri"/>
        </w:rPr>
        <w:t>the PBAC considered that the submission’s claim of superior long-term survival was probably reasonable</w:t>
      </w:r>
      <w:r w:rsidR="004D5D5D">
        <w:rPr>
          <w:rFonts w:eastAsia="Calibri"/>
        </w:rPr>
        <w:t>;</w:t>
      </w:r>
      <w:r w:rsidR="00D23C4F" w:rsidRPr="00D23C4F">
        <w:rPr>
          <w:rFonts w:eastAsia="Calibri"/>
        </w:rPr>
        <w:t xml:space="preserve"> however</w:t>
      </w:r>
      <w:r w:rsidR="004D5D5D">
        <w:rPr>
          <w:rFonts w:eastAsia="Calibri"/>
        </w:rPr>
        <w:t>,</w:t>
      </w:r>
      <w:r w:rsidR="00D23C4F" w:rsidRPr="00D23C4F">
        <w:rPr>
          <w:rFonts w:eastAsia="Calibri"/>
        </w:rPr>
        <w:t xml:space="preserve"> the magnitude of effect remain</w:t>
      </w:r>
      <w:r w:rsidR="004D5D5D">
        <w:rPr>
          <w:rFonts w:eastAsia="Calibri"/>
        </w:rPr>
        <w:t>ed</w:t>
      </w:r>
      <w:r w:rsidR="00D23C4F" w:rsidRPr="00D23C4F">
        <w:rPr>
          <w:rFonts w:eastAsia="Calibri"/>
        </w:rPr>
        <w:t xml:space="preserve"> uncertain due to the relatively short duration of follow-up </w:t>
      </w:r>
      <w:r w:rsidR="00D23C4F">
        <w:rPr>
          <w:rFonts w:eastAsia="Calibri"/>
        </w:rPr>
        <w:t>to date</w:t>
      </w:r>
      <w:r w:rsidR="00D23C4F" w:rsidRPr="00D23C4F">
        <w:rPr>
          <w:rFonts w:eastAsia="Calibri"/>
        </w:rPr>
        <w:t>.</w:t>
      </w:r>
    </w:p>
    <w:p w14:paraId="0BCDFD25" w14:textId="77777777" w:rsidR="001F275B" w:rsidRPr="00D23C4F" w:rsidRDefault="1AA21FF2" w:rsidP="00D23C4F">
      <w:pPr>
        <w:pStyle w:val="3-BodyText"/>
        <w:rPr>
          <w:rFonts w:eastAsia="Calibri"/>
        </w:rPr>
      </w:pPr>
      <w:r w:rsidRPr="006F2DBA">
        <w:rPr>
          <w:rFonts w:eastAsia="Calibri"/>
        </w:rPr>
        <w:t xml:space="preserve">The submission claimed that daratumumab SC + CyBorD was inferior in terms of safety compared to CyBorD alone. </w:t>
      </w:r>
      <w:r w:rsidR="00D4257A" w:rsidRPr="00ED6D96">
        <w:rPr>
          <w:rFonts w:eastAsia="Calibri"/>
        </w:rPr>
        <w:t xml:space="preserve">The </w:t>
      </w:r>
      <w:r w:rsidR="00ED6D96" w:rsidRPr="00ED6D96">
        <w:rPr>
          <w:rFonts w:eastAsia="Calibri"/>
        </w:rPr>
        <w:t xml:space="preserve">PBAC </w:t>
      </w:r>
      <w:r w:rsidR="004F5989" w:rsidRPr="00ED6D96">
        <w:rPr>
          <w:rFonts w:eastAsia="Calibri"/>
        </w:rPr>
        <w:t>considered</w:t>
      </w:r>
      <w:r w:rsidR="00D4257A" w:rsidRPr="006F2DBA">
        <w:rPr>
          <w:rFonts w:eastAsia="Calibri"/>
        </w:rPr>
        <w:t xml:space="preserve"> that </w:t>
      </w:r>
      <w:r w:rsidR="004F5989" w:rsidRPr="006F2DBA">
        <w:rPr>
          <w:rFonts w:eastAsia="Calibri"/>
        </w:rPr>
        <w:t xml:space="preserve">this </w:t>
      </w:r>
      <w:r w:rsidRPr="006F2DBA">
        <w:rPr>
          <w:rFonts w:eastAsia="Calibri"/>
        </w:rPr>
        <w:t>clinical claim was supported by the clinical evidence.</w:t>
      </w:r>
    </w:p>
    <w:p w14:paraId="787519AE" w14:textId="77777777" w:rsidR="007F09A1" w:rsidRPr="00367925" w:rsidRDefault="007F09A1" w:rsidP="007F09A1">
      <w:pPr>
        <w:pStyle w:val="5-SubsectionSubheading"/>
      </w:pPr>
      <w:bookmarkStart w:id="54" w:name="_Toc82436612"/>
      <w:bookmarkStart w:id="55" w:name="_Toc82436613"/>
      <w:r>
        <w:t xml:space="preserve">Efficacy and safety of </w:t>
      </w:r>
      <w:r w:rsidRPr="00695A54">
        <w:t xml:space="preserve">daratumumab SC + CyBorD </w:t>
      </w:r>
      <w:r>
        <w:t>vs MDex</w:t>
      </w:r>
      <w:bookmarkEnd w:id="54"/>
    </w:p>
    <w:p w14:paraId="3F67239C" w14:textId="77777777" w:rsidR="007F09A1" w:rsidRPr="006F2DBA" w:rsidRDefault="007F09A1" w:rsidP="007F09A1">
      <w:pPr>
        <w:pStyle w:val="3-BodyText"/>
        <w:rPr>
          <w:rFonts w:eastAsia="Calibri"/>
        </w:rPr>
      </w:pPr>
      <w:r w:rsidRPr="006F2DBA">
        <w:rPr>
          <w:rFonts w:eastAsia="Calibri"/>
        </w:rPr>
        <w:t xml:space="preserve">The submission claimed that compared with MDex, daratumumab SC + CyBorD demonstrated superior comparative efficacy based on the results of the ITC </w:t>
      </w:r>
      <w:r w:rsidRPr="006F2DBA">
        <w:t>i</w:t>
      </w:r>
      <w:r w:rsidRPr="006F2DBA">
        <w:rPr>
          <w:rFonts w:eastAsia="Calibri"/>
        </w:rPr>
        <w:t xml:space="preserve">n terms of complete haematological response, MOD-PFS and OS. The </w:t>
      </w:r>
      <w:r>
        <w:rPr>
          <w:rFonts w:eastAsia="Calibri"/>
        </w:rPr>
        <w:t>PBAC</w:t>
      </w:r>
      <w:r w:rsidRPr="006F2DBA">
        <w:rPr>
          <w:rFonts w:eastAsia="Calibri"/>
        </w:rPr>
        <w:t xml:space="preserve"> considered that the clinical claim made by the submission was uncertain given the potential transitivity issues identified with the indirect comparison. In particular, the longer follow-up data available for Kastritis et al. 2020 (median of 50 months vs. 11.4 months for ANDROMEDA) limits the ability to draw conclusions from the results of the ITC</w:t>
      </w:r>
      <w:bookmarkStart w:id="56" w:name="limits_ITC"/>
      <w:bookmarkEnd w:id="56"/>
      <w:r w:rsidRPr="006F2DBA">
        <w:rPr>
          <w:rFonts w:eastAsia="Calibri"/>
        </w:rPr>
        <w:t xml:space="preserve">. </w:t>
      </w:r>
    </w:p>
    <w:p w14:paraId="72CDE884" w14:textId="77777777" w:rsidR="007F09A1" w:rsidRDefault="007F09A1" w:rsidP="007F09A1">
      <w:pPr>
        <w:pStyle w:val="3-BodyText"/>
        <w:rPr>
          <w:rFonts w:eastAsia="Calibri"/>
        </w:rPr>
      </w:pPr>
      <w:r w:rsidRPr="006F2DBA">
        <w:rPr>
          <w:rFonts w:eastAsia="Calibri"/>
        </w:rPr>
        <w:t>The submission made no clinical claim with regards to comparative safety of daratumumab SC + CyBorD compared to MDex. The submission considered the results were non-informative due to the difference in reporting methods between the trials. The ESC considered that this was reasonable.</w:t>
      </w:r>
    </w:p>
    <w:p w14:paraId="605E0FC7" w14:textId="77777777" w:rsidR="00B60939" w:rsidRPr="00C9624D" w:rsidRDefault="00B60939" w:rsidP="00E9094A">
      <w:pPr>
        <w:pStyle w:val="4-SubsectionHeading"/>
      </w:pPr>
      <w:r w:rsidRPr="00C9624D">
        <w:lastRenderedPageBreak/>
        <w:t>Economic analysis</w:t>
      </w:r>
      <w:bookmarkEnd w:id="53"/>
      <w:bookmarkEnd w:id="55"/>
      <w:r w:rsidR="00491B3A" w:rsidRPr="00C9624D">
        <w:t xml:space="preserve"> </w:t>
      </w:r>
    </w:p>
    <w:p w14:paraId="13904101" w14:textId="77777777" w:rsidR="00215935" w:rsidRPr="00215935" w:rsidRDefault="30C3C8E9" w:rsidP="57626B43">
      <w:pPr>
        <w:pStyle w:val="3-BodyText"/>
        <w:rPr>
          <w:b/>
          <w:bCs/>
          <w:lang w:val="en-US"/>
        </w:rPr>
      </w:pPr>
      <w:bookmarkStart w:id="57" w:name="_Hlk79583166"/>
      <w:r w:rsidRPr="002A770B">
        <w:t xml:space="preserve">The </w:t>
      </w:r>
      <w:r w:rsidR="00B266ED" w:rsidRPr="002A770B">
        <w:t>submission</w:t>
      </w:r>
      <w:r w:rsidRPr="002A770B">
        <w:t xml:space="preserve"> presented </w:t>
      </w:r>
      <w:r w:rsidR="00243851" w:rsidRPr="002A770B">
        <w:t>two</w:t>
      </w:r>
      <w:r w:rsidRPr="002A770B">
        <w:t xml:space="preserve"> cost-utility </w:t>
      </w:r>
      <w:r w:rsidR="00243851" w:rsidRPr="002A770B">
        <w:t>analyses</w:t>
      </w:r>
      <w:r w:rsidRPr="002A770B">
        <w:t xml:space="preserve">. </w:t>
      </w:r>
    </w:p>
    <w:p w14:paraId="201A7292" w14:textId="57543225" w:rsidR="002C4190" w:rsidRPr="005769DD" w:rsidRDefault="00243851" w:rsidP="003A2FF8">
      <w:pPr>
        <w:pStyle w:val="3-BodyText"/>
        <w:rPr>
          <w:b/>
          <w:bCs/>
          <w:lang w:val="en-US"/>
        </w:rPr>
      </w:pPr>
      <w:r w:rsidRPr="006F2DBA">
        <w:t>Firstly, t</w:t>
      </w:r>
      <w:r w:rsidR="30C3C8E9" w:rsidRPr="006F2DBA">
        <w:t xml:space="preserve">he submission presented a modelled economic evaluation based on </w:t>
      </w:r>
      <w:r w:rsidR="00B266ED" w:rsidRPr="006F2DBA">
        <w:t xml:space="preserve">the </w:t>
      </w:r>
      <w:r w:rsidR="30C3C8E9" w:rsidRPr="006F2DBA">
        <w:t>randomised trial</w:t>
      </w:r>
      <w:r w:rsidR="00B266ED" w:rsidRPr="006F2DBA">
        <w:t>,</w:t>
      </w:r>
      <w:r w:rsidR="30C3C8E9" w:rsidRPr="006F2DBA">
        <w:t xml:space="preserve"> ANDROMEDA</w:t>
      </w:r>
      <w:r w:rsidR="00B266ED" w:rsidRPr="006F2DBA">
        <w:t>,</w:t>
      </w:r>
      <w:r w:rsidR="30C3C8E9" w:rsidRPr="006F2DBA">
        <w:t xml:space="preserve"> comparing the listing of daratumumab SC + CyBorD with the primary comparator</w:t>
      </w:r>
      <w:r w:rsidR="00B266ED" w:rsidRPr="006F2DBA">
        <w:t>,</w:t>
      </w:r>
      <w:r w:rsidR="30C3C8E9" w:rsidRPr="006F2DBA">
        <w:t xml:space="preserve"> CyBorD alone. CyBorD alone is the most commonly utilised standard of care and is a reasonable comparator, however it is not PBS listed and the cost</w:t>
      </w:r>
      <w:r w:rsidR="00432B96" w:rsidRPr="006F2DBA">
        <w:noBreakHyphen/>
      </w:r>
      <w:r w:rsidR="30C3C8E9" w:rsidRPr="006F2DBA">
        <w:t xml:space="preserve">effectiveness of CyBorD </w:t>
      </w:r>
      <w:r w:rsidR="007444AF" w:rsidRPr="006F2DBA">
        <w:t>has not been assessed by the PBAC.</w:t>
      </w:r>
      <w:r w:rsidR="30C3C8E9" w:rsidRPr="006F2DBA">
        <w:t xml:space="preserve"> </w:t>
      </w:r>
      <w:r w:rsidR="00215935" w:rsidRPr="006F2DBA">
        <w:t>The PSCR stated that although not explicitly presented in the submission, the economic model could be used to estimate the cost effectiveness of CyBorD versus MDex. The PSCR claimed that CyBorD is cost-effective at its current PBS price versus MDex, with an ICER of $</w:t>
      </w:r>
      <w:r w:rsidR="006F292C">
        <w:t>5,000 to &lt; $15,000</w:t>
      </w:r>
      <w:r w:rsidR="00215935" w:rsidRPr="006F2DBA">
        <w:t>/QALY.</w:t>
      </w:r>
      <w:r w:rsidR="004109B5" w:rsidRPr="006F2DBA">
        <w:t xml:space="preserve"> The ESC considered this estimate was uncertain due to the structural and parametric uncertainties associated with the model.</w:t>
      </w:r>
      <w:r w:rsidR="00B654EC" w:rsidRPr="006F2DBA">
        <w:t xml:space="preserve">  Further, the ESC noted an alternative approach would be to remove the costs associated with CyBorD in the comparator arm.  Whilst this approach is considered exploratory and extreme, removal of </w:t>
      </w:r>
      <w:r w:rsidR="003D272A" w:rsidRPr="006F2DBA">
        <w:t>treatment costs</w:t>
      </w:r>
      <w:r w:rsidR="00B654EC" w:rsidRPr="006F2DBA">
        <w:t xml:space="preserve"> </w:t>
      </w:r>
      <w:r w:rsidR="003D272A" w:rsidRPr="006F2DBA">
        <w:t xml:space="preserve">and </w:t>
      </w:r>
      <w:r w:rsidR="00B654EC" w:rsidRPr="006F2DBA">
        <w:t>AE costs from the CyBorD arm results in an ICER of $</w:t>
      </w:r>
      <w:r w:rsidR="006F292C">
        <w:t>55,000 to &lt; $75,000</w:t>
      </w:r>
      <w:r w:rsidR="003E7B57" w:rsidRPr="006F2DBA">
        <w:t>/QALY</w:t>
      </w:r>
      <w:r w:rsidR="00B654EC" w:rsidRPr="006F2DBA">
        <w:t xml:space="preserve"> vs $</w:t>
      </w:r>
      <w:r w:rsidR="006F292C">
        <w:t>55,000 to &lt; $75,000</w:t>
      </w:r>
      <w:r w:rsidR="003E7B57" w:rsidRPr="006F2DBA">
        <w:t>/QALY</w:t>
      </w:r>
      <w:r w:rsidR="00B654EC" w:rsidRPr="006F2DBA">
        <w:t xml:space="preserve"> in the base case</w:t>
      </w:r>
      <w:r w:rsidR="003A678C" w:rsidRPr="006F2DBA">
        <w:t xml:space="preserve"> (submission model)</w:t>
      </w:r>
      <w:r w:rsidR="00B654EC" w:rsidRPr="006F2DBA">
        <w:t>.</w:t>
      </w:r>
    </w:p>
    <w:p w14:paraId="31AA0F26" w14:textId="77777777" w:rsidR="00432B96" w:rsidRPr="006F2DBA" w:rsidRDefault="002C4190" w:rsidP="57626B43">
      <w:pPr>
        <w:pStyle w:val="3-BodyText"/>
        <w:rPr>
          <w:b/>
          <w:bCs/>
          <w:lang w:val="en-US"/>
        </w:rPr>
      </w:pPr>
      <w:r w:rsidRPr="006F2DBA">
        <w:t>T</w:t>
      </w:r>
      <w:r w:rsidR="30C3C8E9" w:rsidRPr="006F2DBA">
        <w:t xml:space="preserve">he submission presented a supplementary modelled economic evaluation comparing daratumumab SC + CyBorD to the secondary comparator, MDex (PBS listed as an unrestricted benefit in the General Schedule). While the submission presented the results of an indirect comparison of two randomised trials (ANDROMEDA and Kastritis et al. 2020) to demonstrate the superiority of daratumumab SC + CyBorD compared to MDex, these results were not used in the modelled economic </w:t>
      </w:r>
      <w:r w:rsidR="00D71DEE" w:rsidRPr="006F2DBA">
        <w:t>evaluation. This</w:t>
      </w:r>
      <w:r w:rsidR="003A7E6E" w:rsidRPr="006F2DBA">
        <w:t xml:space="preserve"> may have been reasonable given the potential transitivity issues identified with the indirect comparison.</w:t>
      </w:r>
      <w:r w:rsidR="00B60225" w:rsidRPr="006F2DBA">
        <w:t xml:space="preserve"> The evaluation of MDex</w:t>
      </w:r>
      <w:r w:rsidR="00B00E74" w:rsidRPr="006F2DBA">
        <w:t xml:space="preserve"> relied on the same inputs as</w:t>
      </w:r>
      <w:r w:rsidR="00B60225" w:rsidRPr="006F2DBA">
        <w:t xml:space="preserve"> CyBorD with the exception of treatment costs and an adjustment of OS using the HR of MDex vs. BMDex</w:t>
      </w:r>
      <w:r w:rsidR="00E87FB0" w:rsidRPr="006F2DBA">
        <w:t xml:space="preserve"> from Kastritis et al. (2020)</w:t>
      </w:r>
      <w:r w:rsidR="00B60225" w:rsidRPr="006F2DBA">
        <w:t>.</w:t>
      </w:r>
      <w:r w:rsidR="00105C6A" w:rsidRPr="006F2DBA">
        <w:t xml:space="preserve"> The application of the HR from Kastritis et al. (2020) relies on an assumption of equivalence between CyBorD and BMDex </w:t>
      </w:r>
      <w:r w:rsidR="00256D80" w:rsidRPr="006F2DBA">
        <w:t xml:space="preserve">which was not demonstrated by the submission. </w:t>
      </w:r>
      <w:r w:rsidR="6E962BFA" w:rsidRPr="006F2DBA">
        <w:t>The direction of bias is unclear.</w:t>
      </w:r>
    </w:p>
    <w:p w14:paraId="641402EA" w14:textId="77777777" w:rsidR="00432B96" w:rsidRPr="006F2DBA" w:rsidRDefault="30C3C8E9" w:rsidP="57626B43">
      <w:pPr>
        <w:pStyle w:val="3-BodyText"/>
        <w:rPr>
          <w:lang w:val="en-US"/>
        </w:rPr>
      </w:pPr>
      <w:r w:rsidRPr="006F2DBA">
        <w:rPr>
          <w:lang w:val="en-US"/>
        </w:rPr>
        <w:t>A summary of model structure, key inputs and rationale are presented below.</w:t>
      </w:r>
    </w:p>
    <w:p w14:paraId="6EC0AA3D" w14:textId="77777777" w:rsidR="00432B96" w:rsidRPr="001F275B" w:rsidRDefault="30C3C8E9" w:rsidP="57626B43">
      <w:pPr>
        <w:pStyle w:val="TableText0"/>
        <w:rPr>
          <w:b/>
        </w:rPr>
      </w:pPr>
      <w:r w:rsidRPr="57626B43">
        <w:rPr>
          <w:b/>
        </w:rPr>
        <w:lastRenderedPageBreak/>
        <w:t xml:space="preserve">Table </w:t>
      </w:r>
      <w:r w:rsidR="008A0743">
        <w:rPr>
          <w:b/>
          <w:noProof/>
        </w:rPr>
        <w:t>1</w:t>
      </w:r>
      <w:r w:rsidR="001A7573">
        <w:rPr>
          <w:b/>
        </w:rPr>
        <w:t>4</w:t>
      </w:r>
      <w:r w:rsidRPr="57626B43">
        <w:rPr>
          <w:b/>
        </w:rPr>
        <w:t>:</w:t>
      </w:r>
      <w:r w:rsidRPr="57626B43">
        <w:rPr>
          <w:rStyle w:val="CommentReference"/>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4: Summary of model structure, key inputs and rationale"/>
      </w:tblPr>
      <w:tblGrid>
        <w:gridCol w:w="1838"/>
        <w:gridCol w:w="7179"/>
      </w:tblGrid>
      <w:tr w:rsidR="00432B96" w:rsidRPr="006F2DBA" w14:paraId="79114A40" w14:textId="77777777" w:rsidTr="00273B4E">
        <w:tc>
          <w:tcPr>
            <w:tcW w:w="1019" w:type="pct"/>
            <w:vAlign w:val="center"/>
          </w:tcPr>
          <w:p w14:paraId="704FE131" w14:textId="77777777" w:rsidR="00432B96" w:rsidRPr="006F2DBA" w:rsidRDefault="30C3C8E9" w:rsidP="00F071FF">
            <w:pPr>
              <w:pStyle w:val="In-tableHeading"/>
              <w:jc w:val="center"/>
            </w:pPr>
            <w:r w:rsidRPr="006F2DBA">
              <w:t>Component</w:t>
            </w:r>
          </w:p>
        </w:tc>
        <w:tc>
          <w:tcPr>
            <w:tcW w:w="3981" w:type="pct"/>
          </w:tcPr>
          <w:p w14:paraId="437EF888" w14:textId="77777777" w:rsidR="00432B96" w:rsidRPr="006F2DBA" w:rsidRDefault="30C3C8E9" w:rsidP="00F071FF">
            <w:pPr>
              <w:pStyle w:val="In-tableHeading"/>
              <w:jc w:val="center"/>
            </w:pPr>
            <w:r w:rsidRPr="006F2DBA">
              <w:t>Summary</w:t>
            </w:r>
          </w:p>
        </w:tc>
      </w:tr>
      <w:tr w:rsidR="00432B96" w:rsidRPr="006F2DBA" w14:paraId="41BA3B3D" w14:textId="77777777" w:rsidTr="00273B4E">
        <w:tc>
          <w:tcPr>
            <w:tcW w:w="1019" w:type="pct"/>
            <w:vAlign w:val="center"/>
          </w:tcPr>
          <w:p w14:paraId="275A7914" w14:textId="77777777" w:rsidR="00432B96" w:rsidRPr="006F2DBA" w:rsidRDefault="30C3C8E9" w:rsidP="00F071FF">
            <w:pPr>
              <w:pStyle w:val="TableText0"/>
            </w:pPr>
            <w:r w:rsidRPr="006F2DBA">
              <w:t>Treatments</w:t>
            </w:r>
          </w:p>
        </w:tc>
        <w:tc>
          <w:tcPr>
            <w:tcW w:w="3981" w:type="pct"/>
          </w:tcPr>
          <w:p w14:paraId="54E3C99C" w14:textId="77777777" w:rsidR="00432B96" w:rsidRPr="006F2DBA" w:rsidRDefault="006923F1" w:rsidP="00F071FF">
            <w:pPr>
              <w:pStyle w:val="TableText0"/>
            </w:pPr>
            <w:r w:rsidRPr="006F2DBA">
              <w:t>D</w:t>
            </w:r>
            <w:r w:rsidR="30C3C8E9" w:rsidRPr="006F2DBA">
              <w:t>aratumumab SC + CyBorD vs. CyBorD and MDex</w:t>
            </w:r>
          </w:p>
        </w:tc>
      </w:tr>
      <w:tr w:rsidR="00432B96" w:rsidRPr="006F2DBA" w14:paraId="6169F599" w14:textId="77777777" w:rsidTr="00273B4E">
        <w:tc>
          <w:tcPr>
            <w:tcW w:w="1019" w:type="pct"/>
            <w:vAlign w:val="center"/>
          </w:tcPr>
          <w:p w14:paraId="207F7DA3" w14:textId="77777777" w:rsidR="00432B96" w:rsidRPr="006F2DBA" w:rsidRDefault="30C3C8E9" w:rsidP="00F071FF">
            <w:pPr>
              <w:pStyle w:val="TableText0"/>
            </w:pPr>
            <w:r w:rsidRPr="006F2DBA">
              <w:t>Outcomes</w:t>
            </w:r>
          </w:p>
        </w:tc>
        <w:tc>
          <w:tcPr>
            <w:tcW w:w="3981" w:type="pct"/>
          </w:tcPr>
          <w:p w14:paraId="56038DF6" w14:textId="77777777" w:rsidR="00432B96" w:rsidRPr="006F2DBA" w:rsidRDefault="006923F1" w:rsidP="00F071FF">
            <w:pPr>
              <w:pStyle w:val="TableText0"/>
            </w:pPr>
            <w:r w:rsidRPr="006F2DBA">
              <w:t>L</w:t>
            </w:r>
            <w:r w:rsidR="30C3C8E9" w:rsidRPr="006F2DBA">
              <w:t>ife years gained, quality-adjusted life years</w:t>
            </w:r>
          </w:p>
        </w:tc>
      </w:tr>
      <w:tr w:rsidR="00432B96" w:rsidRPr="006F2DBA" w14:paraId="660DE33C" w14:textId="77777777" w:rsidTr="00273B4E">
        <w:tc>
          <w:tcPr>
            <w:tcW w:w="1019" w:type="pct"/>
            <w:vAlign w:val="center"/>
          </w:tcPr>
          <w:p w14:paraId="38FFE99D" w14:textId="77777777" w:rsidR="00432B96" w:rsidRPr="006F2DBA" w:rsidRDefault="30C3C8E9" w:rsidP="00F071FF">
            <w:pPr>
              <w:pStyle w:val="TableText0"/>
            </w:pPr>
            <w:r w:rsidRPr="006F2DBA">
              <w:t>Time horizon</w:t>
            </w:r>
          </w:p>
        </w:tc>
        <w:tc>
          <w:tcPr>
            <w:tcW w:w="3981" w:type="pct"/>
          </w:tcPr>
          <w:p w14:paraId="4CB20F9D" w14:textId="77777777" w:rsidR="00432B96" w:rsidRPr="006F2DBA" w:rsidRDefault="30C3C8E9" w:rsidP="00E87FB0">
            <w:pPr>
              <w:pStyle w:val="TableText0"/>
            </w:pPr>
            <w:r w:rsidRPr="006F2DBA">
              <w:t xml:space="preserve">25 years in the model base case vs. 6 months in ANDROMEDA and 36 months </w:t>
            </w:r>
            <w:r w:rsidR="004657EA" w:rsidRPr="006F2DBA">
              <w:t xml:space="preserve">from </w:t>
            </w:r>
            <w:r w:rsidR="00E87FB0" w:rsidRPr="006F2DBA">
              <w:t>an observational study</w:t>
            </w:r>
            <w:r w:rsidR="004657EA" w:rsidRPr="006F2DBA">
              <w:t>,</w:t>
            </w:r>
            <w:r w:rsidR="002C4190" w:rsidRPr="006F2DBA">
              <w:t xml:space="preserve"> </w:t>
            </w:r>
            <w:r w:rsidRPr="006F2DBA">
              <w:t>Palladini et al. (2012) (total 42 months). The submission relied on 6 months of trial data, 36 months of observational data, and the remaining 21.5 years was based on extrapolation.</w:t>
            </w:r>
          </w:p>
        </w:tc>
      </w:tr>
      <w:tr w:rsidR="00432B96" w:rsidRPr="006F2DBA" w14:paraId="67B5988A" w14:textId="77777777" w:rsidTr="00273B4E">
        <w:trPr>
          <w:trHeight w:val="340"/>
        </w:trPr>
        <w:tc>
          <w:tcPr>
            <w:tcW w:w="1019" w:type="pct"/>
            <w:vAlign w:val="center"/>
          </w:tcPr>
          <w:p w14:paraId="3DD34F89" w14:textId="77777777" w:rsidR="00432B96" w:rsidRPr="006F2DBA" w:rsidRDefault="30C3C8E9" w:rsidP="00F071FF">
            <w:pPr>
              <w:pStyle w:val="TableText0"/>
            </w:pPr>
            <w:r w:rsidRPr="006F2DBA">
              <w:t>Methods used to generate results</w:t>
            </w:r>
          </w:p>
        </w:tc>
        <w:tc>
          <w:tcPr>
            <w:tcW w:w="3981" w:type="pct"/>
          </w:tcPr>
          <w:p w14:paraId="6E9F1355" w14:textId="5414A84E" w:rsidR="00432B96" w:rsidRPr="006F2DBA" w:rsidRDefault="30C3C8E9" w:rsidP="00D6326C">
            <w:pPr>
              <w:pStyle w:val="TableText0"/>
            </w:pPr>
            <w:r w:rsidRPr="006F2DBA">
              <w:t>Partitioned survival model</w:t>
            </w:r>
            <w:r w:rsidR="00215935" w:rsidRPr="006F2DBA">
              <w:t xml:space="preserve">. </w:t>
            </w:r>
            <w:r w:rsidR="005953EB">
              <w:t xml:space="preserve">The pre-PBAC response clarified that </w:t>
            </w:r>
            <w:r w:rsidR="005953EB" w:rsidRPr="005953EB">
              <w:t xml:space="preserve">that the model </w:t>
            </w:r>
            <w:r w:rsidR="00975C76">
              <w:t>wa</w:t>
            </w:r>
            <w:r w:rsidR="005953EB" w:rsidRPr="005953EB">
              <w:t>s not a conventional partitioned survival analysis</w:t>
            </w:r>
            <w:r w:rsidR="00975C76">
              <w:t>, rather it was a simple decision analysis</w:t>
            </w:r>
            <w:r w:rsidR="00215935" w:rsidRPr="006F2DBA">
              <w:t>.</w:t>
            </w:r>
          </w:p>
        </w:tc>
      </w:tr>
      <w:tr w:rsidR="00432B96" w:rsidRPr="006F2DBA" w14:paraId="1ABA893C" w14:textId="77777777" w:rsidTr="00273B4E">
        <w:tc>
          <w:tcPr>
            <w:tcW w:w="1019" w:type="pct"/>
            <w:vAlign w:val="center"/>
          </w:tcPr>
          <w:p w14:paraId="3CA9DF4B" w14:textId="77777777" w:rsidR="00432B96" w:rsidRPr="006F2DBA" w:rsidRDefault="30C3C8E9" w:rsidP="00F071FF">
            <w:pPr>
              <w:pStyle w:val="TableText0"/>
            </w:pPr>
            <w:r w:rsidRPr="006F2DBA">
              <w:t>Health states</w:t>
            </w:r>
          </w:p>
        </w:tc>
        <w:tc>
          <w:tcPr>
            <w:tcW w:w="3981" w:type="pct"/>
          </w:tcPr>
          <w:p w14:paraId="5BE80F12" w14:textId="77777777" w:rsidR="00432B96" w:rsidRPr="006F2DBA" w:rsidRDefault="30C3C8E9" w:rsidP="00F071FF">
            <w:pPr>
              <w:pStyle w:val="TableText0"/>
            </w:pPr>
            <w:r w:rsidRPr="006F2DBA">
              <w:rPr>
                <w:u w:val="single"/>
              </w:rPr>
              <w:t xml:space="preserve">Response: </w:t>
            </w:r>
            <w:r w:rsidRPr="006F2DBA">
              <w:t>achieving and maintaining a response, loss of response from start of subsequent therapy, ASCT or death</w:t>
            </w:r>
          </w:p>
          <w:p w14:paraId="709702AC" w14:textId="77777777" w:rsidR="00432B96" w:rsidRPr="006F2DBA" w:rsidRDefault="30C3C8E9" w:rsidP="00F071FF">
            <w:pPr>
              <w:pStyle w:val="TableText0"/>
            </w:pPr>
            <w:r w:rsidRPr="006F2DBA">
              <w:rPr>
                <w:u w:val="single"/>
              </w:rPr>
              <w:t xml:space="preserve">Post loss of response: </w:t>
            </w:r>
            <w:r w:rsidRPr="006F2DBA">
              <w:t>discontinued treatments of interest and progressed to subsequent treatment</w:t>
            </w:r>
          </w:p>
          <w:p w14:paraId="6C4E7838" w14:textId="77777777" w:rsidR="00432B96" w:rsidRPr="006F2DBA" w:rsidRDefault="30C3C8E9" w:rsidP="00F071FF">
            <w:pPr>
              <w:pStyle w:val="TableText0"/>
            </w:pPr>
            <w:r w:rsidRPr="006F2DBA">
              <w:rPr>
                <w:u w:val="single"/>
              </w:rPr>
              <w:t>Death:</w:t>
            </w:r>
            <w:r w:rsidRPr="006F2DBA">
              <w:t xml:space="preserve"> absorbing death state.</w:t>
            </w:r>
          </w:p>
          <w:p w14:paraId="1966E060" w14:textId="77777777" w:rsidR="00432B96" w:rsidRPr="006F2DBA" w:rsidRDefault="30C3C8E9" w:rsidP="57626B43">
            <w:pPr>
              <w:pStyle w:val="TableText0"/>
            </w:pPr>
            <w:r w:rsidRPr="006F2DBA">
              <w:t>The response health state included patients who responded to treatment or maintained a response off-treatment. In ANDROMEDA, patients discontinued treatment if haematological response was suboptimal or worsening organ function, which occurs before progression. The ANDROMEDA trial measured MOD-PFS which was defined as haematologic PD, major organ deterioration, initiation of any subsequent non-cross resistant anti-plasma cell therapy, or death, whichever comes first. It may have been more appropriate to apply MOD-PFS in the model.</w:t>
            </w:r>
          </w:p>
        </w:tc>
      </w:tr>
      <w:tr w:rsidR="00432B96" w:rsidRPr="006F2DBA" w14:paraId="0B94CE76" w14:textId="77777777" w:rsidTr="00273B4E">
        <w:tc>
          <w:tcPr>
            <w:tcW w:w="1019" w:type="pct"/>
            <w:vAlign w:val="center"/>
          </w:tcPr>
          <w:p w14:paraId="012F8BC8" w14:textId="77777777" w:rsidR="00432B96" w:rsidRPr="006F2DBA" w:rsidRDefault="30C3C8E9" w:rsidP="00F071FF">
            <w:pPr>
              <w:pStyle w:val="TableText0"/>
            </w:pPr>
            <w:r w:rsidRPr="006F2DBA">
              <w:t>Cycle length</w:t>
            </w:r>
          </w:p>
        </w:tc>
        <w:tc>
          <w:tcPr>
            <w:tcW w:w="3981" w:type="pct"/>
          </w:tcPr>
          <w:p w14:paraId="181227FD" w14:textId="77777777" w:rsidR="00432B96" w:rsidRPr="006F2DBA" w:rsidRDefault="30C3C8E9" w:rsidP="00F071FF">
            <w:pPr>
              <w:pStyle w:val="TableText0"/>
            </w:pPr>
            <w:r w:rsidRPr="006F2DBA">
              <w:t>1 month</w:t>
            </w:r>
          </w:p>
        </w:tc>
      </w:tr>
      <w:tr w:rsidR="00432B96" w:rsidRPr="006F2DBA" w14:paraId="4D11AD53" w14:textId="77777777" w:rsidTr="00273B4E">
        <w:tc>
          <w:tcPr>
            <w:tcW w:w="1019" w:type="pct"/>
            <w:vAlign w:val="center"/>
          </w:tcPr>
          <w:p w14:paraId="66C130A9" w14:textId="77777777" w:rsidR="00432B96" w:rsidRPr="006F2DBA" w:rsidRDefault="30C3C8E9" w:rsidP="00F071FF">
            <w:pPr>
              <w:pStyle w:val="TableText0"/>
            </w:pPr>
            <w:r w:rsidRPr="006F2DBA">
              <w:t>Transition probabilities</w:t>
            </w:r>
          </w:p>
        </w:tc>
        <w:tc>
          <w:tcPr>
            <w:tcW w:w="3981" w:type="pct"/>
          </w:tcPr>
          <w:p w14:paraId="1C74B6E6" w14:textId="77777777" w:rsidR="00432B96" w:rsidRPr="006F2DBA" w:rsidRDefault="30C3C8E9" w:rsidP="00F071FF">
            <w:pPr>
              <w:pStyle w:val="TableText0"/>
            </w:pPr>
            <w:r w:rsidRPr="006F2DBA">
              <w:rPr>
                <w:u w:val="single"/>
              </w:rPr>
              <w:t>Time to loss of response:</w:t>
            </w:r>
            <w:r w:rsidRPr="006F2DBA">
              <w:t xml:space="preserve"> KM estimates of time to subsequent pharmacological treatment, ASCT or death from ANDROMEDA daratumumab SC + CyBorD and CyBorD. Assumed same transitions associated with MDex and CyBorD.</w:t>
            </w:r>
          </w:p>
          <w:p w14:paraId="44995C23" w14:textId="77777777" w:rsidR="00432B96" w:rsidRPr="006F2DBA" w:rsidRDefault="30C3C8E9" w:rsidP="00F071FF">
            <w:pPr>
              <w:pStyle w:val="TableText0"/>
            </w:pPr>
            <w:r w:rsidRPr="006F2DBA">
              <w:rPr>
                <w:u w:val="single"/>
              </w:rPr>
              <w:t>Time to post loss of response:</w:t>
            </w:r>
            <w:r w:rsidRPr="006F2DBA">
              <w:t xml:space="preserve"> difference between proportion alive and proportion remaining in responding health state.</w:t>
            </w:r>
          </w:p>
          <w:p w14:paraId="4A70889A" w14:textId="77777777" w:rsidR="002565B1" w:rsidRPr="006F2DBA" w:rsidRDefault="30C3C8E9" w:rsidP="00F071FF">
            <w:pPr>
              <w:pStyle w:val="TableText0"/>
            </w:pPr>
            <w:r w:rsidRPr="006F2DBA">
              <w:rPr>
                <w:u w:val="single"/>
              </w:rPr>
              <w:t>Time to death</w:t>
            </w:r>
            <w:r w:rsidRPr="006F2DBA">
              <w:t>: Assumed surrogacy relationship between haematological response to treatment CR, VGPR, PR and NR to OS. The treatment group and response category specific transitions from ANDROMEDA inform the OS transitions to CR, VGPR, PR and NR for the first 6 cycles (6 months). Thereafter, estimates of survival from Palladini et al. (2012) inform the OS transitions based on response at 6 months. Assumed same KM curve with MDex and CyBorD with HR applied from Kastritis et al. (</w:t>
            </w:r>
            <w:r w:rsidR="00A92B40" w:rsidRPr="006F2DBA">
              <w:t>2020</w:t>
            </w:r>
            <w:r w:rsidRPr="006F2DBA">
              <w:t>).</w:t>
            </w:r>
          </w:p>
          <w:p w14:paraId="5A354646" w14:textId="77777777" w:rsidR="00432B96" w:rsidRPr="006F2DBA" w:rsidRDefault="002565B1" w:rsidP="00F071FF">
            <w:pPr>
              <w:pStyle w:val="TableText0"/>
            </w:pPr>
            <w:r w:rsidRPr="005953EB">
              <w:rPr>
                <w:u w:val="single"/>
              </w:rPr>
              <w:t>Cardiac failure:</w:t>
            </w:r>
            <w:r w:rsidRPr="005953EB">
              <w:t xml:space="preserve"> </w:t>
            </w:r>
            <w:r w:rsidR="00F540C9" w:rsidRPr="005953EB">
              <w:t>The rates of cardiac progression per month</w:t>
            </w:r>
            <w:r w:rsidR="00F540C9" w:rsidRPr="006F2DBA">
              <w:t xml:space="preserve"> from ANDROMEDA were applied to patients who remained alive on treatment and were assumed to be living with cardiac failure at a given cycle.</w:t>
            </w:r>
          </w:p>
          <w:p w14:paraId="48D5CC76" w14:textId="77777777" w:rsidR="00432B96" w:rsidRPr="006F2DBA" w:rsidRDefault="30C3C8E9" w:rsidP="00756586">
            <w:pPr>
              <w:pStyle w:val="TableText0"/>
            </w:pPr>
            <w:r w:rsidRPr="006F2DBA">
              <w:t>The submission relied on the translation of surrogate outcome, haem</w:t>
            </w:r>
            <w:r w:rsidR="00756586" w:rsidRPr="006F2DBA">
              <w:t>a</w:t>
            </w:r>
            <w:r w:rsidRPr="006F2DBA">
              <w:t>tological response to OS. The submission relied on observational study Palladini et al. (2012) for the time to death transition using estimates landmarked at 6 months by response category. The indirect comparison results (between daratumumab SC + CyBorD and MDex on the basis of CyBorD/BMD common comparator) were not relied on for the modelling of time to death for MDex.</w:t>
            </w:r>
          </w:p>
        </w:tc>
      </w:tr>
      <w:tr w:rsidR="00432B96" w:rsidRPr="006F2DBA" w14:paraId="199C6AD0" w14:textId="77777777" w:rsidTr="00273B4E">
        <w:tc>
          <w:tcPr>
            <w:tcW w:w="1019" w:type="pct"/>
            <w:vAlign w:val="center"/>
          </w:tcPr>
          <w:p w14:paraId="3A33168E" w14:textId="77777777" w:rsidR="00432B96" w:rsidRPr="006F2DBA" w:rsidRDefault="30C3C8E9" w:rsidP="00F071FF">
            <w:pPr>
              <w:pStyle w:val="TableText0"/>
            </w:pPr>
            <w:r w:rsidRPr="006F2DBA">
              <w:t>Extrapolation methods</w:t>
            </w:r>
          </w:p>
        </w:tc>
        <w:tc>
          <w:tcPr>
            <w:tcW w:w="3981" w:type="pct"/>
          </w:tcPr>
          <w:p w14:paraId="54F5116A" w14:textId="77777777" w:rsidR="00432B96" w:rsidRPr="006F2DBA" w:rsidRDefault="30C3C8E9" w:rsidP="00F071FF">
            <w:pPr>
              <w:pStyle w:val="TableText0"/>
            </w:pPr>
            <w:r w:rsidRPr="006F2DBA">
              <w:t xml:space="preserve">Time to subsequent treatment: parametric model fitted to each treatment arm with Weibull selected in base case for based on goodness of fit, parametric model fitted from when 20% remaining at risk. </w:t>
            </w:r>
          </w:p>
          <w:p w14:paraId="58A9E274" w14:textId="77777777" w:rsidR="00432B96" w:rsidRPr="006F2DBA" w:rsidRDefault="30C3C8E9" w:rsidP="57626B43">
            <w:pPr>
              <w:pStyle w:val="TableText0"/>
            </w:pPr>
            <w:r w:rsidRPr="006F2DBA">
              <w:t>OS: exponential extrapolation applied after 42 months</w:t>
            </w:r>
            <w:r w:rsidR="00B62AB3" w:rsidRPr="006F2DBA">
              <w:t xml:space="preserve"> based on 36 months of data from Palladini et al. (2012)</w:t>
            </w:r>
            <w:r w:rsidRPr="006F2DBA">
              <w:t xml:space="preserve">. </w:t>
            </w:r>
          </w:p>
          <w:p w14:paraId="086158E8" w14:textId="77777777" w:rsidR="00432B96" w:rsidRPr="006F2DBA" w:rsidRDefault="30C3C8E9" w:rsidP="00F071FF">
            <w:pPr>
              <w:pStyle w:val="TableText0"/>
            </w:pPr>
            <w:r w:rsidRPr="006F2DBA">
              <w:t>TTD: parametric model fitted to each treatment arm with Gompertz selected in base case for based on goodness of fit, parametric model fitted from when 20% remaining at risk.</w:t>
            </w:r>
          </w:p>
        </w:tc>
      </w:tr>
      <w:tr w:rsidR="00432B96" w:rsidRPr="006F2DBA" w14:paraId="68C44D01" w14:textId="77777777" w:rsidTr="00273B4E">
        <w:tc>
          <w:tcPr>
            <w:tcW w:w="1019" w:type="pct"/>
            <w:vAlign w:val="center"/>
          </w:tcPr>
          <w:p w14:paraId="20BA7FB0" w14:textId="77777777" w:rsidR="00432B96" w:rsidRPr="006F2DBA" w:rsidRDefault="30C3C8E9" w:rsidP="00F071FF">
            <w:pPr>
              <w:pStyle w:val="TableText0"/>
            </w:pPr>
            <w:r w:rsidRPr="006F2DBA">
              <w:t>Health related quality of life</w:t>
            </w:r>
          </w:p>
        </w:tc>
        <w:tc>
          <w:tcPr>
            <w:tcW w:w="3981" w:type="pct"/>
          </w:tcPr>
          <w:p w14:paraId="2DC13969" w14:textId="77777777" w:rsidR="00432B96" w:rsidRPr="006F2DBA" w:rsidRDefault="00A92B40" w:rsidP="00A92B40">
            <w:pPr>
              <w:pStyle w:val="TableText0"/>
            </w:pPr>
            <w:r w:rsidRPr="006F2DBA">
              <w:t xml:space="preserve">ANDROMEDA: </w:t>
            </w:r>
            <w:r w:rsidR="30C3C8E9" w:rsidRPr="006F2DBA">
              <w:t>Response (0.733), loss of response (0.664)</w:t>
            </w:r>
            <w:r w:rsidRPr="006F2DBA">
              <w:t xml:space="preserve">. US-based Medical Expenditure Panel Survey </w:t>
            </w:r>
            <w:r w:rsidR="30C3C8E9" w:rsidRPr="006F2DBA">
              <w:t>cardiac failure (-0.1034)</w:t>
            </w:r>
          </w:p>
        </w:tc>
      </w:tr>
    </w:tbl>
    <w:p w14:paraId="4DCB13BA" w14:textId="77777777" w:rsidR="00432B96" w:rsidRDefault="30C3C8E9" w:rsidP="00432B96">
      <w:pPr>
        <w:pStyle w:val="TableFigureFooter"/>
      </w:pPr>
      <w:r>
        <w:t xml:space="preserve">Source: Table 3.1, p. 205-206 of the submission. </w:t>
      </w:r>
    </w:p>
    <w:p w14:paraId="02C0A3C9" w14:textId="77777777" w:rsidR="00432B96" w:rsidRDefault="30C3C8E9" w:rsidP="00432B96">
      <w:pPr>
        <w:pStyle w:val="TableFigureFooter"/>
      </w:pPr>
      <w:bookmarkStart w:id="58" w:name="_Hlk79762526"/>
      <w:r>
        <w:t xml:space="preserve">ASCT = autologous stem cell transplant; BMD = bortezomib, melphalan and dexamethasone; CR = complete response; CyBorD = cyclophosphamide; bortezomib and dexamethasone; HR = hazard ratio; KM = Kaplan Meier; MDex = melphalan and dexamethasone; </w:t>
      </w:r>
      <w:r w:rsidR="02418022">
        <w:t>MOD-</w:t>
      </w:r>
      <w:r w:rsidR="02418022">
        <w:lastRenderedPageBreak/>
        <w:t>PFS = m</w:t>
      </w:r>
      <w:r>
        <w:t>ajor organ deterioration-progression free survival; NR = no response; OS = overall survival; PD = progressive disease; PR = partial response; SC = subcutaneous; TTD = time to treatment discontinuation; VGPR = very good or partial response.</w:t>
      </w:r>
    </w:p>
    <w:bookmarkEnd w:id="58"/>
    <w:p w14:paraId="335807FF" w14:textId="77777777" w:rsidR="00432B96" w:rsidRDefault="00432B96" w:rsidP="00432B96"/>
    <w:p w14:paraId="5337A166" w14:textId="77777777" w:rsidR="00432B96" w:rsidRPr="002A770B" w:rsidRDefault="30C3C8E9" w:rsidP="57626B43">
      <w:pPr>
        <w:pStyle w:val="3-BodyText"/>
      </w:pPr>
      <w:r w:rsidRPr="002A770B">
        <w:t>The submission assumed an extrapolated benefit of time to subsequent therapy beyond the 24-month treatment period in the time on response health state (based on time to subsequent therapy transition probability). At the end of the model time horizon of 25 years, 1.7% of patients remained in the responding health state in the daratumumab SC + CyBorD arm</w:t>
      </w:r>
      <w:r w:rsidR="00617FBB" w:rsidRPr="002A770B">
        <w:t xml:space="preserve"> horizon after receiving 24 months of daratumumab SC</w:t>
      </w:r>
      <w:r w:rsidRPr="002A770B">
        <w:t>. The assumed continued treatment effect favoured daratumumab SC + CyBorD. The application of an exponential extrapolation (base case Weibull) reduced the proportion of patients in the daratumumab SC + CyBorD arm in the responding health state to 0.1% and increased the ICER</w:t>
      </w:r>
      <w:r w:rsidR="004821B3" w:rsidRPr="002A770B">
        <w:t xml:space="preserve"> from $</w:t>
      </w:r>
      <w:r w:rsidR="006F292C">
        <w:t>55,000 to &lt; $75,000/QALY gained</w:t>
      </w:r>
      <w:r w:rsidR="004821B3" w:rsidRPr="002A770B">
        <w:t xml:space="preserve"> (base case) to $</w:t>
      </w:r>
      <w:r w:rsidR="006F292C">
        <w:t>55,000 to &lt; $75,000/QALY gained</w:t>
      </w:r>
      <w:r w:rsidRPr="002A770B">
        <w:t xml:space="preserve">, although, this is </w:t>
      </w:r>
      <w:r w:rsidR="001D2D5C" w:rsidRPr="002A770B">
        <w:t xml:space="preserve">likely </w:t>
      </w:r>
      <w:r w:rsidRPr="002A770B">
        <w:t xml:space="preserve">still an overestimation of treatment benefit. The application of a convergence factor to time to subsequent treatment between daratumumab SC + CyBorD </w:t>
      </w:r>
      <w:r w:rsidR="00C3504D" w:rsidRPr="002A770B">
        <w:t xml:space="preserve">and </w:t>
      </w:r>
      <w:r w:rsidRPr="002A770B">
        <w:t xml:space="preserve">CyBorD/MDex </w:t>
      </w:r>
      <w:r w:rsidR="00C3504D" w:rsidRPr="002A770B">
        <w:t xml:space="preserve">also </w:t>
      </w:r>
      <w:r w:rsidRPr="002A770B">
        <w:t>increased the ICER</w:t>
      </w:r>
      <w:r w:rsidR="00C3504D" w:rsidRPr="002A770B">
        <w:t xml:space="preserve"> (</w:t>
      </w:r>
      <w:r w:rsidR="00C3504D" w:rsidRPr="00695A67">
        <w:t xml:space="preserve">see </w:t>
      </w:r>
      <w:r w:rsidR="00617FBB" w:rsidRPr="00695A67">
        <w:t>T</w:t>
      </w:r>
      <w:r w:rsidR="00C3504D" w:rsidRPr="00695A67">
        <w:t xml:space="preserve">able </w:t>
      </w:r>
      <w:r w:rsidR="00617FBB" w:rsidRPr="00695A67">
        <w:t>1</w:t>
      </w:r>
      <w:r w:rsidR="00D772F5">
        <w:t>8</w:t>
      </w:r>
      <w:r w:rsidR="00C3504D" w:rsidRPr="002A770B">
        <w:t>)</w:t>
      </w:r>
      <w:r w:rsidRPr="002A770B">
        <w:t>.</w:t>
      </w:r>
    </w:p>
    <w:p w14:paraId="757C725A" w14:textId="77777777" w:rsidR="00221325" w:rsidRDefault="30C3C8E9" w:rsidP="00221325">
      <w:pPr>
        <w:pStyle w:val="3-BodyText"/>
      </w:pPr>
      <w:r w:rsidRPr="006F2DBA">
        <w:t xml:space="preserve">The model time horizon of 25 years </w:t>
      </w:r>
      <w:r w:rsidR="00C3504D" w:rsidRPr="006F2DBA">
        <w:t xml:space="preserve">was </w:t>
      </w:r>
      <w:r w:rsidRPr="006F2DBA">
        <w:t xml:space="preserve">optimistic given the average age of patients </w:t>
      </w:r>
      <w:r w:rsidR="00C3504D" w:rsidRPr="006F2DBA">
        <w:t>entering the model was</w:t>
      </w:r>
      <w:r w:rsidRPr="006F2DBA">
        <w:t xml:space="preserve"> 63 years</w:t>
      </w:r>
      <w:r w:rsidR="00C3504D" w:rsidRPr="006F2DBA">
        <w:t>,</w:t>
      </w:r>
      <w:r w:rsidRPr="006F2DBA">
        <w:t xml:space="preserve"> based on ANDROMEDA. </w:t>
      </w:r>
      <w:r w:rsidR="00C3504D" w:rsidRPr="006F2DBA">
        <w:t xml:space="preserve">A </w:t>
      </w:r>
      <w:r w:rsidRPr="006F2DBA">
        <w:t xml:space="preserve">median survival of 1.2 years was reported in observational data from Wisniowski et al. (2019) for amyloidosis without a monoclonal antibody which is suggestive of AL amyloidosis. The economic model relied on 6 months of trial data with an additional 36 months of observational data from Palladini et al. (2012), </w:t>
      </w:r>
      <w:r w:rsidR="00C3504D" w:rsidRPr="006F2DBA">
        <w:t xml:space="preserve">and </w:t>
      </w:r>
      <w:r w:rsidRPr="006F2DBA">
        <w:t xml:space="preserve">therefore consisted of 21.5 years of extrapolation. </w:t>
      </w:r>
      <w:r w:rsidR="00C45A6C" w:rsidRPr="006F2DBA">
        <w:t>T</w:t>
      </w:r>
      <w:r w:rsidRPr="006F2DBA">
        <w:t xml:space="preserve">he extensive extrapolation of the time horizon (to 25 years) with premature OS data </w:t>
      </w:r>
      <w:r w:rsidR="00C3504D" w:rsidRPr="006F2DBA">
        <w:t>resulted in</w:t>
      </w:r>
      <w:r w:rsidRPr="006F2DBA">
        <w:t xml:space="preserve"> a high degree of uncertainty with respect to the model outputs. </w:t>
      </w:r>
      <w:r w:rsidR="00215935" w:rsidRPr="006F2DBA">
        <w:t xml:space="preserve">The PSCR argued that a 25-year time horizon was clinically plausible and justified, stating that survival rates have improved over time as a consequence of more effective therapies becoming available (i.e. bortezomib).  Similarly, the </w:t>
      </w:r>
      <w:r w:rsidR="00D040FD" w:rsidRPr="006F2DBA">
        <w:t>P</w:t>
      </w:r>
      <w:r w:rsidR="00215935" w:rsidRPr="006F2DBA">
        <w:t xml:space="preserve">SCR claimed that survival will be improved by the addition of daratumumab, beyond that observed by Wisniowski 2019. Further, the PSCR stated that 52.8% of patients in ANDROMEDA were aged between 34-64 years, thereby supporting the proposed time-horizon. </w:t>
      </w:r>
    </w:p>
    <w:p w14:paraId="2779D753" w14:textId="31B7DBEA" w:rsidR="00135C04" w:rsidRDefault="00FD3FAA" w:rsidP="00221325">
      <w:pPr>
        <w:pStyle w:val="3-BodyText"/>
      </w:pPr>
      <w:r w:rsidRPr="006F2DBA">
        <w:t xml:space="preserve">Despite OS data from ANDROMEDA not demonstrating a statistically significant difference, the model </w:t>
      </w:r>
      <w:r w:rsidR="00AB5F83" w:rsidRPr="006F2DBA">
        <w:t xml:space="preserve">generated </w:t>
      </w:r>
      <w:r w:rsidRPr="006F2DBA">
        <w:t xml:space="preserve">a survival advantage of daratumumab + CyBorD. Modelled survival was based on the translation of the surrogate outcome, haematological response (VGPR or better) and OS. </w:t>
      </w:r>
    </w:p>
    <w:p w14:paraId="08465170" w14:textId="77777777" w:rsidR="006E20C5" w:rsidRPr="00135C04" w:rsidRDefault="006E20C5" w:rsidP="00135C04">
      <w:pPr>
        <w:pStyle w:val="3-BodyText"/>
      </w:pPr>
      <w:r w:rsidRPr="00135C04">
        <w:rPr>
          <w:rFonts w:eastAsiaTheme="minorEastAsia"/>
        </w:rPr>
        <w:t>The submission conducted a meta-analysis to support the statistical association between the surrogate outcome haematological response VGPR+ and OS. The submission</w:t>
      </w:r>
      <w:r w:rsidR="00AE450F" w:rsidRPr="00135C04">
        <w:rPr>
          <w:rFonts w:eastAsiaTheme="minorEastAsia"/>
        </w:rPr>
        <w:t xml:space="preserve"> conducted a literature search of studies that reported VGPR+ and OS and </w:t>
      </w:r>
      <w:r w:rsidRPr="00135C04">
        <w:rPr>
          <w:rFonts w:eastAsiaTheme="minorEastAsia"/>
        </w:rPr>
        <w:t>relied on six studies for the analysis (Palladini et al. (2012), Kastritis et al. (2020, retrospective analysis), D’Souza et al. (2016), Sachchitanantham et al. (2015), Palladini et al. (2014) and Venner et al. (2014)</w:t>
      </w:r>
      <w:r w:rsidR="00F70EC5" w:rsidRPr="00135C04">
        <w:rPr>
          <w:rFonts w:eastAsiaTheme="minorEastAsia"/>
        </w:rPr>
        <w:t>)</w:t>
      </w:r>
      <w:r w:rsidRPr="00135C04">
        <w:rPr>
          <w:rFonts w:eastAsiaTheme="minorEastAsia"/>
        </w:rPr>
        <w:t xml:space="preserve"> and reported measures of association at 12 months, 24 months, 36 months and 48 months. </w:t>
      </w:r>
      <w:r w:rsidR="00414A7C" w:rsidRPr="00135C04">
        <w:rPr>
          <w:rFonts w:eastAsiaTheme="minorEastAsia"/>
        </w:rPr>
        <w:t xml:space="preserve">While the </w:t>
      </w:r>
      <w:r w:rsidR="00AA6F90" w:rsidRPr="00135C04">
        <w:rPr>
          <w:rFonts w:eastAsiaTheme="minorEastAsia"/>
        </w:rPr>
        <w:t xml:space="preserve">meta-analysis </w:t>
      </w:r>
      <w:r w:rsidR="00AA6F90" w:rsidRPr="00135C04">
        <w:rPr>
          <w:rFonts w:eastAsiaTheme="minorEastAsia"/>
        </w:rPr>
        <w:lastRenderedPageBreak/>
        <w:t>demonstrated an association between haematologic response and OS</w:t>
      </w:r>
      <w:r w:rsidR="008D0BD9" w:rsidRPr="00135C04">
        <w:rPr>
          <w:rFonts w:eastAsiaTheme="minorEastAsia"/>
        </w:rPr>
        <w:t xml:space="preserve">, without RCT evidence the relationship </w:t>
      </w:r>
      <w:r w:rsidR="00970037" w:rsidRPr="00135C04">
        <w:rPr>
          <w:rFonts w:eastAsiaTheme="minorEastAsia"/>
        </w:rPr>
        <w:t>is subject to considerable uncertainty</w:t>
      </w:r>
      <w:r w:rsidR="005512D4" w:rsidRPr="00135C04">
        <w:rPr>
          <w:rFonts w:eastAsiaTheme="minorEastAsia"/>
        </w:rPr>
        <w:t>, particularly as the submission assumed that the relationship between haematological response and OS was treatment agnostic, i.e. the studies did not necessarily include daratumumab or CyBorD</w:t>
      </w:r>
      <w:r w:rsidR="00970037" w:rsidRPr="00135C04">
        <w:rPr>
          <w:rFonts w:eastAsiaTheme="minorEastAsia"/>
        </w:rPr>
        <w:t xml:space="preserve">. </w:t>
      </w:r>
      <w:r w:rsidRPr="00135C04">
        <w:rPr>
          <w:rFonts w:eastAsiaTheme="minorEastAsia"/>
        </w:rPr>
        <w:t xml:space="preserve">The submission did not report meta-analysis results of OS by </w:t>
      </w:r>
      <w:r w:rsidR="008D0BD9" w:rsidRPr="00135C04">
        <w:rPr>
          <w:rFonts w:eastAsiaTheme="minorEastAsia"/>
        </w:rPr>
        <w:t xml:space="preserve">category of </w:t>
      </w:r>
      <w:r w:rsidRPr="00135C04">
        <w:rPr>
          <w:rFonts w:eastAsiaTheme="minorEastAsia"/>
        </w:rPr>
        <w:t xml:space="preserve">haematological response. </w:t>
      </w:r>
      <w:r w:rsidR="008D44D3" w:rsidRPr="00135C04">
        <w:rPr>
          <w:rFonts w:eastAsiaTheme="minorEastAsia"/>
        </w:rPr>
        <w:t xml:space="preserve"> </w:t>
      </w:r>
    </w:p>
    <w:p w14:paraId="0CAEF7B4" w14:textId="7D9C3DB8" w:rsidR="00432B96" w:rsidRPr="006F2DBA" w:rsidRDefault="30C3C8E9" w:rsidP="57626B43">
      <w:pPr>
        <w:pStyle w:val="3-BodyText"/>
        <w:rPr>
          <w:rFonts w:eastAsiaTheme="minorEastAsia" w:cstheme="minorBidi"/>
          <w:iCs/>
        </w:rPr>
      </w:pPr>
      <w:r w:rsidRPr="006F2DBA">
        <w:rPr>
          <w:iCs/>
        </w:rPr>
        <w:t>Modelled survival was based on single data source, Palladini et al. (2012) at 6 months</w:t>
      </w:r>
      <w:r w:rsidR="00034CB1">
        <w:rPr>
          <w:iCs/>
        </w:rPr>
        <w:t>. Exponential extrapolations were applied to the different response categories to result in average overall survivals of 12.4 years for complete response, 8.6 years for very good partial response, 4.6 years for partial response and 2.6 years for no response</w:t>
      </w:r>
      <w:r w:rsidRPr="006F2DBA">
        <w:rPr>
          <w:iCs/>
        </w:rPr>
        <w:t>. The use of Palladini et al. (2012) was not justified given six studies were relied on for the association</w:t>
      </w:r>
      <w:r w:rsidR="005F69E7" w:rsidRPr="006F2DBA">
        <w:rPr>
          <w:iCs/>
        </w:rPr>
        <w:t xml:space="preserve"> analysis</w:t>
      </w:r>
      <w:r w:rsidRPr="006F2DBA">
        <w:rPr>
          <w:iCs/>
        </w:rPr>
        <w:t xml:space="preserve"> between haematological response and OS. </w:t>
      </w:r>
      <w:r w:rsidR="00C64E44" w:rsidRPr="006F2DBA">
        <w:rPr>
          <w:iCs/>
        </w:rPr>
        <w:t xml:space="preserve">The PSCR stated that Palladini et al. (2012) was used in the base case as it was the largest of the six studies used in the association analysis. </w:t>
      </w:r>
      <w:r w:rsidR="3995C1C9" w:rsidRPr="006F2DBA">
        <w:rPr>
          <w:rFonts w:ascii="Calibri" w:eastAsia="Calibri" w:hAnsi="Calibri" w:cs="Calibri"/>
          <w:iCs/>
        </w:rPr>
        <w:t xml:space="preserve">In Palladini et al. (2012) at 36 months, 61.8% of patients with </w:t>
      </w:r>
      <w:r w:rsidR="00DD15CB" w:rsidRPr="006F2DBA">
        <w:rPr>
          <w:rFonts w:ascii="Calibri" w:eastAsia="Calibri" w:hAnsi="Calibri" w:cs="Calibri"/>
          <w:iCs/>
        </w:rPr>
        <w:t>very good partial response</w:t>
      </w:r>
      <w:r w:rsidR="3995C1C9" w:rsidRPr="006F2DBA">
        <w:rPr>
          <w:rFonts w:ascii="Calibri" w:eastAsia="Calibri" w:hAnsi="Calibri" w:cs="Calibri"/>
          <w:iCs/>
        </w:rPr>
        <w:t xml:space="preserve">+ were alive, compared to 79.6% in Venner et al. (2014) and 50.3% in Sachchithanantham et al. (2015) </w:t>
      </w:r>
      <w:r w:rsidR="00C3504D" w:rsidRPr="006F2DBA">
        <w:rPr>
          <w:rFonts w:ascii="Calibri" w:eastAsia="Calibri" w:hAnsi="Calibri" w:cs="Calibri"/>
          <w:iCs/>
        </w:rPr>
        <w:t>which was</w:t>
      </w:r>
      <w:r w:rsidR="3995C1C9" w:rsidRPr="006F2DBA">
        <w:rPr>
          <w:rFonts w:ascii="Calibri" w:eastAsia="Calibri" w:hAnsi="Calibri" w:cs="Calibri"/>
          <w:iCs/>
        </w:rPr>
        <w:t xml:space="preserve"> also landmarked at 6 months. It may have been more reasonable to apply a weighted average approach between the studies landmarked at 6 months</w:t>
      </w:r>
      <w:r w:rsidR="00C3504D" w:rsidRPr="006F2DBA">
        <w:rPr>
          <w:rFonts w:ascii="Calibri" w:eastAsia="Calibri" w:hAnsi="Calibri" w:cs="Calibri"/>
          <w:iCs/>
        </w:rPr>
        <w:t>. F</w:t>
      </w:r>
      <w:r w:rsidR="3995C1C9" w:rsidRPr="006F2DBA">
        <w:rPr>
          <w:rFonts w:ascii="Calibri" w:eastAsia="Calibri" w:hAnsi="Calibri" w:cs="Calibri"/>
          <w:iCs/>
        </w:rPr>
        <w:t xml:space="preserve">or </w:t>
      </w:r>
      <w:r w:rsidR="00DD15CB" w:rsidRPr="006F2DBA">
        <w:rPr>
          <w:rFonts w:ascii="Calibri" w:eastAsia="Calibri" w:hAnsi="Calibri" w:cs="Calibri"/>
          <w:iCs/>
        </w:rPr>
        <w:t>very good partial response</w:t>
      </w:r>
      <w:r w:rsidR="3995C1C9" w:rsidRPr="006F2DBA">
        <w:rPr>
          <w:rFonts w:ascii="Calibri" w:eastAsia="Calibri" w:hAnsi="Calibri" w:cs="Calibri"/>
          <w:iCs/>
        </w:rPr>
        <w:t xml:space="preserve">+ this equated to </w:t>
      </w:r>
      <w:r w:rsidR="005704FF">
        <w:rPr>
          <w:rFonts w:ascii="Calibri" w:eastAsia="Calibri" w:hAnsi="Calibri" w:cs="Calibri"/>
          <w:iCs/>
        </w:rPr>
        <w:t xml:space="preserve">survival of </w:t>
      </w:r>
      <w:r w:rsidR="3995C1C9" w:rsidRPr="006F2DBA">
        <w:rPr>
          <w:rFonts w:ascii="Calibri" w:eastAsia="Calibri" w:hAnsi="Calibri" w:cs="Calibri"/>
          <w:iCs/>
        </w:rPr>
        <w:t>60.9%.</w:t>
      </w:r>
      <w:r w:rsidR="3995C1C9" w:rsidRPr="006F2DBA">
        <w:rPr>
          <w:iCs/>
        </w:rPr>
        <w:t xml:space="preserve"> </w:t>
      </w:r>
      <w:r w:rsidRPr="006F2DBA">
        <w:rPr>
          <w:iCs/>
        </w:rPr>
        <w:t xml:space="preserve">The </w:t>
      </w:r>
      <w:r w:rsidR="00C64E44" w:rsidRPr="006F2DBA">
        <w:rPr>
          <w:iCs/>
        </w:rPr>
        <w:t xml:space="preserve">ESC noted that the </w:t>
      </w:r>
      <w:r w:rsidRPr="006F2DBA">
        <w:rPr>
          <w:iCs/>
        </w:rPr>
        <w:t>choice of survival estimate source is a model driver</w:t>
      </w:r>
      <w:r w:rsidR="00C64E44" w:rsidRPr="006F2DBA">
        <w:rPr>
          <w:iCs/>
        </w:rPr>
        <w:t>, with t</w:t>
      </w:r>
      <w:r w:rsidRPr="006F2DBA" w:rsidDel="00C64E44">
        <w:rPr>
          <w:iCs/>
        </w:rPr>
        <w:t>he use of European Myeloma Network observational data at 3 months (</w:t>
      </w:r>
      <w:r w:rsidR="006927C5" w:rsidRPr="006F2DBA">
        <w:rPr>
          <w:iCs/>
        </w:rPr>
        <w:t>used by the submission to validate the model and presented as a sensitivity analysis</w:t>
      </w:r>
      <w:r w:rsidRPr="006F2DBA" w:rsidDel="00C64E44">
        <w:rPr>
          <w:iCs/>
        </w:rPr>
        <w:t>) increas</w:t>
      </w:r>
      <w:r w:rsidR="00C64E44" w:rsidRPr="006F2DBA">
        <w:rPr>
          <w:iCs/>
        </w:rPr>
        <w:t>ing</w:t>
      </w:r>
      <w:r w:rsidRPr="006F2DBA" w:rsidDel="00C64E44">
        <w:rPr>
          <w:iCs/>
        </w:rPr>
        <w:t xml:space="preserve"> the ICER by 17% compared to CyBorD and 7.7% compared to MDex</w:t>
      </w:r>
      <w:r w:rsidR="00DD5306" w:rsidRPr="006F2DBA" w:rsidDel="00C64E44">
        <w:rPr>
          <w:iCs/>
        </w:rPr>
        <w:t>.</w:t>
      </w:r>
    </w:p>
    <w:p w14:paraId="2F6168D7" w14:textId="7BBA39DD" w:rsidR="005917B9" w:rsidRPr="006F2DBA" w:rsidRDefault="005917B9" w:rsidP="005917B9">
      <w:pPr>
        <w:pStyle w:val="3-BodyText"/>
        <w:rPr>
          <w:rFonts w:eastAsiaTheme="minorEastAsia" w:cstheme="minorBidi"/>
          <w:iCs/>
        </w:rPr>
      </w:pPr>
      <w:r w:rsidRPr="006F2DBA">
        <w:rPr>
          <w:rFonts w:eastAsiaTheme="minorEastAsia" w:cstheme="minorBidi"/>
          <w:iCs/>
        </w:rPr>
        <w:t>The PSCR stated that the European Myeloma Network (EMN) data could not be included in the association analysis due to becoming available close to the submission cut-off; however the data were presented as a scenario analysis to provide greater certainty in the base case. The PSCR stated that t</w:t>
      </w:r>
      <w:r w:rsidRPr="006F2DBA">
        <w:rPr>
          <w:iCs/>
          <w:szCs w:val="22"/>
        </w:rPr>
        <w:t>he EMN data reflected a large cohort and followed patients over a considerable period; and the proportion alive at 36-months in the EMN cohort was 68.2%.</w:t>
      </w:r>
    </w:p>
    <w:p w14:paraId="46FFDFA4" w14:textId="77777777" w:rsidR="005917B9" w:rsidRPr="00CA048D" w:rsidRDefault="005917B9" w:rsidP="00CA048D">
      <w:pPr>
        <w:pStyle w:val="3-BodyText"/>
        <w:rPr>
          <w:rFonts w:eastAsia="Calibri"/>
        </w:rPr>
      </w:pPr>
      <w:r w:rsidRPr="006F2DBA">
        <w:rPr>
          <w:rFonts w:eastAsiaTheme="minorEastAsia" w:cstheme="minorBidi"/>
          <w:iCs/>
        </w:rPr>
        <w:t>The ESC considered that the evidence suggested an association between haematologic response and OS, which was supported by the EMN data (see Figure 4); however, uncertainty remained in terms of the long term survival estimates applied in the model, particularly as the submission assumed that benefits are treatment agnostic.</w:t>
      </w:r>
      <w:r w:rsidR="00CA048D">
        <w:rPr>
          <w:rFonts w:eastAsiaTheme="minorEastAsia" w:cstheme="minorBidi"/>
          <w:iCs/>
        </w:rPr>
        <w:t xml:space="preserve">  </w:t>
      </w:r>
      <w:r w:rsidR="00CA048D" w:rsidRPr="00A50B9E">
        <w:rPr>
          <w:rFonts w:eastAsiaTheme="minorEastAsia" w:cstheme="minorBidi"/>
          <w:iCs/>
        </w:rPr>
        <w:t xml:space="preserve">The PBAC </w:t>
      </w:r>
      <w:r w:rsidR="005704FF">
        <w:rPr>
          <w:rFonts w:eastAsiaTheme="minorEastAsia" w:cstheme="minorBidi"/>
          <w:iCs/>
        </w:rPr>
        <w:t>noted</w:t>
      </w:r>
      <w:r w:rsidR="00CA048D" w:rsidRPr="00A50B9E">
        <w:rPr>
          <w:rFonts w:eastAsiaTheme="minorEastAsia" w:cstheme="minorBidi"/>
          <w:iCs/>
        </w:rPr>
        <w:t xml:space="preserve"> that </w:t>
      </w:r>
      <w:r w:rsidR="00CA048D">
        <w:rPr>
          <w:rFonts w:eastAsiaTheme="minorEastAsia" w:cstheme="minorBidi"/>
          <w:iCs/>
        </w:rPr>
        <w:t>a</w:t>
      </w:r>
      <w:r w:rsidR="00CA048D" w:rsidRPr="00A50B9E">
        <w:rPr>
          <w:rFonts w:eastAsiaTheme="minorEastAsia" w:cstheme="minorBidi"/>
          <w:iCs/>
        </w:rPr>
        <w:t xml:space="preserve"> relationship </w:t>
      </w:r>
      <w:r w:rsidR="00CA048D" w:rsidRPr="006F2DBA">
        <w:rPr>
          <w:rFonts w:eastAsia="Calibri"/>
        </w:rPr>
        <w:t>between haematological response and survival outcomes</w:t>
      </w:r>
      <w:r w:rsidR="00CA048D">
        <w:rPr>
          <w:rFonts w:eastAsia="Calibri"/>
        </w:rPr>
        <w:t xml:space="preserve"> was accepted</w:t>
      </w:r>
      <w:r w:rsidR="004D5D5D">
        <w:rPr>
          <w:rFonts w:eastAsia="Calibri"/>
        </w:rPr>
        <w:t>;</w:t>
      </w:r>
      <w:r w:rsidR="00CA048D">
        <w:rPr>
          <w:rFonts w:eastAsia="Calibri"/>
        </w:rPr>
        <w:t xml:space="preserve"> however</w:t>
      </w:r>
      <w:r w:rsidR="001B6BCD">
        <w:rPr>
          <w:rFonts w:eastAsia="Calibri"/>
        </w:rPr>
        <w:t>,</w:t>
      </w:r>
      <w:r w:rsidR="005704FF">
        <w:rPr>
          <w:rFonts w:eastAsia="Calibri"/>
        </w:rPr>
        <w:t xml:space="preserve"> considered</w:t>
      </w:r>
      <w:r w:rsidR="00CA048D">
        <w:rPr>
          <w:rFonts w:eastAsia="Calibri"/>
        </w:rPr>
        <w:t xml:space="preserve"> the incremental benefit associated with daratumumab </w:t>
      </w:r>
      <w:r w:rsidR="00CA048D" w:rsidRPr="00A40119">
        <w:rPr>
          <w:rFonts w:eastAsia="Calibri"/>
        </w:rPr>
        <w:t>remain</w:t>
      </w:r>
      <w:r w:rsidR="00D6326C">
        <w:rPr>
          <w:rFonts w:eastAsia="Calibri"/>
        </w:rPr>
        <w:t>ed</w:t>
      </w:r>
      <w:r w:rsidR="00CA048D" w:rsidRPr="00A40119">
        <w:rPr>
          <w:rFonts w:eastAsia="Calibri"/>
        </w:rPr>
        <w:t xml:space="preserve"> uncertain in the longer term.</w:t>
      </w:r>
    </w:p>
    <w:p w14:paraId="613360C1" w14:textId="77777777" w:rsidR="00A4356C" w:rsidRPr="001F275B" w:rsidRDefault="00A4356C" w:rsidP="00A4356C">
      <w:pPr>
        <w:pStyle w:val="TableText0"/>
        <w:rPr>
          <w:rFonts w:eastAsia="Calibri"/>
          <w:b/>
          <w:szCs w:val="22"/>
          <w:highlight w:val="yellow"/>
          <w:lang w:eastAsia="en-US"/>
        </w:rPr>
      </w:pPr>
      <w:bookmarkStart w:id="59" w:name="_Ref84849710"/>
      <w:r w:rsidRPr="001F275B">
        <w:rPr>
          <w:b/>
        </w:rPr>
        <w:lastRenderedPageBreak/>
        <w:t xml:space="preserve">Figure </w:t>
      </w:r>
      <w:r w:rsidR="008A0743">
        <w:rPr>
          <w:b/>
          <w:noProof/>
        </w:rPr>
        <w:t>4</w:t>
      </w:r>
      <w:bookmarkEnd w:id="59"/>
      <w:r w:rsidRPr="001F275B">
        <w:rPr>
          <w:b/>
        </w:rPr>
        <w:t xml:space="preserve">: </w:t>
      </w:r>
      <w:r>
        <w:rPr>
          <w:b/>
        </w:rPr>
        <w:t>Overall survival of European Myeloma Network registry cohort (3-month landmark)</w:t>
      </w:r>
    </w:p>
    <w:p w14:paraId="0B13C593" w14:textId="77777777" w:rsidR="00C15841" w:rsidRDefault="00C15841" w:rsidP="00C15841">
      <w:pPr>
        <w:rPr>
          <w:rFonts w:eastAsiaTheme="minorEastAsia"/>
        </w:rPr>
      </w:pPr>
      <w:r>
        <w:rPr>
          <w:noProof/>
        </w:rPr>
        <w:drawing>
          <wp:inline distT="0" distB="0" distL="0" distR="0" wp14:anchorId="7883CE85" wp14:editId="42BE20FA">
            <wp:extent cx="5732145" cy="4264326"/>
            <wp:effectExtent l="0" t="0" r="1905" b="3175"/>
            <wp:docPr id="1" name="Picture 1" title="Figure 4: Overall survival of European Myeloma Network registry cohort (3-month l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732145" cy="4264326"/>
                    </a:xfrm>
                    <a:prstGeom prst="rect">
                      <a:avLst/>
                    </a:prstGeom>
                    <a:noFill/>
                    <a:ln>
                      <a:noFill/>
                    </a:ln>
                    <a:extLst>
                      <a:ext uri="{53640926-AAD7-44D8-BBD7-CCE9431645EC}">
                        <a14:shadowObscured xmlns:a14="http://schemas.microsoft.com/office/drawing/2010/main"/>
                      </a:ext>
                    </a:extLst>
                  </pic:spPr>
                </pic:pic>
              </a:graphicData>
            </a:graphic>
          </wp:inline>
        </w:drawing>
      </w:r>
    </w:p>
    <w:p w14:paraId="108F5CBD" w14:textId="77777777" w:rsidR="00A4356C" w:rsidRDefault="00A4356C" w:rsidP="00A4356C">
      <w:pPr>
        <w:pStyle w:val="TableFigureFooter"/>
        <w:spacing w:after="0"/>
      </w:pPr>
      <w:r>
        <w:t>Source: PSCR, Figure 2.</w:t>
      </w:r>
    </w:p>
    <w:p w14:paraId="66E58B4F" w14:textId="77777777" w:rsidR="00D040FD" w:rsidRDefault="00D040FD" w:rsidP="00A4356C">
      <w:pPr>
        <w:pStyle w:val="TableFigureFooter"/>
        <w:spacing w:after="0"/>
      </w:pPr>
      <w:r>
        <w:t>CR = complete response; NR = no response; PR = partial response; VGPR = very good partial response</w:t>
      </w:r>
    </w:p>
    <w:p w14:paraId="0F1E4EF0" w14:textId="77777777" w:rsidR="00C15841" w:rsidRPr="00C15841" w:rsidRDefault="00C15841" w:rsidP="00C15841">
      <w:pPr>
        <w:rPr>
          <w:rFonts w:eastAsiaTheme="minorEastAsia"/>
        </w:rPr>
      </w:pPr>
    </w:p>
    <w:p w14:paraId="18C6FC9F" w14:textId="324AC2B4" w:rsidR="00432B96" w:rsidRPr="006F2DBA" w:rsidRDefault="30C3C8E9" w:rsidP="003A2FF8">
      <w:pPr>
        <w:pStyle w:val="3-BodyText"/>
      </w:pPr>
      <w:r w:rsidRPr="006F2DBA">
        <w:t>For time to death, an exponential extrapolation was applied from 42 months (6 months ANDROMEDA data + 36 months Palladini et al. 2012 data). No other extrapolation distributions were tested</w:t>
      </w:r>
      <w:r w:rsidR="00225770" w:rsidRPr="006F2DBA">
        <w:t>,</w:t>
      </w:r>
      <w:r w:rsidRPr="006F2DBA">
        <w:t xml:space="preserve"> and it </w:t>
      </w:r>
      <w:r w:rsidR="00225770" w:rsidRPr="006F2DBA">
        <w:t>wa</w:t>
      </w:r>
      <w:r w:rsidRPr="006F2DBA">
        <w:t xml:space="preserve">s unclear if the application of an exponential distribution was appropriate. </w:t>
      </w:r>
      <w:r w:rsidR="00215935" w:rsidRPr="006F2DBA">
        <w:t xml:space="preserve">The PSCR argued that the application of different parametric functions within the model would have required a different model structure with added complexity and uncertainty. </w:t>
      </w:r>
      <w:r w:rsidR="0047578A" w:rsidRPr="006F2DBA">
        <w:t xml:space="preserve">The ESC did not agree with the PSCR and </w:t>
      </w:r>
      <w:r w:rsidR="005E4D43" w:rsidRPr="006F2DBA">
        <w:t>advised</w:t>
      </w:r>
      <w:r w:rsidR="0047578A" w:rsidRPr="006F2DBA">
        <w:t xml:space="preserve"> that </w:t>
      </w:r>
      <w:r w:rsidR="005E4D43" w:rsidRPr="006F2DBA">
        <w:t xml:space="preserve">different extrapolation functions should have been tested.  </w:t>
      </w:r>
      <w:r w:rsidRPr="006F2DBA">
        <w:t>The submission presented an external validation using Wisniowski et al. (2019) and Kastritis et al. (2020) of the survival estimates for the base case model. The survival estimates from Wisniowski et al. (2019) for those diagnosed from 2011 to 2014 were more optimistic than predicted by the base case model for CyBorD. Based on these survival estimates it is possible that the modelled survival for CyBorD is underestimated and applying these in the model would increase the ICER (however this was not reported in the submission). The digitised KM estimates from BMD</w:t>
      </w:r>
      <w:r w:rsidR="00494BF8" w:rsidRPr="006F2DBA">
        <w:t>ex</w:t>
      </w:r>
      <w:r w:rsidRPr="006F2DBA">
        <w:t xml:space="preserve"> in Kastritis et al. (2020) were more optimistic than predicted by the base case model for </w:t>
      </w:r>
      <w:r w:rsidRPr="006F2DBA">
        <w:lastRenderedPageBreak/>
        <w:t>daratumumab SC + CyBorD (and the comparators)</w:t>
      </w:r>
      <w:r w:rsidR="00125E3F" w:rsidRPr="006F2DBA">
        <w:t xml:space="preserve"> (see Figure </w:t>
      </w:r>
      <w:r w:rsidR="00AD3F0F" w:rsidRPr="006F2DBA">
        <w:t>5</w:t>
      </w:r>
      <w:r w:rsidR="00125E3F" w:rsidRPr="006F2DBA">
        <w:t>)</w:t>
      </w:r>
      <w:r w:rsidRPr="006F2DBA">
        <w:t>. However, the impact of using OS of BMD</w:t>
      </w:r>
      <w:r w:rsidR="0044602B" w:rsidRPr="006F2DBA">
        <w:t>ex</w:t>
      </w:r>
      <w:r w:rsidRPr="006F2DBA">
        <w:t xml:space="preserve"> Kastritis et al. (2020) on the ICER was not reported.</w:t>
      </w:r>
    </w:p>
    <w:p w14:paraId="24D6126A" w14:textId="77777777" w:rsidR="003A61A5" w:rsidRPr="003A61A5" w:rsidRDefault="003066CA" w:rsidP="001924C7">
      <w:pPr>
        <w:pStyle w:val="Caption"/>
      </w:pPr>
      <w:r>
        <w:t xml:space="preserve">Figure </w:t>
      </w:r>
      <w:r w:rsidR="00AD3F0F">
        <w:t>5</w:t>
      </w:r>
      <w:r>
        <w:t xml:space="preserve">:  </w:t>
      </w:r>
      <w:r w:rsidR="003A61A5">
        <w:t xml:space="preserve">Base case modelled </w:t>
      </w:r>
      <w:r>
        <w:t>survival compared to Kastritis et al. (2020)</w:t>
      </w:r>
    </w:p>
    <w:p w14:paraId="438D3E41" w14:textId="77777777" w:rsidR="003A61A5" w:rsidRDefault="003A61A5" w:rsidP="00D040FD">
      <w:pPr>
        <w:pStyle w:val="3-BodyText"/>
        <w:keepNext/>
        <w:numPr>
          <w:ilvl w:val="0"/>
          <w:numId w:val="0"/>
        </w:numPr>
        <w:spacing w:after="0"/>
        <w:jc w:val="center"/>
      </w:pPr>
      <w:r>
        <w:rPr>
          <w:noProof/>
        </w:rPr>
        <w:drawing>
          <wp:inline distT="0" distB="0" distL="0" distR="0" wp14:anchorId="79BBD6F6" wp14:editId="62F2D3E6">
            <wp:extent cx="5700395" cy="2973631"/>
            <wp:effectExtent l="0" t="0" r="0" b="0"/>
            <wp:docPr id="10" name="Picture 10" title="Figure 5:  Base case modelled survival compared to Kastritis et a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1701" cy="3010828"/>
                    </a:xfrm>
                    <a:prstGeom prst="rect">
                      <a:avLst/>
                    </a:prstGeom>
                    <a:noFill/>
                  </pic:spPr>
                </pic:pic>
              </a:graphicData>
            </a:graphic>
          </wp:inline>
        </w:drawing>
      </w:r>
    </w:p>
    <w:p w14:paraId="1C9A23F9" w14:textId="77777777" w:rsidR="003A61A5" w:rsidRDefault="003A61A5" w:rsidP="00D040FD">
      <w:pPr>
        <w:pStyle w:val="TableFigureFooter"/>
        <w:keepNext/>
        <w:spacing w:after="0"/>
      </w:pPr>
      <w:r>
        <w:t>Source: Figure 3.22, p.257 of the submission.</w:t>
      </w:r>
    </w:p>
    <w:p w14:paraId="6062D18F" w14:textId="77777777" w:rsidR="003A61A5" w:rsidRDefault="003A61A5" w:rsidP="00D040FD">
      <w:pPr>
        <w:pStyle w:val="TableFigureFooter"/>
        <w:keepNext/>
        <w:spacing w:after="0"/>
      </w:pPr>
      <w:r>
        <w:t>BMDex = bortezomib, melphalan and dexamethasone; Dara = daratumumab subcutaneous; OS = overall survival.</w:t>
      </w:r>
    </w:p>
    <w:p w14:paraId="4A0E4D70" w14:textId="77777777" w:rsidR="003A61A5" w:rsidRPr="004A0689" w:rsidRDefault="003A61A5" w:rsidP="003A61A5">
      <w:pPr>
        <w:pStyle w:val="3-BodyText"/>
        <w:numPr>
          <w:ilvl w:val="0"/>
          <w:numId w:val="0"/>
        </w:numPr>
      </w:pPr>
    </w:p>
    <w:p w14:paraId="21BDB082" w14:textId="77777777" w:rsidR="00432B96" w:rsidRPr="002A770B" w:rsidRDefault="30C3C8E9" w:rsidP="57626B43">
      <w:pPr>
        <w:pStyle w:val="3-BodyText"/>
      </w:pPr>
      <w:r w:rsidRPr="002A770B">
        <w:t>The model trace is presented below. By the end of the model time horizon of 25 years (300 months), in the daratumumab SC + CyBorD arm 1.7% of patients in the remain in the responding health state, with the remaining in the death health state.  By the end of the model time horizon in the CyBorD arm, 0.6% of patients remain in the post-loss of response health state with the remaining in the death health state. Finally, in the MDex arm, all patients were in the death health state at the end of the time horizon.</w:t>
      </w:r>
    </w:p>
    <w:p w14:paraId="05293782" w14:textId="77777777" w:rsidR="00432B96" w:rsidRPr="00B266ED" w:rsidRDefault="003563CA" w:rsidP="00B92DA1">
      <w:pPr>
        <w:pStyle w:val="3-BodyText"/>
        <w:keepNext/>
        <w:numPr>
          <w:ilvl w:val="1"/>
          <w:numId w:val="0"/>
        </w:numPr>
        <w:spacing w:after="0"/>
        <w:rPr>
          <w:rFonts w:ascii="Arial Narrow" w:hAnsi="Arial Narrow"/>
          <w:b/>
          <w:bCs/>
          <w:sz w:val="20"/>
          <w:szCs w:val="20"/>
        </w:rPr>
      </w:pPr>
      <w:r w:rsidRPr="00B266ED">
        <w:rPr>
          <w:rFonts w:ascii="Arial Narrow" w:hAnsi="Arial Narrow"/>
          <w:b/>
          <w:bCs/>
          <w:sz w:val="20"/>
          <w:szCs w:val="20"/>
        </w:rPr>
        <w:lastRenderedPageBreak/>
        <w:t xml:space="preserve">Figure </w:t>
      </w:r>
      <w:r w:rsidR="00AD3F0F">
        <w:rPr>
          <w:rFonts w:ascii="Arial Narrow" w:hAnsi="Arial Narrow"/>
          <w:b/>
          <w:bCs/>
          <w:sz w:val="20"/>
          <w:szCs w:val="20"/>
        </w:rPr>
        <w:t>6</w:t>
      </w:r>
      <w:r w:rsidRPr="00B266ED">
        <w:rPr>
          <w:rFonts w:ascii="Arial Narrow" w:hAnsi="Arial Narrow"/>
          <w:b/>
          <w:bCs/>
          <w:sz w:val="20"/>
          <w:szCs w:val="20"/>
        </w:rPr>
        <w:t>: Trace from the base economic model</w:t>
      </w:r>
    </w:p>
    <w:p w14:paraId="19432642" w14:textId="77777777" w:rsidR="00432B96" w:rsidRDefault="30C3C8E9" w:rsidP="00B92DA1">
      <w:pPr>
        <w:keepNext/>
      </w:pPr>
      <w:r>
        <w:rPr>
          <w:noProof/>
        </w:rPr>
        <w:drawing>
          <wp:inline distT="0" distB="0" distL="0" distR="0" wp14:anchorId="4B6DA57B" wp14:editId="1190CD50">
            <wp:extent cx="5518150" cy="3610601"/>
            <wp:effectExtent l="0" t="0" r="6350" b="9525"/>
            <wp:docPr id="19" name="Picture 19" title="Figure 6: Trace from the b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5530212" cy="3618493"/>
                    </a:xfrm>
                    <a:prstGeom prst="rect">
                      <a:avLst/>
                    </a:prstGeom>
                  </pic:spPr>
                </pic:pic>
              </a:graphicData>
            </a:graphic>
          </wp:inline>
        </w:drawing>
      </w:r>
    </w:p>
    <w:p w14:paraId="401F7603" w14:textId="77777777" w:rsidR="00432B96" w:rsidRDefault="30C3C8E9" w:rsidP="00B92DA1">
      <w:pPr>
        <w:pStyle w:val="TableFigureFooter"/>
        <w:keepNext/>
      </w:pPr>
      <w:r>
        <w:t>Source: Figure 3.28, p.271 of the submission.</w:t>
      </w:r>
    </w:p>
    <w:p w14:paraId="11FF283C" w14:textId="77777777" w:rsidR="00432B96" w:rsidRDefault="30C3C8E9" w:rsidP="00B92DA1">
      <w:pPr>
        <w:pStyle w:val="TableFigureFooter"/>
        <w:keepNext/>
      </w:pPr>
      <w:r>
        <w:t>CyBorD = cyclophosphamide, bortezomib and dexamethasone; Dara = daratumumab subcutaneous; MDex = melphalan and dexamethasone; Tx = treatment.</w:t>
      </w:r>
    </w:p>
    <w:p w14:paraId="04B742CB" w14:textId="77777777" w:rsidR="00432B96" w:rsidRPr="00B30F4D" w:rsidRDefault="00432B96" w:rsidP="006B72F9"/>
    <w:p w14:paraId="058A13AE" w14:textId="77777777" w:rsidR="00432B96" w:rsidRPr="002A770B" w:rsidRDefault="30C3C8E9" w:rsidP="57626B43">
      <w:pPr>
        <w:pStyle w:val="3-BodyText"/>
      </w:pPr>
      <w:r w:rsidRPr="002A770B">
        <w:t xml:space="preserve">The disaggregated summary of health outcomes is presented in Table </w:t>
      </w:r>
      <w:r w:rsidR="00D34049" w:rsidRPr="002A770B">
        <w:t>1</w:t>
      </w:r>
      <w:r w:rsidR="00D772F5">
        <w:t>5</w:t>
      </w:r>
      <w:r w:rsidRPr="002A770B">
        <w:t xml:space="preserve">. This highlights the impact of the time spent in the health states. In the daratumumab SC + CyBorD arm the majority of the QALYs gained are from the response health state, whilst in the comparator arms, the majority of QALY gain was from the loss of response health state. There were more CyBorD patients in the loss of response health state which indicates that the incremental benefit is being driven by the survival transitions rather than the </w:t>
      </w:r>
      <w:r w:rsidR="00BE530E" w:rsidRPr="002A770B">
        <w:t>time to subsequent treatment</w:t>
      </w:r>
      <w:r w:rsidRPr="002A770B">
        <w:t xml:space="preserve"> transitions. The survival transitions are uncertain as derived from Palladini et al. (2012) rather than the ANDROMEDA trial.</w:t>
      </w:r>
    </w:p>
    <w:p w14:paraId="1D21BAF4" w14:textId="77777777" w:rsidR="006B72F9" w:rsidRPr="002A770B" w:rsidRDefault="006B72F9" w:rsidP="57626B43">
      <w:pPr>
        <w:pStyle w:val="3-BodyText"/>
      </w:pPr>
      <w:r w:rsidRPr="002A770B">
        <w:t>Cardiac failure could occur when a patient was in either the response or the loss of response health state and measured a worsening of disease</w:t>
      </w:r>
      <w:r w:rsidR="009F1D07" w:rsidRPr="002A770B">
        <w:t>.</w:t>
      </w:r>
    </w:p>
    <w:p w14:paraId="16A0FEF0" w14:textId="77777777" w:rsidR="00753204" w:rsidRDefault="00753204">
      <w:pPr>
        <w:jc w:val="left"/>
        <w:rPr>
          <w:rFonts w:ascii="Arial Narrow" w:eastAsiaTheme="majorEastAsia" w:hAnsi="Arial Narrow" w:cstheme="majorBidi"/>
          <w:b/>
          <w:bCs/>
          <w:sz w:val="20"/>
        </w:rPr>
      </w:pPr>
      <w:r>
        <w:rPr>
          <w:b/>
        </w:rPr>
        <w:br w:type="page"/>
      </w:r>
    </w:p>
    <w:p w14:paraId="320DD3B8" w14:textId="282E6337" w:rsidR="00432B96" w:rsidRPr="001F275B" w:rsidRDefault="30C3C8E9" w:rsidP="00432B96">
      <w:pPr>
        <w:pStyle w:val="TableText0"/>
      </w:pPr>
      <w:r w:rsidRPr="57626B43">
        <w:rPr>
          <w:b/>
        </w:rPr>
        <w:lastRenderedPageBreak/>
        <w:t xml:space="preserve">Table </w:t>
      </w:r>
      <w:r w:rsidR="00D772F5">
        <w:rPr>
          <w:b/>
        </w:rPr>
        <w:t>15</w:t>
      </w:r>
      <w:r>
        <w:t xml:space="preserve">: </w:t>
      </w:r>
      <w:r w:rsidRPr="57626B43">
        <w:rPr>
          <w:rStyle w:val="CommentReference"/>
        </w:rPr>
        <w:t>Disaggregated summary of health outcomes included in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Disaggregated summary of health outcomes included in the economic evaluation, discounted"/>
      </w:tblPr>
      <w:tblGrid>
        <w:gridCol w:w="1691"/>
        <w:gridCol w:w="1279"/>
        <w:gridCol w:w="994"/>
        <w:gridCol w:w="995"/>
        <w:gridCol w:w="992"/>
        <w:gridCol w:w="992"/>
        <w:gridCol w:w="1136"/>
        <w:gridCol w:w="938"/>
      </w:tblGrid>
      <w:tr w:rsidR="007E4ECB" w:rsidRPr="002A770B" w14:paraId="7704D9C5"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8012B5" w14:textId="77777777" w:rsidR="007E4ECB" w:rsidRPr="002A770B" w:rsidRDefault="007E4ECB" w:rsidP="00524EEE">
            <w:pPr>
              <w:pStyle w:val="In-tableHeading"/>
            </w:pPr>
          </w:p>
        </w:tc>
        <w:tc>
          <w:tcPr>
            <w:tcW w:w="1812"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5A93ED" w14:textId="77777777" w:rsidR="007E4ECB" w:rsidRPr="002A770B" w:rsidRDefault="007E4ECB" w:rsidP="00524EEE">
            <w:pPr>
              <w:pStyle w:val="In-tableHeading"/>
              <w:jc w:val="center"/>
            </w:pPr>
            <w:r w:rsidRPr="002A770B">
              <w:t>QALY</w:t>
            </w:r>
          </w:p>
        </w:tc>
        <w:tc>
          <w:tcPr>
            <w:tcW w:w="1100" w:type="pct"/>
            <w:gridSpan w:val="2"/>
            <w:tcBorders>
              <w:top w:val="single" w:sz="4" w:space="0" w:color="auto"/>
              <w:left w:val="single" w:sz="4" w:space="0" w:color="auto"/>
              <w:bottom w:val="single" w:sz="4" w:space="0" w:color="auto"/>
              <w:right w:val="single" w:sz="4" w:space="0" w:color="auto"/>
            </w:tcBorders>
            <w:vAlign w:val="center"/>
          </w:tcPr>
          <w:p w14:paraId="18E9D3B3" w14:textId="77777777" w:rsidR="007E4ECB" w:rsidRPr="002A770B" w:rsidRDefault="007E4ECB" w:rsidP="00524EEE">
            <w:pPr>
              <w:pStyle w:val="In-tableHeading"/>
              <w:jc w:val="center"/>
            </w:pPr>
            <w:r w:rsidRPr="002A770B">
              <w:t>Incremental outcome</w:t>
            </w:r>
          </w:p>
        </w:tc>
        <w:tc>
          <w:tcPr>
            <w:tcW w:w="115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6B4361" w14:textId="77777777" w:rsidR="007E4ECB" w:rsidRPr="002A770B" w:rsidRDefault="007E4ECB" w:rsidP="00524EEE">
            <w:pPr>
              <w:pStyle w:val="In-tableHeading"/>
              <w:jc w:val="center"/>
              <w:rPr>
                <w:highlight w:val="yellow"/>
              </w:rPr>
            </w:pPr>
            <w:r w:rsidRPr="002A770B">
              <w:t>% of total incremental outcome</w:t>
            </w:r>
          </w:p>
        </w:tc>
      </w:tr>
      <w:tr w:rsidR="007E4ECB" w:rsidRPr="002A770B" w14:paraId="27039A77"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234C3C" w14:textId="77777777" w:rsidR="007E4ECB" w:rsidRPr="002A770B" w:rsidRDefault="007E4ECB" w:rsidP="00524EEE">
            <w:pPr>
              <w:pStyle w:val="In-tableHeading"/>
            </w:pP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306267" w14:textId="77777777" w:rsidR="007E4ECB" w:rsidRPr="002A770B" w:rsidRDefault="001B7A84" w:rsidP="00524EEE">
            <w:pPr>
              <w:pStyle w:val="In-tableHeading"/>
              <w:jc w:val="center"/>
            </w:pPr>
            <w:r>
              <w:t>D</w:t>
            </w:r>
            <w:r w:rsidR="007E4ECB" w:rsidRPr="002A770B">
              <w:t>aratumumab SC + CyBorD</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3BE3A2" w14:textId="77777777" w:rsidR="007E4ECB" w:rsidRPr="002A770B" w:rsidRDefault="007E4ECB" w:rsidP="00524EEE">
            <w:pPr>
              <w:pStyle w:val="In-tableHeading"/>
              <w:jc w:val="center"/>
            </w:pPr>
            <w:r w:rsidRPr="002A770B">
              <w:t>CyBorD</w:t>
            </w:r>
          </w:p>
        </w:tc>
        <w:tc>
          <w:tcPr>
            <w:tcW w:w="551" w:type="pct"/>
            <w:tcBorders>
              <w:top w:val="single" w:sz="4" w:space="0" w:color="auto"/>
              <w:left w:val="single" w:sz="4" w:space="0" w:color="auto"/>
              <w:bottom w:val="single" w:sz="4" w:space="0" w:color="auto"/>
              <w:right w:val="single" w:sz="4" w:space="0" w:color="auto"/>
            </w:tcBorders>
            <w:vAlign w:val="center"/>
          </w:tcPr>
          <w:p w14:paraId="40988C01" w14:textId="77777777" w:rsidR="007E4ECB" w:rsidRPr="002A770B" w:rsidRDefault="007E4ECB" w:rsidP="00524EEE">
            <w:pPr>
              <w:pStyle w:val="In-tableHeading"/>
              <w:jc w:val="center"/>
            </w:pPr>
            <w:r w:rsidRPr="002A770B">
              <w:t>MDex</w:t>
            </w:r>
          </w:p>
        </w:tc>
        <w:tc>
          <w:tcPr>
            <w:tcW w:w="550" w:type="pct"/>
            <w:tcBorders>
              <w:top w:val="single" w:sz="4" w:space="0" w:color="auto"/>
              <w:left w:val="single" w:sz="4" w:space="0" w:color="auto"/>
              <w:bottom w:val="single" w:sz="4" w:space="0" w:color="auto"/>
              <w:right w:val="single" w:sz="4" w:space="0" w:color="auto"/>
            </w:tcBorders>
            <w:vAlign w:val="center"/>
          </w:tcPr>
          <w:p w14:paraId="373FC726" w14:textId="77777777" w:rsidR="007E4ECB" w:rsidRPr="002A770B" w:rsidRDefault="007E4ECB" w:rsidP="00524EEE">
            <w:pPr>
              <w:pStyle w:val="In-tableHeading"/>
              <w:jc w:val="center"/>
            </w:pPr>
            <w:r w:rsidRPr="002A770B">
              <w:t>vs. CyBorD</w:t>
            </w:r>
          </w:p>
        </w:tc>
        <w:tc>
          <w:tcPr>
            <w:tcW w:w="550" w:type="pct"/>
            <w:tcBorders>
              <w:top w:val="single" w:sz="4" w:space="0" w:color="auto"/>
              <w:left w:val="single" w:sz="4" w:space="0" w:color="auto"/>
              <w:bottom w:val="single" w:sz="4" w:space="0" w:color="auto"/>
              <w:right w:val="single" w:sz="4" w:space="0" w:color="auto"/>
            </w:tcBorders>
            <w:vAlign w:val="center"/>
          </w:tcPr>
          <w:p w14:paraId="24C7CCE8" w14:textId="77777777" w:rsidR="007E4ECB" w:rsidRPr="002A770B" w:rsidRDefault="007E4ECB" w:rsidP="00524EEE">
            <w:pPr>
              <w:pStyle w:val="In-tableHeading"/>
              <w:jc w:val="center"/>
            </w:pPr>
            <w:r w:rsidRPr="002A770B">
              <w:t>vs. MDex</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9A6E" w14:textId="77777777" w:rsidR="007E4ECB" w:rsidRPr="002A770B" w:rsidRDefault="007E4ECB" w:rsidP="00524EEE">
            <w:pPr>
              <w:pStyle w:val="In-tableHeading"/>
              <w:jc w:val="center"/>
              <w:rPr>
                <w:highlight w:val="yellow"/>
              </w:rPr>
            </w:pPr>
            <w:r w:rsidRPr="002A770B">
              <w:t>vs. CyBorD</w:t>
            </w:r>
          </w:p>
        </w:tc>
        <w:tc>
          <w:tcPr>
            <w:tcW w:w="521" w:type="pct"/>
            <w:tcBorders>
              <w:top w:val="single" w:sz="4" w:space="0" w:color="auto"/>
              <w:left w:val="single" w:sz="4" w:space="0" w:color="auto"/>
              <w:bottom w:val="single" w:sz="4" w:space="0" w:color="auto"/>
              <w:right w:val="single" w:sz="4" w:space="0" w:color="auto"/>
            </w:tcBorders>
            <w:vAlign w:val="center"/>
          </w:tcPr>
          <w:p w14:paraId="1E8D1FA4" w14:textId="77777777" w:rsidR="007E4ECB" w:rsidRPr="002A770B" w:rsidRDefault="007E4ECB" w:rsidP="00524EEE">
            <w:pPr>
              <w:pStyle w:val="In-tableHeading"/>
              <w:jc w:val="center"/>
              <w:rPr>
                <w:highlight w:val="yellow"/>
              </w:rPr>
            </w:pPr>
            <w:r w:rsidRPr="002A770B">
              <w:t>vs. MDex</w:t>
            </w:r>
          </w:p>
        </w:tc>
      </w:tr>
      <w:tr w:rsidR="007E4ECB" w:rsidRPr="002A770B" w14:paraId="18F2F9A1"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49906F" w14:textId="77777777" w:rsidR="007E4ECB" w:rsidRPr="002A770B" w:rsidRDefault="007E4ECB" w:rsidP="00524EEE">
            <w:pPr>
              <w:pStyle w:val="TableText0"/>
            </w:pPr>
            <w:r w:rsidRPr="002A770B">
              <w:t>Response</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36DDEC" w14:textId="77777777" w:rsidR="007E4ECB" w:rsidRPr="002A770B" w:rsidRDefault="007E4ECB" w:rsidP="00524EEE">
            <w:pPr>
              <w:pStyle w:val="TableText0"/>
              <w:jc w:val="center"/>
            </w:pPr>
            <w:r w:rsidRPr="002A770B">
              <w:t>3.60</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EC7A48" w14:textId="77777777" w:rsidR="007E4ECB" w:rsidRPr="002A770B" w:rsidRDefault="007E4ECB" w:rsidP="00524EEE">
            <w:pPr>
              <w:pStyle w:val="TableText0"/>
              <w:jc w:val="center"/>
            </w:pPr>
            <w:r w:rsidRPr="002A770B">
              <w:t>0.65</w:t>
            </w:r>
          </w:p>
        </w:tc>
        <w:tc>
          <w:tcPr>
            <w:tcW w:w="551" w:type="pct"/>
            <w:tcBorders>
              <w:top w:val="single" w:sz="4" w:space="0" w:color="auto"/>
              <w:left w:val="single" w:sz="4" w:space="0" w:color="auto"/>
              <w:bottom w:val="single" w:sz="4" w:space="0" w:color="auto"/>
              <w:right w:val="single" w:sz="4" w:space="0" w:color="auto"/>
            </w:tcBorders>
            <w:vAlign w:val="center"/>
          </w:tcPr>
          <w:p w14:paraId="2B1BE3F0" w14:textId="77777777" w:rsidR="007E4ECB" w:rsidRPr="002A770B" w:rsidRDefault="007E4ECB" w:rsidP="00524EEE">
            <w:pPr>
              <w:pStyle w:val="TableText0"/>
              <w:jc w:val="center"/>
            </w:pPr>
            <w:r w:rsidRPr="002A770B">
              <w:t>0.65</w:t>
            </w:r>
          </w:p>
        </w:tc>
        <w:tc>
          <w:tcPr>
            <w:tcW w:w="550" w:type="pct"/>
            <w:tcBorders>
              <w:top w:val="single" w:sz="4" w:space="0" w:color="auto"/>
              <w:left w:val="single" w:sz="4" w:space="0" w:color="auto"/>
              <w:bottom w:val="single" w:sz="4" w:space="0" w:color="auto"/>
              <w:right w:val="single" w:sz="4" w:space="0" w:color="auto"/>
            </w:tcBorders>
            <w:vAlign w:val="center"/>
          </w:tcPr>
          <w:p w14:paraId="68044879" w14:textId="77777777" w:rsidR="007E4ECB" w:rsidRPr="002A770B" w:rsidRDefault="007E4ECB" w:rsidP="00524EEE">
            <w:pPr>
              <w:pStyle w:val="TableText0"/>
              <w:jc w:val="center"/>
            </w:pPr>
            <w:r w:rsidRPr="002A770B">
              <w:t>2.95</w:t>
            </w:r>
          </w:p>
        </w:tc>
        <w:tc>
          <w:tcPr>
            <w:tcW w:w="550" w:type="pct"/>
            <w:tcBorders>
              <w:top w:val="single" w:sz="4" w:space="0" w:color="auto"/>
              <w:left w:val="single" w:sz="4" w:space="0" w:color="auto"/>
              <w:bottom w:val="single" w:sz="4" w:space="0" w:color="auto"/>
              <w:right w:val="single" w:sz="4" w:space="0" w:color="auto"/>
            </w:tcBorders>
            <w:vAlign w:val="center"/>
          </w:tcPr>
          <w:p w14:paraId="075D4571" w14:textId="77777777" w:rsidR="007E4ECB" w:rsidRPr="002A770B" w:rsidRDefault="007E4ECB" w:rsidP="00524EEE">
            <w:pPr>
              <w:pStyle w:val="TableText0"/>
              <w:jc w:val="center"/>
            </w:pPr>
            <w:r w:rsidRPr="002A770B">
              <w:t>2.95</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3DC0B7" w14:textId="77777777" w:rsidR="007E4ECB" w:rsidRPr="002A770B" w:rsidRDefault="007E4ECB" w:rsidP="00524EEE">
            <w:pPr>
              <w:pStyle w:val="TableText0"/>
              <w:jc w:val="center"/>
              <w:rPr>
                <w:highlight w:val="yellow"/>
              </w:rPr>
            </w:pPr>
            <w:r w:rsidRPr="002A770B">
              <w:t>175%</w:t>
            </w:r>
          </w:p>
        </w:tc>
        <w:tc>
          <w:tcPr>
            <w:tcW w:w="521" w:type="pct"/>
            <w:tcBorders>
              <w:top w:val="single" w:sz="4" w:space="0" w:color="auto"/>
              <w:left w:val="single" w:sz="4" w:space="0" w:color="auto"/>
              <w:bottom w:val="single" w:sz="4" w:space="0" w:color="auto"/>
              <w:right w:val="single" w:sz="4" w:space="0" w:color="auto"/>
            </w:tcBorders>
            <w:vAlign w:val="center"/>
          </w:tcPr>
          <w:p w14:paraId="7C16FCF3" w14:textId="77777777" w:rsidR="007E4ECB" w:rsidRPr="002A770B" w:rsidRDefault="007E4ECB" w:rsidP="00524EEE">
            <w:pPr>
              <w:pStyle w:val="TableText0"/>
              <w:jc w:val="center"/>
              <w:rPr>
                <w:highlight w:val="yellow"/>
              </w:rPr>
            </w:pPr>
            <w:r w:rsidRPr="002A770B">
              <w:t>93%</w:t>
            </w:r>
          </w:p>
        </w:tc>
      </w:tr>
      <w:tr w:rsidR="007E4ECB" w:rsidRPr="002A770B" w14:paraId="735B78B3"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5F5900" w14:textId="77777777" w:rsidR="007E4ECB" w:rsidRPr="002A770B" w:rsidRDefault="007E4ECB" w:rsidP="00524EEE">
            <w:pPr>
              <w:pStyle w:val="TableText0"/>
            </w:pPr>
            <w:r w:rsidRPr="002A770B">
              <w:t>Loss of response</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E621BA" w14:textId="77777777" w:rsidR="007E4ECB" w:rsidRPr="002A770B" w:rsidRDefault="007E4ECB" w:rsidP="00524EEE">
            <w:pPr>
              <w:pStyle w:val="TableText0"/>
              <w:jc w:val="center"/>
            </w:pPr>
            <w:r w:rsidRPr="002A770B">
              <w:t>1.08</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A8B66A" w14:textId="77777777" w:rsidR="007E4ECB" w:rsidRPr="002A770B" w:rsidRDefault="007E4ECB" w:rsidP="00524EEE">
            <w:pPr>
              <w:pStyle w:val="TableText0"/>
              <w:jc w:val="center"/>
            </w:pPr>
            <w:r w:rsidRPr="002A770B">
              <w:t>2.38</w:t>
            </w:r>
          </w:p>
        </w:tc>
        <w:tc>
          <w:tcPr>
            <w:tcW w:w="551" w:type="pct"/>
            <w:tcBorders>
              <w:top w:val="single" w:sz="4" w:space="0" w:color="auto"/>
              <w:left w:val="single" w:sz="4" w:space="0" w:color="auto"/>
              <w:bottom w:val="single" w:sz="4" w:space="0" w:color="auto"/>
              <w:right w:val="single" w:sz="4" w:space="0" w:color="auto"/>
            </w:tcBorders>
            <w:vAlign w:val="center"/>
          </w:tcPr>
          <w:p w14:paraId="6E6AABD0" w14:textId="77777777" w:rsidR="007E4ECB" w:rsidRPr="002A770B" w:rsidRDefault="007E4ECB" w:rsidP="00524EEE">
            <w:pPr>
              <w:pStyle w:val="TableText0"/>
              <w:jc w:val="center"/>
            </w:pPr>
            <w:r w:rsidRPr="002A770B">
              <w:t>0.89</w:t>
            </w:r>
          </w:p>
        </w:tc>
        <w:tc>
          <w:tcPr>
            <w:tcW w:w="550" w:type="pct"/>
            <w:tcBorders>
              <w:top w:val="single" w:sz="4" w:space="0" w:color="auto"/>
              <w:left w:val="single" w:sz="4" w:space="0" w:color="auto"/>
              <w:bottom w:val="single" w:sz="4" w:space="0" w:color="auto"/>
              <w:right w:val="single" w:sz="4" w:space="0" w:color="auto"/>
            </w:tcBorders>
            <w:vAlign w:val="center"/>
          </w:tcPr>
          <w:p w14:paraId="0D4E4A52" w14:textId="77777777" w:rsidR="007E4ECB" w:rsidRPr="002A770B" w:rsidRDefault="007E4ECB" w:rsidP="00524EEE">
            <w:pPr>
              <w:pStyle w:val="TableText0"/>
              <w:jc w:val="center"/>
            </w:pPr>
            <w:r w:rsidRPr="002A770B">
              <w:t>-1.30</w:t>
            </w:r>
          </w:p>
        </w:tc>
        <w:tc>
          <w:tcPr>
            <w:tcW w:w="550" w:type="pct"/>
            <w:tcBorders>
              <w:top w:val="single" w:sz="4" w:space="0" w:color="auto"/>
              <w:left w:val="single" w:sz="4" w:space="0" w:color="auto"/>
              <w:bottom w:val="single" w:sz="4" w:space="0" w:color="auto"/>
              <w:right w:val="single" w:sz="4" w:space="0" w:color="auto"/>
            </w:tcBorders>
            <w:vAlign w:val="center"/>
          </w:tcPr>
          <w:p w14:paraId="0F85D3BB" w14:textId="77777777" w:rsidR="007E4ECB" w:rsidRPr="002A770B" w:rsidRDefault="007E4ECB" w:rsidP="00524EEE">
            <w:pPr>
              <w:pStyle w:val="TableText0"/>
              <w:jc w:val="center"/>
            </w:pPr>
            <w:r w:rsidRPr="002A770B">
              <w:t>0.19</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18594B" w14:textId="77777777" w:rsidR="007E4ECB" w:rsidRPr="002A770B" w:rsidRDefault="007E4ECB" w:rsidP="00524EEE">
            <w:pPr>
              <w:pStyle w:val="TableText0"/>
              <w:jc w:val="center"/>
              <w:rPr>
                <w:highlight w:val="yellow"/>
              </w:rPr>
            </w:pPr>
            <w:r w:rsidRPr="002A770B">
              <w:t>-77%</w:t>
            </w:r>
          </w:p>
        </w:tc>
        <w:tc>
          <w:tcPr>
            <w:tcW w:w="521" w:type="pct"/>
            <w:tcBorders>
              <w:top w:val="single" w:sz="4" w:space="0" w:color="auto"/>
              <w:left w:val="single" w:sz="4" w:space="0" w:color="auto"/>
              <w:bottom w:val="single" w:sz="4" w:space="0" w:color="auto"/>
              <w:right w:val="single" w:sz="4" w:space="0" w:color="auto"/>
            </w:tcBorders>
            <w:vAlign w:val="center"/>
          </w:tcPr>
          <w:p w14:paraId="6D265A1A" w14:textId="77777777" w:rsidR="007E4ECB" w:rsidRPr="002A770B" w:rsidRDefault="007E4ECB" w:rsidP="00524EEE">
            <w:pPr>
              <w:pStyle w:val="TableText0"/>
              <w:jc w:val="center"/>
              <w:rPr>
                <w:highlight w:val="yellow"/>
              </w:rPr>
            </w:pPr>
            <w:r w:rsidRPr="002A770B">
              <w:t>6%</w:t>
            </w:r>
          </w:p>
        </w:tc>
      </w:tr>
      <w:tr w:rsidR="007E4ECB" w:rsidRPr="002A770B" w14:paraId="2F99AF0F"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32628A" w14:textId="77777777" w:rsidR="007E4ECB" w:rsidRPr="002A770B" w:rsidRDefault="007E4ECB" w:rsidP="00524EEE">
            <w:pPr>
              <w:pStyle w:val="TableText0"/>
            </w:pPr>
            <w:r w:rsidRPr="002A770B">
              <w:t>Cardiac failure</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FB1730" w14:textId="77777777" w:rsidR="007E4ECB" w:rsidRPr="002A770B" w:rsidRDefault="007E4ECB" w:rsidP="00524EEE">
            <w:pPr>
              <w:pStyle w:val="TableText0"/>
              <w:jc w:val="center"/>
            </w:pPr>
            <w:r w:rsidRPr="002A770B">
              <w:t>-0.18</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B531C0" w14:textId="77777777" w:rsidR="007E4ECB" w:rsidRPr="002A770B" w:rsidRDefault="007E4ECB" w:rsidP="00524EEE">
            <w:pPr>
              <w:pStyle w:val="TableText0"/>
              <w:jc w:val="center"/>
            </w:pPr>
            <w:r w:rsidRPr="002A770B">
              <w:t>-0.21</w:t>
            </w:r>
          </w:p>
        </w:tc>
        <w:tc>
          <w:tcPr>
            <w:tcW w:w="551" w:type="pct"/>
            <w:tcBorders>
              <w:top w:val="single" w:sz="4" w:space="0" w:color="auto"/>
              <w:left w:val="single" w:sz="4" w:space="0" w:color="auto"/>
              <w:bottom w:val="single" w:sz="4" w:space="0" w:color="auto"/>
              <w:right w:val="single" w:sz="4" w:space="0" w:color="auto"/>
            </w:tcBorders>
            <w:vAlign w:val="center"/>
          </w:tcPr>
          <w:p w14:paraId="43427E20" w14:textId="77777777" w:rsidR="007E4ECB" w:rsidRPr="002A770B" w:rsidRDefault="007E4ECB" w:rsidP="00524EEE">
            <w:pPr>
              <w:pStyle w:val="TableText0"/>
              <w:jc w:val="center"/>
            </w:pPr>
            <w:r w:rsidRPr="002A770B">
              <w:t>-0.21</w:t>
            </w:r>
          </w:p>
        </w:tc>
        <w:tc>
          <w:tcPr>
            <w:tcW w:w="550" w:type="pct"/>
            <w:tcBorders>
              <w:top w:val="single" w:sz="4" w:space="0" w:color="auto"/>
              <w:left w:val="single" w:sz="4" w:space="0" w:color="auto"/>
              <w:bottom w:val="single" w:sz="4" w:space="0" w:color="auto"/>
              <w:right w:val="single" w:sz="4" w:space="0" w:color="auto"/>
            </w:tcBorders>
            <w:vAlign w:val="center"/>
          </w:tcPr>
          <w:p w14:paraId="68ED6744" w14:textId="77777777" w:rsidR="007E4ECB" w:rsidRPr="002A770B" w:rsidRDefault="007E4ECB" w:rsidP="00524EEE">
            <w:pPr>
              <w:pStyle w:val="TableText0"/>
              <w:jc w:val="center"/>
            </w:pPr>
            <w:r w:rsidRPr="002A770B">
              <w:t>0.04</w:t>
            </w:r>
          </w:p>
        </w:tc>
        <w:tc>
          <w:tcPr>
            <w:tcW w:w="550" w:type="pct"/>
            <w:tcBorders>
              <w:top w:val="single" w:sz="4" w:space="0" w:color="auto"/>
              <w:left w:val="single" w:sz="4" w:space="0" w:color="auto"/>
              <w:bottom w:val="single" w:sz="4" w:space="0" w:color="auto"/>
              <w:right w:val="single" w:sz="4" w:space="0" w:color="auto"/>
            </w:tcBorders>
            <w:vAlign w:val="center"/>
          </w:tcPr>
          <w:p w14:paraId="769F8D24" w14:textId="77777777" w:rsidR="007E4ECB" w:rsidRPr="002A770B" w:rsidRDefault="007E4ECB" w:rsidP="00524EEE">
            <w:pPr>
              <w:pStyle w:val="TableText0"/>
              <w:jc w:val="center"/>
            </w:pPr>
            <w:r w:rsidRPr="002A770B">
              <w:t>0.04</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F69E6E" w14:textId="77777777" w:rsidR="007E4ECB" w:rsidRPr="002A770B" w:rsidRDefault="007E4ECB" w:rsidP="00524EEE">
            <w:pPr>
              <w:pStyle w:val="TableText0"/>
              <w:jc w:val="center"/>
              <w:rPr>
                <w:highlight w:val="yellow"/>
              </w:rPr>
            </w:pPr>
            <w:r w:rsidRPr="002A770B">
              <w:t>2%</w:t>
            </w:r>
          </w:p>
        </w:tc>
        <w:tc>
          <w:tcPr>
            <w:tcW w:w="521" w:type="pct"/>
            <w:tcBorders>
              <w:top w:val="single" w:sz="4" w:space="0" w:color="auto"/>
              <w:left w:val="single" w:sz="4" w:space="0" w:color="auto"/>
              <w:bottom w:val="single" w:sz="4" w:space="0" w:color="auto"/>
              <w:right w:val="single" w:sz="4" w:space="0" w:color="auto"/>
            </w:tcBorders>
            <w:vAlign w:val="center"/>
          </w:tcPr>
          <w:p w14:paraId="4D28C1A5" w14:textId="77777777" w:rsidR="007E4ECB" w:rsidRPr="002A770B" w:rsidRDefault="007E4ECB" w:rsidP="00524EEE">
            <w:pPr>
              <w:pStyle w:val="TableText0"/>
              <w:jc w:val="center"/>
              <w:rPr>
                <w:highlight w:val="yellow"/>
              </w:rPr>
            </w:pPr>
            <w:r w:rsidRPr="002A770B">
              <w:t>1%</w:t>
            </w:r>
          </w:p>
        </w:tc>
      </w:tr>
      <w:tr w:rsidR="007E4ECB" w:rsidRPr="002A770B" w14:paraId="2E45579A" w14:textId="77777777" w:rsidTr="007E4ECB">
        <w:trPr>
          <w:cantSplit/>
        </w:trPr>
        <w:tc>
          <w:tcPr>
            <w:tcW w:w="93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D9D4E" w14:textId="77777777" w:rsidR="007E4ECB" w:rsidRPr="002A770B" w:rsidRDefault="007E4ECB" w:rsidP="00524EEE">
            <w:pPr>
              <w:pStyle w:val="TableText0"/>
            </w:pPr>
            <w:r w:rsidRPr="002A770B">
              <w:t>Total</w:t>
            </w:r>
          </w:p>
        </w:tc>
        <w:tc>
          <w:tcPr>
            <w:tcW w:w="7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E87E6C" w14:textId="77777777" w:rsidR="007E4ECB" w:rsidRPr="002A770B" w:rsidRDefault="007E4ECB" w:rsidP="00524EEE">
            <w:pPr>
              <w:pStyle w:val="TableText0"/>
              <w:jc w:val="center"/>
            </w:pPr>
            <w:r w:rsidRPr="002A770B">
              <w:t>4.51</w:t>
            </w: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46BAD8" w14:textId="77777777" w:rsidR="007E4ECB" w:rsidRPr="002A770B" w:rsidRDefault="007E4ECB" w:rsidP="00524EEE">
            <w:pPr>
              <w:pStyle w:val="TableText0"/>
              <w:jc w:val="center"/>
            </w:pPr>
            <w:r w:rsidRPr="002A770B">
              <w:t>2.82</w:t>
            </w:r>
          </w:p>
        </w:tc>
        <w:tc>
          <w:tcPr>
            <w:tcW w:w="551" w:type="pct"/>
            <w:tcBorders>
              <w:top w:val="single" w:sz="4" w:space="0" w:color="auto"/>
              <w:left w:val="single" w:sz="4" w:space="0" w:color="auto"/>
              <w:bottom w:val="single" w:sz="4" w:space="0" w:color="auto"/>
              <w:right w:val="single" w:sz="4" w:space="0" w:color="auto"/>
            </w:tcBorders>
            <w:vAlign w:val="center"/>
          </w:tcPr>
          <w:p w14:paraId="777AC07D" w14:textId="77777777" w:rsidR="007E4ECB" w:rsidRPr="002A770B" w:rsidRDefault="007E4ECB" w:rsidP="00524EEE">
            <w:pPr>
              <w:pStyle w:val="TableText0"/>
              <w:jc w:val="center"/>
            </w:pPr>
            <w:r w:rsidRPr="002A770B">
              <w:t>1.33</w:t>
            </w:r>
          </w:p>
        </w:tc>
        <w:tc>
          <w:tcPr>
            <w:tcW w:w="550" w:type="pct"/>
            <w:tcBorders>
              <w:top w:val="single" w:sz="4" w:space="0" w:color="auto"/>
              <w:left w:val="single" w:sz="4" w:space="0" w:color="auto"/>
              <w:bottom w:val="single" w:sz="4" w:space="0" w:color="auto"/>
              <w:right w:val="single" w:sz="4" w:space="0" w:color="auto"/>
            </w:tcBorders>
            <w:vAlign w:val="center"/>
          </w:tcPr>
          <w:p w14:paraId="3B377B50" w14:textId="77777777" w:rsidR="007E4ECB" w:rsidRPr="002A770B" w:rsidRDefault="007E4ECB" w:rsidP="00524EEE">
            <w:pPr>
              <w:pStyle w:val="TableText0"/>
              <w:jc w:val="center"/>
            </w:pPr>
            <w:r w:rsidRPr="002A770B">
              <w:t>1.69</w:t>
            </w:r>
          </w:p>
        </w:tc>
        <w:tc>
          <w:tcPr>
            <w:tcW w:w="550" w:type="pct"/>
            <w:tcBorders>
              <w:top w:val="single" w:sz="4" w:space="0" w:color="auto"/>
              <w:left w:val="single" w:sz="4" w:space="0" w:color="auto"/>
              <w:bottom w:val="single" w:sz="4" w:space="0" w:color="auto"/>
              <w:right w:val="single" w:sz="4" w:space="0" w:color="auto"/>
            </w:tcBorders>
            <w:vAlign w:val="center"/>
          </w:tcPr>
          <w:p w14:paraId="5A82884C" w14:textId="77777777" w:rsidR="007E4ECB" w:rsidRPr="002A770B" w:rsidRDefault="007E4ECB" w:rsidP="00524EEE">
            <w:pPr>
              <w:pStyle w:val="TableText0"/>
              <w:jc w:val="center"/>
            </w:pPr>
            <w:r w:rsidRPr="002A770B">
              <w:t>3.18</w:t>
            </w:r>
          </w:p>
        </w:tc>
        <w:tc>
          <w:tcPr>
            <w:tcW w:w="6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B3BC73" w14:textId="77777777" w:rsidR="007E4ECB" w:rsidRPr="002A770B" w:rsidRDefault="007E4ECB" w:rsidP="00524EEE">
            <w:pPr>
              <w:pStyle w:val="TableText0"/>
              <w:jc w:val="center"/>
              <w:rPr>
                <w:highlight w:val="yellow"/>
              </w:rPr>
            </w:pPr>
            <w:r w:rsidRPr="002A770B">
              <w:t>100%</w:t>
            </w:r>
          </w:p>
        </w:tc>
        <w:tc>
          <w:tcPr>
            <w:tcW w:w="521" w:type="pct"/>
            <w:tcBorders>
              <w:top w:val="single" w:sz="4" w:space="0" w:color="auto"/>
              <w:left w:val="single" w:sz="4" w:space="0" w:color="auto"/>
              <w:bottom w:val="single" w:sz="4" w:space="0" w:color="auto"/>
              <w:right w:val="single" w:sz="4" w:space="0" w:color="auto"/>
            </w:tcBorders>
            <w:vAlign w:val="center"/>
          </w:tcPr>
          <w:p w14:paraId="765176BE" w14:textId="77777777" w:rsidR="007E4ECB" w:rsidRPr="002A770B" w:rsidRDefault="007E4ECB" w:rsidP="00524EEE">
            <w:pPr>
              <w:pStyle w:val="TableText0"/>
              <w:jc w:val="center"/>
              <w:rPr>
                <w:highlight w:val="yellow"/>
              </w:rPr>
            </w:pPr>
            <w:r w:rsidRPr="002A770B">
              <w:t>100%</w:t>
            </w:r>
          </w:p>
        </w:tc>
      </w:tr>
    </w:tbl>
    <w:p w14:paraId="353E7D19" w14:textId="77777777" w:rsidR="00432B96" w:rsidRPr="00D34E44" w:rsidRDefault="30C3C8E9" w:rsidP="57626B43">
      <w:pPr>
        <w:pStyle w:val="TableFigureFooter"/>
      </w:pPr>
      <w:r>
        <w:t>Source: Table 3.24, p.277 of the submission</w:t>
      </w:r>
      <w:r w:rsidRPr="57626B43">
        <w:rPr>
          <w:i/>
          <w:iCs/>
        </w:rPr>
        <w:t xml:space="preserve"> </w:t>
      </w:r>
      <w:r w:rsidRPr="00D34E44">
        <w:t xml:space="preserve">and calculated during the evaluation. </w:t>
      </w:r>
    </w:p>
    <w:p w14:paraId="3951ECDE" w14:textId="77777777" w:rsidR="00432B96" w:rsidRDefault="30C3C8E9" w:rsidP="00432B96">
      <w:pPr>
        <w:pStyle w:val="TableFigureFooter"/>
      </w:pPr>
      <w:r>
        <w:t>CyBorD = cyclophosphamide, bortezomib and dexamethasone; dara = daratumumab; MDex = melphalan and dexamethasone; QALY = quality adjusted life year; SC = subcutaneous.</w:t>
      </w:r>
    </w:p>
    <w:p w14:paraId="16F8D0C0" w14:textId="77777777" w:rsidR="00432B96" w:rsidRPr="00B50DB8" w:rsidRDefault="30C3C8E9" w:rsidP="008B0F37">
      <w:pPr>
        <w:pStyle w:val="3-BodyText"/>
      </w:pPr>
      <w:r>
        <w:t xml:space="preserve">The key drivers of the model are included in </w:t>
      </w:r>
      <w:r w:rsidR="6E56C422">
        <w:t xml:space="preserve">Table </w:t>
      </w:r>
      <w:r w:rsidR="00D34049">
        <w:t>1</w:t>
      </w:r>
      <w:r w:rsidR="00D772F5">
        <w:t>6</w:t>
      </w:r>
      <w:r w:rsidR="00D34049">
        <w:t xml:space="preserve"> </w:t>
      </w:r>
      <w:r>
        <w:t xml:space="preserve">and the results of the stepped economic evaluation in </w:t>
      </w:r>
      <w:r w:rsidR="6C6D1478">
        <w:t>Table 1</w:t>
      </w:r>
      <w:r w:rsidR="00D772F5">
        <w:t>7</w:t>
      </w:r>
      <w:r>
        <w:t>.</w:t>
      </w:r>
    </w:p>
    <w:p w14:paraId="626D0FE5" w14:textId="77777777" w:rsidR="00432B96" w:rsidRPr="00456B44" w:rsidRDefault="30C3C8E9" w:rsidP="00456B44">
      <w:pPr>
        <w:pStyle w:val="TableFigureHeading"/>
      </w:pPr>
      <w:r w:rsidRPr="00456B44">
        <w:rPr>
          <w:rStyle w:val="TableFigureHeadingChar"/>
          <w:b/>
          <w:bCs/>
        </w:rPr>
        <w:t xml:space="preserve">Table </w:t>
      </w:r>
      <w:r w:rsidR="008A0743">
        <w:rPr>
          <w:rStyle w:val="TableFigureHeadingChar"/>
          <w:b/>
          <w:bCs/>
          <w:noProof/>
        </w:rPr>
        <w:t>1</w:t>
      </w:r>
      <w:r w:rsidR="00D772F5">
        <w:rPr>
          <w:rStyle w:val="TableFigureHeadingChar"/>
          <w:b/>
          <w:bCs/>
        </w:rPr>
        <w:t>6</w:t>
      </w:r>
      <w:r w:rsidRPr="00456B44">
        <w:rPr>
          <w:rStyle w:val="TableFigureHeadingChar"/>
          <w:b/>
          <w:bCs/>
        </w:rPr>
        <w:t>: Key</w:t>
      </w:r>
      <w:r w:rsidRPr="00456B44">
        <w:rPr>
          <w:rStyle w:val="CommentReference"/>
          <w:b/>
          <w:szCs w:val="24"/>
        </w:rPr>
        <w:t xml:space="preserve">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drivers of the model"/>
      </w:tblPr>
      <w:tblGrid>
        <w:gridCol w:w="1414"/>
        <w:gridCol w:w="3116"/>
        <w:gridCol w:w="2128"/>
        <w:gridCol w:w="2359"/>
      </w:tblGrid>
      <w:tr w:rsidR="00432B96" w:rsidRPr="003D1DE4" w14:paraId="75A49F36" w14:textId="77777777" w:rsidTr="00CF2491">
        <w:trPr>
          <w:tblHeader/>
        </w:trPr>
        <w:tc>
          <w:tcPr>
            <w:tcW w:w="784" w:type="pct"/>
            <w:shd w:val="clear" w:color="auto" w:fill="auto"/>
            <w:vAlign w:val="center"/>
          </w:tcPr>
          <w:p w14:paraId="0D079C3C" w14:textId="77777777" w:rsidR="00432B96" w:rsidRPr="002A770B" w:rsidRDefault="30C3C8E9" w:rsidP="00F071FF">
            <w:pPr>
              <w:pStyle w:val="In-tableHeading"/>
            </w:pPr>
            <w:r w:rsidRPr="002A770B">
              <w:t>Description</w:t>
            </w:r>
          </w:p>
        </w:tc>
        <w:tc>
          <w:tcPr>
            <w:tcW w:w="1728" w:type="pct"/>
            <w:shd w:val="clear" w:color="auto" w:fill="auto"/>
            <w:vAlign w:val="center"/>
          </w:tcPr>
          <w:p w14:paraId="78016DAE" w14:textId="77777777" w:rsidR="00432B96" w:rsidRPr="002A770B" w:rsidRDefault="30C3C8E9" w:rsidP="00F071FF">
            <w:pPr>
              <w:pStyle w:val="In-tableHeading"/>
              <w:jc w:val="center"/>
            </w:pPr>
            <w:r w:rsidRPr="002A770B">
              <w:t>Method/Value</w:t>
            </w:r>
          </w:p>
        </w:tc>
        <w:tc>
          <w:tcPr>
            <w:tcW w:w="1180" w:type="pct"/>
            <w:shd w:val="clear" w:color="auto" w:fill="auto"/>
            <w:vAlign w:val="center"/>
          </w:tcPr>
          <w:p w14:paraId="69D99BC7" w14:textId="77777777" w:rsidR="001B7A84" w:rsidRDefault="30C3C8E9" w:rsidP="003E7B57">
            <w:pPr>
              <w:pStyle w:val="In-tableHeading"/>
              <w:jc w:val="center"/>
              <w:rPr>
                <w:rFonts w:cs="Arial"/>
              </w:rPr>
            </w:pPr>
            <w:r w:rsidRPr="002A770B">
              <w:t>Impact</w:t>
            </w:r>
            <w:r w:rsidR="001B7A84">
              <w:t xml:space="preserve"> </w:t>
            </w:r>
            <w:r w:rsidRPr="002A770B">
              <w:rPr>
                <w:rFonts w:cs="Arial"/>
              </w:rPr>
              <w:t xml:space="preserve">vs. CyBorD </w:t>
            </w:r>
          </w:p>
          <w:p w14:paraId="5C3A0CF7" w14:textId="77777777" w:rsidR="001B7A84" w:rsidRDefault="30C3C8E9" w:rsidP="003E7B57">
            <w:pPr>
              <w:pStyle w:val="In-tableHeading"/>
              <w:jc w:val="center"/>
              <w:rPr>
                <w:rFonts w:cs="Arial"/>
              </w:rPr>
            </w:pPr>
            <w:r w:rsidRPr="002A770B">
              <w:rPr>
                <w:rFonts w:cs="Arial"/>
              </w:rPr>
              <w:t xml:space="preserve">Base case: </w:t>
            </w:r>
          </w:p>
          <w:p w14:paraId="3A103A3F" w14:textId="77777777" w:rsidR="00432B96" w:rsidRPr="002A770B" w:rsidRDefault="008E6972" w:rsidP="003E7B57">
            <w:pPr>
              <w:pStyle w:val="In-tableHeading"/>
              <w:jc w:val="center"/>
              <w:rPr>
                <w:rFonts w:cs="Arial"/>
              </w:rPr>
            </w:pPr>
            <w:r>
              <w:rPr>
                <w:rFonts w:cs="Arial"/>
                <w:noProof/>
                <w:color w:val="000000"/>
                <w:highlight w:val="black"/>
              </w:rPr>
              <w:t>'''''''''''''''''</w:t>
            </w:r>
            <w:r w:rsidR="006F292C">
              <w:rPr>
                <w:vertAlign w:val="superscript"/>
              </w:rPr>
              <w:t>1</w:t>
            </w:r>
            <w:r w:rsidR="30C3C8E9" w:rsidRPr="002A770B">
              <w:rPr>
                <w:rFonts w:cs="Arial"/>
              </w:rPr>
              <w:t>/QALY gained</w:t>
            </w:r>
          </w:p>
        </w:tc>
        <w:tc>
          <w:tcPr>
            <w:tcW w:w="1308" w:type="pct"/>
          </w:tcPr>
          <w:p w14:paraId="1B97468D" w14:textId="77777777" w:rsidR="001B7A84" w:rsidRDefault="30C3C8E9" w:rsidP="00F071FF">
            <w:pPr>
              <w:pStyle w:val="In-tableHeading"/>
              <w:jc w:val="center"/>
              <w:rPr>
                <w:rFonts w:cs="Arial"/>
              </w:rPr>
            </w:pPr>
            <w:r w:rsidRPr="002A770B">
              <w:t>Impact</w:t>
            </w:r>
            <w:r w:rsidR="001B7A84">
              <w:t xml:space="preserve"> </w:t>
            </w:r>
            <w:r w:rsidRPr="002A770B">
              <w:rPr>
                <w:rFonts w:cs="Arial"/>
              </w:rPr>
              <w:t xml:space="preserve">vs. MDex </w:t>
            </w:r>
          </w:p>
          <w:p w14:paraId="157A4387" w14:textId="77777777" w:rsidR="001B7A84" w:rsidRDefault="30C3C8E9" w:rsidP="00F071FF">
            <w:pPr>
              <w:pStyle w:val="In-tableHeading"/>
              <w:jc w:val="center"/>
              <w:rPr>
                <w:rFonts w:cs="Arial"/>
              </w:rPr>
            </w:pPr>
            <w:r w:rsidRPr="002A770B">
              <w:rPr>
                <w:rFonts w:cs="Arial"/>
              </w:rPr>
              <w:t xml:space="preserve">Base case: </w:t>
            </w:r>
          </w:p>
          <w:p w14:paraId="0E7D3D48" w14:textId="77777777" w:rsidR="00432B96" w:rsidRPr="002A770B" w:rsidRDefault="008E6972" w:rsidP="00F071FF">
            <w:pPr>
              <w:pStyle w:val="In-tableHeading"/>
              <w:jc w:val="center"/>
            </w:pPr>
            <w:r>
              <w:rPr>
                <w:rFonts w:cs="Arial"/>
                <w:noProof/>
                <w:color w:val="000000"/>
                <w:highlight w:val="black"/>
              </w:rPr>
              <w:t>''''''''''''''''</w:t>
            </w:r>
            <w:r w:rsidR="006F292C">
              <w:rPr>
                <w:vertAlign w:val="superscript"/>
              </w:rPr>
              <w:t>3</w:t>
            </w:r>
            <w:r w:rsidR="30C3C8E9" w:rsidRPr="002A770B">
              <w:rPr>
                <w:rFonts w:cs="Arial"/>
              </w:rPr>
              <w:t>/QALY gained</w:t>
            </w:r>
          </w:p>
        </w:tc>
      </w:tr>
      <w:tr w:rsidR="00432B96" w:rsidRPr="00E2771E" w14:paraId="1905A186" w14:textId="77777777" w:rsidTr="00CF2491">
        <w:tc>
          <w:tcPr>
            <w:tcW w:w="784" w:type="pct"/>
            <w:shd w:val="clear" w:color="auto" w:fill="auto"/>
            <w:vAlign w:val="center"/>
          </w:tcPr>
          <w:p w14:paraId="477CD354" w14:textId="77777777" w:rsidR="00432B96" w:rsidRPr="002A770B" w:rsidRDefault="30C3C8E9" w:rsidP="00F071FF">
            <w:pPr>
              <w:pStyle w:val="TableText0"/>
              <w:rPr>
                <w:lang w:val="en-US"/>
              </w:rPr>
            </w:pPr>
            <w:r w:rsidRPr="002A770B">
              <w:rPr>
                <w:lang w:val="en-US"/>
              </w:rPr>
              <w:t>Extrapolation for time to subsequent treatment</w:t>
            </w:r>
            <w:r w:rsidR="009B493B" w:rsidRPr="002A770B">
              <w:rPr>
                <w:lang w:val="en-US"/>
              </w:rPr>
              <w:t xml:space="preserve"> - convergence</w:t>
            </w:r>
          </w:p>
        </w:tc>
        <w:tc>
          <w:tcPr>
            <w:tcW w:w="1728" w:type="pct"/>
            <w:shd w:val="clear" w:color="auto" w:fill="auto"/>
            <w:vAlign w:val="center"/>
          </w:tcPr>
          <w:p w14:paraId="1AC408F9" w14:textId="77777777" w:rsidR="00432B96" w:rsidRPr="002A770B" w:rsidRDefault="30C3C8E9" w:rsidP="00F071FF">
            <w:pPr>
              <w:pStyle w:val="TableText0"/>
              <w:rPr>
                <w:lang w:val="en-US"/>
              </w:rPr>
            </w:pPr>
            <w:r w:rsidRPr="002A770B">
              <w:rPr>
                <w:lang w:val="en-US"/>
              </w:rPr>
              <w:t xml:space="preserve">Treatment effect continued beyond </w:t>
            </w:r>
            <w:r w:rsidR="00225770" w:rsidRPr="002A770B">
              <w:rPr>
                <w:lang w:val="en-US"/>
              </w:rPr>
              <w:t xml:space="preserve">the </w:t>
            </w:r>
            <w:r w:rsidRPr="002A770B">
              <w:rPr>
                <w:lang w:val="en-US"/>
              </w:rPr>
              <w:t xml:space="preserve">6 month trial period (with maximum 2 years treatment) for up to 25 years. Base case model assumed no convergence of time to subsequent treatment for daratumumab SC + CyBorD to comparators. </w:t>
            </w:r>
          </w:p>
        </w:tc>
        <w:tc>
          <w:tcPr>
            <w:tcW w:w="1180" w:type="pct"/>
            <w:shd w:val="clear" w:color="auto" w:fill="auto"/>
          </w:tcPr>
          <w:p w14:paraId="6D98E88F" w14:textId="77777777" w:rsidR="00432B96" w:rsidRPr="002A770B" w:rsidRDefault="30C3C8E9" w:rsidP="57626B43">
            <w:pPr>
              <w:pStyle w:val="TableText0"/>
              <w:rPr>
                <w:lang w:val="en-US"/>
              </w:rPr>
            </w:pPr>
            <w:r w:rsidRPr="002A770B">
              <w:rPr>
                <w:lang w:val="en-US"/>
              </w:rPr>
              <w:t xml:space="preserve">High, favours daratumumab SC. Use of convergence factor beginning at 36 and ending at 72 months increased ICER to </w:t>
            </w:r>
            <w:r w:rsidR="008E6972">
              <w:rPr>
                <w:noProof/>
                <w:color w:val="000000"/>
                <w:highlight w:val="black"/>
                <w:lang w:val="en-US"/>
              </w:rPr>
              <w:t>''''''''''''''''''''</w:t>
            </w:r>
            <w:r w:rsidR="006F292C">
              <w:rPr>
                <w:vertAlign w:val="superscript"/>
              </w:rPr>
              <w:t>1</w:t>
            </w:r>
            <w:r w:rsidRPr="002A770B">
              <w:rPr>
                <w:lang w:val="en-US"/>
              </w:rPr>
              <w:t>/QALY</w:t>
            </w:r>
            <w:r w:rsidR="00970037" w:rsidRPr="002A770B">
              <w:rPr>
                <w:lang w:val="en-US"/>
              </w:rPr>
              <w:t xml:space="preserve"> gained</w:t>
            </w:r>
            <w:r w:rsidRPr="002A770B">
              <w:rPr>
                <w:lang w:val="en-US"/>
              </w:rPr>
              <w:t>.</w:t>
            </w:r>
          </w:p>
        </w:tc>
        <w:tc>
          <w:tcPr>
            <w:tcW w:w="1308" w:type="pct"/>
          </w:tcPr>
          <w:p w14:paraId="1E1EA751" w14:textId="77777777" w:rsidR="00432B96" w:rsidRPr="002A770B" w:rsidRDefault="30C3C8E9" w:rsidP="57626B43">
            <w:pPr>
              <w:pStyle w:val="TableText0"/>
              <w:rPr>
                <w:lang w:val="en-US"/>
              </w:rPr>
            </w:pPr>
            <w:r w:rsidRPr="002A770B">
              <w:rPr>
                <w:lang w:val="en-US"/>
              </w:rPr>
              <w:t xml:space="preserve">Moderate, favours daratumumab SC. Use of convergence factor beginning at 36 and ending at 72 months increased ICER to </w:t>
            </w:r>
            <w:r w:rsidR="008E6972">
              <w:rPr>
                <w:noProof/>
                <w:color w:val="000000"/>
                <w:highlight w:val="black"/>
                <w:lang w:val="en-US"/>
              </w:rPr>
              <w:t>'''''''''''''''''''</w:t>
            </w:r>
            <w:r w:rsidR="006F292C">
              <w:rPr>
                <w:vertAlign w:val="superscript"/>
              </w:rPr>
              <w:t>3</w:t>
            </w:r>
            <w:r w:rsidRPr="002A770B">
              <w:rPr>
                <w:lang w:val="en-US"/>
              </w:rPr>
              <w:t>/QALY</w:t>
            </w:r>
            <w:r w:rsidR="00970037" w:rsidRPr="002A770B">
              <w:rPr>
                <w:lang w:val="en-US"/>
              </w:rPr>
              <w:t xml:space="preserve"> gained</w:t>
            </w:r>
            <w:r w:rsidRPr="002A770B">
              <w:rPr>
                <w:lang w:val="en-US"/>
              </w:rPr>
              <w:t>.</w:t>
            </w:r>
          </w:p>
        </w:tc>
      </w:tr>
      <w:tr w:rsidR="00432B96" w:rsidRPr="00E2771E" w14:paraId="5D6F2674" w14:textId="77777777" w:rsidTr="00CF2491">
        <w:tc>
          <w:tcPr>
            <w:tcW w:w="784" w:type="pct"/>
            <w:shd w:val="clear" w:color="auto" w:fill="auto"/>
            <w:vAlign w:val="center"/>
          </w:tcPr>
          <w:p w14:paraId="08125605" w14:textId="77777777" w:rsidR="00432B96" w:rsidRPr="002A770B" w:rsidRDefault="30C3C8E9" w:rsidP="00F071FF">
            <w:pPr>
              <w:pStyle w:val="TableText0"/>
              <w:rPr>
                <w:lang w:val="en-US"/>
              </w:rPr>
            </w:pPr>
            <w:r w:rsidRPr="002A770B">
              <w:rPr>
                <w:lang w:val="en-US"/>
              </w:rPr>
              <w:t>Source of survival estimate</w:t>
            </w:r>
          </w:p>
        </w:tc>
        <w:tc>
          <w:tcPr>
            <w:tcW w:w="1728" w:type="pct"/>
            <w:shd w:val="clear" w:color="auto" w:fill="auto"/>
            <w:vAlign w:val="center"/>
          </w:tcPr>
          <w:p w14:paraId="427AA41B" w14:textId="77777777" w:rsidR="00432B96" w:rsidRPr="002A770B" w:rsidRDefault="30C3C8E9" w:rsidP="00AE450F">
            <w:pPr>
              <w:pStyle w:val="TableText0"/>
              <w:rPr>
                <w:lang w:val="en-US"/>
              </w:rPr>
            </w:pPr>
            <w:r w:rsidRPr="002A770B">
              <w:rPr>
                <w:lang w:val="en-US"/>
              </w:rPr>
              <w:t xml:space="preserve">Base case model used </w:t>
            </w:r>
            <w:r w:rsidR="00AE450F" w:rsidRPr="002A770B">
              <w:rPr>
                <w:lang w:val="en-US"/>
              </w:rPr>
              <w:t xml:space="preserve">a single survival estimate of observational study of </w:t>
            </w:r>
            <w:r w:rsidRPr="002A770B">
              <w:rPr>
                <w:lang w:val="en-US"/>
              </w:rPr>
              <w:t>Palladini et al. (2012) at 6 months</w:t>
            </w:r>
            <w:r w:rsidR="00166153" w:rsidRPr="002A770B">
              <w:rPr>
                <w:lang w:val="en-US"/>
              </w:rPr>
              <w:t>.</w:t>
            </w:r>
            <w:r w:rsidR="00AE450F" w:rsidRPr="002A770B">
              <w:rPr>
                <w:lang w:val="en-US"/>
              </w:rPr>
              <w:t xml:space="preserve"> </w:t>
            </w:r>
          </w:p>
        </w:tc>
        <w:tc>
          <w:tcPr>
            <w:tcW w:w="1180" w:type="pct"/>
            <w:shd w:val="clear" w:color="auto" w:fill="auto"/>
          </w:tcPr>
          <w:p w14:paraId="75F672AD" w14:textId="77777777" w:rsidR="00432B96" w:rsidRPr="002A770B" w:rsidRDefault="30C3C8E9" w:rsidP="57626B43">
            <w:pPr>
              <w:pStyle w:val="TableText0"/>
              <w:rPr>
                <w:lang w:val="en-US"/>
              </w:rPr>
            </w:pPr>
            <w:r w:rsidRPr="002A770B">
              <w:rPr>
                <w:lang w:val="en-US"/>
              </w:rPr>
              <w:t xml:space="preserve">High, favours daratumumab SC. Use of EMN at 3 months increased the ICER to </w:t>
            </w:r>
            <w:r w:rsidR="008E6972">
              <w:rPr>
                <w:noProof/>
                <w:color w:val="000000"/>
                <w:highlight w:val="black"/>
              </w:rPr>
              <w:t>''''''''''''''''''''</w:t>
            </w:r>
            <w:r w:rsidR="006F292C">
              <w:rPr>
                <w:vertAlign w:val="superscript"/>
              </w:rPr>
              <w:t>1</w:t>
            </w:r>
            <w:r w:rsidRPr="002A770B">
              <w:t>/QALY</w:t>
            </w:r>
            <w:r w:rsidR="00970037" w:rsidRPr="002A770B">
              <w:t xml:space="preserve"> gained</w:t>
            </w:r>
            <w:r w:rsidRPr="002A770B">
              <w:t>.</w:t>
            </w:r>
          </w:p>
        </w:tc>
        <w:tc>
          <w:tcPr>
            <w:tcW w:w="1308" w:type="pct"/>
          </w:tcPr>
          <w:p w14:paraId="0A9A5302" w14:textId="77777777" w:rsidR="00432B96" w:rsidRPr="002A770B" w:rsidRDefault="30C3C8E9" w:rsidP="57626B43">
            <w:pPr>
              <w:pStyle w:val="TableText0"/>
              <w:rPr>
                <w:lang w:val="en-US"/>
              </w:rPr>
            </w:pPr>
            <w:r w:rsidRPr="002A770B">
              <w:rPr>
                <w:lang w:val="en-US"/>
              </w:rPr>
              <w:t xml:space="preserve">Moderate, favours daratumumab SC. Use of EMN at 3 months increased the ICER to </w:t>
            </w:r>
            <w:r w:rsidR="008E6972">
              <w:rPr>
                <w:noProof/>
                <w:color w:val="000000"/>
                <w:highlight w:val="black"/>
              </w:rPr>
              <w:t>''''''''''''''''''''</w:t>
            </w:r>
            <w:r w:rsidR="006F292C">
              <w:rPr>
                <w:vertAlign w:val="superscript"/>
              </w:rPr>
              <w:t>3</w:t>
            </w:r>
            <w:r w:rsidRPr="002A770B">
              <w:t>/QALY</w:t>
            </w:r>
            <w:r w:rsidR="00970037" w:rsidRPr="002A770B">
              <w:t xml:space="preserve"> gained</w:t>
            </w:r>
            <w:r w:rsidRPr="002A770B">
              <w:t>.</w:t>
            </w:r>
          </w:p>
        </w:tc>
      </w:tr>
      <w:tr w:rsidR="00432B96" w:rsidRPr="00E2771E" w14:paraId="0366D316" w14:textId="77777777" w:rsidTr="00CF2491">
        <w:tc>
          <w:tcPr>
            <w:tcW w:w="784" w:type="pct"/>
            <w:shd w:val="clear" w:color="auto" w:fill="auto"/>
            <w:vAlign w:val="center"/>
          </w:tcPr>
          <w:p w14:paraId="0C2308DC" w14:textId="77777777" w:rsidR="00432B96" w:rsidRPr="002A770B" w:rsidRDefault="30C3C8E9" w:rsidP="00F071FF">
            <w:pPr>
              <w:pStyle w:val="TableText0"/>
              <w:rPr>
                <w:lang w:val="en-US"/>
              </w:rPr>
            </w:pPr>
            <w:r w:rsidRPr="002A770B">
              <w:rPr>
                <w:lang w:val="en-US"/>
              </w:rPr>
              <w:t>Time horizon</w:t>
            </w:r>
          </w:p>
        </w:tc>
        <w:tc>
          <w:tcPr>
            <w:tcW w:w="1728" w:type="pct"/>
            <w:shd w:val="clear" w:color="auto" w:fill="auto"/>
            <w:vAlign w:val="center"/>
          </w:tcPr>
          <w:p w14:paraId="371795CC" w14:textId="77777777" w:rsidR="00432B96" w:rsidRPr="002A770B" w:rsidRDefault="30C3C8E9" w:rsidP="00F071FF">
            <w:pPr>
              <w:pStyle w:val="TableText0"/>
              <w:rPr>
                <w:lang w:val="en-US"/>
              </w:rPr>
            </w:pPr>
            <w:r w:rsidRPr="002A770B">
              <w:rPr>
                <w:lang w:val="en-US"/>
              </w:rPr>
              <w:t>Base case model of 25 years relied on trial data of 6 months. Observational data from Wisniowski et al. (2019) reported median survival of 1.2 years for amyloidosis without a monoclonal antibody (suggestive of AL).</w:t>
            </w:r>
          </w:p>
        </w:tc>
        <w:tc>
          <w:tcPr>
            <w:tcW w:w="1180" w:type="pct"/>
            <w:shd w:val="clear" w:color="auto" w:fill="auto"/>
          </w:tcPr>
          <w:p w14:paraId="1EDA7D97" w14:textId="77777777" w:rsidR="00432B96" w:rsidRPr="002A770B" w:rsidRDefault="30C3C8E9" w:rsidP="57626B43">
            <w:pPr>
              <w:pStyle w:val="TableText0"/>
              <w:rPr>
                <w:lang w:val="en-US"/>
              </w:rPr>
            </w:pPr>
            <w:r w:rsidRPr="002A770B">
              <w:rPr>
                <w:lang w:val="en-US"/>
              </w:rPr>
              <w:t xml:space="preserve">High, favours daratumumab SC. Use of </w:t>
            </w:r>
            <w:r w:rsidR="00CF2491" w:rsidRPr="002A770B">
              <w:rPr>
                <w:lang w:val="en-US"/>
              </w:rPr>
              <w:t xml:space="preserve">10 year or </w:t>
            </w:r>
            <w:r w:rsidRPr="002A770B">
              <w:rPr>
                <w:lang w:val="en-US"/>
              </w:rPr>
              <w:t>15 year time horizon increased ICER to</w:t>
            </w:r>
            <w:r w:rsidR="00CF2491" w:rsidRPr="002A770B">
              <w:rPr>
                <w:lang w:val="en-US"/>
              </w:rPr>
              <w:t xml:space="preserve"> </w:t>
            </w:r>
            <w:r w:rsidR="008E6972">
              <w:rPr>
                <w:noProof/>
                <w:color w:val="000000"/>
                <w:highlight w:val="black"/>
                <w:lang w:val="en-US"/>
              </w:rPr>
              <w:t>'''''''''''''''''''''</w:t>
            </w:r>
            <w:r w:rsidR="006F292C">
              <w:rPr>
                <w:vertAlign w:val="superscript"/>
              </w:rPr>
              <w:t>2</w:t>
            </w:r>
            <w:r w:rsidR="00CF2491" w:rsidRPr="002A770B">
              <w:rPr>
                <w:lang w:val="en-US"/>
              </w:rPr>
              <w:t>/QALY and</w:t>
            </w:r>
            <w:r w:rsidRPr="002A770B">
              <w:rPr>
                <w:lang w:val="en-US"/>
              </w:rPr>
              <w:t xml:space="preserve"> </w:t>
            </w:r>
            <w:r w:rsidR="008E6972">
              <w:rPr>
                <w:noProof/>
                <w:color w:val="000000"/>
                <w:highlight w:val="black"/>
                <w:lang w:val="en-US"/>
              </w:rPr>
              <w:t>''''''''''''''''''</w:t>
            </w:r>
            <w:r w:rsidR="006F292C">
              <w:rPr>
                <w:vertAlign w:val="superscript"/>
              </w:rPr>
              <w:t>1</w:t>
            </w:r>
            <w:r w:rsidRPr="002A770B">
              <w:rPr>
                <w:lang w:val="en-US"/>
              </w:rPr>
              <w:t>/QALY</w:t>
            </w:r>
            <w:r w:rsidR="00CF2491" w:rsidRPr="002A770B">
              <w:rPr>
                <w:lang w:val="en-US"/>
              </w:rPr>
              <w:t>, respectively</w:t>
            </w:r>
            <w:r w:rsidRPr="002A770B">
              <w:rPr>
                <w:lang w:val="en-US"/>
              </w:rPr>
              <w:t>.</w:t>
            </w:r>
          </w:p>
        </w:tc>
        <w:tc>
          <w:tcPr>
            <w:tcW w:w="1308" w:type="pct"/>
          </w:tcPr>
          <w:p w14:paraId="3F10D276" w14:textId="77777777" w:rsidR="00432B96" w:rsidRPr="002A770B" w:rsidRDefault="30C3C8E9" w:rsidP="57626B43">
            <w:pPr>
              <w:pStyle w:val="TableText0"/>
              <w:rPr>
                <w:lang w:val="en-US"/>
              </w:rPr>
            </w:pPr>
            <w:r w:rsidRPr="002A770B">
              <w:rPr>
                <w:lang w:val="en-US"/>
              </w:rPr>
              <w:t>Moderate, favours daratumumab SC. Use of</w:t>
            </w:r>
            <w:r w:rsidR="00CF2491" w:rsidRPr="002A770B">
              <w:rPr>
                <w:lang w:val="en-US"/>
              </w:rPr>
              <w:t xml:space="preserve"> 10 year or</w:t>
            </w:r>
            <w:r w:rsidRPr="002A770B">
              <w:rPr>
                <w:lang w:val="en-US"/>
              </w:rPr>
              <w:t xml:space="preserve"> 15 year time horizon increased ICER to </w:t>
            </w:r>
            <w:r w:rsidR="008E6972">
              <w:rPr>
                <w:noProof/>
                <w:color w:val="000000"/>
                <w:highlight w:val="black"/>
                <w:lang w:val="en-US"/>
              </w:rPr>
              <w:t>'''''''''''''''''</w:t>
            </w:r>
            <w:r w:rsidR="006F292C">
              <w:rPr>
                <w:vertAlign w:val="superscript"/>
              </w:rPr>
              <w:t>4</w:t>
            </w:r>
            <w:r w:rsidR="00CF2491" w:rsidRPr="002A770B">
              <w:rPr>
                <w:lang w:val="en-US"/>
              </w:rPr>
              <w:t xml:space="preserve"> and </w:t>
            </w:r>
            <w:r w:rsidR="008E6972">
              <w:rPr>
                <w:noProof/>
                <w:color w:val="000000"/>
                <w:highlight w:val="black"/>
                <w:lang w:val="en-US"/>
              </w:rPr>
              <w:t>''''''''''''''''''</w:t>
            </w:r>
            <w:r w:rsidR="006F292C">
              <w:rPr>
                <w:vertAlign w:val="superscript"/>
              </w:rPr>
              <w:t>3</w:t>
            </w:r>
            <w:r w:rsidRPr="002A770B">
              <w:rPr>
                <w:lang w:val="en-US"/>
              </w:rPr>
              <w:t>/QALY</w:t>
            </w:r>
            <w:r w:rsidR="00CF2491" w:rsidRPr="002A770B">
              <w:rPr>
                <w:lang w:val="en-US"/>
              </w:rPr>
              <w:t>, respectively</w:t>
            </w:r>
            <w:r w:rsidRPr="002A770B">
              <w:rPr>
                <w:lang w:val="en-US"/>
              </w:rPr>
              <w:t>.</w:t>
            </w:r>
          </w:p>
        </w:tc>
      </w:tr>
    </w:tbl>
    <w:p w14:paraId="1ABC9AC8" w14:textId="77777777" w:rsidR="00432B96" w:rsidRPr="006F2DBA" w:rsidRDefault="30C3C8E9" w:rsidP="57626B43">
      <w:pPr>
        <w:pStyle w:val="TableFigureFooter"/>
      </w:pPr>
      <w:r w:rsidRPr="006F2DBA">
        <w:t>Source: Source: Table 3.25, p.279 of the submission and estimated during the evaluation changing B6 ‘Inputs’ to 15 using the Excel spreadsheet “Systemic AL amyloidosis Economic Model”.</w:t>
      </w:r>
    </w:p>
    <w:p w14:paraId="508AAF71" w14:textId="77777777" w:rsidR="006F292C" w:rsidRDefault="30C3C8E9" w:rsidP="00432B96">
      <w:pPr>
        <w:pStyle w:val="TableFigureFooter"/>
      </w:pPr>
      <w:r>
        <w:t>AL = light chain; CyBorD = cyclophosphamide, bortezomib and dexamethasone; EMN = European Myeloma Network; ICER = incremental cost-effectiveness ratio; MDex = melphalan and dexamethasone; QALY = quality adjusted life year; SC = subcutaneous.</w:t>
      </w:r>
    </w:p>
    <w:p w14:paraId="73795225" w14:textId="77777777" w:rsidR="006F292C" w:rsidRPr="00770507" w:rsidRDefault="006F292C" w:rsidP="00432B96">
      <w:pPr>
        <w:pStyle w:val="TableFigureFooter"/>
        <w:rPr>
          <w:i/>
        </w:rPr>
      </w:pPr>
      <w:r w:rsidRPr="00770507">
        <w:rPr>
          <w:i/>
        </w:rPr>
        <w:t>The redacted values correspond to the following ranges:</w:t>
      </w:r>
    </w:p>
    <w:p w14:paraId="10515C51" w14:textId="77777777" w:rsidR="006F292C" w:rsidRPr="00770507" w:rsidRDefault="006F292C" w:rsidP="00432B96">
      <w:pPr>
        <w:pStyle w:val="TableFigureFooter"/>
        <w:rPr>
          <w:i/>
        </w:rPr>
      </w:pPr>
      <w:r w:rsidRPr="00770507">
        <w:rPr>
          <w:i/>
          <w:vertAlign w:val="superscript"/>
        </w:rPr>
        <w:t>1</w:t>
      </w:r>
      <w:r w:rsidRPr="00770507">
        <w:rPr>
          <w:i/>
        </w:rPr>
        <w:t xml:space="preserve"> $55,000 to &lt; $75,000</w:t>
      </w:r>
    </w:p>
    <w:p w14:paraId="1C4F411B" w14:textId="77777777" w:rsidR="006F292C" w:rsidRPr="00770507" w:rsidRDefault="006F292C" w:rsidP="00432B96">
      <w:pPr>
        <w:pStyle w:val="TableFigureFooter"/>
        <w:rPr>
          <w:i/>
        </w:rPr>
      </w:pPr>
      <w:r w:rsidRPr="00770507">
        <w:rPr>
          <w:i/>
          <w:vertAlign w:val="superscript"/>
        </w:rPr>
        <w:t>2</w:t>
      </w:r>
      <w:r w:rsidRPr="00770507">
        <w:rPr>
          <w:i/>
        </w:rPr>
        <w:t xml:space="preserve"> $75,000 to &lt; $95,000</w:t>
      </w:r>
    </w:p>
    <w:p w14:paraId="27816CB2" w14:textId="77777777" w:rsidR="00432B96" w:rsidRPr="00770507" w:rsidRDefault="006F292C" w:rsidP="00432B96">
      <w:pPr>
        <w:pStyle w:val="TableFigureFooter"/>
        <w:rPr>
          <w:i/>
        </w:rPr>
      </w:pPr>
      <w:r w:rsidRPr="00770507">
        <w:rPr>
          <w:i/>
          <w:vertAlign w:val="superscript"/>
        </w:rPr>
        <w:t>3</w:t>
      </w:r>
      <w:r w:rsidRPr="00770507">
        <w:rPr>
          <w:i/>
        </w:rPr>
        <w:t xml:space="preserve"> $35,000 to &lt; $45,000</w:t>
      </w:r>
      <w:r w:rsidR="30C3C8E9" w:rsidRPr="00770507">
        <w:rPr>
          <w:i/>
        </w:rPr>
        <w:t xml:space="preserve"> </w:t>
      </w:r>
    </w:p>
    <w:p w14:paraId="2B33B1DF" w14:textId="77777777" w:rsidR="006F292C" w:rsidRPr="00770507" w:rsidRDefault="006F292C" w:rsidP="00432B96">
      <w:pPr>
        <w:pStyle w:val="TableFigureFooter"/>
        <w:rPr>
          <w:i/>
        </w:rPr>
      </w:pPr>
      <w:r w:rsidRPr="00770507">
        <w:rPr>
          <w:i/>
          <w:vertAlign w:val="superscript"/>
        </w:rPr>
        <w:t>4</w:t>
      </w:r>
      <w:r w:rsidRPr="00770507">
        <w:rPr>
          <w:i/>
        </w:rPr>
        <w:t xml:space="preserve"> $45,000 to &lt; $55,000</w:t>
      </w:r>
    </w:p>
    <w:p w14:paraId="793B7D3E" w14:textId="77777777" w:rsidR="00432B96" w:rsidRDefault="00432B96" w:rsidP="00432B96">
      <w:pPr>
        <w:pStyle w:val="3-BodyText"/>
        <w:numPr>
          <w:ilvl w:val="1"/>
          <w:numId w:val="0"/>
        </w:numPr>
      </w:pPr>
    </w:p>
    <w:p w14:paraId="7A40AD6E" w14:textId="77777777" w:rsidR="00432B96" w:rsidRDefault="30C3C8E9" w:rsidP="001924C7">
      <w:pPr>
        <w:pStyle w:val="Caption"/>
      </w:pPr>
      <w:bookmarkStart w:id="60" w:name="_Ref84853883"/>
      <w:r>
        <w:lastRenderedPageBreak/>
        <w:t>Table</w:t>
      </w:r>
      <w:r w:rsidR="00D629D4">
        <w:t xml:space="preserve"> </w:t>
      </w:r>
      <w:r w:rsidR="008A0743">
        <w:rPr>
          <w:noProof/>
        </w:rPr>
        <w:t>1</w:t>
      </w:r>
      <w:bookmarkEnd w:id="60"/>
      <w:r w:rsidR="00D772F5">
        <w:rPr>
          <w:noProof/>
        </w:rPr>
        <w:t>7</w:t>
      </w:r>
      <w:r>
        <w:t>:</w:t>
      </w:r>
      <w:r w:rsidRPr="57626B43">
        <w:rPr>
          <w:rStyle w:val="CommentReference"/>
          <w:b/>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stepped economic evaluation"/>
      </w:tblPr>
      <w:tblGrid>
        <w:gridCol w:w="1837"/>
        <w:gridCol w:w="1277"/>
        <w:gridCol w:w="1277"/>
        <w:gridCol w:w="1273"/>
        <w:gridCol w:w="1845"/>
        <w:gridCol w:w="1508"/>
      </w:tblGrid>
      <w:tr w:rsidR="00432B96" w:rsidRPr="005E6CBC" w14:paraId="10520C8B" w14:textId="77777777" w:rsidTr="57626B43">
        <w:trPr>
          <w:tblHeader/>
        </w:trPr>
        <w:tc>
          <w:tcPr>
            <w:tcW w:w="1019" w:type="pct"/>
            <w:vAlign w:val="center"/>
          </w:tcPr>
          <w:p w14:paraId="1E4A432F" w14:textId="77777777" w:rsidR="00432B96" w:rsidRPr="005E6CBC" w:rsidRDefault="30C3C8E9" w:rsidP="002A770B">
            <w:pPr>
              <w:pStyle w:val="In-tableHeading"/>
              <w:keepLines/>
            </w:pPr>
            <w:r>
              <w:t>Step and component</w:t>
            </w:r>
          </w:p>
        </w:tc>
        <w:tc>
          <w:tcPr>
            <w:tcW w:w="708" w:type="pct"/>
            <w:vAlign w:val="center"/>
          </w:tcPr>
          <w:p w14:paraId="22001D0C" w14:textId="77777777" w:rsidR="00432B96" w:rsidRPr="005E6CBC" w:rsidRDefault="30C3C8E9" w:rsidP="002A770B">
            <w:pPr>
              <w:pStyle w:val="In-tableHeading"/>
              <w:keepLines/>
              <w:jc w:val="center"/>
            </w:pPr>
            <w:r>
              <w:t>Dara + CyBorD</w:t>
            </w:r>
          </w:p>
        </w:tc>
        <w:tc>
          <w:tcPr>
            <w:tcW w:w="708" w:type="pct"/>
            <w:vAlign w:val="center"/>
          </w:tcPr>
          <w:p w14:paraId="796706F5" w14:textId="77777777" w:rsidR="00432B96" w:rsidRPr="005E6CBC" w:rsidRDefault="30C3C8E9" w:rsidP="002A770B">
            <w:pPr>
              <w:pStyle w:val="In-tableHeading"/>
              <w:keepLines/>
              <w:jc w:val="center"/>
            </w:pPr>
            <w:r>
              <w:t>CyBorD</w:t>
            </w:r>
          </w:p>
        </w:tc>
        <w:tc>
          <w:tcPr>
            <w:tcW w:w="706" w:type="pct"/>
            <w:vAlign w:val="center"/>
          </w:tcPr>
          <w:p w14:paraId="0082EEA7" w14:textId="77777777" w:rsidR="00432B96" w:rsidRPr="005E6CBC" w:rsidRDefault="30C3C8E9" w:rsidP="002A770B">
            <w:pPr>
              <w:pStyle w:val="In-tableHeading"/>
              <w:keepLines/>
              <w:jc w:val="center"/>
            </w:pPr>
            <w:r>
              <w:t>MDex</w:t>
            </w:r>
          </w:p>
        </w:tc>
        <w:tc>
          <w:tcPr>
            <w:tcW w:w="1023" w:type="pct"/>
          </w:tcPr>
          <w:p w14:paraId="3A0A23B5" w14:textId="77777777" w:rsidR="00432B96" w:rsidRPr="005E6CBC" w:rsidRDefault="30C3C8E9" w:rsidP="002A770B">
            <w:pPr>
              <w:pStyle w:val="In-tableHeading"/>
              <w:keepLines/>
              <w:jc w:val="center"/>
            </w:pPr>
            <w:r>
              <w:t>Increment Dara + CyBorD vs. CyBorD</w:t>
            </w:r>
          </w:p>
        </w:tc>
        <w:tc>
          <w:tcPr>
            <w:tcW w:w="836" w:type="pct"/>
          </w:tcPr>
          <w:p w14:paraId="3208A295" w14:textId="77777777" w:rsidR="00432B96" w:rsidRPr="005E6CBC" w:rsidRDefault="30C3C8E9" w:rsidP="002A770B">
            <w:pPr>
              <w:pStyle w:val="In-tableHeading"/>
              <w:keepLines/>
              <w:jc w:val="center"/>
            </w:pPr>
            <w:r>
              <w:t>Increment Dara + CyBorD vs. MDex</w:t>
            </w:r>
          </w:p>
        </w:tc>
      </w:tr>
      <w:tr w:rsidR="00432B96" w:rsidRPr="003D5C02" w14:paraId="46EE21EC" w14:textId="77777777" w:rsidTr="57626B43">
        <w:tc>
          <w:tcPr>
            <w:tcW w:w="5000" w:type="pct"/>
            <w:gridSpan w:val="6"/>
            <w:vAlign w:val="center"/>
          </w:tcPr>
          <w:p w14:paraId="36B7DEE1" w14:textId="77777777" w:rsidR="00432B96" w:rsidRPr="00AA2DBC" w:rsidRDefault="30C3C8E9" w:rsidP="002A770B">
            <w:pPr>
              <w:pStyle w:val="TableText0"/>
              <w:keepLines/>
              <w:rPr>
                <w:b/>
              </w:rPr>
            </w:pPr>
            <w:r w:rsidRPr="57626B43">
              <w:rPr>
                <w:b/>
              </w:rPr>
              <w:t>Step 1: trial-based costs and outcomes, time horizon 0.5 years</w:t>
            </w:r>
          </w:p>
        </w:tc>
      </w:tr>
      <w:tr w:rsidR="00432B96" w:rsidRPr="00E2771E" w14:paraId="6FEF48C5" w14:textId="77777777" w:rsidTr="57626B43">
        <w:tc>
          <w:tcPr>
            <w:tcW w:w="1019" w:type="pct"/>
            <w:vAlign w:val="center"/>
          </w:tcPr>
          <w:p w14:paraId="38983FD0" w14:textId="77777777" w:rsidR="00432B96" w:rsidRPr="00E2771E" w:rsidRDefault="30C3C8E9" w:rsidP="002A770B">
            <w:pPr>
              <w:pStyle w:val="TableText0"/>
              <w:keepLines/>
              <w:rPr>
                <w:rFonts w:ascii="Times" w:hAnsi="Times"/>
              </w:rPr>
            </w:pPr>
            <w:r>
              <w:t>Costs</w:t>
            </w:r>
            <w:r w:rsidR="00AA2DB1">
              <w:t xml:space="preserve"> ($)</w:t>
            </w:r>
          </w:p>
        </w:tc>
        <w:tc>
          <w:tcPr>
            <w:tcW w:w="708" w:type="pct"/>
            <w:vAlign w:val="center"/>
          </w:tcPr>
          <w:p w14:paraId="43D4E9AD" w14:textId="77777777" w:rsidR="00432B96" w:rsidRPr="008E6972" w:rsidRDefault="008E6972" w:rsidP="002A770B">
            <w:pPr>
              <w:pStyle w:val="TableText0"/>
              <w:keepLines/>
              <w:jc w:val="center"/>
              <w:rPr>
                <w:highlight w:val="black"/>
              </w:rPr>
            </w:pPr>
            <w:r>
              <w:rPr>
                <w:noProof/>
                <w:color w:val="000000"/>
                <w:highlight w:val="black"/>
              </w:rPr>
              <w:t>'''''''''''''''''''''</w:t>
            </w:r>
          </w:p>
        </w:tc>
        <w:tc>
          <w:tcPr>
            <w:tcW w:w="708" w:type="pct"/>
          </w:tcPr>
          <w:p w14:paraId="5A1566E4" w14:textId="77777777" w:rsidR="00432B96" w:rsidRPr="005E6CBC" w:rsidRDefault="30C3C8E9" w:rsidP="002A770B">
            <w:pPr>
              <w:pStyle w:val="TableText0"/>
              <w:keepLines/>
              <w:jc w:val="center"/>
              <w:rPr>
                <w:rFonts w:ascii="Times" w:hAnsi="Times"/>
              </w:rPr>
            </w:pPr>
            <w:r>
              <w:t>$22,924</w:t>
            </w:r>
          </w:p>
        </w:tc>
        <w:tc>
          <w:tcPr>
            <w:tcW w:w="706" w:type="pct"/>
          </w:tcPr>
          <w:p w14:paraId="021918E4" w14:textId="77777777" w:rsidR="00432B96" w:rsidRPr="005E6CBC" w:rsidRDefault="30C3C8E9" w:rsidP="002A770B">
            <w:pPr>
              <w:pStyle w:val="TableText0"/>
              <w:keepLines/>
              <w:jc w:val="center"/>
              <w:rPr>
                <w:rFonts w:ascii="Times" w:hAnsi="Times"/>
              </w:rPr>
            </w:pPr>
            <w:r>
              <w:t>$6,465</w:t>
            </w:r>
          </w:p>
        </w:tc>
        <w:tc>
          <w:tcPr>
            <w:tcW w:w="1023" w:type="pct"/>
          </w:tcPr>
          <w:p w14:paraId="17DC9110" w14:textId="77777777" w:rsidR="00432B96" w:rsidRPr="008E6972" w:rsidRDefault="008E6972" w:rsidP="002A770B">
            <w:pPr>
              <w:pStyle w:val="TableText0"/>
              <w:keepLines/>
              <w:jc w:val="center"/>
              <w:rPr>
                <w:highlight w:val="black"/>
              </w:rPr>
            </w:pPr>
            <w:r>
              <w:rPr>
                <w:noProof/>
                <w:color w:val="000000"/>
                <w:highlight w:val="black"/>
              </w:rPr>
              <w:t>'''''''''''''''''</w:t>
            </w:r>
          </w:p>
        </w:tc>
        <w:tc>
          <w:tcPr>
            <w:tcW w:w="836" w:type="pct"/>
          </w:tcPr>
          <w:p w14:paraId="03B5C911" w14:textId="77777777" w:rsidR="00432B96" w:rsidRPr="008E6972" w:rsidRDefault="008E6972" w:rsidP="002A770B">
            <w:pPr>
              <w:pStyle w:val="TableText0"/>
              <w:keepLines/>
              <w:jc w:val="center"/>
              <w:rPr>
                <w:highlight w:val="black"/>
              </w:rPr>
            </w:pPr>
            <w:r>
              <w:rPr>
                <w:noProof/>
                <w:color w:val="000000"/>
                <w:highlight w:val="black"/>
              </w:rPr>
              <w:t>'''''''''''''''''''''</w:t>
            </w:r>
          </w:p>
        </w:tc>
      </w:tr>
      <w:tr w:rsidR="00432B96" w:rsidRPr="00E2771E" w14:paraId="5A04C1C8" w14:textId="77777777" w:rsidTr="57626B43">
        <w:tc>
          <w:tcPr>
            <w:tcW w:w="1019" w:type="pct"/>
            <w:vAlign w:val="center"/>
          </w:tcPr>
          <w:p w14:paraId="49C7A53A" w14:textId="77777777" w:rsidR="00432B96" w:rsidRPr="00E2771E" w:rsidRDefault="30C3C8E9" w:rsidP="002A770B">
            <w:pPr>
              <w:pStyle w:val="TableText0"/>
              <w:keepLines/>
              <w:rPr>
                <w:rFonts w:ascii="Times" w:hAnsi="Times"/>
              </w:rPr>
            </w:pPr>
            <w:r>
              <w:t>LYG</w:t>
            </w:r>
          </w:p>
        </w:tc>
        <w:tc>
          <w:tcPr>
            <w:tcW w:w="708" w:type="pct"/>
          </w:tcPr>
          <w:p w14:paraId="0B1A7F0F" w14:textId="77777777" w:rsidR="00432B96" w:rsidRPr="005E6CBC" w:rsidRDefault="30C3C8E9" w:rsidP="002A770B">
            <w:pPr>
              <w:pStyle w:val="TableText0"/>
              <w:keepLines/>
              <w:jc w:val="center"/>
              <w:rPr>
                <w:rFonts w:ascii="Times" w:hAnsi="Times"/>
              </w:rPr>
            </w:pPr>
            <w:r>
              <w:t>0.46</w:t>
            </w:r>
          </w:p>
        </w:tc>
        <w:tc>
          <w:tcPr>
            <w:tcW w:w="708" w:type="pct"/>
          </w:tcPr>
          <w:p w14:paraId="128925E3" w14:textId="77777777" w:rsidR="00432B96" w:rsidRPr="005E6CBC" w:rsidRDefault="30C3C8E9" w:rsidP="002A770B">
            <w:pPr>
              <w:pStyle w:val="TableText0"/>
              <w:keepLines/>
              <w:jc w:val="center"/>
              <w:rPr>
                <w:rFonts w:ascii="Times" w:hAnsi="Times"/>
              </w:rPr>
            </w:pPr>
            <w:r>
              <w:t>0.46</w:t>
            </w:r>
          </w:p>
        </w:tc>
        <w:tc>
          <w:tcPr>
            <w:tcW w:w="706" w:type="pct"/>
          </w:tcPr>
          <w:p w14:paraId="327F3B39" w14:textId="77777777" w:rsidR="00432B96" w:rsidRPr="005E6CBC" w:rsidRDefault="30C3C8E9" w:rsidP="002A770B">
            <w:pPr>
              <w:pStyle w:val="TableText0"/>
              <w:keepLines/>
              <w:jc w:val="center"/>
            </w:pPr>
            <w:r>
              <w:t>0.43</w:t>
            </w:r>
          </w:p>
        </w:tc>
        <w:tc>
          <w:tcPr>
            <w:tcW w:w="1023" w:type="pct"/>
          </w:tcPr>
          <w:p w14:paraId="560FD7AB" w14:textId="77777777" w:rsidR="00432B96" w:rsidRDefault="30C3C8E9" w:rsidP="002A770B">
            <w:pPr>
              <w:pStyle w:val="TableText0"/>
              <w:keepLines/>
              <w:jc w:val="center"/>
            </w:pPr>
            <w:r>
              <w:t>-0.01</w:t>
            </w:r>
          </w:p>
        </w:tc>
        <w:tc>
          <w:tcPr>
            <w:tcW w:w="836" w:type="pct"/>
          </w:tcPr>
          <w:p w14:paraId="38D18C6B" w14:textId="77777777" w:rsidR="00432B96" w:rsidRDefault="30C3C8E9" w:rsidP="002A770B">
            <w:pPr>
              <w:pStyle w:val="TableText0"/>
              <w:keepLines/>
              <w:jc w:val="center"/>
            </w:pPr>
            <w:r>
              <w:t>0.03</w:t>
            </w:r>
          </w:p>
        </w:tc>
      </w:tr>
      <w:tr w:rsidR="00432B96" w:rsidRPr="00E2771E" w14:paraId="5871B969" w14:textId="77777777" w:rsidTr="57626B43">
        <w:tc>
          <w:tcPr>
            <w:tcW w:w="3141" w:type="pct"/>
            <w:gridSpan w:val="4"/>
            <w:vAlign w:val="center"/>
          </w:tcPr>
          <w:p w14:paraId="038AF87E" w14:textId="77777777" w:rsidR="00432B96" w:rsidRPr="005E6CBC" w:rsidRDefault="30C3C8E9" w:rsidP="002A770B">
            <w:pPr>
              <w:pStyle w:val="TableText0"/>
              <w:keepLines/>
              <w:rPr>
                <w:rFonts w:ascii="Times" w:hAnsi="Times"/>
              </w:rPr>
            </w:pPr>
            <w:r>
              <w:t>Incremental cost/extra LYG gained</w:t>
            </w:r>
          </w:p>
        </w:tc>
        <w:tc>
          <w:tcPr>
            <w:tcW w:w="1023" w:type="pct"/>
          </w:tcPr>
          <w:p w14:paraId="056B9D4B" w14:textId="77777777" w:rsidR="00432B96" w:rsidRPr="005E6CBC" w:rsidRDefault="005704FF" w:rsidP="002A770B">
            <w:pPr>
              <w:pStyle w:val="TableText0"/>
              <w:keepLines/>
              <w:jc w:val="center"/>
            </w:pPr>
            <w:r>
              <w:t>Dominated</w:t>
            </w:r>
          </w:p>
        </w:tc>
        <w:tc>
          <w:tcPr>
            <w:tcW w:w="836" w:type="pct"/>
          </w:tcPr>
          <w:p w14:paraId="0C7DFD79" w14:textId="77777777" w:rsidR="00432B96" w:rsidRPr="005E6CBC" w:rsidRDefault="008E6972" w:rsidP="002A770B">
            <w:pPr>
              <w:pStyle w:val="TableText0"/>
              <w:keepLines/>
              <w:jc w:val="center"/>
            </w:pPr>
            <w:r>
              <w:rPr>
                <w:noProof/>
                <w:color w:val="000000"/>
                <w:highlight w:val="black"/>
              </w:rPr>
              <w:t>''''''''''''''''''''''''''''</w:t>
            </w:r>
            <w:r w:rsidR="00621F65">
              <w:rPr>
                <w:vertAlign w:val="superscript"/>
              </w:rPr>
              <w:t>2</w:t>
            </w:r>
          </w:p>
        </w:tc>
      </w:tr>
      <w:tr w:rsidR="00432B96" w:rsidRPr="003D5C02" w14:paraId="241E4E5B" w14:textId="77777777" w:rsidTr="57626B43">
        <w:tc>
          <w:tcPr>
            <w:tcW w:w="5000" w:type="pct"/>
            <w:gridSpan w:val="6"/>
            <w:vAlign w:val="center"/>
          </w:tcPr>
          <w:p w14:paraId="1DE2E2AA" w14:textId="77777777" w:rsidR="00432B96" w:rsidRPr="005E6CBC" w:rsidRDefault="30C3C8E9" w:rsidP="002A770B">
            <w:pPr>
              <w:pStyle w:val="In-tableHeading"/>
              <w:keepLines/>
            </w:pPr>
            <w:r>
              <w:t>Step 2: trial and Palladini et al. (2012) 6</w:t>
            </w:r>
            <w:r w:rsidR="00AD7284">
              <w:t xml:space="preserve"> </w:t>
            </w:r>
            <w:r>
              <w:t>month landmarked OS, time horizon extended to 3.5 years, undiscounted</w:t>
            </w:r>
          </w:p>
        </w:tc>
      </w:tr>
      <w:tr w:rsidR="00432B96" w:rsidRPr="00E2771E" w14:paraId="19C588CE" w14:textId="77777777" w:rsidTr="57626B43">
        <w:tc>
          <w:tcPr>
            <w:tcW w:w="1019" w:type="pct"/>
            <w:vAlign w:val="center"/>
          </w:tcPr>
          <w:p w14:paraId="39B0AE2F"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4A171299"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72314308" w14:textId="77777777" w:rsidR="00432B96" w:rsidRPr="005E6CBC" w:rsidRDefault="30C3C8E9" w:rsidP="002E4F14">
            <w:pPr>
              <w:pStyle w:val="TableText0"/>
              <w:keepLines/>
              <w:jc w:val="center"/>
              <w:rPr>
                <w:rFonts w:ascii="Times" w:hAnsi="Times"/>
              </w:rPr>
            </w:pPr>
            <w:r>
              <w:t>$37,345</w:t>
            </w:r>
          </w:p>
        </w:tc>
        <w:tc>
          <w:tcPr>
            <w:tcW w:w="706" w:type="pct"/>
          </w:tcPr>
          <w:p w14:paraId="66E586BC" w14:textId="77777777" w:rsidR="00432B96" w:rsidRPr="005E6CBC" w:rsidRDefault="30C3C8E9" w:rsidP="002E4F14">
            <w:pPr>
              <w:pStyle w:val="TableText0"/>
              <w:keepLines/>
              <w:jc w:val="center"/>
              <w:rPr>
                <w:rFonts w:ascii="Times" w:hAnsi="Times"/>
              </w:rPr>
            </w:pPr>
            <w:r>
              <w:t>$23,784</w:t>
            </w:r>
          </w:p>
        </w:tc>
        <w:tc>
          <w:tcPr>
            <w:tcW w:w="1023" w:type="pct"/>
          </w:tcPr>
          <w:p w14:paraId="0E6ECBD1"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4B8DCB85"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61D0D824" w14:textId="77777777" w:rsidTr="57626B43">
        <w:tc>
          <w:tcPr>
            <w:tcW w:w="1019" w:type="pct"/>
            <w:vAlign w:val="center"/>
          </w:tcPr>
          <w:p w14:paraId="4A1E185C" w14:textId="77777777" w:rsidR="00432B96" w:rsidRPr="00E2771E" w:rsidRDefault="30C3C8E9" w:rsidP="002E4F14">
            <w:pPr>
              <w:pStyle w:val="TableText0"/>
              <w:keepLines/>
              <w:rPr>
                <w:rFonts w:ascii="Times" w:hAnsi="Times"/>
              </w:rPr>
            </w:pPr>
            <w:r>
              <w:t>LYG</w:t>
            </w:r>
          </w:p>
        </w:tc>
        <w:tc>
          <w:tcPr>
            <w:tcW w:w="708" w:type="pct"/>
          </w:tcPr>
          <w:p w14:paraId="7F994CDF" w14:textId="77777777" w:rsidR="00432B96" w:rsidRPr="005E6CBC" w:rsidRDefault="30C3C8E9" w:rsidP="002E4F14">
            <w:pPr>
              <w:pStyle w:val="TableText0"/>
              <w:keepLines/>
              <w:jc w:val="center"/>
              <w:rPr>
                <w:rFonts w:ascii="Times" w:hAnsi="Times"/>
              </w:rPr>
            </w:pPr>
            <w:r>
              <w:t>2.75</w:t>
            </w:r>
          </w:p>
        </w:tc>
        <w:tc>
          <w:tcPr>
            <w:tcW w:w="708" w:type="pct"/>
          </w:tcPr>
          <w:p w14:paraId="372703D8" w14:textId="77777777" w:rsidR="00432B96" w:rsidRPr="005E6CBC" w:rsidRDefault="30C3C8E9" w:rsidP="002E4F14">
            <w:pPr>
              <w:pStyle w:val="TableText0"/>
              <w:keepLines/>
              <w:jc w:val="center"/>
              <w:rPr>
                <w:rFonts w:ascii="Times" w:hAnsi="Times"/>
              </w:rPr>
            </w:pPr>
            <w:r>
              <w:t>2.37</w:t>
            </w:r>
          </w:p>
        </w:tc>
        <w:tc>
          <w:tcPr>
            <w:tcW w:w="706" w:type="pct"/>
          </w:tcPr>
          <w:p w14:paraId="6ECB409F" w14:textId="77777777" w:rsidR="00432B96" w:rsidRPr="005E6CBC" w:rsidRDefault="30C3C8E9" w:rsidP="002E4F14">
            <w:pPr>
              <w:pStyle w:val="TableText0"/>
              <w:keepLines/>
              <w:jc w:val="center"/>
            </w:pPr>
            <w:r>
              <w:t>1.66</w:t>
            </w:r>
          </w:p>
        </w:tc>
        <w:tc>
          <w:tcPr>
            <w:tcW w:w="1023" w:type="pct"/>
          </w:tcPr>
          <w:p w14:paraId="067AF4B9" w14:textId="77777777" w:rsidR="00432B96" w:rsidRDefault="30C3C8E9" w:rsidP="002E4F14">
            <w:pPr>
              <w:pStyle w:val="TableText0"/>
              <w:keepLines/>
              <w:jc w:val="center"/>
            </w:pPr>
            <w:r>
              <w:t>0.38</w:t>
            </w:r>
          </w:p>
        </w:tc>
        <w:tc>
          <w:tcPr>
            <w:tcW w:w="836" w:type="pct"/>
          </w:tcPr>
          <w:p w14:paraId="360B127B" w14:textId="77777777" w:rsidR="00432B96" w:rsidRDefault="30C3C8E9" w:rsidP="002E4F14">
            <w:pPr>
              <w:pStyle w:val="TableText0"/>
              <w:keepLines/>
              <w:jc w:val="center"/>
            </w:pPr>
            <w:r>
              <w:t>1.09</w:t>
            </w:r>
          </w:p>
        </w:tc>
      </w:tr>
      <w:tr w:rsidR="00432B96" w:rsidRPr="00EE64D8" w14:paraId="156330C6" w14:textId="77777777" w:rsidTr="57626B43">
        <w:tc>
          <w:tcPr>
            <w:tcW w:w="3141" w:type="pct"/>
            <w:gridSpan w:val="4"/>
            <w:vAlign w:val="center"/>
          </w:tcPr>
          <w:p w14:paraId="2400C6A7" w14:textId="77777777" w:rsidR="00432B96" w:rsidRPr="005E6CBC" w:rsidRDefault="30C3C8E9" w:rsidP="002E4F14">
            <w:pPr>
              <w:pStyle w:val="TableText0"/>
              <w:keepLines/>
              <w:rPr>
                <w:rFonts w:ascii="Times" w:hAnsi="Times"/>
              </w:rPr>
            </w:pPr>
            <w:r>
              <w:t>Incremental cost/extra LYG gained</w:t>
            </w:r>
          </w:p>
        </w:tc>
        <w:tc>
          <w:tcPr>
            <w:tcW w:w="1023" w:type="pct"/>
          </w:tcPr>
          <w:p w14:paraId="4CD1CBE2" w14:textId="77777777" w:rsidR="00432B96" w:rsidRPr="005E6CBC" w:rsidRDefault="008E6972" w:rsidP="002E4F14">
            <w:pPr>
              <w:pStyle w:val="TableText0"/>
              <w:keepLines/>
              <w:jc w:val="center"/>
            </w:pPr>
            <w:r>
              <w:rPr>
                <w:noProof/>
                <w:color w:val="000000"/>
                <w:highlight w:val="black"/>
              </w:rPr>
              <w:t>'''''''''''''''''''''''</w:t>
            </w:r>
            <w:r w:rsidR="00621F65">
              <w:rPr>
                <w:vertAlign w:val="superscript"/>
              </w:rPr>
              <w:t>3</w:t>
            </w:r>
          </w:p>
        </w:tc>
        <w:tc>
          <w:tcPr>
            <w:tcW w:w="836" w:type="pct"/>
          </w:tcPr>
          <w:p w14:paraId="2787876D" w14:textId="77777777" w:rsidR="00432B96" w:rsidRPr="005E6CBC" w:rsidRDefault="008E6972" w:rsidP="002E4F14">
            <w:pPr>
              <w:pStyle w:val="TableText0"/>
              <w:keepLines/>
              <w:jc w:val="center"/>
            </w:pPr>
            <w:r>
              <w:rPr>
                <w:noProof/>
                <w:color w:val="000000"/>
                <w:highlight w:val="black"/>
              </w:rPr>
              <w:t>'''''''''''''''''''''</w:t>
            </w:r>
            <w:r w:rsidR="00621F65">
              <w:rPr>
                <w:vertAlign w:val="superscript"/>
              </w:rPr>
              <w:t>4</w:t>
            </w:r>
          </w:p>
        </w:tc>
      </w:tr>
      <w:tr w:rsidR="00432B96" w:rsidRPr="00EE64D8" w14:paraId="1AF6C2EB" w14:textId="77777777" w:rsidTr="57626B43">
        <w:tc>
          <w:tcPr>
            <w:tcW w:w="5000" w:type="pct"/>
            <w:gridSpan w:val="6"/>
            <w:vAlign w:val="center"/>
          </w:tcPr>
          <w:p w14:paraId="1952DD0C" w14:textId="77777777" w:rsidR="00432B96" w:rsidRPr="005E6CBC" w:rsidRDefault="30C3C8E9" w:rsidP="002E4F14">
            <w:pPr>
              <w:pStyle w:val="In-tableHeading"/>
              <w:keepLines/>
            </w:pPr>
            <w:r>
              <w:t>Step 3: trial and Palladini et al. (2012) 6</w:t>
            </w:r>
            <w:r w:rsidR="00AD7284">
              <w:t xml:space="preserve"> </w:t>
            </w:r>
            <w:r>
              <w:t>month landmarked OS, time horizon extended to 3.5 years, discounting (5%) included</w:t>
            </w:r>
          </w:p>
        </w:tc>
      </w:tr>
      <w:tr w:rsidR="00432B96" w:rsidRPr="00FE225D" w14:paraId="3F5533E8" w14:textId="77777777" w:rsidTr="57626B43">
        <w:tc>
          <w:tcPr>
            <w:tcW w:w="1019" w:type="pct"/>
            <w:vAlign w:val="center"/>
          </w:tcPr>
          <w:p w14:paraId="07A075A2"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31CD8D89"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35BB97C3" w14:textId="77777777" w:rsidR="00432B96" w:rsidRPr="005E6CBC" w:rsidRDefault="30C3C8E9" w:rsidP="002E4F14">
            <w:pPr>
              <w:pStyle w:val="TableText0"/>
              <w:keepLines/>
              <w:jc w:val="center"/>
              <w:rPr>
                <w:rFonts w:ascii="Times" w:hAnsi="Times"/>
              </w:rPr>
            </w:pPr>
            <w:r>
              <w:t>$36,764</w:t>
            </w:r>
          </w:p>
        </w:tc>
        <w:tc>
          <w:tcPr>
            <w:tcW w:w="706" w:type="pct"/>
          </w:tcPr>
          <w:p w14:paraId="78B9E941" w14:textId="77777777" w:rsidR="00432B96" w:rsidRPr="005E6CBC" w:rsidRDefault="30C3C8E9" w:rsidP="002E4F14">
            <w:pPr>
              <w:pStyle w:val="TableText0"/>
              <w:keepLines/>
              <w:jc w:val="center"/>
              <w:rPr>
                <w:rFonts w:ascii="Times" w:hAnsi="Times"/>
              </w:rPr>
            </w:pPr>
            <w:r>
              <w:t>$23,130</w:t>
            </w:r>
          </w:p>
        </w:tc>
        <w:tc>
          <w:tcPr>
            <w:tcW w:w="1023" w:type="pct"/>
          </w:tcPr>
          <w:p w14:paraId="0F366584"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34E13905"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6E5953A3" w14:textId="77777777" w:rsidTr="57626B43">
        <w:tc>
          <w:tcPr>
            <w:tcW w:w="1019" w:type="pct"/>
            <w:vAlign w:val="center"/>
          </w:tcPr>
          <w:p w14:paraId="42B522DF" w14:textId="77777777" w:rsidR="00432B96" w:rsidRPr="00E2771E" w:rsidRDefault="30C3C8E9" w:rsidP="002E4F14">
            <w:pPr>
              <w:pStyle w:val="TableText0"/>
              <w:keepLines/>
              <w:rPr>
                <w:rFonts w:ascii="Times" w:hAnsi="Times"/>
              </w:rPr>
            </w:pPr>
            <w:r>
              <w:t>LYG</w:t>
            </w:r>
          </w:p>
        </w:tc>
        <w:tc>
          <w:tcPr>
            <w:tcW w:w="708" w:type="pct"/>
          </w:tcPr>
          <w:p w14:paraId="3A07ABD0" w14:textId="77777777" w:rsidR="00432B96" w:rsidRPr="005E6CBC" w:rsidRDefault="30C3C8E9" w:rsidP="002E4F14">
            <w:pPr>
              <w:pStyle w:val="TableText0"/>
              <w:keepLines/>
              <w:jc w:val="center"/>
              <w:rPr>
                <w:rFonts w:ascii="Times" w:hAnsi="Times"/>
              </w:rPr>
            </w:pPr>
            <w:r>
              <w:t>2.60</w:t>
            </w:r>
          </w:p>
        </w:tc>
        <w:tc>
          <w:tcPr>
            <w:tcW w:w="708" w:type="pct"/>
          </w:tcPr>
          <w:p w14:paraId="53572C7E" w14:textId="77777777" w:rsidR="00432B96" w:rsidRPr="005E6CBC" w:rsidRDefault="30C3C8E9" w:rsidP="002E4F14">
            <w:pPr>
              <w:pStyle w:val="TableText0"/>
              <w:keepLines/>
              <w:jc w:val="center"/>
              <w:rPr>
                <w:rFonts w:ascii="Times" w:hAnsi="Times"/>
              </w:rPr>
            </w:pPr>
            <w:r>
              <w:t>2.25</w:t>
            </w:r>
          </w:p>
        </w:tc>
        <w:tc>
          <w:tcPr>
            <w:tcW w:w="706" w:type="pct"/>
          </w:tcPr>
          <w:p w14:paraId="5252C71F" w14:textId="77777777" w:rsidR="00432B96" w:rsidRPr="005E6CBC" w:rsidRDefault="30C3C8E9" w:rsidP="002E4F14">
            <w:pPr>
              <w:pStyle w:val="TableText0"/>
              <w:keepLines/>
              <w:jc w:val="center"/>
            </w:pPr>
            <w:r>
              <w:t>1.60</w:t>
            </w:r>
          </w:p>
        </w:tc>
        <w:tc>
          <w:tcPr>
            <w:tcW w:w="1023" w:type="pct"/>
          </w:tcPr>
          <w:p w14:paraId="4CADD8F0" w14:textId="77777777" w:rsidR="00432B96" w:rsidRDefault="30C3C8E9" w:rsidP="002E4F14">
            <w:pPr>
              <w:pStyle w:val="TableText0"/>
              <w:keepLines/>
              <w:jc w:val="center"/>
            </w:pPr>
            <w:r>
              <w:t>0.34</w:t>
            </w:r>
          </w:p>
        </w:tc>
        <w:tc>
          <w:tcPr>
            <w:tcW w:w="836" w:type="pct"/>
          </w:tcPr>
          <w:p w14:paraId="44683F83" w14:textId="77777777" w:rsidR="00432B96" w:rsidRDefault="30C3C8E9" w:rsidP="002E4F14">
            <w:pPr>
              <w:pStyle w:val="TableText0"/>
              <w:keepLines/>
              <w:jc w:val="center"/>
            </w:pPr>
            <w:r>
              <w:t>1.00</w:t>
            </w:r>
          </w:p>
        </w:tc>
      </w:tr>
      <w:tr w:rsidR="00432B96" w:rsidRPr="00E2771E" w14:paraId="231F3705" w14:textId="77777777" w:rsidTr="57626B43">
        <w:tc>
          <w:tcPr>
            <w:tcW w:w="3141" w:type="pct"/>
            <w:gridSpan w:val="4"/>
            <w:vAlign w:val="center"/>
          </w:tcPr>
          <w:p w14:paraId="73EA8641" w14:textId="77777777" w:rsidR="00432B96" w:rsidRPr="005E6CBC" w:rsidRDefault="30C3C8E9" w:rsidP="002E4F14">
            <w:pPr>
              <w:pStyle w:val="TableText0"/>
              <w:keepLines/>
              <w:rPr>
                <w:rFonts w:ascii="Times" w:hAnsi="Times"/>
              </w:rPr>
            </w:pPr>
            <w:r>
              <w:t>Incremental cost/extra LYG gained</w:t>
            </w:r>
          </w:p>
        </w:tc>
        <w:tc>
          <w:tcPr>
            <w:tcW w:w="1023" w:type="pct"/>
          </w:tcPr>
          <w:p w14:paraId="072D5724" w14:textId="77777777" w:rsidR="00432B96" w:rsidRPr="005E6CBC" w:rsidRDefault="008E6972" w:rsidP="002E4F14">
            <w:pPr>
              <w:pStyle w:val="TableText0"/>
              <w:keepLines/>
              <w:jc w:val="center"/>
            </w:pPr>
            <w:r>
              <w:rPr>
                <w:noProof/>
                <w:color w:val="000000"/>
                <w:highlight w:val="black"/>
              </w:rPr>
              <w:t>''''''''''''''''''''''</w:t>
            </w:r>
            <w:r w:rsidR="00621F65">
              <w:rPr>
                <w:vertAlign w:val="superscript"/>
              </w:rPr>
              <w:t>3</w:t>
            </w:r>
          </w:p>
        </w:tc>
        <w:tc>
          <w:tcPr>
            <w:tcW w:w="836" w:type="pct"/>
          </w:tcPr>
          <w:p w14:paraId="7174A65D" w14:textId="77777777" w:rsidR="00432B96" w:rsidRPr="005E6CBC" w:rsidRDefault="008E6972" w:rsidP="002E4F14">
            <w:pPr>
              <w:pStyle w:val="TableText0"/>
              <w:keepLines/>
              <w:jc w:val="center"/>
            </w:pPr>
            <w:r>
              <w:rPr>
                <w:noProof/>
                <w:color w:val="000000"/>
                <w:highlight w:val="black"/>
              </w:rPr>
              <w:t>'''''''''''''''''''''</w:t>
            </w:r>
            <w:r w:rsidR="00621F65">
              <w:rPr>
                <w:vertAlign w:val="superscript"/>
              </w:rPr>
              <w:t>5</w:t>
            </w:r>
          </w:p>
        </w:tc>
      </w:tr>
      <w:tr w:rsidR="00432B96" w:rsidRPr="00EE64D8" w14:paraId="1B54496E" w14:textId="77777777" w:rsidTr="57626B43">
        <w:tc>
          <w:tcPr>
            <w:tcW w:w="5000" w:type="pct"/>
            <w:gridSpan w:val="6"/>
            <w:vAlign w:val="center"/>
          </w:tcPr>
          <w:p w14:paraId="7F8E90C1" w14:textId="77777777" w:rsidR="00432B96" w:rsidRPr="005E6CBC" w:rsidRDefault="30C3C8E9" w:rsidP="002E4F14">
            <w:pPr>
              <w:pStyle w:val="In-tableHeading"/>
              <w:keepLines/>
            </w:pPr>
            <w:r>
              <w:t>Step 4: trial and Palladini et al. (2012) 6</w:t>
            </w:r>
            <w:r w:rsidR="00AD7284">
              <w:t xml:space="preserve"> </w:t>
            </w:r>
            <w:r>
              <w:t>month landmarked OS, time horizon extended to 25 years, discounting (5%) included</w:t>
            </w:r>
          </w:p>
        </w:tc>
      </w:tr>
      <w:tr w:rsidR="00432B96" w:rsidRPr="00E2771E" w14:paraId="0123251C" w14:textId="77777777" w:rsidTr="57626B43">
        <w:tc>
          <w:tcPr>
            <w:tcW w:w="1019" w:type="pct"/>
            <w:vAlign w:val="center"/>
          </w:tcPr>
          <w:p w14:paraId="0B91CA9E"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7316D813"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4E6C5872" w14:textId="77777777" w:rsidR="00432B96" w:rsidRPr="005E6CBC" w:rsidRDefault="30C3C8E9" w:rsidP="002E4F14">
            <w:pPr>
              <w:pStyle w:val="TableText0"/>
              <w:keepLines/>
              <w:jc w:val="center"/>
              <w:rPr>
                <w:rFonts w:ascii="Times" w:hAnsi="Times"/>
              </w:rPr>
            </w:pPr>
            <w:r>
              <w:t>$47,718</w:t>
            </w:r>
          </w:p>
        </w:tc>
        <w:tc>
          <w:tcPr>
            <w:tcW w:w="706" w:type="pct"/>
          </w:tcPr>
          <w:p w14:paraId="2D89FDE2" w14:textId="77777777" w:rsidR="00432B96" w:rsidRPr="005E6CBC" w:rsidRDefault="30C3C8E9" w:rsidP="002E4F14">
            <w:pPr>
              <w:pStyle w:val="TableText0"/>
              <w:keepLines/>
              <w:jc w:val="center"/>
              <w:rPr>
                <w:rFonts w:ascii="Times" w:hAnsi="Times"/>
              </w:rPr>
            </w:pPr>
            <w:r>
              <w:t>$29,871</w:t>
            </w:r>
          </w:p>
        </w:tc>
        <w:tc>
          <w:tcPr>
            <w:tcW w:w="1023" w:type="pct"/>
          </w:tcPr>
          <w:p w14:paraId="21DD933B"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4C6606E4"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6B018ECE" w14:textId="77777777" w:rsidTr="57626B43">
        <w:tc>
          <w:tcPr>
            <w:tcW w:w="1019" w:type="pct"/>
            <w:vAlign w:val="center"/>
          </w:tcPr>
          <w:p w14:paraId="3C535334" w14:textId="77777777" w:rsidR="00432B96" w:rsidRPr="00E2771E" w:rsidRDefault="30C3C8E9" w:rsidP="002E4F14">
            <w:pPr>
              <w:pStyle w:val="TableText0"/>
              <w:keepLines/>
              <w:rPr>
                <w:rFonts w:ascii="Times" w:hAnsi="Times"/>
              </w:rPr>
            </w:pPr>
            <w:r>
              <w:t>LYG</w:t>
            </w:r>
          </w:p>
        </w:tc>
        <w:tc>
          <w:tcPr>
            <w:tcW w:w="708" w:type="pct"/>
          </w:tcPr>
          <w:p w14:paraId="63ABB5ED" w14:textId="77777777" w:rsidR="00432B96" w:rsidRPr="005E6CBC" w:rsidRDefault="30C3C8E9" w:rsidP="002E4F14">
            <w:pPr>
              <w:pStyle w:val="TableText0"/>
              <w:keepLines/>
              <w:jc w:val="center"/>
              <w:rPr>
                <w:rFonts w:ascii="Times" w:hAnsi="Times"/>
              </w:rPr>
            </w:pPr>
            <w:r>
              <w:t>6.54</w:t>
            </w:r>
          </w:p>
        </w:tc>
        <w:tc>
          <w:tcPr>
            <w:tcW w:w="708" w:type="pct"/>
          </w:tcPr>
          <w:p w14:paraId="4D6F27B4" w14:textId="77777777" w:rsidR="00432B96" w:rsidRPr="005E6CBC" w:rsidRDefault="30C3C8E9" w:rsidP="002E4F14">
            <w:pPr>
              <w:pStyle w:val="TableText0"/>
              <w:keepLines/>
              <w:jc w:val="center"/>
              <w:rPr>
                <w:rFonts w:ascii="Times" w:hAnsi="Times"/>
              </w:rPr>
            </w:pPr>
            <w:r>
              <w:t>4.47</w:t>
            </w:r>
          </w:p>
        </w:tc>
        <w:tc>
          <w:tcPr>
            <w:tcW w:w="706" w:type="pct"/>
          </w:tcPr>
          <w:p w14:paraId="3C52FFBB" w14:textId="77777777" w:rsidR="00432B96" w:rsidRPr="005E6CBC" w:rsidRDefault="30C3C8E9" w:rsidP="002E4F14">
            <w:pPr>
              <w:pStyle w:val="TableText0"/>
              <w:keepLines/>
              <w:jc w:val="center"/>
            </w:pPr>
            <w:r>
              <w:t>2.23</w:t>
            </w:r>
          </w:p>
        </w:tc>
        <w:tc>
          <w:tcPr>
            <w:tcW w:w="1023" w:type="pct"/>
          </w:tcPr>
          <w:p w14:paraId="57296C85" w14:textId="77777777" w:rsidR="00432B96" w:rsidRDefault="30C3C8E9" w:rsidP="002E4F14">
            <w:pPr>
              <w:pStyle w:val="TableText0"/>
              <w:keepLines/>
              <w:jc w:val="center"/>
            </w:pPr>
            <w:r>
              <w:t>2.07</w:t>
            </w:r>
          </w:p>
        </w:tc>
        <w:tc>
          <w:tcPr>
            <w:tcW w:w="836" w:type="pct"/>
          </w:tcPr>
          <w:p w14:paraId="6B34FE02" w14:textId="77777777" w:rsidR="00432B96" w:rsidRDefault="30C3C8E9" w:rsidP="002E4F14">
            <w:pPr>
              <w:pStyle w:val="TableText0"/>
              <w:keepLines/>
              <w:jc w:val="center"/>
            </w:pPr>
            <w:r>
              <w:t>4.31</w:t>
            </w:r>
          </w:p>
        </w:tc>
      </w:tr>
      <w:tr w:rsidR="00432B96" w:rsidRPr="00E2771E" w14:paraId="45332999" w14:textId="77777777" w:rsidTr="57626B43">
        <w:tc>
          <w:tcPr>
            <w:tcW w:w="3141" w:type="pct"/>
            <w:gridSpan w:val="4"/>
            <w:vAlign w:val="center"/>
          </w:tcPr>
          <w:p w14:paraId="35D06D3F" w14:textId="77777777" w:rsidR="00432B96" w:rsidRPr="005E6CBC" w:rsidRDefault="30C3C8E9" w:rsidP="002E4F14">
            <w:pPr>
              <w:pStyle w:val="TableText0"/>
              <w:keepLines/>
              <w:rPr>
                <w:rFonts w:ascii="Times" w:hAnsi="Times"/>
              </w:rPr>
            </w:pPr>
            <w:r>
              <w:t>Incremental cost/extra LYG gained</w:t>
            </w:r>
          </w:p>
        </w:tc>
        <w:tc>
          <w:tcPr>
            <w:tcW w:w="1023" w:type="pct"/>
          </w:tcPr>
          <w:p w14:paraId="17FBDFD5" w14:textId="77777777" w:rsidR="00432B96" w:rsidRPr="005E6CBC" w:rsidRDefault="008E6972" w:rsidP="002E4F14">
            <w:pPr>
              <w:pStyle w:val="TableText0"/>
              <w:keepLines/>
              <w:jc w:val="center"/>
            </w:pPr>
            <w:r>
              <w:rPr>
                <w:noProof/>
                <w:color w:val="000000"/>
                <w:highlight w:val="black"/>
              </w:rPr>
              <w:t>''''''''''''''''''</w:t>
            </w:r>
            <w:r w:rsidR="005B74A0">
              <w:rPr>
                <w:vertAlign w:val="superscript"/>
              </w:rPr>
              <w:t>6</w:t>
            </w:r>
          </w:p>
        </w:tc>
        <w:tc>
          <w:tcPr>
            <w:tcW w:w="836" w:type="pct"/>
          </w:tcPr>
          <w:p w14:paraId="34C6AEF8" w14:textId="77777777" w:rsidR="00432B96" w:rsidRPr="005E6CBC" w:rsidRDefault="008E6972" w:rsidP="002E4F14">
            <w:pPr>
              <w:pStyle w:val="TableText0"/>
              <w:keepLines/>
              <w:jc w:val="center"/>
            </w:pPr>
            <w:r>
              <w:rPr>
                <w:noProof/>
                <w:color w:val="000000"/>
                <w:highlight w:val="black"/>
              </w:rPr>
              <w:t>''''''''''''''''''</w:t>
            </w:r>
            <w:r w:rsidR="005B74A0">
              <w:rPr>
                <w:vertAlign w:val="superscript"/>
              </w:rPr>
              <w:t>7</w:t>
            </w:r>
          </w:p>
        </w:tc>
      </w:tr>
      <w:tr w:rsidR="00432B96" w:rsidRPr="00EE64D8" w14:paraId="792D505C" w14:textId="77777777" w:rsidTr="57626B43">
        <w:tc>
          <w:tcPr>
            <w:tcW w:w="5000" w:type="pct"/>
            <w:gridSpan w:val="6"/>
            <w:vAlign w:val="center"/>
          </w:tcPr>
          <w:p w14:paraId="56CFB3B0" w14:textId="77777777" w:rsidR="00432B96" w:rsidRPr="005E6CBC" w:rsidRDefault="30C3C8E9" w:rsidP="002E4F14">
            <w:pPr>
              <w:pStyle w:val="In-tableHeading"/>
              <w:keepLines/>
            </w:pPr>
            <w:r>
              <w:t>Step 5: trial and Palladini et al. (2012) 6</w:t>
            </w:r>
            <w:r w:rsidR="00D34E44">
              <w:t xml:space="preserve"> </w:t>
            </w:r>
            <w:r>
              <w:t>month landmarked OS, time horizon extended to 25 years, discounting (5%) included, utility weights applied</w:t>
            </w:r>
          </w:p>
        </w:tc>
      </w:tr>
      <w:tr w:rsidR="00432B96" w:rsidRPr="00E2771E" w14:paraId="7FF3566F" w14:textId="77777777" w:rsidTr="57626B43">
        <w:tc>
          <w:tcPr>
            <w:tcW w:w="1019" w:type="pct"/>
            <w:vAlign w:val="center"/>
          </w:tcPr>
          <w:p w14:paraId="5A70C910" w14:textId="77777777" w:rsidR="00432B96" w:rsidRPr="00E2771E" w:rsidRDefault="30C3C8E9" w:rsidP="002E4F14">
            <w:pPr>
              <w:pStyle w:val="TableText0"/>
              <w:keepLines/>
              <w:rPr>
                <w:rFonts w:ascii="Times" w:hAnsi="Times"/>
              </w:rPr>
            </w:pPr>
            <w:r>
              <w:t>Costs</w:t>
            </w:r>
            <w:r w:rsidR="00AA2DB1">
              <w:t xml:space="preserve"> ($)</w:t>
            </w:r>
          </w:p>
        </w:tc>
        <w:tc>
          <w:tcPr>
            <w:tcW w:w="708" w:type="pct"/>
          </w:tcPr>
          <w:p w14:paraId="33DE5D87" w14:textId="77777777" w:rsidR="00432B96" w:rsidRPr="008E6972" w:rsidRDefault="008E6972" w:rsidP="002E4F14">
            <w:pPr>
              <w:pStyle w:val="TableText0"/>
              <w:keepLines/>
              <w:jc w:val="center"/>
              <w:rPr>
                <w:rFonts w:ascii="Times" w:hAnsi="Times"/>
                <w:highlight w:val="black"/>
              </w:rPr>
            </w:pPr>
            <w:r>
              <w:rPr>
                <w:noProof/>
                <w:color w:val="000000"/>
                <w:highlight w:val="black"/>
              </w:rPr>
              <w:t>''''''''''''''''''''''</w:t>
            </w:r>
          </w:p>
        </w:tc>
        <w:tc>
          <w:tcPr>
            <w:tcW w:w="708" w:type="pct"/>
          </w:tcPr>
          <w:p w14:paraId="74B6E167" w14:textId="77777777" w:rsidR="00432B96" w:rsidRPr="005E6CBC" w:rsidRDefault="30C3C8E9" w:rsidP="002E4F14">
            <w:pPr>
              <w:pStyle w:val="TableText0"/>
              <w:keepLines/>
              <w:jc w:val="center"/>
              <w:rPr>
                <w:rFonts w:ascii="Times" w:hAnsi="Times"/>
              </w:rPr>
            </w:pPr>
            <w:r>
              <w:t>$47,718</w:t>
            </w:r>
          </w:p>
        </w:tc>
        <w:tc>
          <w:tcPr>
            <w:tcW w:w="706" w:type="pct"/>
          </w:tcPr>
          <w:p w14:paraId="26F212B2" w14:textId="77777777" w:rsidR="00432B96" w:rsidRPr="005E6CBC" w:rsidRDefault="30C3C8E9" w:rsidP="002E4F14">
            <w:pPr>
              <w:pStyle w:val="TableText0"/>
              <w:keepLines/>
              <w:jc w:val="center"/>
              <w:rPr>
                <w:rFonts w:ascii="Times" w:hAnsi="Times"/>
              </w:rPr>
            </w:pPr>
            <w:r>
              <w:t>$29,871</w:t>
            </w:r>
          </w:p>
        </w:tc>
        <w:tc>
          <w:tcPr>
            <w:tcW w:w="1023" w:type="pct"/>
          </w:tcPr>
          <w:p w14:paraId="2FC40E42" w14:textId="77777777" w:rsidR="00432B96" w:rsidRPr="008E6972" w:rsidRDefault="008E6972" w:rsidP="002E4F14">
            <w:pPr>
              <w:pStyle w:val="TableText0"/>
              <w:keepLines/>
              <w:jc w:val="center"/>
              <w:rPr>
                <w:highlight w:val="black"/>
              </w:rPr>
            </w:pPr>
            <w:r>
              <w:rPr>
                <w:noProof/>
                <w:color w:val="000000"/>
                <w:highlight w:val="black"/>
              </w:rPr>
              <w:t>'''''''''''''''''''''</w:t>
            </w:r>
          </w:p>
        </w:tc>
        <w:tc>
          <w:tcPr>
            <w:tcW w:w="836" w:type="pct"/>
          </w:tcPr>
          <w:p w14:paraId="0F63BA6B" w14:textId="77777777" w:rsidR="00432B96" w:rsidRPr="008E6972" w:rsidRDefault="008E6972" w:rsidP="002E4F14">
            <w:pPr>
              <w:pStyle w:val="TableText0"/>
              <w:keepLines/>
              <w:jc w:val="center"/>
              <w:rPr>
                <w:highlight w:val="black"/>
              </w:rPr>
            </w:pPr>
            <w:r>
              <w:rPr>
                <w:noProof/>
                <w:color w:val="000000"/>
                <w:highlight w:val="black"/>
              </w:rPr>
              <w:t>'''''''''''''''''''''</w:t>
            </w:r>
          </w:p>
        </w:tc>
      </w:tr>
      <w:tr w:rsidR="00432B96" w:rsidRPr="00E2771E" w14:paraId="16FC8B38" w14:textId="77777777" w:rsidTr="57626B43">
        <w:tc>
          <w:tcPr>
            <w:tcW w:w="1019" w:type="pct"/>
            <w:vAlign w:val="center"/>
          </w:tcPr>
          <w:p w14:paraId="3547F00A" w14:textId="77777777" w:rsidR="00432B96" w:rsidRPr="00E2771E" w:rsidRDefault="30C3C8E9" w:rsidP="002E4F14">
            <w:pPr>
              <w:pStyle w:val="TableText0"/>
              <w:keepLines/>
              <w:rPr>
                <w:rFonts w:ascii="Times" w:hAnsi="Times"/>
              </w:rPr>
            </w:pPr>
            <w:r>
              <w:t>QALYs</w:t>
            </w:r>
          </w:p>
        </w:tc>
        <w:tc>
          <w:tcPr>
            <w:tcW w:w="708" w:type="pct"/>
          </w:tcPr>
          <w:p w14:paraId="23D07219" w14:textId="77777777" w:rsidR="00432B96" w:rsidRPr="005E6CBC" w:rsidRDefault="30C3C8E9" w:rsidP="002E4F14">
            <w:pPr>
              <w:pStyle w:val="TableText0"/>
              <w:keepLines/>
              <w:jc w:val="center"/>
              <w:rPr>
                <w:rFonts w:ascii="Times" w:hAnsi="Times"/>
              </w:rPr>
            </w:pPr>
            <w:r>
              <w:t>4.51</w:t>
            </w:r>
          </w:p>
        </w:tc>
        <w:tc>
          <w:tcPr>
            <w:tcW w:w="708" w:type="pct"/>
          </w:tcPr>
          <w:p w14:paraId="0EB5E0FB" w14:textId="77777777" w:rsidR="00432B96" w:rsidRPr="005E6CBC" w:rsidRDefault="30C3C8E9" w:rsidP="002E4F14">
            <w:pPr>
              <w:pStyle w:val="TableText0"/>
              <w:keepLines/>
              <w:jc w:val="center"/>
              <w:rPr>
                <w:rFonts w:ascii="Times" w:hAnsi="Times"/>
              </w:rPr>
            </w:pPr>
            <w:r>
              <w:t>2.82</w:t>
            </w:r>
          </w:p>
        </w:tc>
        <w:tc>
          <w:tcPr>
            <w:tcW w:w="706" w:type="pct"/>
          </w:tcPr>
          <w:p w14:paraId="7284C3FD" w14:textId="77777777" w:rsidR="00432B96" w:rsidRPr="005E6CBC" w:rsidRDefault="30C3C8E9" w:rsidP="002E4F14">
            <w:pPr>
              <w:pStyle w:val="TableText0"/>
              <w:keepLines/>
              <w:jc w:val="center"/>
            </w:pPr>
            <w:r>
              <w:t>1.33</w:t>
            </w:r>
          </w:p>
        </w:tc>
        <w:tc>
          <w:tcPr>
            <w:tcW w:w="1023" w:type="pct"/>
          </w:tcPr>
          <w:p w14:paraId="6A5FB3B3" w14:textId="77777777" w:rsidR="00432B96" w:rsidRDefault="30C3C8E9" w:rsidP="002E4F14">
            <w:pPr>
              <w:pStyle w:val="TableText0"/>
              <w:keepLines/>
              <w:jc w:val="center"/>
            </w:pPr>
            <w:r>
              <w:t>1.69</w:t>
            </w:r>
          </w:p>
        </w:tc>
        <w:tc>
          <w:tcPr>
            <w:tcW w:w="836" w:type="pct"/>
          </w:tcPr>
          <w:p w14:paraId="747DBE5A" w14:textId="77777777" w:rsidR="00432B96" w:rsidRDefault="30C3C8E9" w:rsidP="002E4F14">
            <w:pPr>
              <w:pStyle w:val="TableText0"/>
              <w:keepLines/>
              <w:jc w:val="center"/>
            </w:pPr>
            <w:r>
              <w:t>3.18</w:t>
            </w:r>
          </w:p>
        </w:tc>
      </w:tr>
      <w:tr w:rsidR="00432B96" w:rsidRPr="0017537B" w14:paraId="43417894" w14:textId="77777777" w:rsidTr="57626B43">
        <w:tc>
          <w:tcPr>
            <w:tcW w:w="3141" w:type="pct"/>
            <w:gridSpan w:val="4"/>
            <w:vAlign w:val="center"/>
          </w:tcPr>
          <w:p w14:paraId="71759505" w14:textId="77777777" w:rsidR="00432B96" w:rsidRPr="000653B5" w:rsidRDefault="30C3C8E9" w:rsidP="002E4F14">
            <w:pPr>
              <w:pStyle w:val="TableText0"/>
              <w:keepLines/>
              <w:rPr>
                <w:rFonts w:ascii="Times" w:hAnsi="Times"/>
                <w:b/>
              </w:rPr>
            </w:pPr>
            <w:r w:rsidRPr="57626B43">
              <w:rPr>
                <w:b/>
              </w:rPr>
              <w:t>Incremental cost/extra QALY gained (base case)</w:t>
            </w:r>
          </w:p>
        </w:tc>
        <w:tc>
          <w:tcPr>
            <w:tcW w:w="1023" w:type="pct"/>
          </w:tcPr>
          <w:p w14:paraId="46E2CB11" w14:textId="77777777" w:rsidR="00432B96" w:rsidRPr="00024DAD" w:rsidRDefault="008E6972" w:rsidP="002E4F14">
            <w:pPr>
              <w:pStyle w:val="TableText0"/>
              <w:keepLines/>
              <w:jc w:val="center"/>
              <w:rPr>
                <w:b/>
              </w:rPr>
            </w:pPr>
            <w:r>
              <w:rPr>
                <w:b/>
                <w:noProof/>
                <w:color w:val="000000"/>
                <w:highlight w:val="black"/>
              </w:rPr>
              <w:t>''''''''''''''''</w:t>
            </w:r>
            <w:r w:rsidR="00621F65">
              <w:rPr>
                <w:vertAlign w:val="superscript"/>
              </w:rPr>
              <w:t>1</w:t>
            </w:r>
          </w:p>
        </w:tc>
        <w:tc>
          <w:tcPr>
            <w:tcW w:w="836" w:type="pct"/>
          </w:tcPr>
          <w:p w14:paraId="05951489" w14:textId="77777777" w:rsidR="00432B96" w:rsidRPr="00024DAD" w:rsidRDefault="008E6972" w:rsidP="002E4F14">
            <w:pPr>
              <w:pStyle w:val="TableText0"/>
              <w:keepLines/>
              <w:jc w:val="center"/>
              <w:rPr>
                <w:b/>
              </w:rPr>
            </w:pPr>
            <w:r>
              <w:rPr>
                <w:b/>
                <w:noProof/>
                <w:color w:val="000000"/>
                <w:highlight w:val="black"/>
              </w:rPr>
              <w:t>''''''''''''''''</w:t>
            </w:r>
            <w:r w:rsidR="005B74A0">
              <w:rPr>
                <w:vertAlign w:val="superscript"/>
              </w:rPr>
              <w:t>8</w:t>
            </w:r>
          </w:p>
        </w:tc>
      </w:tr>
    </w:tbl>
    <w:p w14:paraId="41BB9112" w14:textId="77777777" w:rsidR="00432B96" w:rsidRDefault="30C3C8E9" w:rsidP="002E4F14">
      <w:pPr>
        <w:pStyle w:val="TableFigureFooter"/>
        <w:keepNext/>
        <w:keepLines/>
      </w:pPr>
      <w:r>
        <w:t>Source: Table 3.22, Table 3.23 and Table 3.34, p.275-277 of the submission.</w:t>
      </w:r>
    </w:p>
    <w:p w14:paraId="53B92812" w14:textId="77777777" w:rsidR="00432B96" w:rsidRDefault="30C3C8E9" w:rsidP="002E4F14">
      <w:pPr>
        <w:pStyle w:val="TableFigureFooter"/>
        <w:keepNext/>
        <w:keepLines/>
      </w:pPr>
      <w:r>
        <w:t>CyBorD = cyclophosphamide, bortezomib and dexamethasone; Dara = daratumumab subcutaneous; MDex = melphalan and dexamethasone; LYG = life year gained; OS = overall survival; QALY = quality adjusted life year; vs. = versus.</w:t>
      </w:r>
    </w:p>
    <w:p w14:paraId="01430DCA" w14:textId="77777777" w:rsidR="00AA2DB1" w:rsidRPr="005B74A0" w:rsidRDefault="00AA2DB1" w:rsidP="002E4F14">
      <w:pPr>
        <w:pStyle w:val="TableFigureFooter"/>
        <w:keepNext/>
        <w:keepLines/>
        <w:rPr>
          <w:i/>
        </w:rPr>
      </w:pPr>
      <w:r w:rsidRPr="005B74A0">
        <w:rPr>
          <w:i/>
        </w:rPr>
        <w:t>The redacted values correspond to the following ranges:</w:t>
      </w:r>
    </w:p>
    <w:p w14:paraId="0474AA4B" w14:textId="77777777" w:rsidR="00AA2DB1" w:rsidRPr="005B74A0" w:rsidRDefault="00AA2DB1" w:rsidP="002E4F14">
      <w:pPr>
        <w:pStyle w:val="TableFigureFooter"/>
        <w:keepNext/>
        <w:keepLines/>
        <w:rPr>
          <w:i/>
        </w:rPr>
      </w:pPr>
      <w:r w:rsidRPr="005B74A0">
        <w:rPr>
          <w:i/>
          <w:vertAlign w:val="superscript"/>
        </w:rPr>
        <w:t>1</w:t>
      </w:r>
      <w:r w:rsidRPr="005B74A0">
        <w:rPr>
          <w:i/>
        </w:rPr>
        <w:t xml:space="preserve"> </w:t>
      </w:r>
      <w:r w:rsidR="00FE225D" w:rsidRPr="005B74A0">
        <w:rPr>
          <w:i/>
        </w:rPr>
        <w:t>$55,000 to &lt; $75,000</w:t>
      </w:r>
    </w:p>
    <w:p w14:paraId="0AB5C3A9" w14:textId="77777777" w:rsidR="00621F65" w:rsidRPr="005B74A0" w:rsidRDefault="00621F65" w:rsidP="002E4F14">
      <w:pPr>
        <w:pStyle w:val="TableFigureFooter"/>
        <w:keepNext/>
        <w:keepLines/>
        <w:rPr>
          <w:i/>
        </w:rPr>
      </w:pPr>
      <w:r w:rsidRPr="005B74A0">
        <w:rPr>
          <w:i/>
          <w:vertAlign w:val="superscript"/>
        </w:rPr>
        <w:t>2</w:t>
      </w:r>
      <w:r w:rsidRPr="005B74A0">
        <w:rPr>
          <w:i/>
        </w:rPr>
        <w:t xml:space="preserve"> &gt; $1,055,000</w:t>
      </w:r>
    </w:p>
    <w:p w14:paraId="7A1FE325" w14:textId="77777777" w:rsidR="00621F65" w:rsidRPr="005B74A0" w:rsidRDefault="00621F65" w:rsidP="002E4F14">
      <w:pPr>
        <w:pStyle w:val="TableFigureFooter"/>
        <w:keepNext/>
        <w:keepLines/>
        <w:rPr>
          <w:i/>
        </w:rPr>
      </w:pPr>
      <w:r w:rsidRPr="005B74A0">
        <w:rPr>
          <w:i/>
          <w:vertAlign w:val="superscript"/>
        </w:rPr>
        <w:t>3</w:t>
      </w:r>
      <w:r w:rsidRPr="005B74A0">
        <w:rPr>
          <w:i/>
        </w:rPr>
        <w:t xml:space="preserve"> $255,000 to &lt; $355,000</w:t>
      </w:r>
    </w:p>
    <w:p w14:paraId="3459FE94" w14:textId="77777777" w:rsidR="00621F65" w:rsidRPr="005B74A0" w:rsidRDefault="00621F65" w:rsidP="002E4F14">
      <w:pPr>
        <w:pStyle w:val="TableFigureFooter"/>
        <w:keepNext/>
        <w:keepLines/>
        <w:rPr>
          <w:i/>
        </w:rPr>
      </w:pPr>
      <w:r w:rsidRPr="005B74A0">
        <w:rPr>
          <w:i/>
          <w:vertAlign w:val="superscript"/>
        </w:rPr>
        <w:t>4</w:t>
      </w:r>
      <w:r w:rsidRPr="005B74A0">
        <w:rPr>
          <w:i/>
        </w:rPr>
        <w:t xml:space="preserve"> $95,000 to &lt; $115,000</w:t>
      </w:r>
    </w:p>
    <w:p w14:paraId="7B8854A5" w14:textId="77777777" w:rsidR="00621F65" w:rsidRPr="005B74A0" w:rsidRDefault="00621F65" w:rsidP="002E4F14">
      <w:pPr>
        <w:pStyle w:val="TableFigureFooter"/>
        <w:keepNext/>
        <w:keepLines/>
        <w:rPr>
          <w:i/>
        </w:rPr>
      </w:pPr>
      <w:r w:rsidRPr="005B74A0">
        <w:rPr>
          <w:i/>
          <w:vertAlign w:val="superscript"/>
        </w:rPr>
        <w:t>5</w:t>
      </w:r>
      <w:r w:rsidRPr="005B74A0">
        <w:rPr>
          <w:i/>
        </w:rPr>
        <w:t xml:space="preserve"> $115,000 to &lt; $135,000</w:t>
      </w:r>
    </w:p>
    <w:p w14:paraId="382438D3" w14:textId="77777777" w:rsidR="00621F65" w:rsidRPr="005B74A0" w:rsidRDefault="00621F65" w:rsidP="002E4F14">
      <w:pPr>
        <w:pStyle w:val="TableFigureFooter"/>
        <w:keepNext/>
        <w:keepLines/>
        <w:rPr>
          <w:i/>
        </w:rPr>
      </w:pPr>
      <w:r w:rsidRPr="005B74A0">
        <w:rPr>
          <w:i/>
          <w:vertAlign w:val="superscript"/>
        </w:rPr>
        <w:t>6</w:t>
      </w:r>
      <w:r w:rsidRPr="005B74A0">
        <w:rPr>
          <w:i/>
        </w:rPr>
        <w:t xml:space="preserve"> </w:t>
      </w:r>
      <w:r w:rsidR="005B74A0" w:rsidRPr="005B74A0">
        <w:rPr>
          <w:i/>
        </w:rPr>
        <w:t>$45,000 to &lt; $55,000</w:t>
      </w:r>
    </w:p>
    <w:p w14:paraId="60A4CC4B" w14:textId="77777777" w:rsidR="005B74A0" w:rsidRPr="005B74A0" w:rsidRDefault="005B74A0" w:rsidP="002E4F14">
      <w:pPr>
        <w:pStyle w:val="TableFigureFooter"/>
        <w:keepNext/>
        <w:keepLines/>
        <w:rPr>
          <w:i/>
        </w:rPr>
      </w:pPr>
      <w:r w:rsidRPr="005B74A0">
        <w:rPr>
          <w:i/>
          <w:vertAlign w:val="superscript"/>
        </w:rPr>
        <w:t>7</w:t>
      </w:r>
      <w:r w:rsidRPr="005B74A0">
        <w:rPr>
          <w:i/>
        </w:rPr>
        <w:t xml:space="preserve"> $25,000 to &lt; $35,000</w:t>
      </w:r>
    </w:p>
    <w:p w14:paraId="2D3E4AB0" w14:textId="77777777" w:rsidR="005B74A0" w:rsidRPr="005B74A0" w:rsidRDefault="005B74A0" w:rsidP="002E4F14">
      <w:pPr>
        <w:pStyle w:val="TableFigureFooter"/>
        <w:keepNext/>
        <w:keepLines/>
        <w:rPr>
          <w:i/>
        </w:rPr>
      </w:pPr>
      <w:r w:rsidRPr="005B74A0">
        <w:rPr>
          <w:i/>
          <w:vertAlign w:val="superscript"/>
        </w:rPr>
        <w:t>8</w:t>
      </w:r>
      <w:r w:rsidRPr="005B74A0">
        <w:rPr>
          <w:i/>
        </w:rPr>
        <w:t xml:space="preserve"> $35,000 to &lt; $45,000</w:t>
      </w:r>
    </w:p>
    <w:p w14:paraId="49C41BED" w14:textId="77777777" w:rsidR="00432B96" w:rsidRDefault="30C3C8E9" w:rsidP="00432B96">
      <w:pPr>
        <w:pStyle w:val="3-BodyText"/>
      </w:pPr>
      <w:r>
        <w:t xml:space="preserve">The results of key univariate / multivariate sensitivity analyses are summarised below. </w:t>
      </w:r>
    </w:p>
    <w:p w14:paraId="037032B6" w14:textId="77777777" w:rsidR="00924432" w:rsidRPr="00D23D11" w:rsidRDefault="00924432" w:rsidP="00E556E5">
      <w:pPr>
        <w:pStyle w:val="3-BodyText"/>
        <w:numPr>
          <w:ilvl w:val="0"/>
          <w:numId w:val="0"/>
        </w:numPr>
        <w:ind w:left="720"/>
      </w:pPr>
    </w:p>
    <w:p w14:paraId="02561AE8" w14:textId="77777777" w:rsidR="00432B96" w:rsidRDefault="00F66D3D" w:rsidP="001924C7">
      <w:pPr>
        <w:pStyle w:val="Caption"/>
      </w:pPr>
      <w:r>
        <w:lastRenderedPageBreak/>
        <w:t xml:space="preserve">Table </w:t>
      </w:r>
      <w:r w:rsidR="008A0743">
        <w:rPr>
          <w:noProof/>
        </w:rPr>
        <w:t>1</w:t>
      </w:r>
      <w:r w:rsidR="00D772F5">
        <w:rPr>
          <w:noProof/>
        </w:rPr>
        <w:t>8</w:t>
      </w:r>
      <w:r w:rsidR="30C3C8E9" w:rsidRPr="57626B43">
        <w:rPr>
          <w:rStyle w:val="CommentReference"/>
          <w:b/>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Sensitivity analyses"/>
      </w:tblPr>
      <w:tblGrid>
        <w:gridCol w:w="2405"/>
        <w:gridCol w:w="990"/>
        <w:gridCol w:w="707"/>
        <w:gridCol w:w="992"/>
        <w:gridCol w:w="711"/>
        <w:gridCol w:w="992"/>
        <w:gridCol w:w="709"/>
        <w:gridCol w:w="851"/>
        <w:gridCol w:w="660"/>
      </w:tblGrid>
      <w:tr w:rsidR="00432B96" w:rsidRPr="002A770B" w14:paraId="328A6749" w14:textId="77777777" w:rsidTr="57626B43">
        <w:trPr>
          <w:tblHeader/>
        </w:trPr>
        <w:tc>
          <w:tcPr>
            <w:tcW w:w="1334" w:type="pct"/>
          </w:tcPr>
          <w:p w14:paraId="3C52DEE5" w14:textId="77777777" w:rsidR="00432B96" w:rsidRPr="002A770B" w:rsidRDefault="00432B96" w:rsidP="002A770B">
            <w:pPr>
              <w:pStyle w:val="In-tableHeading"/>
            </w:pPr>
          </w:p>
        </w:tc>
        <w:tc>
          <w:tcPr>
            <w:tcW w:w="1885" w:type="pct"/>
            <w:gridSpan w:val="4"/>
          </w:tcPr>
          <w:p w14:paraId="523DBBE7" w14:textId="77777777" w:rsidR="00432B96" w:rsidRPr="002A770B" w:rsidRDefault="30C3C8E9" w:rsidP="002A770B">
            <w:pPr>
              <w:pStyle w:val="In-tableHeading"/>
              <w:jc w:val="center"/>
            </w:pPr>
            <w:r w:rsidRPr="002A770B">
              <w:t>CyBorD</w:t>
            </w:r>
          </w:p>
        </w:tc>
        <w:tc>
          <w:tcPr>
            <w:tcW w:w="1781" w:type="pct"/>
            <w:gridSpan w:val="4"/>
          </w:tcPr>
          <w:p w14:paraId="255E6D0E" w14:textId="77777777" w:rsidR="00432B96" w:rsidRPr="002A770B" w:rsidRDefault="30C3C8E9" w:rsidP="002A770B">
            <w:pPr>
              <w:pStyle w:val="In-tableHeading"/>
              <w:jc w:val="center"/>
            </w:pPr>
            <w:r w:rsidRPr="002A770B">
              <w:t>MDex</w:t>
            </w:r>
          </w:p>
        </w:tc>
      </w:tr>
      <w:tr w:rsidR="00432B96" w:rsidRPr="002A770B" w14:paraId="52CE1175" w14:textId="77777777" w:rsidTr="57626B43">
        <w:trPr>
          <w:tblHeader/>
        </w:trPr>
        <w:tc>
          <w:tcPr>
            <w:tcW w:w="1334" w:type="pct"/>
          </w:tcPr>
          <w:p w14:paraId="02A93404" w14:textId="77777777" w:rsidR="00432B96" w:rsidRPr="002A770B" w:rsidRDefault="30C3C8E9" w:rsidP="002A770B">
            <w:pPr>
              <w:pStyle w:val="In-tableHeading"/>
              <w:widowControl w:val="0"/>
            </w:pPr>
            <w:r w:rsidRPr="002A770B">
              <w:t>Analyses (base case)</w:t>
            </w:r>
          </w:p>
        </w:tc>
        <w:tc>
          <w:tcPr>
            <w:tcW w:w="549" w:type="pct"/>
          </w:tcPr>
          <w:p w14:paraId="303D1E6C" w14:textId="77777777" w:rsidR="00432B96" w:rsidRPr="002A770B" w:rsidRDefault="30C3C8E9" w:rsidP="002A770B">
            <w:pPr>
              <w:pStyle w:val="In-tableHeading"/>
              <w:widowControl w:val="0"/>
              <w:jc w:val="center"/>
            </w:pPr>
            <w:r w:rsidRPr="002A770B">
              <w:t>Incr cost</w:t>
            </w:r>
            <w:r w:rsidR="00707429">
              <w:t xml:space="preserve"> ($)</w:t>
            </w:r>
          </w:p>
        </w:tc>
        <w:tc>
          <w:tcPr>
            <w:tcW w:w="392" w:type="pct"/>
          </w:tcPr>
          <w:p w14:paraId="33C4EC14" w14:textId="77777777" w:rsidR="00432B96" w:rsidRPr="002A770B" w:rsidRDefault="30C3C8E9" w:rsidP="002A770B">
            <w:pPr>
              <w:pStyle w:val="In-tableHeading"/>
              <w:widowControl w:val="0"/>
              <w:jc w:val="center"/>
            </w:pPr>
            <w:r w:rsidRPr="002A770B">
              <w:t>Incr QALY</w:t>
            </w:r>
          </w:p>
        </w:tc>
        <w:tc>
          <w:tcPr>
            <w:tcW w:w="550" w:type="pct"/>
          </w:tcPr>
          <w:p w14:paraId="24A199C1" w14:textId="77777777" w:rsidR="00432B96" w:rsidRPr="002A770B" w:rsidRDefault="30C3C8E9" w:rsidP="002A770B">
            <w:pPr>
              <w:pStyle w:val="In-tableHeading"/>
              <w:widowControl w:val="0"/>
              <w:jc w:val="center"/>
            </w:pPr>
            <w:r w:rsidRPr="002A770B">
              <w:t>ICER</w:t>
            </w:r>
          </w:p>
        </w:tc>
        <w:tc>
          <w:tcPr>
            <w:tcW w:w="394" w:type="pct"/>
          </w:tcPr>
          <w:p w14:paraId="66943676" w14:textId="77777777" w:rsidR="00432B96" w:rsidRPr="002A770B" w:rsidRDefault="30C3C8E9" w:rsidP="002A770B">
            <w:pPr>
              <w:pStyle w:val="In-tableHeading"/>
              <w:widowControl w:val="0"/>
              <w:jc w:val="center"/>
            </w:pPr>
            <w:r w:rsidRPr="002A770B">
              <w:t>%</w:t>
            </w:r>
          </w:p>
        </w:tc>
        <w:tc>
          <w:tcPr>
            <w:tcW w:w="550" w:type="pct"/>
          </w:tcPr>
          <w:p w14:paraId="5EFA334B" w14:textId="77777777" w:rsidR="00432B96" w:rsidRPr="002A770B" w:rsidRDefault="30C3C8E9" w:rsidP="002A770B">
            <w:pPr>
              <w:pStyle w:val="In-tableHeading"/>
              <w:widowControl w:val="0"/>
              <w:jc w:val="center"/>
            </w:pPr>
            <w:r w:rsidRPr="002A770B">
              <w:t>Incr cost</w:t>
            </w:r>
            <w:r w:rsidR="00707429">
              <w:t xml:space="preserve"> ($)</w:t>
            </w:r>
          </w:p>
        </w:tc>
        <w:tc>
          <w:tcPr>
            <w:tcW w:w="393" w:type="pct"/>
          </w:tcPr>
          <w:p w14:paraId="3F8EA9B3" w14:textId="77777777" w:rsidR="00432B96" w:rsidRPr="002A770B" w:rsidRDefault="30C3C8E9" w:rsidP="002A770B">
            <w:pPr>
              <w:pStyle w:val="In-tableHeading"/>
              <w:widowControl w:val="0"/>
              <w:jc w:val="center"/>
            </w:pPr>
            <w:r w:rsidRPr="002A770B">
              <w:t>Incr QALY</w:t>
            </w:r>
          </w:p>
        </w:tc>
        <w:tc>
          <w:tcPr>
            <w:tcW w:w="472" w:type="pct"/>
          </w:tcPr>
          <w:p w14:paraId="5F110F9E" w14:textId="77777777" w:rsidR="00432B96" w:rsidRPr="002A770B" w:rsidRDefault="30C3C8E9" w:rsidP="002A770B">
            <w:pPr>
              <w:pStyle w:val="In-tableHeading"/>
              <w:widowControl w:val="0"/>
              <w:jc w:val="center"/>
            </w:pPr>
            <w:r w:rsidRPr="002A770B">
              <w:t>ICER</w:t>
            </w:r>
          </w:p>
        </w:tc>
        <w:tc>
          <w:tcPr>
            <w:tcW w:w="366" w:type="pct"/>
          </w:tcPr>
          <w:p w14:paraId="2C910734" w14:textId="77777777" w:rsidR="00432B96" w:rsidRPr="002A770B" w:rsidRDefault="30C3C8E9" w:rsidP="002A770B">
            <w:pPr>
              <w:pStyle w:val="In-tableHeading"/>
              <w:widowControl w:val="0"/>
              <w:jc w:val="center"/>
            </w:pPr>
            <w:r w:rsidRPr="002A770B">
              <w:t>%</w:t>
            </w:r>
          </w:p>
        </w:tc>
      </w:tr>
      <w:tr w:rsidR="00432B96" w:rsidRPr="002A770B" w14:paraId="79E92BF5" w14:textId="77777777" w:rsidTr="57626B43">
        <w:tc>
          <w:tcPr>
            <w:tcW w:w="1334" w:type="pct"/>
          </w:tcPr>
          <w:p w14:paraId="46809EDA" w14:textId="77777777" w:rsidR="00432B96" w:rsidRPr="002A770B" w:rsidRDefault="30C3C8E9" w:rsidP="002A770B">
            <w:pPr>
              <w:pStyle w:val="TableText0"/>
              <w:widowControl w:val="0"/>
              <w:rPr>
                <w:b/>
              </w:rPr>
            </w:pPr>
            <w:r w:rsidRPr="002A770B">
              <w:rPr>
                <w:b/>
              </w:rPr>
              <w:t>Base case</w:t>
            </w:r>
          </w:p>
        </w:tc>
        <w:tc>
          <w:tcPr>
            <w:tcW w:w="549" w:type="pct"/>
          </w:tcPr>
          <w:p w14:paraId="4F5AF9DF" w14:textId="77777777" w:rsidR="00432B96" w:rsidRPr="008E6972" w:rsidRDefault="008E6972" w:rsidP="002A770B">
            <w:pPr>
              <w:pStyle w:val="TableText0"/>
              <w:widowControl w:val="0"/>
              <w:jc w:val="center"/>
              <w:rPr>
                <w:b/>
                <w:highlight w:val="black"/>
              </w:rPr>
            </w:pPr>
            <w:r>
              <w:rPr>
                <w:b/>
                <w:noProof/>
                <w:color w:val="000000"/>
                <w:highlight w:val="black"/>
              </w:rPr>
              <w:t>'''''''''''''''''</w:t>
            </w:r>
          </w:p>
        </w:tc>
        <w:tc>
          <w:tcPr>
            <w:tcW w:w="392" w:type="pct"/>
          </w:tcPr>
          <w:p w14:paraId="7030B055" w14:textId="77777777" w:rsidR="00432B96" w:rsidRPr="002A770B" w:rsidRDefault="30C3C8E9" w:rsidP="002A770B">
            <w:pPr>
              <w:pStyle w:val="TableText0"/>
              <w:widowControl w:val="0"/>
              <w:jc w:val="center"/>
              <w:rPr>
                <w:b/>
              </w:rPr>
            </w:pPr>
            <w:r w:rsidRPr="002A770B">
              <w:rPr>
                <w:b/>
              </w:rPr>
              <w:t>1.69</w:t>
            </w:r>
          </w:p>
        </w:tc>
        <w:tc>
          <w:tcPr>
            <w:tcW w:w="550" w:type="pct"/>
          </w:tcPr>
          <w:p w14:paraId="16E9A24B" w14:textId="77777777" w:rsidR="00432B96" w:rsidRPr="008E6972" w:rsidRDefault="008E6972" w:rsidP="002A770B">
            <w:pPr>
              <w:pStyle w:val="TableText0"/>
              <w:widowControl w:val="0"/>
              <w:jc w:val="center"/>
              <w:rPr>
                <w:b/>
              </w:rPr>
            </w:pPr>
            <w:r>
              <w:rPr>
                <w:b/>
                <w:noProof/>
                <w:color w:val="000000"/>
                <w:highlight w:val="black"/>
              </w:rPr>
              <w:t>''''''''''''''''</w:t>
            </w:r>
            <w:r w:rsidR="00B604CD">
              <w:rPr>
                <w:rFonts w:eastAsia="Calibri"/>
                <w:szCs w:val="18"/>
                <w:vertAlign w:val="superscript"/>
              </w:rPr>
              <w:t>2</w:t>
            </w:r>
          </w:p>
        </w:tc>
        <w:tc>
          <w:tcPr>
            <w:tcW w:w="394" w:type="pct"/>
          </w:tcPr>
          <w:p w14:paraId="1C03E300" w14:textId="77777777" w:rsidR="00432B96" w:rsidRPr="002A770B" w:rsidRDefault="30C3C8E9" w:rsidP="002A770B">
            <w:pPr>
              <w:pStyle w:val="TableText0"/>
              <w:widowControl w:val="0"/>
              <w:jc w:val="center"/>
              <w:rPr>
                <w:b/>
              </w:rPr>
            </w:pPr>
            <w:r w:rsidRPr="002A770B">
              <w:rPr>
                <w:b/>
              </w:rPr>
              <w:t>0</w:t>
            </w:r>
          </w:p>
        </w:tc>
        <w:tc>
          <w:tcPr>
            <w:tcW w:w="550" w:type="pct"/>
          </w:tcPr>
          <w:p w14:paraId="5C2842FA" w14:textId="77777777" w:rsidR="00432B96" w:rsidRPr="008E6972" w:rsidRDefault="008E6972" w:rsidP="002A770B">
            <w:pPr>
              <w:pStyle w:val="TableText0"/>
              <w:widowControl w:val="0"/>
              <w:jc w:val="center"/>
              <w:rPr>
                <w:b/>
                <w:highlight w:val="black"/>
              </w:rPr>
            </w:pPr>
            <w:r>
              <w:rPr>
                <w:b/>
                <w:noProof/>
                <w:color w:val="000000"/>
                <w:highlight w:val="black"/>
              </w:rPr>
              <w:t>''''''''''''''''''</w:t>
            </w:r>
          </w:p>
        </w:tc>
        <w:tc>
          <w:tcPr>
            <w:tcW w:w="393" w:type="pct"/>
          </w:tcPr>
          <w:p w14:paraId="0F9E51B5" w14:textId="77777777" w:rsidR="00432B96" w:rsidRPr="002A770B" w:rsidRDefault="30C3C8E9" w:rsidP="002A770B">
            <w:pPr>
              <w:pStyle w:val="TableText0"/>
              <w:widowControl w:val="0"/>
              <w:jc w:val="center"/>
              <w:rPr>
                <w:b/>
              </w:rPr>
            </w:pPr>
            <w:r w:rsidRPr="002A770B">
              <w:rPr>
                <w:b/>
              </w:rPr>
              <w:t>3.18</w:t>
            </w:r>
          </w:p>
        </w:tc>
        <w:tc>
          <w:tcPr>
            <w:tcW w:w="472" w:type="pct"/>
          </w:tcPr>
          <w:p w14:paraId="47B13AE9" w14:textId="77777777" w:rsidR="00432B96" w:rsidRPr="008E6972" w:rsidRDefault="008E6972" w:rsidP="002A770B">
            <w:pPr>
              <w:pStyle w:val="TableText0"/>
              <w:widowControl w:val="0"/>
              <w:jc w:val="center"/>
              <w:rPr>
                <w:b/>
              </w:rPr>
            </w:pPr>
            <w:r>
              <w:rPr>
                <w:b/>
                <w:noProof/>
                <w:color w:val="000000"/>
                <w:highlight w:val="black"/>
              </w:rPr>
              <w:t>''''''''''''''''</w:t>
            </w:r>
            <w:r w:rsidR="00F83562">
              <w:rPr>
                <w:rFonts w:eastAsia="Calibri"/>
                <w:szCs w:val="18"/>
                <w:vertAlign w:val="superscript"/>
              </w:rPr>
              <w:t>5</w:t>
            </w:r>
          </w:p>
        </w:tc>
        <w:tc>
          <w:tcPr>
            <w:tcW w:w="366" w:type="pct"/>
          </w:tcPr>
          <w:p w14:paraId="752DD249" w14:textId="77777777" w:rsidR="00432B96" w:rsidRPr="002A770B" w:rsidRDefault="30C3C8E9" w:rsidP="002A770B">
            <w:pPr>
              <w:pStyle w:val="TableText0"/>
              <w:widowControl w:val="0"/>
              <w:jc w:val="center"/>
              <w:rPr>
                <w:b/>
              </w:rPr>
            </w:pPr>
            <w:r w:rsidRPr="002A770B">
              <w:rPr>
                <w:b/>
              </w:rPr>
              <w:t>0</w:t>
            </w:r>
          </w:p>
        </w:tc>
      </w:tr>
      <w:tr w:rsidR="00432B96" w:rsidRPr="002A770B" w14:paraId="084D3E80" w14:textId="77777777" w:rsidTr="57626B43">
        <w:tc>
          <w:tcPr>
            <w:tcW w:w="1334" w:type="pct"/>
          </w:tcPr>
          <w:p w14:paraId="01485683" w14:textId="77777777" w:rsidR="00432B96" w:rsidRPr="002A770B" w:rsidRDefault="30C3C8E9" w:rsidP="00B50FBE">
            <w:pPr>
              <w:pStyle w:val="TableText0"/>
              <w:widowControl w:val="0"/>
            </w:pPr>
            <w:r w:rsidRPr="002A770B">
              <w:t>Dara SC cost (EFC)</w:t>
            </w:r>
            <w:r w:rsidRPr="002A770B">
              <w:rPr>
                <w:rFonts w:eastAsia="Calibri"/>
                <w:vertAlign w:val="superscript"/>
              </w:rPr>
              <w:t xml:space="preserve"> a</w:t>
            </w:r>
            <w:r w:rsidR="48F18B00" w:rsidRPr="002A770B">
              <w:rPr>
                <w:rFonts w:eastAsia="Calibri"/>
                <w:vertAlign w:val="superscript"/>
              </w:rPr>
              <w:t>, b</w:t>
            </w:r>
          </w:p>
          <w:p w14:paraId="4F2B807C" w14:textId="77777777" w:rsidR="00432B96" w:rsidRPr="002A770B" w:rsidRDefault="30C3C8E9" w:rsidP="0070637E">
            <w:pPr>
              <w:pStyle w:val="TableText0"/>
              <w:widowControl w:val="0"/>
              <w:numPr>
                <w:ilvl w:val="0"/>
                <w:numId w:val="4"/>
              </w:numPr>
              <w:ind w:left="340" w:hanging="227"/>
            </w:pPr>
            <w:r w:rsidRPr="002A770B">
              <w:t>HSD S</w:t>
            </w:r>
            <w:r w:rsidR="34FBC0E9" w:rsidRPr="002A770B">
              <w:t xml:space="preserve">ection </w:t>
            </w:r>
            <w:r w:rsidRPr="002A770B">
              <w:t>100</w:t>
            </w:r>
          </w:p>
        </w:tc>
        <w:tc>
          <w:tcPr>
            <w:tcW w:w="549" w:type="pct"/>
          </w:tcPr>
          <w:p w14:paraId="52ECE4EC" w14:textId="77777777" w:rsidR="00432B96" w:rsidRPr="008E6972" w:rsidRDefault="00432B96" w:rsidP="00B50FBE">
            <w:pPr>
              <w:pStyle w:val="TableText0"/>
              <w:widowControl w:val="0"/>
              <w:jc w:val="center"/>
            </w:pPr>
          </w:p>
          <w:p w14:paraId="651708CD"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3FB97CDC" w14:textId="77777777" w:rsidR="00432B96" w:rsidRPr="002A770B" w:rsidRDefault="00432B96" w:rsidP="00B50FBE">
            <w:pPr>
              <w:pStyle w:val="TableText0"/>
              <w:widowControl w:val="0"/>
              <w:jc w:val="center"/>
            </w:pPr>
          </w:p>
          <w:p w14:paraId="49F7DC56" w14:textId="77777777" w:rsidR="00432B96" w:rsidRPr="002A770B" w:rsidRDefault="30C3C8E9" w:rsidP="00B50FBE">
            <w:pPr>
              <w:pStyle w:val="TableText0"/>
              <w:widowControl w:val="0"/>
              <w:jc w:val="center"/>
            </w:pPr>
            <w:r w:rsidRPr="002A770B">
              <w:t>1.69</w:t>
            </w:r>
          </w:p>
        </w:tc>
        <w:tc>
          <w:tcPr>
            <w:tcW w:w="550" w:type="pct"/>
          </w:tcPr>
          <w:p w14:paraId="44CCB5F8" w14:textId="77777777" w:rsidR="00432B96" w:rsidRPr="008E6972" w:rsidRDefault="00432B96" w:rsidP="00B50FBE">
            <w:pPr>
              <w:pStyle w:val="TableText0"/>
              <w:widowControl w:val="0"/>
              <w:jc w:val="center"/>
            </w:pPr>
          </w:p>
          <w:p w14:paraId="7C6DC60E"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1A53F48F" w14:textId="77777777" w:rsidR="00432B96" w:rsidRPr="002A770B" w:rsidRDefault="00432B96" w:rsidP="00B50FBE">
            <w:pPr>
              <w:pStyle w:val="TableText0"/>
              <w:widowControl w:val="0"/>
              <w:jc w:val="center"/>
            </w:pPr>
          </w:p>
          <w:p w14:paraId="21D9D3F7" w14:textId="77777777" w:rsidR="00432B96" w:rsidRPr="002A770B" w:rsidRDefault="30C3C8E9" w:rsidP="00B50FBE">
            <w:pPr>
              <w:pStyle w:val="TableText0"/>
              <w:widowControl w:val="0"/>
              <w:jc w:val="center"/>
            </w:pPr>
            <w:r w:rsidRPr="002A770B">
              <w:t>-3.2%</w:t>
            </w:r>
          </w:p>
        </w:tc>
        <w:tc>
          <w:tcPr>
            <w:tcW w:w="550" w:type="pct"/>
          </w:tcPr>
          <w:p w14:paraId="3CA55F2E" w14:textId="77777777" w:rsidR="00432B96" w:rsidRPr="008E6972" w:rsidRDefault="00432B96" w:rsidP="00B50FBE">
            <w:pPr>
              <w:pStyle w:val="TableText0"/>
              <w:widowControl w:val="0"/>
              <w:jc w:val="center"/>
            </w:pPr>
          </w:p>
          <w:p w14:paraId="2F41473F"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76570610" w14:textId="77777777" w:rsidR="00432B96" w:rsidRPr="002A770B" w:rsidRDefault="00432B96" w:rsidP="00B50FBE">
            <w:pPr>
              <w:pStyle w:val="TableText0"/>
              <w:widowControl w:val="0"/>
              <w:jc w:val="center"/>
            </w:pPr>
          </w:p>
          <w:p w14:paraId="03908D46" w14:textId="77777777" w:rsidR="00432B96" w:rsidRPr="002A770B" w:rsidRDefault="30C3C8E9" w:rsidP="00B50FBE">
            <w:pPr>
              <w:pStyle w:val="TableText0"/>
              <w:widowControl w:val="0"/>
              <w:jc w:val="center"/>
            </w:pPr>
            <w:r w:rsidRPr="002A770B">
              <w:t>3.18</w:t>
            </w:r>
          </w:p>
        </w:tc>
        <w:tc>
          <w:tcPr>
            <w:tcW w:w="472" w:type="pct"/>
          </w:tcPr>
          <w:p w14:paraId="5B887AD6" w14:textId="77777777" w:rsidR="00432B96" w:rsidRPr="008E6972" w:rsidRDefault="00432B96" w:rsidP="00B50FBE">
            <w:pPr>
              <w:pStyle w:val="TableText0"/>
              <w:widowControl w:val="0"/>
              <w:jc w:val="center"/>
            </w:pPr>
          </w:p>
          <w:p w14:paraId="1DDD5DBA"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50617752" w14:textId="77777777" w:rsidR="00432B96" w:rsidRPr="002A770B" w:rsidRDefault="00432B96" w:rsidP="00B50FBE">
            <w:pPr>
              <w:pStyle w:val="TableText0"/>
              <w:widowControl w:val="0"/>
              <w:jc w:val="center"/>
            </w:pPr>
          </w:p>
          <w:p w14:paraId="462B5AF5" w14:textId="77777777" w:rsidR="00432B96" w:rsidRPr="002A770B" w:rsidRDefault="30C3C8E9" w:rsidP="00B50FBE">
            <w:pPr>
              <w:pStyle w:val="TableText0"/>
              <w:widowControl w:val="0"/>
              <w:jc w:val="center"/>
            </w:pPr>
            <w:r w:rsidRPr="002A770B">
              <w:t>-2.7%</w:t>
            </w:r>
          </w:p>
        </w:tc>
      </w:tr>
      <w:tr w:rsidR="00432B96" w:rsidRPr="002A770B" w14:paraId="1A7315C6" w14:textId="77777777" w:rsidTr="57626B43">
        <w:tc>
          <w:tcPr>
            <w:tcW w:w="1334" w:type="pct"/>
          </w:tcPr>
          <w:p w14:paraId="166371A5" w14:textId="77777777" w:rsidR="00432B96" w:rsidRPr="002A770B" w:rsidRDefault="30C3C8E9" w:rsidP="00B50FBE">
            <w:pPr>
              <w:pStyle w:val="TableText0"/>
              <w:widowControl w:val="0"/>
            </w:pPr>
            <w:r w:rsidRPr="002A770B">
              <w:t>Time horizon (25 years)</w:t>
            </w:r>
          </w:p>
          <w:p w14:paraId="000B82D0" w14:textId="77777777" w:rsidR="00432B96" w:rsidRPr="002A770B" w:rsidRDefault="30C3C8E9" w:rsidP="0070637E">
            <w:pPr>
              <w:pStyle w:val="TableText0"/>
              <w:widowControl w:val="0"/>
              <w:numPr>
                <w:ilvl w:val="0"/>
                <w:numId w:val="4"/>
              </w:numPr>
              <w:ind w:left="340" w:hanging="227"/>
            </w:pPr>
            <w:r w:rsidRPr="002A770B">
              <w:t>5 years</w:t>
            </w:r>
            <w:r w:rsidRPr="002A770B">
              <w:rPr>
                <w:rFonts w:eastAsia="Calibri"/>
                <w:vertAlign w:val="superscript"/>
              </w:rPr>
              <w:t xml:space="preserve"> a</w:t>
            </w:r>
          </w:p>
          <w:p w14:paraId="54A61E0F" w14:textId="77777777" w:rsidR="00432B96" w:rsidRPr="002A770B" w:rsidRDefault="30C3C8E9" w:rsidP="0070637E">
            <w:pPr>
              <w:pStyle w:val="TableText0"/>
              <w:widowControl w:val="0"/>
              <w:numPr>
                <w:ilvl w:val="0"/>
                <w:numId w:val="4"/>
              </w:numPr>
              <w:ind w:left="340" w:hanging="227"/>
            </w:pPr>
            <w:r w:rsidRPr="002A770B">
              <w:t>10 years</w:t>
            </w:r>
            <w:r w:rsidRPr="002A770B">
              <w:rPr>
                <w:rFonts w:eastAsia="Calibri"/>
                <w:vertAlign w:val="superscript"/>
              </w:rPr>
              <w:t xml:space="preserve"> a</w:t>
            </w:r>
          </w:p>
          <w:p w14:paraId="03DBFDA5" w14:textId="77777777" w:rsidR="00432B96" w:rsidRPr="002A770B" w:rsidRDefault="30C3C8E9" w:rsidP="0070637E">
            <w:pPr>
              <w:pStyle w:val="TableText0"/>
              <w:widowControl w:val="0"/>
              <w:numPr>
                <w:ilvl w:val="0"/>
                <w:numId w:val="4"/>
              </w:numPr>
              <w:ind w:left="340" w:hanging="227"/>
            </w:pPr>
            <w:r w:rsidRPr="002A770B">
              <w:t>15 years</w:t>
            </w:r>
            <w:r w:rsidRPr="002A770B">
              <w:rPr>
                <w:rFonts w:eastAsia="Calibri"/>
                <w:vertAlign w:val="superscript"/>
              </w:rPr>
              <w:t xml:space="preserve"> a</w:t>
            </w:r>
          </w:p>
          <w:p w14:paraId="299E5C0A" w14:textId="77777777" w:rsidR="00432B96" w:rsidRPr="002A770B" w:rsidRDefault="30C3C8E9" w:rsidP="0070637E">
            <w:pPr>
              <w:pStyle w:val="TableText0"/>
              <w:widowControl w:val="0"/>
              <w:numPr>
                <w:ilvl w:val="0"/>
                <w:numId w:val="4"/>
              </w:numPr>
              <w:ind w:left="340" w:hanging="227"/>
            </w:pPr>
            <w:r w:rsidRPr="002A770B">
              <w:t>20 years</w:t>
            </w:r>
          </w:p>
        </w:tc>
        <w:tc>
          <w:tcPr>
            <w:tcW w:w="549" w:type="pct"/>
          </w:tcPr>
          <w:p w14:paraId="3B3DAED8" w14:textId="77777777" w:rsidR="00432B96" w:rsidRPr="008E6972" w:rsidRDefault="00432B96" w:rsidP="00B50FBE">
            <w:pPr>
              <w:pStyle w:val="TableText0"/>
              <w:widowControl w:val="0"/>
              <w:jc w:val="center"/>
            </w:pPr>
          </w:p>
          <w:p w14:paraId="48696BAF" w14:textId="77777777" w:rsidR="00432B96" w:rsidRPr="008E6972" w:rsidRDefault="008E6972" w:rsidP="00B50FBE">
            <w:pPr>
              <w:pStyle w:val="TableText0"/>
              <w:widowControl w:val="0"/>
              <w:jc w:val="center"/>
              <w:rPr>
                <w:highlight w:val="black"/>
              </w:rPr>
            </w:pPr>
            <w:r>
              <w:rPr>
                <w:noProof/>
                <w:color w:val="000000"/>
                <w:highlight w:val="black"/>
              </w:rPr>
              <w:t>'''''''''''''''''''''</w:t>
            </w:r>
          </w:p>
          <w:p w14:paraId="0F5502E7" w14:textId="77777777" w:rsidR="00432B96" w:rsidRPr="008E6972" w:rsidRDefault="008E6972" w:rsidP="00B50FBE">
            <w:pPr>
              <w:pStyle w:val="TableText0"/>
              <w:widowControl w:val="0"/>
              <w:jc w:val="center"/>
              <w:rPr>
                <w:highlight w:val="black"/>
              </w:rPr>
            </w:pPr>
            <w:r>
              <w:rPr>
                <w:noProof/>
                <w:color w:val="000000"/>
                <w:highlight w:val="black"/>
              </w:rPr>
              <w:t>''''''''''''''''''''''</w:t>
            </w:r>
          </w:p>
          <w:p w14:paraId="4B5D01BA" w14:textId="77777777" w:rsidR="00432B96" w:rsidRPr="008E6972" w:rsidRDefault="008E6972" w:rsidP="00B50FBE">
            <w:pPr>
              <w:pStyle w:val="TableText0"/>
              <w:widowControl w:val="0"/>
              <w:jc w:val="center"/>
              <w:rPr>
                <w:highlight w:val="black"/>
              </w:rPr>
            </w:pPr>
            <w:r>
              <w:rPr>
                <w:noProof/>
                <w:color w:val="000000"/>
                <w:highlight w:val="black"/>
              </w:rPr>
              <w:t>''''''''''''''''''''''</w:t>
            </w:r>
          </w:p>
          <w:p w14:paraId="4A18240C"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1B2BB448" w14:textId="77777777" w:rsidR="00432B96" w:rsidRPr="002A770B" w:rsidRDefault="00432B96" w:rsidP="00B50FBE">
            <w:pPr>
              <w:pStyle w:val="TableText0"/>
              <w:widowControl w:val="0"/>
              <w:jc w:val="center"/>
            </w:pPr>
          </w:p>
          <w:p w14:paraId="76AFF26A" w14:textId="77777777" w:rsidR="00432B96" w:rsidRPr="002A770B" w:rsidRDefault="30C3C8E9" w:rsidP="00B50FBE">
            <w:pPr>
              <w:pStyle w:val="TableText0"/>
              <w:widowControl w:val="0"/>
              <w:jc w:val="center"/>
            </w:pPr>
            <w:r w:rsidRPr="002A770B">
              <w:t>0.56</w:t>
            </w:r>
          </w:p>
          <w:p w14:paraId="56F3B88E" w14:textId="77777777" w:rsidR="00432B96" w:rsidRPr="002A770B" w:rsidRDefault="30C3C8E9" w:rsidP="00B50FBE">
            <w:pPr>
              <w:pStyle w:val="TableText0"/>
              <w:widowControl w:val="0"/>
              <w:jc w:val="center"/>
            </w:pPr>
            <w:r w:rsidRPr="002A770B">
              <w:t>1.15</w:t>
            </w:r>
          </w:p>
          <w:p w14:paraId="5EFBF6BA" w14:textId="77777777" w:rsidR="00432B96" w:rsidRPr="002A770B" w:rsidRDefault="30C3C8E9" w:rsidP="00B50FBE">
            <w:pPr>
              <w:pStyle w:val="TableText0"/>
              <w:widowControl w:val="0"/>
              <w:jc w:val="center"/>
            </w:pPr>
            <w:r w:rsidRPr="002A770B">
              <w:t>1.49</w:t>
            </w:r>
          </w:p>
          <w:p w14:paraId="033520EE" w14:textId="77777777" w:rsidR="00432B96" w:rsidRPr="002A770B" w:rsidRDefault="30C3C8E9" w:rsidP="00B50FBE">
            <w:pPr>
              <w:pStyle w:val="TableText0"/>
              <w:widowControl w:val="0"/>
              <w:jc w:val="center"/>
            </w:pPr>
            <w:r w:rsidRPr="002A770B">
              <w:t>1.65</w:t>
            </w:r>
          </w:p>
        </w:tc>
        <w:tc>
          <w:tcPr>
            <w:tcW w:w="550" w:type="pct"/>
          </w:tcPr>
          <w:p w14:paraId="283CF865" w14:textId="77777777" w:rsidR="00432B96" w:rsidRPr="008E6972" w:rsidRDefault="00432B96" w:rsidP="00B50FBE">
            <w:pPr>
              <w:pStyle w:val="TableText0"/>
              <w:widowControl w:val="0"/>
              <w:jc w:val="center"/>
            </w:pPr>
          </w:p>
          <w:p w14:paraId="4611FB6F" w14:textId="77777777" w:rsidR="00432B96"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4</w:t>
            </w:r>
          </w:p>
          <w:p w14:paraId="26A5E13A" w14:textId="77777777" w:rsidR="00753204" w:rsidRDefault="008E6972" w:rsidP="00B50FBE">
            <w:pPr>
              <w:pStyle w:val="TableText0"/>
              <w:widowControl w:val="0"/>
              <w:jc w:val="center"/>
              <w:rPr>
                <w:rFonts w:eastAsia="Calibri"/>
                <w:szCs w:val="18"/>
                <w:vertAlign w:val="superscript"/>
              </w:rPr>
            </w:pPr>
            <w:r>
              <w:rPr>
                <w:noProof/>
                <w:color w:val="000000"/>
                <w:highlight w:val="black"/>
              </w:rPr>
              <w:t>'''''''''''''''''''</w:t>
            </w:r>
            <w:r w:rsidR="00D103CE">
              <w:rPr>
                <w:rFonts w:eastAsia="Calibri"/>
                <w:szCs w:val="18"/>
                <w:vertAlign w:val="superscript"/>
              </w:rPr>
              <w:t>3</w:t>
            </w:r>
          </w:p>
          <w:p w14:paraId="3AE79968" w14:textId="05E11316"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61F4FA94"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0E3DEAC4" w14:textId="77777777" w:rsidR="00432B96" w:rsidRPr="002A770B" w:rsidRDefault="00432B96" w:rsidP="00B50FBE">
            <w:pPr>
              <w:pStyle w:val="TableText0"/>
              <w:widowControl w:val="0"/>
              <w:jc w:val="center"/>
            </w:pPr>
          </w:p>
          <w:p w14:paraId="7864235D" w14:textId="77777777" w:rsidR="00432B96" w:rsidRPr="002A770B" w:rsidRDefault="30C3C8E9" w:rsidP="00B50FBE">
            <w:pPr>
              <w:pStyle w:val="TableText0"/>
              <w:widowControl w:val="0"/>
              <w:jc w:val="center"/>
            </w:pPr>
            <w:r w:rsidRPr="002A770B">
              <w:t>194.8%</w:t>
            </w:r>
          </w:p>
          <w:p w14:paraId="34AD8F89" w14:textId="77777777" w:rsidR="00432B96" w:rsidRPr="002A770B" w:rsidRDefault="30C3C8E9" w:rsidP="00B50FBE">
            <w:pPr>
              <w:pStyle w:val="TableText0"/>
              <w:widowControl w:val="0"/>
              <w:jc w:val="center"/>
            </w:pPr>
            <w:r w:rsidRPr="002A770B">
              <w:t>43.3%</w:t>
            </w:r>
          </w:p>
          <w:p w14:paraId="01685237" w14:textId="77777777" w:rsidR="00432B96" w:rsidRPr="002A770B" w:rsidRDefault="30C3C8E9" w:rsidP="00B50FBE">
            <w:pPr>
              <w:pStyle w:val="TableText0"/>
              <w:widowControl w:val="0"/>
              <w:jc w:val="center"/>
            </w:pPr>
            <w:r w:rsidRPr="002A770B">
              <w:t>11.4%</w:t>
            </w:r>
          </w:p>
          <w:p w14:paraId="1A26BA7C" w14:textId="77777777" w:rsidR="00432B96" w:rsidRPr="002A770B" w:rsidRDefault="30C3C8E9" w:rsidP="00B50FBE">
            <w:pPr>
              <w:pStyle w:val="TableText0"/>
              <w:widowControl w:val="0"/>
              <w:jc w:val="center"/>
            </w:pPr>
            <w:r w:rsidRPr="002A770B">
              <w:t>2.0%</w:t>
            </w:r>
          </w:p>
        </w:tc>
        <w:tc>
          <w:tcPr>
            <w:tcW w:w="550" w:type="pct"/>
          </w:tcPr>
          <w:p w14:paraId="5ACCEADB" w14:textId="77777777" w:rsidR="00432B96" w:rsidRPr="008E6972" w:rsidRDefault="00432B96" w:rsidP="00B50FBE">
            <w:pPr>
              <w:pStyle w:val="TableText0"/>
              <w:widowControl w:val="0"/>
              <w:jc w:val="center"/>
            </w:pPr>
          </w:p>
          <w:p w14:paraId="025AC7AA" w14:textId="77777777" w:rsidR="00432B96" w:rsidRPr="008E6972" w:rsidRDefault="008E6972" w:rsidP="00B50FBE">
            <w:pPr>
              <w:pStyle w:val="TableText0"/>
              <w:widowControl w:val="0"/>
              <w:jc w:val="center"/>
              <w:rPr>
                <w:highlight w:val="black"/>
              </w:rPr>
            </w:pPr>
            <w:r>
              <w:rPr>
                <w:noProof/>
                <w:color w:val="000000"/>
                <w:highlight w:val="black"/>
              </w:rPr>
              <w:t>''''''''''''''''''''''</w:t>
            </w:r>
          </w:p>
          <w:p w14:paraId="6FAA765C" w14:textId="77777777" w:rsidR="00432B96" w:rsidRPr="008E6972" w:rsidRDefault="008E6972" w:rsidP="00B50FBE">
            <w:pPr>
              <w:pStyle w:val="TableText0"/>
              <w:widowControl w:val="0"/>
              <w:jc w:val="center"/>
              <w:rPr>
                <w:highlight w:val="black"/>
              </w:rPr>
            </w:pPr>
            <w:r>
              <w:rPr>
                <w:noProof/>
                <w:color w:val="000000"/>
                <w:highlight w:val="black"/>
              </w:rPr>
              <w:t>'''''''''''''''''''''</w:t>
            </w:r>
          </w:p>
          <w:p w14:paraId="798B8AB3" w14:textId="77777777" w:rsidR="00432B96" w:rsidRPr="008E6972" w:rsidRDefault="008E6972" w:rsidP="00B50FBE">
            <w:pPr>
              <w:pStyle w:val="TableText0"/>
              <w:widowControl w:val="0"/>
              <w:jc w:val="center"/>
              <w:rPr>
                <w:highlight w:val="black"/>
              </w:rPr>
            </w:pPr>
            <w:r>
              <w:rPr>
                <w:noProof/>
                <w:color w:val="000000"/>
                <w:highlight w:val="black"/>
              </w:rPr>
              <w:t>''''''''''''''''''''</w:t>
            </w:r>
          </w:p>
          <w:p w14:paraId="7954FFB7"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4CE31813" w14:textId="77777777" w:rsidR="00432B96" w:rsidRPr="002A770B" w:rsidRDefault="00432B96" w:rsidP="00B50FBE">
            <w:pPr>
              <w:pStyle w:val="TableText0"/>
              <w:widowControl w:val="0"/>
              <w:jc w:val="center"/>
            </w:pPr>
          </w:p>
          <w:p w14:paraId="3F1F6FD6" w14:textId="77777777" w:rsidR="00432B96" w:rsidRPr="002A770B" w:rsidRDefault="30C3C8E9" w:rsidP="00B50FBE">
            <w:pPr>
              <w:pStyle w:val="TableText0"/>
              <w:widowControl w:val="0"/>
              <w:jc w:val="center"/>
            </w:pPr>
            <w:r w:rsidRPr="002A770B">
              <w:t>1.20</w:t>
            </w:r>
          </w:p>
          <w:p w14:paraId="341243E7" w14:textId="77777777" w:rsidR="00432B96" w:rsidRPr="002A770B" w:rsidRDefault="30C3C8E9" w:rsidP="00B50FBE">
            <w:pPr>
              <w:pStyle w:val="TableText0"/>
              <w:widowControl w:val="0"/>
              <w:jc w:val="center"/>
            </w:pPr>
            <w:r w:rsidRPr="002A770B">
              <w:t>2.28</w:t>
            </w:r>
          </w:p>
          <w:p w14:paraId="3BC3C29F" w14:textId="77777777" w:rsidR="00432B96" w:rsidRPr="002A770B" w:rsidRDefault="30C3C8E9" w:rsidP="00B50FBE">
            <w:pPr>
              <w:pStyle w:val="TableText0"/>
              <w:widowControl w:val="0"/>
              <w:jc w:val="center"/>
            </w:pPr>
            <w:r w:rsidRPr="002A770B">
              <w:t>2.86</w:t>
            </w:r>
          </w:p>
          <w:p w14:paraId="600E0F19" w14:textId="77777777" w:rsidR="00432B96" w:rsidRPr="002A770B" w:rsidRDefault="30C3C8E9" w:rsidP="00B50FBE">
            <w:pPr>
              <w:pStyle w:val="TableText0"/>
              <w:widowControl w:val="0"/>
              <w:jc w:val="center"/>
            </w:pPr>
            <w:r w:rsidRPr="002A770B">
              <w:t>3.11</w:t>
            </w:r>
          </w:p>
        </w:tc>
        <w:tc>
          <w:tcPr>
            <w:tcW w:w="472" w:type="pct"/>
          </w:tcPr>
          <w:p w14:paraId="16661AE9" w14:textId="77777777" w:rsidR="00432B96" w:rsidRPr="008E6972" w:rsidRDefault="00432B96" w:rsidP="00B50FBE">
            <w:pPr>
              <w:pStyle w:val="TableText0"/>
              <w:widowControl w:val="0"/>
              <w:jc w:val="center"/>
            </w:pPr>
          </w:p>
          <w:p w14:paraId="6623148A" w14:textId="77777777" w:rsidR="00432B96" w:rsidRPr="008E6972" w:rsidRDefault="008E6972" w:rsidP="00B50FBE">
            <w:pPr>
              <w:pStyle w:val="TableText0"/>
              <w:widowControl w:val="0"/>
              <w:jc w:val="center"/>
            </w:pPr>
            <w:r>
              <w:rPr>
                <w:noProof/>
                <w:color w:val="000000"/>
                <w:highlight w:val="black"/>
              </w:rPr>
              <w:t>''''''''''''''''''</w:t>
            </w:r>
            <w:r w:rsidR="00FF0463">
              <w:rPr>
                <w:rFonts w:eastAsia="Calibri"/>
                <w:szCs w:val="18"/>
                <w:vertAlign w:val="superscript"/>
              </w:rPr>
              <w:t>1</w:t>
            </w:r>
          </w:p>
          <w:p w14:paraId="6AD7DF4D" w14:textId="77777777" w:rsidR="00432B96" w:rsidRPr="008E6972" w:rsidRDefault="008E6972" w:rsidP="00B50FBE">
            <w:pPr>
              <w:pStyle w:val="TableText0"/>
              <w:widowControl w:val="0"/>
              <w:jc w:val="center"/>
            </w:pPr>
            <w:r>
              <w:rPr>
                <w:noProof/>
                <w:color w:val="000000"/>
                <w:highlight w:val="black"/>
              </w:rPr>
              <w:t>''''''''''''''''''</w:t>
            </w:r>
            <w:r w:rsidR="00FF0463">
              <w:rPr>
                <w:rFonts w:eastAsia="Calibri"/>
                <w:szCs w:val="18"/>
                <w:vertAlign w:val="superscript"/>
              </w:rPr>
              <w:t>8</w:t>
            </w:r>
          </w:p>
          <w:p w14:paraId="769E7FC3"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3998402B"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20E293DB" w14:textId="77777777" w:rsidR="00432B96" w:rsidRPr="002A770B" w:rsidRDefault="00432B96" w:rsidP="00B50FBE">
            <w:pPr>
              <w:pStyle w:val="TableText0"/>
              <w:widowControl w:val="0"/>
              <w:jc w:val="center"/>
            </w:pPr>
          </w:p>
          <w:p w14:paraId="2F4EF10E" w14:textId="77777777" w:rsidR="00432B96" w:rsidRPr="002A770B" w:rsidRDefault="30C3C8E9" w:rsidP="00B50FBE">
            <w:pPr>
              <w:pStyle w:val="TableText0"/>
              <w:widowControl w:val="0"/>
              <w:jc w:val="center"/>
            </w:pPr>
            <w:r w:rsidRPr="002A770B">
              <w:t>149.6%</w:t>
            </w:r>
          </w:p>
          <w:p w14:paraId="02827E48" w14:textId="77777777" w:rsidR="00432B96" w:rsidRPr="002A770B" w:rsidRDefault="30C3C8E9" w:rsidP="00B50FBE">
            <w:pPr>
              <w:pStyle w:val="TableText0"/>
              <w:widowControl w:val="0"/>
              <w:jc w:val="center"/>
            </w:pPr>
            <w:r w:rsidRPr="002A770B">
              <w:t>34.0%</w:t>
            </w:r>
          </w:p>
          <w:p w14:paraId="63333B9D" w14:textId="77777777" w:rsidR="00432B96" w:rsidRPr="002A770B" w:rsidRDefault="30C3C8E9" w:rsidP="00B50FBE">
            <w:pPr>
              <w:pStyle w:val="TableText0"/>
              <w:widowControl w:val="0"/>
              <w:jc w:val="center"/>
            </w:pPr>
            <w:r w:rsidRPr="002A770B">
              <w:t>8.6%</w:t>
            </w:r>
          </w:p>
          <w:p w14:paraId="3F82DD5D" w14:textId="77777777" w:rsidR="00432B96" w:rsidRPr="002A770B" w:rsidRDefault="30C3C8E9" w:rsidP="00B50FBE">
            <w:pPr>
              <w:pStyle w:val="TableText0"/>
              <w:widowControl w:val="0"/>
              <w:jc w:val="center"/>
            </w:pPr>
            <w:r w:rsidRPr="002A770B">
              <w:t>1.4%</w:t>
            </w:r>
          </w:p>
        </w:tc>
      </w:tr>
      <w:tr w:rsidR="00432B96" w:rsidRPr="002A770B" w14:paraId="204EE3EF" w14:textId="77777777" w:rsidTr="57626B43">
        <w:tc>
          <w:tcPr>
            <w:tcW w:w="1334" w:type="pct"/>
          </w:tcPr>
          <w:p w14:paraId="4C17105D" w14:textId="77777777" w:rsidR="00432B96" w:rsidRPr="002A770B" w:rsidRDefault="30C3C8E9" w:rsidP="00B50FBE">
            <w:pPr>
              <w:pStyle w:val="TableText0"/>
              <w:widowControl w:val="0"/>
            </w:pPr>
            <w:r w:rsidRPr="002A770B">
              <w:t>Time to subsequent therapy extrapolation (</w:t>
            </w:r>
            <w:r w:rsidR="00D71DEE" w:rsidRPr="002A770B">
              <w:t>Weibull</w:t>
            </w:r>
            <w:r w:rsidRPr="002A770B">
              <w:t>)</w:t>
            </w:r>
          </w:p>
          <w:p w14:paraId="2BDBABE9" w14:textId="77777777" w:rsidR="00432B96" w:rsidRPr="002A770B" w:rsidRDefault="30C3C8E9" w:rsidP="0070637E">
            <w:pPr>
              <w:pStyle w:val="TableText0"/>
              <w:widowControl w:val="0"/>
              <w:numPr>
                <w:ilvl w:val="0"/>
                <w:numId w:val="4"/>
              </w:numPr>
              <w:ind w:left="340" w:hanging="227"/>
            </w:pPr>
            <w:r w:rsidRPr="002A770B">
              <w:t>Exponential</w:t>
            </w:r>
          </w:p>
        </w:tc>
        <w:tc>
          <w:tcPr>
            <w:tcW w:w="549" w:type="pct"/>
          </w:tcPr>
          <w:p w14:paraId="255EC13E" w14:textId="77777777" w:rsidR="00432B96" w:rsidRPr="008E6972" w:rsidRDefault="00432B96" w:rsidP="00B50FBE">
            <w:pPr>
              <w:pStyle w:val="TableText0"/>
              <w:widowControl w:val="0"/>
              <w:jc w:val="center"/>
            </w:pPr>
          </w:p>
          <w:p w14:paraId="3F2838D2" w14:textId="77777777" w:rsidR="00432B96" w:rsidRPr="008E6972" w:rsidRDefault="00432B96" w:rsidP="00B50FBE">
            <w:pPr>
              <w:pStyle w:val="TableText0"/>
              <w:widowControl w:val="0"/>
              <w:jc w:val="center"/>
            </w:pPr>
          </w:p>
          <w:p w14:paraId="0518AD34"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1EB9605C" w14:textId="77777777" w:rsidR="00432B96" w:rsidRPr="002A770B" w:rsidRDefault="00432B96" w:rsidP="00B50FBE">
            <w:pPr>
              <w:pStyle w:val="TableText0"/>
              <w:widowControl w:val="0"/>
              <w:jc w:val="center"/>
            </w:pPr>
          </w:p>
          <w:p w14:paraId="48B2734D" w14:textId="77777777" w:rsidR="00432B96" w:rsidRPr="002A770B" w:rsidRDefault="00432B96" w:rsidP="00B50FBE">
            <w:pPr>
              <w:pStyle w:val="TableText0"/>
              <w:widowControl w:val="0"/>
              <w:jc w:val="center"/>
            </w:pPr>
          </w:p>
          <w:p w14:paraId="00FE2E90" w14:textId="77777777" w:rsidR="00432B96" w:rsidRPr="002A770B" w:rsidRDefault="30C3C8E9" w:rsidP="00B50FBE">
            <w:pPr>
              <w:pStyle w:val="TableText0"/>
              <w:widowControl w:val="0"/>
              <w:jc w:val="center"/>
            </w:pPr>
            <w:r w:rsidRPr="002A770B">
              <w:t xml:space="preserve">1.56 </w:t>
            </w:r>
          </w:p>
        </w:tc>
        <w:tc>
          <w:tcPr>
            <w:tcW w:w="550" w:type="pct"/>
          </w:tcPr>
          <w:p w14:paraId="324CF8C5" w14:textId="77777777" w:rsidR="00432B96" w:rsidRPr="008E6972" w:rsidRDefault="00432B96" w:rsidP="00B50FBE">
            <w:pPr>
              <w:pStyle w:val="TableText0"/>
              <w:widowControl w:val="0"/>
              <w:jc w:val="center"/>
            </w:pPr>
          </w:p>
          <w:p w14:paraId="4DF068B8" w14:textId="77777777" w:rsidR="00432B96" w:rsidRPr="008E6972" w:rsidRDefault="00432B96" w:rsidP="00B50FBE">
            <w:pPr>
              <w:pStyle w:val="TableText0"/>
              <w:widowControl w:val="0"/>
              <w:jc w:val="center"/>
            </w:pPr>
          </w:p>
          <w:p w14:paraId="1AEE474E"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42323F12" w14:textId="77777777" w:rsidR="00432B96" w:rsidRPr="002A770B" w:rsidRDefault="00432B96" w:rsidP="00B50FBE">
            <w:pPr>
              <w:pStyle w:val="TableText0"/>
              <w:widowControl w:val="0"/>
              <w:jc w:val="center"/>
            </w:pPr>
          </w:p>
          <w:p w14:paraId="1CAA772C" w14:textId="77777777" w:rsidR="00432B96" w:rsidRPr="002A770B" w:rsidRDefault="00432B96" w:rsidP="00B50FBE">
            <w:pPr>
              <w:pStyle w:val="TableText0"/>
              <w:widowControl w:val="0"/>
              <w:jc w:val="center"/>
            </w:pPr>
          </w:p>
          <w:p w14:paraId="52AAA076" w14:textId="77777777" w:rsidR="00432B96" w:rsidRPr="002A770B" w:rsidRDefault="30C3C8E9" w:rsidP="00B50FBE">
            <w:pPr>
              <w:pStyle w:val="TableText0"/>
              <w:widowControl w:val="0"/>
              <w:jc w:val="center"/>
            </w:pPr>
            <w:r w:rsidRPr="002A770B">
              <w:t>9.4%</w:t>
            </w:r>
          </w:p>
        </w:tc>
        <w:tc>
          <w:tcPr>
            <w:tcW w:w="550" w:type="pct"/>
          </w:tcPr>
          <w:p w14:paraId="76DAA1A9" w14:textId="77777777" w:rsidR="00432B96" w:rsidRPr="008E6972" w:rsidRDefault="00432B96" w:rsidP="00B50FBE">
            <w:pPr>
              <w:pStyle w:val="TableText0"/>
              <w:widowControl w:val="0"/>
              <w:jc w:val="center"/>
            </w:pPr>
          </w:p>
          <w:p w14:paraId="3C78C595" w14:textId="77777777" w:rsidR="00432B96" w:rsidRPr="008E6972" w:rsidRDefault="00432B96" w:rsidP="00B50FBE">
            <w:pPr>
              <w:pStyle w:val="TableText0"/>
              <w:widowControl w:val="0"/>
              <w:jc w:val="center"/>
            </w:pPr>
          </w:p>
          <w:p w14:paraId="0040C245"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4F697C13" w14:textId="77777777" w:rsidR="00432B96" w:rsidRPr="002A770B" w:rsidRDefault="00432B96" w:rsidP="00B50FBE">
            <w:pPr>
              <w:pStyle w:val="TableText0"/>
              <w:widowControl w:val="0"/>
              <w:jc w:val="center"/>
            </w:pPr>
          </w:p>
          <w:p w14:paraId="1CC9C8C9" w14:textId="77777777" w:rsidR="00432B96" w:rsidRPr="002A770B" w:rsidRDefault="00432B96" w:rsidP="00B50FBE">
            <w:pPr>
              <w:pStyle w:val="TableText0"/>
              <w:widowControl w:val="0"/>
              <w:jc w:val="center"/>
            </w:pPr>
          </w:p>
          <w:p w14:paraId="04288DC1" w14:textId="77777777" w:rsidR="00432B96" w:rsidRPr="002A770B" w:rsidRDefault="30C3C8E9" w:rsidP="00B50FBE">
            <w:pPr>
              <w:pStyle w:val="TableText0"/>
              <w:widowControl w:val="0"/>
              <w:jc w:val="center"/>
            </w:pPr>
            <w:r w:rsidRPr="002A770B">
              <w:t xml:space="preserve">3.05 </w:t>
            </w:r>
          </w:p>
        </w:tc>
        <w:tc>
          <w:tcPr>
            <w:tcW w:w="472" w:type="pct"/>
          </w:tcPr>
          <w:p w14:paraId="22D2EA93" w14:textId="77777777" w:rsidR="00432B96" w:rsidRPr="008E6972" w:rsidRDefault="00432B96" w:rsidP="00B50FBE">
            <w:pPr>
              <w:pStyle w:val="TableText0"/>
              <w:widowControl w:val="0"/>
              <w:jc w:val="center"/>
            </w:pPr>
          </w:p>
          <w:p w14:paraId="107DCB7E" w14:textId="77777777" w:rsidR="00432B96" w:rsidRPr="008E6972" w:rsidRDefault="00432B96" w:rsidP="00B50FBE">
            <w:pPr>
              <w:pStyle w:val="TableText0"/>
              <w:widowControl w:val="0"/>
              <w:jc w:val="center"/>
            </w:pPr>
          </w:p>
          <w:p w14:paraId="44F45C31" w14:textId="77777777" w:rsidR="00432B96" w:rsidRPr="008E6972" w:rsidRDefault="008E6972" w:rsidP="00D103C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6D819F36" w14:textId="77777777" w:rsidR="00432B96" w:rsidRPr="002A770B" w:rsidRDefault="00432B96" w:rsidP="00B50FBE">
            <w:pPr>
              <w:pStyle w:val="TableText0"/>
              <w:widowControl w:val="0"/>
              <w:jc w:val="center"/>
            </w:pPr>
          </w:p>
          <w:p w14:paraId="20C5CB89" w14:textId="77777777" w:rsidR="00432B96" w:rsidRPr="002A770B" w:rsidRDefault="00432B96" w:rsidP="00B50FBE">
            <w:pPr>
              <w:pStyle w:val="TableText0"/>
              <w:widowControl w:val="0"/>
              <w:jc w:val="center"/>
            </w:pPr>
          </w:p>
          <w:p w14:paraId="5F1E166B" w14:textId="77777777" w:rsidR="00432B96" w:rsidRPr="002A770B" w:rsidRDefault="30C3C8E9" w:rsidP="00B50FBE">
            <w:pPr>
              <w:pStyle w:val="TableText0"/>
              <w:widowControl w:val="0"/>
              <w:jc w:val="center"/>
            </w:pPr>
            <w:r w:rsidRPr="002A770B">
              <w:t>5.1%</w:t>
            </w:r>
          </w:p>
        </w:tc>
      </w:tr>
      <w:tr w:rsidR="00432B96" w:rsidRPr="002A770B" w14:paraId="5985FB9E" w14:textId="77777777" w:rsidTr="57626B43">
        <w:tc>
          <w:tcPr>
            <w:tcW w:w="1334" w:type="pct"/>
          </w:tcPr>
          <w:p w14:paraId="0D8B123B" w14:textId="77777777" w:rsidR="00432B96" w:rsidRPr="002A770B" w:rsidRDefault="30C3C8E9" w:rsidP="00B50FBE">
            <w:pPr>
              <w:pStyle w:val="TableText0"/>
              <w:widowControl w:val="0"/>
              <w:rPr>
                <w:vertAlign w:val="superscript"/>
              </w:rPr>
            </w:pPr>
            <w:r w:rsidRPr="002A770B">
              <w:t>Time to subsequent therapy (no convergence)</w:t>
            </w:r>
            <w:r w:rsidRPr="002A770B">
              <w:rPr>
                <w:rFonts w:eastAsia="Calibri"/>
                <w:vertAlign w:val="superscript"/>
              </w:rPr>
              <w:t>a</w:t>
            </w:r>
          </w:p>
          <w:p w14:paraId="2B472313" w14:textId="77777777" w:rsidR="00432B96" w:rsidRPr="002A770B" w:rsidRDefault="30C3C8E9" w:rsidP="0070637E">
            <w:pPr>
              <w:pStyle w:val="TableText0"/>
              <w:widowControl w:val="0"/>
              <w:numPr>
                <w:ilvl w:val="0"/>
                <w:numId w:val="4"/>
              </w:numPr>
              <w:ind w:left="340" w:hanging="227"/>
            </w:pPr>
            <w:r w:rsidRPr="002A770B">
              <w:t>Start: 24, end:60 months</w:t>
            </w:r>
          </w:p>
          <w:p w14:paraId="631947DF" w14:textId="77777777" w:rsidR="00432B96" w:rsidRPr="002A770B" w:rsidRDefault="30C3C8E9" w:rsidP="0070637E">
            <w:pPr>
              <w:pStyle w:val="TableText0"/>
              <w:widowControl w:val="0"/>
              <w:numPr>
                <w:ilvl w:val="0"/>
                <w:numId w:val="4"/>
              </w:numPr>
              <w:ind w:left="340" w:hanging="227"/>
            </w:pPr>
            <w:r w:rsidRPr="002A770B">
              <w:t>Start: 36, end:72 months</w:t>
            </w:r>
          </w:p>
        </w:tc>
        <w:tc>
          <w:tcPr>
            <w:tcW w:w="549" w:type="pct"/>
          </w:tcPr>
          <w:p w14:paraId="5BE72A26" w14:textId="77777777" w:rsidR="00432B96" w:rsidRPr="008E6972" w:rsidRDefault="00432B96" w:rsidP="00B50FBE">
            <w:pPr>
              <w:pStyle w:val="TableText0"/>
              <w:widowControl w:val="0"/>
              <w:jc w:val="center"/>
            </w:pPr>
          </w:p>
          <w:p w14:paraId="4E48E279" w14:textId="77777777" w:rsidR="00432B96" w:rsidRPr="008E6972" w:rsidRDefault="00432B96" w:rsidP="00B50FBE">
            <w:pPr>
              <w:pStyle w:val="TableText0"/>
              <w:widowControl w:val="0"/>
              <w:jc w:val="center"/>
            </w:pPr>
          </w:p>
          <w:p w14:paraId="5D2520A9" w14:textId="77777777" w:rsidR="00432B96" w:rsidRPr="008E6972" w:rsidRDefault="008E6972" w:rsidP="00B50FBE">
            <w:pPr>
              <w:pStyle w:val="TableText0"/>
              <w:widowControl w:val="0"/>
              <w:jc w:val="center"/>
              <w:rPr>
                <w:highlight w:val="black"/>
              </w:rPr>
            </w:pPr>
            <w:r>
              <w:rPr>
                <w:noProof/>
                <w:color w:val="000000"/>
                <w:highlight w:val="black"/>
              </w:rPr>
              <w:t>'''''''''''''''''''''''</w:t>
            </w:r>
          </w:p>
          <w:p w14:paraId="7462D207"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0E204032" w14:textId="77777777" w:rsidR="00432B96" w:rsidRPr="002A770B" w:rsidRDefault="00432B96" w:rsidP="00B50FBE">
            <w:pPr>
              <w:pStyle w:val="TableText0"/>
              <w:widowControl w:val="0"/>
              <w:jc w:val="center"/>
            </w:pPr>
          </w:p>
          <w:p w14:paraId="064B7624" w14:textId="77777777" w:rsidR="00432B96" w:rsidRPr="002A770B" w:rsidRDefault="00432B96" w:rsidP="00B50FBE">
            <w:pPr>
              <w:pStyle w:val="TableText0"/>
              <w:widowControl w:val="0"/>
              <w:jc w:val="center"/>
            </w:pPr>
          </w:p>
          <w:p w14:paraId="17FFEA7E" w14:textId="77777777" w:rsidR="00432B96" w:rsidRPr="002A770B" w:rsidRDefault="30C3C8E9" w:rsidP="00B50FBE">
            <w:pPr>
              <w:pStyle w:val="TableText0"/>
              <w:widowControl w:val="0"/>
              <w:jc w:val="center"/>
            </w:pPr>
            <w:r w:rsidRPr="002A770B">
              <w:t>1.47</w:t>
            </w:r>
          </w:p>
          <w:p w14:paraId="4FD3AC14" w14:textId="77777777" w:rsidR="00432B96" w:rsidRPr="002A770B" w:rsidRDefault="30C3C8E9" w:rsidP="00B50FBE">
            <w:pPr>
              <w:pStyle w:val="TableText0"/>
              <w:widowControl w:val="0"/>
              <w:jc w:val="center"/>
            </w:pPr>
            <w:r w:rsidRPr="002A770B">
              <w:t>1.50</w:t>
            </w:r>
          </w:p>
        </w:tc>
        <w:tc>
          <w:tcPr>
            <w:tcW w:w="550" w:type="pct"/>
          </w:tcPr>
          <w:p w14:paraId="067D5FF9" w14:textId="77777777" w:rsidR="00432B96" w:rsidRPr="008E6972" w:rsidRDefault="00432B96" w:rsidP="00B50FBE">
            <w:pPr>
              <w:pStyle w:val="TableText0"/>
              <w:widowControl w:val="0"/>
              <w:jc w:val="center"/>
            </w:pPr>
          </w:p>
          <w:p w14:paraId="12D78BBB" w14:textId="77777777" w:rsidR="00432B96" w:rsidRPr="008E6972" w:rsidRDefault="00432B96" w:rsidP="00B50FBE">
            <w:pPr>
              <w:pStyle w:val="TableText0"/>
              <w:widowControl w:val="0"/>
              <w:jc w:val="center"/>
            </w:pPr>
          </w:p>
          <w:p w14:paraId="72184837"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28976A88"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53DEA352" w14:textId="77777777" w:rsidR="00432B96" w:rsidRPr="002A770B" w:rsidRDefault="00432B96" w:rsidP="00B50FBE">
            <w:pPr>
              <w:pStyle w:val="TableText0"/>
              <w:widowControl w:val="0"/>
              <w:jc w:val="center"/>
            </w:pPr>
          </w:p>
          <w:p w14:paraId="1F2C584F" w14:textId="77777777" w:rsidR="00432B96" w:rsidRPr="002A770B" w:rsidRDefault="00432B96" w:rsidP="00B50FBE">
            <w:pPr>
              <w:pStyle w:val="TableText0"/>
              <w:widowControl w:val="0"/>
              <w:jc w:val="center"/>
            </w:pPr>
          </w:p>
          <w:p w14:paraId="0344882C" w14:textId="77777777" w:rsidR="00432B96" w:rsidRPr="002A770B" w:rsidRDefault="30C3C8E9" w:rsidP="00B50FBE">
            <w:pPr>
              <w:pStyle w:val="TableText0"/>
              <w:widowControl w:val="0"/>
              <w:jc w:val="center"/>
            </w:pPr>
            <w:r w:rsidRPr="002A770B">
              <w:t>19.2%</w:t>
            </w:r>
          </w:p>
          <w:p w14:paraId="7728BFAC" w14:textId="77777777" w:rsidR="00432B96" w:rsidRPr="002A770B" w:rsidRDefault="30C3C8E9" w:rsidP="00B50FBE">
            <w:pPr>
              <w:pStyle w:val="TableText0"/>
              <w:widowControl w:val="0"/>
              <w:jc w:val="center"/>
            </w:pPr>
            <w:r w:rsidRPr="002A770B">
              <w:t>16.2%</w:t>
            </w:r>
          </w:p>
        </w:tc>
        <w:tc>
          <w:tcPr>
            <w:tcW w:w="550" w:type="pct"/>
          </w:tcPr>
          <w:p w14:paraId="714E1275" w14:textId="77777777" w:rsidR="00432B96" w:rsidRPr="008E6972" w:rsidRDefault="00432B96" w:rsidP="00B50FBE">
            <w:pPr>
              <w:pStyle w:val="TableText0"/>
              <w:widowControl w:val="0"/>
              <w:jc w:val="center"/>
            </w:pPr>
          </w:p>
          <w:p w14:paraId="5B2715B4" w14:textId="77777777" w:rsidR="00432B96" w:rsidRPr="008E6972" w:rsidRDefault="00432B96" w:rsidP="00B50FBE">
            <w:pPr>
              <w:pStyle w:val="TableText0"/>
              <w:widowControl w:val="0"/>
              <w:jc w:val="center"/>
            </w:pPr>
          </w:p>
          <w:p w14:paraId="05787655" w14:textId="77777777" w:rsidR="00432B96" w:rsidRPr="008E6972" w:rsidRDefault="008E6972" w:rsidP="00B50FBE">
            <w:pPr>
              <w:pStyle w:val="TableText0"/>
              <w:widowControl w:val="0"/>
              <w:jc w:val="center"/>
              <w:rPr>
                <w:highlight w:val="black"/>
              </w:rPr>
            </w:pPr>
            <w:r>
              <w:rPr>
                <w:noProof/>
                <w:color w:val="000000"/>
                <w:highlight w:val="black"/>
              </w:rPr>
              <w:t>''''''''''''''''''''''''</w:t>
            </w:r>
          </w:p>
          <w:p w14:paraId="7960497B"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7DEFF322" w14:textId="77777777" w:rsidR="00432B96" w:rsidRPr="002A770B" w:rsidRDefault="00432B96" w:rsidP="00B50FBE">
            <w:pPr>
              <w:pStyle w:val="TableText0"/>
              <w:widowControl w:val="0"/>
              <w:jc w:val="center"/>
            </w:pPr>
          </w:p>
          <w:p w14:paraId="794F5E80" w14:textId="77777777" w:rsidR="00432B96" w:rsidRPr="002A770B" w:rsidRDefault="00432B96" w:rsidP="00B50FBE">
            <w:pPr>
              <w:pStyle w:val="TableText0"/>
              <w:widowControl w:val="0"/>
              <w:jc w:val="center"/>
            </w:pPr>
          </w:p>
          <w:p w14:paraId="74E95E24" w14:textId="77777777" w:rsidR="00432B96" w:rsidRPr="002A770B" w:rsidRDefault="30C3C8E9" w:rsidP="00B50FBE">
            <w:pPr>
              <w:pStyle w:val="TableText0"/>
              <w:widowControl w:val="0"/>
              <w:jc w:val="center"/>
            </w:pPr>
            <w:r w:rsidRPr="002A770B">
              <w:t>2.96</w:t>
            </w:r>
          </w:p>
          <w:p w14:paraId="37CD7ED8" w14:textId="77777777" w:rsidR="00432B96" w:rsidRPr="002A770B" w:rsidRDefault="30C3C8E9" w:rsidP="00B50FBE">
            <w:pPr>
              <w:pStyle w:val="TableText0"/>
              <w:widowControl w:val="0"/>
              <w:jc w:val="center"/>
            </w:pPr>
            <w:r w:rsidRPr="002A770B">
              <w:t>2.99</w:t>
            </w:r>
          </w:p>
        </w:tc>
        <w:tc>
          <w:tcPr>
            <w:tcW w:w="472" w:type="pct"/>
          </w:tcPr>
          <w:p w14:paraId="6187F05F" w14:textId="77777777" w:rsidR="00432B96" w:rsidRPr="008E6972" w:rsidRDefault="00432B96" w:rsidP="00B50FBE">
            <w:pPr>
              <w:pStyle w:val="TableText0"/>
              <w:widowControl w:val="0"/>
              <w:jc w:val="center"/>
            </w:pPr>
          </w:p>
          <w:p w14:paraId="371D466D" w14:textId="77777777" w:rsidR="00432B96" w:rsidRPr="008E6972" w:rsidRDefault="00432B96" w:rsidP="00B50FBE">
            <w:pPr>
              <w:pStyle w:val="TableText0"/>
              <w:widowControl w:val="0"/>
              <w:jc w:val="center"/>
            </w:pPr>
          </w:p>
          <w:p w14:paraId="79239C3C"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662DA56D"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00303BB7" w14:textId="77777777" w:rsidR="00432B96" w:rsidRPr="002A770B" w:rsidRDefault="00432B96" w:rsidP="00B50FBE">
            <w:pPr>
              <w:pStyle w:val="TableText0"/>
              <w:widowControl w:val="0"/>
              <w:jc w:val="center"/>
            </w:pPr>
          </w:p>
          <w:p w14:paraId="556F8B49" w14:textId="77777777" w:rsidR="00432B96" w:rsidRPr="002A770B" w:rsidRDefault="00432B96" w:rsidP="00B50FBE">
            <w:pPr>
              <w:pStyle w:val="TableText0"/>
              <w:widowControl w:val="0"/>
              <w:jc w:val="center"/>
            </w:pPr>
          </w:p>
          <w:p w14:paraId="333F4504" w14:textId="77777777" w:rsidR="00432B96" w:rsidRPr="002A770B" w:rsidRDefault="30C3C8E9" w:rsidP="00B50FBE">
            <w:pPr>
              <w:pStyle w:val="TableText0"/>
              <w:widowControl w:val="0"/>
              <w:jc w:val="center"/>
            </w:pPr>
            <w:r w:rsidRPr="002A770B">
              <w:t>10.9%</w:t>
            </w:r>
          </w:p>
          <w:p w14:paraId="1D4775FC" w14:textId="77777777" w:rsidR="00432B96" w:rsidRPr="002A770B" w:rsidRDefault="30C3C8E9" w:rsidP="00B50FBE">
            <w:pPr>
              <w:pStyle w:val="TableText0"/>
              <w:widowControl w:val="0"/>
              <w:jc w:val="center"/>
            </w:pPr>
            <w:r w:rsidRPr="002A770B">
              <w:t>9.3%</w:t>
            </w:r>
          </w:p>
        </w:tc>
      </w:tr>
      <w:tr w:rsidR="00432B96" w:rsidRPr="002A770B" w14:paraId="52BF45AE" w14:textId="77777777" w:rsidTr="57626B43">
        <w:tc>
          <w:tcPr>
            <w:tcW w:w="1334" w:type="pct"/>
          </w:tcPr>
          <w:p w14:paraId="0412C9A6" w14:textId="77777777" w:rsidR="00432B96" w:rsidRPr="002A770B" w:rsidRDefault="30C3C8E9" w:rsidP="00B50FBE">
            <w:pPr>
              <w:pStyle w:val="TableText0"/>
              <w:widowControl w:val="0"/>
              <w:rPr>
                <w:vertAlign w:val="superscript"/>
              </w:rPr>
            </w:pPr>
            <w:r w:rsidRPr="002A770B">
              <w:t>Time to subsequent therapy (no convergence) and time horizon</w:t>
            </w:r>
            <w:r w:rsidRPr="002A770B">
              <w:rPr>
                <w:vertAlign w:val="superscript"/>
              </w:rPr>
              <w:t>a</w:t>
            </w:r>
          </w:p>
          <w:p w14:paraId="5FCE9256" w14:textId="77777777" w:rsidR="00432B96" w:rsidRPr="002A770B" w:rsidRDefault="30C3C8E9" w:rsidP="0070637E">
            <w:pPr>
              <w:pStyle w:val="TableText0"/>
              <w:widowControl w:val="0"/>
              <w:numPr>
                <w:ilvl w:val="0"/>
                <w:numId w:val="4"/>
              </w:numPr>
              <w:ind w:left="340" w:hanging="227"/>
            </w:pPr>
            <w:r w:rsidRPr="002A770B">
              <w:t>24 to 60 month,15 years</w:t>
            </w:r>
          </w:p>
          <w:p w14:paraId="12D0CD74" w14:textId="77777777" w:rsidR="00432B96" w:rsidRPr="002A770B" w:rsidRDefault="30C3C8E9" w:rsidP="0070637E">
            <w:pPr>
              <w:pStyle w:val="TableText0"/>
              <w:widowControl w:val="0"/>
              <w:numPr>
                <w:ilvl w:val="0"/>
                <w:numId w:val="4"/>
              </w:numPr>
              <w:ind w:left="340" w:hanging="227"/>
            </w:pPr>
            <w:r w:rsidRPr="002A770B">
              <w:t>36 to 72 months,15 years</w:t>
            </w:r>
          </w:p>
        </w:tc>
        <w:tc>
          <w:tcPr>
            <w:tcW w:w="549" w:type="pct"/>
          </w:tcPr>
          <w:p w14:paraId="6F66974E" w14:textId="77777777" w:rsidR="00432B96" w:rsidRPr="008E6972" w:rsidRDefault="00432B96" w:rsidP="00B50FBE">
            <w:pPr>
              <w:pStyle w:val="TableText0"/>
              <w:widowControl w:val="0"/>
              <w:jc w:val="center"/>
            </w:pPr>
          </w:p>
          <w:p w14:paraId="4DC78611" w14:textId="77777777" w:rsidR="00432B96" w:rsidRPr="008E6972" w:rsidRDefault="00432B96" w:rsidP="00B50FBE">
            <w:pPr>
              <w:pStyle w:val="TableText0"/>
              <w:widowControl w:val="0"/>
              <w:jc w:val="center"/>
            </w:pPr>
          </w:p>
          <w:p w14:paraId="7A6F2864" w14:textId="77777777" w:rsidR="00432B96" w:rsidRPr="008E6972" w:rsidRDefault="008E6972" w:rsidP="00B50FBE">
            <w:pPr>
              <w:pStyle w:val="TableText0"/>
              <w:widowControl w:val="0"/>
              <w:jc w:val="center"/>
              <w:rPr>
                <w:highlight w:val="black"/>
              </w:rPr>
            </w:pPr>
            <w:r>
              <w:rPr>
                <w:noProof/>
                <w:color w:val="000000"/>
                <w:highlight w:val="black"/>
              </w:rPr>
              <w:t>'''''''''''''''''''''</w:t>
            </w:r>
          </w:p>
          <w:p w14:paraId="156D8BF4"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tcPr>
          <w:p w14:paraId="269EBA6D" w14:textId="77777777" w:rsidR="00432B96" w:rsidRPr="002A770B" w:rsidRDefault="00432B96" w:rsidP="00B50FBE">
            <w:pPr>
              <w:pStyle w:val="TableText0"/>
              <w:widowControl w:val="0"/>
              <w:jc w:val="center"/>
            </w:pPr>
          </w:p>
          <w:p w14:paraId="3262B693" w14:textId="77777777" w:rsidR="00432B96" w:rsidRPr="002A770B" w:rsidRDefault="00432B96" w:rsidP="00B50FBE">
            <w:pPr>
              <w:pStyle w:val="TableText0"/>
              <w:widowControl w:val="0"/>
              <w:jc w:val="center"/>
            </w:pPr>
          </w:p>
          <w:p w14:paraId="1002EA1D" w14:textId="77777777" w:rsidR="00432B96" w:rsidRPr="002A770B" w:rsidRDefault="30C3C8E9" w:rsidP="00B50FBE">
            <w:pPr>
              <w:pStyle w:val="TableText0"/>
              <w:widowControl w:val="0"/>
              <w:jc w:val="center"/>
            </w:pPr>
            <w:r w:rsidRPr="002A770B">
              <w:t>1.30</w:t>
            </w:r>
          </w:p>
          <w:p w14:paraId="5ADC23AA" w14:textId="77777777" w:rsidR="00432B96" w:rsidRPr="002A770B" w:rsidRDefault="30C3C8E9" w:rsidP="00B50FBE">
            <w:pPr>
              <w:pStyle w:val="TableText0"/>
              <w:widowControl w:val="0"/>
              <w:jc w:val="center"/>
            </w:pPr>
            <w:r w:rsidRPr="002A770B">
              <w:t>1.33</w:t>
            </w:r>
          </w:p>
        </w:tc>
        <w:tc>
          <w:tcPr>
            <w:tcW w:w="550" w:type="pct"/>
          </w:tcPr>
          <w:p w14:paraId="4A511563" w14:textId="77777777" w:rsidR="00432B96" w:rsidRPr="008E6972" w:rsidRDefault="00432B96" w:rsidP="00B50FBE">
            <w:pPr>
              <w:pStyle w:val="TableText0"/>
              <w:widowControl w:val="0"/>
              <w:jc w:val="center"/>
            </w:pPr>
          </w:p>
          <w:p w14:paraId="23AE4EA2" w14:textId="77777777" w:rsidR="00432B96" w:rsidRPr="008E6972" w:rsidRDefault="00432B96" w:rsidP="00B50FBE">
            <w:pPr>
              <w:pStyle w:val="TableText0"/>
              <w:widowControl w:val="0"/>
              <w:jc w:val="center"/>
            </w:pPr>
          </w:p>
          <w:p w14:paraId="710B6441" w14:textId="77777777" w:rsidR="00432B96"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3</w:t>
            </w:r>
          </w:p>
          <w:p w14:paraId="5D1215C9" w14:textId="77777777" w:rsidR="00432B96"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3</w:t>
            </w:r>
          </w:p>
        </w:tc>
        <w:tc>
          <w:tcPr>
            <w:tcW w:w="394" w:type="pct"/>
          </w:tcPr>
          <w:p w14:paraId="19DAA9BF" w14:textId="77777777" w:rsidR="00432B96" w:rsidRPr="002A770B" w:rsidRDefault="00432B96" w:rsidP="00B50FBE">
            <w:pPr>
              <w:pStyle w:val="TableText0"/>
              <w:widowControl w:val="0"/>
              <w:jc w:val="center"/>
            </w:pPr>
          </w:p>
          <w:p w14:paraId="74AEC32C" w14:textId="77777777" w:rsidR="00432B96" w:rsidRPr="002A770B" w:rsidRDefault="00432B96" w:rsidP="00B50FBE">
            <w:pPr>
              <w:pStyle w:val="TableText0"/>
              <w:widowControl w:val="0"/>
              <w:jc w:val="center"/>
            </w:pPr>
          </w:p>
          <w:p w14:paraId="6F82776D" w14:textId="77777777" w:rsidR="00432B96" w:rsidRPr="002A770B" w:rsidRDefault="30C3C8E9" w:rsidP="00B50FBE">
            <w:pPr>
              <w:pStyle w:val="TableText0"/>
              <w:widowControl w:val="0"/>
              <w:jc w:val="center"/>
            </w:pPr>
            <w:r w:rsidRPr="002A770B">
              <w:t>33.0%</w:t>
            </w:r>
          </w:p>
          <w:p w14:paraId="7B2C87F5" w14:textId="77777777" w:rsidR="00432B96" w:rsidRPr="002A770B" w:rsidRDefault="30C3C8E9" w:rsidP="00B50FBE">
            <w:pPr>
              <w:pStyle w:val="TableText0"/>
              <w:widowControl w:val="0"/>
              <w:jc w:val="center"/>
            </w:pPr>
            <w:r w:rsidRPr="002A770B">
              <w:t>29.3%</w:t>
            </w:r>
          </w:p>
        </w:tc>
        <w:tc>
          <w:tcPr>
            <w:tcW w:w="550" w:type="pct"/>
          </w:tcPr>
          <w:p w14:paraId="7668A97A" w14:textId="77777777" w:rsidR="00432B96" w:rsidRPr="008E6972" w:rsidRDefault="00432B96" w:rsidP="00B50FBE">
            <w:pPr>
              <w:pStyle w:val="TableText0"/>
              <w:widowControl w:val="0"/>
              <w:jc w:val="center"/>
            </w:pPr>
          </w:p>
          <w:p w14:paraId="283AA7AE" w14:textId="77777777" w:rsidR="00432B96" w:rsidRPr="008E6972" w:rsidRDefault="00432B96" w:rsidP="00B50FBE">
            <w:pPr>
              <w:pStyle w:val="TableText0"/>
              <w:widowControl w:val="0"/>
              <w:jc w:val="center"/>
            </w:pPr>
          </w:p>
          <w:p w14:paraId="6D3F8983" w14:textId="77777777" w:rsidR="00432B96" w:rsidRPr="008E6972" w:rsidRDefault="008E6972" w:rsidP="00B50FBE">
            <w:pPr>
              <w:pStyle w:val="TableText0"/>
              <w:widowControl w:val="0"/>
              <w:jc w:val="center"/>
              <w:rPr>
                <w:highlight w:val="black"/>
              </w:rPr>
            </w:pPr>
            <w:r>
              <w:rPr>
                <w:noProof/>
                <w:color w:val="000000"/>
                <w:highlight w:val="black"/>
              </w:rPr>
              <w:t>'''''''''''''''''''''</w:t>
            </w:r>
          </w:p>
          <w:p w14:paraId="398B557C"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315B494B" w14:textId="77777777" w:rsidR="00432B96" w:rsidRPr="002A770B" w:rsidRDefault="00432B96" w:rsidP="00B50FBE">
            <w:pPr>
              <w:pStyle w:val="TableText0"/>
              <w:widowControl w:val="0"/>
              <w:jc w:val="center"/>
            </w:pPr>
          </w:p>
          <w:p w14:paraId="16179485" w14:textId="77777777" w:rsidR="00432B96" w:rsidRPr="002A770B" w:rsidRDefault="00432B96" w:rsidP="00B50FBE">
            <w:pPr>
              <w:pStyle w:val="TableText0"/>
              <w:widowControl w:val="0"/>
              <w:jc w:val="center"/>
            </w:pPr>
          </w:p>
          <w:p w14:paraId="21A976BA" w14:textId="77777777" w:rsidR="00432B96" w:rsidRPr="002A770B" w:rsidRDefault="30C3C8E9" w:rsidP="00B50FBE">
            <w:pPr>
              <w:pStyle w:val="TableText0"/>
              <w:widowControl w:val="0"/>
              <w:jc w:val="center"/>
            </w:pPr>
            <w:r w:rsidRPr="002A770B">
              <w:t>2.67</w:t>
            </w:r>
          </w:p>
          <w:p w14:paraId="7D3C9130" w14:textId="77777777" w:rsidR="00432B96" w:rsidRPr="002A770B" w:rsidRDefault="30C3C8E9" w:rsidP="00B50FBE">
            <w:pPr>
              <w:pStyle w:val="TableText0"/>
              <w:widowControl w:val="0"/>
              <w:jc w:val="center"/>
            </w:pPr>
            <w:r w:rsidRPr="002A770B">
              <w:t>2.70</w:t>
            </w:r>
          </w:p>
        </w:tc>
        <w:tc>
          <w:tcPr>
            <w:tcW w:w="472" w:type="pct"/>
          </w:tcPr>
          <w:p w14:paraId="179AD38E" w14:textId="77777777" w:rsidR="00432B96" w:rsidRPr="008E6972" w:rsidRDefault="00432B96" w:rsidP="00B50FBE">
            <w:pPr>
              <w:pStyle w:val="TableText0"/>
              <w:widowControl w:val="0"/>
              <w:jc w:val="center"/>
            </w:pPr>
          </w:p>
          <w:p w14:paraId="29B29E78" w14:textId="77777777" w:rsidR="00432B96" w:rsidRPr="008E6972" w:rsidRDefault="00432B96" w:rsidP="00B50FBE">
            <w:pPr>
              <w:pStyle w:val="TableText0"/>
              <w:widowControl w:val="0"/>
              <w:jc w:val="center"/>
            </w:pPr>
          </w:p>
          <w:p w14:paraId="447617B1" w14:textId="77777777" w:rsidR="00432B96" w:rsidRPr="008E6972" w:rsidRDefault="008E6972" w:rsidP="00B50FBE">
            <w:pPr>
              <w:pStyle w:val="TableText0"/>
              <w:widowControl w:val="0"/>
              <w:jc w:val="center"/>
            </w:pPr>
            <w:r>
              <w:rPr>
                <w:noProof/>
                <w:color w:val="000000"/>
                <w:highlight w:val="black"/>
              </w:rPr>
              <w:t>''''''''''''''''''''</w:t>
            </w:r>
            <w:r w:rsidR="00856938" w:rsidRPr="00856938">
              <w:rPr>
                <w:vertAlign w:val="superscript"/>
              </w:rPr>
              <w:t>7</w:t>
            </w:r>
          </w:p>
          <w:p w14:paraId="0177C0B0" w14:textId="77777777" w:rsidR="00432B96" w:rsidRPr="008E6972" w:rsidRDefault="008E6972" w:rsidP="00856938">
            <w:pPr>
              <w:pStyle w:val="TableText0"/>
              <w:widowControl w:val="0"/>
              <w:jc w:val="center"/>
            </w:pPr>
            <w:r>
              <w:rPr>
                <w:noProof/>
                <w:color w:val="000000"/>
                <w:highlight w:val="black"/>
              </w:rPr>
              <w:t>''''''''''''''''''''</w:t>
            </w:r>
            <w:r w:rsidR="00856938" w:rsidRPr="00856938">
              <w:rPr>
                <w:vertAlign w:val="superscript"/>
              </w:rPr>
              <w:t>7</w:t>
            </w:r>
          </w:p>
        </w:tc>
        <w:tc>
          <w:tcPr>
            <w:tcW w:w="366" w:type="pct"/>
          </w:tcPr>
          <w:p w14:paraId="6A27DC2D" w14:textId="77777777" w:rsidR="00432B96" w:rsidRPr="002A770B" w:rsidRDefault="00432B96" w:rsidP="00B50FBE">
            <w:pPr>
              <w:pStyle w:val="TableText0"/>
              <w:widowControl w:val="0"/>
              <w:jc w:val="center"/>
            </w:pPr>
          </w:p>
          <w:p w14:paraId="1636AC0D" w14:textId="77777777" w:rsidR="00432B96" w:rsidRPr="002A770B" w:rsidRDefault="00432B96" w:rsidP="00B50FBE">
            <w:pPr>
              <w:pStyle w:val="TableText0"/>
              <w:widowControl w:val="0"/>
              <w:jc w:val="center"/>
            </w:pPr>
          </w:p>
          <w:p w14:paraId="4A733DC6" w14:textId="77777777" w:rsidR="00432B96" w:rsidRPr="002A770B" w:rsidRDefault="30C3C8E9" w:rsidP="00B50FBE">
            <w:pPr>
              <w:pStyle w:val="TableText0"/>
              <w:widowControl w:val="0"/>
              <w:jc w:val="center"/>
            </w:pPr>
            <w:r w:rsidRPr="002A770B">
              <w:t>20.4%</w:t>
            </w:r>
          </w:p>
          <w:p w14:paraId="4215A09C" w14:textId="77777777" w:rsidR="00432B96" w:rsidRPr="002A770B" w:rsidRDefault="30C3C8E9" w:rsidP="00B50FBE">
            <w:pPr>
              <w:pStyle w:val="TableText0"/>
              <w:widowControl w:val="0"/>
              <w:jc w:val="center"/>
            </w:pPr>
            <w:r w:rsidRPr="002A770B">
              <w:t>18.6%</w:t>
            </w:r>
          </w:p>
        </w:tc>
      </w:tr>
      <w:tr w:rsidR="00432B96" w:rsidRPr="002A770B" w14:paraId="0D55295E" w14:textId="77777777" w:rsidTr="57626B43">
        <w:tc>
          <w:tcPr>
            <w:tcW w:w="1334" w:type="pct"/>
          </w:tcPr>
          <w:p w14:paraId="0EE10938" w14:textId="77777777" w:rsidR="00432B96" w:rsidRPr="002A770B" w:rsidRDefault="30C3C8E9" w:rsidP="00B50FBE">
            <w:pPr>
              <w:pStyle w:val="TableText0"/>
              <w:widowControl w:val="0"/>
            </w:pPr>
            <w:r w:rsidRPr="002A770B">
              <w:t>Time to death (Palladini et al. (2012) at 6 months)</w:t>
            </w:r>
          </w:p>
          <w:p w14:paraId="6A2B571F" w14:textId="77777777" w:rsidR="00432B96" w:rsidRPr="002A770B" w:rsidRDefault="30C3C8E9" w:rsidP="0070637E">
            <w:pPr>
              <w:pStyle w:val="TableText0"/>
              <w:widowControl w:val="0"/>
              <w:numPr>
                <w:ilvl w:val="0"/>
                <w:numId w:val="4"/>
              </w:numPr>
              <w:ind w:left="340" w:hanging="227"/>
            </w:pPr>
            <w:r w:rsidRPr="002A770B">
              <w:t>Palladini et al. at 3 months</w:t>
            </w:r>
          </w:p>
          <w:p w14:paraId="1BBA3FCB" w14:textId="77777777" w:rsidR="00432B96" w:rsidRPr="002A770B" w:rsidRDefault="30C3C8E9" w:rsidP="0070637E">
            <w:pPr>
              <w:pStyle w:val="TableText0"/>
              <w:widowControl w:val="0"/>
              <w:numPr>
                <w:ilvl w:val="0"/>
                <w:numId w:val="4"/>
              </w:numPr>
              <w:ind w:left="340" w:hanging="227"/>
            </w:pPr>
            <w:r w:rsidRPr="002A770B">
              <w:t>EMN at 3 month</w:t>
            </w:r>
          </w:p>
        </w:tc>
        <w:tc>
          <w:tcPr>
            <w:tcW w:w="549" w:type="pct"/>
          </w:tcPr>
          <w:p w14:paraId="532E0811" w14:textId="77777777" w:rsidR="00432B96" w:rsidRPr="008E6972" w:rsidRDefault="00432B96" w:rsidP="00B50FBE">
            <w:pPr>
              <w:pStyle w:val="TableText0"/>
              <w:widowControl w:val="0"/>
              <w:jc w:val="center"/>
            </w:pPr>
          </w:p>
          <w:p w14:paraId="27F84C4B" w14:textId="77777777" w:rsidR="00432B96" w:rsidRPr="008E6972" w:rsidRDefault="00432B96" w:rsidP="00B50FBE">
            <w:pPr>
              <w:pStyle w:val="TableText0"/>
              <w:widowControl w:val="0"/>
              <w:jc w:val="center"/>
            </w:pPr>
          </w:p>
          <w:p w14:paraId="7B93A419" w14:textId="77777777" w:rsidR="00432B96" w:rsidRPr="008E6972" w:rsidRDefault="008E6972" w:rsidP="00B50FBE">
            <w:pPr>
              <w:pStyle w:val="TableText0"/>
              <w:widowControl w:val="0"/>
              <w:jc w:val="center"/>
              <w:rPr>
                <w:highlight w:val="black"/>
              </w:rPr>
            </w:pPr>
            <w:r>
              <w:rPr>
                <w:noProof/>
                <w:color w:val="000000"/>
                <w:highlight w:val="black"/>
              </w:rPr>
              <w:t>'''''''''''''''''''''</w:t>
            </w:r>
          </w:p>
          <w:p w14:paraId="6A0B3E87" w14:textId="77777777" w:rsidR="00432B96" w:rsidRPr="008E6972" w:rsidRDefault="008E6972" w:rsidP="00B50FBE">
            <w:pPr>
              <w:pStyle w:val="TableText0"/>
              <w:widowControl w:val="0"/>
              <w:jc w:val="center"/>
              <w:rPr>
                <w:rFonts w:cs="Calibri"/>
                <w:color w:val="000000"/>
                <w:highlight w:val="black"/>
              </w:rPr>
            </w:pPr>
            <w:r>
              <w:rPr>
                <w:rFonts w:cs="Calibri"/>
                <w:noProof/>
                <w:color w:val="000000"/>
                <w:highlight w:val="black"/>
              </w:rPr>
              <w:t>''''''''''''''''''''''</w:t>
            </w:r>
          </w:p>
        </w:tc>
        <w:tc>
          <w:tcPr>
            <w:tcW w:w="392" w:type="pct"/>
          </w:tcPr>
          <w:p w14:paraId="4C6AAD2A" w14:textId="77777777" w:rsidR="00432B96" w:rsidRPr="002A770B" w:rsidRDefault="00432B96" w:rsidP="00B50FBE">
            <w:pPr>
              <w:pStyle w:val="TableText0"/>
              <w:widowControl w:val="0"/>
              <w:jc w:val="center"/>
            </w:pPr>
          </w:p>
          <w:p w14:paraId="33820238" w14:textId="77777777" w:rsidR="00432B96" w:rsidRPr="002A770B" w:rsidRDefault="00432B96" w:rsidP="00B50FBE">
            <w:pPr>
              <w:pStyle w:val="TableText0"/>
              <w:widowControl w:val="0"/>
              <w:jc w:val="center"/>
            </w:pPr>
          </w:p>
          <w:p w14:paraId="1D9BEFA5" w14:textId="77777777" w:rsidR="00432B96" w:rsidRPr="002A770B" w:rsidRDefault="30C3C8E9" w:rsidP="00B50FBE">
            <w:pPr>
              <w:pStyle w:val="TableText0"/>
              <w:widowControl w:val="0"/>
              <w:jc w:val="center"/>
            </w:pPr>
            <w:r w:rsidRPr="002A770B">
              <w:t>1.66</w:t>
            </w:r>
          </w:p>
          <w:p w14:paraId="0245437E" w14:textId="77777777" w:rsidR="00432B96" w:rsidRPr="002A770B" w:rsidRDefault="30C3C8E9" w:rsidP="00B50FBE">
            <w:pPr>
              <w:pStyle w:val="TableText0"/>
              <w:widowControl w:val="0"/>
              <w:jc w:val="center"/>
            </w:pPr>
            <w:r w:rsidRPr="002A770B">
              <w:t>1.44</w:t>
            </w:r>
          </w:p>
        </w:tc>
        <w:tc>
          <w:tcPr>
            <w:tcW w:w="550" w:type="pct"/>
          </w:tcPr>
          <w:p w14:paraId="363AF53E" w14:textId="77777777" w:rsidR="00432B96" w:rsidRPr="008E6972" w:rsidRDefault="00432B96" w:rsidP="00B50FBE">
            <w:pPr>
              <w:pStyle w:val="TableText0"/>
              <w:widowControl w:val="0"/>
              <w:jc w:val="center"/>
            </w:pPr>
          </w:p>
          <w:p w14:paraId="0EDF1569" w14:textId="77777777" w:rsidR="00432B96" w:rsidRPr="008E6972" w:rsidRDefault="00432B96" w:rsidP="00B50FBE">
            <w:pPr>
              <w:pStyle w:val="TableText0"/>
              <w:widowControl w:val="0"/>
              <w:jc w:val="center"/>
            </w:pPr>
          </w:p>
          <w:p w14:paraId="1F450502"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35DDE97B"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1D52DFAA" w14:textId="77777777" w:rsidR="00432B96" w:rsidRPr="002A770B" w:rsidRDefault="00432B96" w:rsidP="00B50FBE">
            <w:pPr>
              <w:pStyle w:val="TableText0"/>
              <w:widowControl w:val="0"/>
              <w:jc w:val="center"/>
            </w:pPr>
          </w:p>
          <w:p w14:paraId="0F5B3748" w14:textId="77777777" w:rsidR="00432B96" w:rsidRPr="002A770B" w:rsidRDefault="00432B96" w:rsidP="00B50FBE">
            <w:pPr>
              <w:pStyle w:val="TableText0"/>
              <w:widowControl w:val="0"/>
              <w:jc w:val="center"/>
            </w:pPr>
          </w:p>
          <w:p w14:paraId="39647350" w14:textId="77777777" w:rsidR="00432B96" w:rsidRPr="002A770B" w:rsidRDefault="30C3C8E9" w:rsidP="00B50FBE">
            <w:pPr>
              <w:pStyle w:val="TableText0"/>
              <w:widowControl w:val="0"/>
              <w:jc w:val="center"/>
            </w:pPr>
            <w:r w:rsidRPr="002A770B">
              <w:t>1.3%</w:t>
            </w:r>
          </w:p>
          <w:p w14:paraId="5DA899B4" w14:textId="77777777" w:rsidR="00432B96" w:rsidRPr="002A770B" w:rsidRDefault="30C3C8E9" w:rsidP="00B50FBE">
            <w:pPr>
              <w:pStyle w:val="TableText0"/>
              <w:widowControl w:val="0"/>
              <w:jc w:val="center"/>
            </w:pPr>
            <w:r w:rsidRPr="002A770B">
              <w:t>17.0%</w:t>
            </w:r>
          </w:p>
        </w:tc>
        <w:tc>
          <w:tcPr>
            <w:tcW w:w="550" w:type="pct"/>
          </w:tcPr>
          <w:p w14:paraId="281D7FD5" w14:textId="77777777" w:rsidR="00432B96" w:rsidRPr="008E6972" w:rsidRDefault="00432B96" w:rsidP="00B50FBE">
            <w:pPr>
              <w:pStyle w:val="TableText0"/>
              <w:widowControl w:val="0"/>
              <w:jc w:val="center"/>
            </w:pPr>
          </w:p>
          <w:p w14:paraId="0EBDE85F" w14:textId="77777777" w:rsidR="00432B96" w:rsidRPr="008E6972" w:rsidRDefault="00432B96" w:rsidP="00B50FBE">
            <w:pPr>
              <w:pStyle w:val="TableText0"/>
              <w:widowControl w:val="0"/>
              <w:jc w:val="center"/>
            </w:pPr>
          </w:p>
          <w:p w14:paraId="26883DC2" w14:textId="77777777" w:rsidR="00432B96" w:rsidRPr="008E6972" w:rsidRDefault="008E6972" w:rsidP="00B50FBE">
            <w:pPr>
              <w:pStyle w:val="TableText0"/>
              <w:widowControl w:val="0"/>
              <w:jc w:val="center"/>
              <w:rPr>
                <w:highlight w:val="black"/>
              </w:rPr>
            </w:pPr>
            <w:r>
              <w:rPr>
                <w:noProof/>
                <w:color w:val="000000"/>
                <w:highlight w:val="black"/>
              </w:rPr>
              <w:t>''''''''''''''''''''''</w:t>
            </w:r>
          </w:p>
          <w:p w14:paraId="53B60C9F"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tcPr>
          <w:p w14:paraId="0A0F251A" w14:textId="77777777" w:rsidR="00432B96" w:rsidRPr="002A770B" w:rsidRDefault="00432B96" w:rsidP="00B50FBE">
            <w:pPr>
              <w:pStyle w:val="TableText0"/>
              <w:widowControl w:val="0"/>
              <w:jc w:val="center"/>
            </w:pPr>
          </w:p>
          <w:p w14:paraId="020F1B29" w14:textId="77777777" w:rsidR="00432B96" w:rsidRPr="002A770B" w:rsidRDefault="00432B96" w:rsidP="00B50FBE">
            <w:pPr>
              <w:pStyle w:val="TableText0"/>
              <w:widowControl w:val="0"/>
              <w:jc w:val="center"/>
            </w:pPr>
          </w:p>
          <w:p w14:paraId="189196AA" w14:textId="77777777" w:rsidR="00432B96" w:rsidRPr="002A770B" w:rsidRDefault="30C3C8E9" w:rsidP="00B50FBE">
            <w:pPr>
              <w:pStyle w:val="TableText0"/>
              <w:widowControl w:val="0"/>
              <w:jc w:val="center"/>
            </w:pPr>
            <w:r w:rsidRPr="002A770B">
              <w:t>3.22</w:t>
            </w:r>
          </w:p>
          <w:p w14:paraId="244DB607" w14:textId="77777777" w:rsidR="00432B96" w:rsidRPr="002A770B" w:rsidRDefault="30C3C8E9" w:rsidP="00B50FBE">
            <w:pPr>
              <w:pStyle w:val="TableText0"/>
              <w:widowControl w:val="0"/>
              <w:jc w:val="center"/>
            </w:pPr>
            <w:r w:rsidRPr="002A770B">
              <w:t>2.95</w:t>
            </w:r>
          </w:p>
        </w:tc>
        <w:tc>
          <w:tcPr>
            <w:tcW w:w="472" w:type="pct"/>
          </w:tcPr>
          <w:p w14:paraId="544CF2D9" w14:textId="77777777" w:rsidR="00432B96" w:rsidRPr="008E6972" w:rsidRDefault="00432B96" w:rsidP="00B50FBE">
            <w:pPr>
              <w:pStyle w:val="TableText0"/>
              <w:widowControl w:val="0"/>
              <w:jc w:val="center"/>
            </w:pPr>
          </w:p>
          <w:p w14:paraId="270D538A" w14:textId="77777777" w:rsidR="00432B96" w:rsidRPr="008E6972" w:rsidRDefault="00432B96" w:rsidP="00B50FBE">
            <w:pPr>
              <w:pStyle w:val="TableText0"/>
              <w:widowControl w:val="0"/>
              <w:jc w:val="center"/>
            </w:pPr>
          </w:p>
          <w:p w14:paraId="454A8D67"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581F9211"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4E33745C" w14:textId="77777777" w:rsidR="00432B96" w:rsidRPr="002A770B" w:rsidRDefault="00432B96" w:rsidP="00B50FBE">
            <w:pPr>
              <w:pStyle w:val="TableText0"/>
              <w:widowControl w:val="0"/>
              <w:jc w:val="center"/>
            </w:pPr>
          </w:p>
          <w:p w14:paraId="2703D3A0" w14:textId="77777777" w:rsidR="00432B96" w:rsidRPr="002A770B" w:rsidRDefault="00432B96" w:rsidP="00B50FBE">
            <w:pPr>
              <w:pStyle w:val="TableText0"/>
              <w:widowControl w:val="0"/>
              <w:jc w:val="center"/>
            </w:pPr>
          </w:p>
          <w:p w14:paraId="58DA71AC" w14:textId="77777777" w:rsidR="00432B96" w:rsidRPr="002A770B" w:rsidRDefault="30C3C8E9" w:rsidP="00B50FBE">
            <w:pPr>
              <w:pStyle w:val="TableText0"/>
              <w:widowControl w:val="0"/>
              <w:jc w:val="center"/>
            </w:pPr>
            <w:r w:rsidRPr="002A770B">
              <w:t>-1.8%</w:t>
            </w:r>
          </w:p>
          <w:p w14:paraId="4F47B770" w14:textId="77777777" w:rsidR="00432B96" w:rsidRPr="002A770B" w:rsidRDefault="30C3C8E9" w:rsidP="00B50FBE">
            <w:pPr>
              <w:pStyle w:val="TableText0"/>
              <w:widowControl w:val="0"/>
              <w:jc w:val="center"/>
            </w:pPr>
            <w:r w:rsidRPr="002A770B">
              <w:t>7.7%</w:t>
            </w:r>
          </w:p>
        </w:tc>
      </w:tr>
      <w:tr w:rsidR="00432B96" w:rsidRPr="002A770B" w14:paraId="4D2F596D" w14:textId="77777777" w:rsidTr="57626B43">
        <w:tc>
          <w:tcPr>
            <w:tcW w:w="1334" w:type="pct"/>
          </w:tcPr>
          <w:p w14:paraId="1720C149" w14:textId="77777777" w:rsidR="00432B96" w:rsidRPr="002A770B" w:rsidRDefault="30C3C8E9" w:rsidP="00B50FBE">
            <w:pPr>
              <w:pStyle w:val="TableText0"/>
              <w:widowControl w:val="0"/>
            </w:pPr>
            <w:r w:rsidRPr="002A770B">
              <w:t>Modelling cardiac failure</w:t>
            </w:r>
            <w:r w:rsidRPr="002A770B">
              <w:rPr>
                <w:rFonts w:eastAsia="Calibri"/>
                <w:vertAlign w:val="superscript"/>
              </w:rPr>
              <w:t>a</w:t>
            </w:r>
          </w:p>
          <w:p w14:paraId="5EA3C198" w14:textId="77777777" w:rsidR="00432B96" w:rsidRPr="002A770B" w:rsidRDefault="30C3C8E9" w:rsidP="00B50FBE">
            <w:pPr>
              <w:pStyle w:val="TableText0"/>
              <w:widowControl w:val="0"/>
            </w:pPr>
            <w:r w:rsidRPr="002A770B">
              <w:t>Removed cost and disutility</w:t>
            </w:r>
            <w:r w:rsidRPr="002A770B">
              <w:rPr>
                <w:rFonts w:eastAsia="Calibri"/>
                <w:vertAlign w:val="superscript"/>
              </w:rPr>
              <w:t xml:space="preserve"> </w:t>
            </w:r>
          </w:p>
        </w:tc>
        <w:tc>
          <w:tcPr>
            <w:tcW w:w="549" w:type="pct"/>
            <w:vAlign w:val="center"/>
          </w:tcPr>
          <w:p w14:paraId="4B46C746"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2" w:type="pct"/>
            <w:vAlign w:val="center"/>
          </w:tcPr>
          <w:p w14:paraId="7557A736" w14:textId="77777777" w:rsidR="00432B96" w:rsidRPr="002A770B" w:rsidRDefault="30C3C8E9" w:rsidP="00B50FBE">
            <w:pPr>
              <w:pStyle w:val="TableText0"/>
              <w:widowControl w:val="0"/>
              <w:jc w:val="center"/>
            </w:pPr>
            <w:r w:rsidRPr="002A770B">
              <w:t>1.65</w:t>
            </w:r>
          </w:p>
        </w:tc>
        <w:tc>
          <w:tcPr>
            <w:tcW w:w="550" w:type="pct"/>
            <w:vAlign w:val="center"/>
          </w:tcPr>
          <w:p w14:paraId="3EB6BA34" w14:textId="77777777" w:rsidR="00432B96"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vAlign w:val="center"/>
          </w:tcPr>
          <w:p w14:paraId="031232D6" w14:textId="77777777" w:rsidR="00432B96" w:rsidRPr="002A770B" w:rsidRDefault="30C3C8E9" w:rsidP="00B50FBE">
            <w:pPr>
              <w:pStyle w:val="TableText0"/>
              <w:widowControl w:val="0"/>
              <w:jc w:val="center"/>
            </w:pPr>
            <w:r w:rsidRPr="002A770B">
              <w:t>2.5%</w:t>
            </w:r>
          </w:p>
        </w:tc>
        <w:tc>
          <w:tcPr>
            <w:tcW w:w="550" w:type="pct"/>
            <w:vAlign w:val="center"/>
          </w:tcPr>
          <w:p w14:paraId="6C34FC54" w14:textId="77777777" w:rsidR="00432B96" w:rsidRPr="008E6972" w:rsidRDefault="008E6972" w:rsidP="00B50FBE">
            <w:pPr>
              <w:pStyle w:val="TableText0"/>
              <w:widowControl w:val="0"/>
              <w:jc w:val="center"/>
              <w:rPr>
                <w:highlight w:val="black"/>
              </w:rPr>
            </w:pPr>
            <w:r>
              <w:rPr>
                <w:noProof/>
                <w:color w:val="000000"/>
                <w:highlight w:val="black"/>
              </w:rPr>
              <w:t>''''''''''''''''''''</w:t>
            </w:r>
          </w:p>
        </w:tc>
        <w:tc>
          <w:tcPr>
            <w:tcW w:w="393" w:type="pct"/>
            <w:vAlign w:val="center"/>
          </w:tcPr>
          <w:p w14:paraId="47C11263" w14:textId="77777777" w:rsidR="00432B96" w:rsidRPr="002A770B" w:rsidRDefault="30C3C8E9" w:rsidP="00B50FBE">
            <w:pPr>
              <w:pStyle w:val="TableText0"/>
              <w:widowControl w:val="0"/>
              <w:jc w:val="center"/>
            </w:pPr>
            <w:r w:rsidRPr="002A770B">
              <w:t>3.14</w:t>
            </w:r>
          </w:p>
        </w:tc>
        <w:tc>
          <w:tcPr>
            <w:tcW w:w="472" w:type="pct"/>
            <w:vAlign w:val="center"/>
          </w:tcPr>
          <w:p w14:paraId="54EB31B6" w14:textId="77777777" w:rsidR="00432B96"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vAlign w:val="center"/>
          </w:tcPr>
          <w:p w14:paraId="5DDEF379" w14:textId="77777777" w:rsidR="00432B96" w:rsidRPr="002A770B" w:rsidRDefault="30C3C8E9" w:rsidP="00B50FBE">
            <w:pPr>
              <w:pStyle w:val="TableText0"/>
              <w:widowControl w:val="0"/>
              <w:jc w:val="center"/>
            </w:pPr>
            <w:r w:rsidRPr="002A770B">
              <w:t>1.4%</w:t>
            </w:r>
          </w:p>
        </w:tc>
      </w:tr>
      <w:tr w:rsidR="00432B96" w:rsidRPr="002A770B" w14:paraId="1D20545E" w14:textId="77777777" w:rsidTr="002E6497">
        <w:tc>
          <w:tcPr>
            <w:tcW w:w="1334" w:type="pct"/>
          </w:tcPr>
          <w:p w14:paraId="2C8676BA" w14:textId="77777777" w:rsidR="00432B96" w:rsidRPr="002A770B" w:rsidRDefault="30C3C8E9" w:rsidP="00B50FBE">
            <w:pPr>
              <w:pStyle w:val="TableText0"/>
              <w:widowControl w:val="0"/>
            </w:pPr>
            <w:r w:rsidRPr="002A770B">
              <w:t>Utility value loss of response (0.719</w:t>
            </w:r>
            <w:r w:rsidR="003877F3" w:rsidRPr="002A770B">
              <w:t>, base =0.644</w:t>
            </w:r>
            <w:r w:rsidRPr="002A770B">
              <w:t>) and response (0.735</w:t>
            </w:r>
            <w:r w:rsidR="003877F3" w:rsidRPr="002A770B">
              <w:t>. base =0.733</w:t>
            </w:r>
            <w:r w:rsidRPr="002A770B">
              <w:t>)</w:t>
            </w:r>
            <w:r w:rsidRPr="002A770B">
              <w:rPr>
                <w:vertAlign w:val="superscript"/>
              </w:rPr>
              <w:t xml:space="preserve"> a</w:t>
            </w:r>
          </w:p>
        </w:tc>
        <w:tc>
          <w:tcPr>
            <w:tcW w:w="549" w:type="pct"/>
            <w:vAlign w:val="center"/>
          </w:tcPr>
          <w:p w14:paraId="3D858607" w14:textId="77777777" w:rsidR="00432B96" w:rsidRPr="008E6972" w:rsidRDefault="008E6972" w:rsidP="002E6497">
            <w:pPr>
              <w:pStyle w:val="TableText0"/>
              <w:widowControl w:val="0"/>
              <w:jc w:val="center"/>
              <w:rPr>
                <w:highlight w:val="black"/>
              </w:rPr>
            </w:pPr>
            <w:r>
              <w:rPr>
                <w:noProof/>
                <w:color w:val="000000"/>
                <w:highlight w:val="black"/>
              </w:rPr>
              <w:t>'''''''''''''''''''''</w:t>
            </w:r>
          </w:p>
        </w:tc>
        <w:tc>
          <w:tcPr>
            <w:tcW w:w="392" w:type="pct"/>
            <w:vAlign w:val="center"/>
          </w:tcPr>
          <w:p w14:paraId="467386D2" w14:textId="77777777" w:rsidR="00432B96" w:rsidRPr="002A770B" w:rsidRDefault="30C3C8E9" w:rsidP="002E6497">
            <w:pPr>
              <w:pStyle w:val="TableText0"/>
              <w:widowControl w:val="0"/>
              <w:jc w:val="center"/>
            </w:pPr>
            <w:r w:rsidRPr="002A770B">
              <w:t>1.59</w:t>
            </w:r>
          </w:p>
        </w:tc>
        <w:tc>
          <w:tcPr>
            <w:tcW w:w="550" w:type="pct"/>
            <w:vAlign w:val="center"/>
          </w:tcPr>
          <w:p w14:paraId="5907FCAE" w14:textId="77777777" w:rsidR="00432B96" w:rsidRPr="008E6972" w:rsidRDefault="008E6972" w:rsidP="002E6497">
            <w:pPr>
              <w:pStyle w:val="TableText0"/>
              <w:widowControl w:val="0"/>
              <w:jc w:val="center"/>
            </w:pPr>
            <w:r>
              <w:rPr>
                <w:noProof/>
                <w:color w:val="000000"/>
                <w:highlight w:val="black"/>
              </w:rPr>
              <w:t>''''''''''''''''''''</w:t>
            </w:r>
            <w:r w:rsidR="00B604CD">
              <w:rPr>
                <w:rFonts w:eastAsia="Calibri"/>
                <w:szCs w:val="18"/>
                <w:vertAlign w:val="superscript"/>
              </w:rPr>
              <w:t>2</w:t>
            </w:r>
          </w:p>
        </w:tc>
        <w:tc>
          <w:tcPr>
            <w:tcW w:w="394" w:type="pct"/>
            <w:vAlign w:val="center"/>
          </w:tcPr>
          <w:p w14:paraId="2275899C" w14:textId="77777777" w:rsidR="00432B96" w:rsidRPr="002A770B" w:rsidRDefault="30C3C8E9" w:rsidP="002E6497">
            <w:pPr>
              <w:pStyle w:val="TableText0"/>
              <w:widowControl w:val="0"/>
              <w:jc w:val="center"/>
            </w:pPr>
            <w:r w:rsidRPr="002A770B">
              <w:t>6.3%</w:t>
            </w:r>
          </w:p>
        </w:tc>
        <w:tc>
          <w:tcPr>
            <w:tcW w:w="550" w:type="pct"/>
            <w:vAlign w:val="center"/>
          </w:tcPr>
          <w:p w14:paraId="122CFCD1" w14:textId="77777777" w:rsidR="00432B96" w:rsidRPr="008E6972" w:rsidRDefault="008E6972" w:rsidP="002E6497">
            <w:pPr>
              <w:pStyle w:val="TableText0"/>
              <w:widowControl w:val="0"/>
              <w:jc w:val="center"/>
              <w:rPr>
                <w:highlight w:val="black"/>
              </w:rPr>
            </w:pPr>
            <w:r>
              <w:rPr>
                <w:noProof/>
                <w:color w:val="000000"/>
                <w:highlight w:val="black"/>
              </w:rPr>
              <w:t>'''''''''''''''''''''''</w:t>
            </w:r>
          </w:p>
        </w:tc>
        <w:tc>
          <w:tcPr>
            <w:tcW w:w="393" w:type="pct"/>
            <w:vAlign w:val="center"/>
          </w:tcPr>
          <w:p w14:paraId="62EB9AEA" w14:textId="77777777" w:rsidR="00432B96" w:rsidRPr="002A770B" w:rsidRDefault="30C3C8E9" w:rsidP="002E6497">
            <w:pPr>
              <w:pStyle w:val="TableText0"/>
              <w:widowControl w:val="0"/>
              <w:jc w:val="center"/>
            </w:pPr>
            <w:r w:rsidRPr="002A770B">
              <w:t>3.20</w:t>
            </w:r>
          </w:p>
        </w:tc>
        <w:tc>
          <w:tcPr>
            <w:tcW w:w="472" w:type="pct"/>
            <w:vAlign w:val="center"/>
          </w:tcPr>
          <w:p w14:paraId="03A2FDAB" w14:textId="77777777" w:rsidR="00432B96" w:rsidRPr="008E6972" w:rsidRDefault="008E6972" w:rsidP="002E6497">
            <w:pPr>
              <w:pStyle w:val="TableText0"/>
              <w:widowControl w:val="0"/>
              <w:jc w:val="center"/>
            </w:pPr>
            <w:r>
              <w:rPr>
                <w:noProof/>
                <w:color w:val="000000"/>
                <w:highlight w:val="black"/>
              </w:rPr>
              <w:t>''''''''''''''''''''</w:t>
            </w:r>
            <w:r w:rsidR="00F83562">
              <w:rPr>
                <w:rFonts w:eastAsia="Calibri"/>
                <w:szCs w:val="18"/>
                <w:vertAlign w:val="superscript"/>
              </w:rPr>
              <w:t>5</w:t>
            </w:r>
          </w:p>
        </w:tc>
        <w:tc>
          <w:tcPr>
            <w:tcW w:w="366" w:type="pct"/>
            <w:vAlign w:val="center"/>
          </w:tcPr>
          <w:p w14:paraId="1EEA49DD" w14:textId="77777777" w:rsidR="00432B96" w:rsidRPr="002A770B" w:rsidRDefault="30C3C8E9" w:rsidP="002E6497">
            <w:pPr>
              <w:pStyle w:val="TableText0"/>
              <w:widowControl w:val="0"/>
              <w:jc w:val="center"/>
            </w:pPr>
            <w:r w:rsidRPr="002A770B">
              <w:t>-0.7%</w:t>
            </w:r>
          </w:p>
        </w:tc>
      </w:tr>
      <w:tr w:rsidR="00E951B4" w:rsidRPr="002A770B" w14:paraId="709461BC" w14:textId="77777777" w:rsidTr="004A1B07">
        <w:tc>
          <w:tcPr>
            <w:tcW w:w="1334" w:type="pct"/>
          </w:tcPr>
          <w:p w14:paraId="7C514CA6" w14:textId="77777777" w:rsidR="00E951B4" w:rsidRPr="002A770B" w:rsidRDefault="00E951B4" w:rsidP="00B50FBE">
            <w:pPr>
              <w:pStyle w:val="TableText0"/>
              <w:widowControl w:val="0"/>
            </w:pPr>
            <w:r w:rsidRPr="002A770B">
              <w:t xml:space="preserve">Complete response for dara SC at 6 months (0.503) </w:t>
            </w:r>
          </w:p>
          <w:p w14:paraId="55F6667A" w14:textId="77777777" w:rsidR="00E951B4" w:rsidRPr="002A770B" w:rsidRDefault="00E951B4" w:rsidP="0070637E">
            <w:pPr>
              <w:pStyle w:val="TableText0"/>
              <w:widowControl w:val="0"/>
              <w:numPr>
                <w:ilvl w:val="0"/>
                <w:numId w:val="10"/>
              </w:numPr>
              <w:ind w:left="340" w:hanging="227"/>
            </w:pPr>
            <w:r w:rsidRPr="002A770B">
              <w:t>10% increase – 0.553</w:t>
            </w:r>
          </w:p>
          <w:p w14:paraId="68C63EFE" w14:textId="77777777" w:rsidR="00E951B4" w:rsidRPr="002A770B" w:rsidRDefault="00E951B4" w:rsidP="0070637E">
            <w:pPr>
              <w:pStyle w:val="TableText0"/>
              <w:widowControl w:val="0"/>
              <w:numPr>
                <w:ilvl w:val="0"/>
                <w:numId w:val="4"/>
              </w:numPr>
              <w:ind w:left="340" w:hanging="227"/>
            </w:pPr>
            <w:r w:rsidRPr="002A770B">
              <w:t>10% decrease – 0.453</w:t>
            </w:r>
          </w:p>
        </w:tc>
        <w:tc>
          <w:tcPr>
            <w:tcW w:w="549" w:type="pct"/>
            <w:tcBorders>
              <w:top w:val="single" w:sz="4" w:space="0" w:color="auto"/>
              <w:left w:val="nil"/>
              <w:bottom w:val="single" w:sz="4" w:space="0" w:color="auto"/>
              <w:right w:val="single" w:sz="4" w:space="0" w:color="auto"/>
            </w:tcBorders>
            <w:shd w:val="clear" w:color="auto" w:fill="auto"/>
          </w:tcPr>
          <w:p w14:paraId="186B8CF6" w14:textId="77777777" w:rsidR="00E951B4" w:rsidRPr="008E6972" w:rsidRDefault="00E951B4" w:rsidP="00B50FBE">
            <w:pPr>
              <w:pStyle w:val="TableText0"/>
              <w:widowControl w:val="0"/>
              <w:jc w:val="center"/>
            </w:pPr>
          </w:p>
          <w:p w14:paraId="710B886A" w14:textId="77777777" w:rsidR="00E951B4" w:rsidRPr="008E6972" w:rsidRDefault="00E951B4" w:rsidP="00B50FBE">
            <w:pPr>
              <w:pStyle w:val="TableText0"/>
              <w:widowControl w:val="0"/>
              <w:jc w:val="center"/>
            </w:pPr>
          </w:p>
          <w:p w14:paraId="627D3C8C" w14:textId="77777777" w:rsidR="00E951B4" w:rsidRPr="008E6972" w:rsidRDefault="008E6972" w:rsidP="00B50FBE">
            <w:pPr>
              <w:pStyle w:val="TableText0"/>
              <w:widowControl w:val="0"/>
              <w:jc w:val="center"/>
              <w:rPr>
                <w:highlight w:val="black"/>
              </w:rPr>
            </w:pPr>
            <w:r>
              <w:rPr>
                <w:noProof/>
                <w:color w:val="000000"/>
                <w:highlight w:val="black"/>
              </w:rPr>
              <w:t>'''''''''''''''''''''</w:t>
            </w:r>
          </w:p>
          <w:p w14:paraId="7988B261"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C30262F" w14:textId="77777777" w:rsidR="00E951B4" w:rsidRPr="002A770B" w:rsidRDefault="00E951B4" w:rsidP="00B50FBE">
            <w:pPr>
              <w:pStyle w:val="TableText0"/>
              <w:widowControl w:val="0"/>
              <w:jc w:val="center"/>
            </w:pPr>
          </w:p>
          <w:p w14:paraId="2E357EC4" w14:textId="77777777" w:rsidR="00E951B4" w:rsidRPr="002A770B" w:rsidRDefault="00E951B4" w:rsidP="00B50FBE">
            <w:pPr>
              <w:pStyle w:val="TableText0"/>
              <w:widowControl w:val="0"/>
              <w:jc w:val="center"/>
            </w:pPr>
          </w:p>
          <w:p w14:paraId="554CE6B1" w14:textId="77777777" w:rsidR="00E951B4" w:rsidRPr="002A770B" w:rsidRDefault="00E951B4" w:rsidP="00B50FBE">
            <w:pPr>
              <w:pStyle w:val="TableText0"/>
              <w:widowControl w:val="0"/>
              <w:jc w:val="center"/>
            </w:pPr>
            <w:r w:rsidRPr="002A770B">
              <w:t>1.87</w:t>
            </w:r>
          </w:p>
          <w:p w14:paraId="023AE4B4" w14:textId="77777777" w:rsidR="00E951B4" w:rsidRPr="002A770B" w:rsidRDefault="00E951B4" w:rsidP="00B50FBE">
            <w:pPr>
              <w:pStyle w:val="TableText0"/>
              <w:widowControl w:val="0"/>
              <w:jc w:val="center"/>
            </w:pPr>
            <w:r w:rsidRPr="002A770B">
              <w:t>1.51</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8647D0C" w14:textId="77777777" w:rsidR="00E951B4" w:rsidRPr="008E6972" w:rsidRDefault="00E951B4" w:rsidP="00B50FBE">
            <w:pPr>
              <w:pStyle w:val="TableText0"/>
              <w:widowControl w:val="0"/>
              <w:jc w:val="center"/>
            </w:pPr>
          </w:p>
          <w:p w14:paraId="321DFCEB" w14:textId="77777777" w:rsidR="00E951B4" w:rsidRPr="008E6972" w:rsidRDefault="00E951B4" w:rsidP="00B50FBE">
            <w:pPr>
              <w:pStyle w:val="TableText0"/>
              <w:widowControl w:val="0"/>
              <w:jc w:val="center"/>
            </w:pPr>
          </w:p>
          <w:p w14:paraId="437C9FC2" w14:textId="77777777" w:rsidR="00E951B4"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p w14:paraId="1F09ADE5" w14:textId="77777777" w:rsidR="00E951B4"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160EA8E" w14:textId="77777777" w:rsidR="00E951B4" w:rsidRPr="002A770B" w:rsidRDefault="00E951B4" w:rsidP="00B50FBE">
            <w:pPr>
              <w:pStyle w:val="TableText0"/>
              <w:widowControl w:val="0"/>
              <w:jc w:val="center"/>
            </w:pPr>
          </w:p>
          <w:p w14:paraId="0E13248D" w14:textId="77777777" w:rsidR="00E951B4" w:rsidRPr="002A770B" w:rsidRDefault="00E951B4" w:rsidP="00B50FBE">
            <w:pPr>
              <w:pStyle w:val="TableText0"/>
              <w:widowControl w:val="0"/>
              <w:jc w:val="center"/>
            </w:pPr>
          </w:p>
          <w:p w14:paraId="0F6DFC55" w14:textId="77777777" w:rsidR="00E951B4" w:rsidRPr="002A770B" w:rsidRDefault="00E951B4" w:rsidP="00B50FBE">
            <w:pPr>
              <w:pStyle w:val="TableText0"/>
              <w:widowControl w:val="0"/>
              <w:jc w:val="center"/>
            </w:pPr>
            <w:r w:rsidRPr="002A770B">
              <w:t>-9.7%</w:t>
            </w:r>
          </w:p>
          <w:p w14:paraId="09760AD2" w14:textId="77777777" w:rsidR="00E951B4" w:rsidRPr="002A770B" w:rsidRDefault="00E951B4" w:rsidP="00B50FBE">
            <w:pPr>
              <w:pStyle w:val="TableText0"/>
              <w:widowControl w:val="0"/>
              <w:jc w:val="center"/>
            </w:pPr>
            <w:r w:rsidRPr="002A770B">
              <w:t>12.1%</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089C7C6" w14:textId="77777777" w:rsidR="00E951B4" w:rsidRPr="008E6972" w:rsidRDefault="00E951B4" w:rsidP="00B50FBE">
            <w:pPr>
              <w:pStyle w:val="TableText0"/>
              <w:widowControl w:val="0"/>
              <w:jc w:val="center"/>
            </w:pPr>
          </w:p>
          <w:p w14:paraId="10C1B439" w14:textId="77777777" w:rsidR="00E951B4" w:rsidRPr="008E6972" w:rsidRDefault="00E951B4" w:rsidP="00B50FBE">
            <w:pPr>
              <w:pStyle w:val="TableText0"/>
              <w:widowControl w:val="0"/>
              <w:jc w:val="center"/>
            </w:pPr>
          </w:p>
          <w:p w14:paraId="722BB882" w14:textId="77777777" w:rsidR="00E951B4" w:rsidRPr="008E6972" w:rsidRDefault="008E6972" w:rsidP="00B50FBE">
            <w:pPr>
              <w:pStyle w:val="TableText0"/>
              <w:widowControl w:val="0"/>
              <w:jc w:val="center"/>
              <w:rPr>
                <w:highlight w:val="black"/>
              </w:rPr>
            </w:pPr>
            <w:r>
              <w:rPr>
                <w:noProof/>
                <w:color w:val="000000"/>
                <w:highlight w:val="black"/>
              </w:rPr>
              <w:t>'''''''''''''''''''''</w:t>
            </w:r>
          </w:p>
          <w:p w14:paraId="12525036"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ADBDA31" w14:textId="77777777" w:rsidR="00E951B4" w:rsidRPr="002A770B" w:rsidRDefault="00E951B4" w:rsidP="00B50FBE">
            <w:pPr>
              <w:pStyle w:val="TableText0"/>
              <w:widowControl w:val="0"/>
              <w:jc w:val="center"/>
            </w:pPr>
          </w:p>
          <w:p w14:paraId="5F4E7AF1" w14:textId="77777777" w:rsidR="00E951B4" w:rsidRPr="002A770B" w:rsidRDefault="00E951B4" w:rsidP="00B50FBE">
            <w:pPr>
              <w:pStyle w:val="TableText0"/>
              <w:widowControl w:val="0"/>
              <w:jc w:val="center"/>
            </w:pPr>
          </w:p>
          <w:p w14:paraId="60CF542E" w14:textId="77777777" w:rsidR="00E951B4" w:rsidRPr="002A770B" w:rsidRDefault="00E951B4" w:rsidP="00B50FBE">
            <w:pPr>
              <w:pStyle w:val="TableText0"/>
              <w:widowControl w:val="0"/>
              <w:jc w:val="center"/>
            </w:pPr>
            <w:r w:rsidRPr="002A770B">
              <w:t>3.36</w:t>
            </w:r>
          </w:p>
          <w:p w14:paraId="0CDD4061" w14:textId="77777777" w:rsidR="00E951B4" w:rsidRPr="002A770B" w:rsidRDefault="00E951B4" w:rsidP="00B50FBE">
            <w:pPr>
              <w:pStyle w:val="TableText0"/>
              <w:widowControl w:val="0"/>
              <w:jc w:val="center"/>
            </w:pPr>
            <w:r w:rsidRPr="002A770B">
              <w:t>3.00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EFB90A6" w14:textId="77777777" w:rsidR="00E951B4" w:rsidRPr="008E6972" w:rsidRDefault="00E951B4" w:rsidP="00B50FBE">
            <w:pPr>
              <w:pStyle w:val="TableText0"/>
              <w:widowControl w:val="0"/>
              <w:jc w:val="center"/>
            </w:pPr>
          </w:p>
          <w:p w14:paraId="33E8E7C1" w14:textId="77777777" w:rsidR="00E951B4" w:rsidRPr="008E6972" w:rsidRDefault="00E951B4" w:rsidP="00B50FBE">
            <w:pPr>
              <w:pStyle w:val="TableText0"/>
              <w:widowControl w:val="0"/>
              <w:jc w:val="center"/>
            </w:pPr>
          </w:p>
          <w:p w14:paraId="090F9A7A" w14:textId="77777777" w:rsidR="00E951B4"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p w14:paraId="36A5F91C" w14:textId="77777777" w:rsidR="00E951B4"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8528941" w14:textId="77777777" w:rsidR="00E951B4" w:rsidRPr="002A770B" w:rsidRDefault="00E951B4" w:rsidP="00B50FBE">
            <w:pPr>
              <w:pStyle w:val="TableText0"/>
              <w:widowControl w:val="0"/>
              <w:jc w:val="center"/>
            </w:pPr>
          </w:p>
          <w:p w14:paraId="31685389" w14:textId="77777777" w:rsidR="00E951B4" w:rsidRPr="002A770B" w:rsidRDefault="00E951B4" w:rsidP="00B50FBE">
            <w:pPr>
              <w:pStyle w:val="TableText0"/>
              <w:widowControl w:val="0"/>
              <w:jc w:val="center"/>
            </w:pPr>
          </w:p>
          <w:p w14:paraId="0A598F35" w14:textId="77777777" w:rsidR="00E951B4" w:rsidRPr="002A770B" w:rsidRDefault="00E951B4" w:rsidP="00B50FBE">
            <w:pPr>
              <w:pStyle w:val="TableText0"/>
              <w:widowControl w:val="0"/>
              <w:jc w:val="center"/>
            </w:pPr>
            <w:r w:rsidRPr="002A770B">
              <w:t>-5.4%</w:t>
            </w:r>
          </w:p>
          <w:p w14:paraId="28D78EF7" w14:textId="77777777" w:rsidR="00E951B4" w:rsidRPr="002A770B" w:rsidRDefault="00E951B4" w:rsidP="00B50FBE">
            <w:pPr>
              <w:pStyle w:val="TableText0"/>
              <w:widowControl w:val="0"/>
              <w:jc w:val="center"/>
            </w:pPr>
            <w:r w:rsidRPr="002A770B">
              <w:t>6.1%</w:t>
            </w:r>
          </w:p>
        </w:tc>
      </w:tr>
      <w:tr w:rsidR="00E951B4" w:rsidRPr="002A770B" w14:paraId="2D6B0A11" w14:textId="77777777" w:rsidTr="57626B43">
        <w:tc>
          <w:tcPr>
            <w:tcW w:w="1334" w:type="pct"/>
          </w:tcPr>
          <w:p w14:paraId="0776587F" w14:textId="77777777" w:rsidR="00E951B4" w:rsidRPr="002A770B" w:rsidRDefault="00E951B4" w:rsidP="00B50FBE">
            <w:pPr>
              <w:pStyle w:val="TableText0"/>
              <w:widowControl w:val="0"/>
            </w:pPr>
            <w:r w:rsidRPr="002A770B">
              <w:t>Discounting (5%)</w:t>
            </w:r>
          </w:p>
          <w:p w14:paraId="622DA287" w14:textId="77777777" w:rsidR="00E951B4" w:rsidRPr="002A770B" w:rsidRDefault="00E951B4" w:rsidP="0070637E">
            <w:pPr>
              <w:pStyle w:val="TableText0"/>
              <w:widowControl w:val="0"/>
              <w:numPr>
                <w:ilvl w:val="0"/>
                <w:numId w:val="4"/>
              </w:numPr>
              <w:ind w:left="340" w:hanging="227"/>
            </w:pPr>
            <w:r w:rsidRPr="002A770B">
              <w:t>0%</w:t>
            </w:r>
          </w:p>
          <w:p w14:paraId="0BC0FD32" w14:textId="77777777" w:rsidR="00E951B4" w:rsidRPr="002A770B" w:rsidRDefault="00E951B4" w:rsidP="0070637E">
            <w:pPr>
              <w:pStyle w:val="TableText0"/>
              <w:widowControl w:val="0"/>
              <w:numPr>
                <w:ilvl w:val="0"/>
                <w:numId w:val="4"/>
              </w:numPr>
              <w:ind w:left="340" w:hanging="227"/>
            </w:pPr>
            <w:r w:rsidRPr="002A770B">
              <w:t>3.5%</w:t>
            </w:r>
          </w:p>
        </w:tc>
        <w:tc>
          <w:tcPr>
            <w:tcW w:w="549" w:type="pct"/>
          </w:tcPr>
          <w:p w14:paraId="05BE2D13" w14:textId="77777777" w:rsidR="00E951B4" w:rsidRPr="008E6972" w:rsidRDefault="00E951B4" w:rsidP="00B50FBE">
            <w:pPr>
              <w:pStyle w:val="TableText0"/>
              <w:widowControl w:val="0"/>
              <w:jc w:val="center"/>
            </w:pPr>
          </w:p>
          <w:p w14:paraId="6BD3F76F" w14:textId="77777777" w:rsidR="00E951B4" w:rsidRPr="008E6972" w:rsidRDefault="008E6972" w:rsidP="00B50FBE">
            <w:pPr>
              <w:pStyle w:val="TableText0"/>
              <w:widowControl w:val="0"/>
              <w:jc w:val="center"/>
              <w:rPr>
                <w:highlight w:val="black"/>
              </w:rPr>
            </w:pPr>
            <w:r>
              <w:rPr>
                <w:noProof/>
                <w:color w:val="000000"/>
                <w:highlight w:val="black"/>
              </w:rPr>
              <w:t>'''''''''''''''''''''</w:t>
            </w:r>
          </w:p>
          <w:p w14:paraId="3DC84CBE"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2" w:type="pct"/>
          </w:tcPr>
          <w:p w14:paraId="4834F2C2" w14:textId="77777777" w:rsidR="00E951B4" w:rsidRPr="002A770B" w:rsidRDefault="00E951B4" w:rsidP="00B50FBE">
            <w:pPr>
              <w:pStyle w:val="TableText0"/>
              <w:widowControl w:val="0"/>
              <w:jc w:val="center"/>
            </w:pPr>
          </w:p>
          <w:p w14:paraId="3251DF3C" w14:textId="77777777" w:rsidR="00E951B4" w:rsidRPr="002A770B" w:rsidRDefault="00E951B4" w:rsidP="00B50FBE">
            <w:pPr>
              <w:pStyle w:val="TableText0"/>
              <w:widowControl w:val="0"/>
              <w:jc w:val="center"/>
            </w:pPr>
            <w:r w:rsidRPr="002A770B">
              <w:t>2.53</w:t>
            </w:r>
          </w:p>
          <w:p w14:paraId="09EDC3B6" w14:textId="77777777" w:rsidR="00E951B4" w:rsidRPr="002A770B" w:rsidRDefault="00E951B4" w:rsidP="00B50FBE">
            <w:pPr>
              <w:pStyle w:val="TableText0"/>
              <w:widowControl w:val="0"/>
              <w:jc w:val="center"/>
            </w:pPr>
            <w:r w:rsidRPr="002A770B">
              <w:t xml:space="preserve">1.89 </w:t>
            </w:r>
          </w:p>
        </w:tc>
        <w:tc>
          <w:tcPr>
            <w:tcW w:w="550" w:type="pct"/>
          </w:tcPr>
          <w:p w14:paraId="0179D877" w14:textId="77777777" w:rsidR="00E951B4" w:rsidRPr="008E6972" w:rsidRDefault="00E951B4" w:rsidP="00B50FBE">
            <w:pPr>
              <w:pStyle w:val="TableText0"/>
              <w:widowControl w:val="0"/>
              <w:jc w:val="center"/>
            </w:pPr>
          </w:p>
          <w:p w14:paraId="3A71FB50" w14:textId="77777777" w:rsidR="00E951B4" w:rsidRPr="008E6972" w:rsidRDefault="008E6972" w:rsidP="00B50FBE">
            <w:pPr>
              <w:pStyle w:val="TableText0"/>
              <w:widowControl w:val="0"/>
              <w:jc w:val="center"/>
            </w:pPr>
            <w:r>
              <w:rPr>
                <w:noProof/>
                <w:color w:val="000000"/>
                <w:highlight w:val="black"/>
              </w:rPr>
              <w:t>'''''''''''''''''''''</w:t>
            </w:r>
            <w:r w:rsidR="00D103CE">
              <w:rPr>
                <w:rFonts w:eastAsia="Calibri"/>
                <w:szCs w:val="18"/>
                <w:vertAlign w:val="superscript"/>
              </w:rPr>
              <w:t>5</w:t>
            </w:r>
          </w:p>
          <w:p w14:paraId="41C2FABD" w14:textId="77777777" w:rsidR="00E951B4" w:rsidRPr="008E6972" w:rsidRDefault="008E6972" w:rsidP="00B50FBE">
            <w:pPr>
              <w:pStyle w:val="TableText0"/>
              <w:widowControl w:val="0"/>
              <w:jc w:val="center"/>
            </w:pPr>
            <w:r>
              <w:rPr>
                <w:noProof/>
                <w:color w:val="000000"/>
                <w:highlight w:val="black"/>
              </w:rPr>
              <w:t>''''''''''''''''''</w:t>
            </w:r>
            <w:r w:rsidR="00B604CD">
              <w:rPr>
                <w:rFonts w:eastAsia="Calibri"/>
                <w:szCs w:val="18"/>
                <w:vertAlign w:val="superscript"/>
              </w:rPr>
              <w:t>2</w:t>
            </w:r>
          </w:p>
        </w:tc>
        <w:tc>
          <w:tcPr>
            <w:tcW w:w="394" w:type="pct"/>
          </w:tcPr>
          <w:p w14:paraId="7019FF52" w14:textId="77777777" w:rsidR="00E951B4" w:rsidRPr="002A770B" w:rsidRDefault="00E951B4" w:rsidP="00B50FBE">
            <w:pPr>
              <w:pStyle w:val="TableText0"/>
              <w:widowControl w:val="0"/>
              <w:jc w:val="center"/>
            </w:pPr>
          </w:p>
          <w:p w14:paraId="3064E4C0" w14:textId="77777777" w:rsidR="00E951B4" w:rsidRPr="002A770B" w:rsidRDefault="00E951B4" w:rsidP="00B50FBE">
            <w:pPr>
              <w:pStyle w:val="TableText0"/>
              <w:widowControl w:val="0"/>
              <w:jc w:val="center"/>
            </w:pPr>
            <w:r w:rsidRPr="002A770B">
              <w:t>-30.4%</w:t>
            </w:r>
          </w:p>
          <w:p w14:paraId="29A86C3F" w14:textId="77777777" w:rsidR="00E951B4" w:rsidRPr="002A770B" w:rsidRDefault="00E951B4" w:rsidP="00B50FBE">
            <w:pPr>
              <w:pStyle w:val="TableText0"/>
              <w:widowControl w:val="0"/>
              <w:jc w:val="center"/>
            </w:pPr>
            <w:r w:rsidRPr="002A770B">
              <w:t>-9.7%</w:t>
            </w:r>
          </w:p>
        </w:tc>
        <w:tc>
          <w:tcPr>
            <w:tcW w:w="550" w:type="pct"/>
          </w:tcPr>
          <w:p w14:paraId="3D4D8634" w14:textId="77777777" w:rsidR="00E951B4" w:rsidRPr="008E6972" w:rsidRDefault="00E951B4" w:rsidP="00B50FBE">
            <w:pPr>
              <w:pStyle w:val="TableText0"/>
              <w:widowControl w:val="0"/>
              <w:jc w:val="center"/>
            </w:pPr>
          </w:p>
          <w:p w14:paraId="62224025" w14:textId="77777777" w:rsidR="00E951B4" w:rsidRPr="008E6972" w:rsidRDefault="008E6972" w:rsidP="00B50FBE">
            <w:pPr>
              <w:pStyle w:val="TableText0"/>
              <w:widowControl w:val="0"/>
              <w:jc w:val="center"/>
              <w:rPr>
                <w:highlight w:val="black"/>
              </w:rPr>
            </w:pPr>
            <w:r>
              <w:rPr>
                <w:noProof/>
                <w:color w:val="000000"/>
                <w:highlight w:val="black"/>
              </w:rPr>
              <w:t>'''''''''''''''''''''</w:t>
            </w:r>
          </w:p>
          <w:p w14:paraId="5703C1AD" w14:textId="77777777" w:rsidR="00E951B4" w:rsidRPr="008E6972" w:rsidRDefault="008E6972" w:rsidP="00B50FBE">
            <w:pPr>
              <w:pStyle w:val="TableText0"/>
              <w:widowControl w:val="0"/>
              <w:jc w:val="center"/>
              <w:rPr>
                <w:highlight w:val="black"/>
              </w:rPr>
            </w:pPr>
            <w:r>
              <w:rPr>
                <w:noProof/>
                <w:color w:val="000000"/>
                <w:highlight w:val="black"/>
              </w:rPr>
              <w:t>'''''''''''''''''''''</w:t>
            </w:r>
          </w:p>
        </w:tc>
        <w:tc>
          <w:tcPr>
            <w:tcW w:w="393" w:type="pct"/>
          </w:tcPr>
          <w:p w14:paraId="4629FBD0" w14:textId="77777777" w:rsidR="00E951B4" w:rsidRPr="002A770B" w:rsidRDefault="00E951B4" w:rsidP="00B50FBE">
            <w:pPr>
              <w:pStyle w:val="TableText0"/>
              <w:widowControl w:val="0"/>
              <w:jc w:val="center"/>
            </w:pPr>
          </w:p>
          <w:p w14:paraId="53AE3EF7" w14:textId="77777777" w:rsidR="00E951B4" w:rsidRPr="002A770B" w:rsidRDefault="00E951B4" w:rsidP="00B50FBE">
            <w:pPr>
              <w:pStyle w:val="TableText0"/>
              <w:widowControl w:val="0"/>
              <w:jc w:val="center"/>
            </w:pPr>
            <w:r w:rsidRPr="002A770B">
              <w:t xml:space="preserve">4.64 </w:t>
            </w:r>
          </w:p>
          <w:p w14:paraId="5EB272DA" w14:textId="77777777" w:rsidR="00E951B4" w:rsidRPr="002A770B" w:rsidRDefault="00E951B4" w:rsidP="00B50FBE">
            <w:pPr>
              <w:pStyle w:val="TableText0"/>
              <w:widowControl w:val="0"/>
              <w:jc w:val="center"/>
            </w:pPr>
            <w:r w:rsidRPr="002A770B">
              <w:t>3.53</w:t>
            </w:r>
          </w:p>
        </w:tc>
        <w:tc>
          <w:tcPr>
            <w:tcW w:w="472" w:type="pct"/>
          </w:tcPr>
          <w:p w14:paraId="7EED0F53" w14:textId="77777777" w:rsidR="00E951B4" w:rsidRPr="008E6972" w:rsidRDefault="00E951B4" w:rsidP="00B50FBE">
            <w:pPr>
              <w:pStyle w:val="TableText0"/>
              <w:widowControl w:val="0"/>
              <w:jc w:val="center"/>
            </w:pPr>
          </w:p>
          <w:p w14:paraId="6771E633" w14:textId="77777777" w:rsidR="00E951B4" w:rsidRPr="008E6972" w:rsidRDefault="008E6972" w:rsidP="00B50FBE">
            <w:pPr>
              <w:pStyle w:val="TableText0"/>
              <w:widowControl w:val="0"/>
              <w:jc w:val="center"/>
            </w:pPr>
            <w:r>
              <w:rPr>
                <w:noProof/>
                <w:color w:val="000000"/>
                <w:highlight w:val="black"/>
              </w:rPr>
              <w:t>''''''''''''''''''</w:t>
            </w:r>
            <w:r w:rsidR="00856938">
              <w:rPr>
                <w:rFonts w:eastAsia="Calibri"/>
                <w:szCs w:val="18"/>
                <w:vertAlign w:val="superscript"/>
              </w:rPr>
              <w:t>6</w:t>
            </w:r>
          </w:p>
          <w:p w14:paraId="179926E5" w14:textId="77777777" w:rsidR="00E951B4" w:rsidRPr="008E6972" w:rsidRDefault="008E6972" w:rsidP="00B50FBE">
            <w:pPr>
              <w:pStyle w:val="TableText0"/>
              <w:widowControl w:val="0"/>
              <w:jc w:val="center"/>
            </w:pPr>
            <w:r>
              <w:rPr>
                <w:noProof/>
                <w:color w:val="000000"/>
                <w:highlight w:val="black"/>
              </w:rPr>
              <w:t>''''''''''''''''''</w:t>
            </w:r>
            <w:r w:rsidR="00F83562">
              <w:rPr>
                <w:rFonts w:eastAsia="Calibri"/>
                <w:szCs w:val="18"/>
                <w:vertAlign w:val="superscript"/>
              </w:rPr>
              <w:t>5</w:t>
            </w:r>
          </w:p>
        </w:tc>
        <w:tc>
          <w:tcPr>
            <w:tcW w:w="366" w:type="pct"/>
          </w:tcPr>
          <w:p w14:paraId="6975D609" w14:textId="77777777" w:rsidR="00E951B4" w:rsidRPr="002A770B" w:rsidRDefault="00E951B4" w:rsidP="00B50FBE">
            <w:pPr>
              <w:pStyle w:val="TableText0"/>
              <w:widowControl w:val="0"/>
              <w:jc w:val="center"/>
            </w:pPr>
          </w:p>
          <w:p w14:paraId="68A115F9" w14:textId="77777777" w:rsidR="00E951B4" w:rsidRPr="002A770B" w:rsidRDefault="00E951B4" w:rsidP="00B50FBE">
            <w:pPr>
              <w:pStyle w:val="TableText0"/>
              <w:widowControl w:val="0"/>
              <w:jc w:val="center"/>
            </w:pPr>
            <w:r w:rsidRPr="002A770B">
              <w:t>-27.1%</w:t>
            </w:r>
          </w:p>
          <w:p w14:paraId="06D4D138" w14:textId="77777777" w:rsidR="00E951B4" w:rsidRPr="002A770B" w:rsidRDefault="00E951B4" w:rsidP="00B50FBE">
            <w:pPr>
              <w:pStyle w:val="TableText0"/>
              <w:widowControl w:val="0"/>
              <w:jc w:val="center"/>
            </w:pPr>
            <w:r w:rsidRPr="002A770B">
              <w:t>-8.6%</w:t>
            </w:r>
          </w:p>
        </w:tc>
      </w:tr>
    </w:tbl>
    <w:p w14:paraId="7E6DF4E8" w14:textId="77777777" w:rsidR="00432B96" w:rsidRPr="002A770B" w:rsidRDefault="30C3C8E9" w:rsidP="00432B96">
      <w:pPr>
        <w:pStyle w:val="TableFigureFooter"/>
      </w:pPr>
      <w:r w:rsidRPr="002A770B">
        <w:t>Source: Table 3.25, p.279-280 of the submission and Excel spreadsheet ‘Systemic AL amyloidosis Economic Model’</w:t>
      </w:r>
    </w:p>
    <w:p w14:paraId="5B59541A" w14:textId="77777777" w:rsidR="00432B96" w:rsidRPr="002A770B" w:rsidRDefault="30C3C8E9" w:rsidP="00432B96">
      <w:pPr>
        <w:pStyle w:val="TableFigureFooter"/>
      </w:pPr>
      <w:r w:rsidRPr="002A770B">
        <w:t xml:space="preserve">CyBorD = cyclophosphamide, bortezomib and dexamethasone; </w:t>
      </w:r>
      <w:r w:rsidR="43ECB812" w:rsidRPr="002A770B">
        <w:t xml:space="preserve">EFC = efficient funding of chemotherapy; </w:t>
      </w:r>
      <w:r w:rsidRPr="002A770B">
        <w:t xml:space="preserve">EMN = European Myeloma Network; HSD = highly specialised drug; ICER = incremental cost-effectiveness ratio; Incr = incremental; MDex = melphalan and dexamethasone; QALY = quality adjusted life year. </w:t>
      </w:r>
    </w:p>
    <w:p w14:paraId="0CFC51F9" w14:textId="77777777" w:rsidR="00432B96" w:rsidRPr="002A770B" w:rsidRDefault="30C3C8E9" w:rsidP="003877F3">
      <w:pPr>
        <w:pStyle w:val="TableFigureFooter"/>
        <w:rPr>
          <w:rFonts w:eastAsia="Calibri"/>
        </w:rPr>
      </w:pPr>
      <w:r w:rsidRPr="002A770B">
        <w:rPr>
          <w:rFonts w:eastAsia="Calibri"/>
          <w:vertAlign w:val="superscript"/>
        </w:rPr>
        <w:t>a</w:t>
      </w:r>
      <w:r w:rsidRPr="002A770B">
        <w:rPr>
          <w:rFonts w:eastAsia="Calibri"/>
        </w:rPr>
        <w:t xml:space="preserve">. </w:t>
      </w:r>
      <w:r w:rsidR="003877F3" w:rsidRPr="002A770B">
        <w:rPr>
          <w:rFonts w:eastAsia="Calibri"/>
        </w:rPr>
        <w:t xml:space="preserve"> Treatment cost of daratumumab SC to HSD S100 change public cost from to $</w:t>
      </w:r>
      <w:r w:rsidR="008E6972">
        <w:rPr>
          <w:rFonts w:eastAsia="Calibri"/>
          <w:noProof/>
          <w:color w:val="000000"/>
          <w:highlight w:val="black"/>
        </w:rPr>
        <w:t>'''''''''''''''''''</w:t>
      </w:r>
      <w:r w:rsidR="003877F3" w:rsidRPr="002A770B">
        <w:rPr>
          <w:rFonts w:eastAsia="Calibri"/>
        </w:rPr>
        <w:t xml:space="preserve"> to $</w:t>
      </w:r>
      <w:r w:rsidR="008E6972">
        <w:rPr>
          <w:rFonts w:eastAsia="Calibri"/>
          <w:noProof/>
          <w:color w:val="000000"/>
          <w:highlight w:val="black"/>
        </w:rPr>
        <w:t>''''''''''''''''''''</w:t>
      </w:r>
      <w:r w:rsidR="003877F3" w:rsidRPr="002A770B">
        <w:rPr>
          <w:rFonts w:eastAsia="Calibri"/>
        </w:rPr>
        <w:t xml:space="preserve"> and private cost from $</w:t>
      </w:r>
      <w:r w:rsidR="008E6972">
        <w:rPr>
          <w:rFonts w:eastAsia="Calibri"/>
          <w:noProof/>
          <w:color w:val="000000"/>
          <w:highlight w:val="black"/>
        </w:rPr>
        <w:t>''''''''''''''''''''''</w:t>
      </w:r>
      <w:r w:rsidR="003877F3" w:rsidRPr="002A770B">
        <w:rPr>
          <w:rFonts w:eastAsia="Calibri"/>
        </w:rPr>
        <w:t xml:space="preserve"> to $</w:t>
      </w:r>
      <w:r w:rsidR="008E6972">
        <w:rPr>
          <w:rFonts w:eastAsia="Calibri"/>
          <w:noProof/>
          <w:color w:val="000000"/>
          <w:highlight w:val="black"/>
        </w:rPr>
        <w:t>'''''''''''''''''''</w:t>
      </w:r>
      <w:r w:rsidR="003877F3" w:rsidRPr="002A770B">
        <w:rPr>
          <w:rFonts w:eastAsia="Calibri"/>
        </w:rPr>
        <w:t>. The analysis of convergence of time to subsequent therapy/Response curves was based on the convergence slope (13308.75) by estimating the exponent of the linear estimate between the corresponding time to subsequent values of daratumumab SC + CyBorD (Start) to CyBorD (end) during the 2 years and 5 years time periods, and convergence index (-0.2801) the results (proportion) for time to subsequent values for daratumumab SC + CyBorD are estimated in column CR in worksheet "Costs and Outcomes" during the evaluation. The convergence slope and convergence index for the 3 years and 6 years time periods are 2872.83 and -0.237, respectively. Cardiac failure: Change treatment cost to “No” and change disutility to 0. Utility value: Combining the no response and progression utility values returned a utility value of 0.719 (weighted average of 0.726, n=486 and 0.664, n=62). Combining the remaining response category utility values of partial response, very good partial response and complete response yielded a weighted mean utility score of 0.735.</w:t>
      </w:r>
    </w:p>
    <w:p w14:paraId="46E17FD8" w14:textId="77777777" w:rsidR="30A1E496" w:rsidRDefault="30A1E496" w:rsidP="57626B43">
      <w:pPr>
        <w:pStyle w:val="TableFigureFooter"/>
        <w:rPr>
          <w:rFonts w:eastAsia="Calibri"/>
          <w:szCs w:val="18"/>
        </w:rPr>
      </w:pPr>
      <w:r w:rsidRPr="008C3A9E">
        <w:rPr>
          <w:rFonts w:eastAsia="Calibri"/>
          <w:szCs w:val="18"/>
          <w:vertAlign w:val="superscript"/>
        </w:rPr>
        <w:t>b</w:t>
      </w:r>
      <w:r w:rsidRPr="002A770B">
        <w:rPr>
          <w:rFonts w:eastAsia="Calibri"/>
          <w:szCs w:val="18"/>
        </w:rPr>
        <w:t>. The submission base case included the cost of daratumumab subcutaneous based on EFC mark-ups rather than the HSD S</w:t>
      </w:r>
      <w:r w:rsidR="1F1DF8C7" w:rsidRPr="002A770B">
        <w:rPr>
          <w:rFonts w:eastAsia="Calibri"/>
          <w:szCs w:val="18"/>
        </w:rPr>
        <w:t xml:space="preserve">ection </w:t>
      </w:r>
      <w:r w:rsidRPr="002A770B">
        <w:rPr>
          <w:rFonts w:eastAsia="Calibri"/>
          <w:szCs w:val="18"/>
        </w:rPr>
        <w:t>100 mark-ups.</w:t>
      </w:r>
    </w:p>
    <w:p w14:paraId="53F258C2" w14:textId="77777777" w:rsidR="008B67D3" w:rsidRPr="00E16919" w:rsidRDefault="008B67D3" w:rsidP="57626B43">
      <w:pPr>
        <w:pStyle w:val="TableFigureFooter"/>
        <w:rPr>
          <w:rFonts w:eastAsia="Calibri"/>
          <w:i/>
          <w:szCs w:val="18"/>
        </w:rPr>
      </w:pPr>
      <w:r w:rsidRPr="00E16919">
        <w:rPr>
          <w:rFonts w:eastAsia="Calibri"/>
          <w:i/>
          <w:szCs w:val="18"/>
        </w:rPr>
        <w:lastRenderedPageBreak/>
        <w:t>The redacted values correspond to the following ranges:</w:t>
      </w:r>
    </w:p>
    <w:p w14:paraId="1343FBC5" w14:textId="77777777" w:rsidR="008B67D3" w:rsidRPr="00E16919" w:rsidRDefault="008B67D3" w:rsidP="57626B43">
      <w:pPr>
        <w:pStyle w:val="TableFigureFooter"/>
        <w:rPr>
          <w:rFonts w:eastAsia="Calibri"/>
          <w:i/>
          <w:szCs w:val="18"/>
        </w:rPr>
      </w:pPr>
      <w:r w:rsidRPr="00E16919">
        <w:rPr>
          <w:rFonts w:eastAsia="Calibri"/>
          <w:i/>
          <w:szCs w:val="18"/>
          <w:vertAlign w:val="superscript"/>
        </w:rPr>
        <w:t>1</w:t>
      </w:r>
      <w:r w:rsidRPr="00E16919">
        <w:rPr>
          <w:rFonts w:eastAsia="Calibri"/>
          <w:i/>
          <w:szCs w:val="18"/>
        </w:rPr>
        <w:t xml:space="preserve"> </w:t>
      </w:r>
      <w:r w:rsidR="00B604CD" w:rsidRPr="00E16919">
        <w:rPr>
          <w:rFonts w:eastAsia="Calibri"/>
          <w:i/>
          <w:szCs w:val="18"/>
        </w:rPr>
        <w:t>$95,000 to &lt; $115,000</w:t>
      </w:r>
    </w:p>
    <w:p w14:paraId="321E809F" w14:textId="77777777" w:rsidR="00B604CD" w:rsidRPr="00E16919" w:rsidRDefault="00B604CD" w:rsidP="57626B43">
      <w:pPr>
        <w:pStyle w:val="TableFigureFooter"/>
        <w:rPr>
          <w:rFonts w:eastAsia="Calibri"/>
          <w:i/>
          <w:szCs w:val="18"/>
        </w:rPr>
      </w:pPr>
      <w:r w:rsidRPr="00E16919">
        <w:rPr>
          <w:rFonts w:eastAsia="Calibri"/>
          <w:i/>
          <w:szCs w:val="18"/>
          <w:vertAlign w:val="superscript"/>
        </w:rPr>
        <w:t>2</w:t>
      </w:r>
      <w:r w:rsidRPr="00E16919">
        <w:rPr>
          <w:rFonts w:eastAsia="Calibri"/>
          <w:i/>
          <w:szCs w:val="18"/>
        </w:rPr>
        <w:t xml:space="preserve"> $55,000 to &lt; $75,000</w:t>
      </w:r>
    </w:p>
    <w:p w14:paraId="5739153F" w14:textId="77777777" w:rsidR="00B604CD" w:rsidRPr="00E16919" w:rsidRDefault="00B604CD" w:rsidP="57626B43">
      <w:pPr>
        <w:pStyle w:val="TableFigureFooter"/>
        <w:rPr>
          <w:rFonts w:eastAsia="Calibri"/>
          <w:i/>
          <w:szCs w:val="18"/>
        </w:rPr>
      </w:pPr>
      <w:r w:rsidRPr="00E16919">
        <w:rPr>
          <w:rFonts w:eastAsia="Calibri"/>
          <w:i/>
          <w:szCs w:val="18"/>
          <w:vertAlign w:val="superscript"/>
        </w:rPr>
        <w:t>3</w:t>
      </w:r>
      <w:r w:rsidR="00D103CE" w:rsidRPr="00E16919">
        <w:rPr>
          <w:rFonts w:eastAsia="Calibri"/>
          <w:i/>
          <w:szCs w:val="18"/>
        </w:rPr>
        <w:t xml:space="preserve"> $75,000 to &lt; $9</w:t>
      </w:r>
      <w:r w:rsidRPr="00E16919">
        <w:rPr>
          <w:rFonts w:eastAsia="Calibri"/>
          <w:i/>
          <w:szCs w:val="18"/>
        </w:rPr>
        <w:t>5,000</w:t>
      </w:r>
    </w:p>
    <w:p w14:paraId="43F108A6" w14:textId="77777777" w:rsidR="00D103CE" w:rsidRPr="00E16919" w:rsidRDefault="00D103CE" w:rsidP="57626B43">
      <w:pPr>
        <w:pStyle w:val="TableFigureFooter"/>
        <w:rPr>
          <w:rFonts w:eastAsia="Calibri"/>
          <w:i/>
          <w:szCs w:val="18"/>
        </w:rPr>
      </w:pPr>
      <w:r w:rsidRPr="00E16919">
        <w:rPr>
          <w:rFonts w:eastAsia="Calibri"/>
          <w:i/>
          <w:szCs w:val="18"/>
          <w:vertAlign w:val="superscript"/>
        </w:rPr>
        <w:t>4</w:t>
      </w:r>
      <w:r w:rsidRPr="00E16919">
        <w:rPr>
          <w:rFonts w:eastAsia="Calibri"/>
          <w:i/>
          <w:szCs w:val="18"/>
        </w:rPr>
        <w:t xml:space="preserve"> $155,000 to &lt; $255,000</w:t>
      </w:r>
    </w:p>
    <w:p w14:paraId="10E59E53" w14:textId="77777777" w:rsidR="00D103CE" w:rsidRPr="00E16919" w:rsidRDefault="00D103CE" w:rsidP="57626B43">
      <w:pPr>
        <w:pStyle w:val="TableFigureFooter"/>
        <w:rPr>
          <w:rFonts w:eastAsia="Calibri"/>
          <w:i/>
          <w:szCs w:val="18"/>
        </w:rPr>
      </w:pPr>
      <w:r w:rsidRPr="00E16919">
        <w:rPr>
          <w:rFonts w:eastAsia="Calibri"/>
          <w:i/>
          <w:szCs w:val="18"/>
          <w:vertAlign w:val="superscript"/>
        </w:rPr>
        <w:t>5</w:t>
      </w:r>
      <w:r w:rsidRPr="00E16919">
        <w:rPr>
          <w:rFonts w:eastAsia="Calibri"/>
          <w:i/>
          <w:szCs w:val="18"/>
        </w:rPr>
        <w:t xml:space="preserve"> $35,000 to &lt; $45,000</w:t>
      </w:r>
    </w:p>
    <w:p w14:paraId="53F79DB5" w14:textId="77777777" w:rsidR="00FF0463" w:rsidRPr="00E16919" w:rsidRDefault="00856938" w:rsidP="57626B43">
      <w:pPr>
        <w:pStyle w:val="TableFigureFooter"/>
        <w:rPr>
          <w:rFonts w:eastAsia="Calibri"/>
          <w:i/>
          <w:szCs w:val="18"/>
        </w:rPr>
      </w:pPr>
      <w:r>
        <w:rPr>
          <w:rFonts w:eastAsia="Calibri"/>
          <w:i/>
          <w:szCs w:val="18"/>
          <w:vertAlign w:val="superscript"/>
        </w:rPr>
        <w:t>6</w:t>
      </w:r>
      <w:r w:rsidR="00FF0463" w:rsidRPr="00E16919">
        <w:rPr>
          <w:rFonts w:eastAsia="Calibri"/>
          <w:i/>
          <w:szCs w:val="18"/>
        </w:rPr>
        <w:t xml:space="preserve"> $25,000 to &lt; $35,000</w:t>
      </w:r>
    </w:p>
    <w:p w14:paraId="5D6A1480" w14:textId="77777777" w:rsidR="00FF0463" w:rsidRPr="00E16919" w:rsidRDefault="00856938" w:rsidP="57626B43">
      <w:pPr>
        <w:pStyle w:val="TableFigureFooter"/>
        <w:rPr>
          <w:rFonts w:eastAsia="Calibri"/>
          <w:i/>
          <w:szCs w:val="18"/>
        </w:rPr>
      </w:pPr>
      <w:r w:rsidRPr="00856938">
        <w:rPr>
          <w:rFonts w:eastAsia="Calibri"/>
          <w:i/>
          <w:szCs w:val="18"/>
          <w:vertAlign w:val="superscript"/>
        </w:rPr>
        <w:t>7</w:t>
      </w:r>
      <w:r w:rsidR="00FF0463" w:rsidRPr="00E16919">
        <w:rPr>
          <w:rFonts w:eastAsia="Calibri"/>
          <w:i/>
          <w:szCs w:val="18"/>
        </w:rPr>
        <w:t xml:space="preserve"> $45,000 to &lt; $55,000</w:t>
      </w:r>
    </w:p>
    <w:p w14:paraId="49A153FB" w14:textId="77777777" w:rsidR="00F62C66" w:rsidRPr="006F2DBA" w:rsidRDefault="00924432" w:rsidP="00924432">
      <w:pPr>
        <w:pStyle w:val="3-BodyText"/>
        <w:rPr>
          <w:iCs/>
        </w:rPr>
      </w:pPr>
      <w:r w:rsidRPr="006F2DBA">
        <w:rPr>
          <w:iCs/>
        </w:rPr>
        <w:t xml:space="preserve">The ESC considered that </w:t>
      </w:r>
      <w:r w:rsidR="00F62C66" w:rsidRPr="006F2DBA">
        <w:rPr>
          <w:iCs/>
        </w:rPr>
        <w:t>the estimated cost-effectiveness of daratumumab as presented in the submission</w:t>
      </w:r>
      <w:r w:rsidR="009C594A" w:rsidRPr="006F2DBA">
        <w:rPr>
          <w:iCs/>
        </w:rPr>
        <w:t xml:space="preserve"> was</w:t>
      </w:r>
      <w:r w:rsidR="00F62C66" w:rsidRPr="006F2DBA">
        <w:rPr>
          <w:iCs/>
        </w:rPr>
        <w:t xml:space="preserve"> </w:t>
      </w:r>
      <w:r w:rsidR="00237CB1" w:rsidRPr="006F2DBA">
        <w:rPr>
          <w:iCs/>
        </w:rPr>
        <w:t xml:space="preserve">likely underestimated and was </w:t>
      </w:r>
      <w:r w:rsidR="00F62C66" w:rsidRPr="006F2DBA">
        <w:rPr>
          <w:iCs/>
        </w:rPr>
        <w:t>underpinned by uncertaint</w:t>
      </w:r>
      <w:r w:rsidR="00237CB1" w:rsidRPr="006F2DBA">
        <w:rPr>
          <w:iCs/>
        </w:rPr>
        <w:t>ies</w:t>
      </w:r>
      <w:r w:rsidR="00F62C66" w:rsidRPr="006F2DBA">
        <w:rPr>
          <w:iCs/>
        </w:rPr>
        <w:t xml:space="preserve"> in the clinical data, particular</w:t>
      </w:r>
      <w:r w:rsidR="00237CB1" w:rsidRPr="006F2DBA">
        <w:rPr>
          <w:iCs/>
        </w:rPr>
        <w:t>ly</w:t>
      </w:r>
      <w:r w:rsidR="00F62C66" w:rsidRPr="006F2DBA">
        <w:rPr>
          <w:iCs/>
        </w:rPr>
        <w:t xml:space="preserve"> with regard to extrapolation of outcomes beyond the period of trial data </w:t>
      </w:r>
      <w:r w:rsidR="00D57E2E" w:rsidRPr="006F2DBA">
        <w:rPr>
          <w:iCs/>
        </w:rPr>
        <w:t xml:space="preserve">which is evident in the stepped analysis </w:t>
      </w:r>
      <w:r w:rsidR="00F62C66" w:rsidRPr="006F2DBA">
        <w:rPr>
          <w:iCs/>
        </w:rPr>
        <w:t xml:space="preserve">(see </w:t>
      </w:r>
      <w:r w:rsidR="008A0743" w:rsidRPr="008A0743">
        <w:rPr>
          <w:iCs/>
        </w:rPr>
        <w:t xml:space="preserve">Table </w:t>
      </w:r>
      <w:r w:rsidR="008A0743" w:rsidRPr="008A0743">
        <w:rPr>
          <w:iCs/>
          <w:noProof/>
        </w:rPr>
        <w:t>1</w:t>
      </w:r>
      <w:r w:rsidR="00D772F5">
        <w:rPr>
          <w:iCs/>
        </w:rPr>
        <w:t>7</w:t>
      </w:r>
      <w:r w:rsidR="00F62C66" w:rsidRPr="006F2DBA">
        <w:rPr>
          <w:iCs/>
        </w:rPr>
        <w:t xml:space="preserve">).  In addition, the ESC considered that some </w:t>
      </w:r>
      <w:r w:rsidR="00D57E2E" w:rsidRPr="006F2DBA">
        <w:rPr>
          <w:iCs/>
        </w:rPr>
        <w:t xml:space="preserve">elements </w:t>
      </w:r>
      <w:r w:rsidR="00F62C66" w:rsidRPr="006F2DBA">
        <w:rPr>
          <w:iCs/>
        </w:rPr>
        <w:t xml:space="preserve">of </w:t>
      </w:r>
      <w:r w:rsidR="00A8787E" w:rsidRPr="006F2DBA">
        <w:rPr>
          <w:iCs/>
        </w:rPr>
        <w:t xml:space="preserve">design and </w:t>
      </w:r>
      <w:r w:rsidR="00F62C66" w:rsidRPr="006F2DBA">
        <w:rPr>
          <w:iCs/>
        </w:rPr>
        <w:t>assumptions used in the base case were poorly supported.</w:t>
      </w:r>
      <w:r w:rsidR="00515BBE" w:rsidRPr="006F2DBA">
        <w:rPr>
          <w:iCs/>
        </w:rPr>
        <w:t xml:space="preserve">  </w:t>
      </w:r>
      <w:r w:rsidR="009C594A" w:rsidRPr="006F2DBA">
        <w:rPr>
          <w:iCs/>
        </w:rPr>
        <w:t>The ESC</w:t>
      </w:r>
      <w:r w:rsidR="006B2D13" w:rsidRPr="006F2DBA">
        <w:rPr>
          <w:iCs/>
        </w:rPr>
        <w:t>’</w:t>
      </w:r>
      <w:r w:rsidR="009C594A" w:rsidRPr="006F2DBA">
        <w:rPr>
          <w:iCs/>
        </w:rPr>
        <w:t>s key concerns included that:</w:t>
      </w:r>
    </w:p>
    <w:p w14:paraId="4D1FAA16" w14:textId="77777777" w:rsidR="00913BC8" w:rsidRPr="006F2DBA" w:rsidRDefault="009C594A" w:rsidP="0070637E">
      <w:pPr>
        <w:pStyle w:val="ListParagraph"/>
        <w:numPr>
          <w:ilvl w:val="0"/>
          <w:numId w:val="11"/>
        </w:numPr>
        <w:ind w:left="1077" w:hanging="357"/>
        <w:rPr>
          <w:iCs/>
        </w:rPr>
      </w:pPr>
      <w:r w:rsidRPr="006F2DBA">
        <w:rPr>
          <w:iCs/>
        </w:rPr>
        <w:t>the model design was based on an assumed relationship of a surrogate endpoint to OS informed by an unconnected study</w:t>
      </w:r>
      <w:r w:rsidR="00975C76">
        <w:rPr>
          <w:iCs/>
        </w:rPr>
        <w:t>;</w:t>
      </w:r>
    </w:p>
    <w:p w14:paraId="52CCE907" w14:textId="77777777" w:rsidR="006166D8" w:rsidRPr="006F2DBA" w:rsidRDefault="002E6497" w:rsidP="0070637E">
      <w:pPr>
        <w:pStyle w:val="ListParagraph"/>
        <w:numPr>
          <w:ilvl w:val="0"/>
          <w:numId w:val="11"/>
        </w:numPr>
        <w:ind w:left="1077" w:hanging="357"/>
        <w:rPr>
          <w:iCs/>
        </w:rPr>
      </w:pPr>
      <w:r w:rsidRPr="006F2DBA">
        <w:rPr>
          <w:iCs/>
        </w:rPr>
        <w:t>t</w:t>
      </w:r>
      <w:r w:rsidR="00D57E2E" w:rsidRPr="006F2DBA">
        <w:rPr>
          <w:iCs/>
        </w:rPr>
        <w:t>he model time horizon of 25 years relied on extensive extrapolation and was optimistic given a median survival of 1.2 years for patients with light chain AL amyloidosis has been reported in the Australian observational study by Wisniowski et al. (2019).</w:t>
      </w:r>
      <w:r w:rsidR="006166D8" w:rsidRPr="006F2DBA">
        <w:rPr>
          <w:iCs/>
        </w:rPr>
        <w:t xml:space="preserve">  Furthermore, a comparison of survival in the comparator arm with the Wisniowski et al. (2019) study performed as external validation, suggests that survival in the comparator arm may be underestimated by the extrapolation, thereby favouring daratumumab</w:t>
      </w:r>
      <w:r w:rsidR="00A53241">
        <w:rPr>
          <w:iCs/>
        </w:rPr>
        <w:t>. The pre-PBAC response maintained that a 25 year time horizon was appropriate, stating that Wisniowski et al (2019) reported that approximately 20% of patients survive beyond 15 years and this was likely to have improved with the use of more effective therapies such as bortezomib</w:t>
      </w:r>
      <w:r w:rsidRPr="006F2DBA">
        <w:rPr>
          <w:iCs/>
        </w:rPr>
        <w:t>;</w:t>
      </w:r>
    </w:p>
    <w:p w14:paraId="1A14A5FC" w14:textId="77777777" w:rsidR="00F62C66" w:rsidRPr="006F2DBA" w:rsidRDefault="002E6497" w:rsidP="0070637E">
      <w:pPr>
        <w:pStyle w:val="ListParagraph"/>
        <w:numPr>
          <w:ilvl w:val="0"/>
          <w:numId w:val="11"/>
        </w:numPr>
        <w:ind w:left="1077" w:hanging="357"/>
        <w:rPr>
          <w:iCs/>
        </w:rPr>
      </w:pPr>
      <w:r w:rsidRPr="006F2DBA">
        <w:rPr>
          <w:iCs/>
        </w:rPr>
        <w:t>t</w:t>
      </w:r>
      <w:r w:rsidR="00A8787E" w:rsidRPr="006F2DBA">
        <w:rPr>
          <w:iCs/>
        </w:rPr>
        <w:t>here was s</w:t>
      </w:r>
      <w:r w:rsidR="00F62C66" w:rsidRPr="006F2DBA">
        <w:rPr>
          <w:iCs/>
        </w:rPr>
        <w:t>elective use of data to inform surrogate to OS relationship</w:t>
      </w:r>
      <w:r w:rsidRPr="006F2DBA">
        <w:rPr>
          <w:iCs/>
        </w:rPr>
        <w:t>;</w:t>
      </w:r>
    </w:p>
    <w:p w14:paraId="2530725D" w14:textId="77777777" w:rsidR="009C594A" w:rsidRPr="006F2DBA" w:rsidRDefault="009C594A" w:rsidP="0070637E">
      <w:pPr>
        <w:pStyle w:val="ListParagraph"/>
        <w:numPr>
          <w:ilvl w:val="0"/>
          <w:numId w:val="11"/>
        </w:numPr>
        <w:ind w:left="1077" w:hanging="357"/>
        <w:rPr>
          <w:iCs/>
        </w:rPr>
      </w:pPr>
      <w:r w:rsidRPr="006F2DBA">
        <w:rPr>
          <w:iCs/>
        </w:rPr>
        <w:t>the model applied an exponential distribution for OS extrapolation applied from 42 months (6 months A</w:t>
      </w:r>
      <w:r w:rsidR="00D34E44">
        <w:rPr>
          <w:iCs/>
        </w:rPr>
        <w:t>NDROMEDA</w:t>
      </w:r>
      <w:r w:rsidRPr="006F2DBA">
        <w:rPr>
          <w:iCs/>
        </w:rPr>
        <w:t xml:space="preserve"> + 36 months Pallidini) and did not test other approaches; and  </w:t>
      </w:r>
    </w:p>
    <w:p w14:paraId="4EA02E01" w14:textId="77777777" w:rsidR="00515BBE" w:rsidRPr="006F2DBA" w:rsidRDefault="002E6497" w:rsidP="0070637E">
      <w:pPr>
        <w:pStyle w:val="ListParagraph"/>
        <w:numPr>
          <w:ilvl w:val="0"/>
          <w:numId w:val="11"/>
        </w:numPr>
        <w:ind w:left="1077" w:hanging="357"/>
        <w:rPr>
          <w:iCs/>
        </w:rPr>
      </w:pPr>
      <w:r w:rsidRPr="006F2DBA">
        <w:rPr>
          <w:iCs/>
        </w:rPr>
        <w:t>t</w:t>
      </w:r>
      <w:r w:rsidR="00515BBE" w:rsidRPr="006F2DBA">
        <w:rPr>
          <w:iCs/>
        </w:rPr>
        <w:t>he model assumed</w:t>
      </w:r>
      <w:r w:rsidR="00A8787E" w:rsidRPr="006F2DBA">
        <w:rPr>
          <w:iCs/>
        </w:rPr>
        <w:t xml:space="preserve"> </w:t>
      </w:r>
      <w:r w:rsidR="00515BBE" w:rsidRPr="006F2DBA">
        <w:rPr>
          <w:iCs/>
        </w:rPr>
        <w:t>the treatment effect continued beyond the 6 month trial period (with maximum 2 years treatment) for up to 25 years.</w:t>
      </w:r>
    </w:p>
    <w:p w14:paraId="7211BC7E" w14:textId="77777777" w:rsidR="009C594A" w:rsidRPr="006F2DBA" w:rsidRDefault="009C594A" w:rsidP="009C594A">
      <w:pPr>
        <w:pStyle w:val="3-BodyText"/>
        <w:rPr>
          <w:iCs/>
        </w:rPr>
      </w:pPr>
      <w:r w:rsidRPr="006F2DBA">
        <w:rPr>
          <w:iCs/>
        </w:rPr>
        <w:t xml:space="preserve">The ESC noted that multivariate sensitivity analyses with a shorter time horizons </w:t>
      </w:r>
      <w:r w:rsidRPr="006F2DBA">
        <w:rPr>
          <w:rFonts w:eastAsiaTheme="minorEastAsia"/>
          <w:iCs/>
        </w:rPr>
        <w:t xml:space="preserve">(15 years) </w:t>
      </w:r>
      <w:r w:rsidRPr="006F2DBA">
        <w:rPr>
          <w:iCs/>
        </w:rPr>
        <w:t>and convergence of treatment effect resulted in ICERs of approximately $</w:t>
      </w:r>
      <w:r w:rsidR="00BA5B36">
        <w:rPr>
          <w:iCs/>
        </w:rPr>
        <w:t>75,000 to &lt; $95,000</w:t>
      </w:r>
      <w:r w:rsidRPr="006F2DBA">
        <w:rPr>
          <w:iCs/>
        </w:rPr>
        <w:t xml:space="preserve">/QALY (for the comparison with CyBorD), with the continued use of an exponential OS extrapolation and single modelled survival estimate from Palladini (2012).  The ESC considered that a more </w:t>
      </w:r>
      <w:r w:rsidR="00F55D30" w:rsidRPr="006F2DBA">
        <w:rPr>
          <w:iCs/>
        </w:rPr>
        <w:t>appropriate</w:t>
      </w:r>
      <w:r w:rsidRPr="006F2DBA">
        <w:rPr>
          <w:iCs/>
        </w:rPr>
        <w:t xml:space="preserve"> base case would </w:t>
      </w:r>
      <w:r w:rsidR="00F55D30" w:rsidRPr="006F2DBA">
        <w:rPr>
          <w:iCs/>
        </w:rPr>
        <w:t>include</w:t>
      </w:r>
      <w:r w:rsidRPr="006F2DBA">
        <w:rPr>
          <w:iCs/>
        </w:rPr>
        <w:t xml:space="preserve"> following changes:</w:t>
      </w:r>
    </w:p>
    <w:p w14:paraId="2D792FB3" w14:textId="77777777" w:rsidR="009C594A" w:rsidRPr="006F2DBA" w:rsidRDefault="009C594A" w:rsidP="0070637E">
      <w:pPr>
        <w:pStyle w:val="3-BodyText"/>
        <w:numPr>
          <w:ilvl w:val="1"/>
          <w:numId w:val="12"/>
        </w:numPr>
        <w:ind w:left="1077" w:hanging="357"/>
        <w:rPr>
          <w:iCs/>
        </w:rPr>
      </w:pPr>
      <w:r w:rsidRPr="006F2DBA">
        <w:rPr>
          <w:iCs/>
        </w:rPr>
        <w:t xml:space="preserve">Application of a shorter time horizon (10 and 15 years); </w:t>
      </w:r>
    </w:p>
    <w:p w14:paraId="1D27BEAC" w14:textId="77777777" w:rsidR="009C594A" w:rsidRPr="006F2DBA" w:rsidRDefault="009C594A" w:rsidP="0070637E">
      <w:pPr>
        <w:pStyle w:val="3-BodyText"/>
        <w:numPr>
          <w:ilvl w:val="1"/>
          <w:numId w:val="12"/>
        </w:numPr>
        <w:ind w:left="1077" w:hanging="357"/>
        <w:rPr>
          <w:iCs/>
        </w:rPr>
      </w:pPr>
      <w:r w:rsidRPr="006F2DBA">
        <w:rPr>
          <w:iCs/>
        </w:rPr>
        <w:t>Application of convergence to the treatment effect curves;</w:t>
      </w:r>
    </w:p>
    <w:p w14:paraId="18CA7B64" w14:textId="77777777" w:rsidR="009C594A" w:rsidRPr="006F2DBA" w:rsidRDefault="009C594A" w:rsidP="0070637E">
      <w:pPr>
        <w:pStyle w:val="3-BodyText"/>
        <w:numPr>
          <w:ilvl w:val="1"/>
          <w:numId w:val="12"/>
        </w:numPr>
        <w:ind w:left="1077" w:hanging="357"/>
        <w:rPr>
          <w:iCs/>
        </w:rPr>
      </w:pPr>
      <w:r w:rsidRPr="006F2DBA">
        <w:rPr>
          <w:iCs/>
        </w:rPr>
        <w:lastRenderedPageBreak/>
        <w:t>Calculation of the survival estimate by using a weighted average approach using the six studies in the association analysis and the EMN data; and</w:t>
      </w:r>
    </w:p>
    <w:p w14:paraId="2AEC79EE" w14:textId="77777777" w:rsidR="009C594A" w:rsidRPr="006F2DBA" w:rsidRDefault="009C594A" w:rsidP="0070637E">
      <w:pPr>
        <w:pStyle w:val="3-BodyText"/>
        <w:numPr>
          <w:ilvl w:val="1"/>
          <w:numId w:val="12"/>
        </w:numPr>
        <w:ind w:left="1077" w:hanging="357"/>
        <w:rPr>
          <w:iCs/>
        </w:rPr>
      </w:pPr>
      <w:r w:rsidRPr="006F2DBA">
        <w:rPr>
          <w:iCs/>
        </w:rPr>
        <w:t>Allowing alternative OS extrapolation functions to be assessed and reported.</w:t>
      </w:r>
    </w:p>
    <w:p w14:paraId="4D0E67B1" w14:textId="77777777" w:rsidR="00432B96" w:rsidRPr="00B30F4D" w:rsidRDefault="30C3C8E9" w:rsidP="00432B96">
      <w:pPr>
        <w:pStyle w:val="4-SubsectionHeading"/>
      </w:pPr>
      <w:bookmarkStart w:id="61" w:name="_Toc82436614"/>
      <w:r>
        <w:t>Daratumumab SC in combination with CyBorD</w:t>
      </w:r>
      <w:r w:rsidR="002E6497">
        <w:t>:</w:t>
      </w:r>
      <w:r>
        <w:t xml:space="preserve"> cost/patient/course</w:t>
      </w:r>
      <w:bookmarkEnd w:id="61"/>
    </w:p>
    <w:p w14:paraId="3CACCF09" w14:textId="77777777" w:rsidR="00432B96" w:rsidRDefault="30C3C8E9" w:rsidP="001924C7">
      <w:pPr>
        <w:pStyle w:val="Caption"/>
      </w:pPr>
      <w:r>
        <w:t>Table</w:t>
      </w:r>
      <w:r w:rsidR="001A7573">
        <w:t xml:space="preserve"> </w:t>
      </w:r>
      <w:r w:rsidR="00D772F5">
        <w:t>19</w:t>
      </w:r>
      <w:r>
        <w:t>:</w:t>
      </w:r>
      <w:r w:rsidRPr="57626B43">
        <w:rPr>
          <w:rStyle w:val="CommentReference"/>
          <w:b/>
        </w:rPr>
        <w:t xml:space="preserve"> Drug cost per patient for proposed and comparator drugs</w:t>
      </w:r>
      <w:r w:rsidR="0075511E">
        <w:rPr>
          <w:rStyle w:val="CommentReference"/>
          <w:b/>
        </w:rPr>
        <w:t xml:space="preserve"> (proposed effective price for daratumumab)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Drug cost per patient for proposed and comparator drugs (proposed effective price for daratumumab)"/>
      </w:tblPr>
      <w:tblGrid>
        <w:gridCol w:w="1470"/>
        <w:gridCol w:w="1186"/>
        <w:gridCol w:w="1028"/>
        <w:gridCol w:w="1008"/>
        <w:gridCol w:w="1009"/>
        <w:gridCol w:w="1226"/>
        <w:gridCol w:w="1003"/>
        <w:gridCol w:w="1087"/>
      </w:tblGrid>
      <w:tr w:rsidR="00432B96" w:rsidRPr="002A770B" w14:paraId="59C00C77" w14:textId="77777777" w:rsidTr="0069516C">
        <w:trPr>
          <w:cantSplit/>
          <w:tblHeader/>
          <w:jc w:val="center"/>
        </w:trPr>
        <w:tc>
          <w:tcPr>
            <w:tcW w:w="815" w:type="pct"/>
            <w:shd w:val="clear" w:color="auto" w:fill="auto"/>
            <w:vAlign w:val="center"/>
          </w:tcPr>
          <w:p w14:paraId="4C8F6F06" w14:textId="77777777" w:rsidR="00432B96" w:rsidRPr="002A770B" w:rsidRDefault="00432B96" w:rsidP="00DF65DF">
            <w:pPr>
              <w:pStyle w:val="In-tableHeading"/>
            </w:pPr>
          </w:p>
        </w:tc>
        <w:tc>
          <w:tcPr>
            <w:tcW w:w="1787" w:type="pct"/>
            <w:gridSpan w:val="3"/>
            <w:shd w:val="clear" w:color="auto" w:fill="auto"/>
            <w:vAlign w:val="center"/>
          </w:tcPr>
          <w:p w14:paraId="35A32274" w14:textId="77777777" w:rsidR="00432B96" w:rsidRPr="002A770B" w:rsidRDefault="30C3C8E9" w:rsidP="00DF65DF">
            <w:pPr>
              <w:pStyle w:val="In-tableHeading"/>
              <w:jc w:val="center"/>
            </w:pPr>
            <w:r w:rsidRPr="002A770B">
              <w:t>Daratumumab SC + CyBorD</w:t>
            </w:r>
          </w:p>
        </w:tc>
        <w:tc>
          <w:tcPr>
            <w:tcW w:w="1239" w:type="pct"/>
            <w:gridSpan w:val="2"/>
            <w:shd w:val="clear" w:color="auto" w:fill="auto"/>
            <w:vAlign w:val="center"/>
          </w:tcPr>
          <w:p w14:paraId="4E6D9DD9" w14:textId="77777777" w:rsidR="00432B96" w:rsidRPr="002A770B" w:rsidRDefault="30C3C8E9" w:rsidP="00DF65DF">
            <w:pPr>
              <w:pStyle w:val="In-tableHeading"/>
              <w:jc w:val="center"/>
            </w:pPr>
            <w:r w:rsidRPr="002A770B">
              <w:t>CyBorD</w:t>
            </w:r>
          </w:p>
        </w:tc>
        <w:tc>
          <w:tcPr>
            <w:tcW w:w="1159" w:type="pct"/>
            <w:gridSpan w:val="2"/>
          </w:tcPr>
          <w:p w14:paraId="5E4D6246" w14:textId="77777777" w:rsidR="00432B96" w:rsidRPr="002A770B" w:rsidRDefault="30C3C8E9" w:rsidP="00DF65DF">
            <w:pPr>
              <w:pStyle w:val="In-tableHeading"/>
              <w:jc w:val="center"/>
            </w:pPr>
            <w:r w:rsidRPr="002A770B">
              <w:t>MDex</w:t>
            </w:r>
          </w:p>
        </w:tc>
      </w:tr>
      <w:tr w:rsidR="00432B96" w:rsidRPr="002A770B" w14:paraId="7F7A0BF0" w14:textId="77777777" w:rsidTr="0069516C">
        <w:trPr>
          <w:cantSplit/>
          <w:tblHeader/>
          <w:jc w:val="center"/>
        </w:trPr>
        <w:tc>
          <w:tcPr>
            <w:tcW w:w="815" w:type="pct"/>
            <w:shd w:val="clear" w:color="auto" w:fill="auto"/>
          </w:tcPr>
          <w:p w14:paraId="37AB26CB" w14:textId="77777777" w:rsidR="00432B96" w:rsidRPr="002A770B" w:rsidRDefault="00432B96" w:rsidP="00DF65DF">
            <w:pPr>
              <w:pStyle w:val="In-tableHeading"/>
              <w:jc w:val="center"/>
            </w:pPr>
          </w:p>
        </w:tc>
        <w:tc>
          <w:tcPr>
            <w:tcW w:w="658" w:type="pct"/>
            <w:shd w:val="clear" w:color="auto" w:fill="auto"/>
          </w:tcPr>
          <w:p w14:paraId="3BFC135C" w14:textId="77777777" w:rsidR="00432B96" w:rsidRPr="002A770B" w:rsidRDefault="30C3C8E9" w:rsidP="00DF65DF">
            <w:pPr>
              <w:pStyle w:val="In-tableHeading"/>
              <w:jc w:val="center"/>
            </w:pPr>
            <w:r w:rsidRPr="002A770B">
              <w:t>Trial dose and duration</w:t>
            </w:r>
          </w:p>
        </w:tc>
        <w:tc>
          <w:tcPr>
            <w:tcW w:w="570" w:type="pct"/>
            <w:shd w:val="clear" w:color="auto" w:fill="auto"/>
          </w:tcPr>
          <w:p w14:paraId="507F938D" w14:textId="77777777" w:rsidR="00432B96" w:rsidRPr="002A770B" w:rsidRDefault="30C3C8E9" w:rsidP="00DF65DF">
            <w:pPr>
              <w:pStyle w:val="In-tableHeading"/>
              <w:jc w:val="center"/>
            </w:pPr>
            <w:r w:rsidRPr="002A770B">
              <w:t>Model</w:t>
            </w:r>
          </w:p>
        </w:tc>
        <w:tc>
          <w:tcPr>
            <w:tcW w:w="559" w:type="pct"/>
            <w:shd w:val="clear" w:color="auto" w:fill="auto"/>
          </w:tcPr>
          <w:p w14:paraId="494C6DFA" w14:textId="77777777" w:rsidR="00432B96" w:rsidRPr="002A770B" w:rsidRDefault="30C3C8E9" w:rsidP="00DF65DF">
            <w:pPr>
              <w:pStyle w:val="In-tableHeading"/>
              <w:jc w:val="center"/>
            </w:pPr>
            <w:r w:rsidRPr="002A770B">
              <w:t>Financial estimates</w:t>
            </w:r>
          </w:p>
        </w:tc>
        <w:tc>
          <w:tcPr>
            <w:tcW w:w="559" w:type="pct"/>
            <w:shd w:val="clear" w:color="auto" w:fill="auto"/>
          </w:tcPr>
          <w:p w14:paraId="1423DCED" w14:textId="77777777" w:rsidR="00432B96" w:rsidRPr="002A770B" w:rsidRDefault="30C3C8E9" w:rsidP="00DF65DF">
            <w:pPr>
              <w:pStyle w:val="In-tableHeading"/>
              <w:jc w:val="center"/>
            </w:pPr>
            <w:r w:rsidRPr="002A770B">
              <w:t>Trial dose and duration</w:t>
            </w:r>
          </w:p>
        </w:tc>
        <w:tc>
          <w:tcPr>
            <w:tcW w:w="679" w:type="pct"/>
            <w:shd w:val="clear" w:color="auto" w:fill="auto"/>
          </w:tcPr>
          <w:p w14:paraId="3EDF200D" w14:textId="77777777" w:rsidR="00432B96" w:rsidRPr="002A770B" w:rsidRDefault="30C3C8E9" w:rsidP="00DF65DF">
            <w:pPr>
              <w:pStyle w:val="In-tableHeading"/>
              <w:jc w:val="center"/>
            </w:pPr>
            <w:r w:rsidRPr="002A770B">
              <w:t>Model</w:t>
            </w:r>
          </w:p>
        </w:tc>
        <w:tc>
          <w:tcPr>
            <w:tcW w:w="556" w:type="pct"/>
          </w:tcPr>
          <w:p w14:paraId="10DD7628" w14:textId="77777777" w:rsidR="00432B96" w:rsidRPr="002A770B" w:rsidRDefault="30C3C8E9" w:rsidP="00DF65DF">
            <w:pPr>
              <w:pStyle w:val="In-tableHeading"/>
              <w:jc w:val="center"/>
            </w:pPr>
            <w:r w:rsidRPr="002A770B">
              <w:t>Trial dose and duration</w:t>
            </w:r>
          </w:p>
        </w:tc>
        <w:tc>
          <w:tcPr>
            <w:tcW w:w="603" w:type="pct"/>
          </w:tcPr>
          <w:p w14:paraId="1B0A916F" w14:textId="77777777" w:rsidR="00432B96" w:rsidRPr="002A770B" w:rsidRDefault="30C3C8E9" w:rsidP="00DF65DF">
            <w:pPr>
              <w:pStyle w:val="In-tableHeading"/>
              <w:jc w:val="center"/>
            </w:pPr>
            <w:r w:rsidRPr="002A770B">
              <w:t>Model</w:t>
            </w:r>
          </w:p>
        </w:tc>
      </w:tr>
      <w:tr w:rsidR="00432B96" w:rsidRPr="002A770B" w14:paraId="4F92B739" w14:textId="77777777" w:rsidTr="0069516C">
        <w:trPr>
          <w:cantSplit/>
          <w:jc w:val="center"/>
        </w:trPr>
        <w:tc>
          <w:tcPr>
            <w:tcW w:w="815" w:type="pct"/>
            <w:shd w:val="clear" w:color="auto" w:fill="auto"/>
            <w:vAlign w:val="center"/>
          </w:tcPr>
          <w:p w14:paraId="0828F45F" w14:textId="77777777" w:rsidR="00432B96" w:rsidRPr="002A770B" w:rsidRDefault="30C3C8E9" w:rsidP="00DF65DF">
            <w:pPr>
              <w:pStyle w:val="TableText0"/>
              <w:rPr>
                <w:lang w:val="en-US"/>
              </w:rPr>
            </w:pPr>
            <w:r w:rsidRPr="002A770B">
              <w:rPr>
                <w:lang w:val="en-US"/>
              </w:rPr>
              <w:t>Mean dose</w:t>
            </w:r>
          </w:p>
        </w:tc>
        <w:tc>
          <w:tcPr>
            <w:tcW w:w="658" w:type="pct"/>
            <w:shd w:val="clear" w:color="auto" w:fill="auto"/>
            <w:vAlign w:val="center"/>
          </w:tcPr>
          <w:p w14:paraId="26338F7E" w14:textId="77777777" w:rsidR="00432B96" w:rsidRPr="002A770B" w:rsidRDefault="30C3C8E9" w:rsidP="00DF65DF">
            <w:pPr>
              <w:pStyle w:val="TableText0"/>
              <w:jc w:val="center"/>
              <w:rPr>
                <w:lang w:val="en-US"/>
              </w:rPr>
            </w:pPr>
            <w:r w:rsidRPr="002A770B">
              <w:rPr>
                <w:lang w:val="en-US"/>
              </w:rPr>
              <w:t>Da:1,800 mg</w:t>
            </w:r>
          </w:p>
          <w:p w14:paraId="2314AA58" w14:textId="77777777" w:rsidR="00432B96" w:rsidRPr="002A770B" w:rsidRDefault="30C3C8E9" w:rsidP="00DF65DF">
            <w:pPr>
              <w:pStyle w:val="TableText0"/>
              <w:jc w:val="center"/>
              <w:rPr>
                <w:lang w:val="en-US"/>
              </w:rPr>
            </w:pPr>
            <w:r w:rsidRPr="002A770B">
              <w:rPr>
                <w:lang w:val="en-US"/>
              </w:rPr>
              <w:t>C: 300 mg/m</w:t>
            </w:r>
            <w:r w:rsidRPr="002A770B">
              <w:rPr>
                <w:vertAlign w:val="superscript"/>
                <w:lang w:val="en-US"/>
              </w:rPr>
              <w:t>2</w:t>
            </w:r>
          </w:p>
          <w:p w14:paraId="6AD7B614" w14:textId="77777777" w:rsidR="00432B96" w:rsidRPr="002A770B" w:rsidRDefault="30C3C8E9" w:rsidP="00DF65DF">
            <w:pPr>
              <w:pStyle w:val="TableText0"/>
              <w:jc w:val="center"/>
              <w:rPr>
                <w:lang w:val="en-US"/>
              </w:rPr>
            </w:pPr>
            <w:r w:rsidRPr="002A770B">
              <w:rPr>
                <w:lang w:val="en-US"/>
              </w:rPr>
              <w:t>B:1.3mg/m</w:t>
            </w:r>
            <w:r w:rsidRPr="002A770B">
              <w:rPr>
                <w:vertAlign w:val="superscript"/>
                <w:lang w:val="en-US"/>
              </w:rPr>
              <w:t>2</w:t>
            </w:r>
            <w:r w:rsidRPr="002A770B">
              <w:rPr>
                <w:lang w:val="en-US"/>
              </w:rPr>
              <w:t xml:space="preserve"> </w:t>
            </w:r>
          </w:p>
          <w:p w14:paraId="7070FB5F" w14:textId="77777777" w:rsidR="00432B96" w:rsidRPr="002A770B" w:rsidRDefault="30C3C8E9" w:rsidP="00DF65DF">
            <w:pPr>
              <w:pStyle w:val="TableText0"/>
              <w:jc w:val="center"/>
              <w:rPr>
                <w:lang w:val="en-US"/>
              </w:rPr>
            </w:pPr>
            <w:r w:rsidRPr="002A770B">
              <w:rPr>
                <w:lang w:val="en-US"/>
              </w:rPr>
              <w:t>D:40 mg</w:t>
            </w:r>
          </w:p>
        </w:tc>
        <w:tc>
          <w:tcPr>
            <w:tcW w:w="570" w:type="pct"/>
            <w:shd w:val="clear" w:color="auto" w:fill="auto"/>
            <w:vAlign w:val="center"/>
          </w:tcPr>
          <w:p w14:paraId="3968711C" w14:textId="77777777" w:rsidR="00432B96" w:rsidRPr="002A770B" w:rsidRDefault="30C3C8E9" w:rsidP="00DF65DF">
            <w:pPr>
              <w:pStyle w:val="TableText0"/>
              <w:jc w:val="center"/>
              <w:rPr>
                <w:lang w:val="en-US"/>
              </w:rPr>
            </w:pPr>
            <w:r w:rsidRPr="002A770B">
              <w:rPr>
                <w:lang w:val="en-US"/>
              </w:rPr>
              <w:t>Da:1,800mg</w:t>
            </w:r>
          </w:p>
          <w:p w14:paraId="76C813EA" w14:textId="77777777" w:rsidR="00432B96" w:rsidRPr="002A770B" w:rsidRDefault="30C3C8E9" w:rsidP="00DF65DF">
            <w:pPr>
              <w:pStyle w:val="TableText0"/>
              <w:jc w:val="center"/>
              <w:rPr>
                <w:lang w:val="en-US"/>
              </w:rPr>
            </w:pPr>
            <w:r w:rsidRPr="002A770B">
              <w:rPr>
                <w:lang w:val="en-US"/>
              </w:rPr>
              <w:t>C:500mg</w:t>
            </w:r>
          </w:p>
          <w:p w14:paraId="74B0E28E" w14:textId="77777777" w:rsidR="00432B96" w:rsidRPr="002A770B" w:rsidRDefault="30C3C8E9" w:rsidP="00DF65DF">
            <w:pPr>
              <w:pStyle w:val="TableText0"/>
              <w:jc w:val="center"/>
              <w:rPr>
                <w:lang w:val="en-US"/>
              </w:rPr>
            </w:pPr>
            <w:r w:rsidRPr="002A770B">
              <w:rPr>
                <w:lang w:val="en-US"/>
              </w:rPr>
              <w:t>B:3 mg</w:t>
            </w:r>
          </w:p>
          <w:p w14:paraId="40F046D0" w14:textId="77777777" w:rsidR="00432B96" w:rsidRPr="002A770B" w:rsidRDefault="30C3C8E9" w:rsidP="00DF65DF">
            <w:pPr>
              <w:pStyle w:val="TableText0"/>
              <w:jc w:val="center"/>
              <w:rPr>
                <w:lang w:val="en-US"/>
              </w:rPr>
            </w:pPr>
            <w:r w:rsidRPr="002A770B">
              <w:rPr>
                <w:lang w:val="en-US"/>
              </w:rPr>
              <w:t>D:40 mg</w:t>
            </w:r>
          </w:p>
        </w:tc>
        <w:tc>
          <w:tcPr>
            <w:tcW w:w="559" w:type="pct"/>
            <w:shd w:val="clear" w:color="auto" w:fill="auto"/>
            <w:vAlign w:val="center"/>
          </w:tcPr>
          <w:p w14:paraId="5CD982AF" w14:textId="77777777" w:rsidR="00432B96" w:rsidRPr="002A770B" w:rsidRDefault="30C3C8E9" w:rsidP="00DF65DF">
            <w:pPr>
              <w:pStyle w:val="TableText0"/>
              <w:jc w:val="center"/>
              <w:rPr>
                <w:lang w:val="en-US"/>
              </w:rPr>
            </w:pPr>
            <w:r w:rsidRPr="002A770B">
              <w:rPr>
                <w:lang w:val="en-US"/>
              </w:rPr>
              <w:t>Da:1,800mg</w:t>
            </w:r>
          </w:p>
          <w:p w14:paraId="1F776DB6" w14:textId="77777777" w:rsidR="00432B96" w:rsidRPr="002A770B" w:rsidRDefault="30C3C8E9" w:rsidP="00DF65DF">
            <w:pPr>
              <w:pStyle w:val="TableText0"/>
              <w:jc w:val="center"/>
              <w:rPr>
                <w:lang w:val="en-US"/>
              </w:rPr>
            </w:pPr>
            <w:r w:rsidRPr="002A770B">
              <w:rPr>
                <w:lang w:val="en-US"/>
              </w:rPr>
              <w:t>Cy:500 mg</w:t>
            </w:r>
          </w:p>
          <w:p w14:paraId="43B89571" w14:textId="77777777" w:rsidR="00432B96" w:rsidRPr="002A770B" w:rsidRDefault="30C3C8E9" w:rsidP="00DF65DF">
            <w:pPr>
              <w:pStyle w:val="TableText0"/>
              <w:jc w:val="center"/>
              <w:rPr>
                <w:lang w:val="en-US"/>
              </w:rPr>
            </w:pPr>
            <w:r w:rsidRPr="002A770B">
              <w:rPr>
                <w:lang w:val="en-US"/>
              </w:rPr>
              <w:t>B:3 mg</w:t>
            </w:r>
          </w:p>
          <w:p w14:paraId="1B49DDFB" w14:textId="77777777" w:rsidR="00432B96" w:rsidRPr="002A770B" w:rsidRDefault="30C3C8E9" w:rsidP="00DF65DF">
            <w:pPr>
              <w:pStyle w:val="TableText0"/>
              <w:jc w:val="center"/>
              <w:rPr>
                <w:lang w:val="en-US"/>
              </w:rPr>
            </w:pPr>
            <w:r w:rsidRPr="002A770B">
              <w:rPr>
                <w:lang w:val="en-US"/>
              </w:rPr>
              <w:t>D:40 mg</w:t>
            </w:r>
          </w:p>
        </w:tc>
        <w:tc>
          <w:tcPr>
            <w:tcW w:w="559" w:type="pct"/>
            <w:shd w:val="clear" w:color="auto" w:fill="auto"/>
            <w:vAlign w:val="center"/>
          </w:tcPr>
          <w:p w14:paraId="7BD5960F" w14:textId="77777777" w:rsidR="00432B96" w:rsidRPr="002A770B" w:rsidRDefault="30C3C8E9" w:rsidP="00DF65DF">
            <w:pPr>
              <w:pStyle w:val="TableText0"/>
              <w:jc w:val="center"/>
              <w:rPr>
                <w:lang w:val="en-US"/>
              </w:rPr>
            </w:pPr>
            <w:r w:rsidRPr="002A770B">
              <w:rPr>
                <w:lang w:val="en-US"/>
              </w:rPr>
              <w:t>C:300 mg/m</w:t>
            </w:r>
            <w:r w:rsidRPr="002A770B">
              <w:rPr>
                <w:vertAlign w:val="superscript"/>
                <w:lang w:val="en-US"/>
              </w:rPr>
              <w:t>2</w:t>
            </w:r>
          </w:p>
          <w:p w14:paraId="4BEAC046" w14:textId="77777777" w:rsidR="00432B96" w:rsidRPr="002A770B" w:rsidRDefault="30C3C8E9" w:rsidP="00DF65DF">
            <w:pPr>
              <w:pStyle w:val="TableText0"/>
              <w:jc w:val="center"/>
              <w:rPr>
                <w:lang w:val="en-US"/>
              </w:rPr>
            </w:pPr>
            <w:r w:rsidRPr="002A770B">
              <w:rPr>
                <w:lang w:val="en-US"/>
              </w:rPr>
              <w:t>B:1.3 mg/m</w:t>
            </w:r>
            <w:r w:rsidRPr="002A770B">
              <w:rPr>
                <w:vertAlign w:val="superscript"/>
                <w:lang w:val="en-US"/>
              </w:rPr>
              <w:t>2</w:t>
            </w:r>
          </w:p>
          <w:p w14:paraId="07DF1CF8" w14:textId="77777777" w:rsidR="00432B96" w:rsidRPr="002A770B" w:rsidRDefault="30C3C8E9" w:rsidP="00DF65DF">
            <w:pPr>
              <w:pStyle w:val="TableText0"/>
              <w:jc w:val="center"/>
              <w:rPr>
                <w:lang w:val="en-US"/>
              </w:rPr>
            </w:pPr>
            <w:r w:rsidRPr="002A770B">
              <w:rPr>
                <w:lang w:val="en-US"/>
              </w:rPr>
              <w:t>D:40 mg</w:t>
            </w:r>
          </w:p>
        </w:tc>
        <w:tc>
          <w:tcPr>
            <w:tcW w:w="679" w:type="pct"/>
            <w:shd w:val="clear" w:color="auto" w:fill="auto"/>
            <w:vAlign w:val="center"/>
          </w:tcPr>
          <w:p w14:paraId="1566F9EA" w14:textId="77777777" w:rsidR="00432B96" w:rsidRPr="002A770B" w:rsidRDefault="30C3C8E9" w:rsidP="00DF65DF">
            <w:pPr>
              <w:pStyle w:val="TableText0"/>
              <w:jc w:val="center"/>
              <w:rPr>
                <w:lang w:val="en-US"/>
              </w:rPr>
            </w:pPr>
            <w:r w:rsidRPr="002A770B">
              <w:rPr>
                <w:lang w:val="en-US"/>
              </w:rPr>
              <w:t>C:500 mg</w:t>
            </w:r>
          </w:p>
          <w:p w14:paraId="2A8E32BE" w14:textId="77777777" w:rsidR="00432B96" w:rsidRPr="002A770B" w:rsidRDefault="30C3C8E9" w:rsidP="00DF65DF">
            <w:pPr>
              <w:pStyle w:val="TableText0"/>
              <w:jc w:val="center"/>
              <w:rPr>
                <w:lang w:val="en-US"/>
              </w:rPr>
            </w:pPr>
            <w:r w:rsidRPr="002A770B">
              <w:rPr>
                <w:lang w:val="en-US"/>
              </w:rPr>
              <w:t>B:3 mg</w:t>
            </w:r>
          </w:p>
          <w:p w14:paraId="2C3D675C" w14:textId="77777777" w:rsidR="00432B96" w:rsidRPr="002A770B" w:rsidRDefault="30C3C8E9" w:rsidP="00DF65DF">
            <w:pPr>
              <w:pStyle w:val="TableText0"/>
              <w:jc w:val="center"/>
              <w:rPr>
                <w:lang w:val="en-US"/>
              </w:rPr>
            </w:pPr>
            <w:r w:rsidRPr="002A770B">
              <w:rPr>
                <w:lang w:val="en-US"/>
              </w:rPr>
              <w:t>D:152.3 mg/mth</w:t>
            </w:r>
          </w:p>
        </w:tc>
        <w:tc>
          <w:tcPr>
            <w:tcW w:w="556" w:type="pct"/>
            <w:vAlign w:val="center"/>
          </w:tcPr>
          <w:p w14:paraId="4AB30113" w14:textId="77777777" w:rsidR="00432B96" w:rsidRPr="002A770B" w:rsidRDefault="30C3C8E9" w:rsidP="00DF65DF">
            <w:pPr>
              <w:pStyle w:val="TableText0"/>
              <w:jc w:val="center"/>
              <w:rPr>
                <w:lang w:val="en-US"/>
              </w:rPr>
            </w:pPr>
            <w:r w:rsidRPr="002A770B">
              <w:rPr>
                <w:lang w:val="en-US"/>
              </w:rPr>
              <w:t>M:10 mg/m</w:t>
            </w:r>
            <w:r w:rsidRPr="002A770B">
              <w:rPr>
                <w:vertAlign w:val="superscript"/>
                <w:lang w:val="en-US"/>
              </w:rPr>
              <w:t>2</w:t>
            </w:r>
          </w:p>
          <w:p w14:paraId="503D08C6" w14:textId="77777777" w:rsidR="00432B96" w:rsidRPr="002A770B" w:rsidRDefault="30C3C8E9" w:rsidP="00DF65DF">
            <w:pPr>
              <w:pStyle w:val="TableText0"/>
              <w:jc w:val="center"/>
              <w:rPr>
                <w:lang w:val="en-US"/>
              </w:rPr>
            </w:pPr>
            <w:r w:rsidRPr="002A770B">
              <w:rPr>
                <w:lang w:val="en-US"/>
              </w:rPr>
              <w:t>D:40 mg</w:t>
            </w:r>
          </w:p>
        </w:tc>
        <w:tc>
          <w:tcPr>
            <w:tcW w:w="603" w:type="pct"/>
            <w:vAlign w:val="center"/>
          </w:tcPr>
          <w:p w14:paraId="508669B9" w14:textId="77777777" w:rsidR="00432B96" w:rsidRPr="002A770B" w:rsidRDefault="30C3C8E9" w:rsidP="00DF65DF">
            <w:pPr>
              <w:pStyle w:val="TableText0"/>
              <w:jc w:val="center"/>
              <w:rPr>
                <w:lang w:val="en-US"/>
              </w:rPr>
            </w:pPr>
            <w:r w:rsidRPr="002A770B">
              <w:rPr>
                <w:lang w:val="en-US"/>
              </w:rPr>
              <w:t>M:2 mg D:160 mg/mth</w:t>
            </w:r>
          </w:p>
        </w:tc>
      </w:tr>
      <w:tr w:rsidR="00432B96" w:rsidRPr="002A770B" w14:paraId="01878BF5" w14:textId="77777777" w:rsidTr="0069516C">
        <w:trPr>
          <w:cantSplit/>
          <w:jc w:val="center"/>
        </w:trPr>
        <w:tc>
          <w:tcPr>
            <w:tcW w:w="815" w:type="pct"/>
            <w:shd w:val="clear" w:color="auto" w:fill="auto"/>
            <w:vAlign w:val="center"/>
          </w:tcPr>
          <w:p w14:paraId="4A8BD774" w14:textId="77777777" w:rsidR="00432B96" w:rsidRPr="002A770B" w:rsidRDefault="30C3C8E9" w:rsidP="00DF65DF">
            <w:pPr>
              <w:pStyle w:val="TableText0"/>
              <w:rPr>
                <w:lang w:val="en-US"/>
              </w:rPr>
            </w:pPr>
            <w:r w:rsidRPr="002A770B">
              <w:rPr>
                <w:lang w:val="en-US"/>
              </w:rPr>
              <w:t>Mean duration, months</w:t>
            </w:r>
          </w:p>
        </w:tc>
        <w:tc>
          <w:tcPr>
            <w:tcW w:w="658" w:type="pct"/>
            <w:shd w:val="clear" w:color="auto" w:fill="auto"/>
            <w:vAlign w:val="center"/>
          </w:tcPr>
          <w:p w14:paraId="71D55D7F" w14:textId="77777777" w:rsidR="00432B96" w:rsidRPr="002A770B" w:rsidRDefault="30C3C8E9" w:rsidP="00DF65DF">
            <w:pPr>
              <w:pStyle w:val="TableText0"/>
              <w:jc w:val="center"/>
              <w:rPr>
                <w:b/>
                <w:lang w:val="en-US"/>
              </w:rPr>
            </w:pPr>
            <w:r w:rsidRPr="002A770B">
              <w:t>9.7</w:t>
            </w:r>
          </w:p>
        </w:tc>
        <w:tc>
          <w:tcPr>
            <w:tcW w:w="570" w:type="pct"/>
            <w:shd w:val="clear" w:color="auto" w:fill="auto"/>
            <w:vAlign w:val="center"/>
          </w:tcPr>
          <w:p w14:paraId="2170C19B" w14:textId="77777777" w:rsidR="00432B96" w:rsidRPr="002A770B" w:rsidRDefault="30C3C8E9" w:rsidP="00DF65DF">
            <w:pPr>
              <w:pStyle w:val="TableText0"/>
              <w:jc w:val="center"/>
              <w:rPr>
                <w:lang w:val="en-US"/>
              </w:rPr>
            </w:pPr>
            <w:r w:rsidRPr="002A770B">
              <w:rPr>
                <w:lang w:val="en-US"/>
              </w:rPr>
              <w:t>18.21</w:t>
            </w:r>
          </w:p>
        </w:tc>
        <w:tc>
          <w:tcPr>
            <w:tcW w:w="559" w:type="pct"/>
            <w:shd w:val="clear" w:color="auto" w:fill="auto"/>
            <w:vAlign w:val="center"/>
          </w:tcPr>
          <w:p w14:paraId="7DC02382" w14:textId="77777777" w:rsidR="00432B96" w:rsidRPr="002A770B" w:rsidRDefault="30C3C8E9" w:rsidP="00DF65DF">
            <w:pPr>
              <w:pStyle w:val="TableText0"/>
              <w:jc w:val="center"/>
              <w:rPr>
                <w:lang w:val="en-US"/>
              </w:rPr>
            </w:pPr>
            <w:r w:rsidRPr="002A770B">
              <w:rPr>
                <w:lang w:val="en-US"/>
              </w:rPr>
              <w:t>18.3</w:t>
            </w:r>
          </w:p>
        </w:tc>
        <w:tc>
          <w:tcPr>
            <w:tcW w:w="559" w:type="pct"/>
            <w:shd w:val="clear" w:color="auto" w:fill="auto"/>
            <w:vAlign w:val="center"/>
          </w:tcPr>
          <w:p w14:paraId="4F1F2803" w14:textId="77777777" w:rsidR="00432B96" w:rsidRPr="002A770B" w:rsidRDefault="30C3C8E9" w:rsidP="00DF65DF">
            <w:pPr>
              <w:pStyle w:val="TableText0"/>
              <w:jc w:val="center"/>
            </w:pPr>
            <w:r w:rsidRPr="002A770B">
              <w:t>4.4</w:t>
            </w:r>
          </w:p>
        </w:tc>
        <w:tc>
          <w:tcPr>
            <w:tcW w:w="679" w:type="pct"/>
            <w:shd w:val="clear" w:color="auto" w:fill="auto"/>
            <w:vAlign w:val="center"/>
          </w:tcPr>
          <w:p w14:paraId="794EE99B" w14:textId="77777777" w:rsidR="00432B96" w:rsidRPr="002A770B" w:rsidRDefault="30C3C8E9" w:rsidP="00DF65DF">
            <w:pPr>
              <w:pStyle w:val="TableText0"/>
              <w:jc w:val="center"/>
              <w:rPr>
                <w:lang w:val="en-US"/>
              </w:rPr>
            </w:pPr>
            <w:r w:rsidRPr="002A770B">
              <w:rPr>
                <w:lang w:val="en-US"/>
              </w:rPr>
              <w:t>4.88</w:t>
            </w:r>
          </w:p>
        </w:tc>
        <w:tc>
          <w:tcPr>
            <w:tcW w:w="556" w:type="pct"/>
          </w:tcPr>
          <w:p w14:paraId="6364DC70" w14:textId="77777777" w:rsidR="00432B96" w:rsidRPr="002A770B" w:rsidRDefault="30C3C8E9" w:rsidP="00DF65DF">
            <w:pPr>
              <w:pStyle w:val="TableText0"/>
              <w:jc w:val="center"/>
              <w:rPr>
                <w:lang w:val="en-US"/>
              </w:rPr>
            </w:pPr>
            <w:r w:rsidRPr="002A770B">
              <w:t>Median cycles: 5</w:t>
            </w:r>
          </w:p>
        </w:tc>
        <w:tc>
          <w:tcPr>
            <w:tcW w:w="603" w:type="pct"/>
            <w:vAlign w:val="center"/>
          </w:tcPr>
          <w:p w14:paraId="2F699BB7" w14:textId="77777777" w:rsidR="00432B96" w:rsidRPr="002A770B" w:rsidRDefault="30C3C8E9" w:rsidP="00DF65DF">
            <w:pPr>
              <w:pStyle w:val="TableText0"/>
              <w:jc w:val="center"/>
              <w:rPr>
                <w:lang w:val="en-US"/>
              </w:rPr>
            </w:pPr>
            <w:r w:rsidRPr="002A770B">
              <w:rPr>
                <w:lang w:val="en-US"/>
              </w:rPr>
              <w:t>5.16</w:t>
            </w:r>
            <w:r w:rsidRPr="002A770B">
              <w:rPr>
                <w:vertAlign w:val="superscript"/>
                <w:lang w:val="en-US"/>
              </w:rPr>
              <w:t>f</w:t>
            </w:r>
          </w:p>
        </w:tc>
      </w:tr>
      <w:tr w:rsidR="00432B96" w:rsidRPr="002A770B" w14:paraId="2514EDFF" w14:textId="77777777" w:rsidTr="0069516C">
        <w:trPr>
          <w:cantSplit/>
          <w:jc w:val="center"/>
        </w:trPr>
        <w:tc>
          <w:tcPr>
            <w:tcW w:w="815" w:type="pct"/>
            <w:shd w:val="clear" w:color="auto" w:fill="auto"/>
            <w:vAlign w:val="center"/>
          </w:tcPr>
          <w:p w14:paraId="4810ECA0" w14:textId="77777777" w:rsidR="00432B96" w:rsidRPr="002A770B" w:rsidRDefault="30C3C8E9" w:rsidP="00DF65DF">
            <w:pPr>
              <w:pStyle w:val="TableText0"/>
              <w:rPr>
                <w:lang w:val="en-US"/>
              </w:rPr>
            </w:pPr>
            <w:r w:rsidRPr="002A770B">
              <w:rPr>
                <w:lang w:val="en-US"/>
              </w:rPr>
              <w:t>Cost/patient/cycle</w:t>
            </w:r>
            <w:r w:rsidR="00BA5B36">
              <w:rPr>
                <w:lang w:val="en-US"/>
              </w:rPr>
              <w:t xml:space="preserve"> ($)</w:t>
            </w:r>
          </w:p>
        </w:tc>
        <w:tc>
          <w:tcPr>
            <w:tcW w:w="658" w:type="pct"/>
            <w:shd w:val="clear" w:color="auto" w:fill="auto"/>
            <w:vAlign w:val="center"/>
          </w:tcPr>
          <w:p w14:paraId="4C529FED"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a</w:t>
            </w:r>
            <w:r w:rsidR="005C2F9D" w:rsidRPr="002A770B">
              <w:rPr>
                <w:vertAlign w:val="superscript"/>
                <w:lang w:val="en-US"/>
              </w:rPr>
              <w:t>,g</w:t>
            </w:r>
          </w:p>
        </w:tc>
        <w:tc>
          <w:tcPr>
            <w:tcW w:w="570" w:type="pct"/>
            <w:shd w:val="clear" w:color="auto" w:fill="auto"/>
            <w:vAlign w:val="center"/>
          </w:tcPr>
          <w:p w14:paraId="18CE1853"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a</w:t>
            </w:r>
            <w:r w:rsidR="005C2F9D" w:rsidRPr="002A770B">
              <w:rPr>
                <w:vertAlign w:val="superscript"/>
                <w:lang w:val="en-US"/>
              </w:rPr>
              <w:t>,g</w:t>
            </w:r>
          </w:p>
        </w:tc>
        <w:tc>
          <w:tcPr>
            <w:tcW w:w="559" w:type="pct"/>
            <w:shd w:val="clear" w:color="auto" w:fill="auto"/>
            <w:vAlign w:val="center"/>
          </w:tcPr>
          <w:p w14:paraId="3587D7BC"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b</w:t>
            </w:r>
            <w:r w:rsidR="005C2F9D" w:rsidRPr="002A770B">
              <w:rPr>
                <w:vertAlign w:val="superscript"/>
                <w:lang w:val="en-US"/>
              </w:rPr>
              <w:t>,g</w:t>
            </w:r>
          </w:p>
        </w:tc>
        <w:tc>
          <w:tcPr>
            <w:tcW w:w="559" w:type="pct"/>
            <w:shd w:val="clear" w:color="auto" w:fill="auto"/>
            <w:vAlign w:val="center"/>
          </w:tcPr>
          <w:p w14:paraId="376C07E3" w14:textId="77777777" w:rsidR="00432B96" w:rsidRPr="002A770B" w:rsidRDefault="30C3C8E9" w:rsidP="00DF65DF">
            <w:pPr>
              <w:pStyle w:val="TableText0"/>
              <w:jc w:val="center"/>
              <w:rPr>
                <w:lang w:val="en-US"/>
              </w:rPr>
            </w:pPr>
            <w:r w:rsidRPr="002A770B">
              <w:rPr>
                <w:lang w:val="en-US"/>
              </w:rPr>
              <w:t>$3,072</w:t>
            </w:r>
            <w:r w:rsidRPr="002A770B">
              <w:rPr>
                <w:vertAlign w:val="superscript"/>
                <w:lang w:val="en-US"/>
              </w:rPr>
              <w:t>c</w:t>
            </w:r>
          </w:p>
        </w:tc>
        <w:tc>
          <w:tcPr>
            <w:tcW w:w="679" w:type="pct"/>
            <w:shd w:val="clear" w:color="auto" w:fill="auto"/>
            <w:vAlign w:val="center"/>
          </w:tcPr>
          <w:p w14:paraId="467758F8" w14:textId="77777777" w:rsidR="00432B96" w:rsidRPr="002A770B" w:rsidRDefault="30C3C8E9" w:rsidP="00DF65DF">
            <w:pPr>
              <w:pStyle w:val="TableText0"/>
              <w:jc w:val="center"/>
              <w:rPr>
                <w:lang w:val="en-US"/>
              </w:rPr>
            </w:pPr>
            <w:r w:rsidRPr="002A770B">
              <w:rPr>
                <w:lang w:val="en-US"/>
              </w:rPr>
              <w:t>$3,072</w:t>
            </w:r>
            <w:r w:rsidRPr="002A770B">
              <w:rPr>
                <w:vertAlign w:val="superscript"/>
                <w:lang w:val="en-US"/>
              </w:rPr>
              <w:t>c</w:t>
            </w:r>
          </w:p>
        </w:tc>
        <w:tc>
          <w:tcPr>
            <w:tcW w:w="556" w:type="pct"/>
          </w:tcPr>
          <w:p w14:paraId="6B9D0333" w14:textId="77777777" w:rsidR="00432B96" w:rsidRPr="002A770B" w:rsidRDefault="30C3C8E9" w:rsidP="00DF65DF">
            <w:pPr>
              <w:pStyle w:val="TableText0"/>
              <w:jc w:val="center"/>
              <w:rPr>
                <w:lang w:val="en-US"/>
              </w:rPr>
            </w:pPr>
            <w:r w:rsidRPr="002A770B">
              <w:rPr>
                <w:lang w:val="en-US"/>
              </w:rPr>
              <w:t>$102</w:t>
            </w:r>
          </w:p>
        </w:tc>
        <w:tc>
          <w:tcPr>
            <w:tcW w:w="603" w:type="pct"/>
            <w:vAlign w:val="center"/>
          </w:tcPr>
          <w:p w14:paraId="0190A4F5" w14:textId="77777777" w:rsidR="00432B96" w:rsidRPr="002A770B" w:rsidRDefault="30C3C8E9" w:rsidP="00DF65DF">
            <w:pPr>
              <w:pStyle w:val="TableText0"/>
              <w:jc w:val="center"/>
              <w:rPr>
                <w:lang w:val="en-US"/>
              </w:rPr>
            </w:pPr>
            <w:r w:rsidRPr="002A770B">
              <w:rPr>
                <w:lang w:val="en-US"/>
              </w:rPr>
              <w:t>$102</w:t>
            </w:r>
          </w:p>
        </w:tc>
      </w:tr>
      <w:tr w:rsidR="00432B96" w:rsidRPr="002A770B" w14:paraId="043BF71D" w14:textId="77777777" w:rsidTr="0069516C">
        <w:trPr>
          <w:cantSplit/>
          <w:jc w:val="center"/>
        </w:trPr>
        <w:tc>
          <w:tcPr>
            <w:tcW w:w="815" w:type="pct"/>
            <w:shd w:val="clear" w:color="auto" w:fill="auto"/>
            <w:vAlign w:val="center"/>
          </w:tcPr>
          <w:p w14:paraId="2EFB22CF" w14:textId="77777777" w:rsidR="00432B96" w:rsidRPr="002A770B" w:rsidRDefault="30C3C8E9" w:rsidP="00DF65DF">
            <w:pPr>
              <w:pStyle w:val="TableText0"/>
              <w:rPr>
                <w:lang w:val="en-US"/>
              </w:rPr>
            </w:pPr>
            <w:r w:rsidRPr="002A770B">
              <w:rPr>
                <w:lang w:val="en-US"/>
              </w:rPr>
              <w:t>Cost/patient/course</w:t>
            </w:r>
            <w:r w:rsidR="00BA5B36">
              <w:rPr>
                <w:lang w:val="en-US"/>
              </w:rPr>
              <w:t xml:space="preserve"> ($)</w:t>
            </w:r>
          </w:p>
        </w:tc>
        <w:tc>
          <w:tcPr>
            <w:tcW w:w="658" w:type="pct"/>
            <w:shd w:val="clear" w:color="auto" w:fill="auto"/>
            <w:vAlign w:val="center"/>
          </w:tcPr>
          <w:p w14:paraId="73733600" w14:textId="77777777" w:rsidR="00432B96" w:rsidRPr="008E6972" w:rsidRDefault="008E6972" w:rsidP="00DF65DF">
            <w:pPr>
              <w:pStyle w:val="TableText0"/>
              <w:jc w:val="center"/>
              <w:rPr>
                <w:highlight w:val="black"/>
                <w:lang w:val="en-US"/>
              </w:rPr>
            </w:pPr>
            <w:r>
              <w:rPr>
                <w:noProof/>
                <w:color w:val="000000"/>
                <w:highlight w:val="black"/>
                <w:lang w:val="en-US"/>
              </w:rPr>
              <w:t>'''''''''''''''''''</w:t>
            </w:r>
          </w:p>
        </w:tc>
        <w:tc>
          <w:tcPr>
            <w:tcW w:w="570" w:type="pct"/>
            <w:shd w:val="clear" w:color="auto" w:fill="auto"/>
            <w:vAlign w:val="center"/>
          </w:tcPr>
          <w:p w14:paraId="25EB9B8B" w14:textId="77777777" w:rsidR="00432B96" w:rsidRPr="002A770B" w:rsidRDefault="008E6972" w:rsidP="00DF65DF">
            <w:pPr>
              <w:pStyle w:val="TableText0"/>
              <w:jc w:val="center"/>
              <w:rPr>
                <w:lang w:val="en-US"/>
              </w:rPr>
            </w:pPr>
            <w:r>
              <w:rPr>
                <w:noProof/>
                <w:color w:val="000000"/>
                <w:highlight w:val="black"/>
                <w:lang w:val="en-US"/>
              </w:rPr>
              <w:t>''''''''''''''''''''''''</w:t>
            </w:r>
            <w:r w:rsidR="30C3C8E9" w:rsidRPr="002A770B">
              <w:rPr>
                <w:vertAlign w:val="superscript"/>
                <w:lang w:val="en-US"/>
              </w:rPr>
              <w:t>d</w:t>
            </w:r>
          </w:p>
        </w:tc>
        <w:tc>
          <w:tcPr>
            <w:tcW w:w="559" w:type="pct"/>
            <w:shd w:val="clear" w:color="auto" w:fill="auto"/>
            <w:vAlign w:val="center"/>
          </w:tcPr>
          <w:p w14:paraId="5ABAF731" w14:textId="77777777" w:rsidR="00432B96" w:rsidRPr="002A770B" w:rsidRDefault="008E6972" w:rsidP="00DF65DF">
            <w:pPr>
              <w:pStyle w:val="TableText0"/>
              <w:jc w:val="center"/>
              <w:rPr>
                <w:highlight w:val="yellow"/>
                <w:lang w:val="en-US"/>
              </w:rPr>
            </w:pPr>
            <w:r>
              <w:rPr>
                <w:noProof/>
                <w:color w:val="000000"/>
                <w:highlight w:val="black"/>
                <w:lang w:val="en-US"/>
              </w:rPr>
              <w:t>''''''''''''''''''''''''</w:t>
            </w:r>
            <w:r w:rsidR="30C3C8E9" w:rsidRPr="002A770B">
              <w:rPr>
                <w:vertAlign w:val="superscript"/>
                <w:lang w:val="en-US"/>
              </w:rPr>
              <w:t>e</w:t>
            </w:r>
          </w:p>
        </w:tc>
        <w:tc>
          <w:tcPr>
            <w:tcW w:w="559" w:type="pct"/>
            <w:shd w:val="clear" w:color="auto" w:fill="auto"/>
            <w:vAlign w:val="center"/>
          </w:tcPr>
          <w:p w14:paraId="51A9E885" w14:textId="77777777" w:rsidR="00432B96" w:rsidRPr="002A770B" w:rsidRDefault="30C3C8E9" w:rsidP="00DF65DF">
            <w:pPr>
              <w:pStyle w:val="TableText0"/>
              <w:jc w:val="center"/>
              <w:rPr>
                <w:lang w:val="en-US"/>
              </w:rPr>
            </w:pPr>
            <w:r w:rsidRPr="002A770B">
              <w:rPr>
                <w:lang w:val="en-US"/>
              </w:rPr>
              <w:t>$13,517</w:t>
            </w:r>
          </w:p>
        </w:tc>
        <w:tc>
          <w:tcPr>
            <w:tcW w:w="679" w:type="pct"/>
            <w:shd w:val="clear" w:color="auto" w:fill="auto"/>
            <w:vAlign w:val="center"/>
          </w:tcPr>
          <w:p w14:paraId="7E4A085C" w14:textId="77777777" w:rsidR="00432B96" w:rsidRPr="002A770B" w:rsidRDefault="30C3C8E9" w:rsidP="00DF65DF">
            <w:pPr>
              <w:pStyle w:val="TableText0"/>
              <w:jc w:val="center"/>
              <w:rPr>
                <w:lang w:val="en-US"/>
              </w:rPr>
            </w:pPr>
            <w:r w:rsidRPr="002A770B">
              <w:rPr>
                <w:lang w:val="en-US"/>
              </w:rPr>
              <w:t>$15,001</w:t>
            </w:r>
          </w:p>
        </w:tc>
        <w:tc>
          <w:tcPr>
            <w:tcW w:w="556" w:type="pct"/>
          </w:tcPr>
          <w:p w14:paraId="792FADA6" w14:textId="77777777" w:rsidR="00432B96" w:rsidRPr="002A770B" w:rsidRDefault="30C3C8E9" w:rsidP="00DF65DF">
            <w:pPr>
              <w:pStyle w:val="TableText0"/>
              <w:jc w:val="center"/>
              <w:rPr>
                <w:lang w:val="en-US"/>
              </w:rPr>
            </w:pPr>
            <w:r w:rsidRPr="002A770B">
              <w:rPr>
                <w:lang w:val="en-US"/>
              </w:rPr>
              <w:t>$510</w:t>
            </w:r>
          </w:p>
        </w:tc>
        <w:tc>
          <w:tcPr>
            <w:tcW w:w="603" w:type="pct"/>
            <w:vAlign w:val="center"/>
          </w:tcPr>
          <w:p w14:paraId="3525BFCD" w14:textId="77777777" w:rsidR="00432B96" w:rsidRPr="002A770B" w:rsidRDefault="30C3C8E9" w:rsidP="00DF65DF">
            <w:pPr>
              <w:pStyle w:val="TableText0"/>
              <w:jc w:val="center"/>
              <w:rPr>
                <w:lang w:val="en-US"/>
              </w:rPr>
            </w:pPr>
            <w:r w:rsidRPr="002A770B">
              <w:rPr>
                <w:lang w:val="en-US"/>
              </w:rPr>
              <w:t>$526</w:t>
            </w:r>
          </w:p>
        </w:tc>
      </w:tr>
      <w:tr w:rsidR="0069516C" w:rsidRPr="002A770B" w14:paraId="009BF667" w14:textId="77777777" w:rsidTr="0069516C">
        <w:trPr>
          <w:cantSplit/>
          <w:jc w:val="center"/>
        </w:trPr>
        <w:tc>
          <w:tcPr>
            <w:tcW w:w="815" w:type="pct"/>
            <w:shd w:val="clear" w:color="auto" w:fill="auto"/>
            <w:vAlign w:val="center"/>
          </w:tcPr>
          <w:p w14:paraId="0B83CCA2" w14:textId="77777777" w:rsidR="0069516C" w:rsidRPr="00BA5B36" w:rsidRDefault="0069516C" w:rsidP="00DF65DF">
            <w:pPr>
              <w:pStyle w:val="TableText0"/>
              <w:rPr>
                <w:lang w:val="en-US"/>
              </w:rPr>
            </w:pPr>
            <w:r w:rsidRPr="002A770B">
              <w:rPr>
                <w:lang w:val="en-US"/>
              </w:rPr>
              <w:t>Cost/patient/cycle</w:t>
            </w:r>
            <w:r w:rsidR="001A7E5E" w:rsidRPr="002A770B">
              <w:rPr>
                <w:lang w:val="en-US"/>
              </w:rPr>
              <w:t xml:space="preserve"> (corrected)</w:t>
            </w:r>
            <w:r w:rsidR="005C2F9D" w:rsidRPr="002A770B">
              <w:rPr>
                <w:vertAlign w:val="superscript"/>
                <w:lang w:val="en-US"/>
              </w:rPr>
              <w:t>d,g</w:t>
            </w:r>
            <w:r w:rsidR="00BA5B36">
              <w:rPr>
                <w:lang w:val="en-US"/>
              </w:rPr>
              <w:t xml:space="preserve"> ($)</w:t>
            </w:r>
          </w:p>
        </w:tc>
        <w:tc>
          <w:tcPr>
            <w:tcW w:w="658" w:type="pct"/>
            <w:shd w:val="clear" w:color="auto" w:fill="auto"/>
            <w:vAlign w:val="center"/>
          </w:tcPr>
          <w:p w14:paraId="5A4E2610" w14:textId="77777777" w:rsidR="0069516C" w:rsidRPr="002A770B" w:rsidRDefault="004101DD" w:rsidP="00DF65DF">
            <w:pPr>
              <w:pStyle w:val="TableText0"/>
              <w:jc w:val="center"/>
              <w:rPr>
                <w:lang w:val="en-US"/>
              </w:rPr>
            </w:pPr>
            <w:r w:rsidRPr="002A770B">
              <w:rPr>
                <w:lang w:val="en-US"/>
              </w:rPr>
              <w:t>-</w:t>
            </w:r>
          </w:p>
        </w:tc>
        <w:tc>
          <w:tcPr>
            <w:tcW w:w="570" w:type="pct"/>
            <w:shd w:val="clear" w:color="auto" w:fill="auto"/>
            <w:vAlign w:val="center"/>
          </w:tcPr>
          <w:p w14:paraId="03170B08" w14:textId="77777777" w:rsidR="0069516C" w:rsidRPr="002A770B" w:rsidRDefault="008E6972" w:rsidP="00DF65DF">
            <w:pPr>
              <w:pStyle w:val="TableText0"/>
              <w:jc w:val="center"/>
              <w:rPr>
                <w:lang w:val="en-US"/>
              </w:rPr>
            </w:pPr>
            <w:r>
              <w:rPr>
                <w:noProof/>
                <w:color w:val="000000"/>
                <w:highlight w:val="black"/>
                <w:lang w:val="en-US"/>
              </w:rPr>
              <w:t>''''''''''''''''''</w:t>
            </w:r>
            <w:r w:rsidR="00403940" w:rsidRPr="002A770B">
              <w:rPr>
                <w:vertAlign w:val="superscript"/>
                <w:lang w:val="en-US"/>
              </w:rPr>
              <w:t>d</w:t>
            </w:r>
          </w:p>
        </w:tc>
        <w:tc>
          <w:tcPr>
            <w:tcW w:w="559" w:type="pct"/>
            <w:shd w:val="clear" w:color="auto" w:fill="auto"/>
            <w:vAlign w:val="center"/>
          </w:tcPr>
          <w:p w14:paraId="260EF5DE" w14:textId="77777777" w:rsidR="0069516C" w:rsidRPr="002A770B" w:rsidRDefault="00744BFB" w:rsidP="00DF65DF">
            <w:pPr>
              <w:pStyle w:val="TableText0"/>
              <w:jc w:val="center"/>
              <w:rPr>
                <w:lang w:val="en-US"/>
              </w:rPr>
            </w:pPr>
            <w:r w:rsidRPr="002A770B">
              <w:rPr>
                <w:lang w:val="en-US"/>
              </w:rPr>
              <w:t>-</w:t>
            </w:r>
          </w:p>
        </w:tc>
        <w:tc>
          <w:tcPr>
            <w:tcW w:w="559" w:type="pct"/>
            <w:shd w:val="clear" w:color="auto" w:fill="auto"/>
            <w:vAlign w:val="center"/>
          </w:tcPr>
          <w:p w14:paraId="26FB15D3" w14:textId="77777777" w:rsidR="0069516C" w:rsidRPr="002A770B" w:rsidRDefault="004101DD" w:rsidP="00DF65DF">
            <w:pPr>
              <w:pStyle w:val="TableText0"/>
              <w:jc w:val="center"/>
              <w:rPr>
                <w:lang w:val="en-US"/>
              </w:rPr>
            </w:pPr>
            <w:r w:rsidRPr="002A770B">
              <w:rPr>
                <w:lang w:val="en-US"/>
              </w:rPr>
              <w:t>-</w:t>
            </w:r>
          </w:p>
        </w:tc>
        <w:tc>
          <w:tcPr>
            <w:tcW w:w="679" w:type="pct"/>
            <w:shd w:val="clear" w:color="auto" w:fill="auto"/>
            <w:vAlign w:val="center"/>
          </w:tcPr>
          <w:p w14:paraId="098117C6" w14:textId="77777777" w:rsidR="0069516C" w:rsidRPr="002A770B" w:rsidRDefault="001A7E5E" w:rsidP="00DF65DF">
            <w:pPr>
              <w:pStyle w:val="TableText0"/>
              <w:jc w:val="center"/>
              <w:rPr>
                <w:lang w:val="en-US"/>
              </w:rPr>
            </w:pPr>
            <w:r w:rsidRPr="002A770B">
              <w:rPr>
                <w:lang w:val="en-US"/>
              </w:rPr>
              <w:t>$3,186</w:t>
            </w:r>
          </w:p>
        </w:tc>
        <w:tc>
          <w:tcPr>
            <w:tcW w:w="556" w:type="pct"/>
          </w:tcPr>
          <w:p w14:paraId="3879AB6C" w14:textId="77777777" w:rsidR="0069516C" w:rsidRPr="002A770B" w:rsidRDefault="001A7E5E" w:rsidP="00DF65DF">
            <w:pPr>
              <w:pStyle w:val="TableText0"/>
              <w:jc w:val="center"/>
              <w:rPr>
                <w:lang w:val="en-US"/>
              </w:rPr>
            </w:pPr>
            <w:r w:rsidRPr="002A770B">
              <w:rPr>
                <w:lang w:val="en-US"/>
              </w:rPr>
              <w:t>-</w:t>
            </w:r>
          </w:p>
        </w:tc>
        <w:tc>
          <w:tcPr>
            <w:tcW w:w="603" w:type="pct"/>
            <w:vAlign w:val="center"/>
          </w:tcPr>
          <w:p w14:paraId="2EB21352" w14:textId="77777777" w:rsidR="0069516C" w:rsidRPr="002A770B" w:rsidRDefault="001A7E5E" w:rsidP="00DF65DF">
            <w:pPr>
              <w:pStyle w:val="TableText0"/>
              <w:jc w:val="center"/>
              <w:rPr>
                <w:lang w:val="en-US"/>
              </w:rPr>
            </w:pPr>
            <w:r w:rsidRPr="002A770B">
              <w:rPr>
                <w:lang w:val="en-US"/>
              </w:rPr>
              <w:t>$102</w:t>
            </w:r>
          </w:p>
        </w:tc>
      </w:tr>
    </w:tbl>
    <w:p w14:paraId="7A487713" w14:textId="77777777" w:rsidR="00432B96" w:rsidRDefault="30C3C8E9" w:rsidP="00DF65DF">
      <w:pPr>
        <w:pStyle w:val="TableFigureFooter"/>
        <w:keepNext/>
      </w:pPr>
      <w:r>
        <w:t>Source: Section 2.4 of the submission. Using spreadsheet ‘Costs and Outcomes’ in the economic model workbook, and ‘Drug utilisation’ in the financial estimates workbook. Italicised values have been calculated.</w:t>
      </w:r>
    </w:p>
    <w:p w14:paraId="490D13CE" w14:textId="77777777" w:rsidR="00432B96" w:rsidRDefault="30C3C8E9" w:rsidP="00DF65DF">
      <w:pPr>
        <w:pStyle w:val="TableFigureFooter"/>
        <w:keepNext/>
      </w:pPr>
      <w:r>
        <w:t>Weight based dosing by body surface area for bortezomib and melphalan.</w:t>
      </w:r>
      <w:r w:rsidR="005C2F9D">
        <w:t xml:space="preserve"> All weighted costs are based on 34.6%:65.4% public/private split.</w:t>
      </w:r>
    </w:p>
    <w:p w14:paraId="15BDAD9D" w14:textId="77777777" w:rsidR="00432B96" w:rsidRDefault="30C3C8E9" w:rsidP="00DF65DF">
      <w:pPr>
        <w:pStyle w:val="TableFigureFooter"/>
        <w:keepNext/>
      </w:pPr>
      <w:r>
        <w:t>B = bortezomib; C = cyclophosphamide; CyBorD = cyclophosphamide, bortezomib and dexamethasone; D = Dexamethasone; Da = daratumumab; M = melphalan; MDex = melphalan and dexamethasone; SC = subcutaneous.</w:t>
      </w:r>
    </w:p>
    <w:p w14:paraId="28BA2977" w14:textId="77777777" w:rsidR="00432B96" w:rsidRDefault="30C3C8E9" w:rsidP="00DF65DF">
      <w:pPr>
        <w:pStyle w:val="TableFigureFooter"/>
        <w:keepNext/>
      </w:pPr>
      <w:r w:rsidRPr="57626B43">
        <w:rPr>
          <w:vertAlign w:val="superscript"/>
        </w:rPr>
        <w:t>a</w:t>
      </w:r>
      <w:r>
        <w:t xml:space="preserve"> Based on 4 injections of daratumumab, cyclophosphamide, bortezomib and one dose of dexamethasone in Cycle 1.</w:t>
      </w:r>
      <w:r w:rsidR="005C2F9D">
        <w:t xml:space="preserve"> Daratumumab SC b</w:t>
      </w:r>
      <w:r w:rsidR="0031051F">
        <w:t xml:space="preserve">ased on EFC mark-ups applied in the economic model of the submission. </w:t>
      </w:r>
    </w:p>
    <w:p w14:paraId="08D5945F" w14:textId="77777777" w:rsidR="00432B96" w:rsidRDefault="30C3C8E9" w:rsidP="00DF65DF">
      <w:pPr>
        <w:pStyle w:val="TableFigureFooter"/>
        <w:keepNext/>
      </w:pPr>
      <w:r w:rsidRPr="57626B43">
        <w:rPr>
          <w:vertAlign w:val="superscript"/>
        </w:rPr>
        <w:t>b</w:t>
      </w:r>
      <w:r>
        <w:t>. Based on 4 injections of daratumumab, cyclophosphamide, bortezomib and dexamethasone in Month 1.</w:t>
      </w:r>
      <w:r w:rsidR="005C2F9D">
        <w:t xml:space="preserve"> Daratumumab SC b</w:t>
      </w:r>
      <w:r w:rsidR="0031051F">
        <w:t xml:space="preserve">ased on HSD-S100 mark-ups applied in the financial estimates of the submission. </w:t>
      </w:r>
    </w:p>
    <w:p w14:paraId="04A9C7B3" w14:textId="77777777" w:rsidR="00432B96" w:rsidRDefault="30C3C8E9" w:rsidP="00DF65DF">
      <w:pPr>
        <w:pStyle w:val="TableFigureFooter"/>
        <w:keepNext/>
      </w:pPr>
      <w:r w:rsidRPr="57626B43">
        <w:rPr>
          <w:vertAlign w:val="superscript"/>
        </w:rPr>
        <w:t>c</w:t>
      </w:r>
      <w:r>
        <w:t xml:space="preserve"> Based on 4 injections of cyclophosphamide and bortezomib and one dose of dexamethasone in Cycle 1.</w:t>
      </w:r>
    </w:p>
    <w:p w14:paraId="005EC093" w14:textId="77777777" w:rsidR="00432B96" w:rsidRDefault="30C3C8E9" w:rsidP="00DF65DF">
      <w:pPr>
        <w:pStyle w:val="TableFigureFooter"/>
        <w:keepNext/>
      </w:pPr>
      <w:r w:rsidRPr="57626B43">
        <w:rPr>
          <w:vertAlign w:val="superscript"/>
        </w:rPr>
        <w:t>d</w:t>
      </w:r>
      <w:r>
        <w:t xml:space="preserve"> Cost of daratumumab is without administration, blood typing, pre-injection or post-injection medicines. Cell BM in ‘Costs and Outcomes’</w:t>
      </w:r>
      <w:r w:rsidR="00D80EB5">
        <w:t xml:space="preserve">. </w:t>
      </w:r>
    </w:p>
    <w:p w14:paraId="4E0E70C3" w14:textId="77777777" w:rsidR="00432B96" w:rsidRDefault="30C3C8E9" w:rsidP="00DF65DF">
      <w:pPr>
        <w:pStyle w:val="TableFigureFooter"/>
        <w:keepNext/>
      </w:pPr>
      <w:r w:rsidRPr="57626B43">
        <w:rPr>
          <w:vertAlign w:val="superscript"/>
        </w:rPr>
        <w:t>e</w:t>
      </w:r>
      <w:r>
        <w:t xml:space="preserve"> Based on daratumumab administered doses of 27.8 scripts per 24 week course consisting of 14.67 scripts in initial 6 cycles (91.71% compliance), 5.3 scripts in continuing 7-12 cycles (75.9% compliance) and 7.8 scripts in continuing cycles 13-24 (70.7% compliance). Based on cyclophosphamide and bortezomib doses of 21.5 scripts per 6 week course consisting of 24 scheduled doses with 89.7% compliance. Based on dexamethasone administered doses of 73.7 scripts per 24 week course consisting of 42.6 scripts in Year 1 (82.0% compliance) and 31.1 in Year 2 (70.6% compliance).</w:t>
      </w:r>
    </w:p>
    <w:p w14:paraId="1B08CCE0" w14:textId="77777777" w:rsidR="00432B96" w:rsidRDefault="30C3C8E9" w:rsidP="00DF65DF">
      <w:pPr>
        <w:pStyle w:val="TableFigureFooter"/>
        <w:keepNext/>
      </w:pPr>
      <w:r w:rsidRPr="57626B43">
        <w:rPr>
          <w:vertAlign w:val="superscript"/>
        </w:rPr>
        <w:t>f</w:t>
      </w:r>
      <w:r>
        <w:t>. Mean duration of treatment in economic model for MDex based on area under the curve analysis sum D8:D13 in ‘Costs and Outcomes’ in model</w:t>
      </w:r>
    </w:p>
    <w:p w14:paraId="3BA85BAE" w14:textId="77777777" w:rsidR="005C2F9D" w:rsidRDefault="005C2F9D" w:rsidP="00DF65DF">
      <w:pPr>
        <w:pStyle w:val="TableFigureFooter"/>
        <w:keepNext/>
      </w:pPr>
      <w:r w:rsidRPr="005C2F9D">
        <w:rPr>
          <w:vertAlign w:val="superscript"/>
        </w:rPr>
        <w:t>g</w:t>
      </w:r>
      <w:r>
        <w:t xml:space="preserve">. </w:t>
      </w:r>
      <w:r w:rsidR="00744BFB">
        <w:t>The weighted effective price of daratumumab applied in the economic model was $</w:t>
      </w:r>
      <w:r w:rsidR="008E6972">
        <w:rPr>
          <w:noProof/>
          <w:color w:val="000000"/>
          <w:highlight w:val="black"/>
        </w:rPr>
        <w:t>''''''''''''''''''''</w:t>
      </w:r>
      <w:r w:rsidR="00744BFB">
        <w:t xml:space="preserve"> per injection. The corrected weighted effective price using HSD S100 mark-ups is </w:t>
      </w:r>
      <w:r w:rsidR="00744BFB" w:rsidRPr="0069516C">
        <w:t>$</w:t>
      </w:r>
      <w:r w:rsidR="008E6972">
        <w:rPr>
          <w:noProof/>
          <w:color w:val="000000"/>
          <w:highlight w:val="black"/>
        </w:rPr>
        <w:t>''''''''''''''''''''</w:t>
      </w:r>
      <w:r w:rsidR="00744BFB">
        <w:t>.</w:t>
      </w:r>
      <w:r w:rsidR="00970037">
        <w:t xml:space="preserve"> </w:t>
      </w:r>
      <w:r>
        <w:t>The weighted effective price of bortezomib applied in the economic model was $</w:t>
      </w:r>
      <w:r w:rsidR="008E6972">
        <w:rPr>
          <w:noProof/>
          <w:color w:val="000000"/>
          <w:highlight w:val="black"/>
        </w:rPr>
        <w:t>''''''''''''''''''</w:t>
      </w:r>
      <w:r>
        <w:t xml:space="preserve">, in the financial estimates was $630.72 and the revised prices based on updated mark-ups are $636.56. </w:t>
      </w:r>
      <w:r w:rsidR="00744BFB">
        <w:t>The price of cyclophosphamide applied in the economic model was $</w:t>
      </w:r>
      <w:r w:rsidR="008E6972">
        <w:rPr>
          <w:noProof/>
          <w:color w:val="000000"/>
          <w:highlight w:val="black"/>
        </w:rPr>
        <w:t>'''''''''''''''</w:t>
      </w:r>
      <w:r w:rsidR="00744BFB">
        <w:t xml:space="preserve"> based on 4327R and 7226H. The price of cyclophosphamide applied in the financial estimates was $155.65 based on 1266P and this was revised to $155.71 in the corrected estimate. The price of dexamethasone applied in the economic and financial model was $17.27 and this was revised to $17.33 in the corrected estimate. </w:t>
      </w:r>
    </w:p>
    <w:p w14:paraId="44D205CA" w14:textId="77777777" w:rsidR="00432B96" w:rsidRDefault="00432B96" w:rsidP="00432B96"/>
    <w:p w14:paraId="4834FF95" w14:textId="77777777" w:rsidR="00FB7360" w:rsidRDefault="30C3C8E9" w:rsidP="00432B96">
      <w:pPr>
        <w:pStyle w:val="3-BodyText"/>
        <w:rPr>
          <w:snapToGrid/>
          <w:lang w:val="en-US"/>
        </w:rPr>
      </w:pPr>
      <w:r w:rsidRPr="002A770B">
        <w:rPr>
          <w:snapToGrid/>
          <w:lang w:val="en-US"/>
        </w:rPr>
        <w:t>The expected cost of daratumumab SC + CyBorD per patient per course is $</w:t>
      </w:r>
      <w:r w:rsidR="008E6972">
        <w:rPr>
          <w:noProof/>
          <w:snapToGrid/>
          <w:color w:val="000000"/>
          <w:highlight w:val="black"/>
          <w:lang w:val="en-US"/>
        </w:rPr>
        <w:t>'''''''''''''''</w:t>
      </w:r>
      <w:r w:rsidRPr="002A770B">
        <w:rPr>
          <w:snapToGrid/>
          <w:lang w:val="en-US"/>
        </w:rPr>
        <w:t xml:space="preserve">. </w:t>
      </w:r>
      <w:r w:rsidR="00FB7360">
        <w:rPr>
          <w:snapToGrid/>
          <w:lang w:val="en-US"/>
        </w:rPr>
        <w:t xml:space="preserve">This was based on a </w:t>
      </w:r>
      <w:r w:rsidRPr="002A770B">
        <w:rPr>
          <w:snapToGrid/>
          <w:lang w:val="en-US"/>
        </w:rPr>
        <w:t xml:space="preserve">weighted effective price of </w:t>
      </w:r>
      <w:r w:rsidR="00FB7360">
        <w:rPr>
          <w:snapToGrid/>
          <w:lang w:val="en-US"/>
        </w:rPr>
        <w:t xml:space="preserve">daratumumab of </w:t>
      </w:r>
      <w:r w:rsidRPr="002A770B">
        <w:rPr>
          <w:snapToGrid/>
          <w:lang w:val="en-US"/>
        </w:rPr>
        <w:t>$</w:t>
      </w:r>
      <w:r w:rsidR="008E6972">
        <w:rPr>
          <w:noProof/>
          <w:snapToGrid/>
          <w:color w:val="000000"/>
          <w:highlight w:val="black"/>
          <w:lang w:val="en-US"/>
        </w:rPr>
        <w:t>''''''''''''''''''</w:t>
      </w:r>
      <w:r w:rsidR="00FB7360">
        <w:rPr>
          <w:snapToGrid/>
          <w:lang w:val="en-US"/>
        </w:rPr>
        <w:t xml:space="preserve"> and a </w:t>
      </w:r>
      <w:r w:rsidRPr="002A770B">
        <w:rPr>
          <w:snapToGrid/>
          <w:lang w:val="en-US"/>
        </w:rPr>
        <w:t xml:space="preserve">mean duration of </w:t>
      </w:r>
      <w:r w:rsidR="00FB7360">
        <w:rPr>
          <w:snapToGrid/>
          <w:lang w:val="en-US"/>
        </w:rPr>
        <w:t xml:space="preserve">treatment of </w:t>
      </w:r>
      <w:r w:rsidRPr="002A770B">
        <w:rPr>
          <w:snapToGrid/>
          <w:lang w:val="en-US"/>
        </w:rPr>
        <w:t>18.21 months. For cyclophosphamide and bortezomib weighted effective price</w:t>
      </w:r>
      <w:r w:rsidR="00FB7360">
        <w:rPr>
          <w:snapToGrid/>
          <w:lang w:val="en-US"/>
        </w:rPr>
        <w:t>s</w:t>
      </w:r>
      <w:r w:rsidRPr="002A770B">
        <w:rPr>
          <w:snapToGrid/>
          <w:lang w:val="en-US"/>
        </w:rPr>
        <w:t xml:space="preserve"> of $</w:t>
      </w:r>
      <w:r w:rsidR="008E6972">
        <w:rPr>
          <w:noProof/>
          <w:snapToGrid/>
          <w:color w:val="000000"/>
          <w:highlight w:val="black"/>
          <w:lang w:val="en-US"/>
        </w:rPr>
        <w:t>''''''''''''</w:t>
      </w:r>
      <w:r w:rsidRPr="002A770B">
        <w:rPr>
          <w:snapToGrid/>
          <w:lang w:val="en-US"/>
        </w:rPr>
        <w:t xml:space="preserve"> and $</w:t>
      </w:r>
      <w:r w:rsidR="008E6972">
        <w:rPr>
          <w:noProof/>
          <w:snapToGrid/>
          <w:color w:val="000000"/>
          <w:highlight w:val="black"/>
          <w:lang w:val="en-US"/>
        </w:rPr>
        <w:t>''''''''''''</w:t>
      </w:r>
      <w:r w:rsidRPr="002A770B">
        <w:rPr>
          <w:snapToGrid/>
          <w:lang w:val="en-US"/>
        </w:rPr>
        <w:t xml:space="preserve"> </w:t>
      </w:r>
      <w:r w:rsidR="00FB7360">
        <w:rPr>
          <w:snapToGrid/>
          <w:lang w:val="en-US"/>
        </w:rPr>
        <w:t xml:space="preserve">respectively were applied </w:t>
      </w:r>
      <w:r w:rsidRPr="002A770B">
        <w:rPr>
          <w:snapToGrid/>
          <w:lang w:val="en-US"/>
        </w:rPr>
        <w:t xml:space="preserve">for a mean duration of 6 cycles. </w:t>
      </w:r>
    </w:p>
    <w:p w14:paraId="343DD1DE" w14:textId="77777777" w:rsidR="00432B96" w:rsidRPr="002A770B" w:rsidRDefault="30C3C8E9" w:rsidP="00432B96">
      <w:pPr>
        <w:pStyle w:val="3-BodyText"/>
        <w:rPr>
          <w:snapToGrid/>
          <w:lang w:val="en-US"/>
        </w:rPr>
      </w:pPr>
      <w:r w:rsidRPr="002A770B">
        <w:rPr>
          <w:snapToGrid/>
          <w:lang w:val="en-US"/>
        </w:rPr>
        <w:lastRenderedPageBreak/>
        <w:t>The submission applied the EFC mark-up in estimating the cost of daratumumab SC. This was inconsistent with the proposed PBS restriction (HSD S100). Application of HSD S100 mark-ups would have reduced the cost of daratumumab SC to a weighted effective price of $</w:t>
      </w:r>
      <w:r w:rsidR="008E6972">
        <w:rPr>
          <w:noProof/>
          <w:snapToGrid/>
          <w:color w:val="000000"/>
          <w:highlight w:val="black"/>
          <w:lang w:val="en-US"/>
        </w:rPr>
        <w:t>''''''''''''''''</w:t>
      </w:r>
      <w:r w:rsidRPr="002A770B">
        <w:rPr>
          <w:snapToGrid/>
          <w:lang w:val="en-US"/>
        </w:rPr>
        <w:t xml:space="preserve">. The use of daratumumab SC EFC mark-ups in the economic model was not consistent with the use of daratumumab SC HSD S100 mark-ups in the financial estimates. </w:t>
      </w:r>
    </w:p>
    <w:p w14:paraId="42A90A37" w14:textId="77777777" w:rsidR="00432B96" w:rsidRPr="00C9624D" w:rsidRDefault="30C3C8E9" w:rsidP="00432B96">
      <w:pPr>
        <w:pStyle w:val="4-SubsectionHeading"/>
      </w:pPr>
      <w:bookmarkStart w:id="62" w:name="_Toc82436615"/>
      <w:r>
        <w:t>Estimated PBS usage &amp; financial implications</w:t>
      </w:r>
      <w:bookmarkEnd w:id="62"/>
    </w:p>
    <w:p w14:paraId="69F9AE47" w14:textId="77777777" w:rsidR="006F2DBA" w:rsidRPr="00FA1D4D" w:rsidRDefault="006F2DBA" w:rsidP="006F2DBA">
      <w:pPr>
        <w:pStyle w:val="3-BodyText"/>
      </w:pPr>
      <w:bookmarkStart w:id="63" w:name="_Toc82436616"/>
      <w:r>
        <w:t xml:space="preserve">This submission </w:t>
      </w:r>
      <w:r w:rsidR="0028089A">
        <w:t>was</w:t>
      </w:r>
      <w:r>
        <w:t xml:space="preserve"> considered by DUSC. The submission used an epidemiological approach to estimate the financial implications associated with the proposed listing of daratumumab SC in combination with CyBorD.</w:t>
      </w:r>
    </w:p>
    <w:p w14:paraId="2A9FD2E1" w14:textId="77777777" w:rsidR="006F2DBA" w:rsidRDefault="006F2DBA" w:rsidP="001924C7">
      <w:pPr>
        <w:pStyle w:val="Caption"/>
      </w:pPr>
      <w:r>
        <w:lastRenderedPageBreak/>
        <w:t xml:space="preserve">Table </w:t>
      </w:r>
      <w:r w:rsidR="008A0743">
        <w:rPr>
          <w:noProof/>
        </w:rPr>
        <w:t>2</w:t>
      </w:r>
      <w:r w:rsidR="00D772F5">
        <w:rPr>
          <w:noProof/>
        </w:rPr>
        <w:t>0</w:t>
      </w:r>
      <w:r>
        <w:t>: Estimation of number of treated patients, prescriptions and key inputs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Estimation of number of treated patients, prescriptions and key inputs"/>
      </w:tblPr>
      <w:tblGrid>
        <w:gridCol w:w="1451"/>
        <w:gridCol w:w="902"/>
        <w:gridCol w:w="903"/>
        <w:gridCol w:w="2551"/>
        <w:gridCol w:w="3373"/>
      </w:tblGrid>
      <w:tr w:rsidR="006F2DBA" w:rsidRPr="006F2DBA" w14:paraId="43CF35F8" w14:textId="77777777" w:rsidTr="006F2DBA">
        <w:trPr>
          <w:trHeight w:val="20"/>
          <w:tblHeader/>
        </w:trPr>
        <w:tc>
          <w:tcPr>
            <w:tcW w:w="1451" w:type="dxa"/>
            <w:vAlign w:val="center"/>
          </w:tcPr>
          <w:p w14:paraId="5069C998" w14:textId="77777777" w:rsidR="006F2DBA" w:rsidRPr="006F2DBA" w:rsidRDefault="006F2DBA" w:rsidP="006F2DBA">
            <w:pPr>
              <w:pStyle w:val="In-tableHeading"/>
              <w:keepLines/>
              <w:jc w:val="center"/>
            </w:pPr>
            <w:r w:rsidRPr="006F2DBA">
              <w:t>Data</w:t>
            </w:r>
          </w:p>
        </w:tc>
        <w:tc>
          <w:tcPr>
            <w:tcW w:w="902" w:type="dxa"/>
            <w:vAlign w:val="center"/>
          </w:tcPr>
          <w:p w14:paraId="0567AD7B" w14:textId="77777777" w:rsidR="006F2DBA" w:rsidRPr="006F2DBA" w:rsidRDefault="006F2DBA" w:rsidP="006F2DBA">
            <w:pPr>
              <w:pStyle w:val="In-tableHeading"/>
              <w:keepLines/>
              <w:jc w:val="center"/>
            </w:pPr>
            <w:r w:rsidRPr="006F2DBA">
              <w:t>Value</w:t>
            </w:r>
          </w:p>
        </w:tc>
        <w:tc>
          <w:tcPr>
            <w:tcW w:w="903" w:type="dxa"/>
            <w:vAlign w:val="center"/>
          </w:tcPr>
          <w:p w14:paraId="7576F251" w14:textId="77777777" w:rsidR="006F2DBA" w:rsidRPr="006F2DBA" w:rsidRDefault="006F2DBA" w:rsidP="006F2DBA">
            <w:pPr>
              <w:pStyle w:val="In-tableHeading"/>
              <w:keepLines/>
              <w:jc w:val="center"/>
            </w:pPr>
            <w:r w:rsidRPr="006F2DBA">
              <w:t>Year 1</w:t>
            </w:r>
            <w:r w:rsidRPr="006F2DBA">
              <w:rPr>
                <w:vertAlign w:val="superscript"/>
              </w:rPr>
              <w:t>a</w:t>
            </w:r>
          </w:p>
        </w:tc>
        <w:tc>
          <w:tcPr>
            <w:tcW w:w="5924" w:type="dxa"/>
            <w:gridSpan w:val="2"/>
            <w:vAlign w:val="center"/>
          </w:tcPr>
          <w:p w14:paraId="6F3AF4D3" w14:textId="77777777" w:rsidR="006F2DBA" w:rsidRPr="006F2DBA" w:rsidRDefault="006F2DBA" w:rsidP="006F2DBA">
            <w:pPr>
              <w:pStyle w:val="In-tableHeading"/>
              <w:keepLines/>
            </w:pPr>
            <w:r w:rsidRPr="006F2DBA">
              <w:t>Source and Comment</w:t>
            </w:r>
          </w:p>
        </w:tc>
      </w:tr>
      <w:tr w:rsidR="006F2DBA" w:rsidRPr="006F2DBA" w14:paraId="29047480" w14:textId="77777777" w:rsidTr="006F2DBA">
        <w:trPr>
          <w:trHeight w:val="20"/>
        </w:trPr>
        <w:tc>
          <w:tcPr>
            <w:tcW w:w="9180" w:type="dxa"/>
            <w:gridSpan w:val="5"/>
            <w:vAlign w:val="center"/>
          </w:tcPr>
          <w:p w14:paraId="7F56338C" w14:textId="77777777" w:rsidR="006F2DBA" w:rsidRPr="006F2DBA" w:rsidRDefault="006F2DBA" w:rsidP="006F2DBA">
            <w:pPr>
              <w:pStyle w:val="In-tableHeading"/>
              <w:keepLines/>
            </w:pPr>
            <w:r w:rsidRPr="006F2DBA">
              <w:t>Eligible population</w:t>
            </w:r>
          </w:p>
        </w:tc>
      </w:tr>
      <w:tr w:rsidR="006F2DBA" w:rsidRPr="006F2DBA" w14:paraId="346165AA" w14:textId="77777777" w:rsidTr="006F2DBA">
        <w:trPr>
          <w:trHeight w:val="20"/>
        </w:trPr>
        <w:tc>
          <w:tcPr>
            <w:tcW w:w="1451" w:type="dxa"/>
            <w:vAlign w:val="center"/>
          </w:tcPr>
          <w:p w14:paraId="2AF6290B" w14:textId="77777777" w:rsidR="006F2DBA" w:rsidRPr="006F2DBA" w:rsidRDefault="006F2DBA" w:rsidP="006F2DBA">
            <w:pPr>
              <w:pStyle w:val="TableText0"/>
              <w:keepLines/>
            </w:pPr>
            <w:r w:rsidRPr="006F2DBA">
              <w:t>Incident patients</w:t>
            </w:r>
          </w:p>
        </w:tc>
        <w:tc>
          <w:tcPr>
            <w:tcW w:w="902" w:type="dxa"/>
            <w:vAlign w:val="center"/>
          </w:tcPr>
          <w:p w14:paraId="40915CF8" w14:textId="77777777" w:rsidR="006F2DBA" w:rsidRPr="006F2DBA" w:rsidRDefault="006F2DBA" w:rsidP="006F2DBA">
            <w:pPr>
              <w:pStyle w:val="TableText0"/>
              <w:keepLines/>
            </w:pPr>
            <w:r w:rsidRPr="006F2DBA">
              <w:t>-</w:t>
            </w:r>
          </w:p>
        </w:tc>
        <w:tc>
          <w:tcPr>
            <w:tcW w:w="903" w:type="dxa"/>
            <w:vAlign w:val="center"/>
          </w:tcPr>
          <w:p w14:paraId="23A864FF" w14:textId="77777777" w:rsidR="006F2DBA" w:rsidRPr="006F2DBA" w:rsidRDefault="006F2DBA" w:rsidP="006F2DBA">
            <w:pPr>
              <w:pStyle w:val="TableText0"/>
              <w:keepLines/>
            </w:pPr>
            <w:r w:rsidRPr="006F2DBA">
              <w:t>188</w:t>
            </w:r>
          </w:p>
        </w:tc>
        <w:tc>
          <w:tcPr>
            <w:tcW w:w="2551" w:type="dxa"/>
            <w:vAlign w:val="center"/>
          </w:tcPr>
          <w:p w14:paraId="0E374862" w14:textId="77777777" w:rsidR="006F2DBA" w:rsidRPr="006F2DBA" w:rsidRDefault="006F2DBA" w:rsidP="006F2DBA">
            <w:pPr>
              <w:pStyle w:val="TableText0"/>
              <w:keepLines/>
            </w:pPr>
            <w:r w:rsidRPr="006F2DBA">
              <w:t>Wisniowski et al. (2019) and ABS data (2012 – 2030). Expert clinician advice for 15% increase in diagnosis rate.</w:t>
            </w:r>
          </w:p>
        </w:tc>
        <w:tc>
          <w:tcPr>
            <w:tcW w:w="3373" w:type="dxa"/>
            <w:vAlign w:val="center"/>
          </w:tcPr>
          <w:p w14:paraId="79E07E7C" w14:textId="77777777" w:rsidR="006F2DBA" w:rsidRPr="006F2DBA" w:rsidRDefault="006F2DBA" w:rsidP="006F2DBA">
            <w:pPr>
              <w:pStyle w:val="TableText0"/>
              <w:keepLines/>
            </w:pPr>
            <w:r w:rsidRPr="006F2DBA">
              <w:t>Estimated as 8.72 per million person years. There is uncertainty in the magnitude of increased diagnosis resulting in 9.35 per million person years in Year 1 and 10.03 per million person years in Year 2 onwards.</w:t>
            </w:r>
          </w:p>
        </w:tc>
      </w:tr>
      <w:tr w:rsidR="006F2DBA" w:rsidRPr="006F2DBA" w14:paraId="30C9CCC7" w14:textId="77777777" w:rsidTr="006F2DBA">
        <w:trPr>
          <w:trHeight w:val="20"/>
        </w:trPr>
        <w:tc>
          <w:tcPr>
            <w:tcW w:w="1451" w:type="dxa"/>
            <w:vAlign w:val="center"/>
          </w:tcPr>
          <w:p w14:paraId="17860619" w14:textId="77777777" w:rsidR="006F2DBA" w:rsidRPr="006F2DBA" w:rsidRDefault="006F2DBA" w:rsidP="006F2DBA">
            <w:pPr>
              <w:pStyle w:val="TableText0"/>
              <w:keepLines/>
            </w:pPr>
            <w:r w:rsidRPr="006F2DBA">
              <w:t>Prevalent patients</w:t>
            </w:r>
          </w:p>
        </w:tc>
        <w:tc>
          <w:tcPr>
            <w:tcW w:w="902" w:type="dxa"/>
            <w:vAlign w:val="center"/>
          </w:tcPr>
          <w:p w14:paraId="0BA4B0AC" w14:textId="77777777" w:rsidR="006F2DBA" w:rsidRPr="006F2DBA" w:rsidRDefault="006F2DBA" w:rsidP="006F2DBA">
            <w:pPr>
              <w:pStyle w:val="TableText0"/>
              <w:keepLines/>
            </w:pPr>
            <w:r w:rsidRPr="006F2DBA">
              <w:t>-</w:t>
            </w:r>
          </w:p>
        </w:tc>
        <w:tc>
          <w:tcPr>
            <w:tcW w:w="903" w:type="dxa"/>
            <w:vAlign w:val="center"/>
          </w:tcPr>
          <w:p w14:paraId="481A63D1" w14:textId="77777777" w:rsidR="006F2DBA" w:rsidRPr="006F2DBA" w:rsidRDefault="006F2DBA" w:rsidP="006F2DBA">
            <w:pPr>
              <w:pStyle w:val="TableText0"/>
              <w:keepLines/>
            </w:pPr>
            <w:r w:rsidRPr="006F2DBA">
              <w:t>31</w:t>
            </w:r>
          </w:p>
        </w:tc>
        <w:tc>
          <w:tcPr>
            <w:tcW w:w="2551" w:type="dxa"/>
            <w:vAlign w:val="center"/>
          </w:tcPr>
          <w:p w14:paraId="37741EA5" w14:textId="77777777" w:rsidR="006F2DBA" w:rsidRPr="006F2DBA" w:rsidRDefault="006F2DBA" w:rsidP="006F2DBA">
            <w:pPr>
              <w:pStyle w:val="TableText0"/>
              <w:keepLines/>
            </w:pPr>
            <w:r w:rsidRPr="006F2DBA">
              <w:t>Wisniowski et al. (2019) median survival estimate and clinical expert advice for 8%.</w:t>
            </w:r>
          </w:p>
        </w:tc>
        <w:tc>
          <w:tcPr>
            <w:tcW w:w="3373" w:type="dxa"/>
            <w:vAlign w:val="center"/>
          </w:tcPr>
          <w:p w14:paraId="7CC871FC" w14:textId="77777777" w:rsidR="006F2DBA" w:rsidRPr="006F2DBA" w:rsidRDefault="006F2DBA" w:rsidP="006F2DBA">
            <w:pPr>
              <w:pStyle w:val="TableText0"/>
              <w:keepLines/>
            </w:pPr>
            <w:r w:rsidRPr="006F2DBA">
              <w:t xml:space="preserve">The inclusion of prevalent patients in the financial estimates is inconsistent with the TGA indication of newly diagnosed patients. There is uncertainty in the assumed 8% of untreated prevalent patients. </w:t>
            </w:r>
          </w:p>
        </w:tc>
      </w:tr>
      <w:tr w:rsidR="006F2DBA" w:rsidRPr="006F2DBA" w14:paraId="4E190729" w14:textId="77777777" w:rsidTr="006F2DBA">
        <w:trPr>
          <w:trHeight w:val="20"/>
        </w:trPr>
        <w:tc>
          <w:tcPr>
            <w:tcW w:w="9180" w:type="dxa"/>
            <w:gridSpan w:val="5"/>
            <w:vAlign w:val="center"/>
          </w:tcPr>
          <w:p w14:paraId="48C1CE6D" w14:textId="77777777" w:rsidR="006F2DBA" w:rsidRPr="006F2DBA" w:rsidRDefault="006F2DBA" w:rsidP="006F2DBA">
            <w:pPr>
              <w:pStyle w:val="TableText0"/>
              <w:keepLines/>
              <w:rPr>
                <w:b/>
              </w:rPr>
            </w:pPr>
            <w:r w:rsidRPr="006F2DBA">
              <w:rPr>
                <w:b/>
              </w:rPr>
              <w:t>Treatment utilisation</w:t>
            </w:r>
          </w:p>
        </w:tc>
      </w:tr>
      <w:tr w:rsidR="006F2DBA" w:rsidRPr="006F2DBA" w14:paraId="42C2938D" w14:textId="77777777" w:rsidTr="006F2DBA">
        <w:trPr>
          <w:trHeight w:val="20"/>
        </w:trPr>
        <w:tc>
          <w:tcPr>
            <w:tcW w:w="1451" w:type="dxa"/>
            <w:vAlign w:val="center"/>
          </w:tcPr>
          <w:p w14:paraId="31348863" w14:textId="77777777" w:rsidR="006F2DBA" w:rsidRPr="006F2DBA" w:rsidRDefault="006F2DBA" w:rsidP="006F2DBA">
            <w:pPr>
              <w:pStyle w:val="TableText0"/>
              <w:keepLines/>
            </w:pPr>
            <w:r w:rsidRPr="006F2DBA">
              <w:t xml:space="preserve">Eligibility without Mayo Stage IIIB or no ECOG 3+ - initiating </w:t>
            </w:r>
          </w:p>
        </w:tc>
        <w:tc>
          <w:tcPr>
            <w:tcW w:w="902" w:type="dxa"/>
            <w:vAlign w:val="center"/>
          </w:tcPr>
          <w:p w14:paraId="4761054C" w14:textId="77777777" w:rsidR="006F2DBA" w:rsidRPr="006F2DBA" w:rsidRDefault="006F2DBA" w:rsidP="006F2DBA">
            <w:pPr>
              <w:pStyle w:val="TableText0"/>
              <w:keepLines/>
            </w:pPr>
            <w:r w:rsidRPr="006F2DBA">
              <w:t>75%</w:t>
            </w:r>
          </w:p>
        </w:tc>
        <w:tc>
          <w:tcPr>
            <w:tcW w:w="903" w:type="dxa"/>
            <w:vAlign w:val="center"/>
          </w:tcPr>
          <w:p w14:paraId="70150B73" w14:textId="77777777" w:rsidR="006F2DBA" w:rsidRPr="006F2DBA" w:rsidRDefault="006F2DBA" w:rsidP="006F2DBA">
            <w:pPr>
              <w:pStyle w:val="TableText0"/>
              <w:keepLines/>
            </w:pPr>
            <w:r w:rsidRPr="006F2DBA">
              <w:t>141</w:t>
            </w:r>
          </w:p>
        </w:tc>
        <w:tc>
          <w:tcPr>
            <w:tcW w:w="2551" w:type="dxa"/>
            <w:vAlign w:val="center"/>
          </w:tcPr>
          <w:p w14:paraId="7265289F" w14:textId="77777777" w:rsidR="006F2DBA" w:rsidRPr="006F2DBA" w:rsidRDefault="006F2DBA" w:rsidP="006F2DBA">
            <w:pPr>
              <w:pStyle w:val="TableText0"/>
              <w:keepLines/>
            </w:pPr>
            <w:r w:rsidRPr="006F2DBA">
              <w:t>Australian Amyloidosis Network</w:t>
            </w:r>
          </w:p>
        </w:tc>
        <w:tc>
          <w:tcPr>
            <w:tcW w:w="3373" w:type="dxa"/>
            <w:vAlign w:val="center"/>
          </w:tcPr>
          <w:p w14:paraId="2DD440B1" w14:textId="77777777" w:rsidR="006F2DBA" w:rsidRPr="006F2DBA" w:rsidRDefault="006F2DBA" w:rsidP="009070A3">
            <w:pPr>
              <w:pStyle w:val="TableText0"/>
              <w:keepLines/>
            </w:pPr>
            <w:r w:rsidRPr="006F2DBA">
              <w:t>This was reasonable with regard to ECOG status</w:t>
            </w:r>
            <w:r w:rsidR="001B6BCD">
              <w:t>. Although the estimates provided in the submission did not exclude patients with</w:t>
            </w:r>
            <w:r w:rsidR="002C22B8">
              <w:t xml:space="preserve"> cardiac disease (defined as </w:t>
            </w:r>
            <w:r w:rsidR="002C22B8" w:rsidRPr="002B7922">
              <w:rPr>
                <w:rFonts w:cstheme="minorHAnsi"/>
                <w:bCs w:val="0"/>
                <w:szCs w:val="22"/>
              </w:rPr>
              <w:t xml:space="preserve">Mayo Stage </w:t>
            </w:r>
            <w:r w:rsidR="009070A3">
              <w:rPr>
                <w:rFonts w:cstheme="minorHAnsi"/>
                <w:bCs w:val="0"/>
                <w:szCs w:val="22"/>
              </w:rPr>
              <w:t>III</w:t>
            </w:r>
            <w:r w:rsidR="002C22B8" w:rsidRPr="002B7922">
              <w:rPr>
                <w:rFonts w:cstheme="minorHAnsi"/>
                <w:bCs w:val="0"/>
                <w:szCs w:val="22"/>
              </w:rPr>
              <w:t xml:space="preserve">B, </w:t>
            </w:r>
            <w:r w:rsidR="001B6BCD">
              <w:t>NYHA Class IIIB/IV</w:t>
            </w:r>
            <w:r w:rsidR="002C22B8">
              <w:t>)</w:t>
            </w:r>
            <w:r w:rsidR="0028089A">
              <w:t>;</w:t>
            </w:r>
            <w:r w:rsidRPr="006F2DBA">
              <w:t xml:space="preserve"> </w:t>
            </w:r>
            <w:r w:rsidR="001B6BCD">
              <w:t xml:space="preserve">these were included in the revised restriction provided in the PSCR. The PSCR provided updated utilisation estimates. </w:t>
            </w:r>
          </w:p>
        </w:tc>
      </w:tr>
      <w:tr w:rsidR="006F2DBA" w:rsidRPr="006F2DBA" w14:paraId="7007D1CF" w14:textId="77777777" w:rsidTr="006F2DBA">
        <w:trPr>
          <w:trHeight w:val="20"/>
        </w:trPr>
        <w:tc>
          <w:tcPr>
            <w:tcW w:w="1451" w:type="dxa"/>
            <w:vAlign w:val="center"/>
          </w:tcPr>
          <w:p w14:paraId="3DA36C7A" w14:textId="77777777" w:rsidR="006F2DBA" w:rsidRPr="006F2DBA" w:rsidRDefault="006F2DBA" w:rsidP="006F2DBA">
            <w:pPr>
              <w:pStyle w:val="TableText0"/>
              <w:keepLines/>
            </w:pPr>
            <w:r w:rsidRPr="006F2DBA">
              <w:t>Uptake rate - initiating</w:t>
            </w:r>
          </w:p>
        </w:tc>
        <w:tc>
          <w:tcPr>
            <w:tcW w:w="902" w:type="dxa"/>
            <w:vAlign w:val="center"/>
          </w:tcPr>
          <w:p w14:paraId="41855F82" w14:textId="77777777" w:rsidR="006F2DBA" w:rsidRPr="006F2DBA" w:rsidRDefault="006F2DBA" w:rsidP="006F2DBA">
            <w:pPr>
              <w:pStyle w:val="TableText0"/>
              <w:keepLines/>
            </w:pPr>
            <w:r w:rsidRPr="006F2DBA">
              <w:t>95%</w:t>
            </w:r>
          </w:p>
        </w:tc>
        <w:tc>
          <w:tcPr>
            <w:tcW w:w="903" w:type="dxa"/>
            <w:vAlign w:val="center"/>
          </w:tcPr>
          <w:p w14:paraId="34ADDA3D" w14:textId="77777777" w:rsidR="006F2DBA" w:rsidRPr="006F2DBA" w:rsidRDefault="006F2DBA" w:rsidP="006F2DBA">
            <w:pPr>
              <w:pStyle w:val="TableText0"/>
              <w:keepLines/>
            </w:pPr>
            <w:r w:rsidRPr="006F2DBA">
              <w:t>134</w:t>
            </w:r>
          </w:p>
        </w:tc>
        <w:tc>
          <w:tcPr>
            <w:tcW w:w="2551" w:type="dxa"/>
            <w:vAlign w:val="center"/>
          </w:tcPr>
          <w:p w14:paraId="0C9A321A" w14:textId="77777777" w:rsidR="006F2DBA" w:rsidRPr="006F2DBA" w:rsidRDefault="006F2DBA" w:rsidP="006F2DBA">
            <w:pPr>
              <w:pStyle w:val="TableText0"/>
              <w:keepLines/>
            </w:pPr>
            <w:r w:rsidRPr="006F2DBA">
              <w:t>Assumption</w:t>
            </w:r>
          </w:p>
        </w:tc>
        <w:tc>
          <w:tcPr>
            <w:tcW w:w="3373" w:type="dxa"/>
            <w:vAlign w:val="center"/>
          </w:tcPr>
          <w:p w14:paraId="1280BE0E" w14:textId="77777777" w:rsidR="006F2DBA" w:rsidRPr="006F2DBA" w:rsidRDefault="0028089A" w:rsidP="006F2DBA">
            <w:pPr>
              <w:pStyle w:val="TableText0"/>
              <w:keepLines/>
            </w:pPr>
            <w:r>
              <w:t>-</w:t>
            </w:r>
          </w:p>
        </w:tc>
      </w:tr>
      <w:tr w:rsidR="006F2DBA" w:rsidRPr="006F2DBA" w14:paraId="50F866F7" w14:textId="77777777" w:rsidTr="006F2DBA">
        <w:trPr>
          <w:trHeight w:val="20"/>
        </w:trPr>
        <w:tc>
          <w:tcPr>
            <w:tcW w:w="1451" w:type="dxa"/>
            <w:vAlign w:val="center"/>
          </w:tcPr>
          <w:p w14:paraId="7708F146" w14:textId="77777777" w:rsidR="006F2DBA" w:rsidRPr="006F2DBA" w:rsidRDefault="006F2DBA" w:rsidP="006F2DBA">
            <w:pPr>
              <w:pStyle w:val="TableText0"/>
              <w:keepLines/>
            </w:pPr>
            <w:r w:rsidRPr="006F2DBA">
              <w:t>Uptake rate - prevalent</w:t>
            </w:r>
          </w:p>
        </w:tc>
        <w:tc>
          <w:tcPr>
            <w:tcW w:w="902" w:type="dxa"/>
            <w:vAlign w:val="center"/>
          </w:tcPr>
          <w:p w14:paraId="2D1D0D08" w14:textId="77777777" w:rsidR="006F2DBA" w:rsidRPr="006F2DBA" w:rsidRDefault="006F2DBA" w:rsidP="006F2DBA">
            <w:pPr>
              <w:pStyle w:val="TableText0"/>
              <w:keepLines/>
            </w:pPr>
            <w:r w:rsidRPr="006F2DBA">
              <w:t>95%</w:t>
            </w:r>
          </w:p>
        </w:tc>
        <w:tc>
          <w:tcPr>
            <w:tcW w:w="903" w:type="dxa"/>
            <w:vAlign w:val="center"/>
          </w:tcPr>
          <w:p w14:paraId="4E89B676" w14:textId="77777777" w:rsidR="006F2DBA" w:rsidRPr="006F2DBA" w:rsidRDefault="006F2DBA" w:rsidP="006F2DBA">
            <w:pPr>
              <w:pStyle w:val="TableText0"/>
              <w:keepLines/>
            </w:pPr>
            <w:r w:rsidRPr="006F2DBA">
              <w:t>29</w:t>
            </w:r>
          </w:p>
        </w:tc>
        <w:tc>
          <w:tcPr>
            <w:tcW w:w="2551" w:type="dxa"/>
            <w:vAlign w:val="center"/>
          </w:tcPr>
          <w:p w14:paraId="14299C72" w14:textId="77777777" w:rsidR="006F2DBA" w:rsidRPr="006F2DBA" w:rsidRDefault="006F2DBA" w:rsidP="006F2DBA">
            <w:pPr>
              <w:pStyle w:val="TableText0"/>
              <w:keepLines/>
            </w:pPr>
            <w:r w:rsidRPr="006F2DBA">
              <w:t>Assumption</w:t>
            </w:r>
          </w:p>
        </w:tc>
        <w:tc>
          <w:tcPr>
            <w:tcW w:w="3373" w:type="dxa"/>
            <w:vAlign w:val="center"/>
          </w:tcPr>
          <w:p w14:paraId="1B637125" w14:textId="77777777" w:rsidR="006F2DBA" w:rsidRPr="006F2DBA" w:rsidRDefault="0028089A" w:rsidP="006F2DBA">
            <w:pPr>
              <w:pStyle w:val="TableText0"/>
              <w:keepLines/>
            </w:pPr>
            <w:r>
              <w:t>I</w:t>
            </w:r>
            <w:r w:rsidR="006F2DBA" w:rsidRPr="006F2DBA">
              <w:t xml:space="preserve">t </w:t>
            </w:r>
            <w:r>
              <w:t>wa</w:t>
            </w:r>
            <w:r w:rsidR="006F2DBA" w:rsidRPr="006F2DBA">
              <w:t xml:space="preserve">s unclear if the uptake for prevalent patients who were previously untreated would be as high.  </w:t>
            </w:r>
          </w:p>
        </w:tc>
      </w:tr>
      <w:tr w:rsidR="006F2DBA" w:rsidRPr="006F2DBA" w14:paraId="7574F9E9" w14:textId="77777777" w:rsidTr="006F2DBA">
        <w:trPr>
          <w:trHeight w:val="20"/>
        </w:trPr>
        <w:tc>
          <w:tcPr>
            <w:tcW w:w="9180" w:type="dxa"/>
            <w:gridSpan w:val="5"/>
            <w:vAlign w:val="center"/>
          </w:tcPr>
          <w:p w14:paraId="6492F95B" w14:textId="77777777" w:rsidR="006F2DBA" w:rsidRPr="006F2DBA" w:rsidRDefault="006F2DBA" w:rsidP="006F2DBA">
            <w:pPr>
              <w:pStyle w:val="TableText0"/>
              <w:keepLines/>
              <w:rPr>
                <w:b/>
              </w:rPr>
            </w:pPr>
            <w:r w:rsidRPr="006F2DBA">
              <w:rPr>
                <w:b/>
              </w:rPr>
              <w:t>Costs</w:t>
            </w:r>
          </w:p>
        </w:tc>
      </w:tr>
      <w:tr w:rsidR="006F2DBA" w:rsidRPr="006F2DBA" w14:paraId="229B0505" w14:textId="77777777" w:rsidTr="006F2DBA">
        <w:trPr>
          <w:trHeight w:val="20"/>
        </w:trPr>
        <w:tc>
          <w:tcPr>
            <w:tcW w:w="1451" w:type="dxa"/>
            <w:vAlign w:val="center"/>
          </w:tcPr>
          <w:p w14:paraId="23A46864" w14:textId="77777777" w:rsidR="006F2DBA" w:rsidRPr="006F2DBA" w:rsidRDefault="006F2DBA" w:rsidP="006F2DBA">
            <w:pPr>
              <w:pStyle w:val="TableText0"/>
              <w:keepLines/>
            </w:pPr>
            <w:r w:rsidRPr="006F2DBA">
              <w:t>Daratumumab</w:t>
            </w:r>
          </w:p>
        </w:tc>
        <w:tc>
          <w:tcPr>
            <w:tcW w:w="1805" w:type="dxa"/>
            <w:gridSpan w:val="2"/>
            <w:vAlign w:val="center"/>
          </w:tcPr>
          <w:p w14:paraId="75458AD5" w14:textId="77777777" w:rsidR="006F2DBA" w:rsidRPr="006F2DBA" w:rsidRDefault="006F2DBA" w:rsidP="006F2DBA">
            <w:pPr>
              <w:pStyle w:val="TableText0"/>
              <w:keepLines/>
            </w:pPr>
            <w:r w:rsidRPr="006F2DBA">
              <w:t>Published: $7,010.28 (public), $7,058.02 (private) $</w:t>
            </w:r>
            <w:r w:rsidR="008E6972">
              <w:rPr>
                <w:noProof/>
                <w:color w:val="000000"/>
                <w:highlight w:val="black"/>
              </w:rPr>
              <w:t>''''''''''''''''''''</w:t>
            </w:r>
            <w:r w:rsidRPr="006F2DBA">
              <w:t xml:space="preserve"> (weighted). </w:t>
            </w:r>
          </w:p>
          <w:p w14:paraId="07EC0AAA" w14:textId="77777777" w:rsidR="006F2DBA" w:rsidRPr="006F2DBA" w:rsidRDefault="006F2DBA" w:rsidP="006F2DBA">
            <w:pPr>
              <w:pStyle w:val="TableText0"/>
              <w:keepLines/>
            </w:pPr>
            <w:r w:rsidRPr="006F2DBA">
              <w:t>Effective:</w:t>
            </w:r>
          </w:p>
          <w:p w14:paraId="0561C3D9" w14:textId="77777777" w:rsidR="006F2DBA" w:rsidRPr="006F2DBA" w:rsidRDefault="006F2DBA" w:rsidP="006F2DBA">
            <w:pPr>
              <w:pStyle w:val="TableText0"/>
              <w:keepLines/>
            </w:pPr>
            <w:r w:rsidRPr="006F2DBA">
              <w:t>$</w:t>
            </w:r>
            <w:r w:rsidR="008E6972">
              <w:rPr>
                <w:noProof/>
                <w:color w:val="000000"/>
                <w:highlight w:val="black"/>
              </w:rPr>
              <w:t>'''''''''''''''''''''</w:t>
            </w:r>
            <w:r w:rsidRPr="006F2DBA">
              <w:t xml:space="preserve"> (public), $</w:t>
            </w:r>
            <w:r w:rsidR="008E6972">
              <w:rPr>
                <w:noProof/>
                <w:color w:val="000000"/>
                <w:highlight w:val="black"/>
              </w:rPr>
              <w:t>'''''''''''''''''''''''</w:t>
            </w:r>
            <w:r w:rsidRPr="006F2DBA">
              <w:t xml:space="preserve"> (private), $</w:t>
            </w:r>
            <w:r w:rsidR="008E6972">
              <w:rPr>
                <w:noProof/>
                <w:color w:val="000000"/>
                <w:highlight w:val="black"/>
              </w:rPr>
              <w:t>'''''''''''''''''''</w:t>
            </w:r>
            <w:r w:rsidRPr="006F2DBA">
              <w:t xml:space="preserve"> (weighted)</w:t>
            </w:r>
          </w:p>
        </w:tc>
        <w:tc>
          <w:tcPr>
            <w:tcW w:w="2551" w:type="dxa"/>
            <w:vAlign w:val="center"/>
          </w:tcPr>
          <w:p w14:paraId="12A31621" w14:textId="77777777" w:rsidR="006F2DBA" w:rsidRPr="006F2DBA" w:rsidRDefault="006F2DBA" w:rsidP="006F2DBA">
            <w:pPr>
              <w:pStyle w:val="TableText0"/>
              <w:keepLines/>
            </w:pPr>
            <w:r w:rsidRPr="006F2DBA">
              <w:t>Requested DPMQ, weighted for public (65.37%) and private (34.63%)</w:t>
            </w:r>
          </w:p>
        </w:tc>
        <w:tc>
          <w:tcPr>
            <w:tcW w:w="3373" w:type="dxa"/>
            <w:vAlign w:val="center"/>
          </w:tcPr>
          <w:p w14:paraId="1594AF9B" w14:textId="77777777" w:rsidR="006F2DBA" w:rsidRPr="006F2DBA" w:rsidRDefault="006F2DBA" w:rsidP="006F2DBA">
            <w:pPr>
              <w:pStyle w:val="TableText0"/>
              <w:keepLines/>
            </w:pPr>
            <w:r w:rsidRPr="006F2DBA">
              <w:t>Based on updated HSD S100 mark-ups:</w:t>
            </w:r>
          </w:p>
          <w:p w14:paraId="042188F5" w14:textId="77777777" w:rsidR="006F2DBA" w:rsidRPr="006F2DBA" w:rsidRDefault="006F2DBA" w:rsidP="006F2DBA">
            <w:pPr>
              <w:pStyle w:val="TableText0"/>
              <w:keepLines/>
            </w:pPr>
            <w:r w:rsidRPr="006F2DBA">
              <w:t>Published:</w:t>
            </w:r>
          </w:p>
          <w:p w14:paraId="158FC299" w14:textId="77777777" w:rsidR="006F2DBA" w:rsidRPr="006F2DBA" w:rsidRDefault="006F2DBA" w:rsidP="006F2DBA">
            <w:pPr>
              <w:pStyle w:val="TableText0"/>
              <w:keepLines/>
            </w:pPr>
            <w:r w:rsidRPr="006F2DBA">
              <w:t>Public = $7,010.28; private = $7,058.06 and weighted = $</w:t>
            </w:r>
            <w:r w:rsidR="008E6972">
              <w:rPr>
                <w:noProof/>
                <w:color w:val="000000"/>
                <w:highlight w:val="black"/>
              </w:rPr>
              <w:t>''''''''''''''''''''</w:t>
            </w:r>
            <w:r w:rsidRPr="006F2DBA">
              <w:t>.</w:t>
            </w:r>
          </w:p>
          <w:p w14:paraId="472925C6" w14:textId="77777777" w:rsidR="006F2DBA" w:rsidRPr="006F2DBA" w:rsidRDefault="006F2DBA" w:rsidP="006F2DBA">
            <w:pPr>
              <w:pStyle w:val="TableText0"/>
              <w:keepLines/>
            </w:pPr>
            <w:r w:rsidRPr="006F2DBA">
              <w:t>Effective:</w:t>
            </w:r>
          </w:p>
          <w:p w14:paraId="109AEDA1" w14:textId="77777777" w:rsidR="006F2DBA" w:rsidRPr="006F2DBA" w:rsidRDefault="006F2DBA" w:rsidP="006F2DBA">
            <w:pPr>
              <w:pStyle w:val="TableText0"/>
              <w:keepLines/>
            </w:pPr>
            <w:r w:rsidRPr="006F2DBA">
              <w:t>Public =$</w:t>
            </w:r>
            <w:r w:rsidR="008E6972">
              <w:rPr>
                <w:noProof/>
                <w:color w:val="000000"/>
                <w:highlight w:val="black"/>
              </w:rPr>
              <w:t>'''''''''''''''''''''</w:t>
            </w:r>
            <w:r w:rsidRPr="006F2DBA">
              <w:t>; private = $</w:t>
            </w:r>
            <w:r w:rsidR="008E6972">
              <w:rPr>
                <w:noProof/>
                <w:color w:val="000000"/>
                <w:highlight w:val="black"/>
              </w:rPr>
              <w:t>'''''''''''''''''''''</w:t>
            </w:r>
            <w:r w:rsidRPr="006F2DBA">
              <w:t xml:space="preserve"> and weighted = $</w:t>
            </w:r>
            <w:r w:rsidR="008E6972">
              <w:rPr>
                <w:noProof/>
                <w:color w:val="000000"/>
                <w:highlight w:val="black"/>
              </w:rPr>
              <w:t>''''''''''''''''''''''</w:t>
            </w:r>
          </w:p>
        </w:tc>
      </w:tr>
      <w:tr w:rsidR="006F2DBA" w:rsidRPr="006F2DBA" w14:paraId="40C558DE" w14:textId="77777777" w:rsidTr="006F2DBA">
        <w:trPr>
          <w:trHeight w:val="20"/>
        </w:trPr>
        <w:tc>
          <w:tcPr>
            <w:tcW w:w="1451" w:type="dxa"/>
            <w:vAlign w:val="center"/>
          </w:tcPr>
          <w:p w14:paraId="301C47E4" w14:textId="77777777" w:rsidR="006F2DBA" w:rsidRPr="006F2DBA" w:rsidRDefault="006F2DBA" w:rsidP="006F2DBA">
            <w:pPr>
              <w:pStyle w:val="TableText0"/>
              <w:keepLines/>
            </w:pPr>
            <w:r w:rsidRPr="006F2DBA">
              <w:t xml:space="preserve">Bortezomib </w:t>
            </w:r>
          </w:p>
        </w:tc>
        <w:tc>
          <w:tcPr>
            <w:tcW w:w="1805" w:type="dxa"/>
            <w:gridSpan w:val="2"/>
            <w:vAlign w:val="center"/>
          </w:tcPr>
          <w:p w14:paraId="47FEBCB6" w14:textId="77777777" w:rsidR="006F2DBA" w:rsidRPr="006F2DBA" w:rsidRDefault="006F2DBA" w:rsidP="006F2DBA">
            <w:pPr>
              <w:pStyle w:val="TableText0"/>
              <w:keepLines/>
            </w:pPr>
            <w:r w:rsidRPr="006F2DBA">
              <w:t>$604.50 (public)</w:t>
            </w:r>
          </w:p>
          <w:p w14:paraId="129A6584" w14:textId="77777777" w:rsidR="006F2DBA" w:rsidRPr="006F2DBA" w:rsidRDefault="006F2DBA" w:rsidP="006F2DBA">
            <w:pPr>
              <w:pStyle w:val="TableText0"/>
              <w:keepLines/>
            </w:pPr>
            <w:r w:rsidRPr="006F2DBA">
              <w:t>$644.65 (private)</w:t>
            </w:r>
          </w:p>
          <w:p w14:paraId="483532CC" w14:textId="77777777" w:rsidR="006F2DBA" w:rsidRPr="006F2DBA" w:rsidRDefault="006F2DBA" w:rsidP="006F2DBA">
            <w:pPr>
              <w:pStyle w:val="TableText0"/>
              <w:keepLines/>
            </w:pPr>
            <w:r w:rsidRPr="006F2DBA">
              <w:t>$</w:t>
            </w:r>
            <w:r w:rsidR="008E6972">
              <w:rPr>
                <w:noProof/>
                <w:color w:val="000000"/>
                <w:highlight w:val="black"/>
              </w:rPr>
              <w:t>''''''''''''''''</w:t>
            </w:r>
            <w:r w:rsidRPr="006F2DBA">
              <w:t xml:space="preserve"> (weighted)</w:t>
            </w:r>
          </w:p>
        </w:tc>
        <w:tc>
          <w:tcPr>
            <w:tcW w:w="2551" w:type="dxa"/>
            <w:vAlign w:val="center"/>
          </w:tcPr>
          <w:p w14:paraId="3BEA9EA4" w14:textId="77777777" w:rsidR="006F2DBA" w:rsidRPr="006F2DBA" w:rsidRDefault="006F2DBA" w:rsidP="006F2DBA">
            <w:pPr>
              <w:pStyle w:val="TableText0"/>
              <w:keepLines/>
            </w:pPr>
            <w:r w:rsidRPr="006F2DBA">
              <w:t>PBS item 12219D and 12227M weighted for public (65.37%) and private (34.63%) - injection</w:t>
            </w:r>
          </w:p>
        </w:tc>
        <w:tc>
          <w:tcPr>
            <w:tcW w:w="3373" w:type="dxa"/>
            <w:vAlign w:val="center"/>
          </w:tcPr>
          <w:p w14:paraId="32D4CDF3" w14:textId="77777777" w:rsidR="006F2DBA" w:rsidRPr="006F2DBA" w:rsidRDefault="006F2DBA" w:rsidP="006F2DBA">
            <w:pPr>
              <w:pStyle w:val="TableText0"/>
              <w:keepLines/>
            </w:pPr>
            <w:r w:rsidRPr="006F2DBA">
              <w:t>Based on updated mark-ups:</w:t>
            </w:r>
          </w:p>
          <w:p w14:paraId="28EDAAFC" w14:textId="77777777" w:rsidR="006F2DBA" w:rsidRPr="006F2DBA" w:rsidRDefault="006F2DBA" w:rsidP="006F2DBA">
            <w:pPr>
              <w:pStyle w:val="TableText0"/>
              <w:keepLines/>
            </w:pPr>
            <w:r w:rsidRPr="006F2DBA">
              <w:t>Public = $605.00; Private: $653.29 and weighted $</w:t>
            </w:r>
            <w:r w:rsidR="008E6972">
              <w:rPr>
                <w:noProof/>
                <w:color w:val="000000"/>
                <w:highlight w:val="black"/>
              </w:rPr>
              <w:t>'''''''''''''''''</w:t>
            </w:r>
          </w:p>
        </w:tc>
      </w:tr>
      <w:tr w:rsidR="006F2DBA" w:rsidRPr="006F2DBA" w14:paraId="00380EBB" w14:textId="77777777" w:rsidTr="006F2DBA">
        <w:trPr>
          <w:trHeight w:val="20"/>
        </w:trPr>
        <w:tc>
          <w:tcPr>
            <w:tcW w:w="1451" w:type="dxa"/>
            <w:vAlign w:val="center"/>
          </w:tcPr>
          <w:p w14:paraId="6DEF15E3" w14:textId="77777777" w:rsidR="006F2DBA" w:rsidRPr="006F2DBA" w:rsidRDefault="006F2DBA" w:rsidP="006F2DBA">
            <w:pPr>
              <w:pStyle w:val="TableText0"/>
              <w:keepLines/>
            </w:pPr>
            <w:r w:rsidRPr="006F2DBA">
              <w:t>Cyclophosphamide</w:t>
            </w:r>
          </w:p>
        </w:tc>
        <w:tc>
          <w:tcPr>
            <w:tcW w:w="1805" w:type="dxa"/>
            <w:gridSpan w:val="2"/>
            <w:vAlign w:val="center"/>
          </w:tcPr>
          <w:p w14:paraId="08278C1F" w14:textId="77777777" w:rsidR="006F2DBA" w:rsidRPr="006F2DBA" w:rsidRDefault="006F2DBA" w:rsidP="006F2DBA">
            <w:pPr>
              <w:pStyle w:val="TableText0"/>
              <w:keepLines/>
            </w:pPr>
            <w:r w:rsidRPr="006F2DBA">
              <w:t>$155.65</w:t>
            </w:r>
          </w:p>
        </w:tc>
        <w:tc>
          <w:tcPr>
            <w:tcW w:w="2551" w:type="dxa"/>
            <w:vAlign w:val="center"/>
          </w:tcPr>
          <w:p w14:paraId="70372F0A" w14:textId="77777777" w:rsidR="006F2DBA" w:rsidRPr="006F2DBA" w:rsidRDefault="006F2DBA" w:rsidP="006F2DBA">
            <w:pPr>
              <w:pStyle w:val="TableText0"/>
              <w:keepLines/>
            </w:pPr>
            <w:r w:rsidRPr="006F2DBA">
              <w:t>PBS item 1266P - oral</w:t>
            </w:r>
          </w:p>
        </w:tc>
        <w:tc>
          <w:tcPr>
            <w:tcW w:w="3373" w:type="dxa"/>
            <w:vAlign w:val="center"/>
          </w:tcPr>
          <w:p w14:paraId="1014922A" w14:textId="77777777" w:rsidR="006F2DBA" w:rsidRPr="006F2DBA" w:rsidRDefault="006F2DBA" w:rsidP="006F2DBA">
            <w:pPr>
              <w:pStyle w:val="TableText0"/>
              <w:keepLines/>
            </w:pPr>
            <w:r w:rsidRPr="006F2DBA">
              <w:t>General Schedule DPMQ = $155.71</w:t>
            </w:r>
          </w:p>
        </w:tc>
      </w:tr>
      <w:tr w:rsidR="006F2DBA" w:rsidRPr="006F2DBA" w14:paraId="253E48E1" w14:textId="77777777" w:rsidTr="006F2DBA">
        <w:trPr>
          <w:trHeight w:val="20"/>
        </w:trPr>
        <w:tc>
          <w:tcPr>
            <w:tcW w:w="1451" w:type="dxa"/>
            <w:vAlign w:val="center"/>
          </w:tcPr>
          <w:p w14:paraId="0199DBA0" w14:textId="77777777" w:rsidR="006F2DBA" w:rsidRPr="006F2DBA" w:rsidRDefault="006F2DBA" w:rsidP="006F2DBA">
            <w:pPr>
              <w:pStyle w:val="TableText0"/>
              <w:keepLines/>
            </w:pPr>
            <w:r w:rsidRPr="006F2DBA">
              <w:t>Dexamethasone</w:t>
            </w:r>
          </w:p>
        </w:tc>
        <w:tc>
          <w:tcPr>
            <w:tcW w:w="1805" w:type="dxa"/>
            <w:gridSpan w:val="2"/>
            <w:vAlign w:val="center"/>
          </w:tcPr>
          <w:p w14:paraId="068B4BBE" w14:textId="77777777" w:rsidR="006F2DBA" w:rsidRPr="006F2DBA" w:rsidRDefault="006F2DBA" w:rsidP="006F2DBA">
            <w:pPr>
              <w:pStyle w:val="TableText0"/>
              <w:keepLines/>
            </w:pPr>
            <w:r w:rsidRPr="006F2DBA">
              <w:t>$17.27</w:t>
            </w:r>
          </w:p>
        </w:tc>
        <w:tc>
          <w:tcPr>
            <w:tcW w:w="2551" w:type="dxa"/>
            <w:vAlign w:val="center"/>
          </w:tcPr>
          <w:p w14:paraId="28E565DE" w14:textId="77777777" w:rsidR="006F2DBA" w:rsidRPr="006F2DBA" w:rsidRDefault="006F2DBA" w:rsidP="006F2DBA">
            <w:pPr>
              <w:pStyle w:val="TableText0"/>
              <w:keepLines/>
            </w:pPr>
            <w:r w:rsidRPr="006F2DBA">
              <w:t>PBS item 2507Y - oral</w:t>
            </w:r>
          </w:p>
        </w:tc>
        <w:tc>
          <w:tcPr>
            <w:tcW w:w="3373" w:type="dxa"/>
            <w:vAlign w:val="center"/>
          </w:tcPr>
          <w:p w14:paraId="0381CA65" w14:textId="77777777" w:rsidR="006F2DBA" w:rsidRPr="006F2DBA" w:rsidRDefault="006F2DBA" w:rsidP="006F2DBA">
            <w:pPr>
              <w:pStyle w:val="TableText0"/>
              <w:keepLines/>
            </w:pPr>
            <w:r w:rsidRPr="006F2DBA">
              <w:t>General Schedule DPMQ=$17.33</w:t>
            </w:r>
          </w:p>
        </w:tc>
      </w:tr>
      <w:tr w:rsidR="006F2DBA" w:rsidRPr="006F2DBA" w14:paraId="3283D0F3" w14:textId="77777777" w:rsidTr="006F2DBA">
        <w:trPr>
          <w:trHeight w:val="20"/>
        </w:trPr>
        <w:tc>
          <w:tcPr>
            <w:tcW w:w="1451" w:type="dxa"/>
            <w:vAlign w:val="center"/>
          </w:tcPr>
          <w:p w14:paraId="617E9E74" w14:textId="77777777" w:rsidR="006F2DBA" w:rsidRPr="006F2DBA" w:rsidRDefault="006F2DBA" w:rsidP="006F2DBA">
            <w:pPr>
              <w:pStyle w:val="TableText0"/>
              <w:keepLines/>
            </w:pPr>
            <w:r w:rsidRPr="006F2DBA">
              <w:t>MBS costs – daratumumab injection</w:t>
            </w:r>
          </w:p>
        </w:tc>
        <w:tc>
          <w:tcPr>
            <w:tcW w:w="1805" w:type="dxa"/>
            <w:gridSpan w:val="2"/>
            <w:vAlign w:val="center"/>
          </w:tcPr>
          <w:p w14:paraId="5191A341" w14:textId="77777777" w:rsidR="006F2DBA" w:rsidRPr="006F2DBA" w:rsidRDefault="006F2DBA" w:rsidP="006F2DBA">
            <w:pPr>
              <w:pStyle w:val="TableText0"/>
              <w:keepLines/>
            </w:pPr>
            <w:r w:rsidRPr="006F2DBA">
              <w:t>$111.40</w:t>
            </w:r>
          </w:p>
        </w:tc>
        <w:tc>
          <w:tcPr>
            <w:tcW w:w="2551" w:type="dxa"/>
            <w:vAlign w:val="center"/>
          </w:tcPr>
          <w:p w14:paraId="5B30C9A8" w14:textId="77777777" w:rsidR="006F2DBA" w:rsidRPr="006F2DBA" w:rsidRDefault="006F2DBA" w:rsidP="006F2DBA">
            <w:pPr>
              <w:pStyle w:val="TableText0"/>
              <w:keepLines/>
            </w:pPr>
            <w:r w:rsidRPr="006F2DBA">
              <w:t>MBS item 13950</w:t>
            </w:r>
          </w:p>
        </w:tc>
        <w:tc>
          <w:tcPr>
            <w:tcW w:w="3373" w:type="dxa"/>
            <w:vAlign w:val="center"/>
          </w:tcPr>
          <w:p w14:paraId="79B51216" w14:textId="77777777" w:rsidR="006F2DBA" w:rsidRPr="006F2DBA" w:rsidRDefault="0028089A" w:rsidP="006F2DBA">
            <w:pPr>
              <w:pStyle w:val="TableText0"/>
              <w:keepLines/>
            </w:pPr>
            <w:r>
              <w:t>-</w:t>
            </w:r>
          </w:p>
        </w:tc>
      </w:tr>
      <w:tr w:rsidR="006F2DBA" w:rsidRPr="006F2DBA" w14:paraId="755F6514" w14:textId="77777777" w:rsidTr="006F2DBA">
        <w:trPr>
          <w:trHeight w:val="20"/>
        </w:trPr>
        <w:tc>
          <w:tcPr>
            <w:tcW w:w="1451" w:type="dxa"/>
            <w:vAlign w:val="center"/>
          </w:tcPr>
          <w:p w14:paraId="05F3D6F8" w14:textId="77777777" w:rsidR="006F2DBA" w:rsidRPr="006F2DBA" w:rsidRDefault="006F2DBA" w:rsidP="006F2DBA">
            <w:pPr>
              <w:pStyle w:val="TableText0"/>
              <w:keepLines/>
            </w:pPr>
            <w:r w:rsidRPr="006F2DBA">
              <w:t>Time to treatment discontinuation</w:t>
            </w:r>
          </w:p>
        </w:tc>
        <w:tc>
          <w:tcPr>
            <w:tcW w:w="1805" w:type="dxa"/>
            <w:gridSpan w:val="2"/>
            <w:vAlign w:val="center"/>
          </w:tcPr>
          <w:p w14:paraId="768A8FA7" w14:textId="77777777" w:rsidR="006F2DBA" w:rsidRPr="006F2DBA" w:rsidRDefault="006F2DBA" w:rsidP="006F2DBA">
            <w:pPr>
              <w:pStyle w:val="TableText0"/>
              <w:keepLines/>
            </w:pPr>
            <w:r w:rsidRPr="006F2DBA">
              <w:t>Monthly probabilities</w:t>
            </w:r>
          </w:p>
        </w:tc>
        <w:tc>
          <w:tcPr>
            <w:tcW w:w="2551" w:type="dxa"/>
            <w:vAlign w:val="center"/>
          </w:tcPr>
          <w:p w14:paraId="3CB5F646" w14:textId="77777777" w:rsidR="006F2DBA" w:rsidRPr="006F2DBA" w:rsidRDefault="006F2DBA" w:rsidP="006F2DBA">
            <w:pPr>
              <w:pStyle w:val="TableText0"/>
              <w:keepLines/>
            </w:pPr>
            <w:r w:rsidRPr="006F2DBA">
              <w:t>ANDROMEDA as estimated for Section 3 of the submission</w:t>
            </w:r>
          </w:p>
        </w:tc>
        <w:tc>
          <w:tcPr>
            <w:tcW w:w="3373" w:type="dxa"/>
            <w:vAlign w:val="center"/>
          </w:tcPr>
          <w:p w14:paraId="2BB5B7F8" w14:textId="77777777" w:rsidR="006F2DBA" w:rsidRPr="006F2DBA" w:rsidRDefault="0028089A" w:rsidP="006F2DBA">
            <w:pPr>
              <w:pStyle w:val="TableText0"/>
              <w:keepLines/>
            </w:pPr>
            <w:r>
              <w:t>-</w:t>
            </w:r>
          </w:p>
        </w:tc>
      </w:tr>
    </w:tbl>
    <w:p w14:paraId="67B5B51D" w14:textId="77777777" w:rsidR="006F2DBA" w:rsidRDefault="006F2DBA" w:rsidP="006F2DBA">
      <w:pPr>
        <w:pStyle w:val="TableFigureFooter"/>
        <w:keepNext/>
        <w:keepLines/>
      </w:pPr>
      <w:r>
        <w:t>Source: Section 4.1 of the submission. Excel spreadsheet 2a. Patients – incident and Drug utilisation in “Utilisation cost model – daratumumab AL amyloidosis”</w:t>
      </w:r>
    </w:p>
    <w:p w14:paraId="40F1F553" w14:textId="77777777" w:rsidR="006F2DBA" w:rsidRDefault="006F2DBA" w:rsidP="006F2DBA">
      <w:pPr>
        <w:pStyle w:val="TableFigureFooter"/>
        <w:keepNext/>
        <w:keepLines/>
      </w:pPr>
      <w:r>
        <w:t>ABS = Australian Bureau of Statistics; DPMQ = dispensed price for maximum quantity; ECOG = Eastern Cooperative Oncology Group; HSD S100 = highly specialised drugs Section 100; MBS = Medicare Benefits Schedule; NYHA = New York Heart Association; PBS = Pharmaceutical Benefits Scheme.</w:t>
      </w:r>
    </w:p>
    <w:p w14:paraId="1D5D3830" w14:textId="77777777" w:rsidR="006F2DBA" w:rsidRPr="000A6039" w:rsidRDefault="006F2DBA" w:rsidP="006F2DBA">
      <w:pPr>
        <w:pStyle w:val="TableFigureFooter"/>
        <w:keepNext/>
        <w:keepLines/>
      </w:pPr>
      <w:r w:rsidRPr="57626B43">
        <w:rPr>
          <w:vertAlign w:val="superscript"/>
        </w:rPr>
        <w:t>a</w:t>
      </w:r>
      <w:r>
        <w:t xml:space="preserve"> Number of treated patients estimated at each step in Year 1 of the financial estimates.  </w:t>
      </w:r>
    </w:p>
    <w:p w14:paraId="1C414469" w14:textId="77777777" w:rsidR="006F2DBA" w:rsidRPr="000A6039" w:rsidRDefault="006F2DBA" w:rsidP="006F2DBA"/>
    <w:p w14:paraId="0EEA21C0" w14:textId="791C511F" w:rsidR="006F2DBA" w:rsidRDefault="006F2DBA" w:rsidP="00D6326C">
      <w:pPr>
        <w:pStyle w:val="3-BodyText"/>
      </w:pPr>
      <w:r>
        <w:t>The estimated use and financial implications of daratumumab SC + CyBorD are presented below.</w:t>
      </w:r>
      <w:r w:rsidR="00423ED8">
        <w:t xml:space="preserve"> The PSCR provided new financial estimates </w:t>
      </w:r>
      <w:r w:rsidR="00423ED8" w:rsidRPr="00340998">
        <w:t>reflect</w:t>
      </w:r>
      <w:r w:rsidR="00423ED8">
        <w:t>ing</w:t>
      </w:r>
      <w:r w:rsidR="00423ED8" w:rsidRPr="00340998">
        <w:t xml:space="preserve"> the applicable mark-up and fee</w:t>
      </w:r>
      <w:r w:rsidR="00423ED8">
        <w:t xml:space="preserve">s for the proposed </w:t>
      </w:r>
      <w:r w:rsidR="00423ED8" w:rsidRPr="00340998">
        <w:t>dual General Schedule and Section 100 (EFC) listings</w:t>
      </w:r>
      <w:r w:rsidR="00423ED8">
        <w:t xml:space="preserve"> and which includ</w:t>
      </w:r>
      <w:r w:rsidR="00D64DD8">
        <w:t>e</w:t>
      </w:r>
      <w:r w:rsidR="00423ED8">
        <w:t xml:space="preserve"> Mayo </w:t>
      </w:r>
      <w:r w:rsidR="001B7A84">
        <w:t xml:space="preserve">Stage </w:t>
      </w:r>
      <w:r w:rsidR="00423ED8">
        <w:t>IIIB patients.</w:t>
      </w:r>
    </w:p>
    <w:p w14:paraId="471D7FAB" w14:textId="77777777" w:rsidR="006F2DBA" w:rsidRPr="00E66CDD" w:rsidRDefault="006F2DBA" w:rsidP="001924C7">
      <w:pPr>
        <w:pStyle w:val="Caption"/>
      </w:pPr>
      <w:r>
        <w:t xml:space="preserve">Table </w:t>
      </w:r>
      <w:r w:rsidR="008A0743">
        <w:rPr>
          <w:noProof/>
        </w:rPr>
        <w:t>2</w:t>
      </w:r>
      <w:r w:rsidR="00D772F5">
        <w:rPr>
          <w:noProof/>
        </w:rPr>
        <w:t>1</w:t>
      </w:r>
      <w:r w:rsidRPr="57626B43">
        <w:rPr>
          <w:rStyle w:val="CommentReference"/>
          <w:b/>
        </w:rPr>
        <w:t>: Estimated use and financial implications</w:t>
      </w:r>
      <w:r>
        <w:rPr>
          <w:rStyle w:val="CommentReference"/>
          <w:b/>
        </w:rPr>
        <w:t xml:space="preserve"> (proposed effective price for daratumumab)</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Estimated use and financial implications (proposed effective price for daratumumab)"/>
      </w:tblPr>
      <w:tblGrid>
        <w:gridCol w:w="2407"/>
        <w:gridCol w:w="1133"/>
        <w:gridCol w:w="1134"/>
        <w:gridCol w:w="1134"/>
        <w:gridCol w:w="1134"/>
        <w:gridCol w:w="1133"/>
        <w:gridCol w:w="1133"/>
      </w:tblGrid>
      <w:tr w:rsidR="006F2DBA" w:rsidRPr="00D1078F" w14:paraId="2136296E" w14:textId="77777777" w:rsidTr="008C70F9">
        <w:trPr>
          <w:tblHeader/>
        </w:trPr>
        <w:tc>
          <w:tcPr>
            <w:tcW w:w="1307" w:type="pct"/>
            <w:shd w:val="clear" w:color="auto" w:fill="auto"/>
            <w:vAlign w:val="center"/>
          </w:tcPr>
          <w:p w14:paraId="51B79072" w14:textId="77777777" w:rsidR="006F2DBA" w:rsidRPr="00C849BE" w:rsidRDefault="006F2DBA" w:rsidP="006F2DBA">
            <w:pPr>
              <w:pStyle w:val="In-tableHeading"/>
              <w:keepLines/>
              <w:jc w:val="center"/>
            </w:pPr>
          </w:p>
        </w:tc>
        <w:tc>
          <w:tcPr>
            <w:tcW w:w="615" w:type="pct"/>
            <w:shd w:val="clear" w:color="auto" w:fill="auto"/>
            <w:vAlign w:val="center"/>
          </w:tcPr>
          <w:p w14:paraId="0A2D50A4" w14:textId="77777777" w:rsidR="006F2DBA" w:rsidRPr="00C849BE" w:rsidRDefault="006F2DBA" w:rsidP="006F2DBA">
            <w:pPr>
              <w:pStyle w:val="In-tableHeading"/>
              <w:keepLines/>
              <w:jc w:val="center"/>
            </w:pPr>
            <w:r>
              <w:t>Year 1</w:t>
            </w:r>
          </w:p>
        </w:tc>
        <w:tc>
          <w:tcPr>
            <w:tcW w:w="616" w:type="pct"/>
            <w:shd w:val="clear" w:color="auto" w:fill="auto"/>
            <w:vAlign w:val="center"/>
          </w:tcPr>
          <w:p w14:paraId="077B5449" w14:textId="77777777" w:rsidR="006F2DBA" w:rsidRPr="00C849BE" w:rsidRDefault="006F2DBA" w:rsidP="006F2DBA">
            <w:pPr>
              <w:pStyle w:val="In-tableHeading"/>
              <w:keepLines/>
              <w:jc w:val="center"/>
            </w:pPr>
            <w:r>
              <w:t>Year 2</w:t>
            </w:r>
          </w:p>
        </w:tc>
        <w:tc>
          <w:tcPr>
            <w:tcW w:w="616" w:type="pct"/>
            <w:shd w:val="clear" w:color="auto" w:fill="auto"/>
            <w:vAlign w:val="center"/>
          </w:tcPr>
          <w:p w14:paraId="215D2A8C" w14:textId="77777777" w:rsidR="006F2DBA" w:rsidRPr="00C849BE" w:rsidRDefault="006F2DBA" w:rsidP="006F2DBA">
            <w:pPr>
              <w:pStyle w:val="In-tableHeading"/>
              <w:keepLines/>
              <w:jc w:val="center"/>
            </w:pPr>
            <w:r>
              <w:t>Year 3</w:t>
            </w:r>
          </w:p>
        </w:tc>
        <w:tc>
          <w:tcPr>
            <w:tcW w:w="616" w:type="pct"/>
            <w:shd w:val="clear" w:color="auto" w:fill="auto"/>
            <w:vAlign w:val="center"/>
          </w:tcPr>
          <w:p w14:paraId="0E35EEEA" w14:textId="77777777" w:rsidR="006F2DBA" w:rsidRPr="00C849BE" w:rsidRDefault="006F2DBA" w:rsidP="006F2DBA">
            <w:pPr>
              <w:pStyle w:val="In-tableHeading"/>
              <w:keepLines/>
              <w:jc w:val="center"/>
            </w:pPr>
            <w:r>
              <w:t>Year 4</w:t>
            </w:r>
          </w:p>
        </w:tc>
        <w:tc>
          <w:tcPr>
            <w:tcW w:w="615" w:type="pct"/>
            <w:shd w:val="clear" w:color="auto" w:fill="auto"/>
            <w:vAlign w:val="center"/>
          </w:tcPr>
          <w:p w14:paraId="461B475F" w14:textId="77777777" w:rsidR="006F2DBA" w:rsidRPr="00C849BE" w:rsidRDefault="006F2DBA" w:rsidP="006F2DBA">
            <w:pPr>
              <w:pStyle w:val="In-tableHeading"/>
              <w:keepLines/>
              <w:jc w:val="center"/>
            </w:pPr>
            <w:r>
              <w:t>Year 5</w:t>
            </w:r>
          </w:p>
        </w:tc>
        <w:tc>
          <w:tcPr>
            <w:tcW w:w="615" w:type="pct"/>
          </w:tcPr>
          <w:p w14:paraId="1F8DE27A" w14:textId="77777777" w:rsidR="006F2DBA" w:rsidRPr="00C849BE" w:rsidRDefault="006F2DBA" w:rsidP="006F2DBA">
            <w:pPr>
              <w:pStyle w:val="In-tableHeading"/>
              <w:keepLines/>
              <w:jc w:val="center"/>
            </w:pPr>
            <w:r>
              <w:t>Year 6</w:t>
            </w:r>
          </w:p>
        </w:tc>
      </w:tr>
      <w:tr w:rsidR="006F2DBA" w:rsidRPr="00D1078F" w14:paraId="72A7A566" w14:textId="77777777" w:rsidTr="008C70F9">
        <w:tc>
          <w:tcPr>
            <w:tcW w:w="5000" w:type="pct"/>
            <w:gridSpan w:val="7"/>
            <w:shd w:val="clear" w:color="auto" w:fill="auto"/>
            <w:vAlign w:val="center"/>
          </w:tcPr>
          <w:p w14:paraId="35E022E6" w14:textId="77777777" w:rsidR="006F2DBA" w:rsidRPr="00C849BE" w:rsidRDefault="006F2DBA" w:rsidP="006F2DBA">
            <w:pPr>
              <w:pStyle w:val="In-tableHeading"/>
              <w:keepLines/>
              <w:rPr>
                <w:color w:val="000000"/>
              </w:rPr>
            </w:pPr>
            <w:r w:rsidRPr="57626B43">
              <w:rPr>
                <w:color w:val="000000" w:themeColor="text1"/>
              </w:rPr>
              <w:t>Estimated extent of use</w:t>
            </w:r>
            <w:r w:rsidR="00AC2F25">
              <w:rPr>
                <w:color w:val="000000" w:themeColor="text1"/>
              </w:rPr>
              <w:t xml:space="preserve"> - submission</w:t>
            </w:r>
          </w:p>
        </w:tc>
      </w:tr>
      <w:tr w:rsidR="006F2DBA" w:rsidRPr="003639A6" w14:paraId="2C59776E" w14:textId="77777777" w:rsidTr="008C70F9">
        <w:tc>
          <w:tcPr>
            <w:tcW w:w="1307" w:type="pct"/>
            <w:shd w:val="clear" w:color="auto" w:fill="auto"/>
            <w:vAlign w:val="center"/>
          </w:tcPr>
          <w:p w14:paraId="24811DB6" w14:textId="77777777" w:rsidR="006F2DBA" w:rsidRPr="00C849BE" w:rsidRDefault="00847BFD" w:rsidP="006F2DBA">
            <w:pPr>
              <w:pStyle w:val="TableText0"/>
              <w:keepLines/>
              <w:rPr>
                <w:rFonts w:ascii="Times" w:hAnsi="Times"/>
              </w:rPr>
            </w:pPr>
            <w:r>
              <w:t xml:space="preserve">  </w:t>
            </w:r>
            <w:r w:rsidR="00EB4BCF" w:rsidRPr="00B6714C">
              <w:t>Number of initiati</w:t>
            </w:r>
            <w:r w:rsidR="00EB4BCF">
              <w:t>ng patients</w:t>
            </w:r>
            <w:r w:rsidR="00EB4BCF" w:rsidRPr="00B6714C">
              <w:t> </w:t>
            </w:r>
          </w:p>
        </w:tc>
        <w:tc>
          <w:tcPr>
            <w:tcW w:w="615" w:type="pct"/>
            <w:shd w:val="clear" w:color="auto" w:fill="auto"/>
          </w:tcPr>
          <w:p w14:paraId="085D9913"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6" w:type="pct"/>
            <w:shd w:val="clear" w:color="auto" w:fill="auto"/>
          </w:tcPr>
          <w:p w14:paraId="09C62C19"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6" w:type="pct"/>
            <w:shd w:val="clear" w:color="auto" w:fill="auto"/>
          </w:tcPr>
          <w:p w14:paraId="1296656B"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6" w:type="pct"/>
            <w:shd w:val="clear" w:color="auto" w:fill="auto"/>
          </w:tcPr>
          <w:p w14:paraId="2EBD8566"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5" w:type="pct"/>
            <w:shd w:val="clear" w:color="auto" w:fill="auto"/>
          </w:tcPr>
          <w:p w14:paraId="37B3777E"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c>
          <w:tcPr>
            <w:tcW w:w="615" w:type="pct"/>
          </w:tcPr>
          <w:p w14:paraId="7AFBE3A7"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1</w:t>
            </w:r>
          </w:p>
        </w:tc>
      </w:tr>
      <w:tr w:rsidR="006F2DBA" w:rsidRPr="003639A6" w14:paraId="3A89675A" w14:textId="77777777" w:rsidTr="008C70F9">
        <w:tc>
          <w:tcPr>
            <w:tcW w:w="1307" w:type="pct"/>
            <w:shd w:val="clear" w:color="auto" w:fill="auto"/>
            <w:vAlign w:val="center"/>
          </w:tcPr>
          <w:p w14:paraId="7F4770E1" w14:textId="77777777" w:rsidR="006F2DBA" w:rsidRPr="00C849BE" w:rsidRDefault="00847BFD" w:rsidP="006F2DBA">
            <w:pPr>
              <w:pStyle w:val="TableText0"/>
              <w:keepLines/>
            </w:pPr>
            <w:r>
              <w:t xml:space="preserve">  </w:t>
            </w:r>
            <w:r w:rsidR="006F2DBA">
              <w:t>Number of scripts dispensed</w:t>
            </w:r>
            <w:r w:rsidR="006F2DBA" w:rsidRPr="57626B43">
              <w:rPr>
                <w:vertAlign w:val="superscript"/>
              </w:rPr>
              <w:t xml:space="preserve">a </w:t>
            </w:r>
            <w:r w:rsidR="006F2DBA">
              <w:t>-dara SC</w:t>
            </w:r>
          </w:p>
        </w:tc>
        <w:tc>
          <w:tcPr>
            <w:tcW w:w="615" w:type="pct"/>
            <w:shd w:val="clear" w:color="auto" w:fill="auto"/>
          </w:tcPr>
          <w:p w14:paraId="72C2513C"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6" w:type="pct"/>
            <w:shd w:val="clear" w:color="auto" w:fill="auto"/>
          </w:tcPr>
          <w:p w14:paraId="23B36169"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6" w:type="pct"/>
            <w:shd w:val="clear" w:color="auto" w:fill="auto"/>
          </w:tcPr>
          <w:p w14:paraId="33ACC14D"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6" w:type="pct"/>
            <w:shd w:val="clear" w:color="auto" w:fill="auto"/>
          </w:tcPr>
          <w:p w14:paraId="05807DBE"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5" w:type="pct"/>
            <w:shd w:val="clear" w:color="auto" w:fill="auto"/>
          </w:tcPr>
          <w:p w14:paraId="2D64A28A"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c>
          <w:tcPr>
            <w:tcW w:w="615" w:type="pct"/>
          </w:tcPr>
          <w:p w14:paraId="08BC4AAC" w14:textId="77777777" w:rsidR="006F2DBA" w:rsidRPr="008E6972" w:rsidRDefault="008E6972" w:rsidP="006F2DBA">
            <w:pPr>
              <w:pStyle w:val="TableText0"/>
              <w:keepLines/>
              <w:jc w:val="center"/>
              <w:rPr>
                <w:color w:val="000000"/>
              </w:rPr>
            </w:pPr>
            <w:r>
              <w:rPr>
                <w:noProof/>
                <w:color w:val="000000"/>
                <w:highlight w:val="black"/>
              </w:rPr>
              <w:t>'''''''''''''''</w:t>
            </w:r>
            <w:r w:rsidR="00591868">
              <w:rPr>
                <w:vertAlign w:val="superscript"/>
              </w:rPr>
              <w:t>2</w:t>
            </w:r>
          </w:p>
        </w:tc>
      </w:tr>
      <w:tr w:rsidR="006F2DBA" w:rsidRPr="003639A6" w14:paraId="5DB39B67" w14:textId="77777777" w:rsidTr="008C70F9">
        <w:tc>
          <w:tcPr>
            <w:tcW w:w="1307" w:type="pct"/>
            <w:shd w:val="clear" w:color="auto" w:fill="auto"/>
            <w:vAlign w:val="center"/>
          </w:tcPr>
          <w:p w14:paraId="444EAA62" w14:textId="77777777" w:rsidR="006F2DBA" w:rsidRPr="00C849BE" w:rsidRDefault="00847BFD" w:rsidP="006F2DBA">
            <w:pPr>
              <w:pStyle w:val="TableText0"/>
              <w:keepLines/>
            </w:pPr>
            <w:r>
              <w:t xml:space="preserve">  </w:t>
            </w:r>
            <w:r w:rsidR="006F2DBA">
              <w:t>Number of scripts dispensed</w:t>
            </w:r>
            <w:r w:rsidR="006F2DBA" w:rsidRPr="57626B43">
              <w:rPr>
                <w:vertAlign w:val="superscript"/>
              </w:rPr>
              <w:t>b</w:t>
            </w:r>
            <w:r w:rsidR="006F2DBA">
              <w:t xml:space="preserve"> -CyBorD</w:t>
            </w:r>
          </w:p>
        </w:tc>
        <w:tc>
          <w:tcPr>
            <w:tcW w:w="615" w:type="pct"/>
            <w:shd w:val="clear" w:color="auto" w:fill="auto"/>
          </w:tcPr>
          <w:p w14:paraId="18EB3E68"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6" w:type="pct"/>
            <w:shd w:val="clear" w:color="auto" w:fill="auto"/>
          </w:tcPr>
          <w:p w14:paraId="13C5D63A"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6" w:type="pct"/>
            <w:shd w:val="clear" w:color="auto" w:fill="auto"/>
          </w:tcPr>
          <w:p w14:paraId="27B83C9F"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6" w:type="pct"/>
            <w:shd w:val="clear" w:color="auto" w:fill="auto"/>
          </w:tcPr>
          <w:p w14:paraId="61FA7986"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5" w:type="pct"/>
            <w:shd w:val="clear" w:color="auto" w:fill="auto"/>
          </w:tcPr>
          <w:p w14:paraId="6114FABF"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c>
          <w:tcPr>
            <w:tcW w:w="615" w:type="pct"/>
          </w:tcPr>
          <w:p w14:paraId="7CE44EE5" w14:textId="77777777" w:rsidR="006F2DBA" w:rsidRPr="008E6972" w:rsidRDefault="008E6972" w:rsidP="006F2DBA">
            <w:pPr>
              <w:pStyle w:val="TableText0"/>
              <w:keepLines/>
              <w:jc w:val="center"/>
            </w:pPr>
            <w:r>
              <w:rPr>
                <w:noProof/>
                <w:color w:val="000000"/>
                <w:highlight w:val="black"/>
              </w:rPr>
              <w:t>''''''''''''''</w:t>
            </w:r>
            <w:r w:rsidR="00591868">
              <w:rPr>
                <w:vertAlign w:val="superscript"/>
              </w:rPr>
              <w:t>3</w:t>
            </w:r>
          </w:p>
        </w:tc>
      </w:tr>
      <w:tr w:rsidR="006F2DBA" w:rsidRPr="00D1078F" w14:paraId="7BD43D89" w14:textId="77777777" w:rsidTr="008C70F9">
        <w:trPr>
          <w:trHeight w:val="70"/>
        </w:trPr>
        <w:tc>
          <w:tcPr>
            <w:tcW w:w="5000" w:type="pct"/>
            <w:gridSpan w:val="7"/>
            <w:shd w:val="clear" w:color="auto" w:fill="auto"/>
            <w:vAlign w:val="center"/>
          </w:tcPr>
          <w:p w14:paraId="4E5DB421" w14:textId="77777777" w:rsidR="006F2DBA" w:rsidRPr="00C849BE" w:rsidRDefault="00847BFD" w:rsidP="006F2DBA">
            <w:pPr>
              <w:pStyle w:val="In-tableHeading"/>
              <w:keepLines/>
            </w:pPr>
            <w:r>
              <w:t xml:space="preserve">  </w:t>
            </w:r>
            <w:r w:rsidR="006F2DBA">
              <w:t>Estimated financial implications of daratumumab SC</w:t>
            </w:r>
          </w:p>
        </w:tc>
      </w:tr>
      <w:tr w:rsidR="006F2DBA" w:rsidRPr="003639A6" w14:paraId="090B9DDC" w14:textId="77777777" w:rsidTr="008C70F9">
        <w:tc>
          <w:tcPr>
            <w:tcW w:w="1307" w:type="pct"/>
            <w:shd w:val="clear" w:color="auto" w:fill="auto"/>
            <w:vAlign w:val="center"/>
          </w:tcPr>
          <w:p w14:paraId="1849B206" w14:textId="77777777" w:rsidR="006F2DBA" w:rsidRPr="00C849BE" w:rsidRDefault="00847BFD" w:rsidP="006F2DBA">
            <w:pPr>
              <w:pStyle w:val="TableText0"/>
              <w:keepLines/>
            </w:pPr>
            <w:r>
              <w:t xml:space="preserve">  </w:t>
            </w:r>
            <w:r w:rsidR="006F2DBA">
              <w:t>Cost to PBS/RPBS less co-payments</w:t>
            </w:r>
          </w:p>
        </w:tc>
        <w:tc>
          <w:tcPr>
            <w:tcW w:w="615" w:type="pct"/>
            <w:shd w:val="clear" w:color="auto" w:fill="auto"/>
          </w:tcPr>
          <w:p w14:paraId="5E3F5064"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3DFBFFB8"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078E0532"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6E6A1059"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shd w:val="clear" w:color="auto" w:fill="auto"/>
          </w:tcPr>
          <w:p w14:paraId="76022795"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tcPr>
          <w:p w14:paraId="4BB565B5"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r>
      <w:tr w:rsidR="006F2DBA" w:rsidRPr="003639A6" w14:paraId="119564CF" w14:textId="77777777" w:rsidTr="008C70F9">
        <w:tc>
          <w:tcPr>
            <w:tcW w:w="5000" w:type="pct"/>
            <w:gridSpan w:val="7"/>
            <w:shd w:val="clear" w:color="auto" w:fill="auto"/>
            <w:vAlign w:val="center"/>
          </w:tcPr>
          <w:p w14:paraId="1DB3B0E1" w14:textId="77777777" w:rsidR="006F2DBA" w:rsidRPr="00590EB9" w:rsidRDefault="00847BFD" w:rsidP="006F2DBA">
            <w:pPr>
              <w:pStyle w:val="TableText0"/>
              <w:keepLines/>
              <w:rPr>
                <w:b/>
              </w:rPr>
            </w:pPr>
            <w:r>
              <w:rPr>
                <w:b/>
              </w:rPr>
              <w:t xml:space="preserve">  </w:t>
            </w:r>
            <w:r w:rsidR="006F2DBA" w:rsidRPr="57626B43">
              <w:rPr>
                <w:b/>
              </w:rPr>
              <w:t>Estimated financial implications for CyBorD (in combination with daratumumab SC)</w:t>
            </w:r>
          </w:p>
        </w:tc>
      </w:tr>
      <w:tr w:rsidR="006F2DBA" w:rsidRPr="003639A6" w14:paraId="0F845016" w14:textId="77777777" w:rsidTr="008C70F9">
        <w:tc>
          <w:tcPr>
            <w:tcW w:w="1307" w:type="pct"/>
            <w:shd w:val="clear" w:color="auto" w:fill="auto"/>
            <w:vAlign w:val="center"/>
          </w:tcPr>
          <w:p w14:paraId="2B490E1A" w14:textId="77777777" w:rsidR="006F2DBA" w:rsidRPr="00C849BE" w:rsidRDefault="00847BFD" w:rsidP="006F2DBA">
            <w:pPr>
              <w:pStyle w:val="TableText0"/>
              <w:keepLines/>
            </w:pPr>
            <w:r>
              <w:t xml:space="preserve">  </w:t>
            </w:r>
            <w:r w:rsidR="006F2DBA">
              <w:t>Cost to PBS/RPBS less co-payments</w:t>
            </w:r>
          </w:p>
        </w:tc>
        <w:tc>
          <w:tcPr>
            <w:tcW w:w="615" w:type="pct"/>
            <w:shd w:val="clear" w:color="auto" w:fill="auto"/>
          </w:tcPr>
          <w:p w14:paraId="2CAEB810"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45D815A1"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0DC296D6"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7D213EF2"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shd w:val="clear" w:color="auto" w:fill="auto"/>
          </w:tcPr>
          <w:p w14:paraId="7F78B462"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tcPr>
          <w:p w14:paraId="54AD1826"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r>
      <w:tr w:rsidR="006F2DBA" w:rsidRPr="00FC22AB" w14:paraId="5D622446" w14:textId="77777777" w:rsidTr="008C70F9">
        <w:tc>
          <w:tcPr>
            <w:tcW w:w="5000" w:type="pct"/>
            <w:gridSpan w:val="7"/>
            <w:shd w:val="clear" w:color="auto" w:fill="auto"/>
            <w:vAlign w:val="center"/>
          </w:tcPr>
          <w:p w14:paraId="62010D25" w14:textId="77777777" w:rsidR="006F2DBA" w:rsidRPr="00C849BE" w:rsidRDefault="00847BFD" w:rsidP="006F2DBA">
            <w:pPr>
              <w:pStyle w:val="In-tableHeading"/>
              <w:keepLines/>
            </w:pPr>
            <w:r>
              <w:t xml:space="preserve">  </w:t>
            </w:r>
            <w:r w:rsidR="006F2DBA">
              <w:t>Net financial implications</w:t>
            </w:r>
            <w:r>
              <w:t xml:space="preserve"> (daratumumab in combination with CyBorD)</w:t>
            </w:r>
          </w:p>
        </w:tc>
      </w:tr>
      <w:tr w:rsidR="006F2DBA" w:rsidRPr="007026BF" w14:paraId="4E5C5F88" w14:textId="77777777" w:rsidTr="008C70F9">
        <w:tc>
          <w:tcPr>
            <w:tcW w:w="1307" w:type="pct"/>
            <w:shd w:val="clear" w:color="auto" w:fill="auto"/>
            <w:vAlign w:val="center"/>
          </w:tcPr>
          <w:p w14:paraId="1916777C" w14:textId="77777777" w:rsidR="006F2DBA" w:rsidRPr="007026BF" w:rsidRDefault="00847BFD" w:rsidP="006F2DBA">
            <w:pPr>
              <w:pStyle w:val="TableText0"/>
              <w:keepLines/>
              <w:rPr>
                <w:b/>
                <w:bCs w:val="0"/>
              </w:rPr>
            </w:pPr>
            <w:r>
              <w:rPr>
                <w:b/>
                <w:bCs w:val="0"/>
              </w:rPr>
              <w:t xml:space="preserve">  </w:t>
            </w:r>
            <w:r w:rsidR="006F2DBA" w:rsidRPr="007026BF">
              <w:rPr>
                <w:b/>
                <w:bCs w:val="0"/>
              </w:rPr>
              <w:t>Net cost to PBS/RPBS</w:t>
            </w:r>
          </w:p>
        </w:tc>
        <w:tc>
          <w:tcPr>
            <w:tcW w:w="615" w:type="pct"/>
            <w:shd w:val="clear" w:color="auto" w:fill="auto"/>
          </w:tcPr>
          <w:p w14:paraId="0DF292A9"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6" w:type="pct"/>
            <w:shd w:val="clear" w:color="auto" w:fill="auto"/>
          </w:tcPr>
          <w:p w14:paraId="2DF1233B"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6" w:type="pct"/>
            <w:shd w:val="clear" w:color="auto" w:fill="auto"/>
          </w:tcPr>
          <w:p w14:paraId="16E14D00"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6" w:type="pct"/>
            <w:shd w:val="clear" w:color="auto" w:fill="auto"/>
          </w:tcPr>
          <w:p w14:paraId="5C53C62D"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5" w:type="pct"/>
            <w:shd w:val="clear" w:color="auto" w:fill="auto"/>
          </w:tcPr>
          <w:p w14:paraId="14E689A3"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c>
          <w:tcPr>
            <w:tcW w:w="615" w:type="pct"/>
          </w:tcPr>
          <w:p w14:paraId="6B3AEB28" w14:textId="77777777" w:rsidR="006F2DBA" w:rsidRPr="008E6972" w:rsidRDefault="008E6972" w:rsidP="006F2DBA">
            <w:pPr>
              <w:pStyle w:val="TableText0"/>
              <w:keepLines/>
              <w:jc w:val="center"/>
              <w:rPr>
                <w:b/>
                <w:bCs w:val="0"/>
              </w:rPr>
            </w:pPr>
            <w:r>
              <w:rPr>
                <w:b/>
                <w:bCs w:val="0"/>
                <w:noProof/>
                <w:color w:val="000000"/>
                <w:highlight w:val="black"/>
              </w:rPr>
              <w:t>'''''''''''''''''''''''''</w:t>
            </w:r>
            <w:r w:rsidR="008C70F9">
              <w:rPr>
                <w:vertAlign w:val="superscript"/>
              </w:rPr>
              <w:t>4</w:t>
            </w:r>
          </w:p>
        </w:tc>
      </w:tr>
      <w:tr w:rsidR="006F2DBA" w:rsidRPr="003639A6" w14:paraId="19FD46F9" w14:textId="77777777" w:rsidTr="008C70F9">
        <w:tc>
          <w:tcPr>
            <w:tcW w:w="1307" w:type="pct"/>
            <w:shd w:val="clear" w:color="auto" w:fill="auto"/>
            <w:vAlign w:val="center"/>
          </w:tcPr>
          <w:p w14:paraId="48C9C3F1" w14:textId="77777777" w:rsidR="006F2DBA" w:rsidRPr="00C849BE" w:rsidRDefault="00847BFD" w:rsidP="006F2DBA">
            <w:pPr>
              <w:pStyle w:val="TableText0"/>
              <w:keepLines/>
              <w:rPr>
                <w:rFonts w:ascii="Times" w:hAnsi="Times"/>
              </w:rPr>
            </w:pPr>
            <w:r>
              <w:t xml:space="preserve">  </w:t>
            </w:r>
            <w:r w:rsidR="006F2DBA">
              <w:t>Net cost to MBS</w:t>
            </w:r>
          </w:p>
        </w:tc>
        <w:tc>
          <w:tcPr>
            <w:tcW w:w="615" w:type="pct"/>
            <w:shd w:val="clear" w:color="auto" w:fill="auto"/>
          </w:tcPr>
          <w:p w14:paraId="7F6EBEBA"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5697DF07"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1B53FA51"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6" w:type="pct"/>
            <w:shd w:val="clear" w:color="auto" w:fill="auto"/>
          </w:tcPr>
          <w:p w14:paraId="7FB6C90B"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shd w:val="clear" w:color="auto" w:fill="auto"/>
          </w:tcPr>
          <w:p w14:paraId="224BA01C"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c>
          <w:tcPr>
            <w:tcW w:w="615" w:type="pct"/>
          </w:tcPr>
          <w:p w14:paraId="4A4A286A" w14:textId="77777777" w:rsidR="006F2DBA" w:rsidRPr="008E6972" w:rsidRDefault="008E6972" w:rsidP="006F2DBA">
            <w:pPr>
              <w:pStyle w:val="TableText0"/>
              <w:keepLines/>
              <w:jc w:val="center"/>
            </w:pPr>
            <w:r>
              <w:rPr>
                <w:noProof/>
                <w:color w:val="000000"/>
                <w:highlight w:val="black"/>
              </w:rPr>
              <w:t>'''''''''''''''''''''''</w:t>
            </w:r>
            <w:r w:rsidR="00F1550B">
              <w:rPr>
                <w:vertAlign w:val="superscript"/>
              </w:rPr>
              <w:t>5</w:t>
            </w:r>
          </w:p>
        </w:tc>
      </w:tr>
      <w:tr w:rsidR="006F2DBA" w:rsidRPr="003639A6" w14:paraId="56A24352" w14:textId="77777777" w:rsidTr="008C70F9">
        <w:tc>
          <w:tcPr>
            <w:tcW w:w="1307" w:type="pct"/>
            <w:shd w:val="clear" w:color="auto" w:fill="auto"/>
            <w:vAlign w:val="center"/>
          </w:tcPr>
          <w:p w14:paraId="2498777B" w14:textId="77777777" w:rsidR="006F2DBA" w:rsidRPr="00C849BE" w:rsidRDefault="00847BFD" w:rsidP="006F2DBA">
            <w:pPr>
              <w:pStyle w:val="TableText0"/>
              <w:keepLines/>
            </w:pPr>
            <w:r>
              <w:t xml:space="preserve">  </w:t>
            </w:r>
            <w:r w:rsidR="006F2DBA">
              <w:t>Net cost to PBS/RPBS/MBS</w:t>
            </w:r>
          </w:p>
        </w:tc>
        <w:tc>
          <w:tcPr>
            <w:tcW w:w="615" w:type="pct"/>
            <w:shd w:val="clear" w:color="auto" w:fill="auto"/>
          </w:tcPr>
          <w:p w14:paraId="082C65EE"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2A4F1070"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36365C46"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5E7EBD20"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shd w:val="clear" w:color="auto" w:fill="auto"/>
          </w:tcPr>
          <w:p w14:paraId="3F2A4A58"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c>
          <w:tcPr>
            <w:tcW w:w="615" w:type="pct"/>
          </w:tcPr>
          <w:p w14:paraId="5472E404" w14:textId="77777777" w:rsidR="006F2DBA" w:rsidRPr="008E6972" w:rsidRDefault="008E6972" w:rsidP="006F2DBA">
            <w:pPr>
              <w:pStyle w:val="TableText0"/>
              <w:keepLines/>
              <w:jc w:val="center"/>
            </w:pPr>
            <w:r>
              <w:rPr>
                <w:noProof/>
                <w:color w:val="000000"/>
                <w:highlight w:val="black"/>
              </w:rPr>
              <w:t>''''''''''''''''''''''''''</w:t>
            </w:r>
            <w:r w:rsidR="008C70F9">
              <w:rPr>
                <w:vertAlign w:val="superscript"/>
              </w:rPr>
              <w:t>4</w:t>
            </w:r>
          </w:p>
        </w:tc>
      </w:tr>
      <w:tr w:rsidR="00423ED8" w:rsidRPr="003639A6" w14:paraId="7D41F98D" w14:textId="77777777" w:rsidTr="008C70F9">
        <w:tc>
          <w:tcPr>
            <w:tcW w:w="5000" w:type="pct"/>
            <w:gridSpan w:val="7"/>
            <w:shd w:val="clear" w:color="auto" w:fill="auto"/>
            <w:vAlign w:val="center"/>
          </w:tcPr>
          <w:p w14:paraId="29FD80C6" w14:textId="77777777" w:rsidR="00423ED8" w:rsidRPr="00423ED8" w:rsidRDefault="00AC2F25" w:rsidP="00D64DD8">
            <w:pPr>
              <w:pStyle w:val="TableText0"/>
              <w:keepLines/>
              <w:rPr>
                <w:b/>
                <w:bCs w:val="0"/>
              </w:rPr>
            </w:pPr>
            <w:r>
              <w:rPr>
                <w:b/>
                <w:bCs w:val="0"/>
              </w:rPr>
              <w:t>Estimated extent of use – PSCR (updated to include dual program listings and Mayo Stage IIIB patients)</w:t>
            </w:r>
          </w:p>
        </w:tc>
      </w:tr>
      <w:tr w:rsidR="00D64DD8" w:rsidRPr="003639A6" w14:paraId="3DDA0C6D" w14:textId="77777777" w:rsidTr="008C70F9">
        <w:tc>
          <w:tcPr>
            <w:tcW w:w="1307" w:type="pct"/>
            <w:shd w:val="clear" w:color="auto" w:fill="auto"/>
          </w:tcPr>
          <w:p w14:paraId="670F9D51" w14:textId="77777777" w:rsidR="00D64DD8" w:rsidRDefault="00847BFD" w:rsidP="00EB4BCF">
            <w:pPr>
              <w:pStyle w:val="TableText0"/>
              <w:keepLines/>
            </w:pPr>
            <w:r>
              <w:t xml:space="preserve">  </w:t>
            </w:r>
            <w:r w:rsidR="00D64DD8" w:rsidRPr="00B6714C">
              <w:t xml:space="preserve">Number of </w:t>
            </w:r>
            <w:r w:rsidR="00EB4BCF" w:rsidRPr="00B6714C">
              <w:t>initiati</w:t>
            </w:r>
            <w:r w:rsidR="00EB4BCF">
              <w:t>ng patients</w:t>
            </w:r>
            <w:r w:rsidR="00EB4BCF" w:rsidRPr="00B6714C">
              <w:t> </w:t>
            </w:r>
          </w:p>
        </w:tc>
        <w:tc>
          <w:tcPr>
            <w:tcW w:w="615" w:type="pct"/>
            <w:shd w:val="clear" w:color="auto" w:fill="auto"/>
          </w:tcPr>
          <w:p w14:paraId="5D131972"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6" w:type="pct"/>
            <w:shd w:val="clear" w:color="auto" w:fill="auto"/>
          </w:tcPr>
          <w:p w14:paraId="40C40F45"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6" w:type="pct"/>
            <w:shd w:val="clear" w:color="auto" w:fill="auto"/>
          </w:tcPr>
          <w:p w14:paraId="3C8A9046"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6" w:type="pct"/>
            <w:shd w:val="clear" w:color="auto" w:fill="auto"/>
          </w:tcPr>
          <w:p w14:paraId="2ACDAED7"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5" w:type="pct"/>
            <w:shd w:val="clear" w:color="auto" w:fill="auto"/>
          </w:tcPr>
          <w:p w14:paraId="2FB926AD"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c>
          <w:tcPr>
            <w:tcW w:w="615" w:type="pct"/>
          </w:tcPr>
          <w:p w14:paraId="6D0D9A01" w14:textId="77777777" w:rsidR="00D64DD8" w:rsidRPr="008E6972" w:rsidRDefault="008E6972" w:rsidP="00D64DD8">
            <w:pPr>
              <w:pStyle w:val="TableText0"/>
              <w:keepLines/>
              <w:jc w:val="center"/>
            </w:pPr>
            <w:r>
              <w:rPr>
                <w:noProof/>
                <w:color w:val="000000"/>
                <w:highlight w:val="black"/>
              </w:rPr>
              <w:t>'''''''''''</w:t>
            </w:r>
            <w:r w:rsidR="00AE3E75">
              <w:rPr>
                <w:vertAlign w:val="superscript"/>
              </w:rPr>
              <w:t>1</w:t>
            </w:r>
          </w:p>
        </w:tc>
      </w:tr>
      <w:tr w:rsidR="00D64DD8" w:rsidRPr="003639A6" w14:paraId="529DD14A" w14:textId="77777777" w:rsidTr="008C70F9">
        <w:tc>
          <w:tcPr>
            <w:tcW w:w="1307" w:type="pct"/>
            <w:shd w:val="clear" w:color="auto" w:fill="auto"/>
          </w:tcPr>
          <w:p w14:paraId="711B995F" w14:textId="77777777" w:rsidR="00D64DD8" w:rsidRDefault="00847BFD" w:rsidP="00D64DD8">
            <w:pPr>
              <w:pStyle w:val="TableText0"/>
              <w:keepLines/>
            </w:pPr>
            <w:r>
              <w:t xml:space="preserve">  </w:t>
            </w:r>
            <w:r w:rsidR="00D64DD8" w:rsidRPr="00B6714C">
              <w:t>Number of daratumumab scripts </w:t>
            </w:r>
          </w:p>
        </w:tc>
        <w:tc>
          <w:tcPr>
            <w:tcW w:w="615" w:type="pct"/>
            <w:shd w:val="clear" w:color="auto" w:fill="auto"/>
          </w:tcPr>
          <w:p w14:paraId="4AD7C14E"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6" w:type="pct"/>
            <w:shd w:val="clear" w:color="auto" w:fill="auto"/>
          </w:tcPr>
          <w:p w14:paraId="521FA779"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6" w:type="pct"/>
            <w:shd w:val="clear" w:color="auto" w:fill="auto"/>
          </w:tcPr>
          <w:p w14:paraId="2368BA81"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6" w:type="pct"/>
            <w:shd w:val="clear" w:color="auto" w:fill="auto"/>
          </w:tcPr>
          <w:p w14:paraId="03C7AFC6"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5" w:type="pct"/>
            <w:shd w:val="clear" w:color="auto" w:fill="auto"/>
          </w:tcPr>
          <w:p w14:paraId="1EAEE84B"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c>
          <w:tcPr>
            <w:tcW w:w="615" w:type="pct"/>
          </w:tcPr>
          <w:p w14:paraId="371242EA" w14:textId="77777777" w:rsidR="00D64DD8" w:rsidRPr="008E6972" w:rsidRDefault="008E6972" w:rsidP="00D64DD8">
            <w:pPr>
              <w:pStyle w:val="TableText0"/>
              <w:keepLines/>
              <w:jc w:val="center"/>
            </w:pPr>
            <w:r>
              <w:rPr>
                <w:noProof/>
                <w:color w:val="000000"/>
                <w:highlight w:val="black"/>
              </w:rPr>
              <w:t>''''''''''''''</w:t>
            </w:r>
            <w:r w:rsidR="00AE3E75">
              <w:rPr>
                <w:vertAlign w:val="superscript"/>
              </w:rPr>
              <w:t>2</w:t>
            </w:r>
          </w:p>
        </w:tc>
      </w:tr>
      <w:tr w:rsidR="00EB4BCF" w:rsidRPr="003639A6" w14:paraId="52DE7ACA" w14:textId="77777777" w:rsidTr="008C70F9">
        <w:tc>
          <w:tcPr>
            <w:tcW w:w="5000" w:type="pct"/>
            <w:gridSpan w:val="7"/>
            <w:shd w:val="clear" w:color="auto" w:fill="auto"/>
          </w:tcPr>
          <w:p w14:paraId="0B72EC43" w14:textId="77777777" w:rsidR="00EB4BCF" w:rsidRPr="00EB4BCF" w:rsidRDefault="00EB4BCF" w:rsidP="00EB4BCF">
            <w:pPr>
              <w:pStyle w:val="TableText0"/>
              <w:keepLines/>
              <w:rPr>
                <w:b/>
              </w:rPr>
            </w:pPr>
            <w:r w:rsidRPr="00EB4BCF">
              <w:rPr>
                <w:b/>
              </w:rPr>
              <w:t xml:space="preserve">  Estimated financial implications of daratumumab SC</w:t>
            </w:r>
          </w:p>
        </w:tc>
      </w:tr>
      <w:tr w:rsidR="006B2F82" w:rsidRPr="003639A6" w14:paraId="281E6FBE" w14:textId="77777777" w:rsidTr="008C70F9">
        <w:tc>
          <w:tcPr>
            <w:tcW w:w="1307" w:type="pct"/>
            <w:shd w:val="clear" w:color="auto" w:fill="auto"/>
          </w:tcPr>
          <w:p w14:paraId="3C1976EB" w14:textId="77777777" w:rsidR="006B2F82" w:rsidRDefault="006B2F82" w:rsidP="006B2F82">
            <w:pPr>
              <w:pStyle w:val="TableText0"/>
              <w:keepLines/>
            </w:pPr>
            <w:r>
              <w:t xml:space="preserve">  Cost to PBS/RPBS less co-payments</w:t>
            </w:r>
          </w:p>
        </w:tc>
        <w:tc>
          <w:tcPr>
            <w:tcW w:w="615" w:type="pct"/>
            <w:shd w:val="clear" w:color="auto" w:fill="auto"/>
            <w:vAlign w:val="center"/>
          </w:tcPr>
          <w:p w14:paraId="37F3DF8D"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6" w:type="pct"/>
            <w:shd w:val="clear" w:color="auto" w:fill="auto"/>
            <w:vAlign w:val="center"/>
          </w:tcPr>
          <w:p w14:paraId="21D3F752"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6" w:type="pct"/>
            <w:shd w:val="clear" w:color="auto" w:fill="auto"/>
            <w:vAlign w:val="center"/>
          </w:tcPr>
          <w:p w14:paraId="5BC3C91F"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6" w:type="pct"/>
            <w:shd w:val="clear" w:color="auto" w:fill="auto"/>
            <w:vAlign w:val="center"/>
          </w:tcPr>
          <w:p w14:paraId="01079D48"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5" w:type="pct"/>
            <w:shd w:val="clear" w:color="auto" w:fill="auto"/>
            <w:vAlign w:val="center"/>
          </w:tcPr>
          <w:p w14:paraId="1C297FAB"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c>
          <w:tcPr>
            <w:tcW w:w="615" w:type="pct"/>
            <w:vAlign w:val="center"/>
          </w:tcPr>
          <w:p w14:paraId="7F13728C" w14:textId="77777777" w:rsidR="006B2F82" w:rsidRPr="008E6972" w:rsidRDefault="008E6972" w:rsidP="006B2F82">
            <w:pPr>
              <w:pStyle w:val="TableText0"/>
              <w:keepLines/>
              <w:jc w:val="center"/>
              <w:rPr>
                <w:szCs w:val="20"/>
              </w:rPr>
            </w:pPr>
            <w:r>
              <w:rPr>
                <w:rFonts w:cs="Arial"/>
                <w:noProof/>
                <w:color w:val="000000"/>
                <w:szCs w:val="20"/>
                <w:highlight w:val="black"/>
              </w:rPr>
              <w:t>''''''''''''''''''''''''''</w:t>
            </w:r>
            <w:r w:rsidR="008C70F9">
              <w:rPr>
                <w:vertAlign w:val="superscript"/>
              </w:rPr>
              <w:t>4</w:t>
            </w:r>
          </w:p>
        </w:tc>
      </w:tr>
      <w:tr w:rsidR="006B2F82" w:rsidRPr="003639A6" w14:paraId="5F7217CA" w14:textId="77777777" w:rsidTr="008C70F9">
        <w:tc>
          <w:tcPr>
            <w:tcW w:w="5000" w:type="pct"/>
            <w:gridSpan w:val="7"/>
            <w:shd w:val="clear" w:color="auto" w:fill="auto"/>
          </w:tcPr>
          <w:p w14:paraId="32B18618" w14:textId="77777777" w:rsidR="006B2F82" w:rsidRPr="006B2F82" w:rsidRDefault="006B2F82" w:rsidP="006B2F82">
            <w:pPr>
              <w:pStyle w:val="TableText0"/>
              <w:keepLines/>
              <w:rPr>
                <w:b/>
              </w:rPr>
            </w:pPr>
            <w:r w:rsidRPr="006B2F82">
              <w:rPr>
                <w:b/>
              </w:rPr>
              <w:t xml:space="preserve">  Net financial implications (daratumumab in combination with CyBorD)</w:t>
            </w:r>
          </w:p>
        </w:tc>
      </w:tr>
      <w:tr w:rsidR="006B2F82" w:rsidRPr="003639A6" w14:paraId="408BE003" w14:textId="77777777" w:rsidTr="008C70F9">
        <w:tc>
          <w:tcPr>
            <w:tcW w:w="1307" w:type="pct"/>
            <w:shd w:val="clear" w:color="auto" w:fill="auto"/>
          </w:tcPr>
          <w:p w14:paraId="37078EC1" w14:textId="77777777" w:rsidR="006B2F82" w:rsidRDefault="006B2F82" w:rsidP="006B2F82">
            <w:pPr>
              <w:pStyle w:val="TableText0"/>
              <w:keepLines/>
            </w:pPr>
            <w:r>
              <w:rPr>
                <w:b/>
              </w:rPr>
              <w:t xml:space="preserve">  </w:t>
            </w:r>
            <w:r w:rsidRPr="0009125F">
              <w:rPr>
                <w:b/>
              </w:rPr>
              <w:t xml:space="preserve">Net cost PBS/RPBS </w:t>
            </w:r>
          </w:p>
        </w:tc>
        <w:tc>
          <w:tcPr>
            <w:tcW w:w="615" w:type="pct"/>
            <w:shd w:val="clear" w:color="auto" w:fill="auto"/>
            <w:vAlign w:val="center"/>
          </w:tcPr>
          <w:p w14:paraId="37FC4AF2"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6" w:type="pct"/>
            <w:shd w:val="clear" w:color="auto" w:fill="auto"/>
            <w:vAlign w:val="center"/>
          </w:tcPr>
          <w:p w14:paraId="64D3EEAB"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6" w:type="pct"/>
            <w:shd w:val="clear" w:color="auto" w:fill="auto"/>
            <w:vAlign w:val="center"/>
          </w:tcPr>
          <w:p w14:paraId="3177FE46"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6" w:type="pct"/>
            <w:shd w:val="clear" w:color="auto" w:fill="auto"/>
            <w:vAlign w:val="center"/>
          </w:tcPr>
          <w:p w14:paraId="63628956" w14:textId="77777777" w:rsidR="006B2F82" w:rsidRPr="008E6972" w:rsidRDefault="008E6972" w:rsidP="006B2F82">
            <w:pPr>
              <w:pStyle w:val="TableText0"/>
              <w:keepLines/>
              <w:jc w:val="center"/>
            </w:pPr>
            <w:r>
              <w:rPr>
                <w:b/>
                <w:bCs w:val="0"/>
                <w:noProof/>
                <w:color w:val="000000"/>
                <w:highlight w:val="black"/>
              </w:rPr>
              <w:t>''''''''''''''''''''''''</w:t>
            </w:r>
            <w:r w:rsidR="008C70F9">
              <w:rPr>
                <w:vertAlign w:val="superscript"/>
              </w:rPr>
              <w:t>4</w:t>
            </w:r>
          </w:p>
        </w:tc>
        <w:tc>
          <w:tcPr>
            <w:tcW w:w="615" w:type="pct"/>
            <w:shd w:val="clear" w:color="auto" w:fill="auto"/>
            <w:vAlign w:val="center"/>
          </w:tcPr>
          <w:p w14:paraId="563B9423" w14:textId="77777777" w:rsidR="006B2F82" w:rsidRPr="008E6972" w:rsidRDefault="008E6972" w:rsidP="006B2F82">
            <w:pPr>
              <w:pStyle w:val="TableText0"/>
              <w:keepLines/>
              <w:jc w:val="center"/>
            </w:pPr>
            <w:r>
              <w:rPr>
                <w:b/>
                <w:bCs w:val="0"/>
                <w:noProof/>
                <w:color w:val="000000"/>
                <w:highlight w:val="black"/>
              </w:rPr>
              <w:t>'''''''''''''''''''''''''</w:t>
            </w:r>
            <w:r w:rsidR="00F1550B">
              <w:rPr>
                <w:vertAlign w:val="superscript"/>
              </w:rPr>
              <w:t>6</w:t>
            </w:r>
          </w:p>
        </w:tc>
        <w:tc>
          <w:tcPr>
            <w:tcW w:w="615" w:type="pct"/>
            <w:vAlign w:val="center"/>
          </w:tcPr>
          <w:p w14:paraId="46AEF222" w14:textId="77777777" w:rsidR="006B2F82" w:rsidRPr="008E6972" w:rsidRDefault="008E6972" w:rsidP="006B2F82">
            <w:pPr>
              <w:pStyle w:val="TableText0"/>
              <w:keepLines/>
              <w:jc w:val="center"/>
            </w:pPr>
            <w:r>
              <w:rPr>
                <w:b/>
                <w:bCs w:val="0"/>
                <w:noProof/>
                <w:color w:val="000000"/>
                <w:highlight w:val="black"/>
              </w:rPr>
              <w:t>''''''''''''''''''''''''''</w:t>
            </w:r>
            <w:r w:rsidR="00F1550B">
              <w:rPr>
                <w:vertAlign w:val="superscript"/>
              </w:rPr>
              <w:t>6</w:t>
            </w:r>
          </w:p>
        </w:tc>
      </w:tr>
      <w:tr w:rsidR="006B2F82" w:rsidRPr="003639A6" w14:paraId="64F5364C" w14:textId="77777777" w:rsidTr="008C70F9">
        <w:tc>
          <w:tcPr>
            <w:tcW w:w="1307" w:type="pct"/>
            <w:shd w:val="clear" w:color="auto" w:fill="auto"/>
          </w:tcPr>
          <w:p w14:paraId="511DAEE0" w14:textId="77777777" w:rsidR="006B2F82" w:rsidRDefault="006B2F82" w:rsidP="006B2F82">
            <w:pPr>
              <w:pStyle w:val="TableText0"/>
              <w:keepLines/>
            </w:pPr>
            <w:r>
              <w:t xml:space="preserve">  MBS cost (Item 13950)</w:t>
            </w:r>
          </w:p>
        </w:tc>
        <w:tc>
          <w:tcPr>
            <w:tcW w:w="615" w:type="pct"/>
            <w:shd w:val="clear" w:color="auto" w:fill="auto"/>
            <w:vAlign w:val="center"/>
          </w:tcPr>
          <w:p w14:paraId="7ACAB4C4" w14:textId="77777777" w:rsidR="006B2F82" w:rsidRPr="008E6972" w:rsidRDefault="008E6972" w:rsidP="006B2F82">
            <w:pPr>
              <w:pStyle w:val="TableText0"/>
              <w:keepLines/>
              <w:jc w:val="center"/>
            </w:pPr>
            <w:r>
              <w:rPr>
                <w:noProof/>
                <w:color w:val="000000"/>
                <w:highlight w:val="black"/>
              </w:rPr>
              <w:t>''''''''''''''''''''''</w:t>
            </w:r>
            <w:r w:rsidR="00F1550B">
              <w:rPr>
                <w:vertAlign w:val="superscript"/>
              </w:rPr>
              <w:t>5</w:t>
            </w:r>
          </w:p>
        </w:tc>
        <w:tc>
          <w:tcPr>
            <w:tcW w:w="616" w:type="pct"/>
            <w:shd w:val="clear" w:color="auto" w:fill="auto"/>
            <w:vAlign w:val="center"/>
          </w:tcPr>
          <w:p w14:paraId="4D85CAE6" w14:textId="77777777" w:rsidR="006B2F82" w:rsidRPr="008E6972" w:rsidRDefault="008E6972" w:rsidP="006B2F82">
            <w:pPr>
              <w:pStyle w:val="TableText0"/>
              <w:keepLines/>
              <w:jc w:val="center"/>
            </w:pPr>
            <w:r>
              <w:rPr>
                <w:noProof/>
                <w:color w:val="000000"/>
                <w:highlight w:val="black"/>
              </w:rPr>
              <w:t>'''''''''''''''''''''''</w:t>
            </w:r>
            <w:r w:rsidR="00F1550B">
              <w:rPr>
                <w:vertAlign w:val="superscript"/>
              </w:rPr>
              <w:t>5</w:t>
            </w:r>
          </w:p>
        </w:tc>
        <w:tc>
          <w:tcPr>
            <w:tcW w:w="616" w:type="pct"/>
            <w:shd w:val="clear" w:color="auto" w:fill="auto"/>
            <w:vAlign w:val="center"/>
          </w:tcPr>
          <w:p w14:paraId="20C5B199" w14:textId="77777777" w:rsidR="006B2F82" w:rsidRPr="008E6972" w:rsidRDefault="008E6972" w:rsidP="006B2F82">
            <w:pPr>
              <w:pStyle w:val="TableText0"/>
              <w:keepLines/>
              <w:jc w:val="center"/>
            </w:pPr>
            <w:r>
              <w:rPr>
                <w:noProof/>
                <w:color w:val="000000"/>
                <w:highlight w:val="black"/>
              </w:rPr>
              <w:t xml:space="preserve">'''''''''''''''''''' </w:t>
            </w:r>
            <w:r w:rsidR="00F1550B">
              <w:rPr>
                <w:vertAlign w:val="superscript"/>
              </w:rPr>
              <w:t>5</w:t>
            </w:r>
          </w:p>
        </w:tc>
        <w:tc>
          <w:tcPr>
            <w:tcW w:w="616" w:type="pct"/>
            <w:shd w:val="clear" w:color="auto" w:fill="auto"/>
            <w:vAlign w:val="center"/>
          </w:tcPr>
          <w:p w14:paraId="5B3AFE77" w14:textId="77777777" w:rsidR="006B2F82" w:rsidRPr="008E6972" w:rsidRDefault="008E6972" w:rsidP="006B2F82">
            <w:pPr>
              <w:pStyle w:val="TableText0"/>
              <w:keepLines/>
              <w:jc w:val="center"/>
            </w:pPr>
            <w:r>
              <w:rPr>
                <w:noProof/>
                <w:color w:val="000000"/>
                <w:highlight w:val="black"/>
              </w:rPr>
              <w:t>'''''''''''''''''''''</w:t>
            </w:r>
            <w:r w:rsidR="00F1550B">
              <w:rPr>
                <w:vertAlign w:val="superscript"/>
              </w:rPr>
              <w:t>5</w:t>
            </w:r>
            <w:r>
              <w:rPr>
                <w:noProof/>
                <w:color w:val="000000"/>
                <w:highlight w:val="black"/>
              </w:rPr>
              <w:t xml:space="preserve"> </w:t>
            </w:r>
          </w:p>
        </w:tc>
        <w:tc>
          <w:tcPr>
            <w:tcW w:w="615" w:type="pct"/>
            <w:shd w:val="clear" w:color="auto" w:fill="auto"/>
            <w:vAlign w:val="center"/>
          </w:tcPr>
          <w:p w14:paraId="01410ACE" w14:textId="77777777" w:rsidR="006B2F82" w:rsidRPr="008E6972" w:rsidRDefault="008E6972" w:rsidP="006B2F82">
            <w:pPr>
              <w:pStyle w:val="TableText0"/>
              <w:keepLines/>
              <w:jc w:val="center"/>
            </w:pPr>
            <w:r>
              <w:rPr>
                <w:noProof/>
                <w:color w:val="000000"/>
                <w:highlight w:val="black"/>
              </w:rPr>
              <w:t xml:space="preserve">''''''''''''''''''''''' </w:t>
            </w:r>
            <w:r w:rsidR="00F1550B">
              <w:rPr>
                <w:vertAlign w:val="superscript"/>
              </w:rPr>
              <w:t>5</w:t>
            </w:r>
          </w:p>
        </w:tc>
        <w:tc>
          <w:tcPr>
            <w:tcW w:w="615" w:type="pct"/>
            <w:vAlign w:val="center"/>
          </w:tcPr>
          <w:p w14:paraId="37481FB5" w14:textId="77777777" w:rsidR="006B2F82" w:rsidRPr="008E6972" w:rsidRDefault="008E6972" w:rsidP="006B2F82">
            <w:pPr>
              <w:pStyle w:val="TableText0"/>
              <w:keepLines/>
              <w:jc w:val="center"/>
            </w:pPr>
            <w:r>
              <w:rPr>
                <w:noProof/>
                <w:color w:val="000000"/>
                <w:highlight w:val="black"/>
              </w:rPr>
              <w:t xml:space="preserve">'''''''''''''''''''''' </w:t>
            </w:r>
            <w:r w:rsidR="00F1550B">
              <w:rPr>
                <w:vertAlign w:val="superscript"/>
              </w:rPr>
              <w:t>5</w:t>
            </w:r>
          </w:p>
        </w:tc>
      </w:tr>
      <w:tr w:rsidR="006B2F82" w:rsidRPr="003639A6" w14:paraId="2E21123D" w14:textId="77777777" w:rsidTr="008C70F9">
        <w:tc>
          <w:tcPr>
            <w:tcW w:w="1307" w:type="pct"/>
            <w:shd w:val="clear" w:color="auto" w:fill="auto"/>
          </w:tcPr>
          <w:p w14:paraId="2E30FB38" w14:textId="77777777" w:rsidR="006B2F82" w:rsidRDefault="006B2F82" w:rsidP="006B2F82">
            <w:pPr>
              <w:pStyle w:val="TableText0"/>
              <w:keepLines/>
            </w:pPr>
            <w:r>
              <w:t xml:space="preserve">  Net cost to PBS/RPBS/MBS</w:t>
            </w:r>
          </w:p>
        </w:tc>
        <w:tc>
          <w:tcPr>
            <w:tcW w:w="615" w:type="pct"/>
            <w:shd w:val="clear" w:color="auto" w:fill="auto"/>
          </w:tcPr>
          <w:p w14:paraId="2822659E" w14:textId="77777777" w:rsidR="006B2F82" w:rsidRPr="008E6972" w:rsidRDefault="008E6972" w:rsidP="006B2F82">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4AA122CF"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c>
          <w:tcPr>
            <w:tcW w:w="616" w:type="pct"/>
            <w:shd w:val="clear" w:color="auto" w:fill="auto"/>
          </w:tcPr>
          <w:p w14:paraId="22C132D2" w14:textId="77777777" w:rsidR="006B2F82" w:rsidRPr="008E6972" w:rsidRDefault="008E6972" w:rsidP="006B2F82">
            <w:pPr>
              <w:pStyle w:val="TableText0"/>
              <w:keepLines/>
              <w:jc w:val="center"/>
            </w:pPr>
            <w:r>
              <w:rPr>
                <w:noProof/>
                <w:color w:val="000000"/>
                <w:highlight w:val="black"/>
              </w:rPr>
              <w:t>''''''''''''''''''''''''''''''''</w:t>
            </w:r>
            <w:r w:rsidR="008C70F9">
              <w:rPr>
                <w:vertAlign w:val="superscript"/>
              </w:rPr>
              <w:t>4</w:t>
            </w:r>
          </w:p>
        </w:tc>
        <w:tc>
          <w:tcPr>
            <w:tcW w:w="616" w:type="pct"/>
            <w:shd w:val="clear" w:color="auto" w:fill="auto"/>
          </w:tcPr>
          <w:p w14:paraId="68C77109"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c>
          <w:tcPr>
            <w:tcW w:w="615" w:type="pct"/>
            <w:shd w:val="clear" w:color="auto" w:fill="auto"/>
          </w:tcPr>
          <w:p w14:paraId="464862CD"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c>
          <w:tcPr>
            <w:tcW w:w="615" w:type="pct"/>
          </w:tcPr>
          <w:p w14:paraId="620327F7" w14:textId="77777777" w:rsidR="006B2F82" w:rsidRPr="008E6972" w:rsidRDefault="008E6972" w:rsidP="006B2F82">
            <w:pPr>
              <w:pStyle w:val="TableText0"/>
              <w:keepLines/>
              <w:jc w:val="center"/>
            </w:pPr>
            <w:r>
              <w:rPr>
                <w:noProof/>
                <w:color w:val="000000"/>
                <w:highlight w:val="black"/>
              </w:rPr>
              <w:t>'''''''''''''''''''''''''''''''</w:t>
            </w:r>
            <w:r w:rsidR="00F1550B">
              <w:rPr>
                <w:vertAlign w:val="superscript"/>
              </w:rPr>
              <w:t>6</w:t>
            </w:r>
          </w:p>
        </w:tc>
      </w:tr>
    </w:tbl>
    <w:p w14:paraId="45C56A07" w14:textId="77777777" w:rsidR="006F2DBA" w:rsidRDefault="006F2DBA" w:rsidP="006F2DBA">
      <w:pPr>
        <w:pStyle w:val="TableFigureFooter"/>
        <w:keepNext/>
        <w:keepLines/>
      </w:pPr>
      <w:r>
        <w:t>Source: Table 4.1 p.288, Table 4.5 p.291, Table 4.7 p.292 and Table 4.10 p.294 of the submission.</w:t>
      </w:r>
    </w:p>
    <w:p w14:paraId="41816D67" w14:textId="77777777" w:rsidR="00D64DD8" w:rsidRPr="006F2DBA" w:rsidRDefault="00D64DD8" w:rsidP="00D64DD8">
      <w:pPr>
        <w:pStyle w:val="TableFigureFooter"/>
      </w:pPr>
      <w:r w:rsidRPr="006F2DBA">
        <w:t xml:space="preserve">Source: </w:t>
      </w:r>
      <w:r>
        <w:t xml:space="preserve">Table 4 in PSCR, and </w:t>
      </w:r>
      <w:r w:rsidRPr="006F2DBA">
        <w:t>Excel spreadsheet ‘Utilisation cost model – daratumumab AL amyloidosis</w:t>
      </w:r>
      <w:r>
        <w:t xml:space="preserve"> 20210922 (PSCR</w:t>
      </w:r>
      <w:r w:rsidR="001B7A84">
        <w:t>)</w:t>
      </w:r>
    </w:p>
    <w:p w14:paraId="1D4EE09C" w14:textId="77777777" w:rsidR="006F2DBA" w:rsidRDefault="006F2DBA" w:rsidP="006F2DBA">
      <w:pPr>
        <w:pStyle w:val="TableFigureFooter"/>
        <w:keepNext/>
        <w:keepLines/>
      </w:pPr>
      <w:r>
        <w:t>CyBorD = cyclophosphamide, bortezomib and dexamethasone; dara SC = daratumumab subcutaneous; MBS = Medicare Benefits Schedule; PBS = Pharmaceutical Benefits Scheme; RPBS = Repatriation Schedule of Pharmaceutical Benefits; SC = subcutaneous.</w:t>
      </w:r>
    </w:p>
    <w:p w14:paraId="760B927E" w14:textId="77777777" w:rsidR="006F2DBA" w:rsidRDefault="006F2DBA" w:rsidP="006F2DBA">
      <w:pPr>
        <w:pStyle w:val="TableFigureFooter"/>
        <w:keepNext/>
        <w:keepLines/>
      </w:pPr>
      <w:r w:rsidRPr="57626B43">
        <w:rPr>
          <w:vertAlign w:val="superscript"/>
        </w:rPr>
        <w:t>a</w:t>
      </w:r>
      <w:r>
        <w:t xml:space="preserve"> Assuming 14.67 scripts of daratumumab SC per year for initiating patients, 5.31 scripts of daratumumab SC per year for Year 1 incident and prevalent patients and 7.77 scripts of daratumumab SC for continuing patients in Year 2 as estimated by the submission.</w:t>
      </w:r>
    </w:p>
    <w:p w14:paraId="34FFD31A" w14:textId="77777777" w:rsidR="006F2DBA" w:rsidRDefault="006F2DBA" w:rsidP="006F2DBA">
      <w:pPr>
        <w:pStyle w:val="TableFigureFooter"/>
        <w:keepNext/>
        <w:keepLines/>
      </w:pPr>
      <w:r>
        <w:t>b. Assuming 20.80 scripts of bortezomib per year for initiating patients, 3.70 scripts per year for initiating patients, 14.21 scripts per year for initiating patients and 12.23 scripts per year for continuing patients.</w:t>
      </w:r>
    </w:p>
    <w:p w14:paraId="55525281" w14:textId="77777777" w:rsidR="00591868" w:rsidRPr="00F1550B" w:rsidRDefault="00591868" w:rsidP="006F2DBA">
      <w:pPr>
        <w:pStyle w:val="TableFigureFooter"/>
        <w:keepNext/>
        <w:keepLines/>
        <w:rPr>
          <w:i/>
        </w:rPr>
      </w:pPr>
      <w:r w:rsidRPr="00F1550B">
        <w:rPr>
          <w:i/>
        </w:rPr>
        <w:t>The redacted values correspond to the following ranges:</w:t>
      </w:r>
    </w:p>
    <w:p w14:paraId="5233F255" w14:textId="77777777" w:rsidR="00591868" w:rsidRPr="00F1550B" w:rsidRDefault="00591868" w:rsidP="006F2DBA">
      <w:pPr>
        <w:pStyle w:val="TableFigureFooter"/>
        <w:keepNext/>
        <w:keepLines/>
        <w:rPr>
          <w:i/>
        </w:rPr>
      </w:pPr>
      <w:r w:rsidRPr="00F1550B">
        <w:rPr>
          <w:i/>
          <w:vertAlign w:val="superscript"/>
        </w:rPr>
        <w:t>1</w:t>
      </w:r>
      <w:r w:rsidRPr="00F1550B">
        <w:rPr>
          <w:i/>
        </w:rPr>
        <w:t xml:space="preserve"> &lt; 500</w:t>
      </w:r>
    </w:p>
    <w:p w14:paraId="2DE48E0E" w14:textId="77777777" w:rsidR="00591868" w:rsidRPr="00F1550B" w:rsidRDefault="00591868" w:rsidP="006F2DBA">
      <w:pPr>
        <w:pStyle w:val="TableFigureFooter"/>
        <w:keepNext/>
        <w:keepLines/>
        <w:rPr>
          <w:i/>
        </w:rPr>
      </w:pPr>
      <w:r w:rsidRPr="00F1550B">
        <w:rPr>
          <w:i/>
          <w:vertAlign w:val="superscript"/>
        </w:rPr>
        <w:t>2</w:t>
      </w:r>
      <w:r w:rsidRPr="00F1550B">
        <w:rPr>
          <w:i/>
        </w:rPr>
        <w:t xml:space="preserve"> 500 to &lt; 5,000</w:t>
      </w:r>
    </w:p>
    <w:p w14:paraId="342A8D7F" w14:textId="77777777" w:rsidR="00591868" w:rsidRPr="00F1550B" w:rsidRDefault="00591868" w:rsidP="006F2DBA">
      <w:pPr>
        <w:pStyle w:val="TableFigureFooter"/>
        <w:keepNext/>
        <w:keepLines/>
        <w:rPr>
          <w:i/>
        </w:rPr>
      </w:pPr>
      <w:r w:rsidRPr="00F1550B">
        <w:rPr>
          <w:i/>
          <w:vertAlign w:val="superscript"/>
        </w:rPr>
        <w:t>3</w:t>
      </w:r>
      <w:r w:rsidRPr="00F1550B">
        <w:rPr>
          <w:i/>
        </w:rPr>
        <w:t xml:space="preserve"> 5,000 to &lt; 10,000</w:t>
      </w:r>
    </w:p>
    <w:p w14:paraId="5F8315E1" w14:textId="77777777" w:rsidR="008C70F9" w:rsidRPr="00F1550B" w:rsidRDefault="008C70F9" w:rsidP="006F2DBA">
      <w:pPr>
        <w:pStyle w:val="TableFigureFooter"/>
        <w:keepNext/>
        <w:keepLines/>
        <w:rPr>
          <w:i/>
        </w:rPr>
      </w:pPr>
      <w:r w:rsidRPr="00F1550B">
        <w:rPr>
          <w:i/>
          <w:vertAlign w:val="superscript"/>
        </w:rPr>
        <w:t>4</w:t>
      </w:r>
      <w:r w:rsidRPr="00F1550B">
        <w:rPr>
          <w:i/>
        </w:rPr>
        <w:t xml:space="preserve"> $10 million to &lt; $20 million</w:t>
      </w:r>
    </w:p>
    <w:p w14:paraId="42EB4349" w14:textId="77777777" w:rsidR="00F1550B" w:rsidRPr="00F1550B" w:rsidRDefault="00F1550B" w:rsidP="006F2DBA">
      <w:pPr>
        <w:pStyle w:val="TableFigureFooter"/>
        <w:keepNext/>
        <w:keepLines/>
        <w:rPr>
          <w:i/>
        </w:rPr>
      </w:pPr>
      <w:r w:rsidRPr="00F1550B">
        <w:rPr>
          <w:i/>
          <w:vertAlign w:val="superscript"/>
        </w:rPr>
        <w:t>5</w:t>
      </w:r>
      <w:r w:rsidRPr="00F1550B">
        <w:rPr>
          <w:i/>
        </w:rPr>
        <w:t xml:space="preserve"> $0 to &lt; $10 million</w:t>
      </w:r>
    </w:p>
    <w:p w14:paraId="56812C99" w14:textId="77777777" w:rsidR="00F1550B" w:rsidRPr="00F1550B" w:rsidRDefault="00F1550B" w:rsidP="006F2DBA">
      <w:pPr>
        <w:pStyle w:val="TableFigureFooter"/>
        <w:keepNext/>
        <w:keepLines/>
        <w:rPr>
          <w:i/>
        </w:rPr>
      </w:pPr>
      <w:r w:rsidRPr="00F1550B">
        <w:rPr>
          <w:i/>
          <w:vertAlign w:val="superscript"/>
        </w:rPr>
        <w:t>6</w:t>
      </w:r>
      <w:r w:rsidRPr="00F1550B">
        <w:rPr>
          <w:i/>
        </w:rPr>
        <w:t xml:space="preserve"> $20 million to &lt; $30 million</w:t>
      </w:r>
    </w:p>
    <w:p w14:paraId="3498C4B2" w14:textId="77777777" w:rsidR="00D64DD8" w:rsidRPr="00D64DD8" w:rsidRDefault="00D64DD8" w:rsidP="00D64DD8"/>
    <w:p w14:paraId="63BEB5B5" w14:textId="77777777" w:rsidR="006F2DBA" w:rsidRPr="006F2DBA" w:rsidRDefault="006F2DBA" w:rsidP="006F2DBA">
      <w:pPr>
        <w:pStyle w:val="3-BodyText"/>
      </w:pPr>
      <w:r w:rsidRPr="006F2DBA">
        <w:t>Based on the proposed effective price for daratumumab</w:t>
      </w:r>
      <w:r w:rsidR="00F82D29">
        <w:t xml:space="preserve"> and the updated estimates provided in the PSCR</w:t>
      </w:r>
      <w:r w:rsidRPr="006F2DBA">
        <w:t>, the total cost to the PBS/RPBS of listing daratumumab SC + CyBorD was estimated to be $</w:t>
      </w:r>
      <w:r w:rsidR="00A3574C">
        <w:t>20 million to &lt; $30</w:t>
      </w:r>
      <w:r w:rsidRPr="006F2DBA">
        <w:t xml:space="preserve"> million in Year 6</w:t>
      </w:r>
      <w:r w:rsidR="0028089A">
        <w:t xml:space="preserve"> ($</w:t>
      </w:r>
      <w:r w:rsidR="00A3574C">
        <w:t>10 million to &lt; $20</w:t>
      </w:r>
      <w:r w:rsidR="0028089A" w:rsidRPr="006F2DBA">
        <w:t xml:space="preserve"> million for daratumumab and $</w:t>
      </w:r>
      <w:r w:rsidR="00A3574C">
        <w:t>0 to &lt; $10</w:t>
      </w:r>
      <w:r w:rsidR="0028089A" w:rsidRPr="006F2DBA">
        <w:t xml:space="preserve"> million for CyBorD</w:t>
      </w:r>
      <w:r w:rsidR="0028089A">
        <w:t>)</w:t>
      </w:r>
      <w:r w:rsidRPr="006F2DBA">
        <w:t>, and a total of $</w:t>
      </w:r>
      <w:r w:rsidR="00A3574C">
        <w:t>100 million to &lt; $200</w:t>
      </w:r>
      <w:r w:rsidR="00F82D29" w:rsidRPr="006F2DBA">
        <w:t xml:space="preserve"> </w:t>
      </w:r>
      <w:r w:rsidRPr="006F2DBA">
        <w:t xml:space="preserve">million in the first 6 years of listing.  </w:t>
      </w:r>
      <w:r w:rsidR="00F82D29">
        <w:t>The PBAC noted that the MBS costs were reduced in the estimates provided in the PSCR</w:t>
      </w:r>
      <w:r w:rsidR="00333F06">
        <w:t xml:space="preserve"> without explanation</w:t>
      </w:r>
      <w:r w:rsidR="00F82D29">
        <w:t>.</w:t>
      </w:r>
    </w:p>
    <w:p w14:paraId="264DC0D0" w14:textId="77777777" w:rsidR="0028089A" w:rsidRDefault="006F2DBA" w:rsidP="006F2DBA">
      <w:pPr>
        <w:pStyle w:val="3-BodyText"/>
      </w:pPr>
      <w:r w:rsidRPr="006F2DBA">
        <w:t xml:space="preserve">The submission estimated increased costs associated with use of CyBorD in combination with daratumumab by assuming cyclophosphamide and bortezomib were administered for up to 6 cycles and dexamethasone for up to 24 cycles.  </w:t>
      </w:r>
      <w:r w:rsidR="0028089A">
        <w:t xml:space="preserve"> </w:t>
      </w:r>
    </w:p>
    <w:p w14:paraId="0FEAC029" w14:textId="77777777" w:rsidR="006F2DBA" w:rsidRPr="006F2DBA" w:rsidRDefault="00EB66F6" w:rsidP="006F2DBA">
      <w:pPr>
        <w:pStyle w:val="3-BodyText"/>
      </w:pPr>
      <w:r>
        <w:t>Although DUSC considered that the estimates presented in the submission were likely to be reasonable, they identified the following areas of uncertainty</w:t>
      </w:r>
      <w:r w:rsidR="006F2DBA" w:rsidRPr="006F2DBA">
        <w:t>:</w:t>
      </w:r>
    </w:p>
    <w:p w14:paraId="3BDA9B25" w14:textId="6266F5E3" w:rsidR="006F2DBA" w:rsidRPr="006F2DBA" w:rsidRDefault="006F2DBA" w:rsidP="0070637E">
      <w:pPr>
        <w:pStyle w:val="3-BodyText"/>
        <w:numPr>
          <w:ilvl w:val="0"/>
          <w:numId w:val="4"/>
        </w:numPr>
        <w:ind w:left="1077" w:hanging="357"/>
      </w:pPr>
      <w:r w:rsidRPr="006F2DBA">
        <w:t>The application of a 15% increased diagnosis rate</w:t>
      </w:r>
      <w:r w:rsidR="0028089A">
        <w:t>, which resulted in an</w:t>
      </w:r>
      <w:r w:rsidRPr="006F2DBA">
        <w:t xml:space="preserve"> increased incidence rate of 7.2% over the two years</w:t>
      </w:r>
      <w:r w:rsidR="0028089A">
        <w:t>,</w:t>
      </w:r>
      <w:r w:rsidRPr="006F2DBA">
        <w:t xml:space="preserve"> </w:t>
      </w:r>
      <w:r w:rsidR="0028089A">
        <w:t>wa</w:t>
      </w:r>
      <w:r w:rsidRPr="006F2DBA">
        <w:t xml:space="preserve">s uncertain.  It </w:t>
      </w:r>
      <w:r w:rsidR="0028089A">
        <w:t>wa</w:t>
      </w:r>
      <w:r w:rsidRPr="006F2DBA">
        <w:t>s probable that the consequence of listing daratumumab SC + CyBorD would be earlier diagnosis (rather than increasing incidence) for some patients and therefore</w:t>
      </w:r>
      <w:r w:rsidR="0028089A">
        <w:t>,</w:t>
      </w:r>
      <w:r w:rsidRPr="006F2DBA">
        <w:t xml:space="preserve"> the magnitude of any market growth remain</w:t>
      </w:r>
      <w:r w:rsidR="0028089A">
        <w:t>ed</w:t>
      </w:r>
      <w:r w:rsidRPr="006F2DBA">
        <w:t xml:space="preserve"> uncertain. In the EMN report, for patients diagnosed post-2010, the time from first symptoms to diagnosis was a median of 5.0 months and a mean of 11.6 months.</w:t>
      </w:r>
      <w:r w:rsidR="0028089A">
        <w:t xml:space="preserve"> The pre-PBAC response clarified that the 15% relative increase (phased over the first 2 years) in incident patients was intended to reflect the patients being diagnosed </w:t>
      </w:r>
      <w:r w:rsidR="002C69FF">
        <w:t>more rapidly</w:t>
      </w:r>
      <w:r w:rsidR="0028089A">
        <w:t xml:space="preserve"> following </w:t>
      </w:r>
      <w:r w:rsidR="002C69FF">
        <w:t xml:space="preserve">the </w:t>
      </w:r>
      <w:r w:rsidR="0028089A">
        <w:t xml:space="preserve">PBS listing of daratumumab SC due to greater awareness and an effective treatment being PBS listed. The incidence of the disease and the patient presentation to doctors </w:t>
      </w:r>
      <w:r w:rsidR="002C69FF">
        <w:t>we</w:t>
      </w:r>
      <w:r w:rsidR="0028089A">
        <w:t>re assumed to remain unchanged.</w:t>
      </w:r>
    </w:p>
    <w:p w14:paraId="4C7EA166" w14:textId="77777777" w:rsidR="00530B2F" w:rsidRPr="00530B2F" w:rsidRDefault="006F2DBA" w:rsidP="0070637E">
      <w:pPr>
        <w:pStyle w:val="ListParagraph"/>
        <w:numPr>
          <w:ilvl w:val="0"/>
          <w:numId w:val="4"/>
        </w:numPr>
        <w:ind w:left="1134" w:hanging="425"/>
      </w:pPr>
      <w:r w:rsidRPr="006F2DBA">
        <w:t xml:space="preserve">The financial estimates </w:t>
      </w:r>
      <w:r w:rsidR="0028089A">
        <w:t>we</w:t>
      </w:r>
      <w:r w:rsidRPr="006F2DBA">
        <w:t xml:space="preserve">re consistent with the proposed PBS restriction in that previously diagnosed untreated prevalent patients </w:t>
      </w:r>
      <w:r w:rsidR="0028089A">
        <w:t>we</w:t>
      </w:r>
      <w:r w:rsidRPr="006F2DBA">
        <w:t xml:space="preserve">re included. </w:t>
      </w:r>
      <w:r w:rsidR="00F82D29">
        <w:t>However</w:t>
      </w:r>
      <w:r w:rsidRPr="006F2DBA">
        <w:t xml:space="preserve">, the proportion of prevalent patients deemed untreated and therefore eligible for daratumumab SC + CyBorD </w:t>
      </w:r>
      <w:r w:rsidR="0028089A">
        <w:t>wa</w:t>
      </w:r>
      <w:r w:rsidRPr="006F2DBA">
        <w:t>s uncertain</w:t>
      </w:r>
      <w:r w:rsidR="00F82D29">
        <w:t>.</w:t>
      </w:r>
      <w:r w:rsidRPr="006F2DBA">
        <w:t xml:space="preserve"> </w:t>
      </w:r>
      <w:r w:rsidR="00530B2F" w:rsidRPr="00530B2F">
        <w:t xml:space="preserve">The sponsor acknowledged that the AL amyloidosis prevalent population in the financial estimates </w:t>
      </w:r>
      <w:r w:rsidR="00F82D29">
        <w:t>wa</w:t>
      </w:r>
      <w:r w:rsidR="00530B2F" w:rsidRPr="00530B2F">
        <w:t>s lower than the prevalence estimate in the US by Quock et al. (2018)</w:t>
      </w:r>
      <w:r w:rsidR="006E773E">
        <w:rPr>
          <w:rStyle w:val="FootnoteReference"/>
        </w:rPr>
        <w:footnoteReference w:id="4"/>
      </w:r>
      <w:r w:rsidR="002E67E4">
        <w:t xml:space="preserve"> which was</w:t>
      </w:r>
      <w:r w:rsidR="00530B2F" w:rsidRPr="00530B2F">
        <w:t xml:space="preserve"> based on hospitalisation claims for any type of amyloidosis, and included a larger proportion of patients aged ≥</w:t>
      </w:r>
      <w:r w:rsidR="00F82D29">
        <w:t xml:space="preserve"> </w:t>
      </w:r>
      <w:r w:rsidR="00530B2F" w:rsidRPr="00530B2F">
        <w:t xml:space="preserve">65 years compared with the US population. In comparison, the submission estimate was derived using Australian data </w:t>
      </w:r>
      <w:r w:rsidR="002E67E4">
        <w:t>from</w:t>
      </w:r>
      <w:r w:rsidR="00530B2F" w:rsidRPr="00530B2F">
        <w:t xml:space="preserve"> histopathology reports. </w:t>
      </w:r>
    </w:p>
    <w:p w14:paraId="3102A06B" w14:textId="77777777" w:rsidR="006F2DBA" w:rsidRPr="006F2DBA" w:rsidRDefault="006F2DBA" w:rsidP="0070637E">
      <w:pPr>
        <w:pStyle w:val="ListBullet"/>
        <w:numPr>
          <w:ilvl w:val="0"/>
          <w:numId w:val="4"/>
        </w:numPr>
        <w:spacing w:after="120"/>
        <w:ind w:left="1134" w:hanging="357"/>
      </w:pPr>
      <w:r w:rsidRPr="006F2DBA">
        <w:t xml:space="preserve">The submission did not adjust the estimates to account for patients with a concurrent diagnosis of </w:t>
      </w:r>
      <w:r w:rsidR="0028089A">
        <w:t>MM</w:t>
      </w:r>
      <w:r w:rsidRPr="006F2DBA">
        <w:t xml:space="preserve"> </w:t>
      </w:r>
      <w:r w:rsidR="00EB66F6">
        <w:t xml:space="preserve">(up to 15% of MM patients will develop symptomatic AL amyloidosis) </w:t>
      </w:r>
      <w:r w:rsidRPr="006F2DBA">
        <w:t xml:space="preserve">that already have access to daratumumab via the PBS. </w:t>
      </w:r>
    </w:p>
    <w:p w14:paraId="4CD104F5" w14:textId="77777777" w:rsidR="005F6A8C" w:rsidRPr="005F6A8C" w:rsidRDefault="006F2DBA" w:rsidP="00A32FD9">
      <w:pPr>
        <w:pStyle w:val="3-BodyText"/>
      </w:pPr>
      <w:r w:rsidRPr="006F2DBA">
        <w:t xml:space="preserve">There was a </w:t>
      </w:r>
      <w:r w:rsidR="00E54327">
        <w:t>‘</w:t>
      </w:r>
      <w:r w:rsidRPr="006F2DBA">
        <w:t>grandfather</w:t>
      </w:r>
      <w:r w:rsidR="00E54327">
        <w:t>’</w:t>
      </w:r>
      <w:r w:rsidRPr="006F2DBA">
        <w:t xml:space="preserve"> restriction in Section 1.4 of the listing. The estimation of these patients was not explicitly incorporated into the financial estimates</w:t>
      </w:r>
      <w:r w:rsidR="00F82D29">
        <w:t>.</w:t>
      </w:r>
      <w:r w:rsidRPr="006F2DBA">
        <w:t xml:space="preserve"> </w:t>
      </w:r>
    </w:p>
    <w:p w14:paraId="09B80DEA" w14:textId="77777777" w:rsidR="00432B96" w:rsidRPr="00C9624D" w:rsidRDefault="30C3C8E9" w:rsidP="00432B96">
      <w:pPr>
        <w:pStyle w:val="4-SubsectionHeading"/>
      </w:pPr>
      <w:r>
        <w:t>Quality Use of Medicines</w:t>
      </w:r>
      <w:bookmarkEnd w:id="63"/>
    </w:p>
    <w:p w14:paraId="74FA747D" w14:textId="77777777" w:rsidR="00432B96" w:rsidRPr="002A770B" w:rsidRDefault="30C3C8E9" w:rsidP="57626B43">
      <w:pPr>
        <w:pStyle w:val="3-BodyText"/>
      </w:pPr>
      <w:r w:rsidRPr="002A770B">
        <w:t>The sponsor noted that the quality use of daratumumab factors for AL amyloidosis are that outcomes are regularly monitored, and the risks of misuse and/or overuse will be minimised. The submission did not provide any education materials in the submission but noted the responsibilities for the appropriate use of daratumumab in practice.</w:t>
      </w:r>
    </w:p>
    <w:p w14:paraId="4753DF3D" w14:textId="77777777" w:rsidR="00432B96" w:rsidRPr="00C9624D" w:rsidRDefault="30C3C8E9" w:rsidP="00432B96">
      <w:pPr>
        <w:pStyle w:val="4-SubsectionHeading"/>
      </w:pPr>
      <w:bookmarkStart w:id="64" w:name="_Toc82436617"/>
      <w:r>
        <w:t>Financial Management – Risk Sharing Arrangements</w:t>
      </w:r>
      <w:bookmarkEnd w:id="64"/>
    </w:p>
    <w:p w14:paraId="77A7FC80" w14:textId="77777777" w:rsidR="00432B96" w:rsidRDefault="30C3C8E9" w:rsidP="00432B96">
      <w:pPr>
        <w:pStyle w:val="3-BodyText"/>
      </w:pPr>
      <w:r>
        <w:t>The sponsor proposed a Risk-Sharing Arrangement (RSA) with annual subsidisation caps set at the level of the base case utilisation estimates presented in th</w:t>
      </w:r>
      <w:r w:rsidR="004E0DBB">
        <w:t>e</w:t>
      </w:r>
      <w:r>
        <w:t xml:space="preserve"> submission. A rebate rate of </w:t>
      </w:r>
      <w:r w:rsidR="008E6972">
        <w:rPr>
          <w:noProof/>
          <w:color w:val="000000"/>
          <w:highlight w:val="black"/>
        </w:rPr>
        <w:t>'''''</w:t>
      </w:r>
      <w:r>
        <w:t xml:space="preserve">% for the Commonwealth Payment above the annual subsidisation cap was proposed. The value of the </w:t>
      </w:r>
      <w:r w:rsidR="00DF062E">
        <w:t xml:space="preserve">proposed </w:t>
      </w:r>
      <w:r>
        <w:t>subsidisation cap amounts to a total of $</w:t>
      </w:r>
      <w:r w:rsidR="00A3574C">
        <w:t>80 million to &lt; $90</w:t>
      </w:r>
      <w:r>
        <w:t>million over the five-year RSA period</w:t>
      </w:r>
      <w:r w:rsidR="00087013">
        <w:t>, based on the PSCR utilisation estimates</w:t>
      </w:r>
      <w:r>
        <w:t>.</w:t>
      </w:r>
      <w:r w:rsidR="005174A1">
        <w:t xml:space="preserve"> </w:t>
      </w:r>
    </w:p>
    <w:p w14:paraId="028EB66F" w14:textId="77777777" w:rsidR="00D0259C" w:rsidRDefault="001B7A84" w:rsidP="00432B96">
      <w:pPr>
        <w:pStyle w:val="3-BodyText"/>
      </w:pPr>
      <w:r>
        <w:t>The p</w:t>
      </w:r>
      <w:r w:rsidR="00D0259C">
        <w:t xml:space="preserve">re-PBAC response </w:t>
      </w:r>
      <w:r w:rsidR="00645EE5">
        <w:t xml:space="preserve">reiterated that the sponsor </w:t>
      </w:r>
      <w:r w:rsidR="00645EE5" w:rsidRPr="002B7922">
        <w:rPr>
          <w:rFonts w:cstheme="minorHAnsi"/>
          <w:bCs/>
          <w:szCs w:val="22"/>
        </w:rPr>
        <w:t>does not consider it appropriate to exclude patients with a concurrent diagnosis of MM from the estimates.</w:t>
      </w:r>
    </w:p>
    <w:p w14:paraId="37F98496" w14:textId="77777777" w:rsidR="00432B96" w:rsidRPr="00225770" w:rsidRDefault="30C3C8E9" w:rsidP="001924C7">
      <w:pPr>
        <w:pStyle w:val="Caption"/>
      </w:pPr>
      <w:r w:rsidRPr="00225770">
        <w:t xml:space="preserve">Table </w:t>
      </w:r>
      <w:r w:rsidR="008A0743">
        <w:rPr>
          <w:noProof/>
        </w:rPr>
        <w:t>2</w:t>
      </w:r>
      <w:r w:rsidR="00D772F5">
        <w:rPr>
          <w:noProof/>
        </w:rPr>
        <w:t>2</w:t>
      </w:r>
      <w:r w:rsidRPr="00225770">
        <w:t>: Risk-sharing arrangement for daratumumab SC in AL amyloidosis</w:t>
      </w:r>
    </w:p>
    <w:tbl>
      <w:tblPr>
        <w:tblW w:w="5185" w:type="pct"/>
        <w:tblLayout w:type="fixed"/>
        <w:tblCellMar>
          <w:left w:w="28" w:type="dxa"/>
          <w:right w:w="28" w:type="dxa"/>
        </w:tblCellMar>
        <w:tblLook w:val="04A0" w:firstRow="1" w:lastRow="0" w:firstColumn="1" w:lastColumn="0" w:noHBand="0" w:noVBand="1"/>
        <w:tblCaption w:val="Table 22: Risk-sharing arrangement for daratumumab SC in AL amyloidosis"/>
      </w:tblPr>
      <w:tblGrid>
        <w:gridCol w:w="2548"/>
        <w:gridCol w:w="1134"/>
        <w:gridCol w:w="1133"/>
        <w:gridCol w:w="1131"/>
        <w:gridCol w:w="1135"/>
        <w:gridCol w:w="1133"/>
        <w:gridCol w:w="1137"/>
      </w:tblGrid>
      <w:tr w:rsidR="00432B96" w:rsidRPr="006D73C9" w14:paraId="1C12128F" w14:textId="77777777" w:rsidTr="00A3574C">
        <w:trPr>
          <w:trHeight w:val="255"/>
        </w:trPr>
        <w:tc>
          <w:tcPr>
            <w:tcW w:w="1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342D" w14:textId="77777777" w:rsidR="00432B96" w:rsidRPr="006D73C9" w:rsidRDefault="30C3C8E9" w:rsidP="00225770">
            <w:pPr>
              <w:pStyle w:val="TableText0"/>
            </w:pPr>
            <w:r>
              <w:t>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57BE9057" w14:textId="77777777" w:rsidR="00432B96" w:rsidRPr="006D73C9" w:rsidRDefault="30C3C8E9" w:rsidP="00225770">
            <w:pPr>
              <w:pStyle w:val="TableText0"/>
              <w:rPr>
                <w:b/>
              </w:rPr>
            </w:pPr>
            <w:r w:rsidRPr="57626B43">
              <w:rPr>
                <w:b/>
              </w:rPr>
              <w:t>Year 1</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44B44C52" w14:textId="77777777" w:rsidR="00432B96" w:rsidRPr="006D73C9" w:rsidRDefault="30C3C8E9" w:rsidP="00225770">
            <w:pPr>
              <w:pStyle w:val="TableText0"/>
              <w:rPr>
                <w:b/>
              </w:rPr>
            </w:pPr>
            <w:r w:rsidRPr="57626B43">
              <w:rPr>
                <w:b/>
              </w:rPr>
              <w:t>Year 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53E0C326" w14:textId="77777777" w:rsidR="00432B96" w:rsidRPr="006D73C9" w:rsidRDefault="30C3C8E9" w:rsidP="00225770">
            <w:pPr>
              <w:pStyle w:val="TableText0"/>
              <w:rPr>
                <w:b/>
              </w:rPr>
            </w:pPr>
            <w:r w:rsidRPr="57626B43">
              <w:rPr>
                <w:b/>
              </w:rPr>
              <w:t>Year 3</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70AB6F14" w14:textId="77777777" w:rsidR="00432B96" w:rsidRPr="006D73C9" w:rsidRDefault="30C3C8E9" w:rsidP="00225770">
            <w:pPr>
              <w:pStyle w:val="TableText0"/>
              <w:rPr>
                <w:b/>
              </w:rPr>
            </w:pPr>
            <w:r w:rsidRPr="57626B43">
              <w:rPr>
                <w:b/>
              </w:rPr>
              <w:t>Year 4</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7BD15024" w14:textId="77777777" w:rsidR="00432B96" w:rsidRPr="006D73C9" w:rsidRDefault="30C3C8E9" w:rsidP="00225770">
            <w:pPr>
              <w:pStyle w:val="TableText0"/>
              <w:rPr>
                <w:b/>
              </w:rPr>
            </w:pPr>
            <w:r w:rsidRPr="57626B43">
              <w:rPr>
                <w:b/>
              </w:rPr>
              <w:t>Year 5</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27FC7B47" w14:textId="77777777" w:rsidR="00432B96" w:rsidRPr="006D73C9" w:rsidRDefault="30C3C8E9" w:rsidP="00225770">
            <w:pPr>
              <w:pStyle w:val="TableText0"/>
              <w:rPr>
                <w:b/>
              </w:rPr>
            </w:pPr>
            <w:r w:rsidRPr="57626B43">
              <w:rPr>
                <w:b/>
              </w:rPr>
              <w:t>Year 1-5</w:t>
            </w:r>
          </w:p>
        </w:tc>
      </w:tr>
      <w:tr w:rsidR="00432B96" w:rsidRPr="006D73C9" w14:paraId="25D7D176" w14:textId="77777777" w:rsidTr="00A3574C">
        <w:trPr>
          <w:trHeight w:val="255"/>
        </w:trPr>
        <w:tc>
          <w:tcPr>
            <w:tcW w:w="1362" w:type="pct"/>
            <w:tcBorders>
              <w:top w:val="nil"/>
              <w:left w:val="single" w:sz="4" w:space="0" w:color="auto"/>
              <w:bottom w:val="single" w:sz="4" w:space="0" w:color="auto"/>
              <w:right w:val="single" w:sz="4" w:space="0" w:color="auto"/>
            </w:tcBorders>
            <w:shd w:val="clear" w:color="auto" w:fill="auto"/>
            <w:noWrap/>
            <w:vAlign w:val="center"/>
            <w:hideMark/>
          </w:tcPr>
          <w:p w14:paraId="7C5EC187" w14:textId="77777777" w:rsidR="00432B96" w:rsidRPr="006D73C9" w:rsidRDefault="30C3C8E9" w:rsidP="00225770">
            <w:pPr>
              <w:pStyle w:val="TableText0"/>
            </w:pPr>
            <w:r>
              <w:t>Number of daratumumab SC scripts</w:t>
            </w:r>
          </w:p>
        </w:tc>
        <w:tc>
          <w:tcPr>
            <w:tcW w:w="606" w:type="pct"/>
            <w:tcBorders>
              <w:top w:val="nil"/>
              <w:left w:val="nil"/>
              <w:bottom w:val="single" w:sz="4" w:space="0" w:color="auto"/>
              <w:right w:val="single" w:sz="4" w:space="0" w:color="auto"/>
            </w:tcBorders>
            <w:shd w:val="clear" w:color="auto" w:fill="auto"/>
            <w:noWrap/>
            <w:vAlign w:val="center"/>
            <w:hideMark/>
          </w:tcPr>
          <w:p w14:paraId="5A33401E"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7B2FA446"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5" w:type="pct"/>
            <w:tcBorders>
              <w:top w:val="nil"/>
              <w:left w:val="nil"/>
              <w:bottom w:val="single" w:sz="4" w:space="0" w:color="auto"/>
              <w:right w:val="single" w:sz="4" w:space="0" w:color="auto"/>
            </w:tcBorders>
            <w:shd w:val="clear" w:color="auto" w:fill="auto"/>
            <w:noWrap/>
            <w:vAlign w:val="center"/>
            <w:hideMark/>
          </w:tcPr>
          <w:p w14:paraId="6DBE086A"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7" w:type="pct"/>
            <w:tcBorders>
              <w:top w:val="nil"/>
              <w:left w:val="nil"/>
              <w:bottom w:val="single" w:sz="4" w:space="0" w:color="auto"/>
              <w:right w:val="single" w:sz="4" w:space="0" w:color="auto"/>
            </w:tcBorders>
            <w:shd w:val="clear" w:color="auto" w:fill="auto"/>
            <w:noWrap/>
            <w:vAlign w:val="center"/>
            <w:hideMark/>
          </w:tcPr>
          <w:p w14:paraId="2E55B56F"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291E1E98" w14:textId="77777777" w:rsidR="00432B96" w:rsidRPr="008E6972" w:rsidRDefault="008E6972" w:rsidP="00135C04">
            <w:pPr>
              <w:pStyle w:val="TableText0"/>
              <w:jc w:val="center"/>
            </w:pPr>
            <w:r>
              <w:rPr>
                <w:noProof/>
                <w:color w:val="000000"/>
                <w:highlight w:val="black"/>
              </w:rPr>
              <w:t>''''''''''''</w:t>
            </w:r>
            <w:r w:rsidR="00A3574C">
              <w:rPr>
                <w:vertAlign w:val="superscript"/>
              </w:rPr>
              <w:t>1</w:t>
            </w:r>
          </w:p>
        </w:tc>
        <w:tc>
          <w:tcPr>
            <w:tcW w:w="607" w:type="pct"/>
            <w:tcBorders>
              <w:top w:val="nil"/>
              <w:left w:val="nil"/>
              <w:bottom w:val="single" w:sz="4" w:space="0" w:color="auto"/>
              <w:right w:val="single" w:sz="4" w:space="0" w:color="auto"/>
            </w:tcBorders>
            <w:shd w:val="clear" w:color="auto" w:fill="auto"/>
            <w:noWrap/>
            <w:vAlign w:val="center"/>
            <w:hideMark/>
          </w:tcPr>
          <w:p w14:paraId="03887AB3" w14:textId="77777777" w:rsidR="00432B96" w:rsidRPr="008E6972" w:rsidRDefault="008E6972" w:rsidP="00135C04">
            <w:pPr>
              <w:pStyle w:val="TableText0"/>
              <w:jc w:val="center"/>
            </w:pPr>
            <w:r>
              <w:rPr>
                <w:noProof/>
                <w:color w:val="000000"/>
                <w:highlight w:val="black"/>
              </w:rPr>
              <w:t>''''''''''''''''</w:t>
            </w:r>
            <w:r w:rsidR="00A3574C">
              <w:rPr>
                <w:vertAlign w:val="superscript"/>
              </w:rPr>
              <w:t>1</w:t>
            </w:r>
          </w:p>
        </w:tc>
      </w:tr>
      <w:tr w:rsidR="00432B96" w:rsidRPr="006D73C9" w14:paraId="5BC1637F" w14:textId="77777777" w:rsidTr="00A3574C">
        <w:trPr>
          <w:trHeight w:val="255"/>
        </w:trPr>
        <w:tc>
          <w:tcPr>
            <w:tcW w:w="1362" w:type="pct"/>
            <w:tcBorders>
              <w:top w:val="nil"/>
              <w:left w:val="single" w:sz="4" w:space="0" w:color="auto"/>
              <w:bottom w:val="single" w:sz="4" w:space="0" w:color="auto"/>
              <w:right w:val="single" w:sz="4" w:space="0" w:color="auto"/>
            </w:tcBorders>
            <w:shd w:val="clear" w:color="auto" w:fill="auto"/>
            <w:noWrap/>
            <w:vAlign w:val="center"/>
            <w:hideMark/>
          </w:tcPr>
          <w:p w14:paraId="638B6AB1" w14:textId="77777777" w:rsidR="00432B96" w:rsidRPr="006D73C9" w:rsidRDefault="30C3C8E9" w:rsidP="00225770">
            <w:pPr>
              <w:pStyle w:val="TableText0"/>
              <w:rPr>
                <w:b/>
              </w:rPr>
            </w:pPr>
            <w:r w:rsidRPr="57626B43">
              <w:rPr>
                <w:b/>
              </w:rPr>
              <w:t>Commonwealth Payment (value of the subsidisation cap)</w:t>
            </w:r>
          </w:p>
        </w:tc>
        <w:tc>
          <w:tcPr>
            <w:tcW w:w="606" w:type="pct"/>
            <w:tcBorders>
              <w:top w:val="nil"/>
              <w:left w:val="nil"/>
              <w:bottom w:val="single" w:sz="4" w:space="0" w:color="auto"/>
              <w:right w:val="single" w:sz="4" w:space="0" w:color="auto"/>
            </w:tcBorders>
            <w:shd w:val="clear" w:color="auto" w:fill="auto"/>
            <w:noWrap/>
            <w:vAlign w:val="center"/>
            <w:hideMark/>
          </w:tcPr>
          <w:p w14:paraId="7688E56F"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7CD6CB0E"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5" w:type="pct"/>
            <w:tcBorders>
              <w:top w:val="nil"/>
              <w:left w:val="nil"/>
              <w:bottom w:val="single" w:sz="4" w:space="0" w:color="auto"/>
              <w:right w:val="single" w:sz="4" w:space="0" w:color="auto"/>
            </w:tcBorders>
            <w:shd w:val="clear" w:color="auto" w:fill="auto"/>
            <w:noWrap/>
            <w:vAlign w:val="center"/>
            <w:hideMark/>
          </w:tcPr>
          <w:p w14:paraId="5738E27A"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7" w:type="pct"/>
            <w:tcBorders>
              <w:top w:val="nil"/>
              <w:left w:val="nil"/>
              <w:bottom w:val="single" w:sz="4" w:space="0" w:color="auto"/>
              <w:right w:val="single" w:sz="4" w:space="0" w:color="auto"/>
            </w:tcBorders>
            <w:shd w:val="clear" w:color="auto" w:fill="auto"/>
            <w:noWrap/>
            <w:vAlign w:val="center"/>
            <w:hideMark/>
          </w:tcPr>
          <w:p w14:paraId="3C554F0B"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2FC621FA" w14:textId="77777777" w:rsidR="00432B96" w:rsidRPr="008E6972" w:rsidRDefault="008E6972" w:rsidP="00135C04">
            <w:pPr>
              <w:pStyle w:val="TableText0"/>
              <w:jc w:val="center"/>
            </w:pPr>
            <w:r>
              <w:rPr>
                <w:b/>
                <w:noProof/>
                <w:color w:val="000000"/>
                <w:highlight w:val="black"/>
              </w:rPr>
              <w:t>'''''''''''''''''''''''''</w:t>
            </w:r>
            <w:r w:rsidR="00A3574C">
              <w:rPr>
                <w:vertAlign w:val="superscript"/>
              </w:rPr>
              <w:t>3</w:t>
            </w:r>
          </w:p>
        </w:tc>
        <w:tc>
          <w:tcPr>
            <w:tcW w:w="607" w:type="pct"/>
            <w:tcBorders>
              <w:top w:val="nil"/>
              <w:left w:val="nil"/>
              <w:bottom w:val="single" w:sz="4" w:space="0" w:color="auto"/>
              <w:right w:val="single" w:sz="4" w:space="0" w:color="auto"/>
            </w:tcBorders>
            <w:shd w:val="clear" w:color="auto" w:fill="auto"/>
            <w:noWrap/>
            <w:vAlign w:val="center"/>
            <w:hideMark/>
          </w:tcPr>
          <w:p w14:paraId="5F124A83" w14:textId="77777777" w:rsidR="00432B96" w:rsidRPr="008E6972" w:rsidRDefault="008E6972" w:rsidP="00135C04">
            <w:pPr>
              <w:pStyle w:val="TableText0"/>
              <w:jc w:val="center"/>
              <w:rPr>
                <w:b/>
              </w:rPr>
            </w:pPr>
            <w:r>
              <w:rPr>
                <w:b/>
                <w:noProof/>
                <w:color w:val="000000"/>
                <w:highlight w:val="black"/>
              </w:rPr>
              <w:t>'''''''''''''''''''''</w:t>
            </w:r>
            <w:r w:rsidR="00A3574C">
              <w:rPr>
                <w:vertAlign w:val="superscript"/>
              </w:rPr>
              <w:t>4</w:t>
            </w:r>
          </w:p>
        </w:tc>
      </w:tr>
      <w:tr w:rsidR="00087013" w:rsidRPr="006D73C9" w14:paraId="61FA9F62" w14:textId="77777777" w:rsidTr="00A3574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512EC29" w14:textId="77777777" w:rsidR="00087013" w:rsidRPr="57626B43" w:rsidRDefault="00087013" w:rsidP="00225770">
            <w:pPr>
              <w:pStyle w:val="TableText0"/>
              <w:rPr>
                <w:b/>
              </w:rPr>
            </w:pPr>
            <w:r>
              <w:rPr>
                <w:b/>
              </w:rPr>
              <w:t xml:space="preserve">PSCR updated values (includes </w:t>
            </w:r>
            <w:r>
              <w:rPr>
                <w:b/>
                <w:bCs w:val="0"/>
              </w:rPr>
              <w:t>dual program listings and Mayo Stage IIIB patients)</w:t>
            </w:r>
          </w:p>
        </w:tc>
      </w:tr>
      <w:tr w:rsidR="00E44DE0" w:rsidRPr="006D73C9" w14:paraId="0D313074" w14:textId="77777777" w:rsidTr="00A3574C">
        <w:trPr>
          <w:trHeight w:val="255"/>
        </w:trPr>
        <w:tc>
          <w:tcPr>
            <w:tcW w:w="1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15F2C" w14:textId="77777777" w:rsidR="00E44DE0" w:rsidRPr="57626B43" w:rsidRDefault="00E44DE0" w:rsidP="00E44DE0">
            <w:pPr>
              <w:pStyle w:val="TableText0"/>
              <w:rPr>
                <w:b/>
              </w:rPr>
            </w:pPr>
            <w:r>
              <w:t>Number of daratumumab SC scripts</w:t>
            </w:r>
          </w:p>
        </w:tc>
        <w:tc>
          <w:tcPr>
            <w:tcW w:w="606" w:type="pct"/>
            <w:tcBorders>
              <w:top w:val="single" w:sz="4" w:space="0" w:color="auto"/>
              <w:left w:val="nil"/>
              <w:bottom w:val="single" w:sz="4" w:space="0" w:color="auto"/>
              <w:right w:val="single" w:sz="4" w:space="0" w:color="auto"/>
            </w:tcBorders>
            <w:shd w:val="clear" w:color="auto" w:fill="auto"/>
            <w:noWrap/>
          </w:tcPr>
          <w:p w14:paraId="236CFC65"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6" w:type="pct"/>
            <w:tcBorders>
              <w:top w:val="single" w:sz="4" w:space="0" w:color="auto"/>
              <w:left w:val="nil"/>
              <w:bottom w:val="single" w:sz="4" w:space="0" w:color="auto"/>
              <w:right w:val="single" w:sz="4" w:space="0" w:color="auto"/>
            </w:tcBorders>
            <w:shd w:val="clear" w:color="auto" w:fill="auto"/>
            <w:noWrap/>
          </w:tcPr>
          <w:p w14:paraId="271B6744"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5" w:type="pct"/>
            <w:tcBorders>
              <w:top w:val="single" w:sz="4" w:space="0" w:color="auto"/>
              <w:left w:val="nil"/>
              <w:bottom w:val="single" w:sz="4" w:space="0" w:color="auto"/>
              <w:right w:val="single" w:sz="4" w:space="0" w:color="auto"/>
            </w:tcBorders>
            <w:shd w:val="clear" w:color="auto" w:fill="auto"/>
            <w:noWrap/>
          </w:tcPr>
          <w:p w14:paraId="6155547F"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7" w:type="pct"/>
            <w:tcBorders>
              <w:top w:val="single" w:sz="4" w:space="0" w:color="auto"/>
              <w:left w:val="nil"/>
              <w:bottom w:val="single" w:sz="4" w:space="0" w:color="auto"/>
              <w:right w:val="single" w:sz="4" w:space="0" w:color="auto"/>
            </w:tcBorders>
            <w:shd w:val="clear" w:color="auto" w:fill="auto"/>
            <w:noWrap/>
          </w:tcPr>
          <w:p w14:paraId="21978034"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6" w:type="pct"/>
            <w:tcBorders>
              <w:top w:val="single" w:sz="4" w:space="0" w:color="auto"/>
              <w:left w:val="nil"/>
              <w:bottom w:val="single" w:sz="4" w:space="0" w:color="auto"/>
              <w:right w:val="single" w:sz="4" w:space="0" w:color="auto"/>
            </w:tcBorders>
            <w:shd w:val="clear" w:color="auto" w:fill="auto"/>
            <w:noWrap/>
          </w:tcPr>
          <w:p w14:paraId="4C1E0C3A" w14:textId="77777777" w:rsidR="00E44DE0" w:rsidRPr="008E6972" w:rsidRDefault="008E6972" w:rsidP="00135C04">
            <w:pPr>
              <w:pStyle w:val="TableText0"/>
              <w:jc w:val="center"/>
              <w:rPr>
                <w:b/>
              </w:rPr>
            </w:pPr>
            <w:r>
              <w:rPr>
                <w:noProof/>
                <w:color w:val="000000"/>
                <w:highlight w:val="black"/>
              </w:rPr>
              <w:t>''''''''''''''</w:t>
            </w:r>
            <w:r w:rsidR="00A3574C">
              <w:rPr>
                <w:vertAlign w:val="superscript"/>
              </w:rPr>
              <w:t>1</w:t>
            </w:r>
          </w:p>
        </w:tc>
        <w:tc>
          <w:tcPr>
            <w:tcW w:w="607" w:type="pct"/>
            <w:tcBorders>
              <w:top w:val="single" w:sz="4" w:space="0" w:color="auto"/>
              <w:left w:val="nil"/>
              <w:bottom w:val="single" w:sz="4" w:space="0" w:color="auto"/>
              <w:right w:val="single" w:sz="4" w:space="0" w:color="auto"/>
            </w:tcBorders>
            <w:shd w:val="clear" w:color="auto" w:fill="auto"/>
            <w:noWrap/>
          </w:tcPr>
          <w:p w14:paraId="37C7F5E5" w14:textId="77777777" w:rsidR="00E44DE0" w:rsidRPr="008E6972" w:rsidRDefault="008E6972" w:rsidP="00135C04">
            <w:pPr>
              <w:pStyle w:val="TableText0"/>
              <w:jc w:val="center"/>
              <w:rPr>
                <w:bCs w:val="0"/>
              </w:rPr>
            </w:pPr>
            <w:r>
              <w:rPr>
                <w:bCs w:val="0"/>
                <w:noProof/>
                <w:color w:val="000000"/>
                <w:highlight w:val="black"/>
              </w:rPr>
              <w:t>''''''''''''''''</w:t>
            </w:r>
            <w:r w:rsidR="00A3574C">
              <w:rPr>
                <w:vertAlign w:val="superscript"/>
              </w:rPr>
              <w:t>2</w:t>
            </w:r>
          </w:p>
        </w:tc>
      </w:tr>
      <w:tr w:rsidR="00E44DE0" w:rsidRPr="006D73C9" w14:paraId="1382BD25" w14:textId="77777777" w:rsidTr="00A3574C">
        <w:trPr>
          <w:trHeight w:val="255"/>
        </w:trPr>
        <w:tc>
          <w:tcPr>
            <w:tcW w:w="1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C98F3" w14:textId="77777777" w:rsidR="00E44DE0" w:rsidRPr="57626B43" w:rsidRDefault="00E44DE0" w:rsidP="00E44DE0">
            <w:pPr>
              <w:pStyle w:val="TableText0"/>
              <w:rPr>
                <w:b/>
              </w:rPr>
            </w:pPr>
            <w:r w:rsidRPr="57626B43">
              <w:rPr>
                <w:b/>
              </w:rPr>
              <w:t>Commonwealth Payment (value of the subsidisation cap)</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B246EB4"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FB7D3B8"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7A421C12"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553BE3D6"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75A067F9" w14:textId="77777777" w:rsidR="00E44DE0" w:rsidRPr="008E6972" w:rsidRDefault="008E6972" w:rsidP="00135C04">
            <w:pPr>
              <w:pStyle w:val="TableText0"/>
              <w:jc w:val="center"/>
              <w:rPr>
                <w:b/>
              </w:rPr>
            </w:pPr>
            <w:r>
              <w:rPr>
                <w:b/>
                <w:noProof/>
                <w:color w:val="000000"/>
                <w:highlight w:val="black"/>
              </w:rPr>
              <w:t>'''''''''''''''''''''''''</w:t>
            </w:r>
            <w:r w:rsidR="00A3574C">
              <w:rPr>
                <w:vertAlign w:val="superscript"/>
              </w:rPr>
              <w:t>3</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25C1B67E" w14:textId="77777777" w:rsidR="00E44DE0" w:rsidRPr="008E6972" w:rsidRDefault="008E6972" w:rsidP="00135C04">
            <w:pPr>
              <w:pStyle w:val="TableText0"/>
              <w:jc w:val="center"/>
              <w:rPr>
                <w:b/>
              </w:rPr>
            </w:pPr>
            <w:r>
              <w:rPr>
                <w:b/>
                <w:noProof/>
                <w:color w:val="000000"/>
                <w:highlight w:val="black"/>
              </w:rPr>
              <w:t>''''''''''''''''''''''''</w:t>
            </w:r>
            <w:r w:rsidR="00A3574C">
              <w:rPr>
                <w:vertAlign w:val="superscript"/>
              </w:rPr>
              <w:t>5</w:t>
            </w:r>
          </w:p>
        </w:tc>
      </w:tr>
    </w:tbl>
    <w:p w14:paraId="199EDEDA" w14:textId="77777777" w:rsidR="00432B96" w:rsidRDefault="30C3C8E9" w:rsidP="00970037">
      <w:pPr>
        <w:pStyle w:val="TableFigureFooter"/>
        <w:keepNext/>
      </w:pPr>
      <w:r>
        <w:t>Source: Table 4.13, p.297 of the submission.</w:t>
      </w:r>
    </w:p>
    <w:p w14:paraId="7ED823B0" w14:textId="77777777" w:rsidR="00A3574C" w:rsidRPr="00A3574C" w:rsidRDefault="00A3574C" w:rsidP="00970037">
      <w:pPr>
        <w:pStyle w:val="TableFigureFooter"/>
        <w:keepNext/>
        <w:rPr>
          <w:i/>
        </w:rPr>
      </w:pPr>
      <w:r w:rsidRPr="00A3574C">
        <w:rPr>
          <w:i/>
        </w:rPr>
        <w:t>The redacted values correspond to the following ranges:</w:t>
      </w:r>
    </w:p>
    <w:p w14:paraId="44DE169E" w14:textId="77777777" w:rsidR="00A3574C" w:rsidRPr="00A3574C" w:rsidRDefault="00A3574C" w:rsidP="00970037">
      <w:pPr>
        <w:pStyle w:val="TableFigureFooter"/>
        <w:keepNext/>
        <w:rPr>
          <w:i/>
        </w:rPr>
      </w:pPr>
      <w:r w:rsidRPr="00A3574C">
        <w:rPr>
          <w:i/>
          <w:vertAlign w:val="superscript"/>
        </w:rPr>
        <w:t>1</w:t>
      </w:r>
      <w:r w:rsidRPr="00A3574C">
        <w:rPr>
          <w:i/>
        </w:rPr>
        <w:t xml:space="preserve"> 500 to &lt; 5,000</w:t>
      </w:r>
    </w:p>
    <w:p w14:paraId="171672A8" w14:textId="77777777" w:rsidR="00A3574C" w:rsidRPr="00A3574C" w:rsidRDefault="00A3574C" w:rsidP="00970037">
      <w:pPr>
        <w:pStyle w:val="TableFigureFooter"/>
        <w:keepNext/>
        <w:rPr>
          <w:i/>
        </w:rPr>
      </w:pPr>
      <w:r w:rsidRPr="00A3574C">
        <w:rPr>
          <w:i/>
          <w:vertAlign w:val="superscript"/>
        </w:rPr>
        <w:t>2</w:t>
      </w:r>
      <w:r w:rsidRPr="00A3574C">
        <w:rPr>
          <w:i/>
        </w:rPr>
        <w:t xml:space="preserve"> 20,000 to &lt; 30,000</w:t>
      </w:r>
    </w:p>
    <w:p w14:paraId="533966E7" w14:textId="77777777" w:rsidR="00A3574C" w:rsidRPr="00A3574C" w:rsidRDefault="00A3574C" w:rsidP="00970037">
      <w:pPr>
        <w:pStyle w:val="TableFigureFooter"/>
        <w:keepNext/>
        <w:rPr>
          <w:i/>
        </w:rPr>
      </w:pPr>
      <w:r w:rsidRPr="00A3574C">
        <w:rPr>
          <w:i/>
          <w:vertAlign w:val="superscript"/>
        </w:rPr>
        <w:t>3</w:t>
      </w:r>
      <w:r w:rsidRPr="00A3574C">
        <w:rPr>
          <w:i/>
        </w:rPr>
        <w:t xml:space="preserve"> $10 million to &lt; $20 million</w:t>
      </w:r>
    </w:p>
    <w:p w14:paraId="5C2D9DE2" w14:textId="77777777" w:rsidR="00A3574C" w:rsidRPr="00A3574C" w:rsidRDefault="00A3574C" w:rsidP="00970037">
      <w:pPr>
        <w:pStyle w:val="TableFigureFooter"/>
        <w:keepNext/>
        <w:rPr>
          <w:i/>
        </w:rPr>
      </w:pPr>
      <w:r w:rsidRPr="00A3574C">
        <w:rPr>
          <w:i/>
          <w:vertAlign w:val="superscript"/>
        </w:rPr>
        <w:t>4</w:t>
      </w:r>
      <w:r w:rsidRPr="00A3574C">
        <w:rPr>
          <w:i/>
        </w:rPr>
        <w:t xml:space="preserve"> $70 million to &lt; $80 million</w:t>
      </w:r>
    </w:p>
    <w:p w14:paraId="5D0ECB81" w14:textId="77777777" w:rsidR="00A3574C" w:rsidRPr="00A3574C" w:rsidRDefault="00A3574C" w:rsidP="00970037">
      <w:pPr>
        <w:pStyle w:val="TableFigureFooter"/>
        <w:keepNext/>
        <w:rPr>
          <w:i/>
        </w:rPr>
      </w:pPr>
      <w:r w:rsidRPr="00A3574C">
        <w:rPr>
          <w:i/>
          <w:vertAlign w:val="superscript"/>
        </w:rPr>
        <w:t>5</w:t>
      </w:r>
      <w:r w:rsidRPr="00A3574C">
        <w:rPr>
          <w:i/>
        </w:rPr>
        <w:t xml:space="preserve"> $80 million to &lt; $90 million</w:t>
      </w:r>
    </w:p>
    <w:p w14:paraId="1BA1FCFD" w14:textId="77777777" w:rsidR="00B30F4D" w:rsidRPr="006F2DBA" w:rsidDel="00432B96" w:rsidRDefault="006F2DBA" w:rsidP="57626B43">
      <w:pPr>
        <w:rPr>
          <w:i/>
          <w:iCs/>
        </w:rPr>
      </w:pPr>
      <w:r>
        <w:tab/>
      </w:r>
      <w:r w:rsidRPr="006F2DBA">
        <w:rPr>
          <w:i/>
          <w:iCs/>
        </w:rPr>
        <w:t>For more detail on PBAC’s view, see section 7 PBAC outcome.</w:t>
      </w:r>
    </w:p>
    <w:p w14:paraId="307349AE" w14:textId="77777777" w:rsidR="57626B43" w:rsidRDefault="57626B43">
      <w:bookmarkStart w:id="65" w:name="_Toc22897650"/>
      <w:bookmarkEnd w:id="57"/>
    </w:p>
    <w:p w14:paraId="51DE74E5" w14:textId="77777777" w:rsidR="00E66379" w:rsidRPr="0090150D" w:rsidRDefault="00E66379" w:rsidP="00E66379">
      <w:pPr>
        <w:pStyle w:val="2-SectionHeading"/>
      </w:pPr>
      <w:bookmarkStart w:id="66" w:name="_Hlk76381249"/>
      <w:bookmarkStart w:id="67" w:name="_Hlk76377955"/>
      <w:bookmarkStart w:id="68" w:name="_Toc82436621"/>
      <w:bookmarkEnd w:id="65"/>
      <w:r w:rsidRPr="0090150D">
        <w:t>PBAC Outcome</w:t>
      </w:r>
    </w:p>
    <w:p w14:paraId="5E37697B" w14:textId="77777777" w:rsidR="00991D03" w:rsidRDefault="00991D03" w:rsidP="00991D03">
      <w:pPr>
        <w:pStyle w:val="3-BodyText"/>
        <w:rPr>
          <w:lang w:val="en-GB"/>
        </w:rPr>
      </w:pPr>
      <w:r w:rsidRPr="00991D03">
        <w:rPr>
          <w:lang w:val="en-GB"/>
        </w:rPr>
        <w:t>The PBAC did not recommend daratumumab</w:t>
      </w:r>
      <w:r w:rsidR="00563388">
        <w:rPr>
          <w:lang w:val="en-GB"/>
        </w:rPr>
        <w:t xml:space="preserve"> SC</w:t>
      </w:r>
      <w:r w:rsidRPr="00991D03">
        <w:rPr>
          <w:lang w:val="en-GB"/>
        </w:rPr>
        <w:t xml:space="preserve">, for use in combination with cyclophosphamide, bortezomib and dexamethasone (CyBorD) for the treatment of patients with newly diagnosed systemic light-chain AL amyloidosis. The PBAC recognised that there are no treatments on the PBS available specifically for this condition, and it considered that the addition of daratumumab </w:t>
      </w:r>
      <w:r w:rsidR="004F0BA7">
        <w:rPr>
          <w:lang w:val="en-GB"/>
        </w:rPr>
        <w:t xml:space="preserve">SC </w:t>
      </w:r>
      <w:r w:rsidRPr="00991D03">
        <w:rPr>
          <w:lang w:val="en-GB"/>
        </w:rPr>
        <w:t>plus CyBorD offered high added therapeutic value. However, the PBAC considered that there were uncertainties in the cost-effectiveness analysis and financial estimates, particularly due to the overlap between patients with AL amyloidosis and multiple myeloma</w:t>
      </w:r>
      <w:r w:rsidR="004F0BA7">
        <w:rPr>
          <w:lang w:val="en-GB"/>
        </w:rPr>
        <w:t xml:space="preserve"> (MM)</w:t>
      </w:r>
      <w:r w:rsidRPr="00991D03">
        <w:rPr>
          <w:lang w:val="en-GB"/>
        </w:rPr>
        <w:t>. The PBAC considered that these uncertainties could be managed through a re</w:t>
      </w:r>
      <w:r>
        <w:rPr>
          <w:lang w:val="en-GB"/>
        </w:rPr>
        <w:t>-</w:t>
      </w:r>
      <w:r w:rsidRPr="00991D03">
        <w:rPr>
          <w:lang w:val="en-GB"/>
        </w:rPr>
        <w:t xml:space="preserve">specified economic analysis </w:t>
      </w:r>
      <w:r w:rsidR="004F0BA7">
        <w:rPr>
          <w:lang w:val="en-GB"/>
        </w:rPr>
        <w:t xml:space="preserve">that </w:t>
      </w:r>
      <w:r w:rsidRPr="00991D03">
        <w:rPr>
          <w:lang w:val="en-GB"/>
        </w:rPr>
        <w:t>includ</w:t>
      </w:r>
      <w:r w:rsidR="004F0BA7">
        <w:rPr>
          <w:lang w:val="en-GB"/>
        </w:rPr>
        <w:t>ed</w:t>
      </w:r>
      <w:r w:rsidRPr="00991D03">
        <w:rPr>
          <w:lang w:val="en-GB"/>
        </w:rPr>
        <w:t xml:space="preserve"> more conservative assumptions, and a risk sharing arrangement</w:t>
      </w:r>
      <w:r w:rsidR="00423ED8">
        <w:rPr>
          <w:lang w:val="en-GB"/>
        </w:rPr>
        <w:t xml:space="preserve"> (RSA)</w:t>
      </w:r>
      <w:r w:rsidRPr="00991D03">
        <w:rPr>
          <w:lang w:val="en-GB"/>
        </w:rPr>
        <w:t>.</w:t>
      </w:r>
    </w:p>
    <w:p w14:paraId="0ED669EE" w14:textId="77777777" w:rsidR="00B6596E" w:rsidRPr="00B6596E" w:rsidRDefault="00B6596E" w:rsidP="00423ED8">
      <w:pPr>
        <w:pStyle w:val="3-BodyText"/>
        <w:keepNext/>
        <w:keepLines/>
        <w:widowControl w:val="0"/>
        <w:spacing w:after="160" w:line="259" w:lineRule="auto"/>
        <w:rPr>
          <w:bCs/>
        </w:rPr>
      </w:pPr>
      <w:r w:rsidRPr="00B6596E">
        <w:rPr>
          <w:bCs/>
        </w:rPr>
        <w:t xml:space="preserve">The PBAC noted the consumer comments highlighting the poor prognosis </w:t>
      </w:r>
      <w:r w:rsidR="004F0BA7">
        <w:rPr>
          <w:bCs/>
        </w:rPr>
        <w:t xml:space="preserve">of AL amyloidosis </w:t>
      </w:r>
      <w:r w:rsidRPr="00B6596E">
        <w:rPr>
          <w:bCs/>
        </w:rPr>
        <w:t xml:space="preserve">and </w:t>
      </w:r>
      <w:r w:rsidR="004F0BA7">
        <w:rPr>
          <w:bCs/>
        </w:rPr>
        <w:t xml:space="preserve">the </w:t>
      </w:r>
      <w:r w:rsidRPr="00B6596E">
        <w:rPr>
          <w:bCs/>
        </w:rPr>
        <w:t xml:space="preserve">high </w:t>
      </w:r>
      <w:r w:rsidR="004F0BA7">
        <w:rPr>
          <w:bCs/>
        </w:rPr>
        <w:t xml:space="preserve">and </w:t>
      </w:r>
      <w:r w:rsidRPr="00B6596E">
        <w:rPr>
          <w:bCs/>
        </w:rPr>
        <w:t xml:space="preserve">unmet need </w:t>
      </w:r>
      <w:r w:rsidR="004F0BA7">
        <w:rPr>
          <w:bCs/>
        </w:rPr>
        <w:t xml:space="preserve">for effective </w:t>
      </w:r>
      <w:r w:rsidR="00975C76">
        <w:rPr>
          <w:bCs/>
        </w:rPr>
        <w:t xml:space="preserve">new </w:t>
      </w:r>
      <w:r w:rsidR="004F0BA7">
        <w:rPr>
          <w:bCs/>
        </w:rPr>
        <w:t>therapies</w:t>
      </w:r>
      <w:r w:rsidRPr="00B6596E">
        <w:rPr>
          <w:bCs/>
        </w:rPr>
        <w:t xml:space="preserve">.  The PBAC noted the comments provided in </w:t>
      </w:r>
      <w:r w:rsidR="004F0BA7">
        <w:rPr>
          <w:bCs/>
        </w:rPr>
        <w:t xml:space="preserve">the </w:t>
      </w:r>
      <w:r w:rsidRPr="00B6596E">
        <w:rPr>
          <w:bCs/>
        </w:rPr>
        <w:t xml:space="preserve">sponsor hearing that </w:t>
      </w:r>
      <w:r w:rsidRPr="00517352">
        <w:t xml:space="preserve">supported the use </w:t>
      </w:r>
      <w:r>
        <w:t>of</w:t>
      </w:r>
      <w:r w:rsidRPr="00517352">
        <w:t xml:space="preserve"> haematologic response as a surrogate endpoint for survival for patients with </w:t>
      </w:r>
      <w:r w:rsidR="004F0BA7">
        <w:t xml:space="preserve">AL </w:t>
      </w:r>
      <w:r w:rsidRPr="00517352">
        <w:t xml:space="preserve">amyloidosis.  </w:t>
      </w:r>
    </w:p>
    <w:p w14:paraId="52AA858F" w14:textId="77777777" w:rsidR="00B6596E" w:rsidRPr="00563388" w:rsidRDefault="00B6596E" w:rsidP="00563388">
      <w:pPr>
        <w:pStyle w:val="3-BodyText"/>
        <w:rPr>
          <w:bCs/>
        </w:rPr>
      </w:pPr>
      <w:r w:rsidRPr="00563388">
        <w:rPr>
          <w:bCs/>
        </w:rPr>
        <w:t xml:space="preserve">The PBAC </w:t>
      </w:r>
      <w:r w:rsidRPr="00110705">
        <w:rPr>
          <w:bCs/>
        </w:rPr>
        <w:t xml:space="preserve">advised that </w:t>
      </w:r>
      <w:r w:rsidR="004227DA" w:rsidRPr="00110705">
        <w:t>the nomination of CyBorD alone as the main comparator was reasonable given that it is the therapy most likely to be replaced in clinical practice, although</w:t>
      </w:r>
      <w:r w:rsidR="004F0BA7">
        <w:t xml:space="preserve"> bortezomib was </w:t>
      </w:r>
      <w:r w:rsidRPr="00563388">
        <w:rPr>
          <w:bCs/>
        </w:rPr>
        <w:t xml:space="preserve">not PBS listed for this indication.  The PBAC noted that </w:t>
      </w:r>
      <w:r w:rsidR="004F0BA7">
        <w:rPr>
          <w:bCs/>
        </w:rPr>
        <w:t>melphalan plus dexamethasone (</w:t>
      </w:r>
      <w:r w:rsidRPr="00563388">
        <w:rPr>
          <w:bCs/>
        </w:rPr>
        <w:t>MDex</w:t>
      </w:r>
      <w:r w:rsidR="004F0BA7">
        <w:rPr>
          <w:bCs/>
        </w:rPr>
        <w:t>), which</w:t>
      </w:r>
      <w:r w:rsidRPr="00563388">
        <w:rPr>
          <w:bCs/>
        </w:rPr>
        <w:t xml:space="preserve"> is PBS listed, </w:t>
      </w:r>
      <w:r w:rsidR="004F0BA7">
        <w:rPr>
          <w:bCs/>
        </w:rPr>
        <w:t xml:space="preserve">was nominated as a secondary comparison. The PBAC </w:t>
      </w:r>
      <w:r w:rsidR="00423ED8">
        <w:rPr>
          <w:bCs/>
        </w:rPr>
        <w:t xml:space="preserve">agreed with the submission that </w:t>
      </w:r>
      <w:r w:rsidR="004F0BA7">
        <w:rPr>
          <w:bCs/>
        </w:rPr>
        <w:t xml:space="preserve">MDex is </w:t>
      </w:r>
      <w:r w:rsidRPr="00563388">
        <w:rPr>
          <w:bCs/>
        </w:rPr>
        <w:t>used in less than 10% of patients.</w:t>
      </w:r>
    </w:p>
    <w:p w14:paraId="72D29E55" w14:textId="77777777" w:rsidR="009B1A36" w:rsidRDefault="009B1A36" w:rsidP="00563388">
      <w:pPr>
        <w:pStyle w:val="3-BodyText"/>
      </w:pPr>
      <w:r w:rsidRPr="00563388">
        <w:rPr>
          <w:bCs/>
        </w:rPr>
        <w:t xml:space="preserve">The PBAC noted that the submission was based on one head-to-head randomised controlled trial comparing </w:t>
      </w:r>
      <w:r>
        <w:t xml:space="preserve">daratumumab SC + CyBorD to CyBorD alone in 388 patients with newly diagnosed AL amyloidosis (ANDROMEDA).  The submission also presented an </w:t>
      </w:r>
      <w:r w:rsidR="00423ED8">
        <w:t>indirect treatment comparison (</w:t>
      </w:r>
      <w:r w:rsidRPr="003E0DDB">
        <w:t>ITC</w:t>
      </w:r>
      <w:r w:rsidR="00423ED8">
        <w:t>)</w:t>
      </w:r>
      <w:r w:rsidRPr="003E0DDB">
        <w:t xml:space="preserve"> between daratumumab SC + CyBorD (ANDROMEDA) and MDex (Kastritis et al. 2020), </w:t>
      </w:r>
      <w:r w:rsidR="00C530B4">
        <w:t xml:space="preserve">using a common comparator of </w:t>
      </w:r>
      <w:r w:rsidR="00C530B4" w:rsidRPr="003E0DDB">
        <w:t>bortezomib-based regimens</w:t>
      </w:r>
      <w:r w:rsidR="00C530B4">
        <w:t xml:space="preserve"> (</w:t>
      </w:r>
      <w:r w:rsidRPr="003E0DDB">
        <w:t>CyBorD in ANDROMEDA and BMDe</w:t>
      </w:r>
      <w:r>
        <w:t xml:space="preserve">x </w:t>
      </w:r>
      <w:r w:rsidRPr="003E0DDB">
        <w:t>in Kastritis et a</w:t>
      </w:r>
      <w:r>
        <w:t>l</w:t>
      </w:r>
      <w:r w:rsidRPr="003E0DDB">
        <w:t>. 2020).</w:t>
      </w:r>
    </w:p>
    <w:p w14:paraId="1511057D" w14:textId="77777777" w:rsidR="00110705" w:rsidRDefault="00C530B4" w:rsidP="00A50E7E">
      <w:pPr>
        <w:pStyle w:val="3-BodyText"/>
      </w:pPr>
      <w:r w:rsidRPr="00C530B4">
        <w:rPr>
          <w:rFonts w:cstheme="minorHAnsi"/>
          <w:iCs/>
        </w:rPr>
        <w:t xml:space="preserve">The PBAC noted that </w:t>
      </w:r>
      <w:r w:rsidR="00613CD2">
        <w:rPr>
          <w:rFonts w:cstheme="minorHAnsi"/>
          <w:iCs/>
        </w:rPr>
        <w:t xml:space="preserve">the </w:t>
      </w:r>
      <w:r w:rsidR="004F0BA7">
        <w:rPr>
          <w:rFonts w:cstheme="minorHAnsi"/>
          <w:iCs/>
        </w:rPr>
        <w:t xml:space="preserve">primary </w:t>
      </w:r>
      <w:r w:rsidRPr="00C530B4">
        <w:rPr>
          <w:rFonts w:cstheme="minorHAnsi"/>
          <w:iCs/>
        </w:rPr>
        <w:t xml:space="preserve">outcome </w:t>
      </w:r>
      <w:r w:rsidR="004F0BA7">
        <w:rPr>
          <w:rFonts w:cstheme="minorHAnsi"/>
          <w:iCs/>
        </w:rPr>
        <w:t xml:space="preserve">of ANDROMEDA was complete haematologic response, </w:t>
      </w:r>
      <w:r w:rsidR="00B47B88">
        <w:rPr>
          <w:rFonts w:cstheme="minorHAnsi"/>
          <w:iCs/>
        </w:rPr>
        <w:t xml:space="preserve">with secondary outcomes including haematologic and organ response, overall survival (OS) and major organ deterioration progression free survival (MOD-PFS), which was </w:t>
      </w:r>
      <w:r w:rsidRPr="00C530B4">
        <w:rPr>
          <w:rFonts w:cstheme="minorHAnsi"/>
          <w:iCs/>
        </w:rPr>
        <w:t xml:space="preserve">a composite endpoint of clinically observable endpoints including: </w:t>
      </w:r>
      <w:r>
        <w:rPr>
          <w:rFonts w:cstheme="minorHAnsi"/>
          <w:iCs/>
        </w:rPr>
        <w:t>d</w:t>
      </w:r>
      <w:r w:rsidRPr="00C530B4">
        <w:rPr>
          <w:rFonts w:cstheme="minorHAnsi"/>
          <w:iCs/>
        </w:rPr>
        <w:t>eath, cardiac failure, end</w:t>
      </w:r>
      <w:r>
        <w:rPr>
          <w:rFonts w:cstheme="minorHAnsi"/>
          <w:iCs/>
        </w:rPr>
        <w:t>-</w:t>
      </w:r>
      <w:r w:rsidRPr="00C530B4">
        <w:rPr>
          <w:rFonts w:cstheme="minorHAnsi"/>
          <w:iCs/>
        </w:rPr>
        <w:t xml:space="preserve">stage renal failure </w:t>
      </w:r>
      <w:r>
        <w:rPr>
          <w:rFonts w:cstheme="minorHAnsi"/>
          <w:iCs/>
        </w:rPr>
        <w:t>and/</w:t>
      </w:r>
      <w:r w:rsidRPr="00C530B4">
        <w:rPr>
          <w:rFonts w:cstheme="minorHAnsi"/>
          <w:iCs/>
        </w:rPr>
        <w:t xml:space="preserve">or haematologic </w:t>
      </w:r>
      <w:r>
        <w:rPr>
          <w:rFonts w:cstheme="minorHAnsi"/>
          <w:iCs/>
        </w:rPr>
        <w:t>disease progression</w:t>
      </w:r>
      <w:r w:rsidRPr="00C530B4">
        <w:rPr>
          <w:rFonts w:cstheme="minorHAnsi"/>
          <w:iCs/>
        </w:rPr>
        <w:t>.</w:t>
      </w:r>
      <w:r w:rsidR="00A50E7E" w:rsidRPr="00A50E7E">
        <w:t xml:space="preserve"> </w:t>
      </w:r>
    </w:p>
    <w:p w14:paraId="490C4162" w14:textId="77777777" w:rsidR="00A50E7E" w:rsidRDefault="00A50E7E" w:rsidP="00A50E7E">
      <w:pPr>
        <w:pStyle w:val="3-BodyText"/>
      </w:pPr>
      <w:r w:rsidRPr="00A50E7E">
        <w:t xml:space="preserve">The PBAC noted </w:t>
      </w:r>
      <w:r w:rsidR="00B47B88">
        <w:t xml:space="preserve">that the </w:t>
      </w:r>
      <w:r w:rsidRPr="00A50E7E">
        <w:t xml:space="preserve">median follow-up </w:t>
      </w:r>
      <w:r w:rsidR="00B47B88">
        <w:t>in ANDROMEDA was</w:t>
      </w:r>
      <w:r w:rsidRPr="00A50E7E">
        <w:t xml:space="preserve"> 11.4 months</w:t>
      </w:r>
      <w:r w:rsidR="00B47B88">
        <w:t>. The PBAC considered that the data were too immature to demonstrate a survival benefit. The PBAC noted that the</w:t>
      </w:r>
      <w:r w:rsidRPr="00A50E7E">
        <w:t xml:space="preserve"> PSCR provided updated data </w:t>
      </w:r>
      <w:r w:rsidR="00B47B88">
        <w:t xml:space="preserve">for haematological and organ response </w:t>
      </w:r>
      <w:r w:rsidRPr="00A50E7E">
        <w:t xml:space="preserve">with a median follow up of 25.8 months.  The PBAC </w:t>
      </w:r>
      <w:r w:rsidR="00270A97">
        <w:t>noted that</w:t>
      </w:r>
      <w:r w:rsidRPr="00A50E7E">
        <w:t xml:space="preserve"> the duration of follow-up </w:t>
      </w:r>
      <w:r w:rsidR="00B47B88">
        <w:t>remained</w:t>
      </w:r>
      <w:r w:rsidRPr="00A50E7E">
        <w:t xml:space="preserve"> short; however, considered </w:t>
      </w:r>
      <w:r w:rsidR="00B47B88">
        <w:t xml:space="preserve">that </w:t>
      </w:r>
      <w:r w:rsidRPr="00A50E7E">
        <w:t xml:space="preserve">the updated data </w:t>
      </w:r>
      <w:r w:rsidR="00B47B88">
        <w:t xml:space="preserve">was </w:t>
      </w:r>
      <w:r w:rsidRPr="00A50E7E">
        <w:t>informative as it demonstrated that haematologic, cardiac and renal response outcomes were sustained over a longer period.</w:t>
      </w:r>
    </w:p>
    <w:p w14:paraId="7635368C" w14:textId="5A337AED" w:rsidR="00D8328D" w:rsidRPr="00D772F5" w:rsidRDefault="00C530B4" w:rsidP="00110705">
      <w:pPr>
        <w:pStyle w:val="3-BodyText"/>
        <w:rPr>
          <w:rFonts w:eastAsia="Calibri"/>
        </w:rPr>
      </w:pPr>
      <w:r w:rsidRPr="00A50E7E">
        <w:t>With regard to efficacy outcomes, the PBAC noted that the incidence of complete response (CR) was significantly higher with daratumumab SC + CyBorD than CyBorD at 6-months and 12 months</w:t>
      </w:r>
      <w:r w:rsidR="00313519" w:rsidRPr="00A50E7E">
        <w:t>,</w:t>
      </w:r>
      <w:r w:rsidR="00797085">
        <w:t xml:space="preserve"> </w:t>
      </w:r>
      <w:r w:rsidR="00313519" w:rsidRPr="00A50E7E">
        <w:t>and remained superior for daratumumab SC + CyBorD compared with CyBorD alone in the updated analysis at 25.8 months median follow-up (</w:t>
      </w:r>
      <w:r w:rsidRPr="00D772F5">
        <w:t>see paragraph 6.1</w:t>
      </w:r>
      <w:r w:rsidR="00C91943">
        <w:t>6</w:t>
      </w:r>
      <w:r w:rsidRPr="00D772F5">
        <w:t>)</w:t>
      </w:r>
      <w:r w:rsidR="00313519" w:rsidRPr="00D772F5">
        <w:t xml:space="preserve">. </w:t>
      </w:r>
      <w:r w:rsidR="00A50E7E" w:rsidRPr="00D772F5">
        <w:t>T</w:t>
      </w:r>
      <w:r w:rsidR="00A50E7E" w:rsidRPr="00A50E7E">
        <w:t xml:space="preserve">he PBAC noted that the haematological response outcomes from ANDROMEDA at 6 months provided the key efficacy inputs used in the economic model.  </w:t>
      </w:r>
      <w:r w:rsidR="00563388" w:rsidRPr="00A50E7E">
        <w:t>Patients treated with daratumumab</w:t>
      </w:r>
      <w:r w:rsidR="00110705">
        <w:t xml:space="preserve"> SC</w:t>
      </w:r>
      <w:r w:rsidR="00563388" w:rsidRPr="00A50E7E">
        <w:t xml:space="preserve"> + CyBorD had statistically significantly superior cardiac and renal responses at 6-, 12- and 18 months follow-up </w:t>
      </w:r>
      <w:r w:rsidR="00313519" w:rsidRPr="00D772F5">
        <w:t>(paragraph 6.1</w:t>
      </w:r>
      <w:r w:rsidR="00C91943">
        <w:t>8</w:t>
      </w:r>
      <w:r w:rsidR="00313519" w:rsidRPr="00D772F5">
        <w:t>).  Patients treat</w:t>
      </w:r>
      <w:r w:rsidR="00313519" w:rsidRPr="00A50E7E">
        <w:t xml:space="preserve">ed with daratumumab + CyBorD were significantly less likely to have a MOD-PFS event than patients treated with CyBorD </w:t>
      </w:r>
      <w:r w:rsidR="00313519" w:rsidRPr="00D772F5">
        <w:t>(see paragraph 6.1</w:t>
      </w:r>
      <w:r w:rsidR="00C91943">
        <w:t>9</w:t>
      </w:r>
      <w:r w:rsidR="00313519" w:rsidRPr="00D772F5">
        <w:t>).</w:t>
      </w:r>
      <w:r w:rsidR="00CC403C" w:rsidRPr="00A50E7E">
        <w:t xml:space="preserve"> </w:t>
      </w:r>
      <w:r w:rsidR="00313519" w:rsidRPr="00A50E7E">
        <w:t xml:space="preserve"> </w:t>
      </w:r>
      <w:r w:rsidR="00A50E7E" w:rsidRPr="00A50E7E">
        <w:t xml:space="preserve">The PBAC noted that difference in OS between study arms </w:t>
      </w:r>
      <w:r w:rsidR="001B5876">
        <w:t xml:space="preserve">at 11.4 months follow-up </w:t>
      </w:r>
      <w:r w:rsidR="00A50E7E" w:rsidRPr="00A50E7E">
        <w:t xml:space="preserve">was not statistically </w:t>
      </w:r>
      <w:r w:rsidR="00A50E7E" w:rsidRPr="00D772F5">
        <w:t>significant (see paragraph 6.</w:t>
      </w:r>
      <w:r w:rsidR="00C91943">
        <w:t>23</w:t>
      </w:r>
      <w:r w:rsidR="00A50E7E" w:rsidRPr="00D772F5">
        <w:t>).</w:t>
      </w:r>
    </w:p>
    <w:p w14:paraId="727A92EA" w14:textId="77777777" w:rsidR="00D8328D" w:rsidRPr="00D8328D" w:rsidRDefault="00D8328D" w:rsidP="00D8328D">
      <w:pPr>
        <w:pStyle w:val="3-BodyText"/>
        <w:rPr>
          <w:rFonts w:eastAsia="Calibri"/>
        </w:rPr>
      </w:pPr>
      <w:r w:rsidRPr="00087013">
        <w:rPr>
          <w:bCs/>
        </w:rPr>
        <w:t xml:space="preserve">Overall, the PBAC considered that the submission’s claim that </w:t>
      </w:r>
      <w:r w:rsidRPr="00087013">
        <w:rPr>
          <w:rFonts w:eastAsia="Calibri"/>
        </w:rPr>
        <w:t xml:space="preserve">daratumumab </w:t>
      </w:r>
      <w:r w:rsidRPr="00D8328D">
        <w:rPr>
          <w:rFonts w:eastAsia="Calibri"/>
        </w:rPr>
        <w:t xml:space="preserve">SC + CyBorD </w:t>
      </w:r>
      <w:r w:rsidR="001B5876">
        <w:rPr>
          <w:rFonts w:eastAsia="Calibri"/>
        </w:rPr>
        <w:t>wa</w:t>
      </w:r>
      <w:r w:rsidRPr="00D8328D">
        <w:rPr>
          <w:rFonts w:eastAsia="Calibri"/>
        </w:rPr>
        <w:t>s superior in terms of effectiveness compared with CyBorD based on: (</w:t>
      </w:r>
      <w:r w:rsidR="00087013">
        <w:rPr>
          <w:rFonts w:eastAsia="Calibri"/>
        </w:rPr>
        <w:t>i</w:t>
      </w:r>
      <w:r w:rsidRPr="00D8328D">
        <w:rPr>
          <w:rFonts w:eastAsia="Calibri"/>
        </w:rPr>
        <w:t>) complete and very good partial hematologic response</w:t>
      </w:r>
      <w:r w:rsidR="00087013">
        <w:rPr>
          <w:rFonts w:eastAsia="Calibri"/>
        </w:rPr>
        <w:t>,</w:t>
      </w:r>
      <w:r w:rsidRPr="00D8328D">
        <w:rPr>
          <w:rFonts w:eastAsia="Calibri"/>
        </w:rPr>
        <w:t xml:space="preserve"> (</w:t>
      </w:r>
      <w:r w:rsidR="00087013">
        <w:rPr>
          <w:rFonts w:eastAsia="Calibri"/>
        </w:rPr>
        <w:t>ii</w:t>
      </w:r>
      <w:r w:rsidRPr="00D8328D">
        <w:rPr>
          <w:rFonts w:eastAsia="Calibri"/>
        </w:rPr>
        <w:t>) MOD-PFS, and (</w:t>
      </w:r>
      <w:r w:rsidR="00087013">
        <w:rPr>
          <w:rFonts w:eastAsia="Calibri"/>
        </w:rPr>
        <w:t>iii</w:t>
      </w:r>
      <w:r w:rsidRPr="00D8328D">
        <w:rPr>
          <w:rFonts w:eastAsia="Calibri"/>
        </w:rPr>
        <w:t>) cardiac and renal responses</w:t>
      </w:r>
      <w:r w:rsidR="00270A97">
        <w:rPr>
          <w:rFonts w:eastAsia="Calibri"/>
        </w:rPr>
        <w:t>,</w:t>
      </w:r>
      <w:r w:rsidRPr="00D8328D">
        <w:rPr>
          <w:rFonts w:eastAsia="Calibri"/>
        </w:rPr>
        <w:t xml:space="preserve"> was supported by the evidence presented.  </w:t>
      </w:r>
      <w:r w:rsidR="001B5876" w:rsidRPr="00D8328D">
        <w:rPr>
          <w:rFonts w:cstheme="minorHAnsi"/>
          <w:iCs/>
        </w:rPr>
        <w:t xml:space="preserve">The PBAC </w:t>
      </w:r>
      <w:r w:rsidR="001B5876">
        <w:rPr>
          <w:rFonts w:cstheme="minorHAnsi"/>
          <w:iCs/>
        </w:rPr>
        <w:t>considered</w:t>
      </w:r>
      <w:r w:rsidR="001B5876" w:rsidRPr="00D8328D">
        <w:rPr>
          <w:rFonts w:cstheme="minorHAnsi"/>
          <w:iCs/>
        </w:rPr>
        <w:t xml:space="preserve"> </w:t>
      </w:r>
      <w:r w:rsidR="001B5876" w:rsidRPr="00D8328D">
        <w:rPr>
          <w:rFonts w:eastAsia="Calibri"/>
        </w:rPr>
        <w:t>that the submission</w:t>
      </w:r>
      <w:r w:rsidR="001B5876">
        <w:rPr>
          <w:rFonts w:eastAsia="Calibri"/>
        </w:rPr>
        <w:t xml:space="preserve">’s claim of superior long-term survival, which was based on </w:t>
      </w:r>
      <w:r w:rsidR="001B5876" w:rsidRPr="00D8328D">
        <w:rPr>
          <w:rFonts w:eastAsia="Calibri"/>
        </w:rPr>
        <w:t>a modelled analysis to demonstrate the relationship between haematological response and survival outcomes</w:t>
      </w:r>
      <w:r w:rsidR="001B5876">
        <w:rPr>
          <w:rFonts w:eastAsia="Calibri"/>
        </w:rPr>
        <w:t>, was probably reasonable;</w:t>
      </w:r>
      <w:r w:rsidR="001B5876" w:rsidRPr="00D8328D">
        <w:rPr>
          <w:rFonts w:eastAsia="Calibri"/>
        </w:rPr>
        <w:t xml:space="preserve"> however</w:t>
      </w:r>
      <w:r w:rsidR="001B5876">
        <w:rPr>
          <w:rFonts w:eastAsia="Calibri"/>
        </w:rPr>
        <w:t>,</w:t>
      </w:r>
      <w:r w:rsidR="001B5876" w:rsidRPr="00D8328D">
        <w:rPr>
          <w:rFonts w:eastAsia="Calibri"/>
        </w:rPr>
        <w:t xml:space="preserve"> </w:t>
      </w:r>
      <w:r w:rsidR="001B5876">
        <w:rPr>
          <w:rFonts w:eastAsia="Calibri"/>
        </w:rPr>
        <w:t xml:space="preserve">due to the immaturity of the data in ANDROMEDA, </w:t>
      </w:r>
      <w:r w:rsidR="001B5876" w:rsidRPr="00D8328D">
        <w:rPr>
          <w:rFonts w:eastAsia="Calibri"/>
        </w:rPr>
        <w:t xml:space="preserve">the </w:t>
      </w:r>
      <w:r w:rsidR="001B5876">
        <w:rPr>
          <w:rFonts w:eastAsia="Calibri"/>
        </w:rPr>
        <w:t xml:space="preserve">magnitude of the survival </w:t>
      </w:r>
      <w:r w:rsidR="001B5876" w:rsidRPr="00D8328D">
        <w:rPr>
          <w:rFonts w:eastAsia="Calibri"/>
        </w:rPr>
        <w:t xml:space="preserve">benefit associated with daratumumab </w:t>
      </w:r>
      <w:r w:rsidR="001B5876">
        <w:rPr>
          <w:rFonts w:eastAsia="Calibri"/>
        </w:rPr>
        <w:t xml:space="preserve">SC </w:t>
      </w:r>
      <w:r w:rsidR="001B5876" w:rsidRPr="00D8328D">
        <w:rPr>
          <w:rFonts w:eastAsia="Calibri"/>
        </w:rPr>
        <w:t>remain</w:t>
      </w:r>
      <w:r w:rsidR="001B5876">
        <w:rPr>
          <w:rFonts w:eastAsia="Calibri"/>
        </w:rPr>
        <w:t>ed</w:t>
      </w:r>
      <w:r w:rsidR="001B5876" w:rsidRPr="00D8328D">
        <w:rPr>
          <w:rFonts w:eastAsia="Calibri"/>
        </w:rPr>
        <w:t xml:space="preserve"> uncertain</w:t>
      </w:r>
      <w:r w:rsidRPr="00D8328D">
        <w:rPr>
          <w:rFonts w:eastAsia="Calibri"/>
        </w:rPr>
        <w:t>.</w:t>
      </w:r>
    </w:p>
    <w:p w14:paraId="6363172A" w14:textId="12E47C39" w:rsidR="00D8328D" w:rsidRPr="00D8328D" w:rsidRDefault="00A40119" w:rsidP="00D8328D">
      <w:pPr>
        <w:pStyle w:val="3-BodyText"/>
        <w:rPr>
          <w:rFonts w:eastAsia="Calibri"/>
        </w:rPr>
      </w:pPr>
      <w:r>
        <w:rPr>
          <w:rFonts w:eastAsia="Calibri"/>
        </w:rPr>
        <w:t xml:space="preserve">In terms of safety, </w:t>
      </w:r>
      <w:r w:rsidRPr="00A655A1">
        <w:rPr>
          <w:bCs/>
        </w:rPr>
        <w:t xml:space="preserve">the PBAC noted that </w:t>
      </w:r>
      <w:r>
        <w:rPr>
          <w:bCs/>
        </w:rPr>
        <w:t>t</w:t>
      </w:r>
      <w:r w:rsidRPr="00A40119">
        <w:rPr>
          <w:bCs/>
        </w:rPr>
        <w:t xml:space="preserve">he overall incidence of serious </w:t>
      </w:r>
      <w:r w:rsidR="00150CE7">
        <w:rPr>
          <w:bCs/>
        </w:rPr>
        <w:t>treatment emergent adverse events (</w:t>
      </w:r>
      <w:r w:rsidRPr="00A40119">
        <w:rPr>
          <w:bCs/>
        </w:rPr>
        <w:t>TEAEs</w:t>
      </w:r>
      <w:r w:rsidR="00150CE7">
        <w:rPr>
          <w:bCs/>
        </w:rPr>
        <w:t>)</w:t>
      </w:r>
      <w:r w:rsidRPr="00A40119">
        <w:rPr>
          <w:bCs/>
        </w:rPr>
        <w:t xml:space="preserve">, Grade 5 TEAEs and TEAE resulting in death were all numerically higher in the daratumumab SC + CyBorD arm compared with </w:t>
      </w:r>
      <w:r w:rsidRPr="00D772F5">
        <w:rPr>
          <w:bCs/>
        </w:rPr>
        <w:t xml:space="preserve">CyBorD </w:t>
      </w:r>
      <w:r w:rsidRPr="00D772F5">
        <w:rPr>
          <w:rFonts w:eastAsia="Calibri"/>
        </w:rPr>
        <w:t>(see paragraph 6.</w:t>
      </w:r>
      <w:r w:rsidR="00C91943">
        <w:rPr>
          <w:rFonts w:eastAsia="Calibri"/>
        </w:rPr>
        <w:t>31</w:t>
      </w:r>
      <w:r w:rsidRPr="00D772F5">
        <w:rPr>
          <w:rFonts w:eastAsia="Calibri"/>
        </w:rPr>
        <w:t>)</w:t>
      </w:r>
      <w:r w:rsidRPr="00D772F5">
        <w:rPr>
          <w:bCs/>
        </w:rPr>
        <w:t xml:space="preserve">. </w:t>
      </w:r>
      <w:r w:rsidR="00D8328D" w:rsidRPr="00D772F5">
        <w:rPr>
          <w:rFonts w:eastAsia="Calibri"/>
        </w:rPr>
        <w:t>The PBAC agreed with the submission’s claim that daratumuma</w:t>
      </w:r>
      <w:r w:rsidR="00D8328D" w:rsidRPr="00D8328D">
        <w:rPr>
          <w:rFonts w:eastAsia="Calibri"/>
        </w:rPr>
        <w:t xml:space="preserve">b SC + CyBorD was inferior in terms of safety compared to CyBorD alone. </w:t>
      </w:r>
    </w:p>
    <w:p w14:paraId="6B7C7F58" w14:textId="77777777" w:rsidR="008F4B14" w:rsidRPr="004227DA" w:rsidRDefault="00D8328D" w:rsidP="004227DA">
      <w:pPr>
        <w:pStyle w:val="3-BodyText"/>
      </w:pPr>
      <w:r w:rsidRPr="00D8328D">
        <w:rPr>
          <w:lang w:val="en-GB"/>
        </w:rPr>
        <w:t>With regard</w:t>
      </w:r>
      <w:r w:rsidR="00270A97">
        <w:rPr>
          <w:lang w:val="en-GB"/>
        </w:rPr>
        <w:t>s</w:t>
      </w:r>
      <w:r w:rsidRPr="00D8328D">
        <w:rPr>
          <w:lang w:val="en-GB"/>
        </w:rPr>
        <w:t xml:space="preserve"> to the secondary comparison, the PBAC noted </w:t>
      </w:r>
      <w:r w:rsidR="004227DA">
        <w:rPr>
          <w:lang w:val="en-GB"/>
        </w:rPr>
        <w:t>the ITC presented in the submission comparing</w:t>
      </w:r>
      <w:r w:rsidRPr="00D8328D">
        <w:t xml:space="preserve"> daratumumab SC + CyBorD </w:t>
      </w:r>
      <w:r w:rsidR="004227DA">
        <w:t xml:space="preserve">with </w:t>
      </w:r>
      <w:r w:rsidRPr="00D8328D">
        <w:t>MDex</w:t>
      </w:r>
      <w:r w:rsidR="00105E28">
        <w:t xml:space="preserve">. The PBAC </w:t>
      </w:r>
      <w:r w:rsidRPr="00D8328D">
        <w:t xml:space="preserve">considered that the results of the ITC were confounded by </w:t>
      </w:r>
      <w:r w:rsidRPr="00110705">
        <w:t xml:space="preserve">exchangeability issues between the trials, in particular, the longer follow-up data available for Kastritis et al. 2020 compared to ANDROMEDA (median of 50 months vs. 11.4 months), and the differing results in the common comparator arms, particularly for MOD-PFS and OS outcomes.  </w:t>
      </w:r>
      <w:r w:rsidRPr="00110705">
        <w:rPr>
          <w:rFonts w:eastAsia="Calibri"/>
        </w:rPr>
        <w:t>T</w:t>
      </w:r>
      <w:r w:rsidR="008F4B14" w:rsidRPr="00110705">
        <w:rPr>
          <w:rFonts w:eastAsia="Calibri"/>
        </w:rPr>
        <w:t xml:space="preserve">he PBAC </w:t>
      </w:r>
      <w:r w:rsidR="00105E28">
        <w:rPr>
          <w:rFonts w:eastAsia="Calibri"/>
        </w:rPr>
        <w:t xml:space="preserve">considered that the </w:t>
      </w:r>
      <w:r w:rsidR="008F4B14" w:rsidRPr="00110705">
        <w:rPr>
          <w:rFonts w:eastAsia="Calibri"/>
        </w:rPr>
        <w:t>submission’s claim that daratumumab SC + CyBorD demonstrate</w:t>
      </w:r>
      <w:r w:rsidR="00105E28">
        <w:rPr>
          <w:rFonts w:eastAsia="Calibri"/>
        </w:rPr>
        <w:t>d</w:t>
      </w:r>
      <w:r w:rsidR="008F4B14" w:rsidRPr="00110705">
        <w:rPr>
          <w:rFonts w:eastAsia="Calibri"/>
        </w:rPr>
        <w:t xml:space="preserve"> superior efficacy compared with MDex </w:t>
      </w:r>
      <w:r w:rsidR="00A71114">
        <w:rPr>
          <w:rFonts w:eastAsia="Calibri"/>
        </w:rPr>
        <w:t xml:space="preserve">was </w:t>
      </w:r>
      <w:r w:rsidR="00087013">
        <w:rPr>
          <w:rFonts w:eastAsia="Calibri"/>
        </w:rPr>
        <w:t xml:space="preserve">reasonable; however, the magnitude of the benefit was </w:t>
      </w:r>
      <w:r w:rsidR="00A71114">
        <w:rPr>
          <w:rFonts w:eastAsia="Calibri"/>
        </w:rPr>
        <w:t>uncertain</w:t>
      </w:r>
      <w:r w:rsidR="008F4B14" w:rsidRPr="00110705">
        <w:rPr>
          <w:rFonts w:eastAsia="Calibri"/>
        </w:rPr>
        <w:t xml:space="preserve"> due to transitivity issues in the ITC.</w:t>
      </w:r>
    </w:p>
    <w:p w14:paraId="222E520D" w14:textId="245AC2F1" w:rsidR="00C67BD1" w:rsidRDefault="00C67BD1" w:rsidP="00110705">
      <w:pPr>
        <w:pStyle w:val="3-BodyText"/>
        <w:rPr>
          <w:lang w:val="en-GB"/>
        </w:rPr>
      </w:pPr>
      <w:r>
        <w:rPr>
          <w:lang w:val="en-GB"/>
        </w:rPr>
        <w:t xml:space="preserve">The PBAC noted that the submission presented a </w:t>
      </w:r>
      <w:r w:rsidR="00BA0F05">
        <w:rPr>
          <w:lang w:val="en-GB"/>
        </w:rPr>
        <w:t xml:space="preserve">primary </w:t>
      </w:r>
      <w:r>
        <w:rPr>
          <w:lang w:val="en-GB"/>
        </w:rPr>
        <w:t>cost utility analysis based on the ANDROMEDA trial comparing daratumumab SC + CyBorD with CyBorD alone</w:t>
      </w:r>
      <w:r w:rsidR="00087013">
        <w:rPr>
          <w:lang w:val="en-GB"/>
        </w:rPr>
        <w:t xml:space="preserve"> and</w:t>
      </w:r>
      <w:r>
        <w:rPr>
          <w:lang w:val="en-GB"/>
        </w:rPr>
        <w:t xml:space="preserve"> a supplementary cost utility analysis comparing daratumumab SC + CyBorD with MDex.</w:t>
      </w:r>
      <w:r w:rsidR="00BE032D">
        <w:rPr>
          <w:lang w:val="en-GB"/>
        </w:rPr>
        <w:t xml:space="preserve"> The PBAC considered</w:t>
      </w:r>
      <w:r w:rsidR="004335E5">
        <w:rPr>
          <w:lang w:val="en-GB"/>
        </w:rPr>
        <w:t xml:space="preserve"> the results from the primary analysis </w:t>
      </w:r>
      <w:r w:rsidR="00087013">
        <w:rPr>
          <w:lang w:val="en-GB"/>
        </w:rPr>
        <w:t xml:space="preserve">between daratumumab SC + CyBorD </w:t>
      </w:r>
      <w:r w:rsidR="00BA0F05">
        <w:rPr>
          <w:lang w:val="en-GB"/>
        </w:rPr>
        <w:t xml:space="preserve">and CyBorD </w:t>
      </w:r>
      <w:r w:rsidR="004335E5">
        <w:rPr>
          <w:lang w:val="en-GB"/>
        </w:rPr>
        <w:t xml:space="preserve">to be more reliable as the supplementary analysis </w:t>
      </w:r>
      <w:r w:rsidR="004335E5" w:rsidRPr="006F2DBA">
        <w:t>relie</w:t>
      </w:r>
      <w:r w:rsidR="004335E5">
        <w:t>d</w:t>
      </w:r>
      <w:r w:rsidR="004335E5" w:rsidRPr="006F2DBA">
        <w:t xml:space="preserve"> on </w:t>
      </w:r>
      <w:r w:rsidR="004335E5">
        <w:t xml:space="preserve">the unsupported </w:t>
      </w:r>
      <w:r w:rsidR="004335E5" w:rsidRPr="006F2DBA">
        <w:t>assumption of equivalence between CyBorD and BMDex</w:t>
      </w:r>
      <w:r w:rsidR="004E1169">
        <w:t xml:space="preserve"> and </w:t>
      </w:r>
      <w:r w:rsidR="00BA0F05">
        <w:t xml:space="preserve">the </w:t>
      </w:r>
      <w:r w:rsidR="004E1169">
        <w:t xml:space="preserve">superiority </w:t>
      </w:r>
      <w:r w:rsidR="00BA0F05">
        <w:t xml:space="preserve">of daratumumab SC + CyBorD </w:t>
      </w:r>
      <w:r w:rsidR="004E1169">
        <w:t>over MDex</w:t>
      </w:r>
      <w:r w:rsidR="00BA0F05">
        <w:t>, the magnitude of which was uncertain</w:t>
      </w:r>
      <w:r w:rsidR="004335E5">
        <w:t xml:space="preserve">. The PBAC acknowledged </w:t>
      </w:r>
      <w:r w:rsidR="00BA0F05">
        <w:t xml:space="preserve">that </w:t>
      </w:r>
      <w:r w:rsidR="004335E5">
        <w:t xml:space="preserve">the primary analysis required acceptance that CyBorD </w:t>
      </w:r>
      <w:r w:rsidR="00BA0F05">
        <w:t>wa</w:t>
      </w:r>
      <w:r w:rsidR="004335E5">
        <w:t>s a cost-effective treatment</w:t>
      </w:r>
      <w:r w:rsidR="00A62A53">
        <w:t xml:space="preserve"> compared with MDex</w:t>
      </w:r>
      <w:r w:rsidR="004A7C7F">
        <w:t xml:space="preserve"> or that</w:t>
      </w:r>
      <w:r w:rsidR="004A7C7F" w:rsidRPr="004A7C7F">
        <w:rPr>
          <w:lang w:val="en-GB"/>
        </w:rPr>
        <w:t xml:space="preserve"> </w:t>
      </w:r>
      <w:r w:rsidR="004A7C7F">
        <w:rPr>
          <w:lang w:val="en-GB"/>
        </w:rPr>
        <w:t xml:space="preserve">daratumumab SC + CyBorD remained cost-effective with </w:t>
      </w:r>
      <w:r w:rsidR="004A7C7F">
        <w:t>removal of the cost of CyBorD from the comparator arm</w:t>
      </w:r>
      <w:r w:rsidR="004E1169">
        <w:t>, and noted the analyses in paragraph 6.</w:t>
      </w:r>
      <w:r w:rsidR="00333F06">
        <w:t>4</w:t>
      </w:r>
      <w:r w:rsidR="00C91943">
        <w:t>4</w:t>
      </w:r>
      <w:r w:rsidR="00A62A53">
        <w:t>.</w:t>
      </w:r>
      <w:r w:rsidR="004335E5">
        <w:rPr>
          <w:lang w:val="en-GB"/>
        </w:rPr>
        <w:t xml:space="preserve"> </w:t>
      </w:r>
      <w:r>
        <w:rPr>
          <w:lang w:val="en-GB"/>
        </w:rPr>
        <w:t xml:space="preserve"> </w:t>
      </w:r>
    </w:p>
    <w:p w14:paraId="660E7298" w14:textId="77777777" w:rsidR="00536EAD" w:rsidRPr="00536EAD" w:rsidRDefault="00A77D53" w:rsidP="00110705">
      <w:pPr>
        <w:pStyle w:val="3-BodyText"/>
        <w:rPr>
          <w:lang w:val="en-GB"/>
        </w:rPr>
      </w:pPr>
      <w:r>
        <w:rPr>
          <w:lang w:val="en-GB"/>
        </w:rPr>
        <w:t>The PBAC considered the base case incremental cost effectiveness ratio (ICER) of daratumumab SC + CyBorD versus CyBorD of $</w:t>
      </w:r>
      <w:r w:rsidR="00D075C9">
        <w:rPr>
          <w:lang w:val="en-GB"/>
        </w:rPr>
        <w:t>55,000 to &lt; $75,000</w:t>
      </w:r>
      <w:r>
        <w:rPr>
          <w:lang w:val="en-GB"/>
        </w:rPr>
        <w:t xml:space="preserve"> per quality adjusted life year (QALY) was likely underestimated and was </w:t>
      </w:r>
      <w:r w:rsidR="00536EAD" w:rsidRPr="00536EAD">
        <w:rPr>
          <w:iCs/>
        </w:rPr>
        <w:t>underpinned by uncertainties in the clinical data, particularly with regard to extrapolation of outcomes beyond the period of trial data which is evident in the stepped analysis (</w:t>
      </w:r>
      <w:r w:rsidR="00536EAD" w:rsidRPr="00D772F5">
        <w:rPr>
          <w:iCs/>
        </w:rPr>
        <w:t xml:space="preserve">see </w:t>
      </w:r>
      <w:r w:rsidR="008A0743" w:rsidRPr="00D772F5">
        <w:rPr>
          <w:iCs/>
        </w:rPr>
        <w:t xml:space="preserve">Table </w:t>
      </w:r>
      <w:r w:rsidR="008A0743" w:rsidRPr="00D772F5">
        <w:rPr>
          <w:iCs/>
          <w:noProof/>
        </w:rPr>
        <w:t>1</w:t>
      </w:r>
      <w:r w:rsidR="00D772F5" w:rsidRPr="00D772F5">
        <w:rPr>
          <w:iCs/>
        </w:rPr>
        <w:t>7</w:t>
      </w:r>
      <w:r w:rsidR="00536EAD" w:rsidRPr="00D772F5">
        <w:rPr>
          <w:iCs/>
        </w:rPr>
        <w:t>).</w:t>
      </w:r>
      <w:r w:rsidR="00536EAD" w:rsidRPr="00536EAD">
        <w:rPr>
          <w:iCs/>
        </w:rPr>
        <w:t xml:space="preserve">  </w:t>
      </w:r>
      <w:r w:rsidR="00536EAD">
        <w:rPr>
          <w:lang w:val="en-GB"/>
        </w:rPr>
        <w:t>The key concerns were</w:t>
      </w:r>
      <w:r>
        <w:rPr>
          <w:lang w:val="en-GB"/>
        </w:rPr>
        <w:t xml:space="preserve"> that</w:t>
      </w:r>
      <w:r w:rsidR="00536EAD">
        <w:rPr>
          <w:lang w:val="en-GB"/>
        </w:rPr>
        <w:t>:</w:t>
      </w:r>
    </w:p>
    <w:p w14:paraId="534F220F" w14:textId="77777777" w:rsidR="003E7D52" w:rsidRPr="006F2DBA" w:rsidRDefault="003867E9" w:rsidP="0070637E">
      <w:pPr>
        <w:pStyle w:val="ListParagraph"/>
        <w:numPr>
          <w:ilvl w:val="0"/>
          <w:numId w:val="11"/>
        </w:numPr>
        <w:ind w:left="1077" w:hanging="357"/>
        <w:rPr>
          <w:iCs/>
        </w:rPr>
      </w:pPr>
      <w:r>
        <w:rPr>
          <w:iCs/>
        </w:rPr>
        <w:t>T</w:t>
      </w:r>
      <w:r w:rsidR="003E7D52" w:rsidRPr="006F2DBA">
        <w:rPr>
          <w:iCs/>
        </w:rPr>
        <w:t>he time horizon of 25 years relied on extensive extrapolation</w:t>
      </w:r>
      <w:r w:rsidR="00536EAD">
        <w:rPr>
          <w:iCs/>
        </w:rPr>
        <w:t xml:space="preserve"> and was poorly supported</w:t>
      </w:r>
      <w:r w:rsidR="00585DCD">
        <w:rPr>
          <w:iCs/>
        </w:rPr>
        <w:t>, particularly considering the</w:t>
      </w:r>
      <w:r w:rsidR="00A71114">
        <w:rPr>
          <w:iCs/>
        </w:rPr>
        <w:t xml:space="preserve"> short duration of follow-up and </w:t>
      </w:r>
      <w:r w:rsidR="00585DCD">
        <w:rPr>
          <w:iCs/>
        </w:rPr>
        <w:t>immaturity of the data in the ANDROMEDA trial</w:t>
      </w:r>
      <w:r w:rsidR="003E7D52" w:rsidRPr="006F2DBA">
        <w:rPr>
          <w:iCs/>
        </w:rPr>
        <w:t>;</w:t>
      </w:r>
    </w:p>
    <w:p w14:paraId="1DDA886C" w14:textId="77777777" w:rsidR="003E7D52" w:rsidRPr="00E876F2" w:rsidRDefault="002D5E99" w:rsidP="0070637E">
      <w:pPr>
        <w:pStyle w:val="ListParagraph"/>
        <w:numPr>
          <w:ilvl w:val="0"/>
          <w:numId w:val="11"/>
        </w:numPr>
        <w:ind w:left="1077" w:hanging="357"/>
        <w:rPr>
          <w:iCs/>
        </w:rPr>
      </w:pPr>
      <w:r>
        <w:rPr>
          <w:iCs/>
        </w:rPr>
        <w:t>A</w:t>
      </w:r>
      <w:r w:rsidR="00A77D53">
        <w:rPr>
          <w:iCs/>
        </w:rPr>
        <w:t xml:space="preserve">lthough no OS difference was observed in the clinical data, the </w:t>
      </w:r>
      <w:r w:rsidR="003867E9">
        <w:rPr>
          <w:iCs/>
        </w:rPr>
        <w:t>m</w:t>
      </w:r>
      <w:r w:rsidR="003867E9" w:rsidRPr="003867E9">
        <w:rPr>
          <w:iCs/>
        </w:rPr>
        <w:t xml:space="preserve">odel assumed </w:t>
      </w:r>
      <w:r w:rsidR="003867E9">
        <w:rPr>
          <w:iCs/>
        </w:rPr>
        <w:t xml:space="preserve">a </w:t>
      </w:r>
      <w:r w:rsidR="003867E9" w:rsidRPr="003867E9">
        <w:rPr>
          <w:iCs/>
        </w:rPr>
        <w:t xml:space="preserve">survival advantage for </w:t>
      </w:r>
      <w:r w:rsidR="00E876F2">
        <w:rPr>
          <w:iCs/>
        </w:rPr>
        <w:t>d</w:t>
      </w:r>
      <w:r w:rsidR="003867E9" w:rsidRPr="003867E9">
        <w:rPr>
          <w:iCs/>
        </w:rPr>
        <w:t>ara</w:t>
      </w:r>
      <w:r w:rsidR="003867E9">
        <w:rPr>
          <w:iCs/>
        </w:rPr>
        <w:t>tumumab</w:t>
      </w:r>
      <w:r w:rsidR="003867E9" w:rsidRPr="003867E9">
        <w:rPr>
          <w:iCs/>
        </w:rPr>
        <w:t xml:space="preserve"> </w:t>
      </w:r>
      <w:r w:rsidR="003867E9">
        <w:rPr>
          <w:iCs/>
        </w:rPr>
        <w:t xml:space="preserve">SC </w:t>
      </w:r>
      <w:r w:rsidR="003867E9" w:rsidRPr="003867E9">
        <w:rPr>
          <w:iCs/>
        </w:rPr>
        <w:t>+ CyBorD</w:t>
      </w:r>
      <w:r w:rsidR="00E876F2">
        <w:rPr>
          <w:iCs/>
        </w:rPr>
        <w:t xml:space="preserve">. </w:t>
      </w:r>
      <w:r w:rsidR="003867E9" w:rsidRPr="00E876F2">
        <w:rPr>
          <w:iCs/>
        </w:rPr>
        <w:t>Th</w:t>
      </w:r>
      <w:r w:rsidR="00585DCD">
        <w:rPr>
          <w:iCs/>
        </w:rPr>
        <w:t xml:space="preserve">is was based on the translation of the surrogate outcome, haematological response (VGPR or better), </w:t>
      </w:r>
      <w:r w:rsidR="00F43DDB">
        <w:rPr>
          <w:iCs/>
        </w:rPr>
        <w:t>to</w:t>
      </w:r>
      <w:r w:rsidR="00585DCD">
        <w:rPr>
          <w:iCs/>
        </w:rPr>
        <w:t xml:space="preserve"> OS and relied on data from a single data source, Palladini et al 2012</w:t>
      </w:r>
      <w:r w:rsidR="00270A97">
        <w:rPr>
          <w:iCs/>
        </w:rPr>
        <w:t>,</w:t>
      </w:r>
      <w:r w:rsidR="00585DCD">
        <w:rPr>
          <w:iCs/>
        </w:rPr>
        <w:t xml:space="preserve"> landmarked at 6 months. The PBAC noted that use of observational data from the European Myeloma Network (EMN) at 3 months increased the ICER by 17%</w:t>
      </w:r>
      <w:r w:rsidR="003E7D52" w:rsidRPr="00E876F2">
        <w:rPr>
          <w:iCs/>
        </w:rPr>
        <w:t>;</w:t>
      </w:r>
    </w:p>
    <w:p w14:paraId="63B04B15" w14:textId="77777777" w:rsidR="003E7D52" w:rsidRPr="006F2DBA" w:rsidRDefault="003867E9" w:rsidP="0070637E">
      <w:pPr>
        <w:pStyle w:val="ListParagraph"/>
        <w:numPr>
          <w:ilvl w:val="0"/>
          <w:numId w:val="11"/>
        </w:numPr>
        <w:ind w:left="1077" w:hanging="357"/>
        <w:rPr>
          <w:iCs/>
        </w:rPr>
      </w:pPr>
      <w:r>
        <w:rPr>
          <w:iCs/>
        </w:rPr>
        <w:t>T</w:t>
      </w:r>
      <w:r w:rsidR="003E7D52" w:rsidRPr="006F2DBA">
        <w:rPr>
          <w:iCs/>
        </w:rPr>
        <w:t>he model applied an exponential distribution for OS extrapolation applied from 42 months (6 months A</w:t>
      </w:r>
      <w:r w:rsidR="00110705">
        <w:rPr>
          <w:iCs/>
        </w:rPr>
        <w:t>NDROMEDA</w:t>
      </w:r>
      <w:r w:rsidR="003E7D52" w:rsidRPr="006F2DBA">
        <w:rPr>
          <w:iCs/>
        </w:rPr>
        <w:t xml:space="preserve"> + 36 months Pallidini)</w:t>
      </w:r>
      <w:r w:rsidR="00336C93">
        <w:rPr>
          <w:iCs/>
        </w:rPr>
        <w:t xml:space="preserve">; however, as no other extrapolations </w:t>
      </w:r>
      <w:r w:rsidR="00270A97">
        <w:rPr>
          <w:iCs/>
        </w:rPr>
        <w:t>could be</w:t>
      </w:r>
      <w:r w:rsidR="00336C93">
        <w:rPr>
          <w:iCs/>
        </w:rPr>
        <w:t xml:space="preserve"> tested it was not possible to determine if this favoured daratumumab</w:t>
      </w:r>
      <w:r w:rsidR="003E7D52" w:rsidRPr="006F2DBA">
        <w:rPr>
          <w:iCs/>
        </w:rPr>
        <w:t xml:space="preserve">; and  </w:t>
      </w:r>
    </w:p>
    <w:p w14:paraId="7D3D5924" w14:textId="77777777" w:rsidR="003E7D52" w:rsidRPr="006F2DBA" w:rsidRDefault="003867E9" w:rsidP="0070637E">
      <w:pPr>
        <w:pStyle w:val="ListParagraph"/>
        <w:numPr>
          <w:ilvl w:val="0"/>
          <w:numId w:val="11"/>
        </w:numPr>
        <w:ind w:left="1077" w:hanging="357"/>
        <w:rPr>
          <w:iCs/>
        </w:rPr>
      </w:pPr>
      <w:r>
        <w:rPr>
          <w:iCs/>
        </w:rPr>
        <w:t>T</w:t>
      </w:r>
      <w:r w:rsidR="003E7D52" w:rsidRPr="006F2DBA">
        <w:rPr>
          <w:iCs/>
        </w:rPr>
        <w:t>he model assumed the treatment effect continued beyond the 6</w:t>
      </w:r>
      <w:r w:rsidR="00F43DDB">
        <w:rPr>
          <w:iCs/>
        </w:rPr>
        <w:t>-</w:t>
      </w:r>
      <w:r w:rsidR="003E7D52" w:rsidRPr="006F2DBA">
        <w:rPr>
          <w:iCs/>
        </w:rPr>
        <w:t>month trial period (with maximum 2 years treatment) for up to 25 years.</w:t>
      </w:r>
    </w:p>
    <w:p w14:paraId="3591A53A" w14:textId="77777777" w:rsidR="00336C93" w:rsidRDefault="00336C93" w:rsidP="00110705">
      <w:pPr>
        <w:widowControl w:val="0"/>
        <w:numPr>
          <w:ilvl w:val="1"/>
          <w:numId w:val="1"/>
        </w:numPr>
        <w:spacing w:after="120"/>
        <w:rPr>
          <w:iCs/>
        </w:rPr>
      </w:pPr>
      <w:r w:rsidRPr="004A7C7F">
        <w:rPr>
          <w:iCs/>
        </w:rPr>
        <w:t>The PBAC</w:t>
      </w:r>
      <w:r>
        <w:rPr>
          <w:iCs/>
        </w:rPr>
        <w:t xml:space="preserve"> considered that the </w:t>
      </w:r>
      <w:r w:rsidR="00DC02AE">
        <w:rPr>
          <w:iCs/>
        </w:rPr>
        <w:t xml:space="preserve">some of the </w:t>
      </w:r>
      <w:r>
        <w:rPr>
          <w:iCs/>
        </w:rPr>
        <w:t>uncertainty in the model could be addressed by the application of more conservative assumptions, including</w:t>
      </w:r>
      <w:r w:rsidR="00525D6C">
        <w:rPr>
          <w:iCs/>
        </w:rPr>
        <w:t xml:space="preserve"> a time horizon of no more than 20 years, convergence of the time to subsequent treatment extrapolations from </w:t>
      </w:r>
      <w:r w:rsidR="00585DCD">
        <w:rPr>
          <w:iCs/>
        </w:rPr>
        <w:t>24</w:t>
      </w:r>
      <w:r w:rsidR="00525D6C">
        <w:rPr>
          <w:iCs/>
        </w:rPr>
        <w:t xml:space="preserve"> to </w:t>
      </w:r>
      <w:r w:rsidR="00585DCD">
        <w:rPr>
          <w:iCs/>
        </w:rPr>
        <w:t>60</w:t>
      </w:r>
      <w:r w:rsidR="00525D6C">
        <w:rPr>
          <w:iCs/>
        </w:rPr>
        <w:t xml:space="preserve"> months</w:t>
      </w:r>
      <w:r w:rsidR="00585DCD">
        <w:rPr>
          <w:iCs/>
        </w:rPr>
        <w:t xml:space="preserve"> and use of the EMN data</w:t>
      </w:r>
      <w:r w:rsidR="00F43DDB">
        <w:rPr>
          <w:iCs/>
        </w:rPr>
        <w:t xml:space="preserve"> to inform the translation of the haematologic response to OS</w:t>
      </w:r>
      <w:r w:rsidR="00525D6C">
        <w:rPr>
          <w:iCs/>
        </w:rPr>
        <w:t xml:space="preserve">. </w:t>
      </w:r>
      <w:r w:rsidR="004A7C7F">
        <w:rPr>
          <w:iCs/>
        </w:rPr>
        <w:t>The PBAC noted the ICER for this scenario increased to $</w:t>
      </w:r>
      <w:r w:rsidR="00D075C9">
        <w:rPr>
          <w:iCs/>
        </w:rPr>
        <w:t>75,000 to &lt; $95,000</w:t>
      </w:r>
      <w:r w:rsidR="00BA0F05">
        <w:rPr>
          <w:iCs/>
        </w:rPr>
        <w:t xml:space="preserve"> per </w:t>
      </w:r>
      <w:r w:rsidR="004A7C7F">
        <w:rPr>
          <w:iCs/>
        </w:rPr>
        <w:t>QALY</w:t>
      </w:r>
      <w:r w:rsidR="00904040">
        <w:rPr>
          <w:iCs/>
        </w:rPr>
        <w:t xml:space="preserve"> and did not consider daratumumab to be cost-effective at the price proposed in the submission</w:t>
      </w:r>
      <w:r w:rsidR="004A7C7F">
        <w:rPr>
          <w:iCs/>
        </w:rPr>
        <w:t>.</w:t>
      </w:r>
    </w:p>
    <w:p w14:paraId="2F7C7252" w14:textId="77777777" w:rsidR="00F43DDB" w:rsidRPr="00F43DDB" w:rsidRDefault="005F0084" w:rsidP="002B7397">
      <w:pPr>
        <w:widowControl w:val="0"/>
        <w:numPr>
          <w:ilvl w:val="1"/>
          <w:numId w:val="1"/>
        </w:numPr>
        <w:spacing w:after="120"/>
      </w:pPr>
      <w:r>
        <w:t xml:space="preserve">With </w:t>
      </w:r>
      <w:r w:rsidRPr="00946C61">
        <w:t>regard</w:t>
      </w:r>
      <w:r w:rsidR="002461CF" w:rsidRPr="00946C61">
        <w:t>s</w:t>
      </w:r>
      <w:r w:rsidRPr="00946C61">
        <w:t xml:space="preserve"> to the financial estimates, the PBAC noted the revised estimates submitted with the PSCR (</w:t>
      </w:r>
      <w:r w:rsidRPr="00D772F5">
        <w:t>see Table 2</w:t>
      </w:r>
      <w:r w:rsidR="00D772F5" w:rsidRPr="00D772F5">
        <w:t>1</w:t>
      </w:r>
      <w:r w:rsidRPr="00D772F5">
        <w:t>)</w:t>
      </w:r>
      <w:r w:rsidR="007839C5">
        <w:t xml:space="preserve"> and </w:t>
      </w:r>
      <w:r w:rsidRPr="00946C61">
        <w:t>PBAC advised it would be appropriate for the estimates to include Mayo</w:t>
      </w:r>
      <w:r w:rsidR="00270A97" w:rsidRPr="00946C61">
        <w:t xml:space="preserve"> Stage </w:t>
      </w:r>
      <w:r w:rsidR="00722A68">
        <w:t>III</w:t>
      </w:r>
      <w:r w:rsidRPr="00946C61">
        <w:t>B patients</w:t>
      </w:r>
      <w:r w:rsidR="00270A97" w:rsidRPr="00946C61">
        <w:t xml:space="preserve"> </w:t>
      </w:r>
      <w:r w:rsidRPr="00946C61">
        <w:t xml:space="preserve">consistent with the TGA indication. The PBAC noted that although DUSC considered that utilisation estimates to be reasonable, there was some uncertainty relating to the </w:t>
      </w:r>
      <w:r w:rsidR="00F43DDB" w:rsidRPr="00946C61">
        <w:t xml:space="preserve">overlapping AL amyloidosis and MM </w:t>
      </w:r>
      <w:r w:rsidR="002332ED" w:rsidRPr="00946C61">
        <w:t>patient population</w:t>
      </w:r>
      <w:r w:rsidR="00F43DDB" w:rsidRPr="00946C61">
        <w:t>s</w:t>
      </w:r>
      <w:r w:rsidR="00946C61">
        <w:t xml:space="preserve"> and </w:t>
      </w:r>
      <w:r w:rsidR="00BA0F05">
        <w:t xml:space="preserve">considered </w:t>
      </w:r>
      <w:r w:rsidR="00946C61">
        <w:t>that this impact</w:t>
      </w:r>
      <w:r w:rsidR="00BA0F05">
        <w:t>ed</w:t>
      </w:r>
      <w:r w:rsidR="00946C61">
        <w:t xml:space="preserve"> on the financial estimates </w:t>
      </w:r>
      <w:r w:rsidR="00BA0F05">
        <w:t xml:space="preserve">as it was determined that </w:t>
      </w:r>
      <w:r w:rsidR="004A7C7F">
        <w:t>patient</w:t>
      </w:r>
      <w:r w:rsidR="00946C61">
        <w:t>s</w:t>
      </w:r>
      <w:r w:rsidR="004A7C7F">
        <w:t xml:space="preserve"> </w:t>
      </w:r>
      <w:r w:rsidR="00BA0F05">
        <w:t xml:space="preserve">would be </w:t>
      </w:r>
      <w:r w:rsidR="004A7C7F">
        <w:t>eligible to access one course of daratumumab per lifetime</w:t>
      </w:r>
      <w:r w:rsidR="00946C61">
        <w:t xml:space="preserve"> (see paragraph 7.</w:t>
      </w:r>
      <w:r w:rsidR="00333F06" w:rsidRPr="00D772F5">
        <w:t>16</w:t>
      </w:r>
      <w:r w:rsidR="00946C61" w:rsidRPr="00D772F5">
        <w:t>)</w:t>
      </w:r>
      <w:r w:rsidRPr="00D772F5">
        <w:t>.</w:t>
      </w:r>
    </w:p>
    <w:p w14:paraId="543A7BDF" w14:textId="77777777" w:rsidR="002332ED" w:rsidRDefault="002332ED" w:rsidP="00383D6B">
      <w:pPr>
        <w:widowControl w:val="0"/>
        <w:numPr>
          <w:ilvl w:val="1"/>
          <w:numId w:val="1"/>
        </w:numPr>
        <w:spacing w:after="120"/>
        <w:rPr>
          <w:iCs/>
        </w:rPr>
      </w:pPr>
      <w:r w:rsidRPr="00B615D9">
        <w:t xml:space="preserve">The PBAC considered </w:t>
      </w:r>
      <w:r>
        <w:t xml:space="preserve">that </w:t>
      </w:r>
      <w:r w:rsidRPr="00B615D9">
        <w:t xml:space="preserve">the </w:t>
      </w:r>
      <w:r w:rsidR="00946C61">
        <w:t xml:space="preserve">financial </w:t>
      </w:r>
      <w:r w:rsidRPr="00B615D9">
        <w:t xml:space="preserve">risks associated with </w:t>
      </w:r>
      <w:r>
        <w:t>t</w:t>
      </w:r>
      <w:r w:rsidRPr="00B615D9">
        <w:t>he overlap</w:t>
      </w:r>
      <w:r>
        <w:t>ping</w:t>
      </w:r>
      <w:r w:rsidRPr="00B615D9">
        <w:t xml:space="preserve"> AL amyloidosis and MM populations</w:t>
      </w:r>
      <w:r w:rsidR="004A7C7F">
        <w:t xml:space="preserve"> could be </w:t>
      </w:r>
      <w:r w:rsidR="00946C61">
        <w:t xml:space="preserve">addressed with a combined RSA for both indications in which the expenditure caps </w:t>
      </w:r>
      <w:r w:rsidR="000A214E">
        <w:t xml:space="preserve">appropriately </w:t>
      </w:r>
      <w:r w:rsidR="00946C61">
        <w:t xml:space="preserve">account for </w:t>
      </w:r>
      <w:r w:rsidRPr="00946C61">
        <w:t>patients diagnosed with both indications, regardless of whether this occurs concurrently or sequentially</w:t>
      </w:r>
      <w:r w:rsidR="00946C61" w:rsidRPr="00946C61">
        <w:t>.</w:t>
      </w:r>
      <w:r w:rsidR="00383D6B">
        <w:t xml:space="preserve"> The PBAC </w:t>
      </w:r>
      <w:r w:rsidR="00B32F2A">
        <w:t xml:space="preserve">considered that the estimates presented in the </w:t>
      </w:r>
      <w:r w:rsidR="007839C5">
        <w:t>PSCR, adjusted for overlap between the populations,</w:t>
      </w:r>
      <w:r w:rsidR="00B32F2A">
        <w:t xml:space="preserve"> should for</w:t>
      </w:r>
      <w:r w:rsidR="007839C5">
        <w:t>m</w:t>
      </w:r>
      <w:r w:rsidR="00B32F2A">
        <w:t xml:space="preserve"> the basis</w:t>
      </w:r>
      <w:r w:rsidR="007839C5">
        <w:t xml:space="preserve"> of the revisions to the RSA</w:t>
      </w:r>
      <w:r w:rsidR="00EB6C3D">
        <w:rPr>
          <w:iCs/>
        </w:rPr>
        <w:t>.</w:t>
      </w:r>
    </w:p>
    <w:p w14:paraId="62AEE9CF" w14:textId="77777777" w:rsidR="00F43DDB" w:rsidRPr="00BB1884" w:rsidRDefault="00F43DDB" w:rsidP="009A42B6">
      <w:pPr>
        <w:pStyle w:val="3-BodyText"/>
      </w:pPr>
      <w:r>
        <w:t>With regards to the proposed restriction, th</w:t>
      </w:r>
      <w:r w:rsidRPr="00BB1884">
        <w:t xml:space="preserve">e PBAC </w:t>
      </w:r>
      <w:r w:rsidR="009A42B6">
        <w:t>considered that p</w:t>
      </w:r>
      <w:r w:rsidRPr="00BB1884">
        <w:t xml:space="preserve">atients with concurrent </w:t>
      </w:r>
      <w:r w:rsidR="00856228">
        <w:t>MM</w:t>
      </w:r>
      <w:r w:rsidRPr="00BB1884">
        <w:t>, should be allowed to access daratumumab</w:t>
      </w:r>
      <w:r w:rsidR="00856228">
        <w:t xml:space="preserve"> if AL amyloidosis is proven on biopsy. However, the PBAC advised that a patient should only be eligible to access one course of daratumumab (either IV or SC form) per lifetime</w:t>
      </w:r>
      <w:r w:rsidRPr="00BB1884">
        <w:t xml:space="preserve">, </w:t>
      </w:r>
      <w:r w:rsidR="00856228">
        <w:t xml:space="preserve">and wording to reflect this would be required to be added to both the proposed AL amyloidosis restriction and the MM listing. </w:t>
      </w:r>
    </w:p>
    <w:p w14:paraId="6B4C9532" w14:textId="77777777" w:rsidR="005F0084" w:rsidRDefault="00856228" w:rsidP="00110705">
      <w:pPr>
        <w:widowControl w:val="0"/>
        <w:numPr>
          <w:ilvl w:val="1"/>
          <w:numId w:val="1"/>
        </w:numPr>
        <w:spacing w:after="120"/>
        <w:rPr>
          <w:iCs/>
        </w:rPr>
      </w:pPr>
      <w:r>
        <w:rPr>
          <w:lang w:val="en-GB"/>
        </w:rPr>
        <w:t xml:space="preserve">The PBAC noted that </w:t>
      </w:r>
      <w:r w:rsidRPr="008C648D">
        <w:rPr>
          <w:lang w:val="en-GB"/>
        </w:rPr>
        <w:t xml:space="preserve">bortezomib would also need to be PBS listed to enable </w:t>
      </w:r>
      <w:r>
        <w:rPr>
          <w:lang w:val="en-GB"/>
        </w:rPr>
        <w:t>use of dar</w:t>
      </w:r>
      <w:r w:rsidRPr="008C648D">
        <w:rPr>
          <w:lang w:val="en-GB"/>
        </w:rPr>
        <w:t>atumumab</w:t>
      </w:r>
      <w:r>
        <w:rPr>
          <w:lang w:val="en-GB"/>
        </w:rPr>
        <w:t xml:space="preserve"> SC + CyBorD</w:t>
      </w:r>
      <w:r w:rsidRPr="008C648D">
        <w:rPr>
          <w:lang w:val="en-GB"/>
        </w:rPr>
        <w:t xml:space="preserve">. </w:t>
      </w:r>
      <w:r>
        <w:rPr>
          <w:lang w:val="en-GB"/>
        </w:rPr>
        <w:t xml:space="preserve">If daratumumab SC is recommended, the </w:t>
      </w:r>
      <w:r w:rsidRPr="008C648D">
        <w:rPr>
          <w:lang w:val="en-GB"/>
        </w:rPr>
        <w:t xml:space="preserve">PBAC considered </w:t>
      </w:r>
      <w:r>
        <w:rPr>
          <w:lang w:val="en-GB"/>
        </w:rPr>
        <w:t xml:space="preserve">bortezomib should be recommended as a </w:t>
      </w:r>
      <w:r w:rsidRPr="008C648D">
        <w:rPr>
          <w:lang w:val="en-GB"/>
        </w:rPr>
        <w:t xml:space="preserve">restricted benefit in line with </w:t>
      </w:r>
      <w:r>
        <w:rPr>
          <w:lang w:val="en-GB"/>
        </w:rPr>
        <w:t>the current</w:t>
      </w:r>
      <w:r w:rsidRPr="008C648D">
        <w:rPr>
          <w:lang w:val="en-GB"/>
        </w:rPr>
        <w:t xml:space="preserve"> bortezomib listings.  The PBAC suggested that a simplified restriction tied to daratumumab </w:t>
      </w:r>
      <w:r>
        <w:rPr>
          <w:lang w:val="en-GB"/>
        </w:rPr>
        <w:t xml:space="preserve">SC </w:t>
      </w:r>
      <w:r w:rsidRPr="008C648D">
        <w:rPr>
          <w:lang w:val="en-GB"/>
        </w:rPr>
        <w:t xml:space="preserve">and reliant on the daratumumab </w:t>
      </w:r>
      <w:r>
        <w:rPr>
          <w:lang w:val="en-GB"/>
        </w:rPr>
        <w:t xml:space="preserve">SC </w:t>
      </w:r>
      <w:r w:rsidRPr="008C648D">
        <w:rPr>
          <w:lang w:val="en-GB"/>
        </w:rPr>
        <w:t>restriction to provide detailed eligibility criteria would be appropriate</w:t>
      </w:r>
      <w:r w:rsidR="00150CE7">
        <w:rPr>
          <w:lang w:val="en-GB"/>
        </w:rPr>
        <w:t xml:space="preserve">. The PBAC advised that it could be </w:t>
      </w:r>
      <w:r w:rsidRPr="008C648D">
        <w:rPr>
          <w:lang w:val="en-GB"/>
        </w:rPr>
        <w:t>stated that the patient must fulfil the PBS criteria for daratumumab for AL amyloidosis. A maximum of 23 repeats would be required to cover bortezomib for 6 cycles of CyBorD.</w:t>
      </w:r>
    </w:p>
    <w:p w14:paraId="740487B0" w14:textId="77777777" w:rsidR="00B64051" w:rsidRDefault="004D414C" w:rsidP="00D71EB7">
      <w:pPr>
        <w:widowControl w:val="0"/>
        <w:numPr>
          <w:ilvl w:val="1"/>
          <w:numId w:val="1"/>
        </w:numPr>
        <w:spacing w:after="120"/>
        <w:rPr>
          <w:rFonts w:asciiTheme="minorHAnsi" w:hAnsiTheme="minorHAnsi"/>
          <w:bCs/>
          <w:snapToGrid w:val="0"/>
          <w:lang w:val="en-GB"/>
        </w:rPr>
      </w:pPr>
      <w:r w:rsidRPr="00B64051">
        <w:rPr>
          <w:iCs/>
        </w:rPr>
        <w:t xml:space="preserve">The </w:t>
      </w:r>
      <w:r w:rsidR="00B64051" w:rsidRPr="00B64051">
        <w:rPr>
          <w:rFonts w:asciiTheme="minorHAnsi" w:hAnsiTheme="minorHAnsi"/>
          <w:bCs/>
          <w:snapToGrid w:val="0"/>
          <w:lang w:val="en-GB"/>
        </w:rPr>
        <w:t xml:space="preserve">PBAC considered the outstanding issues </w:t>
      </w:r>
      <w:r w:rsidR="00150CE7">
        <w:rPr>
          <w:rFonts w:asciiTheme="minorHAnsi" w:hAnsiTheme="minorHAnsi"/>
          <w:bCs/>
          <w:snapToGrid w:val="0"/>
          <w:lang w:val="en-GB"/>
        </w:rPr>
        <w:t xml:space="preserve">could be easily resolved </w:t>
      </w:r>
      <w:r w:rsidR="00B64051" w:rsidRPr="00B64051">
        <w:rPr>
          <w:rFonts w:asciiTheme="minorHAnsi" w:hAnsiTheme="minorHAnsi"/>
          <w:bCs/>
          <w:snapToGrid w:val="0"/>
          <w:lang w:val="en-GB"/>
        </w:rPr>
        <w:t xml:space="preserve">in a simple resubmission for daratumumab SC. The PBAC also considered daratumumab SC addresses a high and urgent unmet clinical need and was expected to provide a substantial and clinically relevant improvement in efficacy, over any alternative therapies. Therefore, the PBAC considered an early resolution pathway would be acceptable. </w:t>
      </w:r>
      <w:r w:rsidR="00150CE7">
        <w:rPr>
          <w:rFonts w:asciiTheme="minorHAnsi" w:hAnsiTheme="minorHAnsi"/>
          <w:bCs/>
          <w:snapToGrid w:val="0"/>
          <w:lang w:val="en-GB"/>
        </w:rPr>
        <w:t xml:space="preserve">If the sponsor accepts this pathway, the </w:t>
      </w:r>
      <w:r w:rsidR="00B64051" w:rsidRPr="00B64051">
        <w:rPr>
          <w:rFonts w:asciiTheme="minorHAnsi" w:hAnsiTheme="minorHAnsi"/>
          <w:bCs/>
          <w:snapToGrid w:val="0"/>
          <w:lang w:val="en-GB"/>
        </w:rPr>
        <w:t>following changes may address these outstanding issues without requiring further re-evaluation:</w:t>
      </w:r>
    </w:p>
    <w:p w14:paraId="6CD653C3" w14:textId="77777777" w:rsidR="00150CE7" w:rsidRDefault="00150CE7" w:rsidP="0070637E">
      <w:pPr>
        <w:pStyle w:val="ListParagraph"/>
        <w:widowControl w:val="0"/>
        <w:numPr>
          <w:ilvl w:val="1"/>
          <w:numId w:val="13"/>
        </w:numPr>
        <w:ind w:left="1077" w:hanging="357"/>
        <w:rPr>
          <w:bCs/>
          <w:lang w:val="en-GB"/>
        </w:rPr>
      </w:pPr>
      <w:r>
        <w:rPr>
          <w:bCs/>
          <w:lang w:val="en-GB"/>
        </w:rPr>
        <w:t xml:space="preserve">A revised economic analysis which applies the more conservative assumptions outlined </w:t>
      </w:r>
      <w:r w:rsidRPr="00D772F5">
        <w:rPr>
          <w:bCs/>
          <w:lang w:val="en-GB"/>
        </w:rPr>
        <w:t>in paragraph 7.13</w:t>
      </w:r>
      <w:r w:rsidR="00904040" w:rsidRPr="00D772F5">
        <w:rPr>
          <w:bCs/>
          <w:lang w:val="en-GB"/>
        </w:rPr>
        <w:t xml:space="preserve"> and</w:t>
      </w:r>
      <w:r w:rsidR="00904040">
        <w:rPr>
          <w:bCs/>
          <w:lang w:val="en-GB"/>
        </w:rPr>
        <w:t xml:space="preserve"> price reduction to </w:t>
      </w:r>
      <w:r w:rsidR="00D12DC3">
        <w:rPr>
          <w:bCs/>
          <w:lang w:val="en-GB"/>
        </w:rPr>
        <w:t xml:space="preserve">achieve an ICER of approximately </w:t>
      </w:r>
      <w:r w:rsidR="003F38EE" w:rsidRPr="003F38EE">
        <w:rPr>
          <w:rFonts w:eastAsia="Calibri"/>
          <w:szCs w:val="18"/>
        </w:rPr>
        <w:t>$55,000 to &lt; $75,000</w:t>
      </w:r>
      <w:r w:rsidR="00D12DC3">
        <w:rPr>
          <w:bCs/>
          <w:lang w:val="en-GB"/>
        </w:rPr>
        <w:t>/QALY</w:t>
      </w:r>
      <w:r w:rsidR="004E1169">
        <w:rPr>
          <w:bCs/>
          <w:lang w:val="en-GB"/>
        </w:rPr>
        <w:t>;</w:t>
      </w:r>
      <w:r>
        <w:rPr>
          <w:bCs/>
          <w:lang w:val="en-GB"/>
        </w:rPr>
        <w:t xml:space="preserve"> </w:t>
      </w:r>
    </w:p>
    <w:p w14:paraId="75583E2C" w14:textId="77777777" w:rsidR="00150CE7" w:rsidRDefault="00150CE7" w:rsidP="00DA2B31">
      <w:pPr>
        <w:pStyle w:val="ListBullet"/>
        <w:spacing w:after="120"/>
        <w:ind w:left="1077" w:hanging="357"/>
        <w:contextualSpacing w:val="0"/>
        <w:rPr>
          <w:lang w:val="en-GB"/>
        </w:rPr>
      </w:pPr>
      <w:r>
        <w:rPr>
          <w:lang w:val="en-GB"/>
        </w:rPr>
        <w:t xml:space="preserve">A revised RSA which meets the criteria outlined </w:t>
      </w:r>
      <w:r w:rsidR="00135C04">
        <w:rPr>
          <w:lang w:val="en-GB"/>
        </w:rPr>
        <w:t xml:space="preserve">above and </w:t>
      </w:r>
      <w:r>
        <w:rPr>
          <w:lang w:val="en-GB"/>
        </w:rPr>
        <w:t xml:space="preserve">in </w:t>
      </w:r>
      <w:r w:rsidRPr="00D772F5">
        <w:rPr>
          <w:lang w:val="en-GB"/>
        </w:rPr>
        <w:t>paragraph 7.1</w:t>
      </w:r>
      <w:r w:rsidR="00333F06" w:rsidRPr="00D772F5">
        <w:rPr>
          <w:lang w:val="en-GB"/>
        </w:rPr>
        <w:t>5</w:t>
      </w:r>
      <w:r>
        <w:rPr>
          <w:lang w:val="en-GB"/>
        </w:rPr>
        <w:t>; and</w:t>
      </w:r>
    </w:p>
    <w:p w14:paraId="55561232" w14:textId="77777777" w:rsidR="00150CE7" w:rsidRPr="00150CE7" w:rsidRDefault="00150CE7" w:rsidP="00DA2B31">
      <w:pPr>
        <w:pStyle w:val="ListBullet"/>
        <w:spacing w:after="120"/>
        <w:ind w:left="1077" w:hanging="357"/>
        <w:contextualSpacing w:val="0"/>
        <w:rPr>
          <w:lang w:val="en-GB"/>
        </w:rPr>
      </w:pPr>
      <w:r>
        <w:rPr>
          <w:lang w:val="en-GB"/>
        </w:rPr>
        <w:t xml:space="preserve">A revised proposed restriction that meets the criteria outlined in </w:t>
      </w:r>
      <w:r w:rsidR="00D772F5">
        <w:rPr>
          <w:lang w:val="en-GB"/>
        </w:rPr>
        <w:t xml:space="preserve">Section 3 and </w:t>
      </w:r>
      <w:r>
        <w:rPr>
          <w:lang w:val="en-GB"/>
        </w:rPr>
        <w:t>paragraph 7.1</w:t>
      </w:r>
      <w:r w:rsidR="00333F06">
        <w:rPr>
          <w:lang w:val="en-GB"/>
        </w:rPr>
        <w:t>6</w:t>
      </w:r>
      <w:r w:rsidR="008607C1">
        <w:rPr>
          <w:lang w:val="en-GB"/>
        </w:rPr>
        <w:t>.</w:t>
      </w:r>
    </w:p>
    <w:p w14:paraId="6204FDE0" w14:textId="77777777" w:rsidR="00B64051" w:rsidRDefault="00B64051" w:rsidP="00B64051">
      <w:pPr>
        <w:pStyle w:val="3-BodyText"/>
        <w:numPr>
          <w:ilvl w:val="0"/>
          <w:numId w:val="0"/>
        </w:numPr>
        <w:ind w:left="720"/>
        <w:rPr>
          <w:rFonts w:ascii="Calibri" w:hAnsi="Calibri"/>
          <w:iCs/>
          <w:snapToGrid/>
        </w:rPr>
      </w:pPr>
      <w:r w:rsidRPr="00B64051">
        <w:rPr>
          <w:rFonts w:ascii="Calibri" w:hAnsi="Calibri"/>
          <w:iCs/>
          <w:snapToGrid/>
        </w:rPr>
        <w:t xml:space="preserve">The early resolution resubmission must be lodged by week 7 of the current PBAC cycle or the next cycle. If the issues cannot be addressed by the sponsor in a simple resubmission and the early resolution timing is not acceptable, </w:t>
      </w:r>
      <w:r w:rsidR="002461CF">
        <w:rPr>
          <w:rFonts w:ascii="Calibri" w:hAnsi="Calibri"/>
          <w:iCs/>
          <w:snapToGrid/>
        </w:rPr>
        <w:t>the</w:t>
      </w:r>
      <w:r w:rsidRPr="00B64051">
        <w:rPr>
          <w:rFonts w:ascii="Calibri" w:hAnsi="Calibri"/>
          <w:iCs/>
          <w:snapToGrid/>
        </w:rPr>
        <w:t xml:space="preserve"> standard re-entry </w:t>
      </w:r>
      <w:r w:rsidR="002461CF">
        <w:rPr>
          <w:rFonts w:ascii="Calibri" w:hAnsi="Calibri"/>
          <w:iCs/>
          <w:snapToGrid/>
        </w:rPr>
        <w:t>timing</w:t>
      </w:r>
      <w:r w:rsidRPr="00B64051">
        <w:rPr>
          <w:rFonts w:ascii="Calibri" w:hAnsi="Calibri"/>
          <w:iCs/>
          <w:snapToGrid/>
        </w:rPr>
        <w:t xml:space="preserve"> is available</w:t>
      </w:r>
      <w:r w:rsidR="00752D1A">
        <w:rPr>
          <w:rFonts w:ascii="Calibri" w:hAnsi="Calibri"/>
          <w:iCs/>
          <w:snapToGrid/>
        </w:rPr>
        <w:t xml:space="preserve"> in the next cycle</w:t>
      </w:r>
      <w:r w:rsidRPr="00B64051">
        <w:rPr>
          <w:rFonts w:ascii="Calibri" w:hAnsi="Calibri"/>
          <w:iCs/>
          <w:snapToGrid/>
        </w:rPr>
        <w:t>.</w:t>
      </w:r>
    </w:p>
    <w:p w14:paraId="748C61EC" w14:textId="77777777" w:rsidR="00856228" w:rsidRDefault="00DA2B31" w:rsidP="00856228">
      <w:pPr>
        <w:widowControl w:val="0"/>
        <w:numPr>
          <w:ilvl w:val="1"/>
          <w:numId w:val="1"/>
        </w:numPr>
        <w:spacing w:after="120"/>
        <w:rPr>
          <w:iCs/>
        </w:rPr>
      </w:pPr>
      <w:r>
        <w:t xml:space="preserve">The PBAC advised that </w:t>
      </w:r>
      <w:r w:rsidR="00720863">
        <w:t>should the sponsor choose the standard re-entry pathway, the resubmission would be</w:t>
      </w:r>
      <w:r w:rsidR="00856228">
        <w:t xml:space="preserve"> required to address </w:t>
      </w:r>
      <w:r w:rsidR="002461CF">
        <w:t xml:space="preserve">the </w:t>
      </w:r>
      <w:r w:rsidR="00856228">
        <w:t xml:space="preserve">concerns expressed about the economic model in the ESC Advice.  For example, the model should have a reduced time horizon of </w:t>
      </w:r>
      <w:r w:rsidR="00856228" w:rsidRPr="00057E69">
        <w:rPr>
          <w:lang w:val="en-US"/>
        </w:rPr>
        <w:t xml:space="preserve">15-20 years, with convergence applied, and improved modelling of the uncertainty associated with </w:t>
      </w:r>
      <w:r w:rsidR="002461CF">
        <w:rPr>
          <w:lang w:val="en-US"/>
        </w:rPr>
        <w:t xml:space="preserve">the use of </w:t>
      </w:r>
      <w:r w:rsidR="00856228" w:rsidRPr="00057E69">
        <w:rPr>
          <w:lang w:val="en-US"/>
        </w:rPr>
        <w:t>a surrogate outcome to predict overall survival.  Furthermore, the resubmission should</w:t>
      </w:r>
      <w:r w:rsidR="00856228">
        <w:rPr>
          <w:lang w:val="en-US"/>
        </w:rPr>
        <w:t xml:space="preserve"> </w:t>
      </w:r>
      <w:r w:rsidR="00856228" w:rsidRPr="00057E69">
        <w:rPr>
          <w:lang w:val="en-US"/>
        </w:rPr>
        <w:t>consider using data from other studies</w:t>
      </w:r>
      <w:r w:rsidR="002461CF">
        <w:rPr>
          <w:lang w:val="en-US"/>
        </w:rPr>
        <w:t>,</w:t>
      </w:r>
      <w:r w:rsidR="00856228" w:rsidRPr="00057E69">
        <w:rPr>
          <w:lang w:val="en-US"/>
        </w:rPr>
        <w:t xml:space="preserve"> including </w:t>
      </w:r>
      <w:r w:rsidR="002461CF">
        <w:rPr>
          <w:lang w:val="en-US"/>
        </w:rPr>
        <w:t xml:space="preserve">the </w:t>
      </w:r>
      <w:r w:rsidR="00856228" w:rsidRPr="00057E69">
        <w:rPr>
          <w:lang w:val="en-US"/>
        </w:rPr>
        <w:t>EMN</w:t>
      </w:r>
      <w:r w:rsidR="002461CF">
        <w:rPr>
          <w:lang w:val="en-US"/>
        </w:rPr>
        <w:t xml:space="preserve"> data</w:t>
      </w:r>
      <w:r w:rsidR="00856228" w:rsidRPr="00057E69">
        <w:rPr>
          <w:lang w:val="en-US"/>
        </w:rPr>
        <w:t>, model alternative approaches to extrapolation, and model the impact of updated clinical data based on a longer-follow-up period where possible.</w:t>
      </w:r>
      <w:r w:rsidR="00B7165E">
        <w:rPr>
          <w:lang w:val="en-US"/>
        </w:rPr>
        <w:t xml:space="preserve"> The overlap in </w:t>
      </w:r>
      <w:r w:rsidR="00B7165E" w:rsidRPr="003D6705">
        <w:t xml:space="preserve">patients with AL amyloidosis and </w:t>
      </w:r>
      <w:r w:rsidR="00D772F5">
        <w:t>MM</w:t>
      </w:r>
      <w:r w:rsidR="00B7165E">
        <w:t xml:space="preserve"> would also need to be addressed in the financial estimates</w:t>
      </w:r>
      <w:r w:rsidR="00B7165E" w:rsidRPr="003D6705">
        <w:t>.</w:t>
      </w:r>
    </w:p>
    <w:p w14:paraId="48959BFC" w14:textId="77777777" w:rsidR="00057E69" w:rsidRPr="00525B39" w:rsidRDefault="00057E69" w:rsidP="00057E69">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eligible for an Independent Review.</w:t>
      </w:r>
    </w:p>
    <w:p w14:paraId="2E8DF920" w14:textId="77777777" w:rsidR="00E66379" w:rsidRPr="00525B39" w:rsidRDefault="00E66379" w:rsidP="00E6637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79B0DA7" w14:textId="77777777" w:rsidR="00E66379" w:rsidRPr="00525B39" w:rsidRDefault="00E66379" w:rsidP="00E66379">
      <w:pPr>
        <w:rPr>
          <w:rFonts w:asciiTheme="minorHAnsi" w:hAnsiTheme="minorHAnsi"/>
          <w:bCs/>
          <w:snapToGrid w:val="0"/>
          <w:lang w:val="en-GB"/>
        </w:rPr>
      </w:pPr>
      <w:r>
        <w:rPr>
          <w:rFonts w:asciiTheme="minorHAnsi" w:hAnsiTheme="minorHAnsi"/>
          <w:bCs/>
          <w:snapToGrid w:val="0"/>
          <w:lang w:val="en-GB"/>
        </w:rPr>
        <w:t>Not recommended</w:t>
      </w:r>
    </w:p>
    <w:p w14:paraId="32678F05" w14:textId="77777777" w:rsidR="00E66379" w:rsidRPr="00525B39" w:rsidRDefault="00E66379" w:rsidP="00E66379">
      <w:pPr>
        <w:widowControl w:val="0"/>
        <w:rPr>
          <w:rFonts w:asciiTheme="minorHAnsi" w:hAnsiTheme="minorHAnsi"/>
          <w:b/>
          <w:bCs/>
          <w:snapToGrid w:val="0"/>
        </w:rPr>
      </w:pPr>
    </w:p>
    <w:p w14:paraId="5C6FF374" w14:textId="77777777" w:rsidR="003D6705" w:rsidRDefault="003D6705" w:rsidP="00E66379">
      <w:pPr>
        <w:contextualSpacing/>
        <w:rPr>
          <w:rFonts w:asciiTheme="minorHAnsi" w:hAnsiTheme="minorHAnsi"/>
        </w:rPr>
      </w:pPr>
    </w:p>
    <w:bookmarkEnd w:id="66"/>
    <w:bookmarkEnd w:id="67"/>
    <w:bookmarkEnd w:id="68"/>
    <w:p w14:paraId="4DDB9077" w14:textId="25BE7D3F" w:rsidR="00FB7360" w:rsidRDefault="00FB7360">
      <w:pPr>
        <w:jc w:val="left"/>
        <w:rPr>
          <w:rFonts w:asciiTheme="minorHAnsi" w:eastAsiaTheme="majorEastAsia" w:hAnsiTheme="minorHAnsi" w:cstheme="majorBidi"/>
          <w:b/>
          <w:iCs/>
          <w:spacing w:val="5"/>
          <w:kern w:val="28"/>
          <w:sz w:val="28"/>
          <w:szCs w:val="36"/>
        </w:rPr>
      </w:pPr>
    </w:p>
    <w:p w14:paraId="17D79190" w14:textId="43F7F337" w:rsidR="00796A91" w:rsidRDefault="00796A91">
      <w:pPr>
        <w:jc w:val="left"/>
        <w:rPr>
          <w:rFonts w:asciiTheme="minorHAnsi" w:eastAsiaTheme="majorEastAsia" w:hAnsiTheme="minorHAnsi" w:cstheme="majorBidi"/>
          <w:b/>
          <w:iCs/>
          <w:spacing w:val="5"/>
          <w:kern w:val="28"/>
          <w:sz w:val="28"/>
          <w:szCs w:val="36"/>
        </w:rPr>
      </w:pPr>
    </w:p>
    <w:p w14:paraId="1A3A5DC6" w14:textId="4C2C31C5" w:rsidR="00796A91" w:rsidRDefault="00796A91">
      <w:pPr>
        <w:jc w:val="left"/>
        <w:rPr>
          <w:rFonts w:asciiTheme="minorHAnsi" w:eastAsiaTheme="majorEastAsia" w:hAnsiTheme="minorHAnsi" w:cstheme="majorBidi"/>
          <w:b/>
          <w:iCs/>
          <w:spacing w:val="5"/>
          <w:kern w:val="28"/>
          <w:sz w:val="28"/>
          <w:szCs w:val="36"/>
        </w:rPr>
      </w:pPr>
    </w:p>
    <w:p w14:paraId="567E3F49" w14:textId="444EC2DD" w:rsidR="00796A91" w:rsidRDefault="00796A91">
      <w:pPr>
        <w:jc w:val="left"/>
        <w:rPr>
          <w:rFonts w:asciiTheme="minorHAnsi" w:eastAsiaTheme="majorEastAsia" w:hAnsiTheme="minorHAnsi" w:cstheme="majorBidi"/>
          <w:b/>
          <w:iCs/>
          <w:spacing w:val="5"/>
          <w:kern w:val="28"/>
          <w:sz w:val="28"/>
          <w:szCs w:val="36"/>
        </w:rPr>
      </w:pPr>
    </w:p>
    <w:p w14:paraId="1C966EFB" w14:textId="522C4CBA" w:rsidR="00796A91" w:rsidRDefault="00796A91">
      <w:pPr>
        <w:jc w:val="left"/>
        <w:rPr>
          <w:rFonts w:asciiTheme="minorHAnsi" w:eastAsiaTheme="majorEastAsia" w:hAnsiTheme="minorHAnsi" w:cstheme="majorBidi"/>
          <w:b/>
          <w:iCs/>
          <w:spacing w:val="5"/>
          <w:kern w:val="28"/>
          <w:sz w:val="28"/>
          <w:szCs w:val="36"/>
        </w:rPr>
      </w:pPr>
    </w:p>
    <w:p w14:paraId="08886898" w14:textId="74214DB5" w:rsidR="00796A91" w:rsidRDefault="00796A91">
      <w:pPr>
        <w:jc w:val="left"/>
        <w:rPr>
          <w:rFonts w:asciiTheme="minorHAnsi" w:eastAsiaTheme="majorEastAsia" w:hAnsiTheme="minorHAnsi" w:cstheme="majorBidi"/>
          <w:b/>
          <w:iCs/>
          <w:spacing w:val="5"/>
          <w:kern w:val="28"/>
          <w:sz w:val="28"/>
          <w:szCs w:val="36"/>
        </w:rPr>
      </w:pPr>
    </w:p>
    <w:p w14:paraId="3CAF0553" w14:textId="216C22A3" w:rsidR="00796A91" w:rsidRDefault="00796A91">
      <w:pPr>
        <w:jc w:val="left"/>
        <w:rPr>
          <w:rFonts w:asciiTheme="minorHAnsi" w:eastAsiaTheme="majorEastAsia" w:hAnsiTheme="minorHAnsi" w:cstheme="majorBidi"/>
          <w:b/>
          <w:iCs/>
          <w:spacing w:val="5"/>
          <w:kern w:val="28"/>
          <w:sz w:val="28"/>
          <w:szCs w:val="36"/>
        </w:rPr>
      </w:pPr>
    </w:p>
    <w:p w14:paraId="4C7986C1" w14:textId="6D337526" w:rsidR="00796A91" w:rsidRDefault="00796A91">
      <w:pPr>
        <w:jc w:val="left"/>
        <w:rPr>
          <w:rFonts w:asciiTheme="minorHAnsi" w:eastAsiaTheme="majorEastAsia" w:hAnsiTheme="minorHAnsi" w:cstheme="majorBidi"/>
          <w:b/>
          <w:iCs/>
          <w:spacing w:val="5"/>
          <w:kern w:val="28"/>
          <w:sz w:val="28"/>
          <w:szCs w:val="36"/>
        </w:rPr>
      </w:pPr>
    </w:p>
    <w:p w14:paraId="3B4859DA" w14:textId="7D5C8372" w:rsidR="00796A91" w:rsidRPr="00622E6C" w:rsidRDefault="00796A91" w:rsidP="00796A91">
      <w:pPr>
        <w:pageBreakBefore/>
        <w:widowControl w:val="0"/>
        <w:rPr>
          <w:rFonts w:asciiTheme="minorHAnsi" w:hAnsiTheme="minorHAnsi"/>
          <w:b/>
          <w:bCs/>
          <w:snapToGrid w:val="0"/>
          <w:color w:val="FF0000"/>
          <w:sz w:val="28"/>
          <w:szCs w:val="28"/>
        </w:rPr>
      </w:pPr>
      <w:r w:rsidRPr="00622E6C">
        <w:rPr>
          <w:rFonts w:asciiTheme="minorHAnsi" w:hAnsiTheme="minorHAnsi"/>
          <w:b/>
          <w:bCs/>
          <w:snapToGrid w:val="0"/>
          <w:color w:val="FF0000"/>
          <w:sz w:val="28"/>
          <w:szCs w:val="28"/>
        </w:rPr>
        <w:t xml:space="preserve">Addendum to the November 2021 PBAC </w:t>
      </w:r>
      <w:r w:rsidR="009D37D9">
        <w:rPr>
          <w:rFonts w:asciiTheme="minorHAnsi" w:hAnsiTheme="minorHAnsi"/>
          <w:b/>
          <w:bCs/>
          <w:snapToGrid w:val="0"/>
          <w:color w:val="FF0000"/>
          <w:sz w:val="28"/>
          <w:szCs w:val="28"/>
        </w:rPr>
        <w:t>PSD</w:t>
      </w:r>
      <w:r w:rsidRPr="00622E6C">
        <w:rPr>
          <w:rFonts w:asciiTheme="minorHAnsi" w:hAnsiTheme="minorHAnsi"/>
          <w:b/>
          <w:bCs/>
          <w:snapToGrid w:val="0"/>
          <w:color w:val="FF0000"/>
          <w:sz w:val="28"/>
          <w:szCs w:val="28"/>
        </w:rPr>
        <w:t>:</w:t>
      </w:r>
    </w:p>
    <w:p w14:paraId="61ABE25A" w14:textId="77777777" w:rsidR="00796A91" w:rsidRPr="00622E6C" w:rsidRDefault="00796A91" w:rsidP="00796A91">
      <w:pPr>
        <w:jc w:val="left"/>
        <w:rPr>
          <w:rFonts w:asciiTheme="minorHAnsi" w:eastAsiaTheme="majorEastAsia" w:hAnsiTheme="minorHAnsi" w:cstheme="majorBidi"/>
          <w:b/>
          <w:iCs/>
          <w:spacing w:val="5"/>
          <w:kern w:val="28"/>
          <w:sz w:val="28"/>
          <w:szCs w:val="36"/>
        </w:rPr>
      </w:pPr>
    </w:p>
    <w:p w14:paraId="5E3A1C0B" w14:textId="77777777" w:rsidR="00796A91" w:rsidRPr="00622E6C" w:rsidRDefault="00796A91" w:rsidP="00796A91">
      <w:pPr>
        <w:pStyle w:val="1-MainHeading"/>
      </w:pPr>
      <w:r w:rsidRPr="00622E6C">
        <w:t>7.01</w:t>
      </w:r>
      <w:r w:rsidRPr="00622E6C">
        <w:tab/>
        <w:t>DARATUMUMAB,</w:t>
      </w:r>
      <w:r w:rsidRPr="00622E6C">
        <w:br/>
        <w:t>Solution for subcutaneous injection 1,800 mg in 15 mL vial,</w:t>
      </w:r>
      <w:r w:rsidRPr="00622E6C">
        <w:br/>
        <w:t>Darzalex SC</w:t>
      </w:r>
      <w:r w:rsidRPr="00622E6C">
        <w:rPr>
          <w:vertAlign w:val="superscript"/>
        </w:rPr>
        <w:t>®</w:t>
      </w:r>
      <w:r w:rsidRPr="00622E6C">
        <w:t>,</w:t>
      </w:r>
      <w:r w:rsidRPr="00622E6C">
        <w:br/>
        <w:t>Janssen-Cilag Pty Ltd.</w:t>
      </w:r>
    </w:p>
    <w:p w14:paraId="7652B293" w14:textId="77777777" w:rsidR="00796A91" w:rsidRPr="00622E6C" w:rsidRDefault="00796A91" w:rsidP="00796A91">
      <w:pPr>
        <w:pStyle w:val="2-SectionHeading"/>
      </w:pPr>
      <w:r w:rsidRPr="00622E6C">
        <w:t>Background</w:t>
      </w:r>
    </w:p>
    <w:p w14:paraId="5D99B6C6" w14:textId="77777777" w:rsidR="00796A91" w:rsidRPr="00622E6C" w:rsidRDefault="00796A91" w:rsidP="00796A91">
      <w:pPr>
        <w:widowControl w:val="0"/>
        <w:numPr>
          <w:ilvl w:val="1"/>
          <w:numId w:val="1"/>
        </w:numPr>
        <w:spacing w:after="120"/>
      </w:pPr>
      <w:r w:rsidRPr="00622E6C">
        <w:rPr>
          <w:rFonts w:asciiTheme="minorHAnsi" w:hAnsiTheme="minorHAnsi" w:cstheme="minorHAnsi"/>
        </w:rPr>
        <w:t xml:space="preserve">An early resolution resubmission was provided that sought to address the PBAC’s concerns from its November 2021 meeting at which the PBAC did not recommend </w:t>
      </w:r>
      <w:r w:rsidRPr="00622E6C">
        <w:t xml:space="preserve">daratumumab subcutaneous (SC), in combination with cyclophosphamide, bortezomib and dexamethasone (CyBorD), for newly diagnosed patients with systemic light-chain AL amyloidosis (herein referred to as AL amyloidosis). </w:t>
      </w:r>
    </w:p>
    <w:p w14:paraId="6D05B00E" w14:textId="77777777" w:rsidR="00796A91" w:rsidRPr="00622E6C" w:rsidRDefault="00796A91" w:rsidP="00796A91">
      <w:pPr>
        <w:pStyle w:val="2-SectionHeading"/>
      </w:pPr>
      <w:r w:rsidRPr="00622E6C">
        <w:t>Consideration of the evidence</w:t>
      </w:r>
    </w:p>
    <w:p w14:paraId="0E3FF908" w14:textId="77777777" w:rsidR="00796A91" w:rsidRPr="00622E6C" w:rsidRDefault="00796A91" w:rsidP="00796A91">
      <w:pPr>
        <w:pStyle w:val="3-BodyText"/>
      </w:pPr>
      <w:r w:rsidRPr="00622E6C">
        <w:t>At the November 2021 meeting, the PBAC did not recommend daratumumab SC + CyBorD but considered that the early resolution pathway would be appropriate if the following issues were addressed:</w:t>
      </w:r>
    </w:p>
    <w:p w14:paraId="474169C5" w14:textId="1C77EB0E" w:rsidR="00796A91" w:rsidRPr="00622E6C" w:rsidRDefault="00796A91" w:rsidP="0070637E">
      <w:pPr>
        <w:pStyle w:val="ListParagraph"/>
        <w:numPr>
          <w:ilvl w:val="0"/>
          <w:numId w:val="18"/>
        </w:numPr>
        <w:spacing w:after="200" w:line="276" w:lineRule="auto"/>
        <w:ind w:left="1074"/>
        <w:contextualSpacing/>
      </w:pPr>
      <w:r w:rsidRPr="00622E6C">
        <w:t xml:space="preserve">Economic model: a price reduction to give an incremental cost effectiveness ratio (ICER) of approximately </w:t>
      </w:r>
      <w:r w:rsidR="00F75B87" w:rsidRPr="00F75B87">
        <w:t xml:space="preserve">$55,000 to &lt; $75,000 </w:t>
      </w:r>
      <w:r w:rsidRPr="00622E6C">
        <w:t xml:space="preserve">per quality adjusted life year (QALY) once - </w:t>
      </w:r>
    </w:p>
    <w:p w14:paraId="33837772" w14:textId="77777777" w:rsidR="00796A91" w:rsidRPr="00622E6C" w:rsidRDefault="00796A91" w:rsidP="0070637E">
      <w:pPr>
        <w:pStyle w:val="ListParagraph"/>
        <w:numPr>
          <w:ilvl w:val="1"/>
          <w:numId w:val="15"/>
        </w:numPr>
        <w:spacing w:after="200" w:line="276" w:lineRule="auto"/>
        <w:ind w:left="1428" w:hanging="357"/>
        <w:contextualSpacing/>
      </w:pPr>
      <w:r w:rsidRPr="00622E6C">
        <w:t xml:space="preserve">the time horizon was reduced from 25 years to </w:t>
      </w:r>
      <w:r w:rsidRPr="00622E6C">
        <w:rPr>
          <w:rFonts w:cs="Calibri"/>
        </w:rPr>
        <w:t>≤</w:t>
      </w:r>
      <w:r w:rsidRPr="00622E6C">
        <w:t xml:space="preserve"> 20 years;</w:t>
      </w:r>
    </w:p>
    <w:p w14:paraId="558A11D3" w14:textId="77777777" w:rsidR="00796A91" w:rsidRPr="00622E6C" w:rsidRDefault="00796A91" w:rsidP="0070637E">
      <w:pPr>
        <w:pStyle w:val="ListParagraph"/>
        <w:numPr>
          <w:ilvl w:val="1"/>
          <w:numId w:val="15"/>
        </w:numPr>
        <w:spacing w:after="200" w:line="276" w:lineRule="auto"/>
        <w:ind w:left="1428" w:hanging="357"/>
        <w:contextualSpacing/>
      </w:pPr>
      <w:r w:rsidRPr="00622E6C">
        <w:t>the time to subsequent treatment extrapolations were converged from 24 to 60 months; and</w:t>
      </w:r>
    </w:p>
    <w:p w14:paraId="2CDABB72" w14:textId="77777777" w:rsidR="00796A91" w:rsidRPr="00622E6C" w:rsidRDefault="00796A91" w:rsidP="0070637E">
      <w:pPr>
        <w:pStyle w:val="ListParagraph"/>
        <w:numPr>
          <w:ilvl w:val="1"/>
          <w:numId w:val="15"/>
        </w:numPr>
        <w:spacing w:after="200" w:line="276" w:lineRule="auto"/>
        <w:ind w:left="1428" w:hanging="357"/>
        <w:contextualSpacing/>
      </w:pPr>
      <w:r w:rsidRPr="00622E6C">
        <w:t>European Myeloma Network (EMN) data were used to inform the translation of the haematologic response to OS</w:t>
      </w:r>
    </w:p>
    <w:p w14:paraId="5E55DE8D" w14:textId="77777777" w:rsidR="00796A91" w:rsidRPr="00622E6C" w:rsidRDefault="00796A91" w:rsidP="0070637E">
      <w:pPr>
        <w:pStyle w:val="ListParagraph"/>
        <w:numPr>
          <w:ilvl w:val="0"/>
          <w:numId w:val="19"/>
        </w:numPr>
        <w:spacing w:after="200" w:line="276" w:lineRule="auto"/>
        <w:ind w:left="1074"/>
        <w:contextualSpacing/>
      </w:pPr>
      <w:r w:rsidRPr="00622E6C">
        <w:t>Risk Sharing Arrangement (RSA): present a combined RSA for daratumumab use in both AL amyloidosis and second-line multiple myeloma (MM) -</w:t>
      </w:r>
    </w:p>
    <w:p w14:paraId="1F47B4C5" w14:textId="77777777" w:rsidR="00796A91" w:rsidRPr="00622E6C" w:rsidRDefault="00796A91" w:rsidP="0070637E">
      <w:pPr>
        <w:pStyle w:val="ListParagraph"/>
        <w:numPr>
          <w:ilvl w:val="0"/>
          <w:numId w:val="15"/>
        </w:numPr>
        <w:spacing w:after="200" w:line="276" w:lineRule="auto"/>
        <w:ind w:left="1434"/>
        <w:contextualSpacing/>
      </w:pPr>
      <w:r w:rsidRPr="00622E6C">
        <w:t>in which the expenditure caps appropriately accounted for patients diagnosed with both indications; and</w:t>
      </w:r>
    </w:p>
    <w:p w14:paraId="1CEEB279" w14:textId="77777777" w:rsidR="00796A91" w:rsidRPr="00622E6C" w:rsidRDefault="00796A91" w:rsidP="0070637E">
      <w:pPr>
        <w:pStyle w:val="ListParagraph"/>
        <w:numPr>
          <w:ilvl w:val="0"/>
          <w:numId w:val="16"/>
        </w:numPr>
        <w:spacing w:after="200" w:line="276" w:lineRule="auto"/>
        <w:ind w:left="1434"/>
        <w:contextualSpacing/>
      </w:pPr>
      <w:r w:rsidRPr="00622E6C">
        <w:t>which were based on estimates provided in the PSCR, adjusted for overlap.</w:t>
      </w:r>
    </w:p>
    <w:p w14:paraId="0C419BAF" w14:textId="77777777" w:rsidR="00796A91" w:rsidRPr="00622E6C" w:rsidRDefault="00796A91" w:rsidP="0070637E">
      <w:pPr>
        <w:pStyle w:val="ListParagraph"/>
        <w:numPr>
          <w:ilvl w:val="0"/>
          <w:numId w:val="20"/>
        </w:numPr>
        <w:spacing w:after="200" w:line="276" w:lineRule="auto"/>
        <w:ind w:left="1074"/>
        <w:contextualSpacing/>
      </w:pPr>
      <w:r w:rsidRPr="00622E6C">
        <w:t>Restriction: allowed patients to receive only one course of daratumumab per lifetime, regardless of the indication by –</w:t>
      </w:r>
    </w:p>
    <w:p w14:paraId="4BFE463D" w14:textId="77777777" w:rsidR="00796A91" w:rsidRPr="00622E6C" w:rsidRDefault="00796A91" w:rsidP="0070637E">
      <w:pPr>
        <w:pStyle w:val="ListParagraph"/>
        <w:numPr>
          <w:ilvl w:val="0"/>
          <w:numId w:val="17"/>
        </w:numPr>
        <w:spacing w:after="200" w:line="276" w:lineRule="auto"/>
        <w:ind w:left="1434"/>
        <w:contextualSpacing/>
      </w:pPr>
      <w:r w:rsidRPr="00622E6C">
        <w:t>presenting revised restrictions for AL amyloidosis and second-line MM.</w:t>
      </w:r>
    </w:p>
    <w:p w14:paraId="74D97ECE" w14:textId="711F1597"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The early resolution resubmission made the three changes to the economic model as requested by the PBAC in November 2021 and summarised in paragraph 9.1. These changes resulted in an ICER of </w:t>
      </w:r>
      <w:r w:rsidR="00F75B87" w:rsidRPr="00F75B87">
        <w:rPr>
          <w:rFonts w:asciiTheme="minorHAnsi" w:hAnsiTheme="minorHAnsi"/>
          <w:snapToGrid w:val="0"/>
        </w:rPr>
        <w:t>$75,000 to &lt; $95,000</w:t>
      </w:r>
      <w:r w:rsidR="00F75B87">
        <w:rPr>
          <w:rFonts w:asciiTheme="minorHAnsi" w:hAnsiTheme="minorHAnsi"/>
          <w:snapToGrid w:val="0"/>
        </w:rPr>
        <w:t xml:space="preserve"> </w:t>
      </w:r>
      <w:r w:rsidRPr="00622E6C">
        <w:rPr>
          <w:rFonts w:asciiTheme="minorHAnsi" w:hAnsiTheme="minorHAnsi"/>
          <w:snapToGrid w:val="0"/>
        </w:rPr>
        <w:t>per QALY versus CyBorD alone.</w:t>
      </w:r>
    </w:p>
    <w:p w14:paraId="56E28D36" w14:textId="3F8148A2"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The early resolution resubmission proposed no change to the published or effective prices of daratumumab SC.  The proposed prices were the same as the price of daratumumab SC for RRMM (published approved ex-manufacturer price (AEMP) = $7,010.28; effective AEMP = $</w:t>
      </w:r>
      <w:r w:rsidR="00EB4334" w:rsidRPr="00494C04">
        <w:rPr>
          <w:rFonts w:asciiTheme="minorHAnsi" w:hAnsiTheme="minorHAnsi"/>
          <w:snapToGrid w:val="0"/>
          <w:color w:val="000000"/>
          <w:w w:val="15"/>
          <w:shd w:val="solid" w:color="000000" w:fill="000000"/>
          <w:fitText w:val="-10" w:id="-1477797376"/>
          <w14:textFill>
            <w14:solidFill>
              <w14:srgbClr w14:val="000000">
                <w14:alpha w14:val="100000"/>
              </w14:srgbClr>
            </w14:solidFill>
          </w14:textFill>
        </w:rPr>
        <w:t xml:space="preserve">|  </w:t>
      </w:r>
      <w:r w:rsidR="00EB4334" w:rsidRPr="00494C04">
        <w:rPr>
          <w:rFonts w:asciiTheme="minorHAnsi" w:hAnsiTheme="minorHAnsi"/>
          <w:snapToGrid w:val="0"/>
          <w:color w:val="000000"/>
          <w:spacing w:val="-59"/>
          <w:w w:val="15"/>
          <w:shd w:val="solid" w:color="000000" w:fill="000000"/>
          <w:fitText w:val="-10" w:id="-1477797376"/>
          <w14:textFill>
            <w14:solidFill>
              <w14:srgbClr w14:val="000000">
                <w14:alpha w14:val="100000"/>
              </w14:srgbClr>
            </w14:solidFill>
          </w14:textFill>
        </w:rPr>
        <w:t>|</w:t>
      </w:r>
      <w:r w:rsidRPr="00622E6C">
        <w:rPr>
          <w:rFonts w:asciiTheme="minorHAnsi" w:hAnsiTheme="minorHAnsi"/>
          <w:snapToGrid w:val="0"/>
        </w:rPr>
        <w:t xml:space="preserve">). Instead of reducing the proposed effective price of daratumumab SC to give an ICER of approximately </w:t>
      </w:r>
      <w:r w:rsidR="00F75B87" w:rsidRPr="00F75B87">
        <w:rPr>
          <w:rFonts w:asciiTheme="minorHAnsi" w:hAnsiTheme="minorHAnsi"/>
          <w:snapToGrid w:val="0"/>
        </w:rPr>
        <w:t>$55,000 to &lt; $75,000</w:t>
      </w:r>
      <w:r w:rsidR="00F75B87">
        <w:rPr>
          <w:rFonts w:asciiTheme="minorHAnsi" w:hAnsiTheme="minorHAnsi"/>
          <w:snapToGrid w:val="0"/>
        </w:rPr>
        <w:t xml:space="preserve"> </w:t>
      </w:r>
      <w:r w:rsidRPr="00622E6C">
        <w:rPr>
          <w:rFonts w:asciiTheme="minorHAnsi" w:hAnsiTheme="minorHAnsi"/>
          <w:snapToGrid w:val="0"/>
        </w:rPr>
        <w:t>per QALY, the early resolution resubmission based the economic analysis on the net cost of daratumumab after application of the proposed RSA in which the financial caps were set below the estimated level of utilisation. If the estimates of expected use are accurate, the average effective ex-manufacturer price for daratumumab per injection would be $</w:t>
      </w:r>
      <w:r w:rsidR="00EB4334" w:rsidRPr="00494C04">
        <w:rPr>
          <w:rFonts w:asciiTheme="minorHAnsi" w:hAnsiTheme="minorHAnsi"/>
          <w:snapToGrid w:val="0"/>
          <w:color w:val="000000"/>
          <w:w w:val="15"/>
          <w:shd w:val="solid" w:color="000000" w:fill="000000"/>
          <w:fitText w:val="-20" w:id="-1477797375"/>
          <w14:textFill>
            <w14:solidFill>
              <w14:srgbClr w14:val="000000">
                <w14:alpha w14:val="100000"/>
              </w14:srgbClr>
            </w14:solidFill>
          </w14:textFill>
        </w:rPr>
        <w:t xml:space="preserve">|  </w:t>
      </w:r>
      <w:r w:rsidR="00EB4334" w:rsidRPr="00494C04">
        <w:rPr>
          <w:rFonts w:asciiTheme="minorHAnsi" w:hAnsiTheme="minorHAnsi"/>
          <w:snapToGrid w:val="0"/>
          <w:color w:val="000000"/>
          <w:spacing w:val="-69"/>
          <w:w w:val="15"/>
          <w:shd w:val="solid" w:color="000000" w:fill="000000"/>
          <w:fitText w:val="-20" w:id="-1477797375"/>
          <w14:textFill>
            <w14:solidFill>
              <w14:srgbClr w14:val="000000">
                <w14:alpha w14:val="100000"/>
              </w14:srgbClr>
            </w14:solidFill>
          </w14:textFill>
        </w:rPr>
        <w:t>|</w:t>
      </w:r>
      <w:r w:rsidRPr="00622E6C">
        <w:rPr>
          <w:rFonts w:asciiTheme="minorHAnsi" w:hAnsiTheme="minorHAnsi"/>
          <w:snapToGrid w:val="0"/>
        </w:rPr>
        <w:t xml:space="preserve">. Incorporation of this price into the updated economic model resulted in an ICER of </w:t>
      </w:r>
      <w:r w:rsidR="00F75B87" w:rsidRPr="00F75B87">
        <w:rPr>
          <w:rFonts w:asciiTheme="minorHAnsi" w:hAnsiTheme="minorHAnsi"/>
          <w:snapToGrid w:val="0"/>
        </w:rPr>
        <w:t xml:space="preserve">$55,000 to &lt; $75,000 </w:t>
      </w:r>
      <w:r w:rsidRPr="00622E6C">
        <w:rPr>
          <w:rFonts w:asciiTheme="minorHAnsi" w:hAnsiTheme="minorHAnsi"/>
          <w:snapToGrid w:val="0"/>
        </w:rPr>
        <w:t>per QALY (Table 23 below).</w:t>
      </w:r>
    </w:p>
    <w:p w14:paraId="4C502B81" w14:textId="77777777" w:rsidR="00796A91" w:rsidRPr="00622E6C" w:rsidRDefault="00796A91" w:rsidP="00796A91">
      <w:pPr>
        <w:keepNext/>
        <w:rPr>
          <w:rFonts w:ascii="Arial Narrow" w:hAnsi="Arial Narrow"/>
          <w:b/>
          <w:bCs/>
          <w:sz w:val="20"/>
          <w:szCs w:val="20"/>
        </w:rPr>
      </w:pPr>
      <w:r w:rsidRPr="00622E6C">
        <w:rPr>
          <w:rFonts w:ascii="Arial Narrow" w:hAnsi="Arial Narrow"/>
          <w:b/>
          <w:bCs/>
          <w:sz w:val="20"/>
          <w:szCs w:val="20"/>
        </w:rPr>
        <w:t>Table</w:t>
      </w:r>
      <w:r w:rsidRPr="00622E6C">
        <w:t xml:space="preserve"> </w:t>
      </w:r>
      <w:r w:rsidRPr="00622E6C">
        <w:rPr>
          <w:rFonts w:ascii="Arial Narrow" w:hAnsi="Arial Narrow"/>
          <w:b/>
          <w:bCs/>
          <w:sz w:val="20"/>
          <w:szCs w:val="20"/>
        </w:rPr>
        <w:t xml:space="preserve">23: Results of the economic evaluation </w:t>
      </w:r>
    </w:p>
    <w:tbl>
      <w:tblPr>
        <w:tblStyle w:val="TableGrid"/>
        <w:tblW w:w="0" w:type="auto"/>
        <w:tblLook w:val="04A0" w:firstRow="1" w:lastRow="0" w:firstColumn="1" w:lastColumn="0" w:noHBand="0" w:noVBand="1"/>
      </w:tblPr>
      <w:tblGrid>
        <w:gridCol w:w="2254"/>
        <w:gridCol w:w="2254"/>
        <w:gridCol w:w="2254"/>
        <w:gridCol w:w="2254"/>
      </w:tblGrid>
      <w:tr w:rsidR="00796A91" w:rsidRPr="00622E6C" w14:paraId="68E497C0" w14:textId="77777777" w:rsidTr="00796A91">
        <w:tc>
          <w:tcPr>
            <w:tcW w:w="2254" w:type="dxa"/>
          </w:tcPr>
          <w:p w14:paraId="3AA1DA5E" w14:textId="77777777" w:rsidR="00796A91" w:rsidRPr="00622E6C" w:rsidRDefault="00796A91" w:rsidP="00796A91">
            <w:pPr>
              <w:keepNext/>
              <w:rPr>
                <w:rFonts w:ascii="Arial Narrow" w:hAnsi="Arial Narrow"/>
                <w:sz w:val="20"/>
                <w:szCs w:val="20"/>
              </w:rPr>
            </w:pPr>
          </w:p>
        </w:tc>
        <w:tc>
          <w:tcPr>
            <w:tcW w:w="2254" w:type="dxa"/>
          </w:tcPr>
          <w:p w14:paraId="6E430E34"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Dara + CyBorD</w:t>
            </w:r>
            <w:r w:rsidRPr="00622E6C">
              <w:rPr>
                <w:rFonts w:ascii="Arial Narrow" w:hAnsi="Arial Narrow"/>
                <w:b/>
                <w:bCs/>
                <w:sz w:val="20"/>
                <w:szCs w:val="20"/>
              </w:rPr>
              <w:tab/>
            </w:r>
          </w:p>
        </w:tc>
        <w:tc>
          <w:tcPr>
            <w:tcW w:w="2254" w:type="dxa"/>
          </w:tcPr>
          <w:p w14:paraId="1D84DABA"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CyBorD</w:t>
            </w:r>
          </w:p>
        </w:tc>
        <w:tc>
          <w:tcPr>
            <w:tcW w:w="2254" w:type="dxa"/>
          </w:tcPr>
          <w:p w14:paraId="0CC7D289"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Increment</w:t>
            </w:r>
          </w:p>
        </w:tc>
      </w:tr>
      <w:tr w:rsidR="00796A91" w:rsidRPr="00622E6C" w14:paraId="7291D954" w14:textId="77777777" w:rsidTr="00796A91">
        <w:tc>
          <w:tcPr>
            <w:tcW w:w="9016" w:type="dxa"/>
            <w:gridSpan w:val="4"/>
          </w:tcPr>
          <w:p w14:paraId="249E939E" w14:textId="0B05DAD6" w:rsidR="00796A91" w:rsidRPr="00622E6C" w:rsidRDefault="00796A91" w:rsidP="00796A91">
            <w:pPr>
              <w:keepNext/>
              <w:rPr>
                <w:rFonts w:ascii="Arial Narrow" w:hAnsi="Arial Narrow"/>
                <w:b/>
                <w:bCs/>
                <w:sz w:val="20"/>
                <w:szCs w:val="20"/>
              </w:rPr>
            </w:pPr>
            <w:r w:rsidRPr="00622E6C">
              <w:rPr>
                <w:rFonts w:ascii="Arial Narrow" w:hAnsi="Arial Narrow"/>
                <w:b/>
                <w:bCs/>
                <w:sz w:val="20"/>
                <w:szCs w:val="20"/>
              </w:rPr>
              <w:t>Resubmission model with actual effective price ($</w:t>
            </w:r>
            <w:r w:rsidR="00EB4334" w:rsidRPr="008976CC">
              <w:rPr>
                <w:rFonts w:ascii="Arial Narrow" w:hAnsi="Arial Narrow"/>
                <w:b/>
                <w:bCs/>
                <w:color w:val="000000"/>
                <w:spacing w:val="7"/>
                <w:sz w:val="20"/>
                <w:szCs w:val="20"/>
                <w:shd w:val="solid" w:color="000000" w:fill="000000"/>
                <w:fitText w:val="530" w:id="-1477797374"/>
                <w14:textFill>
                  <w14:solidFill>
                    <w14:srgbClr w14:val="000000">
                      <w14:alpha w14:val="100000"/>
                    </w14:srgbClr>
                  </w14:solidFill>
                </w14:textFill>
              </w:rPr>
              <w:t>||||  ||||</w:t>
            </w:r>
            <w:r w:rsidRPr="00622E6C">
              <w:rPr>
                <w:rFonts w:ascii="Arial Narrow" w:hAnsi="Arial Narrow"/>
                <w:b/>
                <w:bCs/>
                <w:sz w:val="20"/>
                <w:szCs w:val="20"/>
              </w:rPr>
              <w:t>)</w:t>
            </w:r>
          </w:p>
        </w:tc>
      </w:tr>
      <w:tr w:rsidR="00796A91" w:rsidRPr="00622E6C" w14:paraId="1FB9B4C9" w14:textId="77777777" w:rsidTr="00796A91">
        <w:tc>
          <w:tcPr>
            <w:tcW w:w="2254" w:type="dxa"/>
          </w:tcPr>
          <w:p w14:paraId="604B6FEA" w14:textId="77777777" w:rsidR="00796A91" w:rsidRPr="00622E6C" w:rsidRDefault="00796A91" w:rsidP="00796A91">
            <w:pPr>
              <w:keepNext/>
              <w:rPr>
                <w:rFonts w:ascii="Arial Narrow" w:hAnsi="Arial Narrow"/>
                <w:sz w:val="20"/>
                <w:szCs w:val="20"/>
              </w:rPr>
            </w:pPr>
            <w:r w:rsidRPr="00622E6C">
              <w:rPr>
                <w:rFonts w:ascii="Arial Narrow" w:hAnsi="Arial Narrow"/>
                <w:sz w:val="20"/>
                <w:szCs w:val="20"/>
              </w:rPr>
              <w:t>Total costs (discounted)</w:t>
            </w:r>
          </w:p>
        </w:tc>
        <w:tc>
          <w:tcPr>
            <w:tcW w:w="2254" w:type="dxa"/>
          </w:tcPr>
          <w:p w14:paraId="49113C59" w14:textId="729F8C6B"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w:t>
            </w:r>
            <w:r w:rsidR="00EB4334" w:rsidRPr="00EB4334">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tcPr>
          <w:p w14:paraId="35450217" w14:textId="0F6FBC08"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w:t>
            </w:r>
            <w:r w:rsidR="00EB4334" w:rsidRPr="00EB4334">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tcPr>
          <w:p w14:paraId="336E0B71" w14:textId="22F7407C"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w:t>
            </w:r>
            <w:r w:rsidR="00EB4334" w:rsidRPr="00EB4334">
              <w:rPr>
                <w:rFonts w:ascii="Arial Narrow" w:hAnsi="Arial Narrow"/>
                <w:color w:val="000000"/>
                <w:sz w:val="20"/>
                <w:szCs w:val="20"/>
                <w:shd w:val="solid" w:color="000000" w:fill="000000"/>
                <w14:textFill>
                  <w14:solidFill>
                    <w14:srgbClr w14:val="000000">
                      <w14:alpha w14:val="100000"/>
                    </w14:srgbClr>
                  </w14:solidFill>
                </w14:textFill>
              </w:rPr>
              <w:t>|</w:t>
            </w:r>
          </w:p>
        </w:tc>
      </w:tr>
      <w:tr w:rsidR="00796A91" w:rsidRPr="00622E6C" w14:paraId="4E40CDF1" w14:textId="77777777" w:rsidTr="00796A91">
        <w:tc>
          <w:tcPr>
            <w:tcW w:w="2254" w:type="dxa"/>
          </w:tcPr>
          <w:p w14:paraId="3259487B" w14:textId="77777777" w:rsidR="00796A91" w:rsidRPr="00622E6C" w:rsidRDefault="00796A91" w:rsidP="00796A91">
            <w:pPr>
              <w:keepNext/>
              <w:rPr>
                <w:rFonts w:ascii="Arial Narrow" w:hAnsi="Arial Narrow"/>
                <w:sz w:val="20"/>
                <w:szCs w:val="20"/>
              </w:rPr>
            </w:pPr>
            <w:r w:rsidRPr="00622E6C">
              <w:rPr>
                <w:rFonts w:ascii="Arial Narrow" w:hAnsi="Arial Narrow"/>
                <w:sz w:val="20"/>
                <w:szCs w:val="20"/>
              </w:rPr>
              <w:t>Total QALYs (discounted)</w:t>
            </w:r>
          </w:p>
        </w:tc>
        <w:tc>
          <w:tcPr>
            <w:tcW w:w="2254" w:type="dxa"/>
          </w:tcPr>
          <w:p w14:paraId="263E58C6" w14:textId="7777777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4.24</w:t>
            </w:r>
          </w:p>
        </w:tc>
        <w:tc>
          <w:tcPr>
            <w:tcW w:w="2254" w:type="dxa"/>
          </w:tcPr>
          <w:p w14:paraId="40E05F59" w14:textId="7777777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3.04</w:t>
            </w:r>
          </w:p>
        </w:tc>
        <w:tc>
          <w:tcPr>
            <w:tcW w:w="2254" w:type="dxa"/>
          </w:tcPr>
          <w:p w14:paraId="7AB6B4BE" w14:textId="7777777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1.19</w:t>
            </w:r>
          </w:p>
        </w:tc>
      </w:tr>
      <w:tr w:rsidR="00796A91" w:rsidRPr="00622E6C" w14:paraId="668B5E42" w14:textId="77777777" w:rsidTr="00796A91">
        <w:tc>
          <w:tcPr>
            <w:tcW w:w="6762" w:type="dxa"/>
            <w:gridSpan w:val="3"/>
          </w:tcPr>
          <w:p w14:paraId="27296634" w14:textId="77777777" w:rsidR="00796A91" w:rsidRPr="00622E6C" w:rsidRDefault="00796A91" w:rsidP="00796A91">
            <w:pPr>
              <w:keepNext/>
              <w:rPr>
                <w:rFonts w:ascii="Arial Narrow" w:hAnsi="Arial Narrow"/>
                <w:sz w:val="20"/>
                <w:szCs w:val="20"/>
              </w:rPr>
            </w:pPr>
            <w:r w:rsidRPr="00622E6C">
              <w:rPr>
                <w:rFonts w:ascii="Arial Narrow" w:hAnsi="Arial Narrow"/>
                <w:sz w:val="20"/>
                <w:szCs w:val="20"/>
              </w:rPr>
              <w:t>ICER per QALY</w:t>
            </w:r>
          </w:p>
        </w:tc>
        <w:tc>
          <w:tcPr>
            <w:tcW w:w="2254" w:type="dxa"/>
          </w:tcPr>
          <w:p w14:paraId="7A428F96" w14:textId="704173A4" w:rsidR="00796A91" w:rsidRPr="00F75B87"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A034EC">
              <w:rPr>
                <w:rFonts w:ascii="Arial Narrow" w:hAnsi="Arial Narrow"/>
                <w:b/>
                <w:bCs/>
                <w:color w:val="000000"/>
                <w:sz w:val="20"/>
                <w:szCs w:val="20"/>
                <w:shd w:val="solid" w:color="000000" w:fill="000000"/>
                <w14:textFill>
                  <w14:solidFill>
                    <w14:srgbClr w14:val="000000">
                      <w14:alpha w14:val="100000"/>
                    </w14:srgbClr>
                  </w14:solidFill>
                </w14:textFill>
              </w:rPr>
              <w:t>|</w:t>
            </w:r>
            <w:r w:rsidR="00F75B87">
              <w:rPr>
                <w:rFonts w:ascii="Arial Narrow" w:hAnsi="Arial Narrow"/>
                <w:sz w:val="20"/>
                <w:szCs w:val="20"/>
                <w:vertAlign w:val="superscript"/>
              </w:rPr>
              <w:t>1</w:t>
            </w:r>
          </w:p>
        </w:tc>
      </w:tr>
      <w:tr w:rsidR="00796A91" w:rsidRPr="00622E6C" w14:paraId="5E71C206" w14:textId="77777777" w:rsidTr="00796A91">
        <w:tc>
          <w:tcPr>
            <w:tcW w:w="9016" w:type="dxa"/>
            <w:gridSpan w:val="4"/>
          </w:tcPr>
          <w:p w14:paraId="0BABF20E" w14:textId="34A26F92" w:rsidR="00796A91" w:rsidRPr="00622E6C" w:rsidRDefault="00796A91" w:rsidP="00796A91">
            <w:pPr>
              <w:keepNext/>
              <w:rPr>
                <w:rFonts w:ascii="Arial Narrow" w:hAnsi="Arial Narrow"/>
                <w:b/>
                <w:bCs/>
                <w:sz w:val="20"/>
                <w:szCs w:val="20"/>
              </w:rPr>
            </w:pPr>
            <w:r w:rsidRPr="00622E6C">
              <w:rPr>
                <w:rFonts w:ascii="Arial Narrow" w:hAnsi="Arial Narrow"/>
                <w:b/>
                <w:bCs/>
                <w:sz w:val="20"/>
                <w:szCs w:val="20"/>
              </w:rPr>
              <w:t>Resubmission model with proposed average effective price ($</w:t>
            </w:r>
            <w:r w:rsidR="00A034EC" w:rsidRPr="008976CC">
              <w:rPr>
                <w:rFonts w:ascii="Arial Narrow" w:hAnsi="Arial Narrow"/>
                <w:b/>
                <w:bCs/>
                <w:color w:val="000000"/>
                <w:spacing w:val="7"/>
                <w:sz w:val="20"/>
                <w:szCs w:val="20"/>
                <w:shd w:val="solid" w:color="000000" w:fill="000000"/>
                <w:fitText w:val="530" w:id="-1477797120"/>
                <w14:textFill>
                  <w14:solidFill>
                    <w14:srgbClr w14:val="000000">
                      <w14:alpha w14:val="100000"/>
                    </w14:srgbClr>
                  </w14:solidFill>
                </w14:textFill>
              </w:rPr>
              <w:t>||||  ||||</w:t>
            </w:r>
            <w:r w:rsidRPr="00622E6C">
              <w:rPr>
                <w:rFonts w:ascii="Arial Narrow" w:hAnsi="Arial Narrow"/>
                <w:b/>
                <w:bCs/>
                <w:sz w:val="20"/>
                <w:szCs w:val="20"/>
              </w:rPr>
              <w:t>)</w:t>
            </w:r>
          </w:p>
        </w:tc>
      </w:tr>
      <w:tr w:rsidR="00796A91" w:rsidRPr="00622E6C" w14:paraId="39B1B501" w14:textId="77777777" w:rsidTr="00796A91">
        <w:tc>
          <w:tcPr>
            <w:tcW w:w="2254" w:type="dxa"/>
          </w:tcPr>
          <w:p w14:paraId="4D2D5032" w14:textId="77777777" w:rsidR="00796A91" w:rsidRPr="00622E6C" w:rsidRDefault="00796A91" w:rsidP="00796A91">
            <w:pPr>
              <w:keepNext/>
              <w:rPr>
                <w:rFonts w:ascii="Arial Narrow" w:hAnsi="Arial Narrow"/>
                <w:sz w:val="20"/>
                <w:szCs w:val="20"/>
              </w:rPr>
            </w:pPr>
            <w:r w:rsidRPr="00622E6C">
              <w:rPr>
                <w:rFonts w:ascii="Arial Narrow" w:hAnsi="Arial Narrow"/>
                <w:sz w:val="20"/>
                <w:szCs w:val="20"/>
              </w:rPr>
              <w:t>Total costs (discounted)</w:t>
            </w:r>
          </w:p>
        </w:tc>
        <w:tc>
          <w:tcPr>
            <w:tcW w:w="2254" w:type="dxa"/>
          </w:tcPr>
          <w:p w14:paraId="5E6A7D35" w14:textId="12CC5F01"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w:t>
            </w:r>
            <w:r w:rsidR="00A034EC" w:rsidRPr="00A034E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tcPr>
          <w:p w14:paraId="36523B70" w14:textId="55E3833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w:t>
            </w:r>
            <w:r w:rsidR="00A034EC" w:rsidRPr="00A034E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tcPr>
          <w:p w14:paraId="0BBF01B8" w14:textId="20D445CA"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w:t>
            </w:r>
            <w:r w:rsidR="00A034EC" w:rsidRPr="00A034EC">
              <w:rPr>
                <w:rFonts w:ascii="Arial Narrow" w:hAnsi="Arial Narrow"/>
                <w:color w:val="000000"/>
                <w:sz w:val="20"/>
                <w:szCs w:val="20"/>
                <w:shd w:val="solid" w:color="000000" w:fill="000000"/>
                <w14:textFill>
                  <w14:solidFill>
                    <w14:srgbClr w14:val="000000">
                      <w14:alpha w14:val="100000"/>
                    </w14:srgbClr>
                  </w14:solidFill>
                </w14:textFill>
              </w:rPr>
              <w:t>|</w:t>
            </w:r>
          </w:p>
        </w:tc>
      </w:tr>
      <w:tr w:rsidR="00796A91" w:rsidRPr="00622E6C" w14:paraId="3B0877BB" w14:textId="77777777" w:rsidTr="00796A91">
        <w:tc>
          <w:tcPr>
            <w:tcW w:w="2254" w:type="dxa"/>
          </w:tcPr>
          <w:p w14:paraId="7179B3F0" w14:textId="77777777" w:rsidR="00796A91" w:rsidRPr="00622E6C" w:rsidRDefault="00796A91" w:rsidP="00796A91">
            <w:pPr>
              <w:keepNext/>
              <w:rPr>
                <w:rFonts w:ascii="Arial Narrow" w:hAnsi="Arial Narrow"/>
                <w:sz w:val="20"/>
                <w:szCs w:val="20"/>
              </w:rPr>
            </w:pPr>
            <w:r w:rsidRPr="00622E6C">
              <w:rPr>
                <w:rFonts w:ascii="Arial Narrow" w:hAnsi="Arial Narrow"/>
                <w:sz w:val="20"/>
                <w:szCs w:val="20"/>
              </w:rPr>
              <w:t>Total QALYs (discounted)</w:t>
            </w:r>
          </w:p>
        </w:tc>
        <w:tc>
          <w:tcPr>
            <w:tcW w:w="2254" w:type="dxa"/>
          </w:tcPr>
          <w:p w14:paraId="64F8F074" w14:textId="7777777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4.24</w:t>
            </w:r>
          </w:p>
        </w:tc>
        <w:tc>
          <w:tcPr>
            <w:tcW w:w="2254" w:type="dxa"/>
          </w:tcPr>
          <w:p w14:paraId="3D2D6C21" w14:textId="7777777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3.04</w:t>
            </w:r>
          </w:p>
        </w:tc>
        <w:tc>
          <w:tcPr>
            <w:tcW w:w="2254" w:type="dxa"/>
          </w:tcPr>
          <w:p w14:paraId="129A0D9A" w14:textId="77777777" w:rsidR="00796A91" w:rsidRPr="00622E6C" w:rsidRDefault="00796A91" w:rsidP="00796A91">
            <w:pPr>
              <w:keepNext/>
              <w:jc w:val="center"/>
              <w:rPr>
                <w:rFonts w:ascii="Arial Narrow" w:hAnsi="Arial Narrow"/>
                <w:sz w:val="20"/>
                <w:szCs w:val="20"/>
              </w:rPr>
            </w:pPr>
            <w:r w:rsidRPr="00622E6C">
              <w:rPr>
                <w:rFonts w:ascii="Arial Narrow" w:hAnsi="Arial Narrow"/>
                <w:sz w:val="20"/>
                <w:szCs w:val="20"/>
              </w:rPr>
              <w:t>1.19</w:t>
            </w:r>
          </w:p>
        </w:tc>
      </w:tr>
      <w:tr w:rsidR="00796A91" w:rsidRPr="00622E6C" w14:paraId="0C1BC631" w14:textId="77777777" w:rsidTr="00796A91">
        <w:tc>
          <w:tcPr>
            <w:tcW w:w="6762" w:type="dxa"/>
            <w:gridSpan w:val="3"/>
          </w:tcPr>
          <w:p w14:paraId="4EE60FE8" w14:textId="77777777" w:rsidR="00796A91" w:rsidRPr="00622E6C" w:rsidRDefault="00796A91" w:rsidP="00796A91">
            <w:pPr>
              <w:keepNext/>
              <w:rPr>
                <w:rFonts w:ascii="Arial Narrow" w:hAnsi="Arial Narrow"/>
                <w:sz w:val="20"/>
                <w:szCs w:val="20"/>
              </w:rPr>
            </w:pPr>
            <w:r w:rsidRPr="00622E6C">
              <w:rPr>
                <w:rFonts w:ascii="Arial Narrow" w:hAnsi="Arial Narrow"/>
                <w:sz w:val="20"/>
                <w:szCs w:val="20"/>
              </w:rPr>
              <w:t>ICER per QALY</w:t>
            </w:r>
          </w:p>
        </w:tc>
        <w:tc>
          <w:tcPr>
            <w:tcW w:w="2254" w:type="dxa"/>
          </w:tcPr>
          <w:p w14:paraId="6AFD225A" w14:textId="4105DCF5" w:rsidR="00796A91" w:rsidRPr="00F75B87" w:rsidRDefault="00796A91" w:rsidP="00796A91">
            <w:pPr>
              <w:keepNext/>
              <w:jc w:val="center"/>
              <w:rPr>
                <w:rFonts w:ascii="Arial Narrow" w:hAnsi="Arial Narrow"/>
                <w:b/>
                <w:bCs/>
                <w:sz w:val="20"/>
                <w:szCs w:val="20"/>
                <w:vertAlign w:val="superscript"/>
              </w:rPr>
            </w:pPr>
            <w:r w:rsidRPr="00622E6C">
              <w:rPr>
                <w:rFonts w:ascii="Arial Narrow" w:hAnsi="Arial Narrow"/>
                <w:b/>
                <w:bCs/>
                <w:sz w:val="20"/>
                <w:szCs w:val="20"/>
              </w:rPr>
              <w:t>$</w:t>
            </w:r>
            <w:r w:rsidR="00A034EC" w:rsidRPr="00A034EC">
              <w:rPr>
                <w:rFonts w:ascii="Arial Narrow" w:hAnsi="Arial Narrow"/>
                <w:b/>
                <w:bCs/>
                <w:color w:val="000000"/>
                <w:sz w:val="20"/>
                <w:szCs w:val="20"/>
                <w:shd w:val="solid" w:color="000000" w:fill="000000"/>
                <w14:textFill>
                  <w14:solidFill>
                    <w14:srgbClr w14:val="000000">
                      <w14:alpha w14:val="100000"/>
                    </w14:srgbClr>
                  </w14:solidFill>
                </w14:textFill>
              </w:rPr>
              <w:t>|</w:t>
            </w:r>
            <w:r w:rsidR="00F75B87" w:rsidRPr="00F75B87">
              <w:rPr>
                <w:rFonts w:ascii="Arial Narrow" w:hAnsi="Arial Narrow"/>
                <w:sz w:val="20"/>
                <w:szCs w:val="20"/>
                <w:vertAlign w:val="superscript"/>
              </w:rPr>
              <w:t>2</w:t>
            </w:r>
          </w:p>
        </w:tc>
      </w:tr>
    </w:tbl>
    <w:p w14:paraId="208F0412" w14:textId="77777777" w:rsidR="00796A91" w:rsidRPr="00622E6C" w:rsidRDefault="00796A91" w:rsidP="00796A91">
      <w:pPr>
        <w:pStyle w:val="TableFigureFooter"/>
        <w:keepNext/>
        <w:keepLines/>
      </w:pPr>
      <w:r w:rsidRPr="00622E6C">
        <w:t>Source: Resubmission Table 3-3.</w:t>
      </w:r>
    </w:p>
    <w:p w14:paraId="299BD7D8" w14:textId="295185FA" w:rsidR="00796A91" w:rsidRDefault="00796A91" w:rsidP="00796A91">
      <w:pPr>
        <w:pStyle w:val="TableFigureFooter"/>
        <w:keepNext/>
        <w:keepLines/>
        <w:spacing w:after="0"/>
      </w:pPr>
      <w:r w:rsidRPr="00622E6C">
        <w:t xml:space="preserve">CyBorD = cyclophosphamide, bortezomib and dexamethasone; Dara = daratumumab subcutaneous; </w:t>
      </w:r>
      <w:r w:rsidRPr="00622E6C">
        <w:rPr>
          <w:szCs w:val="18"/>
        </w:rPr>
        <w:t>ICER = incremental cost effectiveness ratio</w:t>
      </w:r>
      <w:r w:rsidRPr="00622E6C">
        <w:t>; LYG = life year gained; OS = overall survival; QALY = quality adjusted life year; vs. = versus.</w:t>
      </w:r>
    </w:p>
    <w:p w14:paraId="378D955F" w14:textId="63A7FA98" w:rsidR="00F75B87" w:rsidRDefault="00F75B87" w:rsidP="00796A91">
      <w:pPr>
        <w:pStyle w:val="TableFigureFooter"/>
        <w:keepNext/>
        <w:keepLines/>
        <w:spacing w:after="0"/>
      </w:pPr>
      <w:r w:rsidRPr="00F75B87">
        <w:t>The redacted values correspond to the following ranges:</w:t>
      </w:r>
    </w:p>
    <w:p w14:paraId="5D6DBEF5" w14:textId="1485A37B" w:rsidR="00F75B87" w:rsidRPr="00F75B87" w:rsidRDefault="00F05B7E" w:rsidP="00F75B87">
      <w:pPr>
        <w:ind w:right="147"/>
        <w:rPr>
          <w:rFonts w:ascii="Arial Narrow" w:hAnsi="Arial Narrow"/>
          <w:color w:val="333333"/>
          <w:sz w:val="18"/>
          <w:szCs w:val="18"/>
        </w:rPr>
      </w:pPr>
      <w:r>
        <w:rPr>
          <w:rFonts w:ascii="Arial Narrow" w:hAnsi="Arial Narrow"/>
          <w:sz w:val="18"/>
          <w:szCs w:val="18"/>
          <w:vertAlign w:val="superscript"/>
        </w:rPr>
        <w:t>1</w:t>
      </w:r>
      <w:r w:rsidR="00F75B87" w:rsidRPr="00F75B87">
        <w:rPr>
          <w:rFonts w:ascii="Arial Narrow" w:hAnsi="Arial Narrow"/>
          <w:color w:val="333333"/>
          <w:sz w:val="18"/>
          <w:szCs w:val="18"/>
        </w:rPr>
        <w:t>$75,000 to &lt; $95,000</w:t>
      </w:r>
    </w:p>
    <w:p w14:paraId="3E458CC2" w14:textId="65DD5C9B" w:rsidR="00F75B87" w:rsidRPr="00F75B87" w:rsidRDefault="00F05B7E" w:rsidP="00796A91">
      <w:pPr>
        <w:pStyle w:val="TableFigureFooter"/>
        <w:keepNext/>
        <w:keepLines/>
        <w:spacing w:after="0"/>
      </w:pPr>
      <w:r>
        <w:rPr>
          <w:vertAlign w:val="superscript"/>
        </w:rPr>
        <w:t>2</w:t>
      </w:r>
      <w:r w:rsidR="00F75B87" w:rsidRPr="00F75B87">
        <w:t>$55,000 to &lt; $75,000</w:t>
      </w:r>
    </w:p>
    <w:p w14:paraId="5AB440E0" w14:textId="77777777" w:rsidR="00796A91" w:rsidRPr="00622E6C" w:rsidRDefault="00796A91" w:rsidP="00796A91"/>
    <w:p w14:paraId="5029AF2F" w14:textId="7836859D"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The estimated financial impact of listing daratumumab on the PBS for the treatment of AL amyloidosis, based on the estimates provided in the November 2021 PSCR (includes dual program listings and Mayo Stage IIIB patients), is presented in Table 24. The estimated net cost to the PBS/RPBS of daratumumab was </w:t>
      </w:r>
      <w:r w:rsidR="00F75B87" w:rsidRPr="00F75B87">
        <w:rPr>
          <w:rFonts w:asciiTheme="minorHAnsi" w:hAnsiTheme="minorHAnsi"/>
          <w:snapToGrid w:val="0"/>
        </w:rPr>
        <w:t>$100 million to &lt; $200 million</w:t>
      </w:r>
      <w:r w:rsidR="00F75B87">
        <w:rPr>
          <w:rFonts w:asciiTheme="minorHAnsi" w:hAnsiTheme="minorHAnsi"/>
          <w:snapToGrid w:val="0"/>
        </w:rPr>
        <w:t xml:space="preserve"> </w:t>
      </w:r>
      <w:r w:rsidRPr="00622E6C">
        <w:rPr>
          <w:rFonts w:asciiTheme="minorHAnsi" w:hAnsiTheme="minorHAnsi"/>
          <w:snapToGrid w:val="0"/>
        </w:rPr>
        <w:t>over the first 6 years of listing.</w:t>
      </w:r>
    </w:p>
    <w:p w14:paraId="6A3287CC" w14:textId="035A0012" w:rsidR="00796A91" w:rsidRPr="00622E6C" w:rsidRDefault="00796A91" w:rsidP="00796A91">
      <w:pPr>
        <w:rPr>
          <w:rFonts w:ascii="Arial Narrow" w:hAnsi="Arial Narrow"/>
          <w:b/>
          <w:bCs/>
          <w:sz w:val="20"/>
          <w:szCs w:val="20"/>
        </w:rPr>
      </w:pPr>
      <w:r w:rsidRPr="00622E6C">
        <w:rPr>
          <w:rFonts w:ascii="Arial Narrow" w:hAnsi="Arial Narrow"/>
          <w:b/>
          <w:bCs/>
          <w:sz w:val="20"/>
          <w:szCs w:val="20"/>
        </w:rPr>
        <w:t>Table 24: Estimated financial impact of listing daratumumab on the PBS for AL amyloidosis (AEMP = $</w:t>
      </w:r>
      <w:r w:rsidR="00A034EC" w:rsidRPr="008976CC">
        <w:rPr>
          <w:rFonts w:ascii="Arial Narrow" w:hAnsi="Arial Narrow"/>
          <w:b/>
          <w:bCs/>
          <w:color w:val="000000"/>
          <w:spacing w:val="7"/>
          <w:sz w:val="20"/>
          <w:szCs w:val="20"/>
          <w:shd w:val="solid" w:color="000000" w:fill="000000"/>
          <w:fitText w:val="530" w:id="-1477796864"/>
          <w14:textFill>
            <w14:solidFill>
              <w14:srgbClr w14:val="000000">
                <w14:alpha w14:val="100000"/>
              </w14:srgbClr>
            </w14:solidFill>
          </w14:textFill>
        </w:rPr>
        <w:t>||||  ||||</w:t>
      </w:r>
      <w:r w:rsidRPr="00622E6C">
        <w:rPr>
          <w:rFonts w:ascii="Arial Narrow" w:hAnsi="Arial Narrow"/>
          <w:b/>
          <w:bCs/>
          <w:sz w:val="20"/>
          <w:szCs w:val="20"/>
        </w:rPr>
        <w:t>)*</w:t>
      </w:r>
    </w:p>
    <w:tbl>
      <w:tblPr>
        <w:tblStyle w:val="TableGrid"/>
        <w:tblW w:w="0" w:type="auto"/>
        <w:tblLayout w:type="fixed"/>
        <w:tblLook w:val="04A0" w:firstRow="1" w:lastRow="0" w:firstColumn="1" w:lastColumn="0" w:noHBand="0" w:noVBand="1"/>
      </w:tblPr>
      <w:tblGrid>
        <w:gridCol w:w="2972"/>
        <w:gridCol w:w="992"/>
        <w:gridCol w:w="993"/>
        <w:gridCol w:w="992"/>
        <w:gridCol w:w="992"/>
        <w:gridCol w:w="1008"/>
        <w:gridCol w:w="1068"/>
      </w:tblGrid>
      <w:tr w:rsidR="00796A91" w:rsidRPr="00622E6C" w14:paraId="01F727D8" w14:textId="77777777" w:rsidTr="00796A91">
        <w:tc>
          <w:tcPr>
            <w:tcW w:w="2972" w:type="dxa"/>
            <w:tcMar>
              <w:left w:w="28" w:type="dxa"/>
              <w:right w:w="28" w:type="dxa"/>
            </w:tcMar>
          </w:tcPr>
          <w:p w14:paraId="2F908244" w14:textId="77777777" w:rsidR="00796A91" w:rsidRPr="00622E6C" w:rsidRDefault="00796A91" w:rsidP="00796A91">
            <w:pPr>
              <w:keepNext/>
              <w:jc w:val="left"/>
              <w:rPr>
                <w:rFonts w:ascii="Arial Narrow" w:hAnsi="Arial Narrow"/>
                <w:sz w:val="20"/>
                <w:szCs w:val="20"/>
              </w:rPr>
            </w:pPr>
          </w:p>
        </w:tc>
        <w:tc>
          <w:tcPr>
            <w:tcW w:w="992" w:type="dxa"/>
            <w:tcMar>
              <w:left w:w="28" w:type="dxa"/>
              <w:right w:w="28" w:type="dxa"/>
            </w:tcMar>
          </w:tcPr>
          <w:p w14:paraId="55E2266C"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1</w:t>
            </w:r>
          </w:p>
        </w:tc>
        <w:tc>
          <w:tcPr>
            <w:tcW w:w="993" w:type="dxa"/>
            <w:tcMar>
              <w:left w:w="28" w:type="dxa"/>
              <w:right w:w="28" w:type="dxa"/>
            </w:tcMar>
          </w:tcPr>
          <w:p w14:paraId="5FE8CE28"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2</w:t>
            </w:r>
          </w:p>
        </w:tc>
        <w:tc>
          <w:tcPr>
            <w:tcW w:w="992" w:type="dxa"/>
            <w:tcMar>
              <w:left w:w="28" w:type="dxa"/>
              <w:right w:w="28" w:type="dxa"/>
            </w:tcMar>
          </w:tcPr>
          <w:p w14:paraId="0139B4F8"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3</w:t>
            </w:r>
          </w:p>
        </w:tc>
        <w:tc>
          <w:tcPr>
            <w:tcW w:w="992" w:type="dxa"/>
            <w:tcMar>
              <w:left w:w="28" w:type="dxa"/>
              <w:right w:w="28" w:type="dxa"/>
            </w:tcMar>
          </w:tcPr>
          <w:p w14:paraId="1DE038CE"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4</w:t>
            </w:r>
          </w:p>
        </w:tc>
        <w:tc>
          <w:tcPr>
            <w:tcW w:w="1008" w:type="dxa"/>
            <w:tcMar>
              <w:left w:w="28" w:type="dxa"/>
              <w:right w:w="28" w:type="dxa"/>
            </w:tcMar>
          </w:tcPr>
          <w:p w14:paraId="3DEFFED8"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5</w:t>
            </w:r>
          </w:p>
        </w:tc>
        <w:tc>
          <w:tcPr>
            <w:tcW w:w="1068" w:type="dxa"/>
            <w:tcMar>
              <w:left w:w="28" w:type="dxa"/>
              <w:right w:w="28" w:type="dxa"/>
            </w:tcMar>
          </w:tcPr>
          <w:p w14:paraId="3B1078CD"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6</w:t>
            </w:r>
          </w:p>
        </w:tc>
      </w:tr>
      <w:tr w:rsidR="00796A91" w:rsidRPr="00622E6C" w14:paraId="64E3F11F" w14:textId="77777777" w:rsidTr="00796A91">
        <w:tc>
          <w:tcPr>
            <w:tcW w:w="2972" w:type="dxa"/>
            <w:tcMar>
              <w:left w:w="28" w:type="dxa"/>
              <w:right w:w="28" w:type="dxa"/>
            </w:tcMar>
          </w:tcPr>
          <w:p w14:paraId="01C03502"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Eligible patients</w:t>
            </w:r>
          </w:p>
        </w:tc>
        <w:tc>
          <w:tcPr>
            <w:tcW w:w="992" w:type="dxa"/>
            <w:tcMar>
              <w:left w:w="28" w:type="dxa"/>
              <w:right w:w="28" w:type="dxa"/>
            </w:tcMar>
            <w:vAlign w:val="center"/>
          </w:tcPr>
          <w:p w14:paraId="45BE2F4C" w14:textId="18D6DC86" w:rsidR="00796A91" w:rsidRPr="00E24740"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E24740">
              <w:rPr>
                <w:rFonts w:ascii="Arial Narrow" w:hAnsi="Arial Narrow"/>
                <w:sz w:val="20"/>
                <w:szCs w:val="20"/>
                <w:vertAlign w:val="superscript"/>
              </w:rPr>
              <w:t>1</w:t>
            </w:r>
          </w:p>
        </w:tc>
        <w:tc>
          <w:tcPr>
            <w:tcW w:w="993" w:type="dxa"/>
            <w:tcMar>
              <w:left w:w="28" w:type="dxa"/>
              <w:right w:w="28" w:type="dxa"/>
            </w:tcMar>
            <w:vAlign w:val="center"/>
          </w:tcPr>
          <w:p w14:paraId="2C294F79" w14:textId="4623C090" w:rsidR="00796A91" w:rsidRPr="00E24740"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E24740">
              <w:rPr>
                <w:rFonts w:ascii="Arial Narrow" w:hAnsi="Arial Narrow"/>
                <w:sz w:val="20"/>
                <w:szCs w:val="20"/>
                <w:vertAlign w:val="superscript"/>
              </w:rPr>
              <w:t>1</w:t>
            </w:r>
          </w:p>
        </w:tc>
        <w:tc>
          <w:tcPr>
            <w:tcW w:w="992" w:type="dxa"/>
            <w:tcMar>
              <w:left w:w="28" w:type="dxa"/>
              <w:right w:w="28" w:type="dxa"/>
            </w:tcMar>
            <w:vAlign w:val="center"/>
          </w:tcPr>
          <w:p w14:paraId="47DA9120" w14:textId="4C16D2A2" w:rsidR="00796A91" w:rsidRPr="00E24740"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E24740">
              <w:rPr>
                <w:rFonts w:ascii="Arial Narrow" w:hAnsi="Arial Narrow"/>
                <w:sz w:val="20"/>
                <w:szCs w:val="20"/>
                <w:vertAlign w:val="superscript"/>
              </w:rPr>
              <w:t>1</w:t>
            </w:r>
          </w:p>
        </w:tc>
        <w:tc>
          <w:tcPr>
            <w:tcW w:w="992" w:type="dxa"/>
            <w:tcMar>
              <w:left w:w="28" w:type="dxa"/>
              <w:right w:w="28" w:type="dxa"/>
            </w:tcMar>
            <w:vAlign w:val="center"/>
          </w:tcPr>
          <w:p w14:paraId="26FE4CFF" w14:textId="018D7EE4" w:rsidR="00796A91" w:rsidRPr="00E24740"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E24740">
              <w:rPr>
                <w:rFonts w:ascii="Arial Narrow" w:hAnsi="Arial Narrow"/>
                <w:sz w:val="20"/>
                <w:szCs w:val="20"/>
                <w:vertAlign w:val="superscript"/>
              </w:rPr>
              <w:t>1</w:t>
            </w:r>
          </w:p>
        </w:tc>
        <w:tc>
          <w:tcPr>
            <w:tcW w:w="1008" w:type="dxa"/>
            <w:tcMar>
              <w:left w:w="28" w:type="dxa"/>
              <w:right w:w="28" w:type="dxa"/>
            </w:tcMar>
            <w:vAlign w:val="center"/>
          </w:tcPr>
          <w:p w14:paraId="04DC9A59" w14:textId="1C9D68B5" w:rsidR="00796A91" w:rsidRPr="00E24740"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E24740">
              <w:rPr>
                <w:rFonts w:ascii="Arial Narrow" w:hAnsi="Arial Narrow"/>
                <w:sz w:val="20"/>
                <w:szCs w:val="20"/>
                <w:vertAlign w:val="superscript"/>
              </w:rPr>
              <w:t>1</w:t>
            </w:r>
          </w:p>
        </w:tc>
        <w:tc>
          <w:tcPr>
            <w:tcW w:w="1068" w:type="dxa"/>
            <w:tcMar>
              <w:left w:w="28" w:type="dxa"/>
              <w:right w:w="28" w:type="dxa"/>
            </w:tcMar>
            <w:vAlign w:val="center"/>
          </w:tcPr>
          <w:p w14:paraId="1E19F54B" w14:textId="015495A4" w:rsidR="00796A91" w:rsidRPr="00E24740"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E24740">
              <w:rPr>
                <w:rFonts w:ascii="Arial Narrow" w:hAnsi="Arial Narrow"/>
                <w:sz w:val="20"/>
                <w:szCs w:val="20"/>
                <w:vertAlign w:val="superscript"/>
              </w:rPr>
              <w:t>1</w:t>
            </w:r>
          </w:p>
        </w:tc>
      </w:tr>
      <w:tr w:rsidR="00796A91" w:rsidRPr="00622E6C" w14:paraId="3F50872C" w14:textId="77777777" w:rsidTr="00796A91">
        <w:tc>
          <w:tcPr>
            <w:tcW w:w="2972" w:type="dxa"/>
            <w:tcMar>
              <w:left w:w="28" w:type="dxa"/>
              <w:right w:w="28" w:type="dxa"/>
            </w:tcMar>
          </w:tcPr>
          <w:p w14:paraId="17A618EB"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Prescriptions</w:t>
            </w:r>
          </w:p>
        </w:tc>
        <w:tc>
          <w:tcPr>
            <w:tcW w:w="992" w:type="dxa"/>
            <w:tcMar>
              <w:left w:w="28" w:type="dxa"/>
              <w:right w:w="28" w:type="dxa"/>
            </w:tcMar>
            <w:vAlign w:val="center"/>
          </w:tcPr>
          <w:p w14:paraId="5A169D00" w14:textId="7C1353C1" w:rsidR="00796A91" w:rsidRPr="00E24740"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6608"/>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6608"/>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6608"/>
                <w14:textFill>
                  <w14:solidFill>
                    <w14:srgbClr w14:val="000000">
                      <w14:alpha w14:val="100000"/>
                    </w14:srgbClr>
                  </w14:solidFill>
                </w14:textFill>
              </w:rPr>
              <w:t xml:space="preserve">　</w:t>
            </w:r>
            <w:r w:rsidR="00E24740">
              <w:rPr>
                <w:rFonts w:ascii="Arial Narrow" w:hAnsi="Arial Narrow"/>
                <w:sz w:val="20"/>
                <w:szCs w:val="20"/>
                <w:vertAlign w:val="superscript"/>
              </w:rPr>
              <w:t>2</w:t>
            </w:r>
          </w:p>
        </w:tc>
        <w:tc>
          <w:tcPr>
            <w:tcW w:w="993" w:type="dxa"/>
            <w:tcMar>
              <w:left w:w="28" w:type="dxa"/>
              <w:right w:w="28" w:type="dxa"/>
            </w:tcMar>
            <w:vAlign w:val="center"/>
          </w:tcPr>
          <w:p w14:paraId="3091FA98" w14:textId="4C91A0C9" w:rsidR="00796A91" w:rsidRPr="00E24740"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6607"/>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6607"/>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6607"/>
                <w14:textFill>
                  <w14:solidFill>
                    <w14:srgbClr w14:val="000000">
                      <w14:alpha w14:val="100000"/>
                    </w14:srgbClr>
                  </w14:solidFill>
                </w14:textFill>
              </w:rPr>
              <w:t xml:space="preserve">　</w:t>
            </w:r>
            <w:r w:rsidR="00E24740">
              <w:rPr>
                <w:rFonts w:ascii="Arial Narrow" w:hAnsi="Arial Narrow"/>
                <w:sz w:val="20"/>
                <w:szCs w:val="20"/>
                <w:vertAlign w:val="superscript"/>
              </w:rPr>
              <w:t>2</w:t>
            </w:r>
          </w:p>
        </w:tc>
        <w:tc>
          <w:tcPr>
            <w:tcW w:w="992" w:type="dxa"/>
            <w:tcMar>
              <w:left w:w="28" w:type="dxa"/>
              <w:right w:w="28" w:type="dxa"/>
            </w:tcMar>
            <w:vAlign w:val="center"/>
          </w:tcPr>
          <w:p w14:paraId="6B475AC7" w14:textId="3EC6DC47" w:rsidR="00796A91" w:rsidRPr="00E24740"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6352"/>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6352"/>
                <w14:textFill>
                  <w14:solidFill>
                    <w14:srgbClr w14:val="000000">
                      <w14:alpha w14:val="100000"/>
                    </w14:srgbClr>
                  </w14:solidFill>
                </w14:textFill>
              </w:rPr>
              <w:t>|</w:t>
            </w:r>
            <w:r w:rsidRPr="008976CC">
              <w:rPr>
                <w:rFonts w:ascii="Arial Narrow" w:hAnsi="Arial Narrow" w:hint="eastAsia"/>
                <w:color w:val="000000"/>
                <w:w w:val="20"/>
                <w:sz w:val="20"/>
                <w:szCs w:val="20"/>
                <w:shd w:val="solid" w:color="000000" w:fill="000000"/>
                <w:fitText w:val="90" w:id="-1477796352"/>
                <w14:textFill>
                  <w14:solidFill>
                    <w14:srgbClr w14:val="000000">
                      <w14:alpha w14:val="100000"/>
                    </w14:srgbClr>
                  </w14:solidFill>
                </w14:textFill>
              </w:rPr>
              <w:t xml:space="preserve">　</w:t>
            </w:r>
            <w:r w:rsidR="00E24740">
              <w:rPr>
                <w:rFonts w:ascii="Arial Narrow" w:hAnsi="Arial Narrow"/>
                <w:sz w:val="20"/>
                <w:szCs w:val="20"/>
                <w:vertAlign w:val="superscript"/>
              </w:rPr>
              <w:t>2</w:t>
            </w:r>
          </w:p>
        </w:tc>
        <w:tc>
          <w:tcPr>
            <w:tcW w:w="992" w:type="dxa"/>
            <w:tcMar>
              <w:left w:w="28" w:type="dxa"/>
              <w:right w:w="28" w:type="dxa"/>
            </w:tcMar>
            <w:vAlign w:val="center"/>
          </w:tcPr>
          <w:p w14:paraId="2B728206" w14:textId="643FC5D5" w:rsidR="00796A91" w:rsidRPr="00E24740"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6351"/>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6351"/>
                <w14:textFill>
                  <w14:solidFill>
                    <w14:srgbClr w14:val="000000">
                      <w14:alpha w14:val="100000"/>
                    </w14:srgbClr>
                  </w14:solidFill>
                </w14:textFill>
              </w:rPr>
              <w:t>|</w:t>
            </w:r>
            <w:r w:rsidRPr="008976CC">
              <w:rPr>
                <w:rFonts w:ascii="Arial Narrow" w:hAnsi="Arial Narrow" w:hint="eastAsia"/>
                <w:color w:val="000000"/>
                <w:w w:val="20"/>
                <w:sz w:val="20"/>
                <w:szCs w:val="20"/>
                <w:shd w:val="solid" w:color="000000" w:fill="000000"/>
                <w:fitText w:val="90" w:id="-1477796351"/>
                <w14:textFill>
                  <w14:solidFill>
                    <w14:srgbClr w14:val="000000">
                      <w14:alpha w14:val="100000"/>
                    </w14:srgbClr>
                  </w14:solidFill>
                </w14:textFill>
              </w:rPr>
              <w:t xml:space="preserve">　</w:t>
            </w:r>
            <w:r w:rsidR="00E24740">
              <w:rPr>
                <w:rFonts w:ascii="Arial Narrow" w:hAnsi="Arial Narrow"/>
                <w:sz w:val="20"/>
                <w:szCs w:val="20"/>
                <w:vertAlign w:val="superscript"/>
              </w:rPr>
              <w:t>2</w:t>
            </w:r>
          </w:p>
        </w:tc>
        <w:tc>
          <w:tcPr>
            <w:tcW w:w="1008" w:type="dxa"/>
            <w:tcMar>
              <w:left w:w="28" w:type="dxa"/>
              <w:right w:w="28" w:type="dxa"/>
            </w:tcMar>
            <w:vAlign w:val="center"/>
          </w:tcPr>
          <w:p w14:paraId="62F2F239" w14:textId="11F8C69B" w:rsidR="00796A91" w:rsidRPr="00E24740"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18"/>
                <w:sz w:val="20"/>
                <w:szCs w:val="20"/>
                <w:shd w:val="solid" w:color="000000" w:fill="000000"/>
                <w:fitText w:val="80" w:id="-1477796350"/>
                <w14:textFill>
                  <w14:solidFill>
                    <w14:srgbClr w14:val="000000">
                      <w14:alpha w14:val="100000"/>
                    </w14:srgbClr>
                  </w14:solidFill>
                </w14:textFill>
              </w:rPr>
              <w:t xml:space="preserve">　</w:t>
            </w:r>
            <w:r w:rsidRPr="008976CC">
              <w:rPr>
                <w:rFonts w:ascii="Arial Narrow" w:hAnsi="Arial Narrow"/>
                <w:color w:val="000000"/>
                <w:w w:val="18"/>
                <w:sz w:val="20"/>
                <w:szCs w:val="20"/>
                <w:shd w:val="solid" w:color="000000" w:fill="000000"/>
                <w:fitText w:val="80" w:id="-1477796350"/>
                <w14:textFill>
                  <w14:solidFill>
                    <w14:srgbClr w14:val="000000">
                      <w14:alpha w14:val="100000"/>
                    </w14:srgbClr>
                  </w14:solidFill>
                </w14:textFill>
              </w:rPr>
              <w:t>|</w:t>
            </w:r>
            <w:r w:rsidRPr="008976CC">
              <w:rPr>
                <w:rFonts w:ascii="Arial Narrow" w:hAnsi="Arial Narrow" w:hint="eastAsia"/>
                <w:color w:val="000000"/>
                <w:w w:val="18"/>
                <w:sz w:val="20"/>
                <w:szCs w:val="20"/>
                <w:shd w:val="solid" w:color="000000" w:fill="000000"/>
                <w:fitText w:val="80" w:id="-1477796350"/>
                <w14:textFill>
                  <w14:solidFill>
                    <w14:srgbClr w14:val="000000">
                      <w14:alpha w14:val="100000"/>
                    </w14:srgbClr>
                  </w14:solidFill>
                </w14:textFill>
              </w:rPr>
              <w:t xml:space="preserve">　</w:t>
            </w:r>
            <w:r w:rsidR="00E24740">
              <w:rPr>
                <w:rFonts w:ascii="Arial Narrow" w:hAnsi="Arial Narrow"/>
                <w:sz w:val="20"/>
                <w:szCs w:val="20"/>
                <w:vertAlign w:val="superscript"/>
              </w:rPr>
              <w:t>2</w:t>
            </w:r>
          </w:p>
        </w:tc>
        <w:tc>
          <w:tcPr>
            <w:tcW w:w="1068" w:type="dxa"/>
            <w:tcMar>
              <w:left w:w="28" w:type="dxa"/>
              <w:right w:w="28" w:type="dxa"/>
            </w:tcMar>
            <w:vAlign w:val="center"/>
          </w:tcPr>
          <w:p w14:paraId="1D4370F1" w14:textId="043BC491" w:rsidR="00796A91" w:rsidRPr="00E24740"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15"/>
                <w:sz w:val="20"/>
                <w:szCs w:val="20"/>
                <w:shd w:val="solid" w:color="000000" w:fill="000000"/>
                <w:fitText w:val="50" w:id="-1477796349"/>
                <w14:textFill>
                  <w14:solidFill>
                    <w14:srgbClr w14:val="000000">
                      <w14:alpha w14:val="100000"/>
                    </w14:srgbClr>
                  </w14:solidFill>
                </w14:textFill>
              </w:rPr>
              <w:t xml:space="preserve">　</w:t>
            </w:r>
            <w:r w:rsidRPr="008976CC">
              <w:rPr>
                <w:rFonts w:ascii="Arial Narrow" w:hAnsi="Arial Narrow"/>
                <w:color w:val="000000"/>
                <w:w w:val="15"/>
                <w:sz w:val="20"/>
                <w:szCs w:val="20"/>
                <w:shd w:val="solid" w:color="000000" w:fill="000000"/>
                <w:fitText w:val="50" w:id="-1477796349"/>
                <w14:textFill>
                  <w14:solidFill>
                    <w14:srgbClr w14:val="000000">
                      <w14:alpha w14:val="100000"/>
                    </w14:srgbClr>
                  </w14:solidFill>
                </w14:textFill>
              </w:rPr>
              <w:t>|</w:t>
            </w:r>
            <w:r w:rsidRPr="008976CC">
              <w:rPr>
                <w:rFonts w:ascii="Arial Narrow" w:hAnsi="Arial Narrow" w:hint="eastAsia"/>
                <w:color w:val="000000"/>
                <w:spacing w:val="-15"/>
                <w:w w:val="15"/>
                <w:sz w:val="20"/>
                <w:szCs w:val="20"/>
                <w:shd w:val="solid" w:color="000000" w:fill="000000"/>
                <w:fitText w:val="50" w:id="-1477796349"/>
                <w14:textFill>
                  <w14:solidFill>
                    <w14:srgbClr w14:val="000000">
                      <w14:alpha w14:val="100000"/>
                    </w14:srgbClr>
                  </w14:solidFill>
                </w14:textFill>
              </w:rPr>
              <w:t xml:space="preserve">　</w:t>
            </w:r>
            <w:r w:rsidR="00E24740">
              <w:rPr>
                <w:rFonts w:ascii="Arial Narrow" w:hAnsi="Arial Narrow"/>
                <w:sz w:val="20"/>
                <w:szCs w:val="20"/>
                <w:vertAlign w:val="superscript"/>
              </w:rPr>
              <w:t>2</w:t>
            </w:r>
          </w:p>
        </w:tc>
      </w:tr>
      <w:tr w:rsidR="00796A91" w:rsidRPr="00622E6C" w14:paraId="2EBA6D40" w14:textId="77777777" w:rsidTr="00796A91">
        <w:tc>
          <w:tcPr>
            <w:tcW w:w="2972" w:type="dxa"/>
            <w:tcMar>
              <w:left w:w="28" w:type="dxa"/>
              <w:right w:w="28" w:type="dxa"/>
            </w:tcMar>
          </w:tcPr>
          <w:p w14:paraId="0F5E709D" w14:textId="77777777" w:rsidR="00796A91" w:rsidRPr="00622E6C" w:rsidRDefault="00796A91" w:rsidP="00796A91">
            <w:pPr>
              <w:keepNext/>
              <w:jc w:val="left"/>
              <w:rPr>
                <w:rFonts w:ascii="Arial Narrow" w:hAnsi="Arial Narrow"/>
                <w:b/>
                <w:bCs/>
                <w:sz w:val="20"/>
                <w:szCs w:val="20"/>
              </w:rPr>
            </w:pPr>
            <w:r w:rsidRPr="00622E6C">
              <w:rPr>
                <w:rFonts w:ascii="Arial Narrow" w:hAnsi="Arial Narrow"/>
                <w:b/>
                <w:bCs/>
                <w:sz w:val="20"/>
                <w:szCs w:val="20"/>
              </w:rPr>
              <w:t>Cost of dara to the PBS/RPBS</w:t>
            </w:r>
          </w:p>
        </w:tc>
        <w:tc>
          <w:tcPr>
            <w:tcW w:w="992" w:type="dxa"/>
            <w:tcMar>
              <w:left w:w="28" w:type="dxa"/>
              <w:right w:w="28" w:type="dxa"/>
            </w:tcMar>
            <w:vAlign w:val="center"/>
          </w:tcPr>
          <w:p w14:paraId="3512F168" w14:textId="3C0FB9BA"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8976CC">
              <w:rPr>
                <w:rFonts w:ascii="Arial Narrow" w:hAnsi="Arial Narrow"/>
                <w:b/>
                <w:bCs/>
                <w:color w:val="000000"/>
                <w:spacing w:val="37"/>
                <w:sz w:val="20"/>
                <w:szCs w:val="20"/>
                <w:shd w:val="solid" w:color="000000" w:fill="000000"/>
                <w:fitText w:val="630" w:id="-1477796348"/>
                <w14:textFill>
                  <w14:solidFill>
                    <w14:srgbClr w14:val="000000">
                      <w14:alpha w14:val="100000"/>
                    </w14:srgbClr>
                  </w14:solidFill>
                </w14:textFill>
              </w:rPr>
              <w:t>|||||||</w:t>
            </w:r>
            <w:r w:rsidR="00A034EC" w:rsidRPr="008976CC">
              <w:rPr>
                <w:rFonts w:ascii="Arial Narrow" w:hAnsi="Arial Narrow"/>
                <w:b/>
                <w:bCs/>
                <w:color w:val="000000"/>
                <w:spacing w:val="4"/>
                <w:sz w:val="20"/>
                <w:szCs w:val="20"/>
                <w:shd w:val="solid" w:color="000000" w:fill="000000"/>
                <w:fitText w:val="630" w:id="-1477796348"/>
                <w14:textFill>
                  <w14:solidFill>
                    <w14:srgbClr w14:val="000000">
                      <w14:alpha w14:val="100000"/>
                    </w14:srgbClr>
                  </w14:solidFill>
                </w14:textFill>
              </w:rPr>
              <w:t>|</w:t>
            </w:r>
            <w:r w:rsidR="00E24740" w:rsidRPr="00E24740">
              <w:rPr>
                <w:rFonts w:ascii="Arial Narrow" w:hAnsi="Arial Narrow"/>
                <w:sz w:val="20"/>
                <w:szCs w:val="20"/>
                <w:vertAlign w:val="superscript"/>
              </w:rPr>
              <w:t>3</w:t>
            </w:r>
          </w:p>
        </w:tc>
        <w:tc>
          <w:tcPr>
            <w:tcW w:w="993" w:type="dxa"/>
            <w:tcMar>
              <w:left w:w="28" w:type="dxa"/>
              <w:right w:w="28" w:type="dxa"/>
            </w:tcMar>
            <w:vAlign w:val="center"/>
          </w:tcPr>
          <w:p w14:paraId="32C3E95D" w14:textId="7058BA34"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8976CC">
              <w:rPr>
                <w:rFonts w:ascii="Arial Narrow" w:hAnsi="Arial Narrow"/>
                <w:b/>
                <w:bCs/>
                <w:color w:val="000000"/>
                <w:spacing w:val="37"/>
                <w:sz w:val="20"/>
                <w:szCs w:val="20"/>
                <w:shd w:val="solid" w:color="000000" w:fill="000000"/>
                <w:fitText w:val="630" w:id="-1477796096"/>
                <w14:textFill>
                  <w14:solidFill>
                    <w14:srgbClr w14:val="000000">
                      <w14:alpha w14:val="100000"/>
                    </w14:srgbClr>
                  </w14:solidFill>
                </w14:textFill>
              </w:rPr>
              <w:t>|||||||</w:t>
            </w:r>
            <w:r w:rsidR="00A034EC" w:rsidRPr="008976CC">
              <w:rPr>
                <w:rFonts w:ascii="Arial Narrow" w:hAnsi="Arial Narrow"/>
                <w:b/>
                <w:bCs/>
                <w:color w:val="000000"/>
                <w:spacing w:val="4"/>
                <w:sz w:val="20"/>
                <w:szCs w:val="20"/>
                <w:shd w:val="solid" w:color="000000" w:fill="000000"/>
                <w:fitText w:val="630" w:id="-1477796096"/>
                <w14:textFill>
                  <w14:solidFill>
                    <w14:srgbClr w14:val="000000">
                      <w14:alpha w14:val="100000"/>
                    </w14:srgbClr>
                  </w14:solidFill>
                </w14:textFill>
              </w:rPr>
              <w:t>|</w:t>
            </w:r>
            <w:r w:rsidR="00E24740">
              <w:rPr>
                <w:rFonts w:ascii="Arial Narrow" w:hAnsi="Arial Narrow"/>
                <w:sz w:val="20"/>
                <w:szCs w:val="20"/>
                <w:vertAlign w:val="superscript"/>
              </w:rPr>
              <w:t>3</w:t>
            </w:r>
          </w:p>
        </w:tc>
        <w:tc>
          <w:tcPr>
            <w:tcW w:w="992" w:type="dxa"/>
            <w:tcMar>
              <w:left w:w="28" w:type="dxa"/>
              <w:right w:w="28" w:type="dxa"/>
            </w:tcMar>
            <w:vAlign w:val="center"/>
          </w:tcPr>
          <w:p w14:paraId="20DC72AC" w14:textId="1AD732F9"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8976CC">
              <w:rPr>
                <w:rFonts w:ascii="Arial Narrow" w:hAnsi="Arial Narrow"/>
                <w:b/>
                <w:bCs/>
                <w:color w:val="000000"/>
                <w:spacing w:val="37"/>
                <w:sz w:val="20"/>
                <w:szCs w:val="20"/>
                <w:shd w:val="solid" w:color="000000" w:fill="000000"/>
                <w:fitText w:val="630" w:id="-1477796095"/>
                <w14:textFill>
                  <w14:solidFill>
                    <w14:srgbClr w14:val="000000">
                      <w14:alpha w14:val="100000"/>
                    </w14:srgbClr>
                  </w14:solidFill>
                </w14:textFill>
              </w:rPr>
              <w:t>|||||||</w:t>
            </w:r>
            <w:r w:rsidR="00A034EC" w:rsidRPr="008976CC">
              <w:rPr>
                <w:rFonts w:ascii="Arial Narrow" w:hAnsi="Arial Narrow"/>
                <w:b/>
                <w:bCs/>
                <w:color w:val="000000"/>
                <w:spacing w:val="4"/>
                <w:sz w:val="20"/>
                <w:szCs w:val="20"/>
                <w:shd w:val="solid" w:color="000000" w:fill="000000"/>
                <w:fitText w:val="630" w:id="-1477796095"/>
                <w14:textFill>
                  <w14:solidFill>
                    <w14:srgbClr w14:val="000000">
                      <w14:alpha w14:val="100000"/>
                    </w14:srgbClr>
                  </w14:solidFill>
                </w14:textFill>
              </w:rPr>
              <w:t>|</w:t>
            </w:r>
            <w:r w:rsidR="00E24740">
              <w:rPr>
                <w:rFonts w:ascii="Arial Narrow" w:hAnsi="Arial Narrow"/>
                <w:sz w:val="20"/>
                <w:szCs w:val="20"/>
                <w:vertAlign w:val="superscript"/>
              </w:rPr>
              <w:t>3</w:t>
            </w:r>
          </w:p>
        </w:tc>
        <w:tc>
          <w:tcPr>
            <w:tcW w:w="992" w:type="dxa"/>
            <w:tcMar>
              <w:left w:w="28" w:type="dxa"/>
              <w:right w:w="28" w:type="dxa"/>
            </w:tcMar>
            <w:vAlign w:val="center"/>
          </w:tcPr>
          <w:p w14:paraId="4427FAD0" w14:textId="6359561C"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8976CC">
              <w:rPr>
                <w:rFonts w:ascii="Arial Narrow" w:hAnsi="Arial Narrow"/>
                <w:b/>
                <w:bCs/>
                <w:color w:val="000000"/>
                <w:spacing w:val="37"/>
                <w:sz w:val="20"/>
                <w:szCs w:val="20"/>
                <w:shd w:val="solid" w:color="000000" w:fill="000000"/>
                <w:fitText w:val="630" w:id="-1477796094"/>
                <w14:textFill>
                  <w14:solidFill>
                    <w14:srgbClr w14:val="000000">
                      <w14:alpha w14:val="100000"/>
                    </w14:srgbClr>
                  </w14:solidFill>
                </w14:textFill>
              </w:rPr>
              <w:t>|||||||</w:t>
            </w:r>
            <w:r w:rsidR="00A034EC" w:rsidRPr="008976CC">
              <w:rPr>
                <w:rFonts w:ascii="Arial Narrow" w:hAnsi="Arial Narrow"/>
                <w:b/>
                <w:bCs/>
                <w:color w:val="000000"/>
                <w:spacing w:val="4"/>
                <w:sz w:val="20"/>
                <w:szCs w:val="20"/>
                <w:shd w:val="solid" w:color="000000" w:fill="000000"/>
                <w:fitText w:val="630" w:id="-1477796094"/>
                <w14:textFill>
                  <w14:solidFill>
                    <w14:srgbClr w14:val="000000">
                      <w14:alpha w14:val="100000"/>
                    </w14:srgbClr>
                  </w14:solidFill>
                </w14:textFill>
              </w:rPr>
              <w:t>|</w:t>
            </w:r>
            <w:r w:rsidR="00E24740">
              <w:rPr>
                <w:rFonts w:ascii="Arial Narrow" w:hAnsi="Arial Narrow"/>
                <w:sz w:val="20"/>
                <w:szCs w:val="20"/>
                <w:vertAlign w:val="superscript"/>
              </w:rPr>
              <w:t>3</w:t>
            </w:r>
          </w:p>
        </w:tc>
        <w:tc>
          <w:tcPr>
            <w:tcW w:w="1008" w:type="dxa"/>
            <w:tcMar>
              <w:left w:w="28" w:type="dxa"/>
              <w:right w:w="28" w:type="dxa"/>
            </w:tcMar>
            <w:vAlign w:val="center"/>
          </w:tcPr>
          <w:p w14:paraId="4CCDDE98" w14:textId="6F64996F"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8976CC">
              <w:rPr>
                <w:rFonts w:ascii="Arial Narrow" w:hAnsi="Arial Narrow"/>
                <w:b/>
                <w:bCs/>
                <w:color w:val="000000"/>
                <w:spacing w:val="36"/>
                <w:sz w:val="20"/>
                <w:szCs w:val="20"/>
                <w:shd w:val="solid" w:color="000000" w:fill="000000"/>
                <w:fitText w:val="620" w:id="-1477795840"/>
                <w14:textFill>
                  <w14:solidFill>
                    <w14:srgbClr w14:val="000000">
                      <w14:alpha w14:val="100000"/>
                    </w14:srgbClr>
                  </w14:solidFill>
                </w14:textFill>
              </w:rPr>
              <w:t>|||||||</w:t>
            </w:r>
            <w:r w:rsidR="00A034EC" w:rsidRPr="008976CC">
              <w:rPr>
                <w:rFonts w:ascii="Arial Narrow" w:hAnsi="Arial Narrow"/>
                <w:b/>
                <w:bCs/>
                <w:color w:val="000000"/>
                <w:spacing w:val="1"/>
                <w:sz w:val="20"/>
                <w:szCs w:val="20"/>
                <w:shd w:val="solid" w:color="000000" w:fill="000000"/>
                <w:fitText w:val="620" w:id="-1477795840"/>
                <w14:textFill>
                  <w14:solidFill>
                    <w14:srgbClr w14:val="000000">
                      <w14:alpha w14:val="100000"/>
                    </w14:srgbClr>
                  </w14:solidFill>
                </w14:textFill>
              </w:rPr>
              <w:t>|</w:t>
            </w:r>
            <w:r w:rsidR="00E24740">
              <w:rPr>
                <w:rFonts w:ascii="Arial Narrow" w:hAnsi="Arial Narrow"/>
                <w:sz w:val="20"/>
                <w:szCs w:val="20"/>
                <w:vertAlign w:val="superscript"/>
              </w:rPr>
              <w:t>3</w:t>
            </w:r>
          </w:p>
        </w:tc>
        <w:tc>
          <w:tcPr>
            <w:tcW w:w="1068" w:type="dxa"/>
            <w:tcMar>
              <w:left w:w="28" w:type="dxa"/>
              <w:right w:w="28" w:type="dxa"/>
            </w:tcMar>
            <w:vAlign w:val="center"/>
          </w:tcPr>
          <w:p w14:paraId="10E14FAD" w14:textId="19605071"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b/>
                <w:bCs/>
                <w:sz w:val="20"/>
                <w:szCs w:val="20"/>
              </w:rPr>
              <w:t>$</w:t>
            </w:r>
            <w:r w:rsidR="00A034EC" w:rsidRPr="008976CC">
              <w:rPr>
                <w:rFonts w:ascii="Arial Narrow" w:hAnsi="Arial Narrow"/>
                <w:b/>
                <w:bCs/>
                <w:color w:val="000000"/>
                <w:spacing w:val="27"/>
                <w:sz w:val="20"/>
                <w:szCs w:val="20"/>
                <w:shd w:val="solid" w:color="000000" w:fill="000000"/>
                <w:fitText w:val="710" w:id="-1477795839"/>
                <w14:textFill>
                  <w14:solidFill>
                    <w14:srgbClr w14:val="000000">
                      <w14:alpha w14:val="100000"/>
                    </w14:srgbClr>
                  </w14:solidFill>
                </w14:textFill>
              </w:rPr>
              <w:t>|||||||||</w:t>
            </w:r>
            <w:r w:rsidR="00A034EC" w:rsidRPr="008976CC">
              <w:rPr>
                <w:rFonts w:ascii="Arial Narrow" w:hAnsi="Arial Narrow"/>
                <w:b/>
                <w:bCs/>
                <w:color w:val="000000"/>
                <w:spacing w:val="8"/>
                <w:sz w:val="20"/>
                <w:szCs w:val="20"/>
                <w:shd w:val="solid" w:color="000000" w:fill="000000"/>
                <w:fitText w:val="710" w:id="-1477795839"/>
                <w14:textFill>
                  <w14:solidFill>
                    <w14:srgbClr w14:val="000000">
                      <w14:alpha w14:val="100000"/>
                    </w14:srgbClr>
                  </w14:solidFill>
                </w14:textFill>
              </w:rPr>
              <w:t>|</w:t>
            </w:r>
            <w:r w:rsidR="00E24740">
              <w:rPr>
                <w:rFonts w:ascii="Arial Narrow" w:hAnsi="Arial Narrow"/>
                <w:sz w:val="20"/>
                <w:szCs w:val="20"/>
                <w:vertAlign w:val="superscript"/>
              </w:rPr>
              <w:t>3</w:t>
            </w:r>
          </w:p>
        </w:tc>
      </w:tr>
      <w:tr w:rsidR="00796A91" w:rsidRPr="00622E6C" w14:paraId="79F0C9AB" w14:textId="77777777" w:rsidTr="00796A91">
        <w:tc>
          <w:tcPr>
            <w:tcW w:w="2972" w:type="dxa"/>
            <w:tcMar>
              <w:left w:w="28" w:type="dxa"/>
              <w:right w:w="28" w:type="dxa"/>
            </w:tcMar>
          </w:tcPr>
          <w:p w14:paraId="40FDFC14"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Net cost of dara+CyBorD to PBS/RPBS</w:t>
            </w:r>
          </w:p>
        </w:tc>
        <w:tc>
          <w:tcPr>
            <w:tcW w:w="992" w:type="dxa"/>
            <w:tcMar>
              <w:left w:w="28" w:type="dxa"/>
              <w:right w:w="28" w:type="dxa"/>
            </w:tcMar>
            <w:vAlign w:val="center"/>
          </w:tcPr>
          <w:p w14:paraId="6ABC5E35" w14:textId="340FB9E9"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A034EC" w:rsidRPr="008976CC">
              <w:rPr>
                <w:rFonts w:ascii="Arial Narrow" w:hAnsi="Arial Narrow"/>
                <w:color w:val="000000"/>
                <w:spacing w:val="41"/>
                <w:sz w:val="20"/>
                <w:szCs w:val="20"/>
                <w:shd w:val="solid" w:color="000000" w:fill="000000"/>
                <w:fitText w:val="630" w:id="-1477795838"/>
                <w14:textFill>
                  <w14:solidFill>
                    <w14:srgbClr w14:val="000000">
                      <w14:alpha w14:val="100000"/>
                    </w14:srgbClr>
                  </w14:solidFill>
                </w14:textFill>
              </w:rPr>
              <w:t>|||||||</w:t>
            </w:r>
            <w:r w:rsidR="00A034EC" w:rsidRPr="008976CC">
              <w:rPr>
                <w:rFonts w:ascii="Arial Narrow" w:hAnsi="Arial Narrow"/>
                <w:color w:val="000000"/>
                <w:spacing w:val="3"/>
                <w:sz w:val="20"/>
                <w:szCs w:val="20"/>
                <w:shd w:val="solid" w:color="000000" w:fill="000000"/>
                <w:fitText w:val="630" w:id="-1477795838"/>
                <w14:textFill>
                  <w14:solidFill>
                    <w14:srgbClr w14:val="000000">
                      <w14:alpha w14:val="100000"/>
                    </w14:srgbClr>
                  </w14:solidFill>
                </w14:textFill>
              </w:rPr>
              <w:t>|</w:t>
            </w:r>
            <w:r w:rsidR="00E24740">
              <w:rPr>
                <w:rFonts w:ascii="Arial Narrow" w:hAnsi="Arial Narrow"/>
                <w:sz w:val="20"/>
                <w:szCs w:val="20"/>
                <w:vertAlign w:val="superscript"/>
              </w:rPr>
              <w:t>3</w:t>
            </w:r>
          </w:p>
        </w:tc>
        <w:tc>
          <w:tcPr>
            <w:tcW w:w="993" w:type="dxa"/>
            <w:tcMar>
              <w:left w:w="28" w:type="dxa"/>
              <w:right w:w="28" w:type="dxa"/>
            </w:tcMar>
            <w:vAlign w:val="center"/>
          </w:tcPr>
          <w:p w14:paraId="57771A61" w14:textId="05A045A4"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A034EC" w:rsidRPr="008976CC">
              <w:rPr>
                <w:rFonts w:ascii="Arial Narrow" w:hAnsi="Arial Narrow"/>
                <w:color w:val="000000"/>
                <w:spacing w:val="41"/>
                <w:sz w:val="20"/>
                <w:szCs w:val="20"/>
                <w:shd w:val="solid" w:color="000000" w:fill="000000"/>
                <w:fitText w:val="630" w:id="-1477795837"/>
                <w14:textFill>
                  <w14:solidFill>
                    <w14:srgbClr w14:val="000000">
                      <w14:alpha w14:val="100000"/>
                    </w14:srgbClr>
                  </w14:solidFill>
                </w14:textFill>
              </w:rPr>
              <w:t>|||||||</w:t>
            </w:r>
            <w:r w:rsidR="00A034EC" w:rsidRPr="008976CC">
              <w:rPr>
                <w:rFonts w:ascii="Arial Narrow" w:hAnsi="Arial Narrow"/>
                <w:color w:val="000000"/>
                <w:spacing w:val="3"/>
                <w:sz w:val="20"/>
                <w:szCs w:val="20"/>
                <w:shd w:val="solid" w:color="000000" w:fill="000000"/>
                <w:fitText w:val="630" w:id="-1477795837"/>
                <w14:textFill>
                  <w14:solidFill>
                    <w14:srgbClr w14:val="000000">
                      <w14:alpha w14:val="100000"/>
                    </w14:srgbClr>
                  </w14:solidFill>
                </w14:textFill>
              </w:rPr>
              <w:t>|</w:t>
            </w:r>
            <w:r w:rsidR="00E24740">
              <w:rPr>
                <w:rFonts w:ascii="Arial Narrow" w:hAnsi="Arial Narrow"/>
                <w:sz w:val="20"/>
                <w:szCs w:val="20"/>
                <w:vertAlign w:val="superscript"/>
              </w:rPr>
              <w:t>4</w:t>
            </w:r>
          </w:p>
        </w:tc>
        <w:tc>
          <w:tcPr>
            <w:tcW w:w="992" w:type="dxa"/>
            <w:tcMar>
              <w:left w:w="28" w:type="dxa"/>
              <w:right w:w="28" w:type="dxa"/>
            </w:tcMar>
            <w:vAlign w:val="center"/>
          </w:tcPr>
          <w:p w14:paraId="0F3BD023" w14:textId="26BA6078"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A034EC" w:rsidRPr="008976CC">
              <w:rPr>
                <w:rFonts w:ascii="Arial Narrow" w:hAnsi="Arial Narrow"/>
                <w:color w:val="000000"/>
                <w:spacing w:val="41"/>
                <w:sz w:val="20"/>
                <w:szCs w:val="20"/>
                <w:shd w:val="solid" w:color="000000" w:fill="000000"/>
                <w:fitText w:val="630" w:id="-1477795584"/>
                <w14:textFill>
                  <w14:solidFill>
                    <w14:srgbClr w14:val="000000">
                      <w14:alpha w14:val="100000"/>
                    </w14:srgbClr>
                  </w14:solidFill>
                </w14:textFill>
              </w:rPr>
              <w:t>|||||||</w:t>
            </w:r>
            <w:r w:rsidR="00A034EC" w:rsidRPr="008976CC">
              <w:rPr>
                <w:rFonts w:ascii="Arial Narrow" w:hAnsi="Arial Narrow"/>
                <w:color w:val="000000"/>
                <w:spacing w:val="3"/>
                <w:sz w:val="20"/>
                <w:szCs w:val="20"/>
                <w:shd w:val="solid" w:color="000000" w:fill="000000"/>
                <w:fitText w:val="630" w:id="-1477795584"/>
                <w14:textFill>
                  <w14:solidFill>
                    <w14:srgbClr w14:val="000000">
                      <w14:alpha w14:val="100000"/>
                    </w14:srgbClr>
                  </w14:solidFill>
                </w14:textFill>
              </w:rPr>
              <w:t>|</w:t>
            </w:r>
            <w:r w:rsidR="00E24740">
              <w:rPr>
                <w:rFonts w:ascii="Arial Narrow" w:hAnsi="Arial Narrow"/>
                <w:sz w:val="20"/>
                <w:szCs w:val="20"/>
                <w:vertAlign w:val="superscript"/>
              </w:rPr>
              <w:t>3</w:t>
            </w:r>
          </w:p>
        </w:tc>
        <w:tc>
          <w:tcPr>
            <w:tcW w:w="992" w:type="dxa"/>
            <w:tcMar>
              <w:left w:w="28" w:type="dxa"/>
              <w:right w:w="28" w:type="dxa"/>
            </w:tcMar>
            <w:vAlign w:val="center"/>
          </w:tcPr>
          <w:p w14:paraId="04AC7A7A" w14:textId="49314E5B"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A034EC" w:rsidRPr="008976CC">
              <w:rPr>
                <w:rFonts w:ascii="Arial Narrow" w:hAnsi="Arial Narrow"/>
                <w:color w:val="000000"/>
                <w:spacing w:val="41"/>
                <w:sz w:val="20"/>
                <w:szCs w:val="20"/>
                <w:shd w:val="solid" w:color="000000" w:fill="000000"/>
                <w:fitText w:val="630" w:id="-1477795583"/>
                <w14:textFill>
                  <w14:solidFill>
                    <w14:srgbClr w14:val="000000">
                      <w14:alpha w14:val="100000"/>
                    </w14:srgbClr>
                  </w14:solidFill>
                </w14:textFill>
              </w:rPr>
              <w:t>|||||||</w:t>
            </w:r>
            <w:r w:rsidR="00A034EC" w:rsidRPr="008976CC">
              <w:rPr>
                <w:rFonts w:ascii="Arial Narrow" w:hAnsi="Arial Narrow"/>
                <w:color w:val="000000"/>
                <w:spacing w:val="3"/>
                <w:sz w:val="20"/>
                <w:szCs w:val="20"/>
                <w:shd w:val="solid" w:color="000000" w:fill="000000"/>
                <w:fitText w:val="630" w:id="-1477795583"/>
                <w14:textFill>
                  <w14:solidFill>
                    <w14:srgbClr w14:val="000000">
                      <w14:alpha w14:val="100000"/>
                    </w14:srgbClr>
                  </w14:solidFill>
                </w14:textFill>
              </w:rPr>
              <w:t>|</w:t>
            </w:r>
            <w:r w:rsidR="00E24740">
              <w:rPr>
                <w:rFonts w:ascii="Arial Narrow" w:hAnsi="Arial Narrow"/>
                <w:sz w:val="20"/>
                <w:szCs w:val="20"/>
                <w:vertAlign w:val="superscript"/>
              </w:rPr>
              <w:t>4</w:t>
            </w:r>
          </w:p>
        </w:tc>
        <w:tc>
          <w:tcPr>
            <w:tcW w:w="1008" w:type="dxa"/>
            <w:tcMar>
              <w:left w:w="28" w:type="dxa"/>
              <w:right w:w="28" w:type="dxa"/>
            </w:tcMar>
            <w:vAlign w:val="center"/>
          </w:tcPr>
          <w:p w14:paraId="67E350CB" w14:textId="6D34EB82"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A034EC" w:rsidRPr="008976CC">
              <w:rPr>
                <w:rFonts w:ascii="Arial Narrow" w:hAnsi="Arial Narrow"/>
                <w:color w:val="000000"/>
                <w:spacing w:val="39"/>
                <w:sz w:val="20"/>
                <w:szCs w:val="20"/>
                <w:shd w:val="solid" w:color="000000" w:fill="000000"/>
                <w:fitText w:val="620" w:id="-1477795582"/>
                <w14:textFill>
                  <w14:solidFill>
                    <w14:srgbClr w14:val="000000">
                      <w14:alpha w14:val="100000"/>
                    </w14:srgbClr>
                  </w14:solidFill>
                </w14:textFill>
              </w:rPr>
              <w:t>|||||||</w:t>
            </w:r>
            <w:r w:rsidR="00A034EC" w:rsidRPr="008976CC">
              <w:rPr>
                <w:rFonts w:ascii="Arial Narrow" w:hAnsi="Arial Narrow"/>
                <w:color w:val="000000"/>
                <w:spacing w:val="7"/>
                <w:sz w:val="20"/>
                <w:szCs w:val="20"/>
                <w:shd w:val="solid" w:color="000000" w:fill="000000"/>
                <w:fitText w:val="620" w:id="-1477795582"/>
                <w14:textFill>
                  <w14:solidFill>
                    <w14:srgbClr w14:val="000000">
                      <w14:alpha w14:val="100000"/>
                    </w14:srgbClr>
                  </w14:solidFill>
                </w14:textFill>
              </w:rPr>
              <w:t>|</w:t>
            </w:r>
            <w:r w:rsidR="00E24740">
              <w:rPr>
                <w:rFonts w:ascii="Arial Narrow" w:hAnsi="Arial Narrow"/>
                <w:sz w:val="20"/>
                <w:szCs w:val="20"/>
                <w:vertAlign w:val="superscript"/>
              </w:rPr>
              <w:t>4</w:t>
            </w:r>
          </w:p>
        </w:tc>
        <w:tc>
          <w:tcPr>
            <w:tcW w:w="1068" w:type="dxa"/>
            <w:tcMar>
              <w:left w:w="28" w:type="dxa"/>
              <w:right w:w="28" w:type="dxa"/>
            </w:tcMar>
            <w:vAlign w:val="center"/>
          </w:tcPr>
          <w:p w14:paraId="169F579C" w14:textId="379C6D31" w:rsidR="00796A91" w:rsidRPr="00E24740"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A034EC" w:rsidRPr="008976CC">
              <w:rPr>
                <w:rFonts w:ascii="Arial Narrow" w:hAnsi="Arial Narrow"/>
                <w:color w:val="000000"/>
                <w:spacing w:val="31"/>
                <w:sz w:val="20"/>
                <w:szCs w:val="20"/>
                <w:shd w:val="solid" w:color="000000" w:fill="000000"/>
                <w:fitText w:val="710" w:id="-1477795581"/>
                <w14:textFill>
                  <w14:solidFill>
                    <w14:srgbClr w14:val="000000">
                      <w14:alpha w14:val="100000"/>
                    </w14:srgbClr>
                  </w14:solidFill>
                </w14:textFill>
              </w:rPr>
              <w:t>|||||||||</w:t>
            </w:r>
            <w:r w:rsidR="00A034EC" w:rsidRPr="008976CC">
              <w:rPr>
                <w:rFonts w:ascii="Arial Narrow" w:hAnsi="Arial Narrow"/>
                <w:color w:val="000000"/>
                <w:spacing w:val="6"/>
                <w:sz w:val="20"/>
                <w:szCs w:val="20"/>
                <w:shd w:val="solid" w:color="000000" w:fill="000000"/>
                <w:fitText w:val="710" w:id="-1477795581"/>
                <w14:textFill>
                  <w14:solidFill>
                    <w14:srgbClr w14:val="000000">
                      <w14:alpha w14:val="100000"/>
                    </w14:srgbClr>
                  </w14:solidFill>
                </w14:textFill>
              </w:rPr>
              <w:t>|</w:t>
            </w:r>
            <w:r w:rsidR="00E24740">
              <w:rPr>
                <w:rFonts w:ascii="Arial Narrow" w:hAnsi="Arial Narrow"/>
                <w:sz w:val="20"/>
                <w:szCs w:val="20"/>
                <w:vertAlign w:val="superscript"/>
              </w:rPr>
              <w:t>4</w:t>
            </w:r>
          </w:p>
        </w:tc>
      </w:tr>
    </w:tbl>
    <w:p w14:paraId="2575A8B2"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Source: Table 4-5, p36 and Table 4-8, p39 of the early resolution resubmission</w:t>
      </w:r>
    </w:p>
    <w:p w14:paraId="2DD58D02"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AEMP = approved ex-manufacturer price; CyBorD = cyclophosphamide + bortezomib + dexamethasone; dara = daratumumab</w:t>
      </w:r>
    </w:p>
    <w:p w14:paraId="748F3F1E" w14:textId="183B1128" w:rsidR="00796A91" w:rsidRDefault="00796A91" w:rsidP="00796A91">
      <w:pPr>
        <w:rPr>
          <w:rFonts w:ascii="Arial Narrow" w:hAnsi="Arial Narrow"/>
          <w:sz w:val="18"/>
          <w:szCs w:val="18"/>
        </w:rPr>
      </w:pPr>
      <w:r w:rsidRPr="00622E6C">
        <w:rPr>
          <w:rFonts w:ascii="Arial Narrow" w:hAnsi="Arial Narrow"/>
          <w:sz w:val="18"/>
          <w:szCs w:val="18"/>
        </w:rPr>
        <w:t>* Results in the early resolution resubmission are approximately 1.5% higher than those in the November 2021 PSCR due to a shift in Year 1 from 2022 to 2023.</w:t>
      </w:r>
    </w:p>
    <w:p w14:paraId="2D0DDC50" w14:textId="2716EE80" w:rsidR="00E24740" w:rsidRDefault="00E24740" w:rsidP="00796A91">
      <w:pPr>
        <w:rPr>
          <w:rFonts w:ascii="Arial Narrow" w:hAnsi="Arial Narrow"/>
          <w:sz w:val="18"/>
          <w:szCs w:val="18"/>
        </w:rPr>
      </w:pPr>
      <w:r w:rsidRPr="00E24740">
        <w:rPr>
          <w:rFonts w:ascii="Arial Narrow" w:hAnsi="Arial Narrow"/>
          <w:sz w:val="18"/>
          <w:szCs w:val="18"/>
        </w:rPr>
        <w:t>The redacted values correspond to the following ranges:</w:t>
      </w:r>
    </w:p>
    <w:p w14:paraId="35C867B6" w14:textId="09F072FE" w:rsidR="00E24740" w:rsidRDefault="00E24740" w:rsidP="00796A91">
      <w:pPr>
        <w:rPr>
          <w:rFonts w:ascii="Arial Narrow" w:hAnsi="Arial Narrow"/>
          <w:sz w:val="18"/>
          <w:szCs w:val="18"/>
        </w:rPr>
      </w:pPr>
      <w:r>
        <w:rPr>
          <w:rFonts w:ascii="Arial Narrow" w:hAnsi="Arial Narrow"/>
          <w:sz w:val="18"/>
          <w:szCs w:val="18"/>
          <w:vertAlign w:val="superscript"/>
        </w:rPr>
        <w:t>1</w:t>
      </w:r>
      <w:r w:rsidRPr="00E24740">
        <w:rPr>
          <w:rFonts w:ascii="Arial Narrow" w:hAnsi="Arial Narrow"/>
          <w:sz w:val="18"/>
          <w:szCs w:val="18"/>
        </w:rPr>
        <w:t>&lt; 500</w:t>
      </w:r>
    </w:p>
    <w:p w14:paraId="6878383D" w14:textId="210C3689" w:rsidR="00E24740" w:rsidRDefault="00E24740" w:rsidP="00796A91">
      <w:pPr>
        <w:rPr>
          <w:rFonts w:ascii="Arial Narrow" w:hAnsi="Arial Narrow"/>
          <w:sz w:val="18"/>
          <w:szCs w:val="18"/>
        </w:rPr>
      </w:pPr>
      <w:r>
        <w:rPr>
          <w:rFonts w:ascii="Arial Narrow" w:hAnsi="Arial Narrow"/>
          <w:sz w:val="18"/>
          <w:szCs w:val="18"/>
          <w:vertAlign w:val="superscript"/>
        </w:rPr>
        <w:t>2</w:t>
      </w:r>
      <w:r w:rsidRPr="00E24740">
        <w:rPr>
          <w:rFonts w:ascii="Arial Narrow" w:hAnsi="Arial Narrow"/>
          <w:sz w:val="18"/>
          <w:szCs w:val="18"/>
        </w:rPr>
        <w:t>500 to &lt; 5,000</w:t>
      </w:r>
    </w:p>
    <w:p w14:paraId="6C94F3D8" w14:textId="56D5877E" w:rsidR="00E24740" w:rsidRDefault="00E24740" w:rsidP="00796A91">
      <w:pPr>
        <w:rPr>
          <w:rFonts w:ascii="Arial Narrow" w:hAnsi="Arial Narrow"/>
          <w:sz w:val="18"/>
          <w:szCs w:val="18"/>
        </w:rPr>
      </w:pPr>
      <w:r>
        <w:rPr>
          <w:rFonts w:ascii="Arial Narrow" w:hAnsi="Arial Narrow"/>
          <w:sz w:val="18"/>
          <w:szCs w:val="18"/>
          <w:vertAlign w:val="superscript"/>
        </w:rPr>
        <w:t>3</w:t>
      </w:r>
      <w:r w:rsidRPr="00E24740">
        <w:rPr>
          <w:rFonts w:ascii="Arial Narrow" w:hAnsi="Arial Narrow"/>
          <w:sz w:val="18"/>
          <w:szCs w:val="18"/>
        </w:rPr>
        <w:t>$10 million to &lt; $20 million</w:t>
      </w:r>
    </w:p>
    <w:p w14:paraId="58BBD4FF" w14:textId="0FAEF953" w:rsidR="00E24740" w:rsidRPr="00622E6C" w:rsidRDefault="00E24740" w:rsidP="00796A91">
      <w:pPr>
        <w:rPr>
          <w:rFonts w:ascii="Arial Narrow" w:hAnsi="Arial Narrow"/>
          <w:sz w:val="18"/>
          <w:szCs w:val="18"/>
        </w:rPr>
      </w:pPr>
      <w:r>
        <w:rPr>
          <w:rFonts w:ascii="Arial Narrow" w:hAnsi="Arial Narrow"/>
          <w:sz w:val="18"/>
          <w:szCs w:val="18"/>
          <w:vertAlign w:val="superscript"/>
        </w:rPr>
        <w:t>4</w:t>
      </w:r>
      <w:r w:rsidRPr="00E24740">
        <w:rPr>
          <w:rFonts w:ascii="Arial Narrow" w:hAnsi="Arial Narrow"/>
          <w:sz w:val="18"/>
          <w:szCs w:val="18"/>
        </w:rPr>
        <w:t>$20 million to &lt; $30 million</w:t>
      </w:r>
    </w:p>
    <w:p w14:paraId="36756759" w14:textId="77777777" w:rsidR="00796A91" w:rsidRPr="00622E6C" w:rsidRDefault="00796A91" w:rsidP="00796A91"/>
    <w:p w14:paraId="510A8823" w14:textId="77605C69"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As requested by the PBAC in November 2021, the early resolution resubmission proposed a combined RSA for daratumumab across second-line MM and untreated systemic AL amyloidosis, with an annual subsidisation cap adjusted for overlap between the two patient populations and one course of daratumumab therapy per patient per lifetime. It was proposed that the listing for AL amyloidosis would join the existing MM RSA in its third year, and a rebate of </w:t>
      </w:r>
      <w:r w:rsidR="00A034EC" w:rsidRPr="00494C04">
        <w:rPr>
          <w:rFonts w:asciiTheme="minorHAnsi" w:hAnsiTheme="minorHAnsi"/>
          <w:snapToGrid w:val="0"/>
          <w:color w:val="000000"/>
          <w:w w:val="15"/>
          <w:shd w:val="solid" w:color="000000" w:fill="000000"/>
          <w:fitText w:val="-20" w:id="-1477795328"/>
          <w14:textFill>
            <w14:solidFill>
              <w14:srgbClr w14:val="000000">
                <w14:alpha w14:val="100000"/>
              </w14:srgbClr>
            </w14:solidFill>
          </w14:textFill>
        </w:rPr>
        <w:t xml:space="preserve">|  </w:t>
      </w:r>
      <w:r w:rsidR="00A034EC" w:rsidRPr="00494C04">
        <w:rPr>
          <w:rFonts w:asciiTheme="minorHAnsi" w:hAnsiTheme="minorHAnsi"/>
          <w:snapToGrid w:val="0"/>
          <w:color w:val="000000"/>
          <w:spacing w:val="-69"/>
          <w:w w:val="15"/>
          <w:shd w:val="solid" w:color="000000" w:fill="000000"/>
          <w:fitText w:val="-20" w:id="-1477795328"/>
          <w14:textFill>
            <w14:solidFill>
              <w14:srgbClr w14:val="000000">
                <w14:alpha w14:val="100000"/>
              </w14:srgbClr>
            </w14:solidFill>
          </w14:textFill>
        </w:rPr>
        <w:t>|</w:t>
      </w:r>
      <w:r w:rsidRPr="00622E6C">
        <w:rPr>
          <w:rFonts w:asciiTheme="minorHAnsi" w:hAnsiTheme="minorHAnsi"/>
          <w:snapToGrid w:val="0"/>
        </w:rPr>
        <w:t xml:space="preserve">% for daratumumab use above the combined subsidisation caps would apply (which aligns with the current rebate for daratumumab in MM). </w:t>
      </w:r>
    </w:p>
    <w:p w14:paraId="1C159982" w14:textId="33E0E95F"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The subsidisation caps for the AL amyloidosis listing are set lower than the utilisation estimates (the number of prescriptions was reduced </w:t>
      </w:r>
      <w:r w:rsidRPr="00DC4A02">
        <w:rPr>
          <w:rFonts w:asciiTheme="minorHAnsi" w:hAnsiTheme="minorHAnsi"/>
          <w:snapToGrid w:val="0"/>
        </w:rPr>
        <w:t xml:space="preserve">by </w:t>
      </w:r>
      <w:r w:rsidR="00862DEF" w:rsidRPr="00494C04">
        <w:rPr>
          <w:rFonts w:asciiTheme="minorHAnsi" w:hAnsiTheme="minorHAnsi"/>
          <w:snapToGrid w:val="0"/>
          <w:color w:val="000000"/>
          <w:w w:val="15"/>
          <w:shd w:val="solid" w:color="000000" w:fill="000000"/>
          <w:fitText w:val="-20" w:id="-1463557119"/>
          <w14:textFill>
            <w14:solidFill>
              <w14:srgbClr w14:val="000000">
                <w14:alpha w14:val="100000"/>
              </w14:srgbClr>
            </w14:solidFill>
          </w14:textFill>
        </w:rPr>
        <w:t xml:space="preserve">|  </w:t>
      </w:r>
      <w:r w:rsidR="00862DEF" w:rsidRPr="00494C04">
        <w:rPr>
          <w:rFonts w:asciiTheme="minorHAnsi" w:hAnsiTheme="minorHAnsi"/>
          <w:snapToGrid w:val="0"/>
          <w:color w:val="000000"/>
          <w:spacing w:val="-69"/>
          <w:w w:val="15"/>
          <w:shd w:val="solid" w:color="000000" w:fill="000000"/>
          <w:fitText w:val="-20" w:id="-1463557119"/>
          <w14:textFill>
            <w14:solidFill>
              <w14:srgbClr w14:val="000000">
                <w14:alpha w14:val="100000"/>
              </w14:srgbClr>
            </w14:solidFill>
          </w14:textFill>
        </w:rPr>
        <w:t>|</w:t>
      </w:r>
      <w:r w:rsidRPr="00DC4A02">
        <w:rPr>
          <w:rFonts w:asciiTheme="minorHAnsi" w:hAnsiTheme="minorHAnsi"/>
          <w:snapToGrid w:val="0"/>
        </w:rPr>
        <w:t>%;</w:t>
      </w:r>
      <w:r w:rsidRPr="00622E6C">
        <w:rPr>
          <w:rFonts w:asciiTheme="minorHAnsi" w:hAnsiTheme="minorHAnsi"/>
          <w:snapToGrid w:val="0"/>
        </w:rPr>
        <w:t xml:space="preserve"> Table 25). The submission assumed the existing MM RSA would be revised from the start of Year 3 of the Deed which corresponds to 1 January 2023. The Secretariat provided estimates for Years 5 and 6 of the AL amyloidosis subsidisation cap, based on the assumption that the number of prescriptions would be reduce</w:t>
      </w:r>
      <w:r w:rsidRPr="00DC4A02">
        <w:rPr>
          <w:rFonts w:asciiTheme="minorHAnsi" w:hAnsiTheme="minorHAnsi"/>
          <w:snapToGrid w:val="0"/>
        </w:rPr>
        <w:t xml:space="preserve">d by </w:t>
      </w:r>
      <w:r w:rsidR="00862DEF" w:rsidRPr="00494C04">
        <w:rPr>
          <w:rFonts w:asciiTheme="minorHAnsi" w:hAnsiTheme="minorHAnsi"/>
          <w:snapToGrid w:val="0"/>
          <w:color w:val="000000"/>
          <w:w w:val="15"/>
          <w:shd w:val="solid" w:color="000000" w:fill="000000"/>
          <w:fitText w:val="-20" w:id="-1463556864"/>
          <w14:textFill>
            <w14:solidFill>
              <w14:srgbClr w14:val="000000">
                <w14:alpha w14:val="100000"/>
              </w14:srgbClr>
            </w14:solidFill>
          </w14:textFill>
        </w:rPr>
        <w:t xml:space="preserve">|  </w:t>
      </w:r>
      <w:r w:rsidR="00862DEF" w:rsidRPr="00494C04">
        <w:rPr>
          <w:rFonts w:asciiTheme="minorHAnsi" w:hAnsiTheme="minorHAnsi"/>
          <w:snapToGrid w:val="0"/>
          <w:color w:val="000000"/>
          <w:spacing w:val="-69"/>
          <w:w w:val="15"/>
          <w:shd w:val="solid" w:color="000000" w:fill="000000"/>
          <w:fitText w:val="-20" w:id="-1463556864"/>
          <w14:textFill>
            <w14:solidFill>
              <w14:srgbClr w14:val="000000">
                <w14:alpha w14:val="100000"/>
              </w14:srgbClr>
            </w14:solidFill>
          </w14:textFill>
        </w:rPr>
        <w:t>|</w:t>
      </w:r>
      <w:r w:rsidRPr="00DC4A02">
        <w:rPr>
          <w:rFonts w:asciiTheme="minorHAnsi" w:hAnsiTheme="minorHAnsi"/>
          <w:snapToGrid w:val="0"/>
        </w:rPr>
        <w:t>%. The</w:t>
      </w:r>
      <w:r w:rsidRPr="00622E6C">
        <w:rPr>
          <w:rFonts w:asciiTheme="minorHAnsi" w:hAnsiTheme="minorHAnsi"/>
          <w:snapToGrid w:val="0"/>
        </w:rPr>
        <w:t xml:space="preserve"> PBAC noted if a listing for daratumumab for AL amyloidosis was to occur before or after 1 January 2023 that the AL amyloidosis estimates and the existing MM estimates would need to be realigned based on the actual listing date.</w:t>
      </w:r>
    </w:p>
    <w:p w14:paraId="03AECE32" w14:textId="77777777" w:rsidR="00796A91" w:rsidRPr="00622E6C" w:rsidRDefault="00796A91" w:rsidP="00796A91">
      <w:pPr>
        <w:keepNext/>
        <w:rPr>
          <w:rFonts w:ascii="Arial Narrow" w:hAnsi="Arial Narrow"/>
          <w:b/>
          <w:bCs/>
          <w:sz w:val="20"/>
          <w:szCs w:val="20"/>
        </w:rPr>
      </w:pPr>
      <w:r w:rsidRPr="00622E6C">
        <w:rPr>
          <w:rFonts w:ascii="Arial Narrow" w:hAnsi="Arial Narrow"/>
          <w:b/>
          <w:bCs/>
          <w:sz w:val="20"/>
          <w:szCs w:val="20"/>
        </w:rPr>
        <w:t>Table 25: RSA subsidisation cap for daratumumab in AL amyloidosis</w:t>
      </w:r>
    </w:p>
    <w:tbl>
      <w:tblPr>
        <w:tblStyle w:val="TableGrid"/>
        <w:tblW w:w="0" w:type="auto"/>
        <w:tblLayout w:type="fixed"/>
        <w:tblLook w:val="04A0" w:firstRow="1" w:lastRow="0" w:firstColumn="1" w:lastColumn="0" w:noHBand="0" w:noVBand="1"/>
      </w:tblPr>
      <w:tblGrid>
        <w:gridCol w:w="3114"/>
        <w:gridCol w:w="1134"/>
        <w:gridCol w:w="1134"/>
        <w:gridCol w:w="1257"/>
        <w:gridCol w:w="1189"/>
        <w:gridCol w:w="1189"/>
      </w:tblGrid>
      <w:tr w:rsidR="00796A91" w:rsidRPr="00622E6C" w14:paraId="3E83C272" w14:textId="77777777" w:rsidTr="00796A91">
        <w:tc>
          <w:tcPr>
            <w:tcW w:w="3114" w:type="dxa"/>
          </w:tcPr>
          <w:p w14:paraId="64290FF4" w14:textId="77777777" w:rsidR="00796A91" w:rsidRPr="00622E6C" w:rsidRDefault="00796A91" w:rsidP="00796A91">
            <w:pPr>
              <w:keepNext/>
              <w:jc w:val="left"/>
              <w:rPr>
                <w:rFonts w:ascii="Arial Narrow" w:hAnsi="Arial Narrow"/>
                <w:b/>
                <w:bCs/>
                <w:sz w:val="20"/>
                <w:szCs w:val="20"/>
              </w:rPr>
            </w:pPr>
            <w:r w:rsidRPr="00622E6C">
              <w:rPr>
                <w:rFonts w:ascii="Arial Narrow" w:hAnsi="Arial Narrow"/>
                <w:b/>
                <w:bCs/>
                <w:sz w:val="20"/>
                <w:szCs w:val="20"/>
              </w:rPr>
              <w:t>Year of AL amyloidosis listing</w:t>
            </w:r>
          </w:p>
        </w:tc>
        <w:tc>
          <w:tcPr>
            <w:tcW w:w="1134" w:type="dxa"/>
          </w:tcPr>
          <w:p w14:paraId="165601E6"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1</w:t>
            </w:r>
          </w:p>
        </w:tc>
        <w:tc>
          <w:tcPr>
            <w:tcW w:w="1134" w:type="dxa"/>
          </w:tcPr>
          <w:p w14:paraId="7C938A80"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2</w:t>
            </w:r>
          </w:p>
        </w:tc>
        <w:tc>
          <w:tcPr>
            <w:tcW w:w="1257" w:type="dxa"/>
          </w:tcPr>
          <w:p w14:paraId="4335484F"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3</w:t>
            </w:r>
          </w:p>
        </w:tc>
        <w:tc>
          <w:tcPr>
            <w:tcW w:w="1189" w:type="dxa"/>
          </w:tcPr>
          <w:p w14:paraId="6E23E99F"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4</w:t>
            </w:r>
          </w:p>
        </w:tc>
        <w:tc>
          <w:tcPr>
            <w:tcW w:w="1189" w:type="dxa"/>
          </w:tcPr>
          <w:p w14:paraId="72C65A51"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5</w:t>
            </w:r>
          </w:p>
        </w:tc>
      </w:tr>
      <w:tr w:rsidR="00796A91" w:rsidRPr="00622E6C" w14:paraId="6D0632E2" w14:textId="77777777" w:rsidTr="00796A91">
        <w:tc>
          <w:tcPr>
            <w:tcW w:w="3114" w:type="dxa"/>
          </w:tcPr>
          <w:p w14:paraId="5FC77457" w14:textId="77777777" w:rsidR="00796A91" w:rsidRPr="00622E6C" w:rsidRDefault="00796A91" w:rsidP="00796A91">
            <w:pPr>
              <w:keepNext/>
              <w:jc w:val="left"/>
              <w:rPr>
                <w:rFonts w:ascii="Arial Narrow" w:hAnsi="Arial Narrow"/>
                <w:b/>
                <w:bCs/>
                <w:sz w:val="20"/>
                <w:szCs w:val="20"/>
              </w:rPr>
            </w:pPr>
            <w:r w:rsidRPr="00622E6C">
              <w:rPr>
                <w:rFonts w:ascii="Arial Narrow" w:hAnsi="Arial Narrow"/>
                <w:b/>
                <w:bCs/>
                <w:sz w:val="20"/>
                <w:szCs w:val="20"/>
              </w:rPr>
              <w:t>Year of MM RSA</w:t>
            </w:r>
          </w:p>
        </w:tc>
        <w:tc>
          <w:tcPr>
            <w:tcW w:w="1134" w:type="dxa"/>
          </w:tcPr>
          <w:p w14:paraId="01C72126"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3</w:t>
            </w:r>
          </w:p>
        </w:tc>
        <w:tc>
          <w:tcPr>
            <w:tcW w:w="1134" w:type="dxa"/>
          </w:tcPr>
          <w:p w14:paraId="4F4F65BA"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4</w:t>
            </w:r>
          </w:p>
        </w:tc>
        <w:tc>
          <w:tcPr>
            <w:tcW w:w="1257" w:type="dxa"/>
          </w:tcPr>
          <w:p w14:paraId="33FE6FE2"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Year 5</w:t>
            </w:r>
          </w:p>
        </w:tc>
        <w:tc>
          <w:tcPr>
            <w:tcW w:w="1189" w:type="dxa"/>
          </w:tcPr>
          <w:p w14:paraId="4316FD61"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w:t>
            </w:r>
          </w:p>
        </w:tc>
        <w:tc>
          <w:tcPr>
            <w:tcW w:w="1189" w:type="dxa"/>
          </w:tcPr>
          <w:p w14:paraId="640348A1" w14:textId="77777777" w:rsidR="00796A91" w:rsidRPr="00622E6C" w:rsidRDefault="00796A91" w:rsidP="00796A91">
            <w:pPr>
              <w:keepNext/>
              <w:jc w:val="center"/>
              <w:rPr>
                <w:rFonts w:ascii="Arial Narrow" w:hAnsi="Arial Narrow"/>
                <w:b/>
                <w:bCs/>
                <w:sz w:val="20"/>
                <w:szCs w:val="20"/>
              </w:rPr>
            </w:pPr>
            <w:r w:rsidRPr="00622E6C">
              <w:rPr>
                <w:rFonts w:ascii="Arial Narrow" w:hAnsi="Arial Narrow"/>
                <w:b/>
                <w:bCs/>
                <w:sz w:val="20"/>
                <w:szCs w:val="20"/>
              </w:rPr>
              <w:t>-</w:t>
            </w:r>
          </w:p>
        </w:tc>
      </w:tr>
      <w:tr w:rsidR="00796A91" w:rsidRPr="00622E6C" w14:paraId="15C677B8" w14:textId="77777777" w:rsidTr="00796A91">
        <w:tc>
          <w:tcPr>
            <w:tcW w:w="6639" w:type="dxa"/>
            <w:gridSpan w:val="4"/>
          </w:tcPr>
          <w:p w14:paraId="21DB059C" w14:textId="77777777" w:rsidR="00796A91" w:rsidRPr="00622E6C" w:rsidRDefault="00796A91" w:rsidP="00796A91">
            <w:pPr>
              <w:keepNext/>
              <w:jc w:val="left"/>
              <w:rPr>
                <w:rFonts w:ascii="Arial Narrow" w:hAnsi="Arial Narrow"/>
                <w:b/>
                <w:bCs/>
                <w:sz w:val="20"/>
                <w:szCs w:val="20"/>
              </w:rPr>
            </w:pPr>
            <w:r w:rsidRPr="00622E6C">
              <w:rPr>
                <w:rFonts w:ascii="Arial Narrow" w:hAnsi="Arial Narrow"/>
                <w:b/>
                <w:bCs/>
                <w:sz w:val="20"/>
                <w:szCs w:val="20"/>
              </w:rPr>
              <w:t>Proposed AL amyloidosis daratumumab RSA caps</w:t>
            </w:r>
          </w:p>
        </w:tc>
        <w:tc>
          <w:tcPr>
            <w:tcW w:w="1189" w:type="dxa"/>
          </w:tcPr>
          <w:p w14:paraId="6A72EEBC" w14:textId="77777777" w:rsidR="00796A91" w:rsidRPr="00622E6C" w:rsidRDefault="00796A91" w:rsidP="00796A91">
            <w:pPr>
              <w:keepNext/>
              <w:rPr>
                <w:rFonts w:ascii="Arial Narrow" w:hAnsi="Arial Narrow"/>
                <w:b/>
                <w:bCs/>
                <w:sz w:val="20"/>
                <w:szCs w:val="20"/>
              </w:rPr>
            </w:pPr>
          </w:p>
        </w:tc>
        <w:tc>
          <w:tcPr>
            <w:tcW w:w="1189" w:type="dxa"/>
          </w:tcPr>
          <w:p w14:paraId="563DA3EC" w14:textId="77777777" w:rsidR="00796A91" w:rsidRPr="00622E6C" w:rsidRDefault="00796A91" w:rsidP="00796A91">
            <w:pPr>
              <w:keepNext/>
              <w:rPr>
                <w:rFonts w:ascii="Arial Narrow" w:hAnsi="Arial Narrow"/>
                <w:b/>
                <w:bCs/>
                <w:sz w:val="20"/>
                <w:szCs w:val="20"/>
              </w:rPr>
            </w:pPr>
          </w:p>
        </w:tc>
      </w:tr>
      <w:tr w:rsidR="00796A91" w:rsidRPr="00622E6C" w14:paraId="7FEFDC73" w14:textId="77777777" w:rsidTr="00796A91">
        <w:tc>
          <w:tcPr>
            <w:tcW w:w="3114" w:type="dxa"/>
          </w:tcPr>
          <w:p w14:paraId="79EB7F4B"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Prescriptions</w:t>
            </w:r>
            <w:r w:rsidRPr="00622E6C">
              <w:rPr>
                <w:rFonts w:ascii="Arial Narrow" w:hAnsi="Arial Narrow"/>
                <w:sz w:val="20"/>
                <w:szCs w:val="20"/>
                <w:vertAlign w:val="superscript"/>
              </w:rPr>
              <w:t>a</w:t>
            </w:r>
          </w:p>
        </w:tc>
        <w:tc>
          <w:tcPr>
            <w:tcW w:w="1134" w:type="dxa"/>
          </w:tcPr>
          <w:p w14:paraId="5A7F5BF4" w14:textId="62B4A136" w:rsidR="00796A91" w:rsidRPr="007E402D"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5327"/>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5327"/>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5327"/>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134" w:type="dxa"/>
          </w:tcPr>
          <w:p w14:paraId="62F77548" w14:textId="04C94452" w:rsidR="00796A91" w:rsidRPr="007E402D"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5326"/>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5326"/>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5326"/>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257" w:type="dxa"/>
          </w:tcPr>
          <w:p w14:paraId="4A5B3C99" w14:textId="6B57CC9A" w:rsidR="00796A91" w:rsidRPr="007E402D" w:rsidRDefault="00A034EC" w:rsidP="00796A91">
            <w:pPr>
              <w:keepNext/>
              <w:jc w:val="center"/>
              <w:rPr>
                <w:rFonts w:ascii="Arial Narrow" w:hAnsi="Arial Narrow"/>
                <w:sz w:val="20"/>
                <w:szCs w:val="20"/>
                <w:vertAlign w:val="superscript"/>
              </w:rPr>
            </w:pPr>
            <w:r w:rsidRPr="008976CC">
              <w:rPr>
                <w:rFonts w:ascii="Arial Narrow" w:hAnsi="Arial Narrow" w:hint="eastAsia"/>
                <w:color w:val="000000"/>
                <w:w w:val="15"/>
                <w:sz w:val="20"/>
                <w:szCs w:val="20"/>
                <w:shd w:val="solid" w:color="000000" w:fill="000000"/>
                <w:fitText w:val="30" w:id="-1477795325"/>
                <w14:textFill>
                  <w14:solidFill>
                    <w14:srgbClr w14:val="000000">
                      <w14:alpha w14:val="100000"/>
                    </w14:srgbClr>
                  </w14:solidFill>
                </w14:textFill>
              </w:rPr>
              <w:t xml:space="preserve">　</w:t>
            </w:r>
            <w:r w:rsidRPr="008976CC">
              <w:rPr>
                <w:rFonts w:ascii="Arial Narrow" w:hAnsi="Arial Narrow"/>
                <w:color w:val="000000"/>
                <w:w w:val="15"/>
                <w:sz w:val="20"/>
                <w:szCs w:val="20"/>
                <w:shd w:val="solid" w:color="000000" w:fill="000000"/>
                <w:fitText w:val="30" w:id="-1477795325"/>
                <w14:textFill>
                  <w14:solidFill>
                    <w14:srgbClr w14:val="000000">
                      <w14:alpha w14:val="100000"/>
                    </w14:srgbClr>
                  </w14:solidFill>
                </w14:textFill>
              </w:rPr>
              <w:t>|</w:t>
            </w:r>
            <w:r w:rsidRPr="008976CC">
              <w:rPr>
                <w:rFonts w:ascii="Arial Narrow" w:hAnsi="Arial Narrow" w:hint="eastAsia"/>
                <w:color w:val="000000"/>
                <w:spacing w:val="-35"/>
                <w:w w:val="15"/>
                <w:sz w:val="20"/>
                <w:szCs w:val="20"/>
                <w:shd w:val="solid" w:color="000000" w:fill="000000"/>
                <w:fitText w:val="30" w:id="-1477795325"/>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189" w:type="dxa"/>
          </w:tcPr>
          <w:p w14:paraId="29309393" w14:textId="7B990207" w:rsidR="00796A91" w:rsidRPr="007E402D"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7E402D">
              <w:rPr>
                <w:rFonts w:ascii="Arial Narrow" w:hAnsi="Arial Narrow"/>
                <w:sz w:val="20"/>
                <w:szCs w:val="20"/>
                <w:vertAlign w:val="superscript"/>
              </w:rPr>
              <w:t>1</w:t>
            </w:r>
          </w:p>
        </w:tc>
        <w:tc>
          <w:tcPr>
            <w:tcW w:w="1189" w:type="dxa"/>
          </w:tcPr>
          <w:p w14:paraId="479A27A6" w14:textId="1ABB8EED" w:rsidR="00796A91" w:rsidRPr="007E402D" w:rsidRDefault="00A034EC" w:rsidP="00796A91">
            <w:pPr>
              <w:keepNext/>
              <w:jc w:val="center"/>
              <w:rPr>
                <w:rFonts w:ascii="Arial Narrow" w:hAnsi="Arial Narrow"/>
                <w:sz w:val="20"/>
                <w:szCs w:val="20"/>
                <w:vertAlign w:val="superscript"/>
              </w:rPr>
            </w:pPr>
            <w:r w:rsidRPr="00A034EC">
              <w:rPr>
                <w:rFonts w:ascii="Arial Narrow" w:hAnsi="Arial Narrow"/>
                <w:color w:val="000000"/>
                <w:sz w:val="20"/>
                <w:szCs w:val="20"/>
                <w:shd w:val="solid" w:color="000000" w:fill="000000"/>
                <w14:textFill>
                  <w14:solidFill>
                    <w14:srgbClr w14:val="000000">
                      <w14:alpha w14:val="100000"/>
                    </w14:srgbClr>
                  </w14:solidFill>
                </w14:textFill>
              </w:rPr>
              <w:t>|</w:t>
            </w:r>
            <w:r w:rsidR="007E402D">
              <w:rPr>
                <w:rFonts w:ascii="Arial Narrow" w:hAnsi="Arial Narrow"/>
                <w:sz w:val="20"/>
                <w:szCs w:val="20"/>
                <w:vertAlign w:val="superscript"/>
              </w:rPr>
              <w:t>1</w:t>
            </w:r>
          </w:p>
        </w:tc>
      </w:tr>
      <w:tr w:rsidR="00796A91" w:rsidRPr="00622E6C" w14:paraId="6D868F2C" w14:textId="77777777" w:rsidTr="00796A91">
        <w:tc>
          <w:tcPr>
            <w:tcW w:w="3114" w:type="dxa"/>
          </w:tcPr>
          <w:p w14:paraId="2FE91D1E"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Value of cap</w:t>
            </w:r>
          </w:p>
        </w:tc>
        <w:tc>
          <w:tcPr>
            <w:tcW w:w="1134" w:type="dxa"/>
            <w:vAlign w:val="center"/>
          </w:tcPr>
          <w:p w14:paraId="1D0ECCC3" w14:textId="435AD1F8"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4048"/>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4048"/>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34" w:type="dxa"/>
            <w:vAlign w:val="center"/>
          </w:tcPr>
          <w:p w14:paraId="5BD2058B" w14:textId="3B62FE39"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4047"/>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4047"/>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257" w:type="dxa"/>
            <w:vAlign w:val="center"/>
          </w:tcPr>
          <w:p w14:paraId="232B81E2" w14:textId="7B7CBA4D"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0"/>
                <w:sz w:val="20"/>
                <w:szCs w:val="20"/>
                <w:shd w:val="solid" w:color="000000" w:fill="000000"/>
                <w:fitText w:val="700" w:id="-1477794046"/>
                <w14:textFill>
                  <w14:solidFill>
                    <w14:srgbClr w14:val="000000">
                      <w14:alpha w14:val="100000"/>
                    </w14:srgbClr>
                  </w14:solidFill>
                </w14:textFill>
              </w:rPr>
              <w:t>|||||||||</w:t>
            </w:r>
            <w:r w:rsidR="00005E9B" w:rsidRPr="008976CC">
              <w:rPr>
                <w:rFonts w:ascii="Arial Narrow" w:hAnsi="Arial Narrow"/>
                <w:color w:val="000000"/>
                <w:spacing w:val="5"/>
                <w:sz w:val="20"/>
                <w:szCs w:val="20"/>
                <w:shd w:val="solid" w:color="000000" w:fill="000000"/>
                <w:fitText w:val="700" w:id="-1477794046"/>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89" w:type="dxa"/>
          </w:tcPr>
          <w:p w14:paraId="57229384" w14:textId="14F02D9E"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2"/>
                <w:sz w:val="20"/>
                <w:szCs w:val="20"/>
                <w:shd w:val="solid" w:color="000000" w:fill="000000"/>
                <w:fitText w:val="720" w:id="-1477793792"/>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720" w:id="-1477793792"/>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89" w:type="dxa"/>
          </w:tcPr>
          <w:p w14:paraId="648215AE" w14:textId="3BFC54CA"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2"/>
                <w:sz w:val="20"/>
                <w:szCs w:val="20"/>
                <w:shd w:val="solid" w:color="000000" w:fill="000000"/>
                <w:fitText w:val="720" w:id="-1477793791"/>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720" w:id="-1477793791"/>
                <w14:textFill>
                  <w14:solidFill>
                    <w14:srgbClr w14:val="000000">
                      <w14:alpha w14:val="100000"/>
                    </w14:srgbClr>
                  </w14:solidFill>
                </w14:textFill>
              </w:rPr>
              <w:t>|</w:t>
            </w:r>
            <w:r w:rsidR="007E402D">
              <w:rPr>
                <w:rFonts w:ascii="Arial Narrow" w:hAnsi="Arial Narrow"/>
                <w:sz w:val="20"/>
                <w:szCs w:val="20"/>
                <w:vertAlign w:val="superscript"/>
              </w:rPr>
              <w:t>2</w:t>
            </w:r>
          </w:p>
        </w:tc>
      </w:tr>
      <w:tr w:rsidR="00796A91" w:rsidRPr="00622E6C" w14:paraId="00288ABE" w14:textId="77777777" w:rsidTr="00796A91">
        <w:tc>
          <w:tcPr>
            <w:tcW w:w="6639" w:type="dxa"/>
            <w:gridSpan w:val="4"/>
          </w:tcPr>
          <w:p w14:paraId="5E2F7874" w14:textId="77777777" w:rsidR="00796A91" w:rsidRPr="00622E6C" w:rsidRDefault="00796A91" w:rsidP="00796A91">
            <w:pPr>
              <w:keepNext/>
              <w:jc w:val="left"/>
              <w:rPr>
                <w:rFonts w:ascii="Arial Narrow" w:hAnsi="Arial Narrow"/>
                <w:b/>
                <w:bCs/>
                <w:sz w:val="20"/>
                <w:szCs w:val="20"/>
              </w:rPr>
            </w:pPr>
            <w:r w:rsidRPr="00622E6C">
              <w:rPr>
                <w:rFonts w:ascii="Arial Narrow" w:hAnsi="Arial Narrow"/>
                <w:b/>
                <w:bCs/>
                <w:sz w:val="20"/>
                <w:szCs w:val="20"/>
              </w:rPr>
              <w:t>Estimated AL amyloidosis daratumumab utilisation and financial estimates</w:t>
            </w:r>
          </w:p>
        </w:tc>
        <w:tc>
          <w:tcPr>
            <w:tcW w:w="1189" w:type="dxa"/>
          </w:tcPr>
          <w:p w14:paraId="5E2CE284" w14:textId="77777777" w:rsidR="00796A91" w:rsidRPr="00622E6C" w:rsidRDefault="00796A91" w:rsidP="00796A91">
            <w:pPr>
              <w:keepNext/>
              <w:rPr>
                <w:rFonts w:ascii="Arial Narrow" w:hAnsi="Arial Narrow"/>
                <w:b/>
                <w:bCs/>
                <w:sz w:val="20"/>
                <w:szCs w:val="20"/>
              </w:rPr>
            </w:pPr>
          </w:p>
        </w:tc>
        <w:tc>
          <w:tcPr>
            <w:tcW w:w="1189" w:type="dxa"/>
          </w:tcPr>
          <w:p w14:paraId="7AFABCC3" w14:textId="77777777" w:rsidR="00796A91" w:rsidRPr="00622E6C" w:rsidRDefault="00796A91" w:rsidP="00796A91">
            <w:pPr>
              <w:keepNext/>
              <w:rPr>
                <w:rFonts w:ascii="Arial Narrow" w:hAnsi="Arial Narrow"/>
                <w:b/>
                <w:bCs/>
                <w:sz w:val="20"/>
                <w:szCs w:val="20"/>
              </w:rPr>
            </w:pPr>
          </w:p>
        </w:tc>
      </w:tr>
      <w:tr w:rsidR="00796A91" w:rsidRPr="00622E6C" w14:paraId="632F1977" w14:textId="77777777" w:rsidTr="00796A91">
        <w:tc>
          <w:tcPr>
            <w:tcW w:w="3114" w:type="dxa"/>
          </w:tcPr>
          <w:p w14:paraId="2E5F3EEA"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Prescriptions</w:t>
            </w:r>
            <w:r w:rsidRPr="00622E6C">
              <w:rPr>
                <w:rFonts w:ascii="Arial Narrow" w:hAnsi="Arial Narrow"/>
                <w:sz w:val="20"/>
                <w:szCs w:val="20"/>
                <w:vertAlign w:val="superscript"/>
              </w:rPr>
              <w:t>b</w:t>
            </w:r>
          </w:p>
        </w:tc>
        <w:tc>
          <w:tcPr>
            <w:tcW w:w="1134" w:type="dxa"/>
            <w:vAlign w:val="center"/>
          </w:tcPr>
          <w:p w14:paraId="16FD7113" w14:textId="42BC4ECC" w:rsidR="00796A91" w:rsidRPr="007E402D" w:rsidRDefault="00005E9B"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3790"/>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3790"/>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3790"/>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134" w:type="dxa"/>
            <w:vAlign w:val="center"/>
          </w:tcPr>
          <w:p w14:paraId="13E7B481" w14:textId="00B16BF5" w:rsidR="00796A91" w:rsidRPr="007E402D" w:rsidRDefault="00005E9B" w:rsidP="00796A91">
            <w:pPr>
              <w:keepNext/>
              <w:jc w:val="center"/>
              <w:rPr>
                <w:rFonts w:ascii="Arial Narrow" w:hAnsi="Arial Narrow"/>
                <w:sz w:val="20"/>
                <w:szCs w:val="20"/>
                <w:vertAlign w:val="superscript"/>
              </w:rPr>
            </w:pPr>
            <w:r w:rsidRPr="008976CC">
              <w:rPr>
                <w:rFonts w:ascii="Arial Narrow" w:hAnsi="Arial Narrow" w:hint="eastAsia"/>
                <w:color w:val="000000"/>
                <w:w w:val="20"/>
                <w:sz w:val="20"/>
                <w:szCs w:val="20"/>
                <w:shd w:val="solid" w:color="000000" w:fill="000000"/>
                <w:fitText w:val="90" w:id="-1477793789"/>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3789"/>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3789"/>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257" w:type="dxa"/>
            <w:vAlign w:val="center"/>
          </w:tcPr>
          <w:p w14:paraId="3B048118" w14:textId="02E3F4BC" w:rsidR="00796A91" w:rsidRPr="007E402D" w:rsidRDefault="00005E9B" w:rsidP="00796A91">
            <w:pPr>
              <w:keepNext/>
              <w:jc w:val="center"/>
              <w:rPr>
                <w:rFonts w:ascii="Arial Narrow" w:hAnsi="Arial Narrow"/>
                <w:sz w:val="20"/>
                <w:szCs w:val="20"/>
                <w:vertAlign w:val="superscript"/>
              </w:rPr>
            </w:pPr>
            <w:r w:rsidRPr="008976CC">
              <w:rPr>
                <w:rFonts w:ascii="Arial Narrow" w:hAnsi="Arial Narrow" w:hint="eastAsia"/>
                <w:color w:val="000000"/>
                <w:w w:val="15"/>
                <w:sz w:val="20"/>
                <w:szCs w:val="20"/>
                <w:shd w:val="solid" w:color="000000" w:fill="000000"/>
                <w:fitText w:val="30" w:id="-1477793788"/>
                <w14:textFill>
                  <w14:solidFill>
                    <w14:srgbClr w14:val="000000">
                      <w14:alpha w14:val="100000"/>
                    </w14:srgbClr>
                  </w14:solidFill>
                </w14:textFill>
              </w:rPr>
              <w:t xml:space="preserve">　</w:t>
            </w:r>
            <w:r w:rsidRPr="008976CC">
              <w:rPr>
                <w:rFonts w:ascii="Arial Narrow" w:hAnsi="Arial Narrow"/>
                <w:color w:val="000000"/>
                <w:w w:val="15"/>
                <w:sz w:val="20"/>
                <w:szCs w:val="20"/>
                <w:shd w:val="solid" w:color="000000" w:fill="000000"/>
                <w:fitText w:val="30" w:id="-1477793788"/>
                <w14:textFill>
                  <w14:solidFill>
                    <w14:srgbClr w14:val="000000">
                      <w14:alpha w14:val="100000"/>
                    </w14:srgbClr>
                  </w14:solidFill>
                </w14:textFill>
              </w:rPr>
              <w:t>|</w:t>
            </w:r>
            <w:r w:rsidRPr="008976CC">
              <w:rPr>
                <w:rFonts w:ascii="Arial Narrow" w:hAnsi="Arial Narrow" w:hint="eastAsia"/>
                <w:color w:val="000000"/>
                <w:spacing w:val="-35"/>
                <w:w w:val="15"/>
                <w:sz w:val="20"/>
                <w:szCs w:val="20"/>
                <w:shd w:val="solid" w:color="000000" w:fill="000000"/>
                <w:fitText w:val="30" w:id="-1477793788"/>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189" w:type="dxa"/>
          </w:tcPr>
          <w:p w14:paraId="36D95374" w14:textId="0F9A4600" w:rsidR="00796A91" w:rsidRPr="007E402D" w:rsidRDefault="00005E9B" w:rsidP="00796A91">
            <w:pPr>
              <w:keepNext/>
              <w:jc w:val="center"/>
              <w:rPr>
                <w:rFonts w:ascii="Arial Narrow" w:hAnsi="Arial Narrow"/>
                <w:sz w:val="20"/>
                <w:szCs w:val="20"/>
                <w:vertAlign w:val="superscript"/>
              </w:rPr>
            </w:pPr>
            <w:r w:rsidRPr="008976CC">
              <w:rPr>
                <w:rFonts w:ascii="Arial Narrow" w:hAnsi="Arial Narrow" w:hint="eastAsia"/>
                <w:color w:val="000000"/>
                <w:w w:val="15"/>
                <w:sz w:val="20"/>
                <w:szCs w:val="20"/>
                <w:shd w:val="solid" w:color="000000" w:fill="000000"/>
                <w:fitText w:val="70" w:id="-1477793536"/>
                <w14:textFill>
                  <w14:solidFill>
                    <w14:srgbClr w14:val="000000">
                      <w14:alpha w14:val="100000"/>
                    </w14:srgbClr>
                  </w14:solidFill>
                </w14:textFill>
              </w:rPr>
              <w:t xml:space="preserve">　</w:t>
            </w:r>
            <w:r w:rsidRPr="008976CC">
              <w:rPr>
                <w:rFonts w:ascii="Arial Narrow" w:hAnsi="Arial Narrow"/>
                <w:color w:val="000000"/>
                <w:w w:val="15"/>
                <w:sz w:val="20"/>
                <w:szCs w:val="20"/>
                <w:shd w:val="solid" w:color="000000" w:fill="000000"/>
                <w:fitText w:val="70" w:id="-1477793536"/>
                <w14:textFill>
                  <w14:solidFill>
                    <w14:srgbClr w14:val="000000">
                      <w14:alpha w14:val="100000"/>
                    </w14:srgbClr>
                  </w14:solidFill>
                </w14:textFill>
              </w:rPr>
              <w:t>|</w:t>
            </w:r>
            <w:r w:rsidRPr="008976CC">
              <w:rPr>
                <w:rFonts w:ascii="Arial Narrow" w:hAnsi="Arial Narrow" w:hint="eastAsia"/>
                <w:color w:val="000000"/>
                <w:spacing w:val="4"/>
                <w:w w:val="15"/>
                <w:sz w:val="20"/>
                <w:szCs w:val="20"/>
                <w:shd w:val="solid" w:color="000000" w:fill="000000"/>
                <w:fitText w:val="70" w:id="-1477793536"/>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c>
          <w:tcPr>
            <w:tcW w:w="1189" w:type="dxa"/>
          </w:tcPr>
          <w:p w14:paraId="4A636BE5" w14:textId="677E8C44" w:rsidR="00796A91" w:rsidRPr="007E402D" w:rsidRDefault="00005E9B" w:rsidP="00796A91">
            <w:pPr>
              <w:keepNext/>
              <w:jc w:val="center"/>
              <w:rPr>
                <w:rFonts w:ascii="Arial Narrow" w:hAnsi="Arial Narrow"/>
                <w:sz w:val="20"/>
                <w:szCs w:val="20"/>
                <w:vertAlign w:val="superscript"/>
              </w:rPr>
            </w:pPr>
            <w:r w:rsidRPr="008976CC">
              <w:rPr>
                <w:rFonts w:ascii="Arial Narrow" w:hAnsi="Arial Narrow" w:hint="eastAsia"/>
                <w:color w:val="000000"/>
                <w:w w:val="15"/>
                <w:sz w:val="20"/>
                <w:szCs w:val="20"/>
                <w:shd w:val="solid" w:color="000000" w:fill="000000"/>
                <w:fitText w:val="70" w:id="-1477793535"/>
                <w14:textFill>
                  <w14:solidFill>
                    <w14:srgbClr w14:val="000000">
                      <w14:alpha w14:val="100000"/>
                    </w14:srgbClr>
                  </w14:solidFill>
                </w14:textFill>
              </w:rPr>
              <w:t xml:space="preserve">　</w:t>
            </w:r>
            <w:r w:rsidRPr="008976CC">
              <w:rPr>
                <w:rFonts w:ascii="Arial Narrow" w:hAnsi="Arial Narrow"/>
                <w:color w:val="000000"/>
                <w:w w:val="15"/>
                <w:sz w:val="20"/>
                <w:szCs w:val="20"/>
                <w:shd w:val="solid" w:color="000000" w:fill="000000"/>
                <w:fitText w:val="70" w:id="-1477793535"/>
                <w14:textFill>
                  <w14:solidFill>
                    <w14:srgbClr w14:val="000000">
                      <w14:alpha w14:val="100000"/>
                    </w14:srgbClr>
                  </w14:solidFill>
                </w14:textFill>
              </w:rPr>
              <w:t>|</w:t>
            </w:r>
            <w:r w:rsidRPr="008976CC">
              <w:rPr>
                <w:rFonts w:ascii="Arial Narrow" w:hAnsi="Arial Narrow" w:hint="eastAsia"/>
                <w:color w:val="000000"/>
                <w:spacing w:val="4"/>
                <w:w w:val="15"/>
                <w:sz w:val="20"/>
                <w:szCs w:val="20"/>
                <w:shd w:val="solid" w:color="000000" w:fill="000000"/>
                <w:fitText w:val="70" w:id="-1477793535"/>
                <w14:textFill>
                  <w14:solidFill>
                    <w14:srgbClr w14:val="000000">
                      <w14:alpha w14:val="100000"/>
                    </w14:srgbClr>
                  </w14:solidFill>
                </w14:textFill>
              </w:rPr>
              <w:t xml:space="preserve">　</w:t>
            </w:r>
            <w:r w:rsidR="007E402D">
              <w:rPr>
                <w:rFonts w:ascii="Arial Narrow" w:hAnsi="Arial Narrow"/>
                <w:sz w:val="20"/>
                <w:szCs w:val="20"/>
                <w:vertAlign w:val="superscript"/>
              </w:rPr>
              <w:t>1</w:t>
            </w:r>
          </w:p>
        </w:tc>
      </w:tr>
      <w:tr w:rsidR="00796A91" w:rsidRPr="00622E6C" w14:paraId="33819E39" w14:textId="77777777" w:rsidTr="00796A91">
        <w:tc>
          <w:tcPr>
            <w:tcW w:w="3114" w:type="dxa"/>
          </w:tcPr>
          <w:p w14:paraId="20F0CBF0"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Net cost to PBS/RPBS</w:t>
            </w:r>
          </w:p>
        </w:tc>
        <w:tc>
          <w:tcPr>
            <w:tcW w:w="1134" w:type="dxa"/>
            <w:vAlign w:val="center"/>
          </w:tcPr>
          <w:p w14:paraId="50CC8AA2" w14:textId="3F94F973"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3534"/>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3534"/>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34" w:type="dxa"/>
            <w:vAlign w:val="center"/>
          </w:tcPr>
          <w:p w14:paraId="51EF3787" w14:textId="0602C602"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3533"/>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3533"/>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257" w:type="dxa"/>
            <w:vAlign w:val="center"/>
          </w:tcPr>
          <w:p w14:paraId="6132053E" w14:textId="538F830A"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0"/>
                <w:sz w:val="20"/>
                <w:szCs w:val="20"/>
                <w:shd w:val="solid" w:color="000000" w:fill="000000"/>
                <w:fitText w:val="700" w:id="-1477793532"/>
                <w14:textFill>
                  <w14:solidFill>
                    <w14:srgbClr w14:val="000000">
                      <w14:alpha w14:val="100000"/>
                    </w14:srgbClr>
                  </w14:solidFill>
                </w14:textFill>
              </w:rPr>
              <w:t>|||||||||</w:t>
            </w:r>
            <w:r w:rsidR="00005E9B" w:rsidRPr="008976CC">
              <w:rPr>
                <w:rFonts w:ascii="Arial Narrow" w:hAnsi="Arial Narrow"/>
                <w:color w:val="000000"/>
                <w:spacing w:val="5"/>
                <w:sz w:val="20"/>
                <w:szCs w:val="20"/>
                <w:shd w:val="solid" w:color="000000" w:fill="000000"/>
                <w:fitText w:val="700" w:id="-1477793532"/>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89" w:type="dxa"/>
            <w:vAlign w:val="center"/>
          </w:tcPr>
          <w:p w14:paraId="56FFF523" w14:textId="3D8308A0"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2"/>
                <w:sz w:val="20"/>
                <w:szCs w:val="20"/>
                <w:shd w:val="solid" w:color="000000" w:fill="000000"/>
                <w:fitText w:val="720" w:id="-1477793280"/>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720" w:id="-1477793280"/>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89" w:type="dxa"/>
            <w:vAlign w:val="center"/>
          </w:tcPr>
          <w:p w14:paraId="346C22D9" w14:textId="0BEF0664"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2"/>
                <w:sz w:val="20"/>
                <w:szCs w:val="20"/>
                <w:shd w:val="solid" w:color="000000" w:fill="000000"/>
                <w:fitText w:val="720" w:id="-1477793279"/>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720" w:id="-1477793279"/>
                <w14:textFill>
                  <w14:solidFill>
                    <w14:srgbClr w14:val="000000">
                      <w14:alpha w14:val="100000"/>
                    </w14:srgbClr>
                  </w14:solidFill>
                </w14:textFill>
              </w:rPr>
              <w:t>|</w:t>
            </w:r>
            <w:r w:rsidR="007E402D">
              <w:rPr>
                <w:rFonts w:ascii="Arial Narrow" w:hAnsi="Arial Narrow"/>
                <w:sz w:val="20"/>
                <w:szCs w:val="20"/>
                <w:vertAlign w:val="superscript"/>
              </w:rPr>
              <w:t>2</w:t>
            </w:r>
          </w:p>
        </w:tc>
      </w:tr>
      <w:tr w:rsidR="00796A91" w:rsidRPr="00622E6C" w14:paraId="7CF3F5A8" w14:textId="77777777" w:rsidTr="00796A91">
        <w:tc>
          <w:tcPr>
            <w:tcW w:w="3114" w:type="dxa"/>
          </w:tcPr>
          <w:p w14:paraId="0E9FBDD0" w14:textId="79291F20" w:rsidR="00796A91" w:rsidRPr="00622E6C" w:rsidRDefault="00005E9B" w:rsidP="00796A91">
            <w:pPr>
              <w:keepNext/>
              <w:jc w:val="left"/>
              <w:rPr>
                <w:rFonts w:ascii="Arial Narrow" w:hAnsi="Arial Narrow"/>
                <w:sz w:val="20"/>
                <w:szCs w:val="20"/>
              </w:rPr>
            </w:pPr>
            <w:r w:rsidRPr="008976CC">
              <w:rPr>
                <w:rFonts w:ascii="Arial Narrow" w:hAnsi="Arial Narrow" w:hint="eastAsia"/>
                <w:color w:val="000000"/>
                <w:w w:val="20"/>
                <w:sz w:val="20"/>
                <w:szCs w:val="20"/>
                <w:shd w:val="solid" w:color="000000" w:fill="000000"/>
                <w:fitText w:val="90" w:id="-1477793278"/>
                <w14:textFill>
                  <w14:solidFill>
                    <w14:srgbClr w14:val="000000">
                      <w14:alpha w14:val="100000"/>
                    </w14:srgbClr>
                  </w14:solidFill>
                </w14:textFill>
              </w:rPr>
              <w:t xml:space="preserve">　</w:t>
            </w:r>
            <w:r w:rsidRPr="008976CC">
              <w:rPr>
                <w:rFonts w:ascii="Arial Narrow" w:hAnsi="Arial Narrow"/>
                <w:color w:val="000000"/>
                <w:w w:val="20"/>
                <w:sz w:val="20"/>
                <w:szCs w:val="20"/>
                <w:shd w:val="solid" w:color="000000" w:fill="000000"/>
                <w:fitText w:val="90" w:id="-1477793278"/>
                <w14:textFill>
                  <w14:solidFill>
                    <w14:srgbClr w14:val="000000">
                      <w14:alpha w14:val="100000"/>
                    </w14:srgbClr>
                  </w14:solidFill>
                </w14:textFill>
              </w:rPr>
              <w:t>|</w:t>
            </w:r>
            <w:r w:rsidRPr="008976CC">
              <w:rPr>
                <w:rFonts w:ascii="Arial Narrow" w:hAnsi="Arial Narrow" w:hint="eastAsia"/>
                <w:color w:val="000000"/>
                <w:spacing w:val="3"/>
                <w:w w:val="20"/>
                <w:sz w:val="20"/>
                <w:szCs w:val="20"/>
                <w:shd w:val="solid" w:color="000000" w:fill="000000"/>
                <w:fitText w:val="90" w:id="-1477793278"/>
                <w14:textFill>
                  <w14:solidFill>
                    <w14:srgbClr w14:val="000000">
                      <w14:alpha w14:val="100000"/>
                    </w14:srgbClr>
                  </w14:solidFill>
                </w14:textFill>
              </w:rPr>
              <w:t xml:space="preserve">　</w:t>
            </w:r>
            <w:r w:rsidR="00796A91" w:rsidRPr="00622E6C">
              <w:rPr>
                <w:rFonts w:ascii="Arial Narrow" w:hAnsi="Arial Narrow"/>
                <w:sz w:val="20"/>
                <w:szCs w:val="20"/>
              </w:rPr>
              <w:t>% rebate payment</w:t>
            </w:r>
          </w:p>
        </w:tc>
        <w:tc>
          <w:tcPr>
            <w:tcW w:w="1134" w:type="dxa"/>
            <w:vAlign w:val="center"/>
          </w:tcPr>
          <w:p w14:paraId="21418485" w14:textId="297D2287"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3277"/>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3277"/>
                <w14:textFill>
                  <w14:solidFill>
                    <w14:srgbClr w14:val="000000">
                      <w14:alpha w14:val="100000"/>
                    </w14:srgbClr>
                  </w14:solidFill>
                </w14:textFill>
              </w:rPr>
              <w:t>|</w:t>
            </w:r>
            <w:r w:rsidR="007E402D">
              <w:rPr>
                <w:rFonts w:ascii="Arial Narrow" w:hAnsi="Arial Narrow"/>
                <w:sz w:val="20"/>
                <w:szCs w:val="20"/>
                <w:vertAlign w:val="superscript"/>
              </w:rPr>
              <w:t>3</w:t>
            </w:r>
          </w:p>
        </w:tc>
        <w:tc>
          <w:tcPr>
            <w:tcW w:w="1134" w:type="dxa"/>
            <w:vAlign w:val="center"/>
          </w:tcPr>
          <w:p w14:paraId="69859F61" w14:textId="693C176D"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3276"/>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3276"/>
                <w14:textFill>
                  <w14:solidFill>
                    <w14:srgbClr w14:val="000000">
                      <w14:alpha w14:val="100000"/>
                    </w14:srgbClr>
                  </w14:solidFill>
                </w14:textFill>
              </w:rPr>
              <w:t>|</w:t>
            </w:r>
            <w:r w:rsidR="007E402D">
              <w:rPr>
                <w:rFonts w:ascii="Arial Narrow" w:hAnsi="Arial Narrow"/>
                <w:sz w:val="20"/>
                <w:szCs w:val="20"/>
                <w:vertAlign w:val="superscript"/>
              </w:rPr>
              <w:t>3</w:t>
            </w:r>
          </w:p>
        </w:tc>
        <w:tc>
          <w:tcPr>
            <w:tcW w:w="1257" w:type="dxa"/>
            <w:vAlign w:val="center"/>
          </w:tcPr>
          <w:p w14:paraId="46404DDD" w14:textId="359B7437"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1"/>
                <w:sz w:val="20"/>
                <w:szCs w:val="20"/>
                <w:shd w:val="solid" w:color="000000" w:fill="000000"/>
                <w:fitText w:val="560" w:id="-1477793024"/>
                <w14:textFill>
                  <w14:solidFill>
                    <w14:srgbClr w14:val="000000">
                      <w14:alpha w14:val="100000"/>
                    </w14:srgbClr>
                  </w14:solidFill>
                </w14:textFill>
              </w:rPr>
              <w:t>|||||||</w:t>
            </w:r>
            <w:r w:rsidR="00005E9B" w:rsidRPr="008976CC">
              <w:rPr>
                <w:rFonts w:ascii="Arial Narrow" w:hAnsi="Arial Narrow"/>
                <w:color w:val="000000"/>
                <w:spacing w:val="3"/>
                <w:sz w:val="20"/>
                <w:szCs w:val="20"/>
                <w:shd w:val="solid" w:color="000000" w:fill="000000"/>
                <w:fitText w:val="560" w:id="-1477793024"/>
                <w14:textFill>
                  <w14:solidFill>
                    <w14:srgbClr w14:val="000000">
                      <w14:alpha w14:val="100000"/>
                    </w14:srgbClr>
                  </w14:solidFill>
                </w14:textFill>
              </w:rPr>
              <w:t>|</w:t>
            </w:r>
            <w:r w:rsidR="007E402D">
              <w:rPr>
                <w:rFonts w:ascii="Arial Narrow" w:hAnsi="Arial Narrow"/>
                <w:sz w:val="20"/>
                <w:szCs w:val="20"/>
                <w:vertAlign w:val="superscript"/>
              </w:rPr>
              <w:t>3</w:t>
            </w:r>
          </w:p>
        </w:tc>
        <w:tc>
          <w:tcPr>
            <w:tcW w:w="1189" w:type="dxa"/>
          </w:tcPr>
          <w:p w14:paraId="2BF7FA44" w14:textId="6D2DF9B3"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5"/>
                <w:sz w:val="20"/>
                <w:szCs w:val="20"/>
                <w:shd w:val="solid" w:color="000000" w:fill="000000"/>
                <w:fitText w:val="590" w:id="-1477793023"/>
                <w14:textFill>
                  <w14:solidFill>
                    <w14:srgbClr w14:val="000000">
                      <w14:alpha w14:val="100000"/>
                    </w14:srgbClr>
                  </w14:solidFill>
                </w14:textFill>
              </w:rPr>
              <w:t>|||||||</w:t>
            </w:r>
            <w:r w:rsidR="00005E9B" w:rsidRPr="008976CC">
              <w:rPr>
                <w:rFonts w:ascii="Arial Narrow" w:hAnsi="Arial Narrow"/>
                <w:color w:val="000000"/>
                <w:spacing w:val="5"/>
                <w:sz w:val="20"/>
                <w:szCs w:val="20"/>
                <w:shd w:val="solid" w:color="000000" w:fill="000000"/>
                <w:fitText w:val="590" w:id="-1477793023"/>
                <w14:textFill>
                  <w14:solidFill>
                    <w14:srgbClr w14:val="000000">
                      <w14:alpha w14:val="100000"/>
                    </w14:srgbClr>
                  </w14:solidFill>
                </w14:textFill>
              </w:rPr>
              <w:t>|</w:t>
            </w:r>
            <w:r w:rsidR="007E402D">
              <w:rPr>
                <w:rFonts w:ascii="Arial Narrow" w:hAnsi="Arial Narrow"/>
                <w:sz w:val="20"/>
                <w:szCs w:val="20"/>
                <w:vertAlign w:val="superscript"/>
              </w:rPr>
              <w:t>3</w:t>
            </w:r>
          </w:p>
        </w:tc>
        <w:tc>
          <w:tcPr>
            <w:tcW w:w="1189" w:type="dxa"/>
          </w:tcPr>
          <w:p w14:paraId="6348DA84" w14:textId="70382292"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5"/>
                <w:sz w:val="20"/>
                <w:szCs w:val="20"/>
                <w:shd w:val="solid" w:color="000000" w:fill="000000"/>
                <w:fitText w:val="590" w:id="-1477793022"/>
                <w14:textFill>
                  <w14:solidFill>
                    <w14:srgbClr w14:val="000000">
                      <w14:alpha w14:val="100000"/>
                    </w14:srgbClr>
                  </w14:solidFill>
                </w14:textFill>
              </w:rPr>
              <w:t>|||||||</w:t>
            </w:r>
            <w:r w:rsidR="00005E9B" w:rsidRPr="008976CC">
              <w:rPr>
                <w:rFonts w:ascii="Arial Narrow" w:hAnsi="Arial Narrow"/>
                <w:color w:val="000000"/>
                <w:spacing w:val="5"/>
                <w:sz w:val="20"/>
                <w:szCs w:val="20"/>
                <w:shd w:val="solid" w:color="000000" w:fill="000000"/>
                <w:fitText w:val="590" w:id="-1477793022"/>
                <w14:textFill>
                  <w14:solidFill>
                    <w14:srgbClr w14:val="000000">
                      <w14:alpha w14:val="100000"/>
                    </w14:srgbClr>
                  </w14:solidFill>
                </w14:textFill>
              </w:rPr>
              <w:t>|</w:t>
            </w:r>
            <w:r w:rsidR="007E402D">
              <w:rPr>
                <w:rFonts w:ascii="Arial Narrow" w:hAnsi="Arial Narrow"/>
                <w:sz w:val="20"/>
                <w:szCs w:val="20"/>
                <w:vertAlign w:val="superscript"/>
              </w:rPr>
              <w:t>3</w:t>
            </w:r>
          </w:p>
        </w:tc>
      </w:tr>
      <w:tr w:rsidR="00796A91" w:rsidRPr="00622E6C" w14:paraId="59460930" w14:textId="77777777" w:rsidTr="00796A91">
        <w:tc>
          <w:tcPr>
            <w:tcW w:w="3114" w:type="dxa"/>
          </w:tcPr>
          <w:p w14:paraId="362429F7"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Net cost to PBS/RPBS after rebate</w:t>
            </w:r>
          </w:p>
        </w:tc>
        <w:tc>
          <w:tcPr>
            <w:tcW w:w="1134" w:type="dxa"/>
            <w:vAlign w:val="center"/>
          </w:tcPr>
          <w:p w14:paraId="246AACFE" w14:textId="2BBB3C15"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3021"/>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3021"/>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34" w:type="dxa"/>
            <w:vAlign w:val="center"/>
          </w:tcPr>
          <w:p w14:paraId="2B7B51F5" w14:textId="470468A3"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9"/>
                <w:sz w:val="20"/>
                <w:szCs w:val="20"/>
                <w:shd w:val="solid" w:color="000000" w:fill="000000"/>
                <w:fitText w:val="620" w:id="-1477793020"/>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620" w:id="-1477793020"/>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257" w:type="dxa"/>
            <w:vAlign w:val="center"/>
          </w:tcPr>
          <w:p w14:paraId="3503FAFF" w14:textId="3B8E9AD4"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0"/>
                <w:sz w:val="20"/>
                <w:szCs w:val="20"/>
                <w:shd w:val="solid" w:color="000000" w:fill="000000"/>
                <w:fitText w:val="700" w:id="-1477793019"/>
                <w14:textFill>
                  <w14:solidFill>
                    <w14:srgbClr w14:val="000000">
                      <w14:alpha w14:val="100000"/>
                    </w14:srgbClr>
                  </w14:solidFill>
                </w14:textFill>
              </w:rPr>
              <w:t>|||||||||</w:t>
            </w:r>
            <w:r w:rsidR="00005E9B" w:rsidRPr="008976CC">
              <w:rPr>
                <w:rFonts w:ascii="Arial Narrow" w:hAnsi="Arial Narrow"/>
                <w:color w:val="000000"/>
                <w:spacing w:val="5"/>
                <w:sz w:val="20"/>
                <w:szCs w:val="20"/>
                <w:shd w:val="solid" w:color="000000" w:fill="000000"/>
                <w:fitText w:val="700" w:id="-1477793019"/>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89" w:type="dxa"/>
          </w:tcPr>
          <w:p w14:paraId="74C0DE0D" w14:textId="617D9E3A"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2"/>
                <w:sz w:val="20"/>
                <w:szCs w:val="20"/>
                <w:shd w:val="solid" w:color="000000" w:fill="000000"/>
                <w:fitText w:val="720" w:id="-1477792768"/>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720" w:id="-1477792768"/>
                <w14:textFill>
                  <w14:solidFill>
                    <w14:srgbClr w14:val="000000">
                      <w14:alpha w14:val="100000"/>
                    </w14:srgbClr>
                  </w14:solidFill>
                </w14:textFill>
              </w:rPr>
              <w:t>|</w:t>
            </w:r>
            <w:r w:rsidR="007E402D">
              <w:rPr>
                <w:rFonts w:ascii="Arial Narrow" w:hAnsi="Arial Narrow"/>
                <w:sz w:val="20"/>
                <w:szCs w:val="20"/>
                <w:vertAlign w:val="superscript"/>
              </w:rPr>
              <w:t>2</w:t>
            </w:r>
          </w:p>
        </w:tc>
        <w:tc>
          <w:tcPr>
            <w:tcW w:w="1189" w:type="dxa"/>
          </w:tcPr>
          <w:p w14:paraId="26139BA0" w14:textId="0386C079" w:rsidR="00796A91" w:rsidRPr="007E402D" w:rsidRDefault="00796A91" w:rsidP="00796A91">
            <w:pPr>
              <w:keepNext/>
              <w:jc w:val="center"/>
              <w:rPr>
                <w:rFonts w:ascii="Arial Narrow" w:hAnsi="Arial Narrow"/>
                <w:sz w:val="20"/>
                <w:szCs w:val="20"/>
                <w:vertAlign w:val="superscript"/>
              </w:rPr>
            </w:pPr>
            <w:r w:rsidRPr="00622E6C">
              <w:rPr>
                <w:rFonts w:ascii="Arial Narrow" w:hAnsi="Arial Narrow"/>
                <w:sz w:val="20"/>
                <w:szCs w:val="20"/>
              </w:rPr>
              <w:t>$</w:t>
            </w:r>
            <w:r w:rsidR="00005E9B" w:rsidRPr="008976CC">
              <w:rPr>
                <w:rFonts w:ascii="Arial Narrow" w:hAnsi="Arial Narrow"/>
                <w:color w:val="000000"/>
                <w:spacing w:val="32"/>
                <w:sz w:val="20"/>
                <w:szCs w:val="20"/>
                <w:shd w:val="solid" w:color="000000" w:fill="000000"/>
                <w:fitText w:val="720" w:id="-1477792767"/>
                <w14:textFill>
                  <w14:solidFill>
                    <w14:srgbClr w14:val="000000">
                      <w14:alpha w14:val="100000"/>
                    </w14:srgbClr>
                  </w14:solidFill>
                </w14:textFill>
              </w:rPr>
              <w:t>|||||||||</w:t>
            </w:r>
            <w:r w:rsidR="00005E9B" w:rsidRPr="008976CC">
              <w:rPr>
                <w:rFonts w:ascii="Arial Narrow" w:hAnsi="Arial Narrow"/>
                <w:color w:val="000000"/>
                <w:spacing w:val="7"/>
                <w:sz w:val="20"/>
                <w:szCs w:val="20"/>
                <w:shd w:val="solid" w:color="000000" w:fill="000000"/>
                <w:fitText w:val="720" w:id="-1477792767"/>
                <w14:textFill>
                  <w14:solidFill>
                    <w14:srgbClr w14:val="000000">
                      <w14:alpha w14:val="100000"/>
                    </w14:srgbClr>
                  </w14:solidFill>
                </w14:textFill>
              </w:rPr>
              <w:t>|</w:t>
            </w:r>
            <w:r w:rsidR="007E402D">
              <w:rPr>
                <w:rFonts w:ascii="Arial Narrow" w:hAnsi="Arial Narrow"/>
                <w:sz w:val="20"/>
                <w:szCs w:val="20"/>
                <w:vertAlign w:val="superscript"/>
              </w:rPr>
              <w:t>2</w:t>
            </w:r>
          </w:p>
        </w:tc>
      </w:tr>
      <w:tr w:rsidR="00796A91" w:rsidRPr="00622E6C" w14:paraId="08D80EB2" w14:textId="77777777" w:rsidTr="00796A91">
        <w:tc>
          <w:tcPr>
            <w:tcW w:w="3114" w:type="dxa"/>
          </w:tcPr>
          <w:p w14:paraId="6EDB5BE3" w14:textId="77777777" w:rsidR="00796A91" w:rsidRPr="00622E6C" w:rsidRDefault="00796A91" w:rsidP="00796A91">
            <w:pPr>
              <w:keepNext/>
              <w:jc w:val="left"/>
              <w:rPr>
                <w:rFonts w:ascii="Arial Narrow" w:hAnsi="Arial Narrow"/>
                <w:sz w:val="20"/>
                <w:szCs w:val="20"/>
              </w:rPr>
            </w:pPr>
            <w:r w:rsidRPr="00622E6C">
              <w:rPr>
                <w:rFonts w:ascii="Arial Narrow" w:hAnsi="Arial Narrow"/>
                <w:sz w:val="20"/>
                <w:szCs w:val="20"/>
              </w:rPr>
              <w:t>Reduction in net cost to PBS/RPBS</w:t>
            </w:r>
          </w:p>
        </w:tc>
        <w:tc>
          <w:tcPr>
            <w:tcW w:w="1134" w:type="dxa"/>
            <w:vAlign w:val="center"/>
          </w:tcPr>
          <w:p w14:paraId="7061116B" w14:textId="77777777" w:rsidR="00796A91" w:rsidRPr="003D7D70" w:rsidRDefault="00796A91" w:rsidP="00796A91">
            <w:pPr>
              <w:keepNext/>
              <w:jc w:val="center"/>
              <w:rPr>
                <w:rFonts w:ascii="Arial Narrow" w:hAnsi="Arial Narrow"/>
                <w:sz w:val="20"/>
                <w:szCs w:val="20"/>
              </w:rPr>
            </w:pPr>
            <w:r w:rsidRPr="003D7D70">
              <w:rPr>
                <w:rFonts w:ascii="Arial Narrow" w:hAnsi="Arial Narrow"/>
                <w:sz w:val="20"/>
                <w:szCs w:val="20"/>
              </w:rPr>
              <w:t>19.2%</w:t>
            </w:r>
          </w:p>
        </w:tc>
        <w:tc>
          <w:tcPr>
            <w:tcW w:w="1134" w:type="dxa"/>
            <w:vAlign w:val="center"/>
          </w:tcPr>
          <w:p w14:paraId="56E61CBF" w14:textId="77777777" w:rsidR="00796A91" w:rsidRPr="003D7D70" w:rsidRDefault="00796A91" w:rsidP="00796A91">
            <w:pPr>
              <w:keepNext/>
              <w:jc w:val="center"/>
              <w:rPr>
                <w:rFonts w:ascii="Arial Narrow" w:hAnsi="Arial Narrow"/>
                <w:sz w:val="20"/>
                <w:szCs w:val="20"/>
              </w:rPr>
            </w:pPr>
            <w:r w:rsidRPr="003D7D70">
              <w:rPr>
                <w:rFonts w:ascii="Arial Narrow" w:hAnsi="Arial Narrow"/>
                <w:sz w:val="20"/>
                <w:szCs w:val="20"/>
              </w:rPr>
              <w:t>19.2%</w:t>
            </w:r>
          </w:p>
        </w:tc>
        <w:tc>
          <w:tcPr>
            <w:tcW w:w="1257" w:type="dxa"/>
            <w:vAlign w:val="center"/>
          </w:tcPr>
          <w:p w14:paraId="54E9B45C" w14:textId="77777777" w:rsidR="00796A91" w:rsidRPr="003D7D70" w:rsidRDefault="00796A91" w:rsidP="00796A91">
            <w:pPr>
              <w:keepNext/>
              <w:jc w:val="center"/>
              <w:rPr>
                <w:rFonts w:ascii="Arial Narrow" w:hAnsi="Arial Narrow"/>
                <w:sz w:val="20"/>
                <w:szCs w:val="20"/>
              </w:rPr>
            </w:pPr>
            <w:r w:rsidRPr="003D7D70">
              <w:rPr>
                <w:rFonts w:ascii="Arial Narrow" w:hAnsi="Arial Narrow"/>
                <w:sz w:val="20"/>
                <w:szCs w:val="20"/>
              </w:rPr>
              <w:t>19.2%</w:t>
            </w:r>
          </w:p>
        </w:tc>
        <w:tc>
          <w:tcPr>
            <w:tcW w:w="1189" w:type="dxa"/>
          </w:tcPr>
          <w:p w14:paraId="24B9199F" w14:textId="77777777" w:rsidR="00796A91" w:rsidRPr="003D7D70" w:rsidRDefault="00796A91" w:rsidP="00796A91">
            <w:pPr>
              <w:keepNext/>
              <w:jc w:val="center"/>
              <w:rPr>
                <w:rFonts w:ascii="Arial Narrow" w:hAnsi="Arial Narrow"/>
                <w:sz w:val="20"/>
                <w:szCs w:val="20"/>
              </w:rPr>
            </w:pPr>
            <w:r w:rsidRPr="003D7D70">
              <w:rPr>
                <w:rFonts w:ascii="Arial Narrow" w:hAnsi="Arial Narrow"/>
                <w:sz w:val="20"/>
                <w:szCs w:val="20"/>
              </w:rPr>
              <w:t>19.2%</w:t>
            </w:r>
          </w:p>
        </w:tc>
        <w:tc>
          <w:tcPr>
            <w:tcW w:w="1189" w:type="dxa"/>
          </w:tcPr>
          <w:p w14:paraId="6C18A753" w14:textId="77777777" w:rsidR="00796A91" w:rsidRPr="003D7D70" w:rsidRDefault="00796A91" w:rsidP="00796A91">
            <w:pPr>
              <w:keepNext/>
              <w:jc w:val="center"/>
              <w:rPr>
                <w:rFonts w:ascii="Arial Narrow" w:hAnsi="Arial Narrow"/>
                <w:sz w:val="20"/>
                <w:szCs w:val="20"/>
              </w:rPr>
            </w:pPr>
            <w:r w:rsidRPr="003D7D70">
              <w:rPr>
                <w:rFonts w:ascii="Arial Narrow" w:hAnsi="Arial Narrow"/>
                <w:sz w:val="20"/>
                <w:szCs w:val="20"/>
              </w:rPr>
              <w:t>19.2%</w:t>
            </w:r>
          </w:p>
        </w:tc>
      </w:tr>
    </w:tbl>
    <w:p w14:paraId="63B879BC"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Source: Table 4-13, p43 of the early resolution resubmission</w:t>
      </w:r>
    </w:p>
    <w:p w14:paraId="37230E8B"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MM = multiple myeloma; RSA = risk sharing arrangement</w:t>
      </w:r>
    </w:p>
    <w:p w14:paraId="56F1BDE4" w14:textId="0E134BE7" w:rsidR="00796A91" w:rsidRPr="00622E6C" w:rsidRDefault="00796A91" w:rsidP="00796A91">
      <w:pPr>
        <w:rPr>
          <w:rFonts w:ascii="Arial Narrow" w:hAnsi="Arial Narrow"/>
          <w:sz w:val="18"/>
          <w:szCs w:val="18"/>
        </w:rPr>
      </w:pPr>
      <w:r w:rsidRPr="00622E6C">
        <w:rPr>
          <w:rFonts w:ascii="Arial Narrow" w:hAnsi="Arial Narrow"/>
          <w:sz w:val="18"/>
          <w:szCs w:val="18"/>
        </w:rPr>
        <w:t xml:space="preserve">a The number of prescriptions as estimated in Table 24 were reduced </w:t>
      </w:r>
      <w:r w:rsidRPr="003D7D70">
        <w:rPr>
          <w:rFonts w:ascii="Arial Narrow" w:hAnsi="Arial Narrow"/>
          <w:sz w:val="18"/>
          <w:szCs w:val="18"/>
        </w:rPr>
        <w:t xml:space="preserve">by </w:t>
      </w:r>
      <w:r w:rsidR="00862DEF" w:rsidRPr="008976CC">
        <w:rPr>
          <w:rFonts w:ascii="Arial Narrow" w:hAnsi="Arial Narrow"/>
          <w:color w:val="000000"/>
          <w:w w:val="60"/>
          <w:sz w:val="18"/>
          <w:szCs w:val="18"/>
          <w:shd w:val="solid" w:color="000000" w:fill="000000"/>
          <w:fitText w:val="190" w:id="-1463556863"/>
          <w14:textFill>
            <w14:solidFill>
              <w14:srgbClr w14:val="000000">
                <w14:alpha w14:val="100000"/>
              </w14:srgbClr>
            </w14:solidFill>
          </w14:textFill>
        </w:rPr>
        <w:t>|||  |||</w:t>
      </w:r>
      <w:r w:rsidRPr="003D7D70">
        <w:rPr>
          <w:rFonts w:ascii="Arial Narrow" w:hAnsi="Arial Narrow"/>
          <w:sz w:val="18"/>
          <w:szCs w:val="18"/>
        </w:rPr>
        <w:t>% for</w:t>
      </w:r>
      <w:r w:rsidRPr="00622E6C">
        <w:rPr>
          <w:rFonts w:ascii="Arial Narrow" w:hAnsi="Arial Narrow"/>
          <w:sz w:val="18"/>
          <w:szCs w:val="18"/>
        </w:rPr>
        <w:t xml:space="preserve"> the RSA cap. Years 4 and 5 of AL amyloidosis listing were estimated by the Secretariat</w:t>
      </w:r>
    </w:p>
    <w:p w14:paraId="130EB40A" w14:textId="61253D4D" w:rsidR="00796A91" w:rsidRDefault="00796A91" w:rsidP="00796A91">
      <w:pPr>
        <w:rPr>
          <w:rFonts w:ascii="Arial Narrow" w:hAnsi="Arial Narrow"/>
          <w:sz w:val="18"/>
          <w:szCs w:val="18"/>
        </w:rPr>
      </w:pPr>
      <w:r w:rsidRPr="00622E6C">
        <w:rPr>
          <w:rFonts w:ascii="Arial Narrow" w:hAnsi="Arial Narrow"/>
          <w:sz w:val="18"/>
          <w:szCs w:val="18"/>
        </w:rPr>
        <w:t>b As per Table 24</w:t>
      </w:r>
    </w:p>
    <w:p w14:paraId="6CAD9C9F" w14:textId="3A698F5F" w:rsidR="007E402D" w:rsidRDefault="007E402D" w:rsidP="00796A91">
      <w:pPr>
        <w:rPr>
          <w:rFonts w:ascii="Arial Narrow" w:hAnsi="Arial Narrow"/>
          <w:sz w:val="18"/>
          <w:szCs w:val="18"/>
        </w:rPr>
      </w:pPr>
      <w:r w:rsidRPr="007E402D">
        <w:rPr>
          <w:rFonts w:ascii="Arial Narrow" w:hAnsi="Arial Narrow"/>
          <w:sz w:val="18"/>
          <w:szCs w:val="18"/>
        </w:rPr>
        <w:t>The redacted values correspond to the following ranges:</w:t>
      </w:r>
    </w:p>
    <w:p w14:paraId="7EAE0A2C" w14:textId="78638913" w:rsidR="007E402D" w:rsidRDefault="007E402D" w:rsidP="00796A91">
      <w:pPr>
        <w:rPr>
          <w:rFonts w:ascii="Arial Narrow" w:hAnsi="Arial Narrow"/>
          <w:sz w:val="18"/>
          <w:szCs w:val="18"/>
        </w:rPr>
      </w:pPr>
      <w:r>
        <w:rPr>
          <w:rFonts w:ascii="Arial Narrow" w:hAnsi="Arial Narrow"/>
          <w:sz w:val="18"/>
          <w:szCs w:val="18"/>
          <w:vertAlign w:val="superscript"/>
        </w:rPr>
        <w:t>1</w:t>
      </w:r>
      <w:r w:rsidRPr="007E402D">
        <w:rPr>
          <w:rFonts w:ascii="Arial Narrow" w:hAnsi="Arial Narrow"/>
          <w:sz w:val="18"/>
          <w:szCs w:val="18"/>
        </w:rPr>
        <w:t>500 to &lt; 5,000</w:t>
      </w:r>
    </w:p>
    <w:p w14:paraId="1D8E93D8" w14:textId="12E9CAAA" w:rsidR="007E402D" w:rsidRDefault="007E402D" w:rsidP="00796A91">
      <w:pPr>
        <w:rPr>
          <w:rFonts w:ascii="Arial Narrow" w:hAnsi="Arial Narrow"/>
          <w:sz w:val="18"/>
          <w:szCs w:val="18"/>
        </w:rPr>
      </w:pPr>
      <w:r>
        <w:rPr>
          <w:rFonts w:ascii="Arial Narrow" w:hAnsi="Arial Narrow"/>
          <w:sz w:val="18"/>
          <w:szCs w:val="18"/>
          <w:vertAlign w:val="superscript"/>
        </w:rPr>
        <w:t>2</w:t>
      </w:r>
      <w:r w:rsidRPr="007E402D">
        <w:rPr>
          <w:rFonts w:ascii="Arial Narrow" w:hAnsi="Arial Narrow"/>
          <w:sz w:val="18"/>
          <w:szCs w:val="18"/>
        </w:rPr>
        <w:t>$10 million to &lt; $20 million</w:t>
      </w:r>
    </w:p>
    <w:p w14:paraId="2E10A2A4" w14:textId="592B26BA" w:rsidR="007E402D" w:rsidRPr="00622E6C" w:rsidRDefault="007E402D" w:rsidP="00796A91">
      <w:pPr>
        <w:rPr>
          <w:rFonts w:ascii="Arial Narrow" w:hAnsi="Arial Narrow"/>
          <w:sz w:val="18"/>
          <w:szCs w:val="18"/>
        </w:rPr>
      </w:pPr>
      <w:r>
        <w:rPr>
          <w:rFonts w:ascii="Arial Narrow" w:hAnsi="Arial Narrow"/>
          <w:sz w:val="18"/>
          <w:szCs w:val="18"/>
          <w:vertAlign w:val="superscript"/>
        </w:rPr>
        <w:t>3</w:t>
      </w:r>
      <w:r w:rsidRPr="007E402D">
        <w:rPr>
          <w:rFonts w:ascii="Arial Narrow" w:hAnsi="Arial Narrow"/>
          <w:sz w:val="18"/>
          <w:szCs w:val="18"/>
        </w:rPr>
        <w:t>$0 to &lt; $10 million</w:t>
      </w:r>
    </w:p>
    <w:p w14:paraId="361D9FCD" w14:textId="77777777" w:rsidR="00796A91" w:rsidRPr="00622E6C" w:rsidRDefault="00796A91" w:rsidP="00796A91"/>
    <w:p w14:paraId="29884FD8" w14:textId="07ABEE6D"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The early resolution resubmission stated that a commissioned market research survey of 20 haematologists in 2021 that was included as part of the November 2021 submission indicated that almost all of the 38% of patients with concurrent AL amyloidosis and MM would have AL amyloidosis diagnosed first. The resubmission modelled the progression of these patients to the second-line MM setting (where they will not be eligible for daratumumab again), using the progression free survival (PFS) Kaplan-Meier estimates of the daratumumab SC + CyBorD arm from the economic analysis for the AL amyloidosis listing. Based on this method, 23.8% of the initial patient cohort was estimated to progress in Year 1, with the addition of 10.3% of patients in Year 2 and 9.6% in Year 3. As presented below, it was estimated that </w:t>
      </w:r>
      <w:r w:rsidR="009F0D42" w:rsidRPr="009F0D42">
        <w:rPr>
          <w:rFonts w:asciiTheme="minorHAnsi" w:hAnsiTheme="minorHAnsi"/>
          <w:snapToGrid w:val="0"/>
        </w:rPr>
        <w:t>&lt; 500</w:t>
      </w:r>
      <w:r w:rsidRPr="00622E6C">
        <w:rPr>
          <w:rFonts w:asciiTheme="minorHAnsi" w:hAnsiTheme="minorHAnsi"/>
          <w:snapToGrid w:val="0"/>
        </w:rPr>
        <w:t xml:space="preserve"> patients treated with daratumumab for AL amyloidosis would progress to second-line MM and will no longer be eligible for daratumumab, within the first year of listing (Table 26). </w:t>
      </w:r>
    </w:p>
    <w:p w14:paraId="6D6BD92C" w14:textId="77777777" w:rsidR="00796A91" w:rsidRPr="00622E6C" w:rsidRDefault="00796A91" w:rsidP="00796A91">
      <w:pPr>
        <w:rPr>
          <w:rFonts w:ascii="Arial Narrow" w:hAnsi="Arial Narrow"/>
          <w:b/>
          <w:bCs/>
          <w:sz w:val="20"/>
          <w:szCs w:val="20"/>
        </w:rPr>
      </w:pPr>
      <w:r w:rsidRPr="00622E6C">
        <w:rPr>
          <w:rFonts w:ascii="Arial Narrow" w:hAnsi="Arial Narrow"/>
          <w:b/>
          <w:bCs/>
          <w:sz w:val="20"/>
          <w:szCs w:val="20"/>
        </w:rPr>
        <w:t>Table 26: Estimation of the number of patients with concurrent AL amyloidosis and MM which progresses to the second-line setting</w:t>
      </w:r>
    </w:p>
    <w:tbl>
      <w:tblPr>
        <w:tblW w:w="8926" w:type="dxa"/>
        <w:tblCellMar>
          <w:left w:w="28" w:type="dxa"/>
          <w:right w:w="28" w:type="dxa"/>
        </w:tblCellMar>
        <w:tblLook w:val="04A0" w:firstRow="1" w:lastRow="0" w:firstColumn="1" w:lastColumn="0" w:noHBand="0" w:noVBand="1"/>
        <w:tblCaption w:val="Table 26: Estimation of the number of patients with concurrent AL amyloidosis and MM which progresses to the second-line setting"/>
      </w:tblPr>
      <w:tblGrid>
        <w:gridCol w:w="5524"/>
        <w:gridCol w:w="1134"/>
        <w:gridCol w:w="1134"/>
        <w:gridCol w:w="1134"/>
      </w:tblGrid>
      <w:tr w:rsidR="00796A91" w:rsidRPr="00622E6C" w14:paraId="791991C8" w14:textId="77777777" w:rsidTr="00796A91">
        <w:trPr>
          <w:trHeight w:val="255"/>
        </w:trPr>
        <w:tc>
          <w:tcPr>
            <w:tcW w:w="5524" w:type="dxa"/>
            <w:tcBorders>
              <w:top w:val="single" w:sz="4" w:space="0" w:color="auto"/>
              <w:left w:val="single" w:sz="4" w:space="0" w:color="auto"/>
              <w:bottom w:val="single" w:sz="4" w:space="0" w:color="auto"/>
              <w:right w:val="single" w:sz="4" w:space="0" w:color="auto"/>
            </w:tcBorders>
            <w:vAlign w:val="center"/>
            <w:hideMark/>
          </w:tcPr>
          <w:p w14:paraId="5D7766AB"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Year of AL amyloidosis listing</w:t>
            </w:r>
          </w:p>
        </w:tc>
        <w:tc>
          <w:tcPr>
            <w:tcW w:w="1134" w:type="dxa"/>
            <w:tcBorders>
              <w:top w:val="single" w:sz="4" w:space="0" w:color="auto"/>
              <w:left w:val="nil"/>
              <w:bottom w:val="single" w:sz="4" w:space="0" w:color="auto"/>
              <w:right w:val="single" w:sz="4" w:space="0" w:color="auto"/>
            </w:tcBorders>
            <w:noWrap/>
            <w:vAlign w:val="center"/>
            <w:hideMark/>
          </w:tcPr>
          <w:p w14:paraId="48AA875C"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1</w:t>
            </w:r>
          </w:p>
        </w:tc>
        <w:tc>
          <w:tcPr>
            <w:tcW w:w="1134" w:type="dxa"/>
            <w:tcBorders>
              <w:top w:val="single" w:sz="4" w:space="0" w:color="auto"/>
              <w:left w:val="nil"/>
              <w:bottom w:val="single" w:sz="4" w:space="0" w:color="auto"/>
              <w:right w:val="single" w:sz="4" w:space="0" w:color="auto"/>
            </w:tcBorders>
            <w:noWrap/>
            <w:vAlign w:val="center"/>
            <w:hideMark/>
          </w:tcPr>
          <w:p w14:paraId="5117BB13"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2</w:t>
            </w:r>
          </w:p>
        </w:tc>
        <w:tc>
          <w:tcPr>
            <w:tcW w:w="1134" w:type="dxa"/>
            <w:tcBorders>
              <w:top w:val="single" w:sz="4" w:space="0" w:color="auto"/>
              <w:left w:val="nil"/>
              <w:bottom w:val="single" w:sz="4" w:space="0" w:color="auto"/>
              <w:right w:val="single" w:sz="4" w:space="0" w:color="auto"/>
            </w:tcBorders>
            <w:noWrap/>
            <w:vAlign w:val="center"/>
            <w:hideMark/>
          </w:tcPr>
          <w:p w14:paraId="16709BE6"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3</w:t>
            </w:r>
          </w:p>
        </w:tc>
      </w:tr>
      <w:tr w:rsidR="00796A91" w:rsidRPr="00622E6C" w14:paraId="52F2B7B2"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64FA8D94"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Year of MM RSA</w:t>
            </w:r>
          </w:p>
        </w:tc>
        <w:tc>
          <w:tcPr>
            <w:tcW w:w="1134" w:type="dxa"/>
            <w:tcBorders>
              <w:top w:val="nil"/>
              <w:left w:val="nil"/>
              <w:bottom w:val="single" w:sz="4" w:space="0" w:color="auto"/>
              <w:right w:val="single" w:sz="4" w:space="0" w:color="auto"/>
            </w:tcBorders>
            <w:noWrap/>
            <w:vAlign w:val="center"/>
            <w:hideMark/>
          </w:tcPr>
          <w:p w14:paraId="7B166491"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3</w:t>
            </w:r>
          </w:p>
        </w:tc>
        <w:tc>
          <w:tcPr>
            <w:tcW w:w="1134" w:type="dxa"/>
            <w:tcBorders>
              <w:top w:val="nil"/>
              <w:left w:val="nil"/>
              <w:bottom w:val="single" w:sz="4" w:space="0" w:color="auto"/>
              <w:right w:val="single" w:sz="4" w:space="0" w:color="auto"/>
            </w:tcBorders>
            <w:noWrap/>
            <w:vAlign w:val="center"/>
            <w:hideMark/>
          </w:tcPr>
          <w:p w14:paraId="251D0DE8"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4</w:t>
            </w:r>
          </w:p>
        </w:tc>
        <w:tc>
          <w:tcPr>
            <w:tcW w:w="1134" w:type="dxa"/>
            <w:tcBorders>
              <w:top w:val="nil"/>
              <w:left w:val="nil"/>
              <w:bottom w:val="single" w:sz="4" w:space="0" w:color="auto"/>
              <w:right w:val="single" w:sz="4" w:space="0" w:color="auto"/>
            </w:tcBorders>
            <w:noWrap/>
            <w:vAlign w:val="center"/>
            <w:hideMark/>
          </w:tcPr>
          <w:p w14:paraId="66AB413D"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5</w:t>
            </w:r>
          </w:p>
        </w:tc>
      </w:tr>
      <w:tr w:rsidR="00796A91" w:rsidRPr="00622E6C" w14:paraId="7CC78D2B"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447E0F24"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Number of eligible AL amyloidosis patients</w:t>
            </w:r>
            <w:r w:rsidRPr="00622E6C">
              <w:rPr>
                <w:rFonts w:ascii="Arial Narrow" w:hAnsi="Arial Narrow" w:cs="Calibri"/>
                <w:color w:val="000000"/>
                <w:sz w:val="20"/>
                <w:szCs w:val="20"/>
                <w:vertAlign w:val="superscript"/>
              </w:rPr>
              <w:t>a</w:t>
            </w:r>
          </w:p>
        </w:tc>
        <w:tc>
          <w:tcPr>
            <w:tcW w:w="1134" w:type="dxa"/>
            <w:tcBorders>
              <w:top w:val="nil"/>
              <w:left w:val="nil"/>
              <w:bottom w:val="single" w:sz="4" w:space="0" w:color="auto"/>
              <w:right w:val="single" w:sz="4" w:space="0" w:color="auto"/>
            </w:tcBorders>
            <w:noWrap/>
            <w:vAlign w:val="center"/>
            <w:hideMark/>
          </w:tcPr>
          <w:p w14:paraId="3317AC00" w14:textId="5D6F2225"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2E2E4043" w14:textId="63E78DFB"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3F641006" w14:textId="701F6CCE"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r>
      <w:tr w:rsidR="00796A91" w:rsidRPr="00622E6C" w14:paraId="59180730" w14:textId="77777777" w:rsidTr="00796A91">
        <w:trPr>
          <w:trHeight w:val="255"/>
        </w:trPr>
        <w:tc>
          <w:tcPr>
            <w:tcW w:w="5524" w:type="dxa"/>
            <w:tcBorders>
              <w:top w:val="nil"/>
              <w:left w:val="single" w:sz="4" w:space="0" w:color="auto"/>
              <w:bottom w:val="single" w:sz="4" w:space="0" w:color="auto"/>
              <w:right w:val="single" w:sz="4" w:space="0" w:color="auto"/>
            </w:tcBorders>
            <w:noWrap/>
            <w:vAlign w:val="center"/>
            <w:hideMark/>
          </w:tcPr>
          <w:p w14:paraId="0E7FA668"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Proportion with concurrent MM</w:t>
            </w:r>
            <w:r w:rsidRPr="00622E6C">
              <w:rPr>
                <w:rFonts w:ascii="Arial Narrow" w:hAnsi="Arial Narrow" w:cs="Calibri"/>
                <w:color w:val="000000"/>
                <w:sz w:val="20"/>
                <w:szCs w:val="20"/>
                <w:vertAlign w:val="superscript"/>
              </w:rPr>
              <w:t>b</w:t>
            </w:r>
          </w:p>
        </w:tc>
        <w:tc>
          <w:tcPr>
            <w:tcW w:w="1134" w:type="dxa"/>
            <w:tcBorders>
              <w:top w:val="nil"/>
              <w:left w:val="nil"/>
              <w:bottom w:val="single" w:sz="4" w:space="0" w:color="auto"/>
              <w:right w:val="single" w:sz="4" w:space="0" w:color="auto"/>
            </w:tcBorders>
            <w:noWrap/>
            <w:vAlign w:val="center"/>
            <w:hideMark/>
          </w:tcPr>
          <w:p w14:paraId="521F99F4" w14:textId="77777777" w:rsidR="00796A91" w:rsidRPr="00622E6C" w:rsidRDefault="00796A91" w:rsidP="00796A91">
            <w:pPr>
              <w:jc w:val="center"/>
              <w:rPr>
                <w:rFonts w:ascii="Arial Narrow" w:hAnsi="Arial Narrow" w:cs="Calibri"/>
                <w:color w:val="000000"/>
                <w:sz w:val="20"/>
                <w:szCs w:val="20"/>
              </w:rPr>
            </w:pPr>
            <w:r w:rsidRPr="00622E6C">
              <w:rPr>
                <w:rFonts w:ascii="Arial Narrow" w:hAnsi="Arial Narrow" w:cs="Calibri"/>
                <w:color w:val="000000"/>
                <w:sz w:val="20"/>
                <w:szCs w:val="20"/>
              </w:rPr>
              <w:t>38.0%</w:t>
            </w:r>
          </w:p>
        </w:tc>
        <w:tc>
          <w:tcPr>
            <w:tcW w:w="1134" w:type="dxa"/>
            <w:tcBorders>
              <w:top w:val="nil"/>
              <w:left w:val="nil"/>
              <w:bottom w:val="single" w:sz="4" w:space="0" w:color="auto"/>
              <w:right w:val="single" w:sz="4" w:space="0" w:color="auto"/>
            </w:tcBorders>
            <w:noWrap/>
            <w:vAlign w:val="center"/>
            <w:hideMark/>
          </w:tcPr>
          <w:p w14:paraId="21620BFF" w14:textId="77777777" w:rsidR="00796A91" w:rsidRPr="00622E6C" w:rsidRDefault="00796A91" w:rsidP="00796A91">
            <w:pPr>
              <w:jc w:val="center"/>
              <w:rPr>
                <w:rFonts w:ascii="Arial Narrow" w:hAnsi="Arial Narrow" w:cs="Calibri"/>
                <w:color w:val="000000"/>
                <w:sz w:val="20"/>
                <w:szCs w:val="20"/>
              </w:rPr>
            </w:pPr>
            <w:r w:rsidRPr="00622E6C">
              <w:rPr>
                <w:rFonts w:ascii="Arial Narrow" w:hAnsi="Arial Narrow" w:cs="Calibri"/>
                <w:color w:val="000000"/>
                <w:sz w:val="20"/>
                <w:szCs w:val="20"/>
              </w:rPr>
              <w:t>38.0%</w:t>
            </w:r>
          </w:p>
        </w:tc>
        <w:tc>
          <w:tcPr>
            <w:tcW w:w="1134" w:type="dxa"/>
            <w:tcBorders>
              <w:top w:val="nil"/>
              <w:left w:val="nil"/>
              <w:bottom w:val="single" w:sz="4" w:space="0" w:color="auto"/>
              <w:right w:val="single" w:sz="4" w:space="0" w:color="auto"/>
            </w:tcBorders>
            <w:noWrap/>
            <w:vAlign w:val="center"/>
            <w:hideMark/>
          </w:tcPr>
          <w:p w14:paraId="4972EDC2" w14:textId="77777777" w:rsidR="00796A91" w:rsidRPr="00622E6C" w:rsidRDefault="00796A91" w:rsidP="00796A91">
            <w:pPr>
              <w:jc w:val="center"/>
              <w:rPr>
                <w:rFonts w:ascii="Arial Narrow" w:hAnsi="Arial Narrow" w:cs="Calibri"/>
                <w:color w:val="000000"/>
                <w:sz w:val="20"/>
                <w:szCs w:val="20"/>
              </w:rPr>
            </w:pPr>
            <w:r w:rsidRPr="00622E6C">
              <w:rPr>
                <w:rFonts w:ascii="Arial Narrow" w:hAnsi="Arial Narrow" w:cs="Calibri"/>
                <w:color w:val="000000"/>
                <w:sz w:val="20"/>
                <w:szCs w:val="20"/>
              </w:rPr>
              <w:t>38.0%</w:t>
            </w:r>
          </w:p>
        </w:tc>
      </w:tr>
      <w:tr w:rsidR="00796A91" w:rsidRPr="00622E6C" w14:paraId="3C8AE5A8"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09D8A2DE"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Number of AL amyloidosis patients with concurrent MM</w:t>
            </w:r>
          </w:p>
        </w:tc>
        <w:tc>
          <w:tcPr>
            <w:tcW w:w="1134" w:type="dxa"/>
            <w:tcBorders>
              <w:top w:val="nil"/>
              <w:left w:val="nil"/>
              <w:bottom w:val="single" w:sz="4" w:space="0" w:color="auto"/>
              <w:right w:val="single" w:sz="4" w:space="0" w:color="auto"/>
            </w:tcBorders>
            <w:noWrap/>
            <w:vAlign w:val="center"/>
            <w:hideMark/>
          </w:tcPr>
          <w:p w14:paraId="56ECDDBD" w14:textId="301B675F"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58037340" w14:textId="565A7BB6"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1769450E" w14:textId="2770A265"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r>
      <w:tr w:rsidR="00796A91" w:rsidRPr="00622E6C" w14:paraId="17A50D37"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37992105"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Number of patients with concurrent AL amyloidosis and MM diagnoses progressing to second-line MM (and no longer eligible for daratumumab in 2</w:t>
            </w:r>
            <w:r w:rsidRPr="00622E6C">
              <w:rPr>
                <w:rFonts w:ascii="Arial Narrow" w:hAnsi="Arial Narrow" w:cs="Calibri"/>
                <w:color w:val="000000"/>
                <w:sz w:val="20"/>
                <w:szCs w:val="20"/>
                <w:vertAlign w:val="superscript"/>
              </w:rPr>
              <w:t>nd</w:t>
            </w:r>
            <w:r w:rsidRPr="00622E6C">
              <w:rPr>
                <w:rFonts w:ascii="Arial Narrow" w:hAnsi="Arial Narrow" w:cs="Calibri"/>
                <w:color w:val="000000"/>
                <w:sz w:val="20"/>
                <w:szCs w:val="20"/>
              </w:rPr>
              <w:t xml:space="preserve"> line MM)</w:t>
            </w:r>
          </w:p>
        </w:tc>
        <w:tc>
          <w:tcPr>
            <w:tcW w:w="1134" w:type="dxa"/>
            <w:tcBorders>
              <w:top w:val="nil"/>
              <w:left w:val="nil"/>
              <w:bottom w:val="single" w:sz="4" w:space="0" w:color="auto"/>
              <w:right w:val="single" w:sz="4" w:space="0" w:color="auto"/>
            </w:tcBorders>
            <w:noWrap/>
            <w:vAlign w:val="center"/>
            <w:hideMark/>
          </w:tcPr>
          <w:p w14:paraId="08947F22" w14:textId="7AFA8829"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43DDE550" w14:textId="29211F1E"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32B2FD1D" w14:textId="7D17E947" w:rsidR="00796A91" w:rsidRPr="009F0D4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9F0D42">
              <w:rPr>
                <w:rFonts w:ascii="Arial Narrow" w:hAnsi="Arial Narrow" w:cs="Calibri"/>
                <w:color w:val="000000"/>
                <w:sz w:val="20"/>
                <w:szCs w:val="20"/>
                <w:vertAlign w:val="superscript"/>
              </w:rPr>
              <w:t>1</w:t>
            </w:r>
          </w:p>
        </w:tc>
      </w:tr>
    </w:tbl>
    <w:p w14:paraId="31F8BBFE"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Source: Table 4-14, p45 of the early resolution resubmission</w:t>
      </w:r>
    </w:p>
    <w:p w14:paraId="2E50BDEA"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MM = multiple myeloma</w:t>
      </w:r>
    </w:p>
    <w:p w14:paraId="6A928E26"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a Patient numbers in the early resolution resubmission are approximately 1.5% higher than those in the November 2021 PSCR due to a shift in Year 1 from 2022 to 2023.</w:t>
      </w:r>
    </w:p>
    <w:p w14:paraId="13644756" w14:textId="50863780" w:rsidR="00796A91" w:rsidRDefault="00796A91" w:rsidP="00796A91">
      <w:pPr>
        <w:rPr>
          <w:rFonts w:ascii="Arial Narrow" w:hAnsi="Arial Narrow"/>
          <w:sz w:val="18"/>
          <w:szCs w:val="18"/>
        </w:rPr>
      </w:pPr>
      <w:r w:rsidRPr="00622E6C">
        <w:rPr>
          <w:rFonts w:ascii="Arial Narrow" w:hAnsi="Arial Narrow"/>
          <w:sz w:val="18"/>
          <w:szCs w:val="18"/>
        </w:rPr>
        <w:t>b Commissioned market research survey of 20 haematologists in 2021 (included in November 2021 submission)</w:t>
      </w:r>
    </w:p>
    <w:p w14:paraId="480BF8A0" w14:textId="7B2D662B" w:rsidR="009F0D42" w:rsidRDefault="009F0D42" w:rsidP="00796A91">
      <w:pPr>
        <w:rPr>
          <w:rFonts w:ascii="Arial Narrow" w:hAnsi="Arial Narrow"/>
          <w:sz w:val="18"/>
          <w:szCs w:val="18"/>
        </w:rPr>
      </w:pPr>
      <w:r w:rsidRPr="009F0D42">
        <w:rPr>
          <w:rFonts w:ascii="Arial Narrow" w:hAnsi="Arial Narrow"/>
          <w:sz w:val="18"/>
          <w:szCs w:val="18"/>
        </w:rPr>
        <w:t>The redacted values correspond to the following ranges</w:t>
      </w:r>
      <w:r>
        <w:rPr>
          <w:rFonts w:ascii="Arial Narrow" w:hAnsi="Arial Narrow"/>
          <w:sz w:val="18"/>
          <w:szCs w:val="18"/>
        </w:rPr>
        <w:t>:</w:t>
      </w:r>
    </w:p>
    <w:p w14:paraId="5EFD136D" w14:textId="7D05D63B" w:rsidR="009F0D42" w:rsidRPr="00622E6C" w:rsidRDefault="009F0D42" w:rsidP="00796A91">
      <w:pPr>
        <w:rPr>
          <w:rFonts w:ascii="Arial Narrow" w:hAnsi="Arial Narrow"/>
          <w:sz w:val="18"/>
          <w:szCs w:val="18"/>
        </w:rPr>
      </w:pPr>
      <w:r>
        <w:rPr>
          <w:rFonts w:ascii="Arial Narrow" w:hAnsi="Arial Narrow"/>
          <w:sz w:val="18"/>
          <w:szCs w:val="18"/>
          <w:vertAlign w:val="superscript"/>
        </w:rPr>
        <w:t>1</w:t>
      </w:r>
      <w:r w:rsidRPr="009F0D42">
        <w:rPr>
          <w:rFonts w:ascii="Arial Narrow" w:hAnsi="Arial Narrow"/>
          <w:sz w:val="18"/>
          <w:szCs w:val="18"/>
        </w:rPr>
        <w:t>&lt; 500</w:t>
      </w:r>
    </w:p>
    <w:p w14:paraId="09116791" w14:textId="77777777" w:rsidR="00796A91" w:rsidRPr="00622E6C" w:rsidRDefault="00796A91" w:rsidP="00796A91">
      <w:pPr>
        <w:contextualSpacing/>
      </w:pPr>
    </w:p>
    <w:p w14:paraId="7BBED76D" w14:textId="77777777"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The resubmission proposed a revised subsidisation cap for the MM listing which was reduced by excluding patients with concurrent AL amyloidosis and MM diagnoses progressing to second-line MM as estimated above. The estimated reduction in the value of the subsidisation cap is shown in Table 27.</w:t>
      </w:r>
    </w:p>
    <w:p w14:paraId="635B61D0" w14:textId="77777777" w:rsidR="00796A91" w:rsidRPr="00622E6C" w:rsidRDefault="00796A91" w:rsidP="00796A91"/>
    <w:p w14:paraId="43C45416" w14:textId="77777777" w:rsidR="00796A91" w:rsidRPr="00622E6C" w:rsidRDefault="00796A91" w:rsidP="00796A91">
      <w:pPr>
        <w:rPr>
          <w:rFonts w:ascii="Arial Narrow" w:hAnsi="Arial Narrow"/>
          <w:b/>
          <w:bCs/>
          <w:sz w:val="20"/>
          <w:szCs w:val="20"/>
        </w:rPr>
      </w:pPr>
      <w:r w:rsidRPr="00622E6C">
        <w:rPr>
          <w:rFonts w:ascii="Arial Narrow" w:hAnsi="Arial Narrow"/>
          <w:b/>
          <w:bCs/>
          <w:sz w:val="20"/>
          <w:szCs w:val="20"/>
        </w:rPr>
        <w:t>Table 27: Changes to the existing second-line MM RSA</w:t>
      </w:r>
    </w:p>
    <w:tbl>
      <w:tblPr>
        <w:tblW w:w="8926" w:type="dxa"/>
        <w:tblLook w:val="04A0" w:firstRow="1" w:lastRow="0" w:firstColumn="1" w:lastColumn="0" w:noHBand="0" w:noVBand="1"/>
        <w:tblCaption w:val="Table 27: Changes to the existing second-line MM RSA"/>
      </w:tblPr>
      <w:tblGrid>
        <w:gridCol w:w="4479"/>
        <w:gridCol w:w="1612"/>
        <w:gridCol w:w="1417"/>
        <w:gridCol w:w="1418"/>
      </w:tblGrid>
      <w:tr w:rsidR="00796A91" w:rsidRPr="00622E6C" w14:paraId="4218C048" w14:textId="77777777" w:rsidTr="00796A91">
        <w:trPr>
          <w:trHeight w:val="255"/>
        </w:trPr>
        <w:tc>
          <w:tcPr>
            <w:tcW w:w="4479" w:type="dxa"/>
            <w:tcBorders>
              <w:top w:val="single" w:sz="4" w:space="0" w:color="auto"/>
              <w:left w:val="single" w:sz="4" w:space="0" w:color="auto"/>
              <w:bottom w:val="single" w:sz="4" w:space="0" w:color="auto"/>
              <w:right w:val="single" w:sz="4" w:space="0" w:color="auto"/>
            </w:tcBorders>
            <w:vAlign w:val="center"/>
            <w:hideMark/>
          </w:tcPr>
          <w:p w14:paraId="5DDA9C91" w14:textId="77777777" w:rsidR="00796A91" w:rsidRPr="00622E6C" w:rsidRDefault="00796A91" w:rsidP="00796A91">
            <w:pPr>
              <w:rPr>
                <w:rFonts w:ascii="Arial Narrow" w:hAnsi="Arial Narrow" w:cs="Calibri"/>
                <w:b/>
                <w:bCs/>
                <w:color w:val="000000"/>
                <w:sz w:val="20"/>
                <w:szCs w:val="20"/>
              </w:rPr>
            </w:pPr>
            <w:r w:rsidRPr="00622E6C">
              <w:rPr>
                <w:rFonts w:ascii="Arial Narrow" w:hAnsi="Arial Narrow" w:cs="Calibri"/>
                <w:b/>
                <w:bCs/>
                <w:color w:val="000000"/>
                <w:sz w:val="20"/>
                <w:szCs w:val="20"/>
              </w:rPr>
              <w:t>Year of MM RSA</w:t>
            </w:r>
          </w:p>
        </w:tc>
        <w:tc>
          <w:tcPr>
            <w:tcW w:w="1612" w:type="dxa"/>
            <w:tcBorders>
              <w:top w:val="single" w:sz="4" w:space="0" w:color="auto"/>
              <w:left w:val="nil"/>
              <w:bottom w:val="single" w:sz="4" w:space="0" w:color="auto"/>
              <w:right w:val="single" w:sz="4" w:space="0" w:color="auto"/>
            </w:tcBorders>
            <w:noWrap/>
            <w:vAlign w:val="center"/>
            <w:hideMark/>
          </w:tcPr>
          <w:p w14:paraId="26B558F1"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3</w:t>
            </w:r>
          </w:p>
        </w:tc>
        <w:tc>
          <w:tcPr>
            <w:tcW w:w="1417" w:type="dxa"/>
            <w:tcBorders>
              <w:top w:val="single" w:sz="4" w:space="0" w:color="auto"/>
              <w:left w:val="nil"/>
              <w:bottom w:val="single" w:sz="4" w:space="0" w:color="auto"/>
              <w:right w:val="single" w:sz="4" w:space="0" w:color="auto"/>
            </w:tcBorders>
            <w:noWrap/>
            <w:vAlign w:val="center"/>
            <w:hideMark/>
          </w:tcPr>
          <w:p w14:paraId="1621EF78"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4</w:t>
            </w:r>
          </w:p>
        </w:tc>
        <w:tc>
          <w:tcPr>
            <w:tcW w:w="1418" w:type="dxa"/>
            <w:tcBorders>
              <w:top w:val="single" w:sz="4" w:space="0" w:color="auto"/>
              <w:left w:val="nil"/>
              <w:bottom w:val="single" w:sz="4" w:space="0" w:color="auto"/>
              <w:right w:val="single" w:sz="4" w:space="0" w:color="auto"/>
            </w:tcBorders>
            <w:noWrap/>
            <w:vAlign w:val="center"/>
            <w:hideMark/>
          </w:tcPr>
          <w:p w14:paraId="2EEC80DF"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5</w:t>
            </w:r>
          </w:p>
        </w:tc>
      </w:tr>
      <w:tr w:rsidR="00796A91" w:rsidRPr="00622E6C" w14:paraId="5E7AD2B5" w14:textId="77777777" w:rsidTr="00796A91">
        <w:trPr>
          <w:trHeight w:val="255"/>
        </w:trPr>
        <w:tc>
          <w:tcPr>
            <w:tcW w:w="8926" w:type="dxa"/>
            <w:gridSpan w:val="4"/>
            <w:tcBorders>
              <w:top w:val="nil"/>
              <w:left w:val="single" w:sz="4" w:space="0" w:color="auto"/>
              <w:bottom w:val="single" w:sz="4" w:space="0" w:color="auto"/>
              <w:right w:val="single" w:sz="4" w:space="0" w:color="auto"/>
            </w:tcBorders>
            <w:vAlign w:val="center"/>
          </w:tcPr>
          <w:p w14:paraId="4A9558C1"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Number of daratumumab initiations</w:t>
            </w:r>
          </w:p>
        </w:tc>
      </w:tr>
      <w:tr w:rsidR="00796A91" w:rsidRPr="00622E6C" w14:paraId="5EFE44D9"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28F2477E"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Original second-line MM RSA</w:t>
            </w:r>
          </w:p>
        </w:tc>
        <w:tc>
          <w:tcPr>
            <w:tcW w:w="1612" w:type="dxa"/>
            <w:tcBorders>
              <w:top w:val="nil"/>
              <w:left w:val="nil"/>
              <w:bottom w:val="single" w:sz="4" w:space="0" w:color="auto"/>
              <w:right w:val="single" w:sz="4" w:space="0" w:color="auto"/>
            </w:tcBorders>
            <w:noWrap/>
            <w:vAlign w:val="center"/>
            <w:hideMark/>
          </w:tcPr>
          <w:p w14:paraId="71AD692A" w14:textId="307E4771"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1</w:t>
            </w:r>
          </w:p>
        </w:tc>
        <w:tc>
          <w:tcPr>
            <w:tcW w:w="1417" w:type="dxa"/>
            <w:tcBorders>
              <w:top w:val="nil"/>
              <w:left w:val="nil"/>
              <w:bottom w:val="single" w:sz="4" w:space="0" w:color="auto"/>
              <w:right w:val="single" w:sz="4" w:space="0" w:color="auto"/>
            </w:tcBorders>
            <w:noWrap/>
            <w:vAlign w:val="center"/>
            <w:hideMark/>
          </w:tcPr>
          <w:p w14:paraId="24A85989" w14:textId="2BECDC44"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1</w:t>
            </w:r>
          </w:p>
        </w:tc>
        <w:tc>
          <w:tcPr>
            <w:tcW w:w="1418" w:type="dxa"/>
            <w:tcBorders>
              <w:top w:val="nil"/>
              <w:left w:val="nil"/>
              <w:bottom w:val="single" w:sz="4" w:space="0" w:color="auto"/>
              <w:right w:val="single" w:sz="4" w:space="0" w:color="auto"/>
            </w:tcBorders>
            <w:noWrap/>
            <w:vAlign w:val="center"/>
            <w:hideMark/>
          </w:tcPr>
          <w:p w14:paraId="697F982F" w14:textId="466A146C"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1</w:t>
            </w:r>
          </w:p>
        </w:tc>
      </w:tr>
      <w:tr w:rsidR="00796A91" w:rsidRPr="00622E6C" w14:paraId="39CDDEC5"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5BA429BF"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Revised second-line MM RSA</w:t>
            </w:r>
          </w:p>
        </w:tc>
        <w:tc>
          <w:tcPr>
            <w:tcW w:w="1612" w:type="dxa"/>
            <w:tcBorders>
              <w:top w:val="nil"/>
              <w:left w:val="nil"/>
              <w:bottom w:val="single" w:sz="4" w:space="0" w:color="auto"/>
              <w:right w:val="single" w:sz="4" w:space="0" w:color="auto"/>
            </w:tcBorders>
            <w:noWrap/>
            <w:vAlign w:val="center"/>
            <w:hideMark/>
          </w:tcPr>
          <w:p w14:paraId="43E27A53" w14:textId="3CA1B57F"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1</w:t>
            </w:r>
          </w:p>
        </w:tc>
        <w:tc>
          <w:tcPr>
            <w:tcW w:w="1417" w:type="dxa"/>
            <w:tcBorders>
              <w:top w:val="nil"/>
              <w:left w:val="nil"/>
              <w:bottom w:val="single" w:sz="4" w:space="0" w:color="auto"/>
              <w:right w:val="single" w:sz="4" w:space="0" w:color="auto"/>
            </w:tcBorders>
            <w:noWrap/>
            <w:vAlign w:val="center"/>
            <w:hideMark/>
          </w:tcPr>
          <w:p w14:paraId="627B983E" w14:textId="7A57B3F8"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1</w:t>
            </w:r>
          </w:p>
        </w:tc>
        <w:tc>
          <w:tcPr>
            <w:tcW w:w="1418" w:type="dxa"/>
            <w:tcBorders>
              <w:top w:val="nil"/>
              <w:left w:val="nil"/>
              <w:bottom w:val="single" w:sz="4" w:space="0" w:color="auto"/>
              <w:right w:val="single" w:sz="4" w:space="0" w:color="auto"/>
            </w:tcBorders>
            <w:noWrap/>
            <w:vAlign w:val="center"/>
            <w:hideMark/>
          </w:tcPr>
          <w:p w14:paraId="3A8C776A" w14:textId="500BBA63"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1</w:t>
            </w:r>
          </w:p>
        </w:tc>
      </w:tr>
      <w:tr w:rsidR="00796A91" w:rsidRPr="00622E6C" w14:paraId="4657CA9D" w14:textId="77777777" w:rsidTr="00796A91">
        <w:trPr>
          <w:trHeight w:val="255"/>
        </w:trPr>
        <w:tc>
          <w:tcPr>
            <w:tcW w:w="8926" w:type="dxa"/>
            <w:gridSpan w:val="4"/>
            <w:tcBorders>
              <w:top w:val="nil"/>
              <w:left w:val="single" w:sz="4" w:space="0" w:color="auto"/>
              <w:bottom w:val="single" w:sz="4" w:space="0" w:color="auto"/>
              <w:right w:val="single" w:sz="4" w:space="0" w:color="auto"/>
            </w:tcBorders>
            <w:vAlign w:val="center"/>
          </w:tcPr>
          <w:p w14:paraId="29E80D6D"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Number of daratumumab prescriptions under the subsidisation caps</w:t>
            </w:r>
          </w:p>
        </w:tc>
      </w:tr>
      <w:tr w:rsidR="00796A91" w:rsidRPr="00622E6C" w14:paraId="68945FED"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3104D5D5"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Original second-line MM RSA</w:t>
            </w:r>
          </w:p>
        </w:tc>
        <w:tc>
          <w:tcPr>
            <w:tcW w:w="1612" w:type="dxa"/>
            <w:tcBorders>
              <w:top w:val="nil"/>
              <w:left w:val="nil"/>
              <w:bottom w:val="single" w:sz="4" w:space="0" w:color="auto"/>
              <w:right w:val="single" w:sz="4" w:space="0" w:color="auto"/>
            </w:tcBorders>
            <w:noWrap/>
            <w:vAlign w:val="center"/>
            <w:hideMark/>
          </w:tcPr>
          <w:p w14:paraId="218C1C54" w14:textId="137E7613"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17279517" w14:textId="7A9364C6"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20"/>
                <w:sz w:val="20"/>
                <w:szCs w:val="20"/>
                <w:shd w:val="solid" w:color="000000" w:fill="000000"/>
                <w:fitText w:val="90" w:id="-1477792256"/>
                <w14:textFill>
                  <w14:solidFill>
                    <w14:srgbClr w14:val="000000">
                      <w14:alpha w14:val="100000"/>
                    </w14:srgbClr>
                  </w14:solidFill>
                </w14:textFill>
              </w:rPr>
              <w:t xml:space="preserve">　</w:t>
            </w:r>
            <w:r w:rsidRPr="008976CC">
              <w:rPr>
                <w:rFonts w:ascii="Arial Narrow" w:hAnsi="Arial Narrow" w:cs="Calibri"/>
                <w:color w:val="000000"/>
                <w:w w:val="20"/>
                <w:sz w:val="20"/>
                <w:szCs w:val="20"/>
                <w:shd w:val="solid" w:color="000000" w:fill="000000"/>
                <w:fitText w:val="90" w:id="-1477792256"/>
                <w14:textFill>
                  <w14:solidFill>
                    <w14:srgbClr w14:val="000000">
                      <w14:alpha w14:val="100000"/>
                    </w14:srgbClr>
                  </w14:solidFill>
                </w14:textFill>
              </w:rPr>
              <w:t>|</w:t>
            </w:r>
            <w:r w:rsidRPr="008976CC">
              <w:rPr>
                <w:rFonts w:ascii="Arial Narrow" w:hAnsi="Arial Narrow" w:cs="Calibri" w:hint="eastAsia"/>
                <w:color w:val="000000"/>
                <w:w w:val="20"/>
                <w:sz w:val="20"/>
                <w:szCs w:val="20"/>
                <w:shd w:val="solid" w:color="000000" w:fill="000000"/>
                <w:fitText w:val="90" w:id="-1477792256"/>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3</w:t>
            </w:r>
          </w:p>
        </w:tc>
        <w:tc>
          <w:tcPr>
            <w:tcW w:w="1418" w:type="dxa"/>
            <w:tcBorders>
              <w:top w:val="nil"/>
              <w:left w:val="nil"/>
              <w:bottom w:val="single" w:sz="4" w:space="0" w:color="auto"/>
              <w:right w:val="single" w:sz="4" w:space="0" w:color="auto"/>
            </w:tcBorders>
            <w:noWrap/>
            <w:vAlign w:val="center"/>
            <w:hideMark/>
          </w:tcPr>
          <w:p w14:paraId="648F4D46" w14:textId="67DC3F14"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20"/>
                <w:sz w:val="20"/>
                <w:szCs w:val="20"/>
                <w:shd w:val="solid" w:color="000000" w:fill="000000"/>
                <w:fitText w:val="90" w:id="-1477792000"/>
                <w14:textFill>
                  <w14:solidFill>
                    <w14:srgbClr w14:val="000000">
                      <w14:alpha w14:val="100000"/>
                    </w14:srgbClr>
                  </w14:solidFill>
                </w14:textFill>
              </w:rPr>
              <w:t xml:space="preserve">　</w:t>
            </w:r>
            <w:r w:rsidRPr="008976CC">
              <w:rPr>
                <w:rFonts w:ascii="Arial Narrow" w:hAnsi="Arial Narrow" w:cs="Calibri"/>
                <w:color w:val="000000"/>
                <w:w w:val="20"/>
                <w:sz w:val="20"/>
                <w:szCs w:val="20"/>
                <w:shd w:val="solid" w:color="000000" w:fill="000000"/>
                <w:fitText w:val="90" w:id="-1477792000"/>
                <w14:textFill>
                  <w14:solidFill>
                    <w14:srgbClr w14:val="000000">
                      <w14:alpha w14:val="100000"/>
                    </w14:srgbClr>
                  </w14:solidFill>
                </w14:textFill>
              </w:rPr>
              <w:t>|</w:t>
            </w:r>
            <w:r w:rsidRPr="008976CC">
              <w:rPr>
                <w:rFonts w:ascii="Arial Narrow" w:hAnsi="Arial Narrow" w:cs="Calibri" w:hint="eastAsia"/>
                <w:color w:val="000000"/>
                <w:spacing w:val="3"/>
                <w:w w:val="20"/>
                <w:sz w:val="20"/>
                <w:szCs w:val="20"/>
                <w:shd w:val="solid" w:color="000000" w:fill="000000"/>
                <w:fitText w:val="90" w:id="-1477792000"/>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3</w:t>
            </w:r>
          </w:p>
        </w:tc>
      </w:tr>
      <w:tr w:rsidR="00796A91" w:rsidRPr="00622E6C" w14:paraId="48FF9054"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1F30FDB6"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Revised second-line MM RSA</w:t>
            </w:r>
          </w:p>
        </w:tc>
        <w:tc>
          <w:tcPr>
            <w:tcW w:w="1612" w:type="dxa"/>
            <w:tcBorders>
              <w:top w:val="nil"/>
              <w:left w:val="nil"/>
              <w:bottom w:val="single" w:sz="4" w:space="0" w:color="auto"/>
              <w:right w:val="single" w:sz="4" w:space="0" w:color="auto"/>
            </w:tcBorders>
            <w:noWrap/>
            <w:vAlign w:val="center"/>
            <w:hideMark/>
          </w:tcPr>
          <w:p w14:paraId="3581F733" w14:textId="0BF99EC6" w:rsidR="00796A91" w:rsidRPr="00D960D2" w:rsidRDefault="00005E9B" w:rsidP="00796A91">
            <w:pPr>
              <w:jc w:val="center"/>
              <w:rPr>
                <w:rFonts w:ascii="Arial Narrow" w:hAnsi="Arial Narrow" w:cs="Calibri"/>
                <w:color w:val="000000"/>
                <w:sz w:val="20"/>
                <w:szCs w:val="20"/>
                <w:vertAlign w:val="superscript"/>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D960D2">
              <w:rPr>
                <w:rFonts w:ascii="Arial Narrow" w:hAnsi="Arial Narrow" w:cs="Calibri"/>
                <w:color w:val="000000"/>
                <w:sz w:val="20"/>
                <w:szCs w:val="20"/>
                <w:vertAlign w:val="superscript"/>
              </w:rPr>
              <w:t>2</w:t>
            </w:r>
          </w:p>
        </w:tc>
        <w:tc>
          <w:tcPr>
            <w:tcW w:w="1417" w:type="dxa"/>
            <w:tcBorders>
              <w:top w:val="nil"/>
              <w:left w:val="nil"/>
              <w:bottom w:val="single" w:sz="4" w:space="0" w:color="auto"/>
              <w:right w:val="single" w:sz="4" w:space="0" w:color="auto"/>
            </w:tcBorders>
            <w:noWrap/>
            <w:vAlign w:val="center"/>
            <w:hideMark/>
          </w:tcPr>
          <w:p w14:paraId="55F52F53" w14:textId="07B5F8EA"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20"/>
                <w:sz w:val="20"/>
                <w:szCs w:val="20"/>
                <w:shd w:val="solid" w:color="000000" w:fill="000000"/>
                <w:fitText w:val="90" w:id="-1477791999"/>
                <w14:textFill>
                  <w14:solidFill>
                    <w14:srgbClr w14:val="000000">
                      <w14:alpha w14:val="100000"/>
                    </w14:srgbClr>
                  </w14:solidFill>
                </w14:textFill>
              </w:rPr>
              <w:t xml:space="preserve">　</w:t>
            </w:r>
            <w:r w:rsidRPr="008976CC">
              <w:rPr>
                <w:rFonts w:ascii="Arial Narrow" w:hAnsi="Arial Narrow" w:cs="Calibri"/>
                <w:color w:val="000000"/>
                <w:w w:val="20"/>
                <w:sz w:val="20"/>
                <w:szCs w:val="20"/>
                <w:shd w:val="solid" w:color="000000" w:fill="000000"/>
                <w:fitText w:val="90" w:id="-1477791999"/>
                <w14:textFill>
                  <w14:solidFill>
                    <w14:srgbClr w14:val="000000">
                      <w14:alpha w14:val="100000"/>
                    </w14:srgbClr>
                  </w14:solidFill>
                </w14:textFill>
              </w:rPr>
              <w:t>|</w:t>
            </w:r>
            <w:r w:rsidRPr="008976CC">
              <w:rPr>
                <w:rFonts w:ascii="Arial Narrow" w:hAnsi="Arial Narrow" w:cs="Calibri" w:hint="eastAsia"/>
                <w:color w:val="000000"/>
                <w:spacing w:val="3"/>
                <w:w w:val="20"/>
                <w:sz w:val="20"/>
                <w:szCs w:val="20"/>
                <w:shd w:val="solid" w:color="000000" w:fill="000000"/>
                <w:fitText w:val="90" w:id="-1477791999"/>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3</w:t>
            </w:r>
          </w:p>
        </w:tc>
        <w:tc>
          <w:tcPr>
            <w:tcW w:w="1418" w:type="dxa"/>
            <w:tcBorders>
              <w:top w:val="nil"/>
              <w:left w:val="nil"/>
              <w:bottom w:val="single" w:sz="4" w:space="0" w:color="auto"/>
              <w:right w:val="single" w:sz="4" w:space="0" w:color="auto"/>
            </w:tcBorders>
            <w:noWrap/>
            <w:vAlign w:val="center"/>
            <w:hideMark/>
          </w:tcPr>
          <w:p w14:paraId="3A256E27" w14:textId="2EA3EB1D"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20"/>
                <w:sz w:val="20"/>
                <w:szCs w:val="20"/>
                <w:shd w:val="solid" w:color="000000" w:fill="000000"/>
                <w:fitText w:val="90" w:id="-1477791998"/>
                <w14:textFill>
                  <w14:solidFill>
                    <w14:srgbClr w14:val="000000">
                      <w14:alpha w14:val="100000"/>
                    </w14:srgbClr>
                  </w14:solidFill>
                </w14:textFill>
              </w:rPr>
              <w:t xml:space="preserve">　</w:t>
            </w:r>
            <w:r w:rsidRPr="008976CC">
              <w:rPr>
                <w:rFonts w:ascii="Arial Narrow" w:hAnsi="Arial Narrow" w:cs="Calibri"/>
                <w:color w:val="000000"/>
                <w:w w:val="20"/>
                <w:sz w:val="20"/>
                <w:szCs w:val="20"/>
                <w:shd w:val="solid" w:color="000000" w:fill="000000"/>
                <w:fitText w:val="90" w:id="-1477791998"/>
                <w14:textFill>
                  <w14:solidFill>
                    <w14:srgbClr w14:val="000000">
                      <w14:alpha w14:val="100000"/>
                    </w14:srgbClr>
                  </w14:solidFill>
                </w14:textFill>
              </w:rPr>
              <w:t>|</w:t>
            </w:r>
            <w:r w:rsidRPr="008976CC">
              <w:rPr>
                <w:rFonts w:ascii="Arial Narrow" w:hAnsi="Arial Narrow" w:cs="Calibri" w:hint="eastAsia"/>
                <w:color w:val="000000"/>
                <w:spacing w:val="3"/>
                <w:w w:val="20"/>
                <w:sz w:val="20"/>
                <w:szCs w:val="20"/>
                <w:shd w:val="solid" w:color="000000" w:fill="000000"/>
                <w:fitText w:val="90" w:id="-1477791998"/>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3</w:t>
            </w:r>
          </w:p>
        </w:tc>
      </w:tr>
      <w:tr w:rsidR="00796A91" w:rsidRPr="00622E6C" w14:paraId="2A2C3AFF" w14:textId="77777777" w:rsidTr="00796A91">
        <w:trPr>
          <w:trHeight w:val="255"/>
        </w:trPr>
        <w:tc>
          <w:tcPr>
            <w:tcW w:w="8926" w:type="dxa"/>
            <w:gridSpan w:val="4"/>
            <w:tcBorders>
              <w:top w:val="nil"/>
              <w:left w:val="single" w:sz="4" w:space="0" w:color="auto"/>
              <w:bottom w:val="single" w:sz="4" w:space="0" w:color="auto"/>
              <w:right w:val="single" w:sz="4" w:space="0" w:color="auto"/>
            </w:tcBorders>
            <w:vAlign w:val="center"/>
          </w:tcPr>
          <w:p w14:paraId="0F50CF45"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Value of the subsidisation caps</w:t>
            </w:r>
          </w:p>
        </w:tc>
      </w:tr>
      <w:tr w:rsidR="00796A91" w:rsidRPr="00622E6C" w14:paraId="55AE89C2"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7DE01390"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Original second-line MM RSA</w:t>
            </w:r>
          </w:p>
        </w:tc>
        <w:tc>
          <w:tcPr>
            <w:tcW w:w="1612" w:type="dxa"/>
            <w:tcBorders>
              <w:top w:val="nil"/>
              <w:left w:val="nil"/>
              <w:bottom w:val="single" w:sz="4" w:space="0" w:color="auto"/>
              <w:right w:val="single" w:sz="4" w:space="0" w:color="auto"/>
            </w:tcBorders>
            <w:noWrap/>
            <w:vAlign w:val="center"/>
            <w:hideMark/>
          </w:tcPr>
          <w:p w14:paraId="185B6DBB" w14:textId="6AD75F1B"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52"/>
                <w:sz w:val="20"/>
                <w:szCs w:val="20"/>
                <w:shd w:val="solid" w:color="000000" w:fill="000000"/>
                <w:fitText w:val="520" w:id="-1477791997"/>
                <w14:textFill>
                  <w14:solidFill>
                    <w14:srgbClr w14:val="000000">
                      <w14:alpha w14:val="100000"/>
                    </w14:srgbClr>
                  </w14:solidFill>
                </w14:textFill>
              </w:rPr>
              <w:t>|||||</w:t>
            </w:r>
            <w:r w:rsidR="00005E9B" w:rsidRPr="008976CC">
              <w:rPr>
                <w:rFonts w:ascii="Arial Narrow" w:hAnsi="Arial Narrow" w:cs="Calibri"/>
                <w:color w:val="000000"/>
                <w:spacing w:val="5"/>
                <w:sz w:val="20"/>
                <w:szCs w:val="20"/>
                <w:shd w:val="solid" w:color="000000" w:fill="000000"/>
                <w:fitText w:val="520" w:id="-1477791997"/>
                <w14:textFill>
                  <w14:solidFill>
                    <w14:srgbClr w14:val="000000">
                      <w14:alpha w14:val="100000"/>
                    </w14:srgbClr>
                  </w14:solidFill>
                </w14:textFill>
              </w:rPr>
              <w:t>|</w:t>
            </w:r>
            <w:r w:rsidR="00D960D2">
              <w:rPr>
                <w:rFonts w:ascii="Arial Narrow" w:hAnsi="Arial Narrow" w:cs="Calibri"/>
                <w:color w:val="000000"/>
                <w:sz w:val="20"/>
                <w:szCs w:val="20"/>
                <w:vertAlign w:val="superscript"/>
              </w:rPr>
              <w:t>4</w:t>
            </w:r>
          </w:p>
        </w:tc>
        <w:tc>
          <w:tcPr>
            <w:tcW w:w="1417" w:type="dxa"/>
            <w:tcBorders>
              <w:top w:val="nil"/>
              <w:left w:val="nil"/>
              <w:bottom w:val="single" w:sz="4" w:space="0" w:color="auto"/>
              <w:right w:val="single" w:sz="4" w:space="0" w:color="auto"/>
            </w:tcBorders>
            <w:noWrap/>
            <w:vAlign w:val="center"/>
            <w:hideMark/>
          </w:tcPr>
          <w:p w14:paraId="068D6080" w14:textId="6A82E967"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39"/>
                <w:sz w:val="20"/>
                <w:szCs w:val="20"/>
                <w:shd w:val="solid" w:color="000000" w:fill="000000"/>
                <w:fitText w:val="620" w:id="-1477791744"/>
                <w14:textFill>
                  <w14:solidFill>
                    <w14:srgbClr w14:val="000000">
                      <w14:alpha w14:val="100000"/>
                    </w14:srgbClr>
                  </w14:solidFill>
                </w14:textFill>
              </w:rPr>
              <w:t>|||||||</w:t>
            </w:r>
            <w:r w:rsidR="00005E9B" w:rsidRPr="008976CC">
              <w:rPr>
                <w:rFonts w:ascii="Arial Narrow" w:hAnsi="Arial Narrow" w:cs="Calibri"/>
                <w:color w:val="000000"/>
                <w:spacing w:val="7"/>
                <w:sz w:val="20"/>
                <w:szCs w:val="20"/>
                <w:shd w:val="solid" w:color="000000" w:fill="000000"/>
                <w:fitText w:val="620" w:id="-1477791744"/>
                <w14:textFill>
                  <w14:solidFill>
                    <w14:srgbClr w14:val="000000">
                      <w14:alpha w14:val="100000"/>
                    </w14:srgbClr>
                  </w14:solidFill>
                </w14:textFill>
              </w:rPr>
              <w:t>|</w:t>
            </w:r>
            <w:r w:rsidR="00D960D2">
              <w:rPr>
                <w:rFonts w:ascii="Arial Narrow" w:hAnsi="Arial Narrow" w:cs="Calibri"/>
                <w:color w:val="000000"/>
                <w:sz w:val="20"/>
                <w:szCs w:val="20"/>
                <w:vertAlign w:val="superscript"/>
              </w:rPr>
              <w:t>5</w:t>
            </w:r>
          </w:p>
        </w:tc>
        <w:tc>
          <w:tcPr>
            <w:tcW w:w="1418" w:type="dxa"/>
            <w:tcBorders>
              <w:top w:val="nil"/>
              <w:left w:val="nil"/>
              <w:bottom w:val="single" w:sz="4" w:space="0" w:color="auto"/>
              <w:right w:val="single" w:sz="4" w:space="0" w:color="auto"/>
            </w:tcBorders>
            <w:noWrap/>
            <w:vAlign w:val="center"/>
            <w:hideMark/>
          </w:tcPr>
          <w:p w14:paraId="78BBBF80" w14:textId="24D0BBF4"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38"/>
                <w:sz w:val="20"/>
                <w:szCs w:val="20"/>
                <w:shd w:val="solid" w:color="000000" w:fill="000000"/>
                <w:fitText w:val="610" w:id="-1477791743"/>
                <w14:textFill>
                  <w14:solidFill>
                    <w14:srgbClr w14:val="000000">
                      <w14:alpha w14:val="100000"/>
                    </w14:srgbClr>
                  </w14:solidFill>
                </w14:textFill>
              </w:rPr>
              <w:t>|||||||</w:t>
            </w:r>
            <w:r w:rsidR="00005E9B" w:rsidRPr="008976CC">
              <w:rPr>
                <w:rFonts w:ascii="Arial Narrow" w:hAnsi="Arial Narrow" w:cs="Calibri"/>
                <w:color w:val="000000"/>
                <w:spacing w:val="4"/>
                <w:sz w:val="20"/>
                <w:szCs w:val="20"/>
                <w:shd w:val="solid" w:color="000000" w:fill="000000"/>
                <w:fitText w:val="610" w:id="-1477791743"/>
                <w14:textFill>
                  <w14:solidFill>
                    <w14:srgbClr w14:val="000000">
                      <w14:alpha w14:val="100000"/>
                    </w14:srgbClr>
                  </w14:solidFill>
                </w14:textFill>
              </w:rPr>
              <w:t>|</w:t>
            </w:r>
            <w:r w:rsidR="00D960D2">
              <w:rPr>
                <w:rFonts w:ascii="Arial Narrow" w:hAnsi="Arial Narrow" w:cs="Calibri"/>
                <w:color w:val="000000"/>
                <w:sz w:val="20"/>
                <w:szCs w:val="20"/>
                <w:vertAlign w:val="superscript"/>
              </w:rPr>
              <w:t>5</w:t>
            </w:r>
          </w:p>
        </w:tc>
      </w:tr>
      <w:tr w:rsidR="00796A91" w:rsidRPr="00622E6C" w14:paraId="2B9A2C15"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23E7C5D9"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Revised second-line MM RSA</w:t>
            </w:r>
          </w:p>
        </w:tc>
        <w:tc>
          <w:tcPr>
            <w:tcW w:w="1612" w:type="dxa"/>
            <w:tcBorders>
              <w:top w:val="nil"/>
              <w:left w:val="nil"/>
              <w:bottom w:val="single" w:sz="4" w:space="0" w:color="auto"/>
              <w:right w:val="single" w:sz="4" w:space="0" w:color="auto"/>
            </w:tcBorders>
            <w:noWrap/>
            <w:vAlign w:val="center"/>
            <w:hideMark/>
          </w:tcPr>
          <w:p w14:paraId="0D9DDEAA" w14:textId="6E1FFF99"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52"/>
                <w:sz w:val="20"/>
                <w:szCs w:val="20"/>
                <w:shd w:val="solid" w:color="000000" w:fill="000000"/>
                <w:fitText w:val="520" w:id="-1477791742"/>
                <w14:textFill>
                  <w14:solidFill>
                    <w14:srgbClr w14:val="000000">
                      <w14:alpha w14:val="100000"/>
                    </w14:srgbClr>
                  </w14:solidFill>
                </w14:textFill>
              </w:rPr>
              <w:t>|||||</w:t>
            </w:r>
            <w:r w:rsidR="00005E9B" w:rsidRPr="008976CC">
              <w:rPr>
                <w:rFonts w:ascii="Arial Narrow" w:hAnsi="Arial Narrow" w:cs="Calibri"/>
                <w:color w:val="000000"/>
                <w:spacing w:val="5"/>
                <w:sz w:val="20"/>
                <w:szCs w:val="20"/>
                <w:shd w:val="solid" w:color="000000" w:fill="000000"/>
                <w:fitText w:val="520" w:id="-1477791742"/>
                <w14:textFill>
                  <w14:solidFill>
                    <w14:srgbClr w14:val="000000">
                      <w14:alpha w14:val="100000"/>
                    </w14:srgbClr>
                  </w14:solidFill>
                </w14:textFill>
              </w:rPr>
              <w:t>|</w:t>
            </w:r>
            <w:r w:rsidR="00D960D2">
              <w:rPr>
                <w:rFonts w:ascii="Arial Narrow" w:hAnsi="Arial Narrow" w:cs="Calibri"/>
                <w:color w:val="000000"/>
                <w:sz w:val="20"/>
                <w:szCs w:val="20"/>
                <w:vertAlign w:val="superscript"/>
              </w:rPr>
              <w:t>4</w:t>
            </w:r>
          </w:p>
        </w:tc>
        <w:tc>
          <w:tcPr>
            <w:tcW w:w="1417" w:type="dxa"/>
            <w:tcBorders>
              <w:top w:val="nil"/>
              <w:left w:val="nil"/>
              <w:bottom w:val="single" w:sz="4" w:space="0" w:color="auto"/>
              <w:right w:val="single" w:sz="4" w:space="0" w:color="auto"/>
            </w:tcBorders>
            <w:noWrap/>
            <w:vAlign w:val="center"/>
            <w:hideMark/>
          </w:tcPr>
          <w:p w14:paraId="7C73E883" w14:textId="08FB610E"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39"/>
                <w:sz w:val="20"/>
                <w:szCs w:val="20"/>
                <w:shd w:val="solid" w:color="000000" w:fill="000000"/>
                <w:fitText w:val="620" w:id="-1477791741"/>
                <w14:textFill>
                  <w14:solidFill>
                    <w14:srgbClr w14:val="000000">
                      <w14:alpha w14:val="100000"/>
                    </w14:srgbClr>
                  </w14:solidFill>
                </w14:textFill>
              </w:rPr>
              <w:t>|||||||</w:t>
            </w:r>
            <w:r w:rsidR="00005E9B" w:rsidRPr="008976CC">
              <w:rPr>
                <w:rFonts w:ascii="Arial Narrow" w:hAnsi="Arial Narrow" w:cs="Calibri"/>
                <w:color w:val="000000"/>
                <w:spacing w:val="7"/>
                <w:sz w:val="20"/>
                <w:szCs w:val="20"/>
                <w:shd w:val="solid" w:color="000000" w:fill="000000"/>
                <w:fitText w:val="620" w:id="-1477791741"/>
                <w14:textFill>
                  <w14:solidFill>
                    <w14:srgbClr w14:val="000000">
                      <w14:alpha w14:val="100000"/>
                    </w14:srgbClr>
                  </w14:solidFill>
                </w14:textFill>
              </w:rPr>
              <w:t>|</w:t>
            </w:r>
            <w:r w:rsidR="00D960D2">
              <w:rPr>
                <w:rFonts w:ascii="Arial Narrow" w:hAnsi="Arial Narrow" w:cs="Calibri"/>
                <w:color w:val="000000"/>
                <w:sz w:val="20"/>
                <w:szCs w:val="20"/>
                <w:vertAlign w:val="superscript"/>
              </w:rPr>
              <w:t>6</w:t>
            </w:r>
          </w:p>
        </w:tc>
        <w:tc>
          <w:tcPr>
            <w:tcW w:w="1418" w:type="dxa"/>
            <w:tcBorders>
              <w:top w:val="nil"/>
              <w:left w:val="nil"/>
              <w:bottom w:val="single" w:sz="4" w:space="0" w:color="auto"/>
              <w:right w:val="single" w:sz="4" w:space="0" w:color="auto"/>
            </w:tcBorders>
            <w:noWrap/>
            <w:vAlign w:val="center"/>
            <w:hideMark/>
          </w:tcPr>
          <w:p w14:paraId="05ABD1BE" w14:textId="2B5BC9AF"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38"/>
                <w:sz w:val="20"/>
                <w:szCs w:val="20"/>
                <w:shd w:val="solid" w:color="000000" w:fill="000000"/>
                <w:fitText w:val="610" w:id="-1477791740"/>
                <w14:textFill>
                  <w14:solidFill>
                    <w14:srgbClr w14:val="000000">
                      <w14:alpha w14:val="100000"/>
                    </w14:srgbClr>
                  </w14:solidFill>
                </w14:textFill>
              </w:rPr>
              <w:t>|||||||</w:t>
            </w:r>
            <w:r w:rsidR="00005E9B" w:rsidRPr="008976CC">
              <w:rPr>
                <w:rFonts w:ascii="Arial Narrow" w:hAnsi="Arial Narrow" w:cs="Calibri"/>
                <w:color w:val="000000"/>
                <w:spacing w:val="4"/>
                <w:sz w:val="20"/>
                <w:szCs w:val="20"/>
                <w:shd w:val="solid" w:color="000000" w:fill="000000"/>
                <w:fitText w:val="610" w:id="-1477791740"/>
                <w14:textFill>
                  <w14:solidFill>
                    <w14:srgbClr w14:val="000000">
                      <w14:alpha w14:val="100000"/>
                    </w14:srgbClr>
                  </w14:solidFill>
                </w14:textFill>
              </w:rPr>
              <w:t>|</w:t>
            </w:r>
            <w:r w:rsidR="00D960D2">
              <w:rPr>
                <w:rFonts w:ascii="Arial Narrow" w:hAnsi="Arial Narrow" w:cs="Calibri"/>
                <w:color w:val="000000"/>
                <w:sz w:val="20"/>
                <w:szCs w:val="20"/>
                <w:vertAlign w:val="superscript"/>
              </w:rPr>
              <w:t>5</w:t>
            </w:r>
          </w:p>
        </w:tc>
      </w:tr>
      <w:tr w:rsidR="00796A91" w:rsidRPr="00622E6C" w14:paraId="5DD0614D" w14:textId="77777777" w:rsidTr="00796A91">
        <w:trPr>
          <w:trHeight w:val="255"/>
        </w:trPr>
        <w:tc>
          <w:tcPr>
            <w:tcW w:w="4479" w:type="dxa"/>
            <w:tcBorders>
              <w:top w:val="nil"/>
              <w:left w:val="single" w:sz="4" w:space="0" w:color="auto"/>
              <w:bottom w:val="single" w:sz="4" w:space="0" w:color="auto"/>
              <w:right w:val="single" w:sz="4" w:space="0" w:color="auto"/>
            </w:tcBorders>
            <w:vAlign w:val="center"/>
            <w:hideMark/>
          </w:tcPr>
          <w:p w14:paraId="5499F519" w14:textId="77777777" w:rsidR="00796A91" w:rsidRPr="00622E6C" w:rsidRDefault="00796A91" w:rsidP="00796A91">
            <w:pPr>
              <w:rPr>
                <w:rFonts w:ascii="Arial Narrow" w:hAnsi="Arial Narrow" w:cs="Calibri"/>
                <w:color w:val="000000"/>
                <w:sz w:val="20"/>
                <w:szCs w:val="20"/>
              </w:rPr>
            </w:pPr>
            <w:r w:rsidRPr="00622E6C">
              <w:rPr>
                <w:rFonts w:ascii="Arial Narrow" w:hAnsi="Arial Narrow" w:cs="Calibri"/>
                <w:color w:val="000000"/>
                <w:sz w:val="20"/>
                <w:szCs w:val="20"/>
              </w:rPr>
              <w:t>Reduction in value of the subsidisation cap</w:t>
            </w:r>
          </w:p>
        </w:tc>
        <w:tc>
          <w:tcPr>
            <w:tcW w:w="1612" w:type="dxa"/>
            <w:tcBorders>
              <w:top w:val="nil"/>
              <w:left w:val="nil"/>
              <w:bottom w:val="single" w:sz="4" w:space="0" w:color="auto"/>
              <w:right w:val="single" w:sz="4" w:space="0" w:color="auto"/>
            </w:tcBorders>
            <w:noWrap/>
            <w:vAlign w:val="center"/>
            <w:hideMark/>
          </w:tcPr>
          <w:p w14:paraId="315CA742" w14:textId="1D9891D5"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69"/>
                <w:sz w:val="20"/>
                <w:szCs w:val="20"/>
                <w:shd w:val="solid" w:color="000000" w:fill="000000"/>
                <w:fitText w:val="380" w:id="-1477791488"/>
                <w14:textFill>
                  <w14:solidFill>
                    <w14:srgbClr w14:val="000000">
                      <w14:alpha w14:val="100000"/>
                    </w14:srgbClr>
                  </w14:solidFill>
                </w14:textFill>
              </w:rPr>
              <w:t>|||</w:t>
            </w:r>
            <w:r w:rsidR="00005E9B" w:rsidRPr="008976CC">
              <w:rPr>
                <w:rFonts w:ascii="Arial Narrow" w:hAnsi="Arial Narrow" w:cs="Calibri"/>
                <w:color w:val="000000"/>
                <w:spacing w:val="3"/>
                <w:sz w:val="20"/>
                <w:szCs w:val="20"/>
                <w:shd w:val="solid" w:color="000000" w:fill="000000"/>
                <w:fitText w:val="380" w:id="-1477791488"/>
                <w14:textFill>
                  <w14:solidFill>
                    <w14:srgbClr w14:val="000000">
                      <w14:alpha w14:val="100000"/>
                    </w14:srgbClr>
                  </w14:solidFill>
                </w14:textFill>
              </w:rPr>
              <w:t>|</w:t>
            </w:r>
            <w:r w:rsidR="00D960D2">
              <w:rPr>
                <w:rFonts w:ascii="Arial Narrow" w:hAnsi="Arial Narrow" w:cs="Calibri"/>
                <w:color w:val="000000"/>
                <w:sz w:val="20"/>
                <w:szCs w:val="20"/>
                <w:vertAlign w:val="superscript"/>
              </w:rPr>
              <w:t>7</w:t>
            </w:r>
          </w:p>
        </w:tc>
        <w:tc>
          <w:tcPr>
            <w:tcW w:w="1417" w:type="dxa"/>
            <w:tcBorders>
              <w:top w:val="nil"/>
              <w:left w:val="nil"/>
              <w:bottom w:val="single" w:sz="4" w:space="0" w:color="auto"/>
              <w:right w:val="single" w:sz="4" w:space="0" w:color="auto"/>
            </w:tcBorders>
            <w:noWrap/>
            <w:vAlign w:val="center"/>
            <w:hideMark/>
          </w:tcPr>
          <w:p w14:paraId="4A896D63" w14:textId="480D40AD"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44"/>
                <w:sz w:val="20"/>
                <w:szCs w:val="20"/>
                <w:shd w:val="solid" w:color="000000" w:fill="000000"/>
                <w:fitText w:val="480" w:id="-1477791487"/>
                <w14:textFill>
                  <w14:solidFill>
                    <w14:srgbClr w14:val="000000">
                      <w14:alpha w14:val="100000"/>
                    </w14:srgbClr>
                  </w14:solidFill>
                </w14:textFill>
              </w:rPr>
              <w:t>|||||</w:t>
            </w:r>
            <w:r w:rsidR="00005E9B" w:rsidRPr="008976CC">
              <w:rPr>
                <w:rFonts w:ascii="Arial Narrow" w:hAnsi="Arial Narrow" w:cs="Calibri"/>
                <w:color w:val="000000"/>
                <w:spacing w:val="5"/>
                <w:sz w:val="20"/>
                <w:szCs w:val="20"/>
                <w:shd w:val="solid" w:color="000000" w:fill="000000"/>
                <w:fitText w:val="480" w:id="-1477791487"/>
                <w14:textFill>
                  <w14:solidFill>
                    <w14:srgbClr w14:val="000000">
                      <w14:alpha w14:val="100000"/>
                    </w14:srgbClr>
                  </w14:solidFill>
                </w14:textFill>
              </w:rPr>
              <w:t>|</w:t>
            </w:r>
            <w:r w:rsidR="00D960D2">
              <w:rPr>
                <w:rFonts w:ascii="Arial Narrow" w:hAnsi="Arial Narrow" w:cs="Calibri"/>
                <w:color w:val="000000"/>
                <w:sz w:val="20"/>
                <w:szCs w:val="20"/>
                <w:vertAlign w:val="superscript"/>
              </w:rPr>
              <w:t>7</w:t>
            </w:r>
          </w:p>
        </w:tc>
        <w:tc>
          <w:tcPr>
            <w:tcW w:w="1418" w:type="dxa"/>
            <w:tcBorders>
              <w:top w:val="nil"/>
              <w:left w:val="nil"/>
              <w:bottom w:val="single" w:sz="4" w:space="0" w:color="auto"/>
              <w:right w:val="single" w:sz="4" w:space="0" w:color="auto"/>
            </w:tcBorders>
            <w:noWrap/>
            <w:vAlign w:val="center"/>
            <w:hideMark/>
          </w:tcPr>
          <w:p w14:paraId="153643B6" w14:textId="2E45B753"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005E9B" w:rsidRPr="008976CC">
              <w:rPr>
                <w:rFonts w:ascii="Arial Narrow" w:hAnsi="Arial Narrow" w:cs="Calibri"/>
                <w:color w:val="000000"/>
                <w:spacing w:val="44"/>
                <w:sz w:val="20"/>
                <w:szCs w:val="20"/>
                <w:shd w:val="solid" w:color="000000" w:fill="000000"/>
                <w:fitText w:val="480" w:id="-1477791486"/>
                <w14:textFill>
                  <w14:solidFill>
                    <w14:srgbClr w14:val="000000">
                      <w14:alpha w14:val="100000"/>
                    </w14:srgbClr>
                  </w14:solidFill>
                </w14:textFill>
              </w:rPr>
              <w:t>|||||</w:t>
            </w:r>
            <w:r w:rsidR="00005E9B" w:rsidRPr="008976CC">
              <w:rPr>
                <w:rFonts w:ascii="Arial Narrow" w:hAnsi="Arial Narrow" w:cs="Calibri"/>
                <w:color w:val="000000"/>
                <w:spacing w:val="5"/>
                <w:sz w:val="20"/>
                <w:szCs w:val="20"/>
                <w:shd w:val="solid" w:color="000000" w:fill="000000"/>
                <w:fitText w:val="480" w:id="-1477791486"/>
                <w14:textFill>
                  <w14:solidFill>
                    <w14:srgbClr w14:val="000000">
                      <w14:alpha w14:val="100000"/>
                    </w14:srgbClr>
                  </w14:solidFill>
                </w14:textFill>
              </w:rPr>
              <w:t>|</w:t>
            </w:r>
            <w:r w:rsidR="00D960D2">
              <w:rPr>
                <w:rFonts w:ascii="Arial Narrow" w:hAnsi="Arial Narrow" w:cs="Calibri"/>
                <w:color w:val="000000"/>
                <w:sz w:val="20"/>
                <w:szCs w:val="20"/>
                <w:vertAlign w:val="superscript"/>
              </w:rPr>
              <w:t>7</w:t>
            </w:r>
          </w:p>
        </w:tc>
      </w:tr>
    </w:tbl>
    <w:p w14:paraId="1E31AC0E"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Source: Table 4-15, p46 of the early resolution resubmission</w:t>
      </w:r>
    </w:p>
    <w:p w14:paraId="72A249D5" w14:textId="26CF18F2" w:rsidR="00796A91" w:rsidRDefault="00796A91" w:rsidP="00796A91">
      <w:pPr>
        <w:rPr>
          <w:rFonts w:ascii="Arial Narrow" w:hAnsi="Arial Narrow"/>
          <w:sz w:val="18"/>
          <w:szCs w:val="18"/>
        </w:rPr>
      </w:pPr>
      <w:r w:rsidRPr="00622E6C">
        <w:rPr>
          <w:rFonts w:ascii="Arial Narrow" w:hAnsi="Arial Narrow"/>
          <w:sz w:val="18"/>
          <w:szCs w:val="18"/>
        </w:rPr>
        <w:t>MM = multiple myeloma; RSA = risk sharing arrangement</w:t>
      </w:r>
    </w:p>
    <w:p w14:paraId="71FCC92A" w14:textId="17F82FFC" w:rsidR="007E402D" w:rsidRDefault="007E402D" w:rsidP="00796A91">
      <w:pPr>
        <w:rPr>
          <w:rFonts w:ascii="Arial Narrow" w:hAnsi="Arial Narrow"/>
          <w:sz w:val="18"/>
          <w:szCs w:val="18"/>
        </w:rPr>
      </w:pPr>
      <w:r w:rsidRPr="007E402D">
        <w:rPr>
          <w:rFonts w:ascii="Arial Narrow" w:hAnsi="Arial Narrow"/>
          <w:sz w:val="18"/>
          <w:szCs w:val="18"/>
        </w:rPr>
        <w:t>The redacted values correspond to the following ranges</w:t>
      </w:r>
      <w:r>
        <w:rPr>
          <w:rFonts w:ascii="Arial Narrow" w:hAnsi="Arial Narrow"/>
          <w:sz w:val="18"/>
          <w:szCs w:val="18"/>
        </w:rPr>
        <w:t>:</w:t>
      </w:r>
    </w:p>
    <w:p w14:paraId="275588C0" w14:textId="0DE2C163" w:rsidR="00D960D2" w:rsidRDefault="00D960D2" w:rsidP="00796A91">
      <w:pPr>
        <w:rPr>
          <w:rFonts w:ascii="Arial Narrow" w:hAnsi="Arial Narrow"/>
          <w:sz w:val="18"/>
          <w:szCs w:val="18"/>
        </w:rPr>
      </w:pPr>
      <w:r>
        <w:rPr>
          <w:rFonts w:ascii="Arial Narrow" w:hAnsi="Arial Narrow"/>
          <w:sz w:val="18"/>
          <w:szCs w:val="18"/>
          <w:vertAlign w:val="superscript"/>
        </w:rPr>
        <w:t>1</w:t>
      </w:r>
      <w:r w:rsidRPr="00D960D2">
        <w:rPr>
          <w:rFonts w:ascii="Arial Narrow" w:hAnsi="Arial Narrow"/>
          <w:sz w:val="18"/>
          <w:szCs w:val="18"/>
        </w:rPr>
        <w:t>500 to &lt; 5,000</w:t>
      </w:r>
    </w:p>
    <w:p w14:paraId="4F21A77D" w14:textId="77AB874A" w:rsidR="00D960D2" w:rsidRDefault="00D960D2" w:rsidP="00796A91">
      <w:pPr>
        <w:rPr>
          <w:rFonts w:ascii="Arial Narrow" w:hAnsi="Arial Narrow"/>
          <w:sz w:val="18"/>
          <w:szCs w:val="18"/>
        </w:rPr>
      </w:pPr>
      <w:r>
        <w:rPr>
          <w:rFonts w:ascii="Arial Narrow" w:hAnsi="Arial Narrow"/>
          <w:sz w:val="18"/>
          <w:szCs w:val="18"/>
          <w:vertAlign w:val="superscript"/>
        </w:rPr>
        <w:t>2</w:t>
      </w:r>
      <w:r w:rsidRPr="00D960D2">
        <w:rPr>
          <w:rFonts w:ascii="Arial Narrow" w:hAnsi="Arial Narrow"/>
          <w:sz w:val="18"/>
          <w:szCs w:val="18"/>
        </w:rPr>
        <w:t>10,000 to &lt; 20,000</w:t>
      </w:r>
    </w:p>
    <w:p w14:paraId="0A720CBD" w14:textId="450AF323" w:rsidR="00D960D2" w:rsidRDefault="00D960D2" w:rsidP="00796A91">
      <w:pPr>
        <w:rPr>
          <w:rFonts w:ascii="Arial Narrow" w:hAnsi="Arial Narrow"/>
          <w:sz w:val="18"/>
          <w:szCs w:val="18"/>
        </w:rPr>
      </w:pPr>
      <w:r>
        <w:rPr>
          <w:rFonts w:ascii="Arial Narrow" w:hAnsi="Arial Narrow"/>
          <w:sz w:val="18"/>
          <w:szCs w:val="18"/>
          <w:vertAlign w:val="superscript"/>
        </w:rPr>
        <w:t>3</w:t>
      </w:r>
      <w:r w:rsidRPr="00D960D2">
        <w:rPr>
          <w:rFonts w:ascii="Arial Narrow" w:hAnsi="Arial Narrow"/>
          <w:sz w:val="18"/>
          <w:szCs w:val="18"/>
        </w:rPr>
        <w:t>20,000 to &lt; 30,000</w:t>
      </w:r>
    </w:p>
    <w:p w14:paraId="501E6C4B" w14:textId="5F536C86" w:rsidR="00D960D2" w:rsidRDefault="00D960D2" w:rsidP="00796A91">
      <w:pPr>
        <w:rPr>
          <w:rFonts w:ascii="Arial Narrow" w:hAnsi="Arial Narrow"/>
          <w:sz w:val="18"/>
          <w:szCs w:val="18"/>
        </w:rPr>
      </w:pPr>
      <w:r>
        <w:rPr>
          <w:rFonts w:ascii="Arial Narrow" w:hAnsi="Arial Narrow"/>
          <w:sz w:val="18"/>
          <w:szCs w:val="18"/>
          <w:vertAlign w:val="superscript"/>
        </w:rPr>
        <w:t>4</w:t>
      </w:r>
      <w:r w:rsidRPr="00D960D2">
        <w:rPr>
          <w:rFonts w:ascii="Arial Narrow" w:hAnsi="Arial Narrow"/>
          <w:sz w:val="18"/>
          <w:szCs w:val="18"/>
        </w:rPr>
        <w:t>$60 million to &lt; $70 million</w:t>
      </w:r>
    </w:p>
    <w:p w14:paraId="1E7747E5" w14:textId="4A20F63B" w:rsidR="00D960D2" w:rsidRDefault="00D960D2" w:rsidP="00796A91">
      <w:pPr>
        <w:rPr>
          <w:rFonts w:ascii="Arial Narrow" w:hAnsi="Arial Narrow"/>
          <w:sz w:val="18"/>
          <w:szCs w:val="18"/>
        </w:rPr>
      </w:pPr>
      <w:r>
        <w:rPr>
          <w:rFonts w:ascii="Arial Narrow" w:hAnsi="Arial Narrow"/>
          <w:sz w:val="18"/>
          <w:szCs w:val="18"/>
          <w:vertAlign w:val="superscript"/>
        </w:rPr>
        <w:t>5</w:t>
      </w:r>
      <w:r w:rsidRPr="00D960D2">
        <w:rPr>
          <w:rFonts w:ascii="Arial Narrow" w:hAnsi="Arial Narrow"/>
          <w:sz w:val="18"/>
          <w:szCs w:val="18"/>
        </w:rPr>
        <w:t>$80 million to &lt; $90 million</w:t>
      </w:r>
    </w:p>
    <w:p w14:paraId="6D93030F" w14:textId="33A27A56" w:rsidR="00D960D2" w:rsidRDefault="00D960D2" w:rsidP="00796A91">
      <w:pPr>
        <w:rPr>
          <w:rFonts w:ascii="Arial Narrow" w:hAnsi="Arial Narrow"/>
          <w:sz w:val="18"/>
          <w:szCs w:val="18"/>
        </w:rPr>
      </w:pPr>
      <w:r>
        <w:rPr>
          <w:rFonts w:ascii="Arial Narrow" w:hAnsi="Arial Narrow"/>
          <w:sz w:val="18"/>
          <w:szCs w:val="18"/>
          <w:vertAlign w:val="superscript"/>
        </w:rPr>
        <w:t>6</w:t>
      </w:r>
      <w:r w:rsidRPr="00D960D2">
        <w:rPr>
          <w:rFonts w:ascii="Arial Narrow" w:hAnsi="Arial Narrow"/>
          <w:sz w:val="18"/>
          <w:szCs w:val="18"/>
        </w:rPr>
        <w:t>$70 million to &lt; $80 million</w:t>
      </w:r>
    </w:p>
    <w:p w14:paraId="7B3C0A5C" w14:textId="6622F9F5" w:rsidR="00D960D2" w:rsidRPr="00622E6C" w:rsidRDefault="00D960D2" w:rsidP="00796A91">
      <w:pPr>
        <w:rPr>
          <w:rFonts w:ascii="Arial Narrow" w:hAnsi="Arial Narrow"/>
          <w:sz w:val="18"/>
          <w:szCs w:val="18"/>
        </w:rPr>
      </w:pPr>
      <w:r>
        <w:rPr>
          <w:rFonts w:ascii="Arial Narrow" w:hAnsi="Arial Narrow"/>
          <w:sz w:val="18"/>
          <w:szCs w:val="18"/>
          <w:vertAlign w:val="superscript"/>
        </w:rPr>
        <w:t>7</w:t>
      </w:r>
      <w:r w:rsidRPr="00D960D2">
        <w:rPr>
          <w:rFonts w:ascii="Arial Narrow" w:hAnsi="Arial Narrow"/>
          <w:sz w:val="18"/>
          <w:szCs w:val="18"/>
        </w:rPr>
        <w:t>$0 to &lt; $10 million</w:t>
      </w:r>
    </w:p>
    <w:p w14:paraId="56F76BC9" w14:textId="77777777" w:rsidR="00796A91" w:rsidRPr="00622E6C" w:rsidRDefault="00796A91" w:rsidP="00796A91"/>
    <w:p w14:paraId="6CEEDE26" w14:textId="49AA48E4"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If the subsidisation cap for AL amyloidosis and the revised subsidisation cap for second-line MM were added to form a new combined RSA, this would result in an increase over the 3 year period in which the caps were combined of </w:t>
      </w:r>
      <w:r w:rsidR="00D960D2" w:rsidRPr="00D960D2">
        <w:rPr>
          <w:rFonts w:asciiTheme="minorHAnsi" w:hAnsiTheme="minorHAnsi"/>
          <w:snapToGrid w:val="0"/>
        </w:rPr>
        <w:t>$30 million to &lt; $40 million</w:t>
      </w:r>
      <w:r w:rsidR="00D960D2">
        <w:rPr>
          <w:rFonts w:asciiTheme="minorHAnsi" w:hAnsiTheme="minorHAnsi"/>
          <w:snapToGrid w:val="0"/>
        </w:rPr>
        <w:t xml:space="preserve"> </w:t>
      </w:r>
      <w:r w:rsidRPr="00622E6C">
        <w:rPr>
          <w:rFonts w:asciiTheme="minorHAnsi" w:hAnsiTheme="minorHAnsi"/>
          <w:snapToGrid w:val="0"/>
        </w:rPr>
        <w:t xml:space="preserve">and a net increase in the total cost of daratumumab of </w:t>
      </w:r>
      <w:r w:rsidR="00D960D2" w:rsidRPr="00D960D2">
        <w:rPr>
          <w:rFonts w:asciiTheme="minorHAnsi" w:hAnsiTheme="minorHAnsi"/>
          <w:snapToGrid w:val="0"/>
        </w:rPr>
        <w:t>$30 million to &lt; $40 million</w:t>
      </w:r>
      <w:r w:rsidR="00D960D2">
        <w:rPr>
          <w:rFonts w:asciiTheme="minorHAnsi" w:hAnsiTheme="minorHAnsi"/>
          <w:snapToGrid w:val="0"/>
        </w:rPr>
        <w:t xml:space="preserve"> </w:t>
      </w:r>
      <w:r w:rsidRPr="00622E6C">
        <w:rPr>
          <w:rFonts w:asciiTheme="minorHAnsi" w:hAnsiTheme="minorHAnsi"/>
          <w:snapToGrid w:val="0"/>
        </w:rPr>
        <w:t xml:space="preserve">(Table 28). </w:t>
      </w:r>
    </w:p>
    <w:p w14:paraId="22CD59BC" w14:textId="77777777" w:rsidR="00796A91" w:rsidRPr="00622E6C" w:rsidRDefault="00796A91" w:rsidP="00796A91">
      <w:pPr>
        <w:rPr>
          <w:rFonts w:ascii="Arial Narrow" w:hAnsi="Arial Narrow"/>
          <w:b/>
          <w:bCs/>
          <w:sz w:val="20"/>
          <w:szCs w:val="20"/>
        </w:rPr>
      </w:pPr>
      <w:r w:rsidRPr="00622E6C">
        <w:rPr>
          <w:rFonts w:ascii="Arial Narrow" w:hAnsi="Arial Narrow"/>
          <w:b/>
          <w:bCs/>
          <w:sz w:val="20"/>
          <w:szCs w:val="20"/>
        </w:rPr>
        <w:t>Table 28: Daratumumab subsidisation caps and net cost of daratumumab on the PBS/RPBS</w:t>
      </w:r>
    </w:p>
    <w:tbl>
      <w:tblPr>
        <w:tblW w:w="8926" w:type="dxa"/>
        <w:tblCellMar>
          <w:left w:w="28" w:type="dxa"/>
          <w:right w:w="28" w:type="dxa"/>
        </w:tblCellMar>
        <w:tblLook w:val="04A0" w:firstRow="1" w:lastRow="0" w:firstColumn="1" w:lastColumn="0" w:noHBand="0" w:noVBand="1"/>
        <w:tblCaption w:val="Table 28: Daratumumab subsidisation caps and net cost of daratumumab on the PBS/RPBS"/>
      </w:tblPr>
      <w:tblGrid>
        <w:gridCol w:w="5524"/>
        <w:gridCol w:w="1134"/>
        <w:gridCol w:w="1134"/>
        <w:gridCol w:w="1134"/>
      </w:tblGrid>
      <w:tr w:rsidR="00796A91" w:rsidRPr="00622E6C" w14:paraId="43E59871" w14:textId="77777777" w:rsidTr="00796A91">
        <w:trPr>
          <w:trHeight w:val="255"/>
        </w:trPr>
        <w:tc>
          <w:tcPr>
            <w:tcW w:w="5524" w:type="dxa"/>
            <w:tcBorders>
              <w:top w:val="single" w:sz="4" w:space="0" w:color="auto"/>
              <w:left w:val="single" w:sz="4" w:space="0" w:color="auto"/>
              <w:bottom w:val="single" w:sz="4" w:space="0" w:color="auto"/>
              <w:right w:val="single" w:sz="4" w:space="0" w:color="auto"/>
            </w:tcBorders>
            <w:vAlign w:val="center"/>
            <w:hideMark/>
          </w:tcPr>
          <w:p w14:paraId="3AF83393"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Year of AL amyloidosis listing</w:t>
            </w:r>
          </w:p>
        </w:tc>
        <w:tc>
          <w:tcPr>
            <w:tcW w:w="1134" w:type="dxa"/>
            <w:tcBorders>
              <w:top w:val="single" w:sz="4" w:space="0" w:color="auto"/>
              <w:left w:val="nil"/>
              <w:bottom w:val="single" w:sz="4" w:space="0" w:color="auto"/>
              <w:right w:val="single" w:sz="4" w:space="0" w:color="auto"/>
            </w:tcBorders>
            <w:noWrap/>
            <w:vAlign w:val="center"/>
            <w:hideMark/>
          </w:tcPr>
          <w:p w14:paraId="5EDF63AB"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1</w:t>
            </w:r>
          </w:p>
        </w:tc>
        <w:tc>
          <w:tcPr>
            <w:tcW w:w="1134" w:type="dxa"/>
            <w:tcBorders>
              <w:top w:val="single" w:sz="4" w:space="0" w:color="auto"/>
              <w:left w:val="nil"/>
              <w:bottom w:val="single" w:sz="4" w:space="0" w:color="auto"/>
              <w:right w:val="single" w:sz="4" w:space="0" w:color="auto"/>
            </w:tcBorders>
            <w:noWrap/>
            <w:vAlign w:val="center"/>
            <w:hideMark/>
          </w:tcPr>
          <w:p w14:paraId="3AFF8C16"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2</w:t>
            </w:r>
          </w:p>
        </w:tc>
        <w:tc>
          <w:tcPr>
            <w:tcW w:w="1134" w:type="dxa"/>
            <w:tcBorders>
              <w:top w:val="single" w:sz="4" w:space="0" w:color="auto"/>
              <w:left w:val="nil"/>
              <w:bottom w:val="single" w:sz="4" w:space="0" w:color="auto"/>
              <w:right w:val="single" w:sz="4" w:space="0" w:color="auto"/>
            </w:tcBorders>
            <w:noWrap/>
            <w:vAlign w:val="center"/>
            <w:hideMark/>
          </w:tcPr>
          <w:p w14:paraId="78ADF038"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3</w:t>
            </w:r>
          </w:p>
        </w:tc>
      </w:tr>
      <w:tr w:rsidR="00796A91" w:rsidRPr="00622E6C" w14:paraId="108BB91F"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5A1609E1"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Year of MM RSA</w:t>
            </w:r>
          </w:p>
        </w:tc>
        <w:tc>
          <w:tcPr>
            <w:tcW w:w="1134" w:type="dxa"/>
            <w:tcBorders>
              <w:top w:val="nil"/>
              <w:left w:val="nil"/>
              <w:bottom w:val="single" w:sz="4" w:space="0" w:color="auto"/>
              <w:right w:val="single" w:sz="4" w:space="0" w:color="auto"/>
            </w:tcBorders>
            <w:noWrap/>
            <w:vAlign w:val="center"/>
            <w:hideMark/>
          </w:tcPr>
          <w:p w14:paraId="1A85ECFC"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3</w:t>
            </w:r>
          </w:p>
        </w:tc>
        <w:tc>
          <w:tcPr>
            <w:tcW w:w="1134" w:type="dxa"/>
            <w:tcBorders>
              <w:top w:val="nil"/>
              <w:left w:val="nil"/>
              <w:bottom w:val="single" w:sz="4" w:space="0" w:color="auto"/>
              <w:right w:val="single" w:sz="4" w:space="0" w:color="auto"/>
            </w:tcBorders>
            <w:noWrap/>
            <w:vAlign w:val="center"/>
            <w:hideMark/>
          </w:tcPr>
          <w:p w14:paraId="1EE136C5"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4</w:t>
            </w:r>
          </w:p>
        </w:tc>
        <w:tc>
          <w:tcPr>
            <w:tcW w:w="1134" w:type="dxa"/>
            <w:tcBorders>
              <w:top w:val="nil"/>
              <w:left w:val="nil"/>
              <w:bottom w:val="single" w:sz="4" w:space="0" w:color="auto"/>
              <w:right w:val="single" w:sz="4" w:space="0" w:color="auto"/>
            </w:tcBorders>
            <w:noWrap/>
            <w:vAlign w:val="center"/>
            <w:hideMark/>
          </w:tcPr>
          <w:p w14:paraId="40FEF863" w14:textId="77777777" w:rsidR="00796A91" w:rsidRPr="00622E6C" w:rsidRDefault="00796A91" w:rsidP="00796A91">
            <w:pPr>
              <w:jc w:val="center"/>
              <w:rPr>
                <w:rFonts w:ascii="Arial Narrow" w:hAnsi="Arial Narrow" w:cs="Calibri"/>
                <w:b/>
                <w:bCs/>
                <w:color w:val="000000"/>
                <w:sz w:val="20"/>
                <w:szCs w:val="20"/>
              </w:rPr>
            </w:pPr>
            <w:r w:rsidRPr="00622E6C">
              <w:rPr>
                <w:rFonts w:ascii="Arial Narrow" w:hAnsi="Arial Narrow" w:cs="Calibri"/>
                <w:b/>
                <w:bCs/>
                <w:color w:val="000000"/>
                <w:sz w:val="20"/>
                <w:szCs w:val="20"/>
              </w:rPr>
              <w:t>Year 5</w:t>
            </w:r>
          </w:p>
        </w:tc>
      </w:tr>
      <w:tr w:rsidR="00796A91" w:rsidRPr="00622E6C" w14:paraId="30E0710C" w14:textId="77777777" w:rsidTr="00796A91">
        <w:trPr>
          <w:trHeight w:val="255"/>
        </w:trPr>
        <w:tc>
          <w:tcPr>
            <w:tcW w:w="8926" w:type="dxa"/>
            <w:gridSpan w:val="4"/>
            <w:tcBorders>
              <w:top w:val="nil"/>
              <w:left w:val="single" w:sz="4" w:space="0" w:color="auto"/>
              <w:bottom w:val="single" w:sz="4" w:space="0" w:color="auto"/>
              <w:right w:val="single" w:sz="4" w:space="0" w:color="auto"/>
            </w:tcBorders>
            <w:vAlign w:val="center"/>
          </w:tcPr>
          <w:p w14:paraId="5B4994DB"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Value of the new subsidisation caps (AL amyloidosis and MM)</w:t>
            </w:r>
          </w:p>
        </w:tc>
      </w:tr>
      <w:tr w:rsidR="00796A91" w:rsidRPr="00622E6C" w14:paraId="45157E1F"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2D5DAAE2"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Number of daratumumab prescriptions under the subsidisation cap</w:t>
            </w:r>
          </w:p>
        </w:tc>
        <w:tc>
          <w:tcPr>
            <w:tcW w:w="1134" w:type="dxa"/>
            <w:tcBorders>
              <w:top w:val="nil"/>
              <w:left w:val="nil"/>
              <w:bottom w:val="single" w:sz="4" w:space="0" w:color="auto"/>
              <w:right w:val="single" w:sz="4" w:space="0" w:color="auto"/>
            </w:tcBorders>
            <w:noWrap/>
            <w:vAlign w:val="center"/>
            <w:hideMark/>
          </w:tcPr>
          <w:p w14:paraId="7D716B8D" w14:textId="29035C01"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33"/>
                <w:sz w:val="20"/>
                <w:szCs w:val="20"/>
                <w:shd w:val="solid" w:color="000000" w:fill="000000"/>
                <w:fitText w:val="150" w:id="-1477791485"/>
                <w14:textFill>
                  <w14:solidFill>
                    <w14:srgbClr w14:val="000000">
                      <w14:alpha w14:val="100000"/>
                    </w14:srgbClr>
                  </w14:solidFill>
                </w14:textFill>
              </w:rPr>
              <w:t xml:space="preserve">　</w:t>
            </w:r>
            <w:r w:rsidRPr="008976CC">
              <w:rPr>
                <w:rFonts w:ascii="Arial Narrow" w:hAnsi="Arial Narrow" w:cs="Calibri"/>
                <w:color w:val="000000"/>
                <w:w w:val="33"/>
                <w:sz w:val="20"/>
                <w:szCs w:val="20"/>
                <w:shd w:val="solid" w:color="000000" w:fill="000000"/>
                <w:fitText w:val="150" w:id="-1477791485"/>
                <w14:textFill>
                  <w14:solidFill>
                    <w14:srgbClr w14:val="000000">
                      <w14:alpha w14:val="100000"/>
                    </w14:srgbClr>
                  </w14:solidFill>
                </w14:textFill>
              </w:rPr>
              <w:t>|</w:t>
            </w:r>
            <w:r w:rsidRPr="008976CC">
              <w:rPr>
                <w:rFonts w:ascii="Arial Narrow" w:hAnsi="Arial Narrow" w:cs="Calibri" w:hint="eastAsia"/>
                <w:color w:val="000000"/>
                <w:spacing w:val="4"/>
                <w:w w:val="33"/>
                <w:sz w:val="20"/>
                <w:szCs w:val="20"/>
                <w:shd w:val="solid" w:color="000000" w:fill="000000"/>
                <w:fitText w:val="150" w:id="-1477791485"/>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0337FD0F" w14:textId="530EEEC1"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33"/>
                <w:sz w:val="20"/>
                <w:szCs w:val="20"/>
                <w:shd w:val="solid" w:color="000000" w:fill="000000"/>
                <w:fitText w:val="150" w:id="-1477791484"/>
                <w14:textFill>
                  <w14:solidFill>
                    <w14:srgbClr w14:val="000000">
                      <w14:alpha w14:val="100000"/>
                    </w14:srgbClr>
                  </w14:solidFill>
                </w14:textFill>
              </w:rPr>
              <w:t xml:space="preserve">　</w:t>
            </w:r>
            <w:r w:rsidRPr="008976CC">
              <w:rPr>
                <w:rFonts w:ascii="Arial Narrow" w:hAnsi="Arial Narrow" w:cs="Calibri"/>
                <w:color w:val="000000"/>
                <w:w w:val="33"/>
                <w:sz w:val="20"/>
                <w:szCs w:val="20"/>
                <w:shd w:val="solid" w:color="000000" w:fill="000000"/>
                <w:fitText w:val="150" w:id="-1477791484"/>
                <w14:textFill>
                  <w14:solidFill>
                    <w14:srgbClr w14:val="000000">
                      <w14:alpha w14:val="100000"/>
                    </w14:srgbClr>
                  </w14:solidFill>
                </w14:textFill>
              </w:rPr>
              <w:t>|</w:t>
            </w:r>
            <w:r w:rsidRPr="008976CC">
              <w:rPr>
                <w:rFonts w:ascii="Arial Narrow" w:hAnsi="Arial Narrow" w:cs="Calibri" w:hint="eastAsia"/>
                <w:color w:val="000000"/>
                <w:spacing w:val="4"/>
                <w:w w:val="33"/>
                <w:sz w:val="20"/>
                <w:szCs w:val="20"/>
                <w:shd w:val="solid" w:color="000000" w:fill="000000"/>
                <w:fitText w:val="150" w:id="-1477791484"/>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1</w:t>
            </w:r>
          </w:p>
        </w:tc>
        <w:tc>
          <w:tcPr>
            <w:tcW w:w="1134" w:type="dxa"/>
            <w:tcBorders>
              <w:top w:val="nil"/>
              <w:left w:val="nil"/>
              <w:bottom w:val="single" w:sz="4" w:space="0" w:color="auto"/>
              <w:right w:val="single" w:sz="4" w:space="0" w:color="auto"/>
            </w:tcBorders>
            <w:noWrap/>
            <w:vAlign w:val="center"/>
            <w:hideMark/>
          </w:tcPr>
          <w:p w14:paraId="15F3CD3E" w14:textId="7AFBBE50" w:rsidR="00796A91" w:rsidRPr="00D960D2" w:rsidRDefault="00005E9B" w:rsidP="00796A91">
            <w:pPr>
              <w:jc w:val="center"/>
              <w:rPr>
                <w:rFonts w:ascii="Arial Narrow" w:hAnsi="Arial Narrow" w:cs="Calibri"/>
                <w:color w:val="000000"/>
                <w:sz w:val="20"/>
                <w:szCs w:val="20"/>
                <w:vertAlign w:val="superscript"/>
              </w:rPr>
            </w:pPr>
            <w:r w:rsidRPr="008976CC">
              <w:rPr>
                <w:rFonts w:ascii="Arial Narrow" w:hAnsi="Arial Narrow" w:cs="Calibri" w:hint="eastAsia"/>
                <w:color w:val="000000"/>
                <w:w w:val="33"/>
                <w:sz w:val="20"/>
                <w:szCs w:val="20"/>
                <w:shd w:val="solid" w:color="000000" w:fill="000000"/>
                <w:fitText w:val="150" w:id="-1477791483"/>
                <w14:textFill>
                  <w14:solidFill>
                    <w14:srgbClr w14:val="000000">
                      <w14:alpha w14:val="100000"/>
                    </w14:srgbClr>
                  </w14:solidFill>
                </w14:textFill>
              </w:rPr>
              <w:t xml:space="preserve">　</w:t>
            </w:r>
            <w:r w:rsidRPr="008976CC">
              <w:rPr>
                <w:rFonts w:ascii="Arial Narrow" w:hAnsi="Arial Narrow" w:cs="Calibri"/>
                <w:color w:val="000000"/>
                <w:w w:val="33"/>
                <w:sz w:val="20"/>
                <w:szCs w:val="20"/>
                <w:shd w:val="solid" w:color="000000" w:fill="000000"/>
                <w:fitText w:val="150" w:id="-1477791483"/>
                <w14:textFill>
                  <w14:solidFill>
                    <w14:srgbClr w14:val="000000">
                      <w14:alpha w14:val="100000"/>
                    </w14:srgbClr>
                  </w14:solidFill>
                </w14:textFill>
              </w:rPr>
              <w:t>|</w:t>
            </w:r>
            <w:r w:rsidRPr="008976CC">
              <w:rPr>
                <w:rFonts w:ascii="Arial Narrow" w:hAnsi="Arial Narrow" w:cs="Calibri" w:hint="eastAsia"/>
                <w:color w:val="000000"/>
                <w:spacing w:val="4"/>
                <w:w w:val="33"/>
                <w:sz w:val="20"/>
                <w:szCs w:val="20"/>
                <w:shd w:val="solid" w:color="000000" w:fill="000000"/>
                <w:fitText w:val="150" w:id="-1477791483"/>
                <w14:textFill>
                  <w14:solidFill>
                    <w14:srgbClr w14:val="000000">
                      <w14:alpha w14:val="100000"/>
                    </w14:srgbClr>
                  </w14:solidFill>
                </w14:textFill>
              </w:rPr>
              <w:t xml:space="preserve">　</w:t>
            </w:r>
            <w:r w:rsidR="00D960D2">
              <w:rPr>
                <w:rFonts w:ascii="Arial Narrow" w:hAnsi="Arial Narrow" w:cs="Calibri"/>
                <w:color w:val="000000"/>
                <w:sz w:val="20"/>
                <w:szCs w:val="20"/>
                <w:vertAlign w:val="superscript"/>
              </w:rPr>
              <w:t>1</w:t>
            </w:r>
          </w:p>
        </w:tc>
      </w:tr>
      <w:tr w:rsidR="00796A91" w:rsidRPr="00622E6C" w14:paraId="48743A66"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64943763"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Increase from the current MM RSA</w:t>
            </w:r>
          </w:p>
        </w:tc>
        <w:tc>
          <w:tcPr>
            <w:tcW w:w="1134" w:type="dxa"/>
            <w:tcBorders>
              <w:top w:val="nil"/>
              <w:left w:val="nil"/>
              <w:bottom w:val="single" w:sz="4" w:space="0" w:color="auto"/>
              <w:right w:val="single" w:sz="4" w:space="0" w:color="auto"/>
            </w:tcBorders>
            <w:noWrap/>
            <w:vAlign w:val="center"/>
            <w:hideMark/>
          </w:tcPr>
          <w:p w14:paraId="251DBFC9" w14:textId="78AF1C6D" w:rsidR="00796A91" w:rsidRPr="00622E6C" w:rsidRDefault="00005E9B" w:rsidP="00796A91">
            <w:pPr>
              <w:jc w:val="center"/>
              <w:rPr>
                <w:rFonts w:ascii="Arial Narrow" w:hAnsi="Arial Narrow" w:cs="Calibri"/>
                <w:color w:val="000000"/>
                <w:sz w:val="20"/>
                <w:szCs w:val="20"/>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796A91" w:rsidRPr="00622E6C">
              <w:rPr>
                <w:rFonts w:ascii="Arial Narrow" w:hAnsi="Arial Narrow" w:cs="Calibri"/>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01534E4D" w14:textId="66A99121" w:rsidR="00796A91" w:rsidRPr="00622E6C" w:rsidRDefault="00005E9B" w:rsidP="00796A91">
            <w:pPr>
              <w:jc w:val="center"/>
              <w:rPr>
                <w:rFonts w:ascii="Arial Narrow" w:hAnsi="Arial Narrow" w:cs="Calibri"/>
                <w:color w:val="000000"/>
                <w:sz w:val="20"/>
                <w:szCs w:val="20"/>
              </w:rPr>
            </w:pPr>
            <w:r w:rsidRPr="00005E9B">
              <w:rPr>
                <w:rFonts w:ascii="Arial Narrow" w:hAnsi="Arial Narrow" w:cs="Calibri"/>
                <w:color w:val="000000"/>
                <w:sz w:val="20"/>
                <w:szCs w:val="20"/>
                <w:shd w:val="solid" w:color="000000" w:fill="000000"/>
                <w14:textFill>
                  <w14:solidFill>
                    <w14:srgbClr w14:val="000000">
                      <w14:alpha w14:val="100000"/>
                    </w14:srgbClr>
                  </w14:solidFill>
                </w14:textFill>
              </w:rPr>
              <w:t>|</w:t>
            </w:r>
            <w:r w:rsidR="00796A91" w:rsidRPr="00622E6C">
              <w:rPr>
                <w:rFonts w:ascii="Arial Narrow" w:hAnsi="Arial Narrow" w:cs="Calibri"/>
                <w:color w:val="000000"/>
                <w:sz w:val="20"/>
                <w:szCs w:val="20"/>
              </w:rPr>
              <w:t>%</w:t>
            </w:r>
          </w:p>
        </w:tc>
        <w:tc>
          <w:tcPr>
            <w:tcW w:w="1134" w:type="dxa"/>
            <w:tcBorders>
              <w:top w:val="nil"/>
              <w:left w:val="nil"/>
              <w:bottom w:val="single" w:sz="4" w:space="0" w:color="auto"/>
              <w:right w:val="single" w:sz="4" w:space="0" w:color="auto"/>
            </w:tcBorders>
            <w:noWrap/>
            <w:vAlign w:val="center"/>
            <w:hideMark/>
          </w:tcPr>
          <w:p w14:paraId="73EF9000" w14:textId="6106BDE5" w:rsidR="00796A91" w:rsidRPr="00622E6C" w:rsidRDefault="00177EEC" w:rsidP="00796A91">
            <w:pPr>
              <w:jc w:val="center"/>
              <w:rPr>
                <w:rFonts w:ascii="Arial Narrow" w:hAnsi="Arial Narrow" w:cs="Calibri"/>
                <w:color w:val="000000"/>
                <w:sz w:val="20"/>
                <w:szCs w:val="20"/>
              </w:rPr>
            </w:pPr>
            <w:r w:rsidRPr="00177EEC">
              <w:rPr>
                <w:rFonts w:ascii="Arial Narrow" w:hAnsi="Arial Narrow" w:cs="Calibri"/>
                <w:color w:val="000000"/>
                <w:sz w:val="20"/>
                <w:szCs w:val="20"/>
                <w:shd w:val="solid" w:color="000000" w:fill="000000"/>
                <w14:textFill>
                  <w14:solidFill>
                    <w14:srgbClr w14:val="000000">
                      <w14:alpha w14:val="100000"/>
                    </w14:srgbClr>
                  </w14:solidFill>
                </w14:textFill>
              </w:rPr>
              <w:t>|</w:t>
            </w:r>
            <w:r w:rsidR="00796A91" w:rsidRPr="00622E6C">
              <w:rPr>
                <w:rFonts w:ascii="Arial Narrow" w:hAnsi="Arial Narrow" w:cs="Calibri"/>
                <w:color w:val="000000"/>
                <w:sz w:val="20"/>
                <w:szCs w:val="20"/>
              </w:rPr>
              <w:t>%</w:t>
            </w:r>
          </w:p>
        </w:tc>
      </w:tr>
      <w:tr w:rsidR="00796A91" w:rsidRPr="00622E6C" w14:paraId="43CBE632"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2DF13DBD"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Total value of the subsidisation cap (AL amyloidosis and MM)</w:t>
            </w:r>
          </w:p>
        </w:tc>
        <w:tc>
          <w:tcPr>
            <w:tcW w:w="1134" w:type="dxa"/>
            <w:tcBorders>
              <w:top w:val="nil"/>
              <w:left w:val="nil"/>
              <w:bottom w:val="single" w:sz="4" w:space="0" w:color="auto"/>
              <w:right w:val="single" w:sz="4" w:space="0" w:color="auto"/>
            </w:tcBorders>
            <w:noWrap/>
            <w:vAlign w:val="center"/>
            <w:hideMark/>
          </w:tcPr>
          <w:p w14:paraId="1ADA379B" w14:textId="63872E2F" w:rsidR="00796A91" w:rsidRPr="00D960D2"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b/>
                <w:bCs/>
                <w:color w:val="000000"/>
                <w:sz w:val="20"/>
                <w:szCs w:val="20"/>
              </w:rPr>
              <w:t>$</w:t>
            </w:r>
            <w:r w:rsidR="00177EEC" w:rsidRPr="008976CC">
              <w:rPr>
                <w:rFonts w:ascii="Arial Narrow" w:hAnsi="Arial Narrow" w:cs="Calibri"/>
                <w:b/>
                <w:bCs/>
                <w:color w:val="000000"/>
                <w:spacing w:val="24"/>
                <w:sz w:val="20"/>
                <w:szCs w:val="20"/>
                <w:shd w:val="solid" w:color="000000" w:fill="000000"/>
                <w:fitText w:val="680" w:id="-1477791232"/>
                <w14:textFill>
                  <w14:solidFill>
                    <w14:srgbClr w14:val="000000">
                      <w14:alpha w14:val="100000"/>
                    </w14:srgbClr>
                  </w14:solidFill>
                </w14:textFill>
              </w:rPr>
              <w:t>|||||||||</w:t>
            </w:r>
            <w:r w:rsidR="00177EEC" w:rsidRPr="008976CC">
              <w:rPr>
                <w:rFonts w:ascii="Arial Narrow" w:hAnsi="Arial Narrow" w:cs="Calibri"/>
                <w:b/>
                <w:bCs/>
                <w:color w:val="000000"/>
                <w:spacing w:val="5"/>
                <w:sz w:val="20"/>
                <w:szCs w:val="20"/>
                <w:shd w:val="solid" w:color="000000" w:fill="000000"/>
                <w:fitText w:val="680" w:id="-1477791232"/>
                <w14:textFill>
                  <w14:solidFill>
                    <w14:srgbClr w14:val="000000">
                      <w14:alpha w14:val="100000"/>
                    </w14:srgbClr>
                  </w14:solidFill>
                </w14:textFill>
              </w:rPr>
              <w:t>|</w:t>
            </w:r>
            <w:r w:rsidR="00D960D2">
              <w:rPr>
                <w:rFonts w:ascii="Arial Narrow" w:hAnsi="Arial Narrow" w:cs="Calibri"/>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4093F4C6" w14:textId="57CCBFD5"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b/>
                <w:bCs/>
                <w:color w:val="000000"/>
                <w:sz w:val="20"/>
                <w:szCs w:val="20"/>
              </w:rPr>
              <w:t>$</w:t>
            </w:r>
            <w:r w:rsidR="00177EEC" w:rsidRPr="008976CC">
              <w:rPr>
                <w:rFonts w:ascii="Arial Narrow" w:hAnsi="Arial Narrow" w:cs="Calibri"/>
                <w:b/>
                <w:bCs/>
                <w:color w:val="000000"/>
                <w:spacing w:val="24"/>
                <w:sz w:val="20"/>
                <w:szCs w:val="20"/>
                <w:shd w:val="solid" w:color="000000" w:fill="000000"/>
                <w:fitText w:val="680" w:id="-1477791231"/>
                <w14:textFill>
                  <w14:solidFill>
                    <w14:srgbClr w14:val="000000">
                      <w14:alpha w14:val="100000"/>
                    </w14:srgbClr>
                  </w14:solidFill>
                </w14:textFill>
              </w:rPr>
              <w:t>|||||||||</w:t>
            </w:r>
            <w:r w:rsidR="00177EEC" w:rsidRPr="008976CC">
              <w:rPr>
                <w:rFonts w:ascii="Arial Narrow" w:hAnsi="Arial Narrow" w:cs="Calibri"/>
                <w:b/>
                <w:bCs/>
                <w:color w:val="000000"/>
                <w:spacing w:val="5"/>
                <w:sz w:val="20"/>
                <w:szCs w:val="20"/>
                <w:shd w:val="solid" w:color="000000" w:fill="000000"/>
                <w:fitText w:val="680" w:id="-1477791231"/>
                <w14:textFill>
                  <w14:solidFill>
                    <w14:srgbClr w14:val="000000">
                      <w14:alpha w14:val="100000"/>
                    </w14:srgbClr>
                  </w14:solidFill>
                </w14:textFill>
              </w:rPr>
              <w:t>|</w:t>
            </w:r>
            <w:r w:rsidR="00E92018">
              <w:rPr>
                <w:rFonts w:ascii="Arial Narrow" w:hAnsi="Arial Narrow" w:cs="Calibri"/>
                <w:color w:val="000000"/>
                <w:sz w:val="20"/>
                <w:szCs w:val="20"/>
                <w:vertAlign w:val="superscript"/>
              </w:rPr>
              <w:t>3</w:t>
            </w:r>
          </w:p>
        </w:tc>
        <w:tc>
          <w:tcPr>
            <w:tcW w:w="1134" w:type="dxa"/>
            <w:tcBorders>
              <w:top w:val="nil"/>
              <w:left w:val="nil"/>
              <w:bottom w:val="single" w:sz="4" w:space="0" w:color="auto"/>
              <w:right w:val="single" w:sz="4" w:space="0" w:color="auto"/>
            </w:tcBorders>
            <w:noWrap/>
            <w:vAlign w:val="center"/>
            <w:hideMark/>
          </w:tcPr>
          <w:p w14:paraId="07222401" w14:textId="0B7C0E18"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b/>
                <w:bCs/>
                <w:color w:val="000000"/>
                <w:sz w:val="20"/>
                <w:szCs w:val="20"/>
              </w:rPr>
              <w:t>$</w:t>
            </w:r>
            <w:r w:rsidR="00177EEC" w:rsidRPr="008976CC">
              <w:rPr>
                <w:rFonts w:ascii="Arial Narrow" w:hAnsi="Arial Narrow" w:cs="Calibri"/>
                <w:b/>
                <w:bCs/>
                <w:color w:val="000000"/>
                <w:spacing w:val="23"/>
                <w:sz w:val="20"/>
                <w:szCs w:val="20"/>
                <w:shd w:val="solid" w:color="000000" w:fill="000000"/>
                <w:fitText w:val="810" w:id="-1477791230"/>
                <w14:textFill>
                  <w14:solidFill>
                    <w14:srgbClr w14:val="000000">
                      <w14:alpha w14:val="100000"/>
                    </w14:srgbClr>
                  </w14:solidFill>
                </w14:textFill>
              </w:rPr>
              <w:t>|||||||||||</w:t>
            </w:r>
            <w:r w:rsidR="00177EEC" w:rsidRPr="008976CC">
              <w:rPr>
                <w:rFonts w:ascii="Arial Narrow" w:hAnsi="Arial Narrow" w:cs="Calibri"/>
                <w:b/>
                <w:bCs/>
                <w:color w:val="000000"/>
                <w:spacing w:val="6"/>
                <w:sz w:val="20"/>
                <w:szCs w:val="20"/>
                <w:shd w:val="solid" w:color="000000" w:fill="000000"/>
                <w:fitText w:val="810" w:id="-1477791230"/>
                <w14:textFill>
                  <w14:solidFill>
                    <w14:srgbClr w14:val="000000">
                      <w14:alpha w14:val="100000"/>
                    </w14:srgbClr>
                  </w14:solidFill>
                </w14:textFill>
              </w:rPr>
              <w:t>|</w:t>
            </w:r>
            <w:r w:rsidR="00E92018">
              <w:rPr>
                <w:rFonts w:ascii="Arial Narrow" w:hAnsi="Arial Narrow" w:cs="Calibri"/>
                <w:color w:val="000000"/>
                <w:sz w:val="20"/>
                <w:szCs w:val="20"/>
                <w:vertAlign w:val="superscript"/>
              </w:rPr>
              <w:t>4</w:t>
            </w:r>
          </w:p>
        </w:tc>
      </w:tr>
      <w:tr w:rsidR="00796A91" w:rsidRPr="00622E6C" w14:paraId="4C5C47C2"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004AEFF9"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Increase from the current MM RSA</w:t>
            </w:r>
          </w:p>
        </w:tc>
        <w:tc>
          <w:tcPr>
            <w:tcW w:w="1134" w:type="dxa"/>
            <w:tcBorders>
              <w:top w:val="nil"/>
              <w:left w:val="nil"/>
              <w:bottom w:val="single" w:sz="4" w:space="0" w:color="auto"/>
              <w:right w:val="single" w:sz="4" w:space="0" w:color="auto"/>
            </w:tcBorders>
            <w:noWrap/>
            <w:vAlign w:val="center"/>
          </w:tcPr>
          <w:p w14:paraId="55E4D4D5" w14:textId="2DC01A4F" w:rsidR="00796A91" w:rsidRPr="00622E6C" w:rsidRDefault="00177EEC" w:rsidP="00796A91">
            <w:pPr>
              <w:jc w:val="center"/>
              <w:rPr>
                <w:rFonts w:ascii="Arial Narrow" w:hAnsi="Arial Narrow" w:cs="Calibri"/>
                <w:color w:val="000000"/>
                <w:sz w:val="20"/>
                <w:szCs w:val="20"/>
              </w:rPr>
            </w:pPr>
            <w:r w:rsidRPr="00177EEC">
              <w:rPr>
                <w:rFonts w:ascii="Arial Narrow" w:hAnsi="Arial Narrow" w:cs="Calibri"/>
                <w:color w:val="000000"/>
                <w:sz w:val="20"/>
                <w:szCs w:val="20"/>
                <w:shd w:val="solid" w:color="000000" w:fill="000000"/>
                <w14:textFill>
                  <w14:solidFill>
                    <w14:srgbClr w14:val="000000">
                      <w14:alpha w14:val="100000"/>
                    </w14:srgbClr>
                  </w14:solidFill>
                </w14:textFill>
              </w:rPr>
              <w:t>|</w:t>
            </w:r>
            <w:r w:rsidR="00796A91" w:rsidRPr="00622E6C">
              <w:rPr>
                <w:rFonts w:ascii="Arial Narrow" w:hAnsi="Arial Narrow" w:cs="Calibri"/>
                <w:color w:val="000000"/>
                <w:sz w:val="20"/>
                <w:szCs w:val="20"/>
              </w:rPr>
              <w:t>%</w:t>
            </w:r>
          </w:p>
        </w:tc>
        <w:tc>
          <w:tcPr>
            <w:tcW w:w="1134" w:type="dxa"/>
            <w:tcBorders>
              <w:top w:val="nil"/>
              <w:left w:val="nil"/>
              <w:bottom w:val="single" w:sz="4" w:space="0" w:color="auto"/>
              <w:right w:val="single" w:sz="4" w:space="0" w:color="auto"/>
            </w:tcBorders>
            <w:noWrap/>
            <w:vAlign w:val="center"/>
          </w:tcPr>
          <w:p w14:paraId="46C5E41E" w14:textId="4BAC8D4B" w:rsidR="00796A91" w:rsidRPr="00622E6C" w:rsidRDefault="00177EEC" w:rsidP="00796A91">
            <w:pPr>
              <w:jc w:val="center"/>
              <w:rPr>
                <w:rFonts w:ascii="Arial Narrow" w:hAnsi="Arial Narrow" w:cs="Calibri"/>
                <w:color w:val="000000"/>
                <w:sz w:val="20"/>
                <w:szCs w:val="20"/>
              </w:rPr>
            </w:pPr>
            <w:r w:rsidRPr="00177EEC">
              <w:rPr>
                <w:rFonts w:ascii="Arial Narrow" w:hAnsi="Arial Narrow" w:cs="Calibri"/>
                <w:color w:val="000000"/>
                <w:sz w:val="20"/>
                <w:szCs w:val="20"/>
                <w:shd w:val="solid" w:color="000000" w:fill="000000"/>
                <w14:textFill>
                  <w14:solidFill>
                    <w14:srgbClr w14:val="000000">
                      <w14:alpha w14:val="100000"/>
                    </w14:srgbClr>
                  </w14:solidFill>
                </w14:textFill>
              </w:rPr>
              <w:t>|</w:t>
            </w:r>
            <w:r w:rsidR="00796A91" w:rsidRPr="00622E6C">
              <w:rPr>
                <w:rFonts w:ascii="Arial Narrow" w:hAnsi="Arial Narrow" w:cs="Calibri"/>
                <w:color w:val="000000"/>
                <w:sz w:val="20"/>
                <w:szCs w:val="20"/>
              </w:rPr>
              <w:t>%</w:t>
            </w:r>
          </w:p>
        </w:tc>
        <w:tc>
          <w:tcPr>
            <w:tcW w:w="1134" w:type="dxa"/>
            <w:tcBorders>
              <w:top w:val="nil"/>
              <w:left w:val="nil"/>
              <w:bottom w:val="single" w:sz="4" w:space="0" w:color="auto"/>
              <w:right w:val="single" w:sz="4" w:space="0" w:color="auto"/>
            </w:tcBorders>
            <w:noWrap/>
            <w:vAlign w:val="center"/>
          </w:tcPr>
          <w:p w14:paraId="30CD3AFA" w14:textId="11ADF34F" w:rsidR="00796A91" w:rsidRPr="00622E6C" w:rsidRDefault="00177EEC" w:rsidP="00796A91">
            <w:pPr>
              <w:jc w:val="center"/>
              <w:rPr>
                <w:rFonts w:ascii="Arial Narrow" w:hAnsi="Arial Narrow" w:cs="Calibri"/>
                <w:color w:val="000000"/>
                <w:sz w:val="20"/>
                <w:szCs w:val="20"/>
              </w:rPr>
            </w:pPr>
            <w:r w:rsidRPr="00177EEC">
              <w:rPr>
                <w:rFonts w:ascii="Arial Narrow" w:hAnsi="Arial Narrow" w:cs="Calibri"/>
                <w:color w:val="000000"/>
                <w:sz w:val="20"/>
                <w:szCs w:val="20"/>
                <w:shd w:val="solid" w:color="000000" w:fill="000000"/>
                <w14:textFill>
                  <w14:solidFill>
                    <w14:srgbClr w14:val="000000">
                      <w14:alpha w14:val="100000"/>
                    </w14:srgbClr>
                  </w14:solidFill>
                </w14:textFill>
              </w:rPr>
              <w:t>|</w:t>
            </w:r>
            <w:r w:rsidR="00796A91" w:rsidRPr="00622E6C">
              <w:rPr>
                <w:rFonts w:ascii="Arial Narrow" w:hAnsi="Arial Narrow" w:cs="Calibri"/>
                <w:color w:val="000000"/>
                <w:sz w:val="20"/>
                <w:szCs w:val="20"/>
              </w:rPr>
              <w:t>%</w:t>
            </w:r>
          </w:p>
        </w:tc>
      </w:tr>
      <w:tr w:rsidR="00796A91" w:rsidRPr="00622E6C" w14:paraId="438D49D1" w14:textId="77777777" w:rsidTr="00796A91">
        <w:trPr>
          <w:trHeight w:val="255"/>
        </w:trPr>
        <w:tc>
          <w:tcPr>
            <w:tcW w:w="8926" w:type="dxa"/>
            <w:gridSpan w:val="4"/>
            <w:tcBorders>
              <w:top w:val="nil"/>
              <w:left w:val="single" w:sz="4" w:space="0" w:color="auto"/>
              <w:bottom w:val="single" w:sz="4" w:space="0" w:color="auto"/>
              <w:right w:val="single" w:sz="4" w:space="0" w:color="auto"/>
            </w:tcBorders>
            <w:vAlign w:val="center"/>
          </w:tcPr>
          <w:p w14:paraId="0B39CD7F"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Net cost of daratumumab on the PBS/RPBS (AL amyloidosis and MM)</w:t>
            </w:r>
          </w:p>
        </w:tc>
      </w:tr>
      <w:tr w:rsidR="00796A91" w:rsidRPr="00622E6C" w14:paraId="427AECE0"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1E55B81C"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Total cost of daratumumab after the RSA in second-line MM</w:t>
            </w:r>
          </w:p>
        </w:tc>
        <w:tc>
          <w:tcPr>
            <w:tcW w:w="1134" w:type="dxa"/>
            <w:tcBorders>
              <w:top w:val="nil"/>
              <w:left w:val="nil"/>
              <w:bottom w:val="single" w:sz="4" w:space="0" w:color="auto"/>
              <w:right w:val="single" w:sz="4" w:space="0" w:color="auto"/>
            </w:tcBorders>
            <w:noWrap/>
            <w:vAlign w:val="center"/>
            <w:hideMark/>
          </w:tcPr>
          <w:p w14:paraId="5984D433" w14:textId="2D46C9FA"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177EEC" w:rsidRPr="008976CC">
              <w:rPr>
                <w:rFonts w:ascii="Arial Narrow" w:hAnsi="Arial Narrow" w:cs="Calibri"/>
                <w:color w:val="000000"/>
                <w:spacing w:val="28"/>
                <w:sz w:val="20"/>
                <w:szCs w:val="20"/>
                <w:shd w:val="solid" w:color="000000" w:fill="000000"/>
                <w:fitText w:val="680" w:id="-1477790976"/>
                <w14:textFill>
                  <w14:solidFill>
                    <w14:srgbClr w14:val="000000">
                      <w14:alpha w14:val="100000"/>
                    </w14:srgbClr>
                  </w14:solidFill>
                </w14:textFill>
              </w:rPr>
              <w:t>|||||||||</w:t>
            </w:r>
            <w:r w:rsidR="00177EEC" w:rsidRPr="008976CC">
              <w:rPr>
                <w:rFonts w:ascii="Arial Narrow" w:hAnsi="Arial Narrow" w:cs="Calibri"/>
                <w:color w:val="000000"/>
                <w:spacing w:val="3"/>
                <w:sz w:val="20"/>
                <w:szCs w:val="20"/>
                <w:shd w:val="solid" w:color="000000" w:fill="000000"/>
                <w:fitText w:val="680" w:id="-1477790976"/>
                <w14:textFill>
                  <w14:solidFill>
                    <w14:srgbClr w14:val="000000">
                      <w14:alpha w14:val="100000"/>
                    </w14:srgbClr>
                  </w14:solidFill>
                </w14:textFill>
              </w:rPr>
              <w:t>|</w:t>
            </w:r>
            <w:r w:rsidR="00E92018">
              <w:rPr>
                <w:rFonts w:ascii="Arial Narrow" w:hAnsi="Arial Narrow" w:cs="Calibri"/>
                <w:color w:val="000000"/>
                <w:sz w:val="20"/>
                <w:szCs w:val="20"/>
                <w:vertAlign w:val="superscript"/>
              </w:rPr>
              <w:t>2</w:t>
            </w:r>
          </w:p>
        </w:tc>
        <w:tc>
          <w:tcPr>
            <w:tcW w:w="1134" w:type="dxa"/>
            <w:tcBorders>
              <w:top w:val="nil"/>
              <w:left w:val="nil"/>
              <w:bottom w:val="single" w:sz="4" w:space="0" w:color="auto"/>
              <w:right w:val="single" w:sz="4" w:space="0" w:color="auto"/>
            </w:tcBorders>
            <w:noWrap/>
            <w:vAlign w:val="center"/>
            <w:hideMark/>
          </w:tcPr>
          <w:p w14:paraId="57CD940C" w14:textId="5CBEBBEF"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177EEC" w:rsidRPr="008976CC">
              <w:rPr>
                <w:rFonts w:ascii="Arial Narrow" w:hAnsi="Arial Narrow" w:cs="Calibri"/>
                <w:color w:val="000000"/>
                <w:spacing w:val="28"/>
                <w:sz w:val="20"/>
                <w:szCs w:val="20"/>
                <w:shd w:val="solid" w:color="000000" w:fill="000000"/>
                <w:fitText w:val="680" w:id="-1477790975"/>
                <w14:textFill>
                  <w14:solidFill>
                    <w14:srgbClr w14:val="000000">
                      <w14:alpha w14:val="100000"/>
                    </w14:srgbClr>
                  </w14:solidFill>
                </w14:textFill>
              </w:rPr>
              <w:t>|||||||||</w:t>
            </w:r>
            <w:r w:rsidR="00177EEC" w:rsidRPr="008976CC">
              <w:rPr>
                <w:rFonts w:ascii="Arial Narrow" w:hAnsi="Arial Narrow" w:cs="Calibri"/>
                <w:color w:val="000000"/>
                <w:spacing w:val="3"/>
                <w:sz w:val="20"/>
                <w:szCs w:val="20"/>
                <w:shd w:val="solid" w:color="000000" w:fill="000000"/>
                <w:fitText w:val="680" w:id="-1477790975"/>
                <w14:textFill>
                  <w14:solidFill>
                    <w14:srgbClr w14:val="000000">
                      <w14:alpha w14:val="100000"/>
                    </w14:srgbClr>
                  </w14:solidFill>
                </w14:textFill>
              </w:rPr>
              <w:t>|</w:t>
            </w:r>
            <w:r w:rsidR="00E92018">
              <w:rPr>
                <w:rFonts w:ascii="Arial Narrow" w:hAnsi="Arial Narrow" w:cs="Calibri"/>
                <w:color w:val="000000"/>
                <w:sz w:val="20"/>
                <w:szCs w:val="20"/>
                <w:vertAlign w:val="superscript"/>
              </w:rPr>
              <w:t>5</w:t>
            </w:r>
          </w:p>
        </w:tc>
        <w:tc>
          <w:tcPr>
            <w:tcW w:w="1134" w:type="dxa"/>
            <w:tcBorders>
              <w:top w:val="nil"/>
              <w:left w:val="nil"/>
              <w:bottom w:val="single" w:sz="4" w:space="0" w:color="auto"/>
              <w:right w:val="single" w:sz="4" w:space="0" w:color="auto"/>
            </w:tcBorders>
            <w:noWrap/>
            <w:vAlign w:val="center"/>
            <w:hideMark/>
          </w:tcPr>
          <w:p w14:paraId="04B5834E" w14:textId="2D037217"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177EEC" w:rsidRPr="008976CC">
              <w:rPr>
                <w:rFonts w:ascii="Arial Narrow" w:hAnsi="Arial Narrow" w:cs="Calibri"/>
                <w:color w:val="000000"/>
                <w:spacing w:val="28"/>
                <w:sz w:val="20"/>
                <w:szCs w:val="20"/>
                <w:shd w:val="solid" w:color="000000" w:fill="000000"/>
                <w:fitText w:val="680" w:id="-1477790974"/>
                <w14:textFill>
                  <w14:solidFill>
                    <w14:srgbClr w14:val="000000">
                      <w14:alpha w14:val="100000"/>
                    </w14:srgbClr>
                  </w14:solidFill>
                </w14:textFill>
              </w:rPr>
              <w:t>|||||||||</w:t>
            </w:r>
            <w:r w:rsidR="00177EEC" w:rsidRPr="008976CC">
              <w:rPr>
                <w:rFonts w:ascii="Arial Narrow" w:hAnsi="Arial Narrow" w:cs="Calibri"/>
                <w:color w:val="000000"/>
                <w:spacing w:val="3"/>
                <w:sz w:val="20"/>
                <w:szCs w:val="20"/>
                <w:shd w:val="solid" w:color="000000" w:fill="000000"/>
                <w:fitText w:val="680" w:id="-1477790974"/>
                <w14:textFill>
                  <w14:solidFill>
                    <w14:srgbClr w14:val="000000">
                      <w14:alpha w14:val="100000"/>
                    </w14:srgbClr>
                  </w14:solidFill>
                </w14:textFill>
              </w:rPr>
              <w:t>|</w:t>
            </w:r>
            <w:r w:rsidR="00E92018">
              <w:rPr>
                <w:rFonts w:ascii="Arial Narrow" w:hAnsi="Arial Narrow" w:cs="Calibri"/>
                <w:color w:val="000000"/>
                <w:sz w:val="20"/>
                <w:szCs w:val="20"/>
                <w:vertAlign w:val="superscript"/>
              </w:rPr>
              <w:t>3</w:t>
            </w:r>
          </w:p>
        </w:tc>
      </w:tr>
      <w:tr w:rsidR="00796A91" w:rsidRPr="00622E6C" w14:paraId="6A32172E"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00DE274B" w14:textId="77777777" w:rsidR="00796A91" w:rsidRPr="00622E6C" w:rsidRDefault="00796A91" w:rsidP="00796A91">
            <w:pPr>
              <w:jc w:val="left"/>
              <w:rPr>
                <w:rFonts w:ascii="Arial Narrow" w:hAnsi="Arial Narrow" w:cs="Calibri"/>
                <w:b/>
                <w:bCs/>
                <w:color w:val="000000"/>
                <w:sz w:val="20"/>
                <w:szCs w:val="20"/>
              </w:rPr>
            </w:pPr>
            <w:r w:rsidRPr="00622E6C">
              <w:rPr>
                <w:rFonts w:ascii="Arial Narrow" w:hAnsi="Arial Narrow" w:cs="Calibri"/>
                <w:b/>
                <w:bCs/>
                <w:color w:val="000000"/>
                <w:sz w:val="20"/>
                <w:szCs w:val="20"/>
              </w:rPr>
              <w:t xml:space="preserve">Total cost of daratumumab after the RSA </w:t>
            </w:r>
          </w:p>
        </w:tc>
        <w:tc>
          <w:tcPr>
            <w:tcW w:w="1134" w:type="dxa"/>
            <w:tcBorders>
              <w:top w:val="nil"/>
              <w:left w:val="nil"/>
              <w:bottom w:val="single" w:sz="4" w:space="0" w:color="auto"/>
              <w:right w:val="single" w:sz="4" w:space="0" w:color="auto"/>
            </w:tcBorders>
            <w:noWrap/>
            <w:vAlign w:val="center"/>
            <w:hideMark/>
          </w:tcPr>
          <w:p w14:paraId="65961A85" w14:textId="3058EE13"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b/>
                <w:bCs/>
                <w:color w:val="000000"/>
                <w:sz w:val="20"/>
                <w:szCs w:val="20"/>
              </w:rPr>
              <w:t>$</w:t>
            </w:r>
            <w:r w:rsidR="00177EEC" w:rsidRPr="008976CC">
              <w:rPr>
                <w:rFonts w:ascii="Arial Narrow" w:hAnsi="Arial Narrow" w:cs="Calibri"/>
                <w:b/>
                <w:bCs/>
                <w:color w:val="000000"/>
                <w:spacing w:val="24"/>
                <w:sz w:val="20"/>
                <w:szCs w:val="20"/>
                <w:shd w:val="solid" w:color="000000" w:fill="000000"/>
                <w:fitText w:val="680" w:id="-1477790720"/>
                <w14:textFill>
                  <w14:solidFill>
                    <w14:srgbClr w14:val="000000">
                      <w14:alpha w14:val="100000"/>
                    </w14:srgbClr>
                  </w14:solidFill>
                </w14:textFill>
              </w:rPr>
              <w:t>|||||||||</w:t>
            </w:r>
            <w:r w:rsidR="00177EEC" w:rsidRPr="008976CC">
              <w:rPr>
                <w:rFonts w:ascii="Arial Narrow" w:hAnsi="Arial Narrow" w:cs="Calibri"/>
                <w:b/>
                <w:bCs/>
                <w:color w:val="000000"/>
                <w:spacing w:val="5"/>
                <w:sz w:val="20"/>
                <w:szCs w:val="20"/>
                <w:shd w:val="solid" w:color="000000" w:fill="000000"/>
                <w:fitText w:val="680" w:id="-1477790720"/>
                <w14:textFill>
                  <w14:solidFill>
                    <w14:srgbClr w14:val="000000">
                      <w14:alpha w14:val="100000"/>
                    </w14:srgbClr>
                  </w14:solidFill>
                </w14:textFill>
              </w:rPr>
              <w:t>|</w:t>
            </w:r>
            <w:r w:rsidR="00E92018">
              <w:rPr>
                <w:rFonts w:ascii="Arial Narrow" w:hAnsi="Arial Narrow" w:cs="Calibri"/>
                <w:color w:val="000000"/>
                <w:sz w:val="20"/>
                <w:szCs w:val="20"/>
                <w:vertAlign w:val="superscript"/>
              </w:rPr>
              <w:t>5</w:t>
            </w:r>
          </w:p>
        </w:tc>
        <w:tc>
          <w:tcPr>
            <w:tcW w:w="1134" w:type="dxa"/>
            <w:tcBorders>
              <w:top w:val="nil"/>
              <w:left w:val="nil"/>
              <w:bottom w:val="single" w:sz="4" w:space="0" w:color="auto"/>
              <w:right w:val="single" w:sz="4" w:space="0" w:color="auto"/>
            </w:tcBorders>
            <w:noWrap/>
            <w:vAlign w:val="center"/>
            <w:hideMark/>
          </w:tcPr>
          <w:p w14:paraId="4A845BF3" w14:textId="73AF7C26"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b/>
                <w:bCs/>
                <w:color w:val="000000"/>
                <w:sz w:val="20"/>
                <w:szCs w:val="20"/>
              </w:rPr>
              <w:t>$</w:t>
            </w:r>
            <w:r w:rsidR="00177EEC" w:rsidRPr="008976CC">
              <w:rPr>
                <w:rFonts w:ascii="Arial Narrow" w:hAnsi="Arial Narrow" w:cs="Calibri"/>
                <w:b/>
                <w:bCs/>
                <w:color w:val="000000"/>
                <w:spacing w:val="24"/>
                <w:sz w:val="20"/>
                <w:szCs w:val="20"/>
                <w:shd w:val="solid" w:color="000000" w:fill="000000"/>
                <w:fitText w:val="680" w:id="-1477790719"/>
                <w14:textFill>
                  <w14:solidFill>
                    <w14:srgbClr w14:val="000000">
                      <w14:alpha w14:val="100000"/>
                    </w14:srgbClr>
                  </w14:solidFill>
                </w14:textFill>
              </w:rPr>
              <w:t>|||||||||</w:t>
            </w:r>
            <w:r w:rsidR="00177EEC" w:rsidRPr="008976CC">
              <w:rPr>
                <w:rFonts w:ascii="Arial Narrow" w:hAnsi="Arial Narrow" w:cs="Calibri"/>
                <w:b/>
                <w:bCs/>
                <w:color w:val="000000"/>
                <w:spacing w:val="5"/>
                <w:sz w:val="20"/>
                <w:szCs w:val="20"/>
                <w:shd w:val="solid" w:color="000000" w:fill="000000"/>
                <w:fitText w:val="680" w:id="-1477790719"/>
                <w14:textFill>
                  <w14:solidFill>
                    <w14:srgbClr w14:val="000000">
                      <w14:alpha w14:val="100000"/>
                    </w14:srgbClr>
                  </w14:solidFill>
                </w14:textFill>
              </w:rPr>
              <w:t>|</w:t>
            </w:r>
            <w:r w:rsidR="00E92018">
              <w:rPr>
                <w:rFonts w:ascii="Arial Narrow" w:hAnsi="Arial Narrow" w:cs="Calibri"/>
                <w:color w:val="000000"/>
                <w:sz w:val="20"/>
                <w:szCs w:val="20"/>
                <w:vertAlign w:val="superscript"/>
              </w:rPr>
              <w:t>3</w:t>
            </w:r>
          </w:p>
        </w:tc>
        <w:tc>
          <w:tcPr>
            <w:tcW w:w="1134" w:type="dxa"/>
            <w:tcBorders>
              <w:top w:val="nil"/>
              <w:left w:val="nil"/>
              <w:bottom w:val="single" w:sz="4" w:space="0" w:color="auto"/>
              <w:right w:val="single" w:sz="4" w:space="0" w:color="auto"/>
            </w:tcBorders>
            <w:noWrap/>
            <w:vAlign w:val="center"/>
            <w:hideMark/>
          </w:tcPr>
          <w:p w14:paraId="52C85357" w14:textId="2CE2C19F"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b/>
                <w:bCs/>
                <w:color w:val="000000"/>
                <w:sz w:val="20"/>
                <w:szCs w:val="20"/>
              </w:rPr>
              <w:t>$</w:t>
            </w:r>
            <w:r w:rsidR="00177EEC" w:rsidRPr="008976CC">
              <w:rPr>
                <w:rFonts w:ascii="Arial Narrow" w:hAnsi="Arial Narrow" w:cs="Calibri"/>
                <w:b/>
                <w:bCs/>
                <w:color w:val="000000"/>
                <w:spacing w:val="23"/>
                <w:sz w:val="20"/>
                <w:szCs w:val="20"/>
                <w:shd w:val="solid" w:color="000000" w:fill="000000"/>
                <w:fitText w:val="810" w:id="-1477790718"/>
                <w14:textFill>
                  <w14:solidFill>
                    <w14:srgbClr w14:val="000000">
                      <w14:alpha w14:val="100000"/>
                    </w14:srgbClr>
                  </w14:solidFill>
                </w14:textFill>
              </w:rPr>
              <w:t>|||||||||||</w:t>
            </w:r>
            <w:r w:rsidR="00177EEC" w:rsidRPr="008976CC">
              <w:rPr>
                <w:rFonts w:ascii="Arial Narrow" w:hAnsi="Arial Narrow" w:cs="Calibri"/>
                <w:b/>
                <w:bCs/>
                <w:color w:val="000000"/>
                <w:spacing w:val="6"/>
                <w:sz w:val="20"/>
                <w:szCs w:val="20"/>
                <w:shd w:val="solid" w:color="000000" w:fill="000000"/>
                <w:fitText w:val="810" w:id="-1477790718"/>
                <w14:textFill>
                  <w14:solidFill>
                    <w14:srgbClr w14:val="000000">
                      <w14:alpha w14:val="100000"/>
                    </w14:srgbClr>
                  </w14:solidFill>
                </w14:textFill>
              </w:rPr>
              <w:t>|</w:t>
            </w:r>
            <w:r w:rsidR="00E92018">
              <w:rPr>
                <w:rFonts w:ascii="Arial Narrow" w:hAnsi="Arial Narrow" w:cs="Calibri"/>
                <w:color w:val="000000"/>
                <w:sz w:val="20"/>
                <w:szCs w:val="20"/>
                <w:vertAlign w:val="superscript"/>
              </w:rPr>
              <w:t>4</w:t>
            </w:r>
          </w:p>
        </w:tc>
      </w:tr>
      <w:tr w:rsidR="00796A91" w:rsidRPr="00622E6C" w14:paraId="0CBFC6A4" w14:textId="77777777" w:rsidTr="00796A91">
        <w:trPr>
          <w:trHeight w:val="255"/>
        </w:trPr>
        <w:tc>
          <w:tcPr>
            <w:tcW w:w="5524" w:type="dxa"/>
            <w:tcBorders>
              <w:top w:val="nil"/>
              <w:left w:val="single" w:sz="4" w:space="0" w:color="auto"/>
              <w:bottom w:val="single" w:sz="4" w:space="0" w:color="auto"/>
              <w:right w:val="single" w:sz="4" w:space="0" w:color="auto"/>
            </w:tcBorders>
            <w:vAlign w:val="center"/>
            <w:hideMark/>
          </w:tcPr>
          <w:p w14:paraId="1EB0331A" w14:textId="77777777" w:rsidR="00796A91" w:rsidRPr="00622E6C" w:rsidRDefault="00796A91" w:rsidP="00796A91">
            <w:pPr>
              <w:jc w:val="left"/>
              <w:rPr>
                <w:rFonts w:ascii="Arial Narrow" w:hAnsi="Arial Narrow" w:cs="Calibri"/>
                <w:color w:val="000000"/>
                <w:sz w:val="20"/>
                <w:szCs w:val="20"/>
              </w:rPr>
            </w:pPr>
            <w:r w:rsidRPr="00622E6C">
              <w:rPr>
                <w:rFonts w:ascii="Arial Narrow" w:hAnsi="Arial Narrow" w:cs="Calibri"/>
                <w:color w:val="000000"/>
                <w:sz w:val="20"/>
                <w:szCs w:val="20"/>
              </w:rPr>
              <w:t>Change in total cost of daratumumab due to the AL amyloidosis listing</w:t>
            </w:r>
            <w:r w:rsidRPr="00622E6C">
              <w:rPr>
                <w:rFonts w:ascii="Arial Narrow" w:hAnsi="Arial Narrow" w:cs="Calibri"/>
                <w:color w:val="000000"/>
                <w:sz w:val="20"/>
                <w:szCs w:val="20"/>
                <w:vertAlign w:val="superscript"/>
              </w:rPr>
              <w:t>a</w:t>
            </w:r>
          </w:p>
        </w:tc>
        <w:tc>
          <w:tcPr>
            <w:tcW w:w="1134" w:type="dxa"/>
            <w:tcBorders>
              <w:top w:val="nil"/>
              <w:left w:val="nil"/>
              <w:bottom w:val="single" w:sz="4" w:space="0" w:color="auto"/>
              <w:right w:val="single" w:sz="4" w:space="0" w:color="auto"/>
            </w:tcBorders>
            <w:noWrap/>
            <w:vAlign w:val="center"/>
            <w:hideMark/>
          </w:tcPr>
          <w:p w14:paraId="68A53BCB" w14:textId="0877A0CF"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177EEC" w:rsidRPr="008976CC">
              <w:rPr>
                <w:rFonts w:ascii="Arial Narrow" w:hAnsi="Arial Narrow" w:cs="Calibri"/>
                <w:color w:val="000000"/>
                <w:spacing w:val="56"/>
                <w:sz w:val="20"/>
                <w:szCs w:val="20"/>
                <w:shd w:val="solid" w:color="000000" w:fill="000000"/>
                <w:fitText w:val="540" w:id="-1477790717"/>
                <w14:textFill>
                  <w14:solidFill>
                    <w14:srgbClr w14:val="000000">
                      <w14:alpha w14:val="100000"/>
                    </w14:srgbClr>
                  </w14:solidFill>
                </w14:textFill>
              </w:rPr>
              <w:t>|||||</w:t>
            </w:r>
            <w:r w:rsidR="00177EEC" w:rsidRPr="008976CC">
              <w:rPr>
                <w:rFonts w:ascii="Arial Narrow" w:hAnsi="Arial Narrow" w:cs="Calibri"/>
                <w:color w:val="000000"/>
                <w:spacing w:val="5"/>
                <w:sz w:val="20"/>
                <w:szCs w:val="20"/>
                <w:shd w:val="solid" w:color="000000" w:fill="000000"/>
                <w:fitText w:val="540" w:id="-1477790717"/>
                <w14:textFill>
                  <w14:solidFill>
                    <w14:srgbClr w14:val="000000">
                      <w14:alpha w14:val="100000"/>
                    </w14:srgbClr>
                  </w14:solidFill>
                </w14:textFill>
              </w:rPr>
              <w:t>|</w:t>
            </w:r>
            <w:r w:rsidR="00E92018">
              <w:rPr>
                <w:rFonts w:ascii="Arial Narrow" w:hAnsi="Arial Narrow" w:cs="Calibri"/>
                <w:color w:val="000000"/>
                <w:sz w:val="20"/>
                <w:szCs w:val="20"/>
                <w:vertAlign w:val="superscript"/>
              </w:rPr>
              <w:t>6</w:t>
            </w:r>
          </w:p>
        </w:tc>
        <w:tc>
          <w:tcPr>
            <w:tcW w:w="1134" w:type="dxa"/>
            <w:tcBorders>
              <w:top w:val="nil"/>
              <w:left w:val="nil"/>
              <w:bottom w:val="single" w:sz="4" w:space="0" w:color="auto"/>
              <w:right w:val="single" w:sz="4" w:space="0" w:color="auto"/>
            </w:tcBorders>
            <w:noWrap/>
            <w:vAlign w:val="center"/>
            <w:hideMark/>
          </w:tcPr>
          <w:p w14:paraId="25F3C24D" w14:textId="4051D47F"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177EEC" w:rsidRPr="008976CC">
              <w:rPr>
                <w:rFonts w:ascii="Arial Narrow" w:hAnsi="Arial Narrow" w:cs="Calibri"/>
                <w:color w:val="000000"/>
                <w:spacing w:val="28"/>
                <w:sz w:val="20"/>
                <w:szCs w:val="20"/>
                <w:shd w:val="solid" w:color="000000" w:fill="000000"/>
                <w:fitText w:val="680" w:id="-1477790716"/>
                <w14:textFill>
                  <w14:solidFill>
                    <w14:srgbClr w14:val="000000">
                      <w14:alpha w14:val="100000"/>
                    </w14:srgbClr>
                  </w14:solidFill>
                </w14:textFill>
              </w:rPr>
              <w:t>|||||||||</w:t>
            </w:r>
            <w:r w:rsidR="00177EEC" w:rsidRPr="008976CC">
              <w:rPr>
                <w:rFonts w:ascii="Arial Narrow" w:hAnsi="Arial Narrow" w:cs="Calibri"/>
                <w:color w:val="000000"/>
                <w:spacing w:val="3"/>
                <w:sz w:val="20"/>
                <w:szCs w:val="20"/>
                <w:shd w:val="solid" w:color="000000" w:fill="000000"/>
                <w:fitText w:val="680" w:id="-1477790716"/>
                <w14:textFill>
                  <w14:solidFill>
                    <w14:srgbClr w14:val="000000">
                      <w14:alpha w14:val="100000"/>
                    </w14:srgbClr>
                  </w14:solidFill>
                </w14:textFill>
              </w:rPr>
              <w:t>|</w:t>
            </w:r>
            <w:r w:rsidR="00E92018">
              <w:rPr>
                <w:rFonts w:ascii="Arial Narrow" w:hAnsi="Arial Narrow" w:cs="Calibri"/>
                <w:color w:val="000000"/>
                <w:sz w:val="20"/>
                <w:szCs w:val="20"/>
                <w:vertAlign w:val="superscript"/>
              </w:rPr>
              <w:t>7</w:t>
            </w:r>
          </w:p>
        </w:tc>
        <w:tc>
          <w:tcPr>
            <w:tcW w:w="1134" w:type="dxa"/>
            <w:tcBorders>
              <w:top w:val="nil"/>
              <w:left w:val="nil"/>
              <w:bottom w:val="single" w:sz="4" w:space="0" w:color="auto"/>
              <w:right w:val="single" w:sz="4" w:space="0" w:color="auto"/>
            </w:tcBorders>
            <w:noWrap/>
            <w:vAlign w:val="center"/>
            <w:hideMark/>
          </w:tcPr>
          <w:p w14:paraId="1371B880" w14:textId="63796380" w:rsidR="00796A91" w:rsidRPr="00E92018" w:rsidRDefault="00796A91" w:rsidP="00796A91">
            <w:pPr>
              <w:jc w:val="center"/>
              <w:rPr>
                <w:rFonts w:ascii="Arial Narrow" w:hAnsi="Arial Narrow" w:cs="Calibri"/>
                <w:color w:val="000000"/>
                <w:sz w:val="20"/>
                <w:szCs w:val="20"/>
                <w:vertAlign w:val="superscript"/>
              </w:rPr>
            </w:pPr>
            <w:r w:rsidRPr="00622E6C">
              <w:rPr>
                <w:rFonts w:ascii="Arial Narrow" w:hAnsi="Arial Narrow" w:cs="Calibri"/>
                <w:color w:val="000000"/>
                <w:sz w:val="20"/>
                <w:szCs w:val="20"/>
              </w:rPr>
              <w:t>$</w:t>
            </w:r>
            <w:r w:rsidR="00177EEC" w:rsidRPr="008976CC">
              <w:rPr>
                <w:rFonts w:ascii="Arial Narrow" w:hAnsi="Arial Narrow" w:cs="Calibri"/>
                <w:color w:val="000000"/>
                <w:spacing w:val="28"/>
                <w:sz w:val="20"/>
                <w:szCs w:val="20"/>
                <w:shd w:val="solid" w:color="000000" w:fill="000000"/>
                <w:fitText w:val="680" w:id="-1477790464"/>
                <w14:textFill>
                  <w14:solidFill>
                    <w14:srgbClr w14:val="000000">
                      <w14:alpha w14:val="100000"/>
                    </w14:srgbClr>
                  </w14:solidFill>
                </w14:textFill>
              </w:rPr>
              <w:t>|||||||||</w:t>
            </w:r>
            <w:r w:rsidR="00177EEC" w:rsidRPr="008976CC">
              <w:rPr>
                <w:rFonts w:ascii="Arial Narrow" w:hAnsi="Arial Narrow" w:cs="Calibri"/>
                <w:color w:val="000000"/>
                <w:spacing w:val="3"/>
                <w:sz w:val="20"/>
                <w:szCs w:val="20"/>
                <w:shd w:val="solid" w:color="000000" w:fill="000000"/>
                <w:fitText w:val="680" w:id="-1477790464"/>
                <w14:textFill>
                  <w14:solidFill>
                    <w14:srgbClr w14:val="000000">
                      <w14:alpha w14:val="100000"/>
                    </w14:srgbClr>
                  </w14:solidFill>
                </w14:textFill>
              </w:rPr>
              <w:t>|</w:t>
            </w:r>
            <w:r w:rsidR="00E92018">
              <w:rPr>
                <w:rFonts w:ascii="Arial Narrow" w:hAnsi="Arial Narrow" w:cs="Calibri"/>
                <w:color w:val="000000"/>
                <w:sz w:val="20"/>
                <w:szCs w:val="20"/>
                <w:vertAlign w:val="superscript"/>
              </w:rPr>
              <w:t>7</w:t>
            </w:r>
          </w:p>
        </w:tc>
      </w:tr>
    </w:tbl>
    <w:p w14:paraId="343447A3"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Source: Table 4-16, p46 and Table 4-17, p47 of the early resolution resubmission</w:t>
      </w:r>
    </w:p>
    <w:p w14:paraId="54AD0BAF" w14:textId="77777777" w:rsidR="00796A91" w:rsidRPr="00622E6C" w:rsidRDefault="00796A91" w:rsidP="00796A91">
      <w:pPr>
        <w:rPr>
          <w:rFonts w:ascii="Arial Narrow" w:hAnsi="Arial Narrow"/>
          <w:sz w:val="18"/>
          <w:szCs w:val="18"/>
        </w:rPr>
      </w:pPr>
      <w:r w:rsidRPr="00622E6C">
        <w:rPr>
          <w:rFonts w:ascii="Arial Narrow" w:hAnsi="Arial Narrow"/>
          <w:sz w:val="18"/>
          <w:szCs w:val="18"/>
        </w:rPr>
        <w:t>MM = multiple myeloma; RSA = risk sharing arrangement</w:t>
      </w:r>
    </w:p>
    <w:p w14:paraId="0DA61FC1" w14:textId="77233888" w:rsidR="00796A91" w:rsidRDefault="00796A91" w:rsidP="00796A91">
      <w:pPr>
        <w:rPr>
          <w:rFonts w:ascii="Arial Narrow" w:hAnsi="Arial Narrow"/>
          <w:sz w:val="18"/>
          <w:szCs w:val="18"/>
        </w:rPr>
      </w:pPr>
      <w:r w:rsidRPr="00622E6C">
        <w:rPr>
          <w:rFonts w:ascii="Arial Narrow" w:hAnsi="Arial Narrow"/>
          <w:sz w:val="18"/>
          <w:szCs w:val="18"/>
        </w:rPr>
        <w:t xml:space="preserve">a Total cost of daratumumab exceeds the RSA expenditure caps as the proposed rebate for use beyond the caps is </w:t>
      </w:r>
      <w:r w:rsidR="00177EEC" w:rsidRPr="008976CC">
        <w:rPr>
          <w:rFonts w:ascii="Arial Narrow" w:hAnsi="Arial Narrow"/>
          <w:color w:val="000000"/>
          <w:w w:val="44"/>
          <w:sz w:val="18"/>
          <w:szCs w:val="18"/>
          <w:shd w:val="solid" w:color="000000" w:fill="000000"/>
          <w:fitText w:val="70" w:id="-1477790463"/>
          <w14:textFill>
            <w14:solidFill>
              <w14:srgbClr w14:val="000000">
                <w14:alpha w14:val="100000"/>
              </w14:srgbClr>
            </w14:solidFill>
          </w14:textFill>
        </w:rPr>
        <w:t>|  |</w:t>
      </w:r>
      <w:r w:rsidRPr="00622E6C">
        <w:rPr>
          <w:rFonts w:ascii="Arial Narrow" w:hAnsi="Arial Narrow"/>
          <w:sz w:val="18"/>
          <w:szCs w:val="18"/>
        </w:rPr>
        <w:t>%</w:t>
      </w:r>
    </w:p>
    <w:p w14:paraId="5C51F06A" w14:textId="65CE2950" w:rsidR="00D960D2" w:rsidRDefault="00D960D2" w:rsidP="00796A91">
      <w:pPr>
        <w:rPr>
          <w:rFonts w:ascii="Arial Narrow" w:hAnsi="Arial Narrow"/>
          <w:sz w:val="18"/>
          <w:szCs w:val="18"/>
        </w:rPr>
      </w:pPr>
      <w:r w:rsidRPr="00D960D2">
        <w:rPr>
          <w:rFonts w:ascii="Arial Narrow" w:hAnsi="Arial Narrow"/>
          <w:sz w:val="18"/>
          <w:szCs w:val="18"/>
        </w:rPr>
        <w:t>The redacted values correspond to the following ranges:</w:t>
      </w:r>
    </w:p>
    <w:p w14:paraId="3113C1AC" w14:textId="4229AE80" w:rsidR="00D960D2" w:rsidRDefault="00D960D2" w:rsidP="00796A91">
      <w:pPr>
        <w:rPr>
          <w:rFonts w:ascii="Arial Narrow" w:hAnsi="Arial Narrow"/>
          <w:sz w:val="18"/>
          <w:szCs w:val="18"/>
        </w:rPr>
      </w:pPr>
      <w:r>
        <w:rPr>
          <w:rFonts w:ascii="Arial Narrow" w:hAnsi="Arial Narrow"/>
          <w:sz w:val="18"/>
          <w:szCs w:val="18"/>
          <w:vertAlign w:val="superscript"/>
        </w:rPr>
        <w:t>1</w:t>
      </w:r>
      <w:r w:rsidRPr="00D960D2">
        <w:rPr>
          <w:rFonts w:ascii="Arial Narrow" w:hAnsi="Arial Narrow"/>
          <w:sz w:val="18"/>
          <w:szCs w:val="18"/>
        </w:rPr>
        <w:t>20,000 to &lt; 30,000</w:t>
      </w:r>
    </w:p>
    <w:p w14:paraId="54183798" w14:textId="7B359BC2" w:rsidR="00D960D2" w:rsidRDefault="00D960D2" w:rsidP="00796A91">
      <w:pPr>
        <w:rPr>
          <w:rFonts w:ascii="Arial Narrow" w:hAnsi="Arial Narrow"/>
          <w:sz w:val="18"/>
          <w:szCs w:val="18"/>
        </w:rPr>
      </w:pPr>
      <w:r>
        <w:rPr>
          <w:rFonts w:ascii="Arial Narrow" w:hAnsi="Arial Narrow"/>
          <w:sz w:val="18"/>
          <w:szCs w:val="18"/>
          <w:vertAlign w:val="superscript"/>
        </w:rPr>
        <w:t>2</w:t>
      </w:r>
      <w:r w:rsidRPr="00D960D2">
        <w:rPr>
          <w:rFonts w:ascii="Arial Narrow" w:hAnsi="Arial Narrow"/>
          <w:sz w:val="18"/>
          <w:szCs w:val="18"/>
        </w:rPr>
        <w:t>$70 million to &lt; $80 million</w:t>
      </w:r>
    </w:p>
    <w:p w14:paraId="52A551CB" w14:textId="17E8D42E" w:rsidR="00D960D2" w:rsidRDefault="00D960D2" w:rsidP="00796A91">
      <w:pPr>
        <w:rPr>
          <w:rFonts w:ascii="Arial Narrow" w:hAnsi="Arial Narrow"/>
          <w:sz w:val="18"/>
          <w:szCs w:val="18"/>
        </w:rPr>
      </w:pPr>
      <w:r>
        <w:rPr>
          <w:rFonts w:ascii="Arial Narrow" w:hAnsi="Arial Narrow"/>
          <w:sz w:val="18"/>
          <w:szCs w:val="18"/>
          <w:vertAlign w:val="superscript"/>
        </w:rPr>
        <w:t>3</w:t>
      </w:r>
      <w:r w:rsidRPr="00D960D2">
        <w:rPr>
          <w:rFonts w:ascii="Arial Narrow" w:hAnsi="Arial Narrow"/>
          <w:sz w:val="18"/>
          <w:szCs w:val="18"/>
        </w:rPr>
        <w:t>$90 million to &lt; $100 million</w:t>
      </w:r>
    </w:p>
    <w:p w14:paraId="5A20AAF2" w14:textId="0911FC35" w:rsidR="00E92018" w:rsidRDefault="00E92018" w:rsidP="00796A91">
      <w:pPr>
        <w:rPr>
          <w:rFonts w:ascii="Arial Narrow" w:hAnsi="Arial Narrow"/>
          <w:sz w:val="18"/>
          <w:szCs w:val="18"/>
        </w:rPr>
      </w:pPr>
      <w:r>
        <w:rPr>
          <w:rFonts w:ascii="Arial Narrow" w:hAnsi="Arial Narrow"/>
          <w:sz w:val="18"/>
          <w:szCs w:val="18"/>
          <w:vertAlign w:val="superscript"/>
        </w:rPr>
        <w:t>4</w:t>
      </w:r>
      <w:r w:rsidRPr="00E92018">
        <w:rPr>
          <w:rFonts w:ascii="Arial Narrow" w:hAnsi="Arial Narrow"/>
          <w:sz w:val="18"/>
          <w:szCs w:val="18"/>
        </w:rPr>
        <w:t>$100 million to &lt; $200 million</w:t>
      </w:r>
    </w:p>
    <w:p w14:paraId="12053F6B" w14:textId="7B4A52E6" w:rsidR="00E92018" w:rsidRDefault="00E92018" w:rsidP="00796A91">
      <w:pPr>
        <w:rPr>
          <w:rFonts w:ascii="Arial Narrow" w:hAnsi="Arial Narrow"/>
          <w:sz w:val="18"/>
          <w:szCs w:val="18"/>
        </w:rPr>
      </w:pPr>
      <w:r>
        <w:rPr>
          <w:rFonts w:ascii="Arial Narrow" w:hAnsi="Arial Narrow"/>
          <w:sz w:val="18"/>
          <w:szCs w:val="18"/>
          <w:vertAlign w:val="superscript"/>
        </w:rPr>
        <w:t>5</w:t>
      </w:r>
      <w:r w:rsidRPr="00E92018">
        <w:rPr>
          <w:rFonts w:ascii="Arial Narrow" w:hAnsi="Arial Narrow"/>
          <w:sz w:val="18"/>
          <w:szCs w:val="18"/>
        </w:rPr>
        <w:t>$80 million to &lt; $90 million</w:t>
      </w:r>
    </w:p>
    <w:p w14:paraId="6D5B3EFB" w14:textId="00CFF5DD" w:rsidR="00E92018" w:rsidRDefault="00E92018" w:rsidP="00796A91">
      <w:pPr>
        <w:rPr>
          <w:rFonts w:ascii="Arial Narrow" w:hAnsi="Arial Narrow"/>
          <w:sz w:val="18"/>
          <w:szCs w:val="18"/>
        </w:rPr>
      </w:pPr>
      <w:r>
        <w:rPr>
          <w:rFonts w:ascii="Arial Narrow" w:hAnsi="Arial Narrow"/>
          <w:sz w:val="18"/>
          <w:szCs w:val="18"/>
          <w:vertAlign w:val="superscript"/>
        </w:rPr>
        <w:t>6</w:t>
      </w:r>
      <w:r w:rsidRPr="00E92018">
        <w:rPr>
          <w:rFonts w:ascii="Arial Narrow" w:hAnsi="Arial Narrow"/>
          <w:sz w:val="18"/>
          <w:szCs w:val="18"/>
        </w:rPr>
        <w:t>$0 to &lt; $10 million</w:t>
      </w:r>
    </w:p>
    <w:p w14:paraId="4517D0AA" w14:textId="53FC0B44" w:rsidR="00E92018" w:rsidRPr="00622E6C" w:rsidRDefault="00E92018" w:rsidP="00796A91">
      <w:pPr>
        <w:rPr>
          <w:rFonts w:ascii="Arial Narrow" w:hAnsi="Arial Narrow"/>
          <w:sz w:val="18"/>
          <w:szCs w:val="18"/>
        </w:rPr>
      </w:pPr>
      <w:r>
        <w:rPr>
          <w:rFonts w:ascii="Arial Narrow" w:hAnsi="Arial Narrow"/>
          <w:sz w:val="18"/>
          <w:szCs w:val="18"/>
          <w:vertAlign w:val="superscript"/>
        </w:rPr>
        <w:t>7</w:t>
      </w:r>
      <w:r w:rsidRPr="00E92018">
        <w:rPr>
          <w:rFonts w:ascii="Arial Narrow" w:hAnsi="Arial Narrow"/>
          <w:sz w:val="18"/>
          <w:szCs w:val="18"/>
        </w:rPr>
        <w:t>$10 million to &lt; $20 million</w:t>
      </w:r>
    </w:p>
    <w:p w14:paraId="391CE729" w14:textId="77777777" w:rsidR="00796A91" w:rsidRPr="00622E6C" w:rsidRDefault="00796A91" w:rsidP="00796A91">
      <w:pPr>
        <w:rPr>
          <w:snapToGrid w:val="0"/>
        </w:rPr>
      </w:pPr>
    </w:p>
    <w:p w14:paraId="24DCE4A4" w14:textId="77777777"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Consistent with previous advice, the resubmission proposed dual </w:t>
      </w:r>
      <w:r w:rsidRPr="00622E6C">
        <w:rPr>
          <w:rFonts w:cs="Calibri"/>
          <w:bCs/>
        </w:rPr>
        <w:t xml:space="preserve">General Schedule and Section 100 (EFC) listings for daratumumab SC (aligned with the listing program arrangements of daratumumab SC for RRMM).  </w:t>
      </w:r>
      <w:r w:rsidRPr="00622E6C">
        <w:t>In terms of the proposed restriction, t</w:t>
      </w:r>
      <w:r w:rsidRPr="00622E6C">
        <w:rPr>
          <w:rFonts w:asciiTheme="minorHAnsi" w:hAnsiTheme="minorHAnsi"/>
          <w:snapToGrid w:val="0"/>
        </w:rPr>
        <w:t>he early resolution resubmission provided updated restrictions for daratumumab in AL amyloidosis restricts patients to one course of daratumumab per lifetime. The resubmission stated that as patients who have concurrent disease are almost always diagnosed with AL amyloidosis first, the additional restriction criterion would be redundant for the second-line MM listing; however, the sponsor was amenable to including it in the MM restriction.</w:t>
      </w:r>
    </w:p>
    <w:p w14:paraId="493C2BC3" w14:textId="77777777" w:rsidR="00796A91" w:rsidRPr="00622E6C" w:rsidRDefault="00796A91" w:rsidP="00796A91">
      <w:pPr>
        <w:pStyle w:val="2-SectionHeading"/>
      </w:pPr>
      <w:r w:rsidRPr="00622E6C">
        <w:t>PBAC Outcome</w:t>
      </w:r>
    </w:p>
    <w:p w14:paraId="2467BCEC" w14:textId="77777777" w:rsidR="00796A91" w:rsidRPr="00622E6C" w:rsidRDefault="00796A91" w:rsidP="00796A91">
      <w:pPr>
        <w:widowControl w:val="0"/>
        <w:numPr>
          <w:ilvl w:val="1"/>
          <w:numId w:val="1"/>
        </w:numPr>
        <w:spacing w:after="120"/>
        <w:rPr>
          <w:rFonts w:asciiTheme="minorHAnsi" w:hAnsiTheme="minorHAnsi"/>
          <w:snapToGrid w:val="0"/>
        </w:rPr>
      </w:pPr>
      <w:r w:rsidRPr="00622E6C">
        <w:t xml:space="preserve">The PBAC recommended the listing of </w:t>
      </w:r>
      <w:r w:rsidRPr="00622E6C">
        <w:rPr>
          <w:rFonts w:asciiTheme="minorHAnsi" w:hAnsiTheme="minorHAnsi"/>
          <w:snapToGrid w:val="0"/>
        </w:rPr>
        <w:t>daratumumab subcutaneous (SC), for use in combination with cyclophosphamide, bortezomib and dexamethasone (CyBorD), for the treatment of patients with newly diagnosed systemic light-chain AL amyloidosis. The PBAC recognised that there are no treatments on the PBS available specifically for this condition, and it considered that the addition of daratumumab SC plus CyBorD offered a high added therapeutic value. The PBAC considered that the revised economic analysis, which included more conservative assumptions, and a risk sharing arrangement (RSA), based on reduced financial estimates which also accounted for the overlap between patients with AL amyloidosis and multiple myeloma (MM), were acceptable.</w:t>
      </w:r>
    </w:p>
    <w:p w14:paraId="3AC75E7C" w14:textId="24BB2866"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The PBAC noted that the resubmission implemented the three changes to the economic model that had been requested at the November 2021 meeting to reflect more conservative assumptions (time horizon reduced from 25 to ≤ 20 years; time to subsequent treatment extrapolations converged from 24 to 60 months; and European Myeloma Network (EMN) data used to inform translation of haematologic response to OS). The PBAC noted that these changes resulted in an ICER of</w:t>
      </w:r>
      <w:r w:rsidR="00E92018">
        <w:rPr>
          <w:rFonts w:asciiTheme="minorHAnsi" w:hAnsiTheme="minorHAnsi"/>
          <w:snapToGrid w:val="0"/>
        </w:rPr>
        <w:t xml:space="preserve"> </w:t>
      </w:r>
      <w:r w:rsidR="00E92018" w:rsidRPr="00E92018">
        <w:rPr>
          <w:rFonts w:asciiTheme="minorHAnsi" w:hAnsiTheme="minorHAnsi"/>
          <w:snapToGrid w:val="0"/>
        </w:rPr>
        <w:t>$75,000 to &lt; $95,000</w:t>
      </w:r>
      <w:r w:rsidRPr="00622E6C">
        <w:rPr>
          <w:rFonts w:asciiTheme="minorHAnsi" w:hAnsiTheme="minorHAnsi"/>
          <w:snapToGrid w:val="0"/>
        </w:rPr>
        <w:t xml:space="preserve"> per QALY.</w:t>
      </w:r>
    </w:p>
    <w:p w14:paraId="0D809018" w14:textId="66DA0941"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The PBAC noted that the resubmission proposed an RSA in which the subsidisation caps for AL amyloidosis were set lower than the utilisation estimates (the number of prescriptions per year was reduced </w:t>
      </w:r>
      <w:r w:rsidRPr="003D7D70">
        <w:rPr>
          <w:rFonts w:asciiTheme="minorHAnsi" w:hAnsiTheme="minorHAnsi"/>
          <w:snapToGrid w:val="0"/>
        </w:rPr>
        <w:t xml:space="preserve">by </w:t>
      </w:r>
      <w:r w:rsidR="00862DEF" w:rsidRPr="00494C04">
        <w:rPr>
          <w:rFonts w:asciiTheme="minorHAnsi" w:hAnsiTheme="minorHAnsi"/>
          <w:snapToGrid w:val="0"/>
          <w:color w:val="000000"/>
          <w:w w:val="15"/>
          <w:shd w:val="solid" w:color="000000" w:fill="000000"/>
          <w:fitText w:val="-20" w:id="-1463557120"/>
          <w14:textFill>
            <w14:solidFill>
              <w14:srgbClr w14:val="000000">
                <w14:alpha w14:val="100000"/>
              </w14:srgbClr>
            </w14:solidFill>
          </w14:textFill>
        </w:rPr>
        <w:t xml:space="preserve">|  </w:t>
      </w:r>
      <w:r w:rsidR="00862DEF" w:rsidRPr="00494C04">
        <w:rPr>
          <w:rFonts w:asciiTheme="minorHAnsi" w:hAnsiTheme="minorHAnsi"/>
          <w:snapToGrid w:val="0"/>
          <w:color w:val="000000"/>
          <w:spacing w:val="-69"/>
          <w:w w:val="15"/>
          <w:shd w:val="solid" w:color="000000" w:fill="000000"/>
          <w:fitText w:val="-20" w:id="-1463557120"/>
          <w14:textFill>
            <w14:solidFill>
              <w14:srgbClr w14:val="000000">
                <w14:alpha w14:val="100000"/>
              </w14:srgbClr>
            </w14:solidFill>
          </w14:textFill>
        </w:rPr>
        <w:t>|</w:t>
      </w:r>
      <w:r w:rsidRPr="003D7D70">
        <w:rPr>
          <w:rFonts w:asciiTheme="minorHAnsi" w:hAnsiTheme="minorHAnsi"/>
          <w:snapToGrid w:val="0"/>
        </w:rPr>
        <w:t>%) resulting</w:t>
      </w:r>
      <w:r w:rsidRPr="00622E6C">
        <w:rPr>
          <w:rFonts w:asciiTheme="minorHAnsi" w:hAnsiTheme="minorHAnsi"/>
          <w:snapToGrid w:val="0"/>
        </w:rPr>
        <w:t xml:space="preserve"> in </w:t>
      </w:r>
      <w:r w:rsidRPr="003D7D70">
        <w:rPr>
          <w:rFonts w:asciiTheme="minorHAnsi" w:hAnsiTheme="minorHAnsi"/>
          <w:snapToGrid w:val="0"/>
        </w:rPr>
        <w:t>a 19.2% reduction</w:t>
      </w:r>
      <w:r w:rsidRPr="00622E6C">
        <w:rPr>
          <w:rFonts w:asciiTheme="minorHAnsi" w:hAnsiTheme="minorHAnsi"/>
          <w:snapToGrid w:val="0"/>
        </w:rPr>
        <w:t xml:space="preserve"> in net cost of daratumumab SC to PBS/RPBS, as shown in Table 25.  The PBAC noted that if (i) the expenditure caps were exceeded as estimated; and (ii) the reduced effective ex-manufacturer price which reflected the net effective price after payment of cap rebates (i.e. $</w:t>
      </w:r>
      <w:r w:rsidR="00177EEC" w:rsidRPr="00494C04">
        <w:rPr>
          <w:rFonts w:asciiTheme="minorHAnsi" w:hAnsiTheme="minorHAnsi"/>
          <w:snapToGrid w:val="0"/>
          <w:color w:val="000000"/>
          <w:w w:val="15"/>
          <w:shd w:val="solid" w:color="000000" w:fill="000000"/>
          <w:fitText w:val="-10" w:id="-1477790462"/>
          <w14:textFill>
            <w14:solidFill>
              <w14:srgbClr w14:val="000000">
                <w14:alpha w14:val="100000"/>
              </w14:srgbClr>
            </w14:solidFill>
          </w14:textFill>
        </w:rPr>
        <w:t xml:space="preserve">|  </w:t>
      </w:r>
      <w:r w:rsidR="00177EEC" w:rsidRPr="00494C04">
        <w:rPr>
          <w:rFonts w:asciiTheme="minorHAnsi" w:hAnsiTheme="minorHAnsi"/>
          <w:snapToGrid w:val="0"/>
          <w:color w:val="000000"/>
          <w:spacing w:val="-59"/>
          <w:w w:val="15"/>
          <w:shd w:val="solid" w:color="000000" w:fill="000000"/>
          <w:fitText w:val="-10" w:id="-1477790462"/>
          <w14:textFill>
            <w14:solidFill>
              <w14:srgbClr w14:val="000000">
                <w14:alpha w14:val="100000"/>
              </w14:srgbClr>
            </w14:solidFill>
          </w14:textFill>
        </w:rPr>
        <w:t>|</w:t>
      </w:r>
      <w:r w:rsidRPr="00622E6C">
        <w:rPr>
          <w:rFonts w:asciiTheme="minorHAnsi" w:hAnsiTheme="minorHAnsi"/>
          <w:snapToGrid w:val="0"/>
        </w:rPr>
        <w:t xml:space="preserve">) was incorporated into the economic model, then the ICER was reduced to </w:t>
      </w:r>
      <w:r w:rsidR="00E92018" w:rsidRPr="00E92018">
        <w:rPr>
          <w:rFonts w:asciiTheme="minorHAnsi" w:hAnsiTheme="minorHAnsi"/>
          <w:snapToGrid w:val="0"/>
        </w:rPr>
        <w:t xml:space="preserve">$55,000 to &lt; $75,000 </w:t>
      </w:r>
      <w:r w:rsidRPr="00622E6C">
        <w:rPr>
          <w:rFonts w:asciiTheme="minorHAnsi" w:hAnsiTheme="minorHAnsi"/>
          <w:snapToGrid w:val="0"/>
        </w:rPr>
        <w:t xml:space="preserve">per QALY. The PBAC noted that this ICER would only be achieved if the use of daratumumab for AL amyloidosis was as predicted or greater. The PBAC considered that it was unknown if the ICER of </w:t>
      </w:r>
      <w:r w:rsidR="00E92018" w:rsidRPr="00E92018">
        <w:rPr>
          <w:rFonts w:asciiTheme="minorHAnsi" w:hAnsiTheme="minorHAnsi"/>
          <w:snapToGrid w:val="0"/>
        </w:rPr>
        <w:t xml:space="preserve">$55,000 to &lt; $75,000 </w:t>
      </w:r>
      <w:r w:rsidRPr="00622E6C">
        <w:rPr>
          <w:rFonts w:asciiTheme="minorHAnsi" w:hAnsiTheme="minorHAnsi"/>
          <w:snapToGrid w:val="0"/>
        </w:rPr>
        <w:t xml:space="preserve">per QALY would be realised as it relied on predicted use which is inherently uncertain. Further, with a combined RSA for AL amyloidosis and MM, achieving the lower ICER is contingent on the predicted use in both indications being accurate. The Committee noted that the ICER increased up to </w:t>
      </w:r>
      <w:r w:rsidR="00E92018" w:rsidRPr="00E92018">
        <w:rPr>
          <w:rFonts w:asciiTheme="minorHAnsi" w:hAnsiTheme="minorHAnsi"/>
          <w:snapToGrid w:val="0"/>
        </w:rPr>
        <w:t>$75,000 to &lt; $95,000</w:t>
      </w:r>
      <w:r w:rsidR="00E92018">
        <w:rPr>
          <w:rFonts w:asciiTheme="minorHAnsi" w:hAnsiTheme="minorHAnsi"/>
          <w:snapToGrid w:val="0"/>
        </w:rPr>
        <w:t xml:space="preserve"> </w:t>
      </w:r>
      <w:r w:rsidRPr="00622E6C">
        <w:rPr>
          <w:rFonts w:asciiTheme="minorHAnsi" w:hAnsiTheme="minorHAnsi"/>
          <w:snapToGrid w:val="0"/>
        </w:rPr>
        <w:t xml:space="preserve">per QALY if use was less than predicted and, in the context of the high clinical need for a small patient population, the PBAC considered daratumumab to be cost-effective provided the RSA was based on the use of daratumumab for AL amyloidosis as outlined in Table 25. </w:t>
      </w:r>
    </w:p>
    <w:p w14:paraId="1824A26B" w14:textId="5B458AE3"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The PBAC noted that the incorporation of the proposed effective approved ex-manufacturer price (AEMP) of daratumumab SC (AEMP = $</w:t>
      </w:r>
      <w:r w:rsidR="00177EEC" w:rsidRPr="00494C04">
        <w:rPr>
          <w:rFonts w:asciiTheme="minorHAnsi" w:hAnsiTheme="minorHAnsi"/>
          <w:snapToGrid w:val="0"/>
          <w:color w:val="000000"/>
          <w:w w:val="15"/>
          <w:shd w:val="solid" w:color="000000" w:fill="000000"/>
          <w:fitText w:val="-10" w:id="-1477790461"/>
          <w14:textFill>
            <w14:solidFill>
              <w14:srgbClr w14:val="000000">
                <w14:alpha w14:val="100000"/>
              </w14:srgbClr>
            </w14:solidFill>
          </w14:textFill>
        </w:rPr>
        <w:t xml:space="preserve">|  </w:t>
      </w:r>
      <w:r w:rsidR="00177EEC" w:rsidRPr="00494C04">
        <w:rPr>
          <w:rFonts w:asciiTheme="minorHAnsi" w:hAnsiTheme="minorHAnsi"/>
          <w:snapToGrid w:val="0"/>
          <w:color w:val="000000"/>
          <w:spacing w:val="-59"/>
          <w:w w:val="15"/>
          <w:shd w:val="solid" w:color="000000" w:fill="000000"/>
          <w:fitText w:val="-10" w:id="-1477790461"/>
          <w14:textFill>
            <w14:solidFill>
              <w14:srgbClr w14:val="000000">
                <w14:alpha w14:val="100000"/>
              </w14:srgbClr>
            </w14:solidFill>
          </w14:textFill>
        </w:rPr>
        <w:t>|</w:t>
      </w:r>
      <w:r w:rsidRPr="00622E6C">
        <w:rPr>
          <w:rFonts w:asciiTheme="minorHAnsi" w:hAnsiTheme="minorHAnsi"/>
          <w:snapToGrid w:val="0"/>
        </w:rPr>
        <w:t xml:space="preserve">) into the financial impact model resulted in an estimated net cost of daratumumab SC to PBS/RPBS of </w:t>
      </w:r>
      <w:r w:rsidR="00E92018" w:rsidRPr="00E92018">
        <w:rPr>
          <w:rFonts w:asciiTheme="minorHAnsi" w:hAnsiTheme="minorHAnsi"/>
          <w:snapToGrid w:val="0"/>
        </w:rPr>
        <w:t>$100 million to &lt; $200 million</w:t>
      </w:r>
      <w:r w:rsidR="00E92018">
        <w:rPr>
          <w:rFonts w:asciiTheme="minorHAnsi" w:hAnsiTheme="minorHAnsi"/>
          <w:snapToGrid w:val="0"/>
        </w:rPr>
        <w:t xml:space="preserve"> </w:t>
      </w:r>
      <w:r w:rsidRPr="00622E6C">
        <w:rPr>
          <w:rFonts w:asciiTheme="minorHAnsi" w:hAnsiTheme="minorHAnsi"/>
          <w:snapToGrid w:val="0"/>
        </w:rPr>
        <w:t>over 6 years (</w:t>
      </w:r>
      <w:r w:rsidR="00E92018" w:rsidRPr="00E92018">
        <w:rPr>
          <w:rFonts w:asciiTheme="minorHAnsi" w:hAnsiTheme="minorHAnsi"/>
          <w:snapToGrid w:val="0"/>
        </w:rPr>
        <w:t>$40 million to &lt; $50 million</w:t>
      </w:r>
      <w:r w:rsidR="00E92018">
        <w:rPr>
          <w:rFonts w:asciiTheme="minorHAnsi" w:hAnsiTheme="minorHAnsi"/>
          <w:snapToGrid w:val="0"/>
        </w:rPr>
        <w:t xml:space="preserve"> </w:t>
      </w:r>
      <w:r w:rsidRPr="00622E6C">
        <w:rPr>
          <w:rFonts w:asciiTheme="minorHAnsi" w:hAnsiTheme="minorHAnsi"/>
          <w:snapToGrid w:val="0"/>
        </w:rPr>
        <w:t xml:space="preserve">over 3 years), and a net cost of daratumumab SC + CyBorD to PBS/RPBS of </w:t>
      </w:r>
      <w:r w:rsidR="00E92018" w:rsidRPr="00E92018">
        <w:rPr>
          <w:rFonts w:asciiTheme="minorHAnsi" w:hAnsiTheme="minorHAnsi"/>
          <w:snapToGrid w:val="0"/>
        </w:rPr>
        <w:t>$100 million to &lt; $200 million</w:t>
      </w:r>
      <w:r w:rsidR="00E92018">
        <w:rPr>
          <w:rFonts w:asciiTheme="minorHAnsi" w:hAnsiTheme="minorHAnsi"/>
          <w:snapToGrid w:val="0"/>
        </w:rPr>
        <w:t xml:space="preserve"> </w:t>
      </w:r>
      <w:r w:rsidRPr="00622E6C">
        <w:rPr>
          <w:rFonts w:asciiTheme="minorHAnsi" w:hAnsiTheme="minorHAnsi"/>
          <w:snapToGrid w:val="0"/>
        </w:rPr>
        <w:t>over 6 years.</w:t>
      </w:r>
    </w:p>
    <w:p w14:paraId="5077911A" w14:textId="63B622DE" w:rsidR="00796A91" w:rsidRPr="00622E6C" w:rsidRDefault="00796A91" w:rsidP="00796A91">
      <w:pPr>
        <w:widowControl w:val="0"/>
        <w:numPr>
          <w:ilvl w:val="1"/>
          <w:numId w:val="1"/>
        </w:numPr>
        <w:spacing w:after="120"/>
      </w:pPr>
      <w:r w:rsidRPr="00622E6C">
        <w:rPr>
          <w:snapToGrid w:val="0"/>
        </w:rPr>
        <w:t xml:space="preserve">The PBAC noted that the resubmission proposed an RSA that was consistent with the advice provided at the November 2021 meeting.  A </w:t>
      </w:r>
      <w:r w:rsidRPr="00622E6C">
        <w:t xml:space="preserve">combined RSA for daratumumab use in AL amyloidosis and second-line MM was proposed for 3 years, which was based on the estimates of AL amyloidosis utilisation presented in the pre-sub-committee response (PSCR) considered at the November 2021 meeting. The combined cap was reduced to account for overlap between the indications and assumed that patients diagnosed with both indications would receive only one course of daratumumab per lifetime. The resubmission proposed that the AL amyloidosis indication would join the existing MM RSA in its third year (2023), and that a rebate of </w:t>
      </w:r>
      <w:r w:rsidR="00177EEC" w:rsidRPr="00494C04">
        <w:rPr>
          <w:color w:val="000000"/>
          <w:w w:val="15"/>
          <w:shd w:val="solid" w:color="000000" w:fill="000000"/>
          <w:fitText w:val="-20" w:id="-1477790460"/>
          <w14:textFill>
            <w14:solidFill>
              <w14:srgbClr w14:val="000000">
                <w14:alpha w14:val="100000"/>
              </w14:srgbClr>
            </w14:solidFill>
          </w14:textFill>
        </w:rPr>
        <w:t xml:space="preserve">|  </w:t>
      </w:r>
      <w:r w:rsidR="00177EEC" w:rsidRPr="00494C04">
        <w:rPr>
          <w:color w:val="000000"/>
          <w:spacing w:val="-69"/>
          <w:w w:val="15"/>
          <w:shd w:val="solid" w:color="000000" w:fill="000000"/>
          <w:fitText w:val="-20" w:id="-1477790460"/>
          <w14:textFill>
            <w14:solidFill>
              <w14:srgbClr w14:val="000000">
                <w14:alpha w14:val="100000"/>
              </w14:srgbClr>
            </w14:solidFill>
          </w14:textFill>
        </w:rPr>
        <w:t>|</w:t>
      </w:r>
      <w:r w:rsidRPr="00622E6C">
        <w:t xml:space="preserve">% would apply above the combined cap threshold, consistent with the current rebate for MM. The PBAC noted expert advice that indicated that almost all patients with concurrent AL amyloidosis and MM would be diagnosed with AL amyloidosis first. The PBAC considered that the rebate of </w:t>
      </w:r>
      <w:r w:rsidR="00177EEC" w:rsidRPr="00494C04">
        <w:rPr>
          <w:color w:val="000000"/>
          <w:w w:val="15"/>
          <w:shd w:val="solid" w:color="000000" w:fill="000000"/>
          <w:fitText w:val="-20" w:id="-1477790459"/>
          <w14:textFill>
            <w14:solidFill>
              <w14:srgbClr w14:val="000000">
                <w14:alpha w14:val="100000"/>
              </w14:srgbClr>
            </w14:solidFill>
          </w14:textFill>
        </w:rPr>
        <w:t xml:space="preserve">|  </w:t>
      </w:r>
      <w:r w:rsidR="00177EEC" w:rsidRPr="00494C04">
        <w:rPr>
          <w:color w:val="000000"/>
          <w:spacing w:val="-69"/>
          <w:w w:val="15"/>
          <w:shd w:val="solid" w:color="000000" w:fill="000000"/>
          <w:fitText w:val="-20" w:id="-1477790459"/>
          <w14:textFill>
            <w14:solidFill>
              <w14:srgbClr w14:val="000000">
                <w14:alpha w14:val="100000"/>
              </w14:srgbClr>
            </w14:solidFill>
          </w14:textFill>
        </w:rPr>
        <w:t>|</w:t>
      </w:r>
      <w:r w:rsidRPr="00622E6C">
        <w:t xml:space="preserve">% was appropriate and the estimates to reduce second line MM usage of daratumumab by </w:t>
      </w:r>
      <w:r w:rsidR="0081298F" w:rsidRPr="0081298F">
        <w:t>&lt; 500</w:t>
      </w:r>
      <w:r w:rsidRPr="00622E6C">
        <w:t xml:space="preserve"> patients in Year 1, </w:t>
      </w:r>
      <w:r w:rsidR="0081298F" w:rsidRPr="0081298F">
        <w:t>&lt; 500</w:t>
      </w:r>
      <w:r w:rsidR="0081298F">
        <w:t xml:space="preserve"> </w:t>
      </w:r>
      <w:r w:rsidRPr="00622E6C">
        <w:t xml:space="preserve">in Year 2 and </w:t>
      </w:r>
      <w:r w:rsidR="0081298F" w:rsidRPr="0081298F">
        <w:t>&lt; 500</w:t>
      </w:r>
      <w:r w:rsidRPr="00622E6C">
        <w:t xml:space="preserve"> in Year 3 were reasonable.</w:t>
      </w:r>
    </w:p>
    <w:p w14:paraId="16066F0F" w14:textId="1F492CFC" w:rsidR="00796A91" w:rsidRPr="00622E6C" w:rsidRDefault="00796A91" w:rsidP="00796A91">
      <w:pPr>
        <w:widowControl w:val="0"/>
        <w:numPr>
          <w:ilvl w:val="1"/>
          <w:numId w:val="1"/>
        </w:numPr>
        <w:spacing w:after="120"/>
        <w:rPr>
          <w:rFonts w:asciiTheme="minorHAnsi" w:hAnsiTheme="minorHAnsi"/>
          <w:snapToGrid w:val="0"/>
        </w:rPr>
      </w:pPr>
      <w:r w:rsidRPr="00622E6C">
        <w:t xml:space="preserve">The PBAC noted that adding daratumumab SC for AL amyloidosis to the daratumumab MM RSA as proposed would result in an estimated net </w:t>
      </w:r>
      <w:r w:rsidR="00BC34F3" w:rsidRPr="00BC34F3">
        <w:t>$30 million to &lt; $40 million</w:t>
      </w:r>
      <w:r w:rsidR="00BC34F3">
        <w:t xml:space="preserve"> </w:t>
      </w:r>
      <w:r w:rsidRPr="00622E6C">
        <w:t xml:space="preserve">increase in the total cost to the PBS/RPBS for daratumumab over the remaining 3 years of the RSA and considered the </w:t>
      </w:r>
      <w:r w:rsidRPr="00622E6C">
        <w:rPr>
          <w:rFonts w:asciiTheme="minorHAnsi" w:hAnsiTheme="minorHAnsi"/>
          <w:snapToGrid w:val="0"/>
        </w:rPr>
        <w:t>estimates to be reasonable. However, the PBAC also noted that for MM the use of daratumumab to date was less than predicted in the July 2020 submission. The PBAC noted that with a combined RSA for AL amyloidosis and MM, the use in one indication may compensate for the use in the other i.e. use below that expected for MM would reduce the rebates paid for AL amyloidosis and vice versa. The PBAC advised that if the overlap between the indications could be appropriately accounted for across separate RSAs for each indication (i.e. the MM cap was reduced by the estimates in Table 27), then keeping separate RSAs would be a preferable approach as it would prevent cross subsidisation across the indications.</w:t>
      </w:r>
    </w:p>
    <w:p w14:paraId="0FDF5969" w14:textId="77777777" w:rsidR="00796A91" w:rsidRPr="00622E6C" w:rsidRDefault="00796A91" w:rsidP="00796A91">
      <w:pPr>
        <w:widowControl w:val="0"/>
        <w:numPr>
          <w:ilvl w:val="1"/>
          <w:numId w:val="1"/>
        </w:numPr>
        <w:spacing w:after="120"/>
      </w:pPr>
      <w:r w:rsidRPr="00622E6C">
        <w:rPr>
          <w:snapToGrid w:val="0"/>
        </w:rPr>
        <w:t>Regarding the proposed restrictions, the following advice was provided by the PBAC:</w:t>
      </w:r>
    </w:p>
    <w:p w14:paraId="0675C526" w14:textId="77777777" w:rsidR="00796A91" w:rsidRPr="00622E6C" w:rsidRDefault="00796A91" w:rsidP="0070637E">
      <w:pPr>
        <w:pStyle w:val="ListParagraph"/>
        <w:numPr>
          <w:ilvl w:val="0"/>
          <w:numId w:val="19"/>
        </w:numPr>
        <w:ind w:left="1071" w:hanging="357"/>
      </w:pPr>
      <w:r w:rsidRPr="00622E6C">
        <w:t>Noting that the early resolution resubmission provided updated restrictions for daratumumab in AL amyloidosis in which patients were limited to one course of daratumumab (IV or SC) per lifetime, the PBAC considered that a similar criterion should be added to the second-line MM restrictions. This PBS noted that this would result in flow-on restriction changes to the existing daratumumab listings.</w:t>
      </w:r>
    </w:p>
    <w:p w14:paraId="6F18F887" w14:textId="77777777" w:rsidR="00796A91" w:rsidRPr="00622E6C" w:rsidRDefault="00796A91" w:rsidP="0070637E">
      <w:pPr>
        <w:pStyle w:val="ListParagraph"/>
        <w:numPr>
          <w:ilvl w:val="0"/>
          <w:numId w:val="19"/>
        </w:numPr>
        <w:ind w:left="1071" w:hanging="357"/>
      </w:pPr>
      <w:r w:rsidRPr="00622E6C">
        <w:t>The number of repeats for the continuing (week 25+) and grandfather listings should be 5, not 7 as proposed in the submission, for closest alignment to 104 weeks (2 years) duration of treatment in the absence of disease progression as recommended by the Product Information.</w:t>
      </w:r>
    </w:p>
    <w:p w14:paraId="2C0335F3" w14:textId="77777777" w:rsidR="00796A91" w:rsidRPr="00622E6C" w:rsidRDefault="00796A91" w:rsidP="0070637E">
      <w:pPr>
        <w:pStyle w:val="ListParagraph"/>
        <w:numPr>
          <w:ilvl w:val="0"/>
          <w:numId w:val="19"/>
        </w:numPr>
        <w:ind w:left="1071" w:hanging="357"/>
      </w:pPr>
      <w:r w:rsidRPr="00622E6C">
        <w:t>The clinical criterion that “Patients must have a confirmed histological diagnosis of systemic light-chain amyloidosis” should be included in the initial listing.</w:t>
      </w:r>
    </w:p>
    <w:p w14:paraId="12397C21" w14:textId="77777777" w:rsidR="00796A91" w:rsidRPr="00622E6C" w:rsidRDefault="00796A91" w:rsidP="0070637E">
      <w:pPr>
        <w:pStyle w:val="ListParagraph"/>
        <w:numPr>
          <w:ilvl w:val="0"/>
          <w:numId w:val="19"/>
        </w:numPr>
        <w:ind w:left="1071" w:hanging="357"/>
      </w:pPr>
      <w:r w:rsidRPr="00622E6C">
        <w:t>Flow-on changes to the bortezomib PBS indication will be required to allow PBS-funded bortezomib to be used as part of the daratumumab SC + CyBorD regimen.  Bortezomib’s current PBS indication is restricted to use in MM.</w:t>
      </w:r>
    </w:p>
    <w:p w14:paraId="425BB117" w14:textId="77777777" w:rsidR="00796A91" w:rsidRPr="00622E6C" w:rsidRDefault="00796A91" w:rsidP="0070637E">
      <w:pPr>
        <w:pStyle w:val="ListParagraph"/>
        <w:numPr>
          <w:ilvl w:val="0"/>
          <w:numId w:val="19"/>
        </w:numPr>
        <w:ind w:left="1071" w:hanging="357"/>
      </w:pPr>
      <w:r w:rsidRPr="00622E6C">
        <w:t>The PBAC noted that the November 2021 submission estimated that 30 patients may require non-PBS to PBS transitioning arrangements and advised that a grandfather restriction was appropriate.</w:t>
      </w:r>
    </w:p>
    <w:p w14:paraId="52A5948C" w14:textId="77777777"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The PBAC advised that daratumumab is not suitable for prescribing by nurse practitioners.</w:t>
      </w:r>
    </w:p>
    <w:p w14:paraId="3540ACDB" w14:textId="77777777"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The PBAC recommended that the Early Supply Rule should not apply.</w:t>
      </w:r>
    </w:p>
    <w:p w14:paraId="0D3419EA" w14:textId="77777777" w:rsidR="00796A91" w:rsidRPr="00622E6C" w:rsidRDefault="00796A91" w:rsidP="00796A91">
      <w:pPr>
        <w:widowControl w:val="0"/>
        <w:numPr>
          <w:ilvl w:val="1"/>
          <w:numId w:val="1"/>
        </w:numPr>
        <w:spacing w:after="120"/>
        <w:rPr>
          <w:rFonts w:asciiTheme="minorHAnsi" w:hAnsiTheme="minorHAnsi"/>
          <w:snapToGrid w:val="0"/>
        </w:rPr>
      </w:pPr>
      <w:r w:rsidRPr="00622E6C">
        <w:rPr>
          <w:rFonts w:asciiTheme="minorHAnsi" w:hAnsiTheme="minorHAnsi"/>
          <w:snapToGrid w:val="0"/>
        </w:rPr>
        <w:t xml:space="preserve">The PBAC found that the criteria prescribed by the </w:t>
      </w:r>
      <w:r w:rsidRPr="00622E6C">
        <w:rPr>
          <w:rFonts w:asciiTheme="minorHAnsi" w:hAnsiTheme="minorHAnsi"/>
          <w:i/>
          <w:iCs/>
          <w:snapToGrid w:val="0"/>
        </w:rPr>
        <w:t>National Health (Pharmaceuticals and Vaccines – Cost Recovery) Regulations 2009</w:t>
      </w:r>
      <w:r w:rsidRPr="00622E6C">
        <w:rPr>
          <w:rFonts w:asciiTheme="minorHAnsi" w:hAnsiTheme="minorHAnsi"/>
          <w:snapToGrid w:val="0"/>
        </w:rPr>
        <w:t xml:space="preserve"> for Pricing Pathway A were met. Specifically, the PBAC found that in the circumstances of its recommendation for daratumumab:</w:t>
      </w:r>
    </w:p>
    <w:p w14:paraId="22D2DD02" w14:textId="77777777" w:rsidR="00796A91" w:rsidRPr="00622E6C" w:rsidRDefault="00796A91" w:rsidP="0070637E">
      <w:pPr>
        <w:pStyle w:val="ListParagraph"/>
        <w:widowControl w:val="0"/>
        <w:numPr>
          <w:ilvl w:val="0"/>
          <w:numId w:val="21"/>
        </w:numPr>
        <w:ind w:left="1077" w:hanging="357"/>
      </w:pPr>
      <w:r w:rsidRPr="00622E6C">
        <w:t>The treatment is expected to provide a substantial and clinically relevant improvement in efficacy over currently available treatments;</w:t>
      </w:r>
    </w:p>
    <w:p w14:paraId="0E7555A5" w14:textId="77777777" w:rsidR="00796A91" w:rsidRPr="00622E6C" w:rsidRDefault="00796A91" w:rsidP="0070637E">
      <w:pPr>
        <w:pStyle w:val="ListBullet"/>
        <w:numPr>
          <w:ilvl w:val="0"/>
          <w:numId w:val="21"/>
        </w:numPr>
        <w:spacing w:after="120"/>
        <w:ind w:left="1077" w:hanging="357"/>
        <w:contextualSpacing w:val="0"/>
      </w:pPr>
      <w:r w:rsidRPr="00622E6C">
        <w:t>The treatment is expected to address a high and urgent unmet clinical need as there are no treatments on the PBS specifically for this condition; and</w:t>
      </w:r>
    </w:p>
    <w:p w14:paraId="46634C18" w14:textId="77777777" w:rsidR="00796A91" w:rsidRPr="00622E6C" w:rsidRDefault="00796A91" w:rsidP="0070637E">
      <w:pPr>
        <w:pStyle w:val="ListBullet"/>
        <w:numPr>
          <w:ilvl w:val="0"/>
          <w:numId w:val="21"/>
        </w:numPr>
        <w:spacing w:after="120"/>
        <w:contextualSpacing w:val="0"/>
      </w:pPr>
      <w:r w:rsidRPr="00622E6C">
        <w:t>It would be in the public interest for the subsequent pricing application to be progressed under Pricing Pathway A on the basis of the preceding findings.</w:t>
      </w:r>
    </w:p>
    <w:p w14:paraId="6A6B148D" w14:textId="77777777" w:rsidR="00796A91" w:rsidRPr="00622E6C" w:rsidRDefault="00796A91" w:rsidP="00796A91">
      <w:pPr>
        <w:widowControl w:val="0"/>
        <w:numPr>
          <w:ilvl w:val="1"/>
          <w:numId w:val="1"/>
        </w:numPr>
        <w:rPr>
          <w:rFonts w:asciiTheme="minorHAnsi" w:hAnsiTheme="minorHAnsi"/>
          <w:snapToGrid w:val="0"/>
        </w:rPr>
      </w:pPr>
      <w:r w:rsidRPr="00622E6C">
        <w:rPr>
          <w:rFonts w:asciiTheme="minorHAnsi" w:hAnsiTheme="minorHAnsi"/>
          <w:snapToGrid w:val="0"/>
        </w:rPr>
        <w:t>The PBAC noted that this submission was not eligible for an Independent Review as it is a positive recommendation.</w:t>
      </w:r>
    </w:p>
    <w:p w14:paraId="29004B47" w14:textId="77777777" w:rsidR="00796A91" w:rsidRPr="00622E6C" w:rsidRDefault="00796A91" w:rsidP="00796A91"/>
    <w:p w14:paraId="0B54A568" w14:textId="77777777" w:rsidR="00796A91" w:rsidRPr="00622E6C" w:rsidRDefault="00796A91" w:rsidP="00796A91">
      <w:pPr>
        <w:rPr>
          <w:rFonts w:asciiTheme="minorHAnsi" w:hAnsiTheme="minorHAnsi"/>
          <w:b/>
          <w:snapToGrid w:val="0"/>
        </w:rPr>
      </w:pPr>
      <w:r w:rsidRPr="00622E6C">
        <w:rPr>
          <w:rFonts w:asciiTheme="minorHAnsi" w:hAnsiTheme="minorHAnsi"/>
          <w:b/>
          <w:snapToGrid w:val="0"/>
        </w:rPr>
        <w:t>Outcome:</w:t>
      </w:r>
    </w:p>
    <w:p w14:paraId="55505BE8" w14:textId="63E57FE2" w:rsidR="00796A91" w:rsidRPr="00622E6C" w:rsidRDefault="00796A91" w:rsidP="00AE4FB8">
      <w:r w:rsidRPr="00622E6C">
        <w:rPr>
          <w:rFonts w:asciiTheme="minorHAnsi" w:hAnsiTheme="minorHAnsi"/>
          <w:bCs/>
          <w:snapToGrid w:val="0"/>
        </w:rPr>
        <w:t>Recommended</w:t>
      </w:r>
    </w:p>
    <w:p w14:paraId="06E2B092" w14:textId="77777777" w:rsidR="00796A91" w:rsidRPr="00622E6C" w:rsidRDefault="00796A91" w:rsidP="00796A91">
      <w:pPr>
        <w:pStyle w:val="2-SectionHeading"/>
      </w:pPr>
      <w:r w:rsidRPr="00622E6C">
        <w:t>Recommended listing</w:t>
      </w:r>
    </w:p>
    <w:p w14:paraId="419C89FC" w14:textId="77777777" w:rsidR="00796A91" w:rsidRPr="00622E6C" w:rsidRDefault="00796A91" w:rsidP="00796A91">
      <w:pPr>
        <w:pStyle w:val="3-BodyText"/>
      </w:pPr>
      <w:r w:rsidRPr="00622E6C">
        <w:t>Amend existing listing as follows:</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2123"/>
        <w:gridCol w:w="849"/>
        <w:gridCol w:w="849"/>
        <w:gridCol w:w="1135"/>
        <w:gridCol w:w="1527"/>
      </w:tblGrid>
      <w:tr w:rsidR="00796A91" w:rsidRPr="00622E6C" w14:paraId="5892B7D5" w14:textId="77777777" w:rsidTr="00AE4FB8">
        <w:trPr>
          <w:cantSplit/>
          <w:trHeight w:val="471"/>
        </w:trPr>
        <w:tc>
          <w:tcPr>
            <w:tcW w:w="1412" w:type="pct"/>
            <w:gridSpan w:val="2"/>
            <w:tcBorders>
              <w:top w:val="single" w:sz="4" w:space="0" w:color="auto"/>
              <w:left w:val="single" w:sz="4" w:space="0" w:color="auto"/>
              <w:bottom w:val="single" w:sz="4" w:space="0" w:color="auto"/>
              <w:right w:val="single" w:sz="4" w:space="0" w:color="auto"/>
            </w:tcBorders>
            <w:hideMark/>
          </w:tcPr>
          <w:p w14:paraId="2D666430" w14:textId="77777777" w:rsidR="00796A91" w:rsidRPr="00622E6C" w:rsidRDefault="00796A91" w:rsidP="00796A91">
            <w:pPr>
              <w:ind w:left="-57"/>
              <w:jc w:val="left"/>
              <w:rPr>
                <w:rFonts w:ascii="Arial Narrow" w:hAnsi="Arial Narrow"/>
                <w:b/>
                <w:sz w:val="20"/>
                <w:szCs w:val="20"/>
              </w:rPr>
            </w:pPr>
            <w:r w:rsidRPr="00622E6C">
              <w:rPr>
                <w:rFonts w:ascii="Arial Narrow" w:hAnsi="Arial Narrow"/>
                <w:b/>
                <w:sz w:val="20"/>
                <w:szCs w:val="20"/>
              </w:rPr>
              <w:t>MEDICINAL PRODUCT</w:t>
            </w:r>
          </w:p>
          <w:p w14:paraId="4C1E3E88" w14:textId="77777777" w:rsidR="00796A91" w:rsidRPr="00622E6C" w:rsidRDefault="00796A91" w:rsidP="00796A91">
            <w:pPr>
              <w:ind w:left="-57"/>
              <w:jc w:val="left"/>
              <w:rPr>
                <w:rFonts w:ascii="Arial Narrow" w:hAnsi="Arial Narrow"/>
                <w:b/>
                <w:sz w:val="20"/>
                <w:szCs w:val="20"/>
              </w:rPr>
            </w:pPr>
            <w:r w:rsidRPr="00622E6C">
              <w:rPr>
                <w:rFonts w:ascii="Arial Narrow" w:hAnsi="Arial Narrow"/>
                <w:b/>
                <w:sz w:val="20"/>
                <w:szCs w:val="20"/>
              </w:rPr>
              <w:t>medicinal product pack</w:t>
            </w:r>
          </w:p>
        </w:tc>
        <w:tc>
          <w:tcPr>
            <w:tcW w:w="1175" w:type="pct"/>
            <w:tcBorders>
              <w:top w:val="single" w:sz="4" w:space="0" w:color="auto"/>
              <w:left w:val="single" w:sz="4" w:space="0" w:color="auto"/>
              <w:bottom w:val="single" w:sz="4" w:space="0" w:color="auto"/>
              <w:right w:val="single" w:sz="4" w:space="0" w:color="auto"/>
            </w:tcBorders>
            <w:hideMark/>
          </w:tcPr>
          <w:p w14:paraId="3F51D0FB"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PBS item code</w:t>
            </w:r>
          </w:p>
        </w:tc>
        <w:tc>
          <w:tcPr>
            <w:tcW w:w="470" w:type="pct"/>
            <w:tcBorders>
              <w:top w:val="single" w:sz="4" w:space="0" w:color="auto"/>
              <w:left w:val="single" w:sz="4" w:space="0" w:color="auto"/>
              <w:bottom w:val="single" w:sz="4" w:space="0" w:color="auto"/>
              <w:right w:val="single" w:sz="4" w:space="0" w:color="auto"/>
            </w:tcBorders>
            <w:hideMark/>
          </w:tcPr>
          <w:p w14:paraId="40CB0467"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Max. qty packs</w:t>
            </w:r>
          </w:p>
        </w:tc>
        <w:tc>
          <w:tcPr>
            <w:tcW w:w="470" w:type="pct"/>
            <w:tcBorders>
              <w:top w:val="single" w:sz="4" w:space="0" w:color="auto"/>
              <w:left w:val="single" w:sz="4" w:space="0" w:color="auto"/>
              <w:bottom w:val="single" w:sz="4" w:space="0" w:color="auto"/>
              <w:right w:val="single" w:sz="4" w:space="0" w:color="auto"/>
            </w:tcBorders>
            <w:hideMark/>
          </w:tcPr>
          <w:p w14:paraId="4774A761"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Max. qty units</w:t>
            </w:r>
          </w:p>
        </w:tc>
        <w:tc>
          <w:tcPr>
            <w:tcW w:w="628" w:type="pct"/>
            <w:tcBorders>
              <w:top w:val="single" w:sz="4" w:space="0" w:color="auto"/>
              <w:left w:val="single" w:sz="4" w:space="0" w:color="auto"/>
              <w:bottom w:val="single" w:sz="4" w:space="0" w:color="auto"/>
              <w:right w:val="single" w:sz="4" w:space="0" w:color="auto"/>
            </w:tcBorders>
            <w:hideMark/>
          </w:tcPr>
          <w:p w14:paraId="61460469"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№.of</w:t>
            </w:r>
          </w:p>
          <w:p w14:paraId="5624179F"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Rpts</w:t>
            </w:r>
          </w:p>
        </w:tc>
        <w:tc>
          <w:tcPr>
            <w:tcW w:w="845" w:type="pct"/>
            <w:tcBorders>
              <w:top w:val="single" w:sz="4" w:space="0" w:color="auto"/>
              <w:left w:val="single" w:sz="4" w:space="0" w:color="auto"/>
              <w:bottom w:val="single" w:sz="4" w:space="0" w:color="auto"/>
              <w:right w:val="single" w:sz="4" w:space="0" w:color="auto"/>
            </w:tcBorders>
            <w:hideMark/>
          </w:tcPr>
          <w:p w14:paraId="41AB02AE" w14:textId="77777777" w:rsidR="00796A91" w:rsidRPr="00622E6C" w:rsidRDefault="00796A91" w:rsidP="00796A91">
            <w:pPr>
              <w:rPr>
                <w:rFonts w:ascii="Arial Narrow" w:hAnsi="Arial Narrow"/>
                <w:b/>
                <w:sz w:val="20"/>
                <w:szCs w:val="20"/>
              </w:rPr>
            </w:pPr>
            <w:r w:rsidRPr="00622E6C">
              <w:rPr>
                <w:rFonts w:ascii="Arial Narrow" w:hAnsi="Arial Narrow"/>
                <w:b/>
                <w:sz w:val="20"/>
                <w:szCs w:val="20"/>
              </w:rPr>
              <w:t>Available brands</w:t>
            </w:r>
          </w:p>
        </w:tc>
      </w:tr>
      <w:tr w:rsidR="00796A91" w:rsidRPr="00622E6C" w14:paraId="079DF698" w14:textId="77777777" w:rsidTr="00AE4FB8">
        <w:trPr>
          <w:cantSplit/>
          <w:trHeight w:val="207"/>
        </w:trPr>
        <w:tc>
          <w:tcPr>
            <w:tcW w:w="5000" w:type="pct"/>
            <w:gridSpan w:val="7"/>
            <w:tcBorders>
              <w:top w:val="single" w:sz="4" w:space="0" w:color="auto"/>
              <w:left w:val="single" w:sz="4" w:space="0" w:color="auto"/>
              <w:bottom w:val="single" w:sz="4" w:space="0" w:color="auto"/>
              <w:right w:val="single" w:sz="4" w:space="0" w:color="auto"/>
            </w:tcBorders>
            <w:hideMark/>
          </w:tcPr>
          <w:p w14:paraId="0FA3526E" w14:textId="77777777" w:rsidR="00796A91" w:rsidRPr="00622E6C" w:rsidRDefault="00796A91" w:rsidP="00796A91">
            <w:pPr>
              <w:ind w:left="-57"/>
              <w:jc w:val="left"/>
              <w:rPr>
                <w:rFonts w:ascii="Arial Narrow" w:hAnsi="Arial Narrow"/>
                <w:sz w:val="20"/>
                <w:szCs w:val="20"/>
              </w:rPr>
            </w:pPr>
            <w:r w:rsidRPr="00622E6C">
              <w:rPr>
                <w:rFonts w:ascii="Arial Narrow" w:hAnsi="Arial Narrow"/>
                <w:sz w:val="20"/>
                <w:szCs w:val="20"/>
              </w:rPr>
              <w:t>DARATUMUMAB</w:t>
            </w:r>
          </w:p>
        </w:tc>
      </w:tr>
      <w:tr w:rsidR="00796A91" w:rsidRPr="00622E6C" w14:paraId="2D01078C" w14:textId="77777777" w:rsidTr="00AE4FB8">
        <w:trPr>
          <w:cantSplit/>
          <w:trHeight w:val="95"/>
        </w:trPr>
        <w:tc>
          <w:tcPr>
            <w:tcW w:w="1412" w:type="pct"/>
            <w:gridSpan w:val="2"/>
            <w:tcBorders>
              <w:top w:val="single" w:sz="4" w:space="0" w:color="auto"/>
              <w:left w:val="single" w:sz="4" w:space="0" w:color="auto"/>
              <w:bottom w:val="single" w:sz="4" w:space="0" w:color="auto"/>
              <w:right w:val="single" w:sz="4" w:space="0" w:color="auto"/>
            </w:tcBorders>
            <w:hideMark/>
          </w:tcPr>
          <w:p w14:paraId="5209D446" w14:textId="77777777" w:rsidR="00796A91" w:rsidRPr="00622E6C" w:rsidRDefault="00796A91" w:rsidP="00796A91">
            <w:pPr>
              <w:ind w:left="-57"/>
              <w:jc w:val="left"/>
              <w:rPr>
                <w:rFonts w:ascii="Arial Narrow" w:hAnsi="Arial Narrow"/>
                <w:sz w:val="20"/>
                <w:szCs w:val="20"/>
              </w:rPr>
            </w:pPr>
            <w:r w:rsidRPr="00622E6C">
              <w:rPr>
                <w:rFonts w:ascii="Arial Narrow" w:hAnsi="Arial Narrow"/>
                <w:sz w:val="20"/>
                <w:szCs w:val="20"/>
              </w:rPr>
              <w:t>daratumumab 1.8 g/15 mL injection,15 mL vial</w:t>
            </w:r>
          </w:p>
        </w:tc>
        <w:tc>
          <w:tcPr>
            <w:tcW w:w="1175" w:type="pct"/>
            <w:tcBorders>
              <w:top w:val="single" w:sz="4" w:space="0" w:color="auto"/>
              <w:left w:val="single" w:sz="4" w:space="0" w:color="auto"/>
              <w:bottom w:val="single" w:sz="4" w:space="0" w:color="auto"/>
              <w:right w:val="single" w:sz="4" w:space="0" w:color="auto"/>
            </w:tcBorders>
            <w:hideMark/>
          </w:tcPr>
          <w:p w14:paraId="5E215DF7" w14:textId="77777777" w:rsidR="00796A91" w:rsidRPr="00622E6C" w:rsidRDefault="00796A91" w:rsidP="00796A91">
            <w:pPr>
              <w:ind w:left="-57"/>
              <w:jc w:val="center"/>
              <w:rPr>
                <w:rFonts w:ascii="Arial Narrow" w:hAnsi="Arial Narrow"/>
                <w:iCs/>
                <w:sz w:val="20"/>
                <w:szCs w:val="20"/>
              </w:rPr>
            </w:pPr>
            <w:r w:rsidRPr="00622E6C">
              <w:rPr>
                <w:rFonts w:ascii="Arial Narrow" w:hAnsi="Arial Narrow"/>
                <w:iCs/>
                <w:sz w:val="20"/>
                <w:szCs w:val="20"/>
              </w:rPr>
              <w:t>New (EFC – Related Ben.)</w:t>
            </w:r>
          </w:p>
          <w:p w14:paraId="411EB315" w14:textId="77777777" w:rsidR="00796A91" w:rsidRPr="00622E6C" w:rsidRDefault="00796A91" w:rsidP="00796A91">
            <w:pPr>
              <w:ind w:left="-57"/>
              <w:jc w:val="center"/>
              <w:rPr>
                <w:rFonts w:ascii="Arial Narrow" w:hAnsi="Arial Narrow"/>
                <w:sz w:val="20"/>
                <w:szCs w:val="20"/>
              </w:rPr>
            </w:pPr>
            <w:r w:rsidRPr="00622E6C">
              <w:rPr>
                <w:rFonts w:ascii="Arial Narrow" w:hAnsi="Arial Narrow"/>
                <w:iCs/>
                <w:sz w:val="20"/>
                <w:szCs w:val="20"/>
              </w:rPr>
              <w:t>New (Gen. Sch)</w:t>
            </w:r>
          </w:p>
        </w:tc>
        <w:tc>
          <w:tcPr>
            <w:tcW w:w="470" w:type="pct"/>
            <w:tcBorders>
              <w:top w:val="single" w:sz="4" w:space="0" w:color="auto"/>
              <w:left w:val="single" w:sz="4" w:space="0" w:color="auto"/>
              <w:bottom w:val="single" w:sz="4" w:space="0" w:color="auto"/>
              <w:right w:val="single" w:sz="4" w:space="0" w:color="auto"/>
            </w:tcBorders>
            <w:hideMark/>
          </w:tcPr>
          <w:p w14:paraId="51C90B1D" w14:textId="77777777" w:rsidR="00796A91" w:rsidRPr="00622E6C" w:rsidRDefault="00796A91" w:rsidP="00796A91">
            <w:pPr>
              <w:ind w:left="-57"/>
              <w:jc w:val="center"/>
              <w:rPr>
                <w:rFonts w:ascii="Arial Narrow" w:hAnsi="Arial Narrow"/>
                <w:sz w:val="20"/>
                <w:szCs w:val="20"/>
              </w:rPr>
            </w:pPr>
            <w:r w:rsidRPr="00622E6C">
              <w:rPr>
                <w:rFonts w:ascii="Arial Narrow" w:hAnsi="Arial Narrow"/>
                <w:sz w:val="20"/>
                <w:szCs w:val="20"/>
              </w:rPr>
              <w:t>1</w:t>
            </w:r>
          </w:p>
        </w:tc>
        <w:tc>
          <w:tcPr>
            <w:tcW w:w="470" w:type="pct"/>
            <w:tcBorders>
              <w:top w:val="single" w:sz="4" w:space="0" w:color="auto"/>
              <w:left w:val="single" w:sz="4" w:space="0" w:color="auto"/>
              <w:bottom w:val="single" w:sz="4" w:space="0" w:color="auto"/>
              <w:right w:val="single" w:sz="4" w:space="0" w:color="auto"/>
            </w:tcBorders>
            <w:hideMark/>
          </w:tcPr>
          <w:p w14:paraId="28BC3340" w14:textId="77777777" w:rsidR="00796A91" w:rsidRPr="00622E6C" w:rsidRDefault="00796A91" w:rsidP="00796A91">
            <w:pPr>
              <w:ind w:left="-57"/>
              <w:jc w:val="center"/>
              <w:rPr>
                <w:rFonts w:ascii="Arial Narrow" w:hAnsi="Arial Narrow"/>
                <w:sz w:val="20"/>
                <w:szCs w:val="20"/>
              </w:rPr>
            </w:pPr>
            <w:r w:rsidRPr="00622E6C">
              <w:rPr>
                <w:rFonts w:ascii="Arial Narrow" w:hAnsi="Arial Narrow"/>
                <w:sz w:val="20"/>
                <w:szCs w:val="20"/>
              </w:rPr>
              <w:t>1</w:t>
            </w:r>
          </w:p>
        </w:tc>
        <w:tc>
          <w:tcPr>
            <w:tcW w:w="628" w:type="pct"/>
            <w:tcBorders>
              <w:top w:val="single" w:sz="4" w:space="0" w:color="auto"/>
              <w:left w:val="single" w:sz="4" w:space="0" w:color="auto"/>
              <w:bottom w:val="single" w:sz="4" w:space="0" w:color="auto"/>
              <w:right w:val="single" w:sz="4" w:space="0" w:color="auto"/>
            </w:tcBorders>
            <w:hideMark/>
          </w:tcPr>
          <w:p w14:paraId="5706DE50" w14:textId="77777777" w:rsidR="00796A91" w:rsidRPr="00622E6C" w:rsidRDefault="00796A91" w:rsidP="00796A91">
            <w:pPr>
              <w:ind w:left="-57"/>
              <w:jc w:val="center"/>
              <w:rPr>
                <w:rFonts w:ascii="Arial Narrow" w:hAnsi="Arial Narrow"/>
                <w:sz w:val="20"/>
                <w:szCs w:val="20"/>
              </w:rPr>
            </w:pPr>
            <w:r w:rsidRPr="00622E6C">
              <w:rPr>
                <w:rFonts w:ascii="Arial Narrow" w:hAnsi="Arial Narrow"/>
                <w:sz w:val="20"/>
                <w:szCs w:val="20"/>
              </w:rPr>
              <w:t>15</w:t>
            </w:r>
          </w:p>
        </w:tc>
        <w:tc>
          <w:tcPr>
            <w:tcW w:w="845" w:type="pct"/>
            <w:tcBorders>
              <w:top w:val="single" w:sz="4" w:space="0" w:color="auto"/>
              <w:left w:val="single" w:sz="4" w:space="0" w:color="auto"/>
              <w:bottom w:val="single" w:sz="4" w:space="0" w:color="auto"/>
              <w:right w:val="single" w:sz="4" w:space="0" w:color="auto"/>
            </w:tcBorders>
            <w:hideMark/>
          </w:tcPr>
          <w:p w14:paraId="3D8B8884"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Darzalex SC</w:t>
            </w:r>
          </w:p>
        </w:tc>
      </w:tr>
      <w:tr w:rsidR="00796A91" w:rsidRPr="00622E6C" w14:paraId="4914B38A" w14:textId="77777777" w:rsidTr="00AE4FB8">
        <w:trPr>
          <w:cantSplit/>
          <w:trHeight w:val="95"/>
        </w:trPr>
        <w:tc>
          <w:tcPr>
            <w:tcW w:w="5000" w:type="pct"/>
            <w:gridSpan w:val="7"/>
            <w:tcBorders>
              <w:top w:val="single" w:sz="4" w:space="0" w:color="auto"/>
              <w:left w:val="single" w:sz="4" w:space="0" w:color="auto"/>
              <w:bottom w:val="single" w:sz="4" w:space="0" w:color="auto"/>
              <w:right w:val="single" w:sz="4" w:space="0" w:color="auto"/>
            </w:tcBorders>
          </w:tcPr>
          <w:p w14:paraId="1B8B464D" w14:textId="77777777" w:rsidR="00796A91" w:rsidRPr="00622E6C" w:rsidRDefault="00796A91" w:rsidP="00796A91">
            <w:pPr>
              <w:rPr>
                <w:rFonts w:ascii="Arial Narrow" w:hAnsi="Arial Narrow"/>
                <w:sz w:val="20"/>
                <w:szCs w:val="20"/>
              </w:rPr>
            </w:pPr>
          </w:p>
        </w:tc>
      </w:tr>
      <w:tr w:rsidR="00796A91" w:rsidRPr="00622E6C" w14:paraId="0BFA9AEE" w14:textId="77777777" w:rsidTr="00AE4FB8">
        <w:tc>
          <w:tcPr>
            <w:tcW w:w="62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EA686F" w14:textId="0E26A919" w:rsidR="00796A91" w:rsidRPr="00622E6C" w:rsidRDefault="00796A91"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B55C5D" w14:textId="77777777" w:rsidR="00796A91" w:rsidRPr="00622E6C" w:rsidRDefault="00796A91" w:rsidP="00796A91">
            <w:pPr>
              <w:jc w:val="left"/>
              <w:rPr>
                <w:rFonts w:ascii="Arial Narrow" w:hAnsi="Arial Narrow"/>
                <w:b/>
                <w:iCs/>
                <w:color w:val="000000" w:themeColor="text1"/>
                <w:sz w:val="20"/>
                <w:szCs w:val="20"/>
              </w:rPr>
            </w:pPr>
            <w:r w:rsidRPr="00622E6C">
              <w:rPr>
                <w:rFonts w:ascii="Arial Narrow" w:hAnsi="Arial Narrow"/>
                <w:b/>
                <w:iCs/>
                <w:color w:val="000000" w:themeColor="text1"/>
                <w:sz w:val="20"/>
                <w:szCs w:val="20"/>
              </w:rPr>
              <w:t xml:space="preserve">Category / Program: </w:t>
            </w:r>
          </w:p>
          <w:p w14:paraId="3DA5529F" w14:textId="77777777" w:rsidR="00796A91" w:rsidRPr="00622E6C" w:rsidRDefault="00796A91" w:rsidP="00796A91">
            <w:pPr>
              <w:jc w:val="left"/>
              <w:rPr>
                <w:rFonts w:ascii="Arial Narrow" w:hAnsi="Arial Narrow"/>
                <w:iCs/>
                <w:color w:val="000000" w:themeColor="text1"/>
                <w:sz w:val="20"/>
                <w:szCs w:val="20"/>
              </w:rPr>
            </w:pPr>
            <w:r w:rsidRPr="00622E6C">
              <w:rPr>
                <w:rFonts w:ascii="Arial Narrow" w:eastAsia="Calibri" w:hAnsi="Arial Narrow"/>
                <w:iCs/>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iCs/>
                <w:color w:val="000000" w:themeColor="text1"/>
                <w:sz w:val="20"/>
                <w:szCs w:val="20"/>
              </w:rPr>
              <w:instrText xml:space="preserve"> FORMCHECKBOX </w:instrText>
            </w:r>
            <w:r w:rsidR="00BE3AB8">
              <w:rPr>
                <w:rFonts w:ascii="Arial Narrow" w:eastAsia="Calibri" w:hAnsi="Arial Narrow"/>
                <w:iCs/>
                <w:color w:val="000000" w:themeColor="text1"/>
                <w:sz w:val="20"/>
                <w:szCs w:val="20"/>
              </w:rPr>
            </w:r>
            <w:r w:rsidR="00BE3AB8">
              <w:rPr>
                <w:rFonts w:ascii="Arial Narrow" w:eastAsia="Calibri" w:hAnsi="Arial Narrow"/>
                <w:iCs/>
                <w:color w:val="000000" w:themeColor="text1"/>
                <w:sz w:val="20"/>
                <w:szCs w:val="20"/>
              </w:rPr>
              <w:fldChar w:fldCharType="separate"/>
            </w:r>
            <w:r w:rsidRPr="00622E6C">
              <w:rPr>
                <w:rFonts w:ascii="Arial Narrow" w:eastAsia="Calibri" w:hAnsi="Arial Narrow"/>
                <w:iCs/>
                <w:color w:val="000000" w:themeColor="text1"/>
                <w:sz w:val="20"/>
                <w:szCs w:val="20"/>
              </w:rPr>
              <w:fldChar w:fldCharType="end"/>
            </w:r>
            <w:r w:rsidRPr="00622E6C">
              <w:rPr>
                <w:rFonts w:ascii="Arial Narrow" w:hAnsi="Arial Narrow"/>
                <w:iCs/>
                <w:color w:val="000000" w:themeColor="text1"/>
                <w:sz w:val="20"/>
                <w:szCs w:val="20"/>
              </w:rPr>
              <w:t>Section 100 –Efficient Funding of Chemotherapy– Related Benefits (Code CT)</w:t>
            </w:r>
          </w:p>
          <w:p w14:paraId="0A5F7AE7" w14:textId="77777777" w:rsidR="00796A91" w:rsidRPr="00622E6C" w:rsidRDefault="00796A91" w:rsidP="00796A91">
            <w:pPr>
              <w:jc w:val="left"/>
              <w:rPr>
                <w:rFonts w:ascii="Arial Narrow" w:hAnsi="Arial Narrow"/>
                <w:color w:val="000000" w:themeColor="text1"/>
                <w:sz w:val="20"/>
                <w:szCs w:val="20"/>
              </w:rPr>
            </w:pPr>
            <w:r w:rsidRPr="00622E6C">
              <w:rPr>
                <w:rFonts w:ascii="Arial Narrow" w:eastAsia="Calibri" w:hAnsi="Arial Narrow"/>
                <w:iCs/>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iCs/>
                <w:color w:val="000000" w:themeColor="text1"/>
                <w:sz w:val="20"/>
                <w:szCs w:val="20"/>
              </w:rPr>
              <w:instrText xml:space="preserve"> FORMCHECKBOX </w:instrText>
            </w:r>
            <w:r w:rsidR="00BE3AB8">
              <w:rPr>
                <w:rFonts w:ascii="Arial Narrow" w:eastAsia="Calibri" w:hAnsi="Arial Narrow"/>
                <w:iCs/>
                <w:color w:val="000000" w:themeColor="text1"/>
                <w:sz w:val="20"/>
                <w:szCs w:val="20"/>
              </w:rPr>
            </w:r>
            <w:r w:rsidR="00BE3AB8">
              <w:rPr>
                <w:rFonts w:ascii="Arial Narrow" w:eastAsia="Calibri" w:hAnsi="Arial Narrow"/>
                <w:iCs/>
                <w:color w:val="000000" w:themeColor="text1"/>
                <w:sz w:val="20"/>
                <w:szCs w:val="20"/>
              </w:rPr>
              <w:fldChar w:fldCharType="separate"/>
            </w:r>
            <w:r w:rsidRPr="00622E6C">
              <w:rPr>
                <w:rFonts w:ascii="Arial Narrow" w:eastAsia="Calibri" w:hAnsi="Arial Narrow"/>
                <w:iCs/>
                <w:color w:val="000000" w:themeColor="text1"/>
                <w:sz w:val="20"/>
                <w:szCs w:val="20"/>
              </w:rPr>
              <w:fldChar w:fldCharType="end"/>
            </w:r>
            <w:r w:rsidRPr="00622E6C">
              <w:rPr>
                <w:rFonts w:ascii="Arial Narrow" w:eastAsia="Calibri" w:hAnsi="Arial Narrow"/>
                <w:iCs/>
                <w:color w:val="000000" w:themeColor="text1"/>
                <w:sz w:val="20"/>
                <w:szCs w:val="20"/>
              </w:rPr>
              <w:t xml:space="preserve"> </w:t>
            </w:r>
            <w:r w:rsidRPr="00622E6C">
              <w:rPr>
                <w:rFonts w:ascii="Arial Narrow" w:hAnsi="Arial Narrow"/>
                <w:iCs/>
                <w:color w:val="000000" w:themeColor="text1"/>
                <w:sz w:val="20"/>
                <w:szCs w:val="20"/>
              </w:rPr>
              <w:t>General Schedule (Code GE)</w:t>
            </w:r>
          </w:p>
        </w:tc>
      </w:tr>
      <w:tr w:rsidR="00796A91" w:rsidRPr="00622E6C" w14:paraId="5548EDA9" w14:textId="77777777" w:rsidTr="00AE4FB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659FB"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86AA87" w14:textId="77777777" w:rsidR="00796A91" w:rsidRPr="00622E6C" w:rsidRDefault="00796A91" w:rsidP="00796A91">
            <w:pPr>
              <w:jc w:val="left"/>
              <w:rPr>
                <w:rFonts w:ascii="Arial Narrow" w:hAnsi="Arial Narrow"/>
                <w:b/>
                <w:color w:val="000000" w:themeColor="text1"/>
                <w:sz w:val="20"/>
                <w:szCs w:val="20"/>
              </w:rPr>
            </w:pPr>
            <w:r w:rsidRPr="00622E6C">
              <w:rPr>
                <w:rFonts w:ascii="Arial Narrow" w:hAnsi="Arial Narrow"/>
                <w:b/>
                <w:color w:val="000000" w:themeColor="text1"/>
                <w:sz w:val="20"/>
                <w:szCs w:val="20"/>
              </w:rPr>
              <w:t xml:space="preserve">Prescriber type: </w:t>
            </w:r>
            <w:r w:rsidRPr="00622E6C">
              <w:rPr>
                <w:rFonts w:ascii="Arial Narrow" w:hAnsi="Arial Narrow"/>
                <w:color w:val="000000" w:themeColor="text1"/>
                <w:sz w:val="20"/>
                <w:szCs w:val="20"/>
              </w:rPr>
              <w:fldChar w:fldCharType="begin">
                <w:ffData>
                  <w:name w:val=""/>
                  <w:enabled/>
                  <w:calcOnExit w:val="0"/>
                  <w:checkBox>
                    <w:sizeAuto/>
                    <w:default w:val="1"/>
                  </w:checkBox>
                </w:ffData>
              </w:fldChar>
            </w:r>
            <w:r w:rsidRPr="00622E6C">
              <w:rPr>
                <w:rFonts w:ascii="Arial Narrow" w:hAnsi="Arial Narrow"/>
                <w:color w:val="000000" w:themeColor="text1"/>
                <w:sz w:val="20"/>
                <w:szCs w:val="20"/>
              </w:rPr>
              <w:instrText xml:space="preserve"> FORMCHECKBOX </w:instrText>
            </w:r>
            <w:r w:rsidR="00BE3AB8">
              <w:rPr>
                <w:rFonts w:ascii="Arial Narrow" w:hAnsi="Arial Narrow"/>
                <w:color w:val="000000" w:themeColor="text1"/>
                <w:sz w:val="20"/>
                <w:szCs w:val="20"/>
              </w:rPr>
            </w:r>
            <w:r w:rsidR="00BE3AB8">
              <w:rPr>
                <w:rFonts w:ascii="Arial Narrow" w:hAnsi="Arial Narrow"/>
                <w:color w:val="000000" w:themeColor="text1"/>
                <w:sz w:val="20"/>
                <w:szCs w:val="20"/>
              </w:rPr>
              <w:fldChar w:fldCharType="separate"/>
            </w:r>
            <w:r w:rsidRPr="00622E6C">
              <w:rPr>
                <w:rFonts w:ascii="Arial Narrow" w:hAnsi="Arial Narrow"/>
                <w:color w:val="000000" w:themeColor="text1"/>
                <w:sz w:val="20"/>
                <w:szCs w:val="20"/>
              </w:rPr>
              <w:fldChar w:fldCharType="end"/>
            </w:r>
            <w:r w:rsidRPr="00622E6C">
              <w:rPr>
                <w:rFonts w:ascii="Arial Narrow" w:hAnsi="Arial Narrow"/>
                <w:color w:val="000000" w:themeColor="text1"/>
                <w:sz w:val="20"/>
                <w:szCs w:val="20"/>
              </w:rPr>
              <w:t xml:space="preserve">Medical Practitioners </w:t>
            </w:r>
          </w:p>
        </w:tc>
      </w:tr>
      <w:tr w:rsidR="00796A91" w:rsidRPr="00622E6C" w14:paraId="75A5A58B" w14:textId="77777777" w:rsidTr="00AE4FB8">
        <w:tc>
          <w:tcPr>
            <w:tcW w:w="0" w:type="auto"/>
            <w:vMerge/>
            <w:tcBorders>
              <w:top w:val="single" w:sz="4" w:space="0" w:color="auto"/>
              <w:left w:val="single" w:sz="4" w:space="0" w:color="auto"/>
              <w:bottom w:val="single" w:sz="4" w:space="0" w:color="auto"/>
              <w:right w:val="single" w:sz="4" w:space="0" w:color="auto"/>
            </w:tcBorders>
            <w:vAlign w:val="center"/>
            <w:hideMark/>
          </w:tcPr>
          <w:p w14:paraId="69D24688"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8BCF4" w14:textId="77777777" w:rsidR="00796A91" w:rsidRPr="00622E6C" w:rsidRDefault="00796A91" w:rsidP="00796A91">
            <w:pPr>
              <w:jc w:val="left"/>
              <w:rPr>
                <w:rFonts w:ascii="Arial Narrow" w:eastAsia="Calibri" w:hAnsi="Arial Narrow"/>
                <w:color w:val="000000" w:themeColor="text1"/>
                <w:sz w:val="20"/>
                <w:szCs w:val="20"/>
              </w:rPr>
            </w:pPr>
            <w:r w:rsidRPr="00622E6C">
              <w:rPr>
                <w:rFonts w:ascii="Arial Narrow" w:hAnsi="Arial Narrow"/>
                <w:b/>
                <w:color w:val="000000" w:themeColor="text1"/>
                <w:sz w:val="20"/>
                <w:szCs w:val="20"/>
              </w:rPr>
              <w:t xml:space="preserve">Restriction type: </w:t>
            </w:r>
            <w:r w:rsidRPr="00622E6C">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color w:val="000000" w:themeColor="text1"/>
                <w:sz w:val="20"/>
                <w:szCs w:val="20"/>
              </w:rPr>
              <w:instrText xml:space="preserve"> FORMCHECKBOX </w:instrText>
            </w:r>
            <w:r w:rsidR="00BE3AB8">
              <w:rPr>
                <w:rFonts w:ascii="Arial Narrow" w:eastAsia="Calibri" w:hAnsi="Arial Narrow"/>
                <w:color w:val="000000" w:themeColor="text1"/>
                <w:sz w:val="20"/>
                <w:szCs w:val="20"/>
              </w:rPr>
            </w:r>
            <w:r w:rsidR="00BE3AB8">
              <w:rPr>
                <w:rFonts w:ascii="Arial Narrow" w:eastAsia="Calibri" w:hAnsi="Arial Narrow"/>
                <w:color w:val="000000" w:themeColor="text1"/>
                <w:sz w:val="20"/>
                <w:szCs w:val="20"/>
              </w:rPr>
              <w:fldChar w:fldCharType="separate"/>
            </w:r>
            <w:r w:rsidRPr="00622E6C">
              <w:rPr>
                <w:rFonts w:ascii="Arial Narrow" w:eastAsia="Calibri" w:hAnsi="Arial Narrow"/>
                <w:color w:val="000000" w:themeColor="text1"/>
                <w:sz w:val="20"/>
                <w:szCs w:val="20"/>
              </w:rPr>
              <w:fldChar w:fldCharType="end"/>
            </w:r>
            <w:r w:rsidRPr="00622E6C">
              <w:rPr>
                <w:rFonts w:ascii="Arial Narrow" w:eastAsia="Calibri" w:hAnsi="Arial Narrow"/>
                <w:color w:val="000000" w:themeColor="text1"/>
                <w:sz w:val="20"/>
                <w:szCs w:val="20"/>
              </w:rPr>
              <w:t>Authority Required (telephone/online PBS Authorities system)</w:t>
            </w:r>
          </w:p>
        </w:tc>
      </w:tr>
      <w:tr w:rsidR="00796A91" w:rsidRPr="00622E6C" w14:paraId="5AFC1640" w14:textId="77777777" w:rsidTr="00AE4FB8">
        <w:tc>
          <w:tcPr>
            <w:tcW w:w="0" w:type="auto"/>
            <w:tcBorders>
              <w:top w:val="single" w:sz="4" w:space="0" w:color="auto"/>
              <w:left w:val="single" w:sz="4" w:space="0" w:color="auto"/>
              <w:bottom w:val="single" w:sz="4" w:space="0" w:color="auto"/>
              <w:right w:val="single" w:sz="4" w:space="0" w:color="auto"/>
            </w:tcBorders>
            <w:vAlign w:val="center"/>
          </w:tcPr>
          <w:p w14:paraId="6ECCBB95"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452729" w14:textId="77777777" w:rsidR="00796A91" w:rsidRPr="00622E6C" w:rsidRDefault="00796A91" w:rsidP="00796A91">
            <w:pPr>
              <w:jc w:val="left"/>
              <w:rPr>
                <w:rFonts w:ascii="Arial Narrow" w:hAnsi="Arial Narrow"/>
                <w:b/>
                <w:color w:val="000000" w:themeColor="text1"/>
                <w:sz w:val="20"/>
                <w:szCs w:val="20"/>
              </w:rPr>
            </w:pPr>
          </w:p>
        </w:tc>
      </w:tr>
      <w:tr w:rsidR="00F62828" w:rsidRPr="00622E6C" w14:paraId="5960B473" w14:textId="77777777" w:rsidTr="00F6282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6191E9" w14:textId="7C31E5A4" w:rsidR="00F62828" w:rsidRPr="00622E6C" w:rsidRDefault="00F62828"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27778D"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Administrative Advice:</w:t>
            </w:r>
          </w:p>
          <w:p w14:paraId="5722493E" w14:textId="77777777" w:rsidR="00F62828" w:rsidRPr="00622E6C" w:rsidRDefault="00F62828" w:rsidP="00796A91">
            <w:pPr>
              <w:jc w:val="left"/>
              <w:rPr>
                <w:rFonts w:ascii="Arial Narrow" w:hAnsi="Arial Narrow"/>
                <w:color w:val="000000" w:themeColor="text1"/>
                <w:sz w:val="20"/>
                <w:szCs w:val="20"/>
              </w:rPr>
            </w:pPr>
            <w:r w:rsidRPr="00622E6C">
              <w:rPr>
                <w:rFonts w:ascii="Arial Narrow" w:hAnsi="Arial Narrow"/>
                <w:color w:val="000000" w:themeColor="text1"/>
                <w:sz w:val="20"/>
                <w:szCs w:val="20"/>
              </w:rPr>
              <w:t>The intravenously administered presentation of this drug is not PBS-listed for this indication at the request of the sponsor.</w:t>
            </w:r>
          </w:p>
        </w:tc>
      </w:tr>
      <w:tr w:rsidR="00F62828" w:rsidRPr="00622E6C" w14:paraId="1BD42426" w14:textId="77777777" w:rsidTr="00F6282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DB67B6" w14:textId="3F8222BF" w:rsidR="00F62828" w:rsidRPr="00622E6C" w:rsidRDefault="00F62828"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6907F"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Administrative Advice:</w:t>
            </w:r>
          </w:p>
          <w:p w14:paraId="6382611B" w14:textId="77777777" w:rsidR="00F62828" w:rsidRPr="00622E6C" w:rsidRDefault="00F62828" w:rsidP="00796A91">
            <w:pPr>
              <w:jc w:val="left"/>
              <w:rPr>
                <w:rFonts w:ascii="Arial Narrow" w:hAnsi="Arial Narrow"/>
                <w:bCs/>
                <w:color w:val="000000" w:themeColor="text1"/>
                <w:sz w:val="20"/>
                <w:szCs w:val="20"/>
              </w:rPr>
            </w:pPr>
            <w:r w:rsidRPr="00622E6C">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F62828" w:rsidRPr="00622E6C" w14:paraId="6EC6359A" w14:textId="77777777" w:rsidTr="00F6282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29507" w14:textId="7E7BCF40" w:rsidR="00F62828" w:rsidRPr="00622E6C" w:rsidRDefault="00F62828"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BDCE6"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 xml:space="preserve">Administrative Advice: </w:t>
            </w:r>
            <w:r w:rsidRPr="00622E6C">
              <w:rPr>
                <w:rFonts w:ascii="Arial Narrow" w:hAnsi="Arial Narrow"/>
                <w:color w:val="000000" w:themeColor="text1"/>
                <w:sz w:val="20"/>
                <w:szCs w:val="20"/>
              </w:rPr>
              <w:t>No increase in the maximum quantity or number of units may be authorised.</w:t>
            </w:r>
          </w:p>
        </w:tc>
      </w:tr>
      <w:tr w:rsidR="00F62828" w:rsidRPr="00622E6C" w14:paraId="5B732AEB" w14:textId="77777777" w:rsidTr="00F62828">
        <w:trPr>
          <w:trHeight w:val="31"/>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00C5EB" w14:textId="6ECAD098" w:rsidR="00F62828" w:rsidRPr="00622E6C" w:rsidRDefault="00F62828"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B59DCB"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 xml:space="preserve">Administrative Advice: </w:t>
            </w:r>
            <w:r w:rsidRPr="00622E6C">
              <w:rPr>
                <w:rFonts w:ascii="Arial Narrow" w:hAnsi="Arial Narrow"/>
                <w:bCs/>
                <w:color w:val="000000" w:themeColor="text1"/>
                <w:sz w:val="20"/>
                <w:szCs w:val="20"/>
              </w:rPr>
              <w:t>No increase in the maximum number of repeats may be authorised.</w:t>
            </w:r>
          </w:p>
        </w:tc>
      </w:tr>
      <w:tr w:rsidR="00F62828" w:rsidRPr="00622E6C" w14:paraId="08C83D64" w14:textId="77777777" w:rsidTr="00F62828">
        <w:trPr>
          <w:trHeight w:val="31"/>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F1AB1" w14:textId="75B14B48" w:rsidR="00F62828" w:rsidRPr="00622E6C" w:rsidRDefault="00F62828"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8FD416"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 xml:space="preserve">Administrative Advice: </w:t>
            </w:r>
            <w:r w:rsidRPr="00622E6C">
              <w:rPr>
                <w:rFonts w:ascii="Arial Narrow" w:hAnsi="Arial Narrow"/>
                <w:bCs/>
                <w:color w:val="000000" w:themeColor="text1"/>
                <w:sz w:val="20"/>
                <w:szCs w:val="20"/>
              </w:rPr>
              <w:t>Special Pricing Arrangements apply.</w:t>
            </w:r>
          </w:p>
        </w:tc>
      </w:tr>
      <w:tr w:rsidR="00796A91" w:rsidRPr="00622E6C" w14:paraId="362139AF"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E7E04D"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949B93" w14:textId="77777777" w:rsidR="00796A91" w:rsidRPr="00622E6C" w:rsidRDefault="00796A91" w:rsidP="00796A91">
            <w:pPr>
              <w:jc w:val="left"/>
              <w:rPr>
                <w:rFonts w:ascii="Arial Narrow" w:hAnsi="Arial Narrow"/>
                <w:b/>
                <w:bCs/>
                <w:color w:val="000000" w:themeColor="text1"/>
                <w:sz w:val="20"/>
                <w:szCs w:val="20"/>
              </w:rPr>
            </w:pPr>
          </w:p>
        </w:tc>
      </w:tr>
      <w:tr w:rsidR="00796A91" w:rsidRPr="00622E6C" w14:paraId="1D2D165D"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AEBBE7" w14:textId="2DA1F0EF" w:rsidR="00796A91" w:rsidRPr="00622E6C" w:rsidRDefault="00796A91"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6B51C7" w14:textId="77777777" w:rsidR="00796A91" w:rsidRPr="00622E6C" w:rsidRDefault="00796A91" w:rsidP="00796A91">
            <w:pPr>
              <w:jc w:val="left"/>
              <w:rPr>
                <w:rFonts w:ascii="Arial Narrow" w:hAnsi="Arial Narrow"/>
                <w:color w:val="000000" w:themeColor="text1"/>
                <w:sz w:val="20"/>
                <w:szCs w:val="20"/>
              </w:rPr>
            </w:pPr>
            <w:r w:rsidRPr="00622E6C">
              <w:rPr>
                <w:rFonts w:ascii="Arial Narrow" w:hAnsi="Arial Narrow"/>
                <w:b/>
                <w:bCs/>
                <w:color w:val="000000" w:themeColor="text1"/>
                <w:sz w:val="20"/>
                <w:szCs w:val="20"/>
              </w:rPr>
              <w:t>Indication:</w:t>
            </w:r>
            <w:r w:rsidRPr="00622E6C">
              <w:rPr>
                <w:rFonts w:ascii="Arial Narrow" w:hAnsi="Arial Narrow"/>
                <w:color w:val="000000" w:themeColor="text1"/>
                <w:sz w:val="20"/>
                <w:szCs w:val="20"/>
              </w:rPr>
              <w:t xml:space="preserve"> S</w:t>
            </w:r>
            <w:r w:rsidRPr="00622E6C">
              <w:rPr>
                <w:rFonts w:ascii="Arial Narrow" w:hAnsi="Arial Narrow"/>
                <w:bCs/>
                <w:color w:val="000000" w:themeColor="text1"/>
                <w:sz w:val="20"/>
                <w:szCs w:val="20"/>
              </w:rPr>
              <w:t>ystemic light chain amyloidosis</w:t>
            </w:r>
          </w:p>
        </w:tc>
      </w:tr>
      <w:tr w:rsidR="00796A91" w:rsidRPr="00622E6C" w14:paraId="78AFB1C2"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BFA3CE" w14:textId="77777777" w:rsidR="00796A91" w:rsidRPr="00622E6C" w:rsidRDefault="00796A91"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FC149E" w14:textId="77777777" w:rsidR="00796A91" w:rsidRPr="00622E6C" w:rsidRDefault="00796A91" w:rsidP="00796A91">
            <w:pPr>
              <w:jc w:val="left"/>
              <w:rPr>
                <w:rFonts w:ascii="Arial Narrow" w:hAnsi="Arial Narrow"/>
                <w:b/>
                <w:bCs/>
                <w:color w:val="000000" w:themeColor="text1"/>
                <w:sz w:val="20"/>
                <w:szCs w:val="20"/>
              </w:rPr>
            </w:pPr>
          </w:p>
        </w:tc>
      </w:tr>
      <w:tr w:rsidR="00796A91" w:rsidRPr="00622E6C" w14:paraId="06561699"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4360CE"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58618" w14:textId="77777777" w:rsidR="00796A91" w:rsidRPr="00622E6C" w:rsidRDefault="00796A91" w:rsidP="00796A91">
            <w:pPr>
              <w:jc w:val="left"/>
              <w:rPr>
                <w:rFonts w:ascii="Arial Narrow" w:hAnsi="Arial Narrow"/>
                <w:color w:val="000000" w:themeColor="text1"/>
                <w:sz w:val="20"/>
                <w:szCs w:val="20"/>
              </w:rPr>
            </w:pPr>
            <w:r w:rsidRPr="00622E6C">
              <w:rPr>
                <w:rFonts w:ascii="Arial Narrow" w:hAnsi="Arial Narrow"/>
                <w:b/>
                <w:bCs/>
                <w:color w:val="000000" w:themeColor="text1"/>
                <w:sz w:val="20"/>
                <w:szCs w:val="20"/>
              </w:rPr>
              <w:t>Treatment Phase:</w:t>
            </w:r>
            <w:r w:rsidRPr="00622E6C">
              <w:rPr>
                <w:rFonts w:ascii="Arial Narrow" w:hAnsi="Arial Narrow"/>
                <w:color w:val="000000" w:themeColor="text1"/>
                <w:sz w:val="20"/>
                <w:szCs w:val="20"/>
              </w:rPr>
              <w:t xml:space="preserve"> Initial treatment from week 0 to week 24</w:t>
            </w:r>
          </w:p>
        </w:tc>
      </w:tr>
      <w:tr w:rsidR="00796A91" w:rsidRPr="00622E6C" w14:paraId="1282EB6E"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AD90D3"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99ACB2" w14:textId="77777777" w:rsidR="00796A91" w:rsidRPr="00622E6C" w:rsidRDefault="00796A91" w:rsidP="00796A91">
            <w:pPr>
              <w:jc w:val="left"/>
              <w:rPr>
                <w:rFonts w:ascii="Arial Narrow" w:hAnsi="Arial Narrow"/>
                <w:b/>
                <w:bCs/>
                <w:color w:val="000000" w:themeColor="text1"/>
                <w:sz w:val="20"/>
                <w:szCs w:val="20"/>
              </w:rPr>
            </w:pPr>
          </w:p>
        </w:tc>
      </w:tr>
      <w:tr w:rsidR="00796A91" w:rsidRPr="00622E6C" w14:paraId="313391AB"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8E885E"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25AD6" w14:textId="77777777" w:rsidR="00796A91" w:rsidRPr="00622E6C" w:rsidRDefault="00796A91" w:rsidP="00796A91">
            <w:pPr>
              <w:jc w:val="left"/>
              <w:rPr>
                <w:rFonts w:ascii="Arial Narrow" w:hAnsi="Arial Narrow"/>
                <w:color w:val="000000" w:themeColor="text1"/>
                <w:sz w:val="20"/>
                <w:szCs w:val="20"/>
              </w:rPr>
            </w:pPr>
            <w:r w:rsidRPr="00622E6C">
              <w:rPr>
                <w:rFonts w:ascii="Arial Narrow" w:hAnsi="Arial Narrow"/>
                <w:b/>
                <w:bCs/>
                <w:color w:val="000000" w:themeColor="text1"/>
                <w:sz w:val="20"/>
                <w:szCs w:val="20"/>
              </w:rPr>
              <w:t>Clinical</w:t>
            </w:r>
            <w:r w:rsidRPr="00622E6C">
              <w:rPr>
                <w:rFonts w:ascii="Arial Narrow" w:hAnsi="Arial Narrow"/>
                <w:b/>
                <w:bCs/>
                <w:i/>
                <w:iCs/>
                <w:color w:val="000000" w:themeColor="text1"/>
                <w:sz w:val="20"/>
                <w:szCs w:val="20"/>
              </w:rPr>
              <w:t xml:space="preserve"> </w:t>
            </w:r>
            <w:r w:rsidRPr="00622E6C">
              <w:rPr>
                <w:rFonts w:ascii="Arial Narrow" w:hAnsi="Arial Narrow"/>
                <w:b/>
                <w:bCs/>
                <w:color w:val="000000" w:themeColor="text1"/>
                <w:sz w:val="20"/>
                <w:szCs w:val="20"/>
              </w:rPr>
              <w:t xml:space="preserve">criteria: </w:t>
            </w:r>
          </w:p>
        </w:tc>
      </w:tr>
      <w:tr w:rsidR="00796A91" w:rsidRPr="00622E6C" w14:paraId="70B4E745"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68235E" w14:textId="38A4CA54" w:rsidR="00796A91" w:rsidRPr="00622E6C" w:rsidRDefault="00796A91" w:rsidP="00796A91">
            <w:pPr>
              <w:jc w:val="center"/>
              <w:rPr>
                <w:rFonts w:ascii="Arial Narrow" w:hAnsi="Arial Narrow"/>
                <w:color w:val="000000" w:themeColor="text1"/>
                <w:sz w:val="20"/>
                <w:szCs w:val="20"/>
                <w:highlight w:val="yellow"/>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218340"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eastAsia="Calibri" w:hAnsi="Arial Narrow"/>
                <w:sz w:val="20"/>
                <w:szCs w:val="20"/>
              </w:rPr>
              <w:t>The condition must have histological evidence consistent with a diagnosis of systemic light-chain amyloidosis – retain this in the patient’s medical records</w:t>
            </w:r>
          </w:p>
        </w:tc>
      </w:tr>
      <w:tr w:rsidR="00796A91" w:rsidRPr="00622E6C" w14:paraId="126C233E"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924AC"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A0B5D2"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AND</w:t>
            </w:r>
          </w:p>
        </w:tc>
      </w:tr>
      <w:tr w:rsidR="00796A91" w:rsidRPr="00622E6C" w14:paraId="3685BED7"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90AEDB"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90DD47"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Clinical criteria:</w:t>
            </w:r>
          </w:p>
        </w:tc>
      </w:tr>
      <w:tr w:rsidR="00796A91" w:rsidRPr="00622E6C" w14:paraId="627E17AD"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F713F9" w14:textId="24F2D9A0" w:rsidR="00796A91" w:rsidRPr="00622E6C" w:rsidRDefault="00796A91"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C61770" w14:textId="77777777" w:rsidR="00796A91" w:rsidRPr="00622E6C" w:rsidRDefault="00796A91" w:rsidP="00796A91">
            <w:pPr>
              <w:jc w:val="left"/>
              <w:rPr>
                <w:rFonts w:ascii="Arial Narrow" w:eastAsia="Calibri" w:hAnsi="Arial Narrow"/>
                <w:i/>
                <w:iCs/>
                <w:sz w:val="20"/>
                <w:szCs w:val="20"/>
              </w:rPr>
            </w:pPr>
            <w:r w:rsidRPr="00622E6C">
              <w:rPr>
                <w:rFonts w:ascii="Arial Narrow" w:eastAsia="Calibri" w:hAnsi="Arial Narrow"/>
                <w:sz w:val="20"/>
                <w:szCs w:val="20"/>
              </w:rPr>
              <w:t>Patient must be untreated with this drug, irrespective of whether the diagnosis has been re-classified (e.g. multiple myeloma/amyloidosis)</w:t>
            </w:r>
          </w:p>
        </w:tc>
      </w:tr>
      <w:tr w:rsidR="00796A91" w:rsidRPr="00622E6C" w14:paraId="7A02FE00"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F2895"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A4A2B6"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AND</w:t>
            </w:r>
          </w:p>
        </w:tc>
      </w:tr>
      <w:tr w:rsidR="00796A91" w:rsidRPr="00622E6C" w14:paraId="3E8B7056"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736B1"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5A0555"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Clinical criteria:</w:t>
            </w:r>
          </w:p>
        </w:tc>
      </w:tr>
      <w:tr w:rsidR="00796A91" w:rsidRPr="00622E6C" w14:paraId="0FDE0984"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160A6"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C565C4" w14:textId="77777777" w:rsidR="00796A91" w:rsidRPr="00622E6C" w:rsidRDefault="00796A91" w:rsidP="00796A91">
            <w:pPr>
              <w:jc w:val="left"/>
              <w:rPr>
                <w:rFonts w:ascii="Arial Narrow" w:eastAsia="Calibri" w:hAnsi="Arial Narrow"/>
                <w:sz w:val="20"/>
                <w:szCs w:val="20"/>
              </w:rPr>
            </w:pPr>
            <w:r w:rsidRPr="00622E6C">
              <w:rPr>
                <w:rFonts w:ascii="Arial Narrow" w:eastAsia="Calibri" w:hAnsi="Arial Narrow"/>
                <w:sz w:val="20"/>
                <w:szCs w:val="20"/>
              </w:rPr>
              <w:t xml:space="preserve">Patient must have an WHO/Eastern Cooperative Oncology Group (ECOG) performance status of no higher than 2 at the time of treatment initiation with this drug. </w:t>
            </w:r>
          </w:p>
        </w:tc>
      </w:tr>
      <w:tr w:rsidR="00796A91" w:rsidRPr="00622E6C" w14:paraId="589FFAFA"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FC35A"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62896" w14:textId="77777777" w:rsidR="00796A91" w:rsidRPr="00622E6C" w:rsidRDefault="00796A91" w:rsidP="00796A91">
            <w:pPr>
              <w:jc w:val="left"/>
              <w:rPr>
                <w:rFonts w:ascii="Arial Narrow" w:hAnsi="Arial Narrow"/>
                <w:b/>
                <w:bCs/>
                <w:color w:val="000000" w:themeColor="text1"/>
                <w:sz w:val="20"/>
                <w:szCs w:val="20"/>
              </w:rPr>
            </w:pPr>
          </w:p>
        </w:tc>
      </w:tr>
      <w:tr w:rsidR="00796A91" w:rsidRPr="00622E6C" w14:paraId="506A1431"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6C25A9"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ED79E5"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Treatment criteria</w:t>
            </w:r>
          </w:p>
        </w:tc>
      </w:tr>
      <w:tr w:rsidR="00796A91" w:rsidRPr="00622E6C" w14:paraId="0EC49BB9"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957904" w14:textId="13939230" w:rsidR="00796A91" w:rsidRPr="00622E6C" w:rsidRDefault="00796A91"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50406E" w14:textId="77777777" w:rsidR="00796A91" w:rsidRPr="00622E6C" w:rsidRDefault="00796A91" w:rsidP="00796A91">
            <w:pPr>
              <w:rPr>
                <w:rFonts w:ascii="Arial Narrow" w:hAnsi="Arial Narrow"/>
                <w:b/>
                <w:bCs/>
                <w:color w:val="000000" w:themeColor="text1"/>
                <w:sz w:val="20"/>
                <w:szCs w:val="20"/>
              </w:rPr>
            </w:pPr>
            <w:r w:rsidRPr="00622E6C">
              <w:rPr>
                <w:rFonts w:ascii="Arial Narrow" w:eastAsia="Calibri" w:hAnsi="Arial Narrow"/>
                <w:sz w:val="20"/>
                <w:szCs w:val="20"/>
              </w:rPr>
              <w:t>Must be treated by a haematologist (this does not exclude treatment via a multidisciplinary team, but the PBS authority application must be sought by the treating haematologist)</w:t>
            </w:r>
          </w:p>
        </w:tc>
      </w:tr>
      <w:tr w:rsidR="00796A91" w:rsidRPr="00622E6C" w14:paraId="4D90109F"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96C0EE"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43131"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AND</w:t>
            </w:r>
          </w:p>
        </w:tc>
      </w:tr>
      <w:tr w:rsidR="00796A91" w:rsidRPr="00622E6C" w14:paraId="01A48579"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A8C37"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41D567"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Treatment criteria:</w:t>
            </w:r>
          </w:p>
        </w:tc>
      </w:tr>
      <w:tr w:rsidR="00796A91" w:rsidRPr="00622E6C" w14:paraId="1C7056D6"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A11726" w14:textId="1F5C04B8" w:rsidR="00796A91" w:rsidRPr="00622E6C" w:rsidRDefault="00796A91" w:rsidP="00796A91">
            <w:pPr>
              <w:jc w:val="center"/>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01DC62"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eastAsia="Calibri" w:hAnsi="Arial Narrow"/>
                <w:sz w:val="20"/>
                <w:szCs w:val="20"/>
              </w:rPr>
              <w:t>Patient must be undergoing concomitant treatment limited to each of: (i) bortezomib, (ii) cyclophosphamide, (iii) dexamethasone, at certain weeks of treatment as outlined in the drug’s approved Product Information</w:t>
            </w:r>
          </w:p>
        </w:tc>
      </w:tr>
      <w:tr w:rsidR="00796A91" w:rsidRPr="00622E6C" w14:paraId="586F4C46" w14:textId="77777777" w:rsidTr="00AE4FB8">
        <w:tc>
          <w:tcPr>
            <w:tcW w:w="6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C0068F" w14:textId="77777777" w:rsidR="00796A91" w:rsidRPr="00622E6C" w:rsidRDefault="00796A91" w:rsidP="00796A91">
            <w:pPr>
              <w:jc w:val="left"/>
              <w:rPr>
                <w:rFonts w:ascii="Arial Narrow" w:hAnsi="Arial Narrow"/>
                <w:color w:val="000000" w:themeColor="text1"/>
                <w:sz w:val="20"/>
                <w:szCs w:val="20"/>
              </w:rPr>
            </w:pPr>
          </w:p>
        </w:tc>
        <w:tc>
          <w:tcPr>
            <w:tcW w:w="4372"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84E44" w14:textId="77777777" w:rsidR="00796A91" w:rsidRPr="00622E6C" w:rsidRDefault="00796A91" w:rsidP="00796A91">
            <w:pPr>
              <w:jc w:val="left"/>
              <w:rPr>
                <w:rFonts w:ascii="Arial Narrow" w:hAnsi="Arial Narrow"/>
                <w:b/>
                <w:bCs/>
                <w:color w:val="000000" w:themeColor="text1"/>
                <w:sz w:val="20"/>
                <w:szCs w:val="20"/>
              </w:rPr>
            </w:pPr>
          </w:p>
        </w:tc>
      </w:tr>
    </w:tbl>
    <w:p w14:paraId="40CDF927" w14:textId="77777777" w:rsidR="00796A91" w:rsidRPr="00622E6C" w:rsidRDefault="00796A91" w:rsidP="00796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416"/>
        <w:gridCol w:w="2123"/>
        <w:gridCol w:w="849"/>
        <w:gridCol w:w="848"/>
        <w:gridCol w:w="849"/>
        <w:gridCol w:w="1805"/>
      </w:tblGrid>
      <w:tr w:rsidR="00796A91" w:rsidRPr="00622E6C" w14:paraId="128DD5DE" w14:textId="77777777" w:rsidTr="00AE4FB8">
        <w:trPr>
          <w:cantSplit/>
          <w:trHeight w:val="471"/>
        </w:trPr>
        <w:tc>
          <w:tcPr>
            <w:tcW w:w="1410" w:type="pct"/>
            <w:gridSpan w:val="2"/>
            <w:tcBorders>
              <w:top w:val="single" w:sz="4" w:space="0" w:color="auto"/>
              <w:left w:val="single" w:sz="4" w:space="0" w:color="auto"/>
              <w:bottom w:val="single" w:sz="4" w:space="0" w:color="auto"/>
              <w:right w:val="single" w:sz="4" w:space="0" w:color="auto"/>
            </w:tcBorders>
            <w:hideMark/>
          </w:tcPr>
          <w:p w14:paraId="38DC158D" w14:textId="77777777" w:rsidR="00796A91" w:rsidRPr="00622E6C" w:rsidRDefault="00796A91" w:rsidP="00796A91">
            <w:pPr>
              <w:ind w:left="-57"/>
              <w:jc w:val="left"/>
              <w:rPr>
                <w:rFonts w:ascii="Arial Narrow" w:hAnsi="Arial Narrow"/>
                <w:b/>
                <w:sz w:val="20"/>
                <w:szCs w:val="20"/>
              </w:rPr>
            </w:pPr>
            <w:r w:rsidRPr="00622E6C">
              <w:rPr>
                <w:rFonts w:ascii="Arial Narrow" w:hAnsi="Arial Narrow"/>
                <w:b/>
                <w:sz w:val="20"/>
                <w:szCs w:val="20"/>
              </w:rPr>
              <w:t>MEDICINAL PRODUCT</w:t>
            </w:r>
          </w:p>
          <w:p w14:paraId="6E338787" w14:textId="77777777" w:rsidR="00796A91" w:rsidRPr="00622E6C" w:rsidRDefault="00796A91" w:rsidP="00796A91">
            <w:pPr>
              <w:ind w:left="-57"/>
              <w:jc w:val="left"/>
              <w:rPr>
                <w:rFonts w:ascii="Arial Narrow" w:hAnsi="Arial Narrow"/>
                <w:b/>
                <w:sz w:val="20"/>
                <w:szCs w:val="20"/>
              </w:rPr>
            </w:pPr>
            <w:r w:rsidRPr="00622E6C">
              <w:rPr>
                <w:rFonts w:ascii="Arial Narrow" w:hAnsi="Arial Narrow"/>
                <w:b/>
                <w:sz w:val="20"/>
                <w:szCs w:val="20"/>
              </w:rPr>
              <w:t>medicinal product pack</w:t>
            </w:r>
          </w:p>
        </w:tc>
        <w:tc>
          <w:tcPr>
            <w:tcW w:w="1177" w:type="pct"/>
            <w:tcBorders>
              <w:top w:val="single" w:sz="4" w:space="0" w:color="auto"/>
              <w:left w:val="single" w:sz="4" w:space="0" w:color="auto"/>
              <w:bottom w:val="single" w:sz="4" w:space="0" w:color="auto"/>
              <w:right w:val="single" w:sz="4" w:space="0" w:color="auto"/>
            </w:tcBorders>
            <w:hideMark/>
          </w:tcPr>
          <w:p w14:paraId="49E346EB"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PBS item code</w:t>
            </w:r>
          </w:p>
        </w:tc>
        <w:tc>
          <w:tcPr>
            <w:tcW w:w="471" w:type="pct"/>
            <w:tcBorders>
              <w:top w:val="single" w:sz="4" w:space="0" w:color="auto"/>
              <w:left w:val="single" w:sz="4" w:space="0" w:color="auto"/>
              <w:bottom w:val="single" w:sz="4" w:space="0" w:color="auto"/>
              <w:right w:val="single" w:sz="4" w:space="0" w:color="auto"/>
            </w:tcBorders>
            <w:hideMark/>
          </w:tcPr>
          <w:p w14:paraId="2F248F65"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Max. qty packs</w:t>
            </w:r>
          </w:p>
        </w:tc>
        <w:tc>
          <w:tcPr>
            <w:tcW w:w="470" w:type="pct"/>
            <w:tcBorders>
              <w:top w:val="single" w:sz="4" w:space="0" w:color="auto"/>
              <w:left w:val="single" w:sz="4" w:space="0" w:color="auto"/>
              <w:bottom w:val="single" w:sz="4" w:space="0" w:color="auto"/>
              <w:right w:val="single" w:sz="4" w:space="0" w:color="auto"/>
            </w:tcBorders>
            <w:hideMark/>
          </w:tcPr>
          <w:p w14:paraId="289DF05B"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Max. qty units</w:t>
            </w:r>
          </w:p>
        </w:tc>
        <w:tc>
          <w:tcPr>
            <w:tcW w:w="471" w:type="pct"/>
            <w:tcBorders>
              <w:top w:val="single" w:sz="4" w:space="0" w:color="auto"/>
              <w:left w:val="single" w:sz="4" w:space="0" w:color="auto"/>
              <w:bottom w:val="single" w:sz="4" w:space="0" w:color="auto"/>
              <w:right w:val="single" w:sz="4" w:space="0" w:color="auto"/>
            </w:tcBorders>
            <w:hideMark/>
          </w:tcPr>
          <w:p w14:paraId="4E1AA4A8"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№.of</w:t>
            </w:r>
          </w:p>
          <w:p w14:paraId="6F2B9373" w14:textId="77777777" w:rsidR="00796A91" w:rsidRPr="00622E6C" w:rsidRDefault="00796A91" w:rsidP="00796A91">
            <w:pPr>
              <w:ind w:left="-108"/>
              <w:jc w:val="center"/>
              <w:rPr>
                <w:rFonts w:ascii="Arial Narrow" w:hAnsi="Arial Narrow"/>
                <w:b/>
                <w:sz w:val="20"/>
                <w:szCs w:val="20"/>
              </w:rPr>
            </w:pPr>
            <w:r w:rsidRPr="00622E6C">
              <w:rPr>
                <w:rFonts w:ascii="Arial Narrow" w:hAnsi="Arial Narrow"/>
                <w:b/>
                <w:sz w:val="20"/>
                <w:szCs w:val="20"/>
              </w:rPr>
              <w:t>Rpts</w:t>
            </w:r>
          </w:p>
        </w:tc>
        <w:tc>
          <w:tcPr>
            <w:tcW w:w="1001" w:type="pct"/>
            <w:tcBorders>
              <w:top w:val="single" w:sz="4" w:space="0" w:color="auto"/>
              <w:left w:val="single" w:sz="4" w:space="0" w:color="auto"/>
              <w:bottom w:val="single" w:sz="4" w:space="0" w:color="auto"/>
              <w:right w:val="single" w:sz="4" w:space="0" w:color="auto"/>
            </w:tcBorders>
            <w:hideMark/>
          </w:tcPr>
          <w:p w14:paraId="75C49B7C" w14:textId="77777777" w:rsidR="00796A91" w:rsidRPr="00622E6C" w:rsidRDefault="00796A91" w:rsidP="00796A91">
            <w:pPr>
              <w:rPr>
                <w:rFonts w:ascii="Arial Narrow" w:hAnsi="Arial Narrow"/>
                <w:b/>
                <w:sz w:val="20"/>
                <w:szCs w:val="20"/>
              </w:rPr>
            </w:pPr>
            <w:r w:rsidRPr="00622E6C">
              <w:rPr>
                <w:rFonts w:ascii="Arial Narrow" w:hAnsi="Arial Narrow"/>
                <w:b/>
                <w:sz w:val="20"/>
                <w:szCs w:val="20"/>
              </w:rPr>
              <w:t>Available brands</w:t>
            </w:r>
          </w:p>
        </w:tc>
      </w:tr>
      <w:tr w:rsidR="00796A91" w:rsidRPr="00622E6C" w14:paraId="7FB377FC" w14:textId="77777777" w:rsidTr="00AE4FB8">
        <w:trPr>
          <w:cantSplit/>
          <w:trHeight w:val="207"/>
        </w:trPr>
        <w:tc>
          <w:tcPr>
            <w:tcW w:w="5000" w:type="pct"/>
            <w:gridSpan w:val="7"/>
            <w:tcBorders>
              <w:top w:val="single" w:sz="4" w:space="0" w:color="auto"/>
              <w:left w:val="single" w:sz="4" w:space="0" w:color="auto"/>
              <w:bottom w:val="single" w:sz="4" w:space="0" w:color="auto"/>
              <w:right w:val="single" w:sz="4" w:space="0" w:color="auto"/>
            </w:tcBorders>
            <w:hideMark/>
          </w:tcPr>
          <w:p w14:paraId="665255D3" w14:textId="77777777" w:rsidR="00796A91" w:rsidRPr="00622E6C" w:rsidRDefault="00796A91" w:rsidP="00796A91">
            <w:pPr>
              <w:ind w:left="-57"/>
              <w:jc w:val="left"/>
              <w:rPr>
                <w:rFonts w:ascii="Arial Narrow" w:hAnsi="Arial Narrow"/>
                <w:sz w:val="20"/>
                <w:szCs w:val="20"/>
              </w:rPr>
            </w:pPr>
            <w:r w:rsidRPr="00622E6C">
              <w:rPr>
                <w:rFonts w:ascii="Arial Narrow" w:hAnsi="Arial Narrow"/>
                <w:sz w:val="20"/>
                <w:szCs w:val="20"/>
              </w:rPr>
              <w:t>DARATUMUMAB</w:t>
            </w:r>
          </w:p>
        </w:tc>
      </w:tr>
      <w:tr w:rsidR="00796A91" w:rsidRPr="00622E6C" w14:paraId="26EC748A" w14:textId="77777777" w:rsidTr="00AE4FB8">
        <w:trPr>
          <w:cantSplit/>
          <w:trHeight w:val="95"/>
        </w:trPr>
        <w:tc>
          <w:tcPr>
            <w:tcW w:w="1410" w:type="pct"/>
            <w:gridSpan w:val="2"/>
            <w:tcBorders>
              <w:top w:val="single" w:sz="4" w:space="0" w:color="auto"/>
              <w:left w:val="single" w:sz="4" w:space="0" w:color="auto"/>
              <w:bottom w:val="single" w:sz="4" w:space="0" w:color="auto"/>
              <w:right w:val="single" w:sz="4" w:space="0" w:color="auto"/>
            </w:tcBorders>
            <w:hideMark/>
          </w:tcPr>
          <w:p w14:paraId="230EF3D0" w14:textId="77777777" w:rsidR="00796A91" w:rsidRPr="00622E6C" w:rsidRDefault="00796A91" w:rsidP="00796A91">
            <w:pPr>
              <w:ind w:left="-57"/>
              <w:jc w:val="left"/>
              <w:rPr>
                <w:rFonts w:ascii="Arial Narrow" w:hAnsi="Arial Narrow"/>
                <w:sz w:val="20"/>
                <w:szCs w:val="20"/>
              </w:rPr>
            </w:pPr>
            <w:r w:rsidRPr="00622E6C">
              <w:rPr>
                <w:rFonts w:ascii="Arial Narrow" w:hAnsi="Arial Narrow"/>
                <w:sz w:val="20"/>
                <w:szCs w:val="20"/>
              </w:rPr>
              <w:t>daratumumab 1.8 g/15 mL injection,15 mL vial</w:t>
            </w:r>
          </w:p>
        </w:tc>
        <w:tc>
          <w:tcPr>
            <w:tcW w:w="1177" w:type="pct"/>
            <w:tcBorders>
              <w:top w:val="single" w:sz="4" w:space="0" w:color="auto"/>
              <w:left w:val="single" w:sz="4" w:space="0" w:color="auto"/>
              <w:bottom w:val="single" w:sz="4" w:space="0" w:color="auto"/>
              <w:right w:val="single" w:sz="4" w:space="0" w:color="auto"/>
            </w:tcBorders>
            <w:hideMark/>
          </w:tcPr>
          <w:p w14:paraId="0FAC3062" w14:textId="77777777" w:rsidR="00796A91" w:rsidRPr="00622E6C" w:rsidRDefault="00796A91" w:rsidP="00796A91">
            <w:pPr>
              <w:ind w:left="-57"/>
              <w:jc w:val="center"/>
              <w:rPr>
                <w:rFonts w:ascii="Arial Narrow" w:hAnsi="Arial Narrow"/>
                <w:iCs/>
                <w:sz w:val="20"/>
                <w:szCs w:val="20"/>
              </w:rPr>
            </w:pPr>
            <w:r w:rsidRPr="00622E6C">
              <w:rPr>
                <w:rFonts w:ascii="Arial Narrow" w:hAnsi="Arial Narrow"/>
                <w:iCs/>
                <w:sz w:val="20"/>
                <w:szCs w:val="20"/>
              </w:rPr>
              <w:t>New (EFC – Related Ben.)</w:t>
            </w:r>
          </w:p>
          <w:p w14:paraId="5BC8CD75" w14:textId="77777777" w:rsidR="00796A91" w:rsidRPr="00622E6C" w:rsidRDefault="00796A91" w:rsidP="00796A91">
            <w:pPr>
              <w:ind w:left="-57"/>
              <w:jc w:val="center"/>
              <w:rPr>
                <w:rFonts w:ascii="Arial Narrow" w:hAnsi="Arial Narrow"/>
                <w:sz w:val="20"/>
                <w:szCs w:val="20"/>
              </w:rPr>
            </w:pPr>
            <w:r w:rsidRPr="00622E6C">
              <w:rPr>
                <w:rFonts w:ascii="Arial Narrow" w:hAnsi="Arial Narrow"/>
                <w:iCs/>
                <w:sz w:val="20"/>
                <w:szCs w:val="20"/>
              </w:rPr>
              <w:t>New (Gen. Sch)</w:t>
            </w:r>
          </w:p>
        </w:tc>
        <w:tc>
          <w:tcPr>
            <w:tcW w:w="471" w:type="pct"/>
            <w:tcBorders>
              <w:top w:val="single" w:sz="4" w:space="0" w:color="auto"/>
              <w:left w:val="single" w:sz="4" w:space="0" w:color="auto"/>
              <w:bottom w:val="single" w:sz="4" w:space="0" w:color="auto"/>
              <w:right w:val="single" w:sz="4" w:space="0" w:color="auto"/>
            </w:tcBorders>
            <w:hideMark/>
          </w:tcPr>
          <w:p w14:paraId="417EE1A3" w14:textId="77777777" w:rsidR="00796A91" w:rsidRPr="00622E6C" w:rsidRDefault="00796A91" w:rsidP="00796A91">
            <w:pPr>
              <w:ind w:left="-57"/>
              <w:jc w:val="center"/>
              <w:rPr>
                <w:rFonts w:ascii="Arial Narrow" w:hAnsi="Arial Narrow"/>
                <w:sz w:val="20"/>
                <w:szCs w:val="20"/>
              </w:rPr>
            </w:pPr>
            <w:r w:rsidRPr="00622E6C">
              <w:rPr>
                <w:rFonts w:ascii="Arial Narrow" w:hAnsi="Arial Narrow"/>
                <w:sz w:val="20"/>
                <w:szCs w:val="20"/>
              </w:rPr>
              <w:t>1</w:t>
            </w:r>
          </w:p>
        </w:tc>
        <w:tc>
          <w:tcPr>
            <w:tcW w:w="470" w:type="pct"/>
            <w:tcBorders>
              <w:top w:val="single" w:sz="4" w:space="0" w:color="auto"/>
              <w:left w:val="single" w:sz="4" w:space="0" w:color="auto"/>
              <w:bottom w:val="single" w:sz="4" w:space="0" w:color="auto"/>
              <w:right w:val="single" w:sz="4" w:space="0" w:color="auto"/>
            </w:tcBorders>
            <w:hideMark/>
          </w:tcPr>
          <w:p w14:paraId="3BA305C7" w14:textId="77777777" w:rsidR="00796A91" w:rsidRPr="00622E6C" w:rsidRDefault="00796A91" w:rsidP="00796A91">
            <w:pPr>
              <w:ind w:left="-57"/>
              <w:jc w:val="center"/>
              <w:rPr>
                <w:rFonts w:ascii="Arial Narrow" w:hAnsi="Arial Narrow"/>
                <w:sz w:val="20"/>
                <w:szCs w:val="20"/>
              </w:rPr>
            </w:pPr>
            <w:r w:rsidRPr="00622E6C">
              <w:rPr>
                <w:rFonts w:ascii="Arial Narrow" w:hAnsi="Arial Narrow"/>
                <w:sz w:val="20"/>
                <w:szCs w:val="20"/>
              </w:rPr>
              <w:t>1</w:t>
            </w:r>
          </w:p>
        </w:tc>
        <w:tc>
          <w:tcPr>
            <w:tcW w:w="471" w:type="pct"/>
            <w:tcBorders>
              <w:top w:val="single" w:sz="4" w:space="0" w:color="auto"/>
              <w:left w:val="single" w:sz="4" w:space="0" w:color="auto"/>
              <w:bottom w:val="single" w:sz="4" w:space="0" w:color="auto"/>
              <w:right w:val="single" w:sz="4" w:space="0" w:color="auto"/>
            </w:tcBorders>
            <w:hideMark/>
          </w:tcPr>
          <w:p w14:paraId="78217BC8" w14:textId="77777777" w:rsidR="00796A91" w:rsidRPr="00622E6C" w:rsidRDefault="00796A91" w:rsidP="00796A91">
            <w:pPr>
              <w:ind w:left="-57"/>
              <w:jc w:val="center"/>
              <w:rPr>
                <w:rFonts w:ascii="Arial Narrow" w:hAnsi="Arial Narrow"/>
                <w:sz w:val="20"/>
                <w:szCs w:val="20"/>
              </w:rPr>
            </w:pPr>
            <w:r w:rsidRPr="00622E6C">
              <w:rPr>
                <w:rFonts w:ascii="Arial Narrow" w:hAnsi="Arial Narrow"/>
                <w:sz w:val="20"/>
                <w:szCs w:val="20"/>
              </w:rPr>
              <w:t>5</w:t>
            </w:r>
          </w:p>
        </w:tc>
        <w:tc>
          <w:tcPr>
            <w:tcW w:w="1001" w:type="pct"/>
            <w:tcBorders>
              <w:top w:val="single" w:sz="4" w:space="0" w:color="auto"/>
              <w:left w:val="single" w:sz="4" w:space="0" w:color="auto"/>
              <w:bottom w:val="single" w:sz="4" w:space="0" w:color="auto"/>
              <w:right w:val="single" w:sz="4" w:space="0" w:color="auto"/>
            </w:tcBorders>
            <w:hideMark/>
          </w:tcPr>
          <w:p w14:paraId="3796955A"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Darzalex SC</w:t>
            </w:r>
          </w:p>
        </w:tc>
      </w:tr>
      <w:tr w:rsidR="00796A91" w:rsidRPr="00622E6C" w14:paraId="442D112A" w14:textId="77777777" w:rsidTr="00AE4FB8">
        <w:trPr>
          <w:cantSplit/>
          <w:trHeight w:val="95"/>
        </w:trPr>
        <w:tc>
          <w:tcPr>
            <w:tcW w:w="5000" w:type="pct"/>
            <w:gridSpan w:val="7"/>
            <w:tcBorders>
              <w:top w:val="single" w:sz="4" w:space="0" w:color="auto"/>
              <w:left w:val="single" w:sz="4" w:space="0" w:color="auto"/>
              <w:bottom w:val="single" w:sz="4" w:space="0" w:color="auto"/>
              <w:right w:val="single" w:sz="4" w:space="0" w:color="auto"/>
            </w:tcBorders>
          </w:tcPr>
          <w:p w14:paraId="583F999D" w14:textId="77777777" w:rsidR="00796A91" w:rsidRPr="00622E6C" w:rsidRDefault="00796A91" w:rsidP="00796A91">
            <w:pPr>
              <w:rPr>
                <w:rFonts w:ascii="Arial Narrow" w:hAnsi="Arial Narrow"/>
                <w:sz w:val="20"/>
                <w:szCs w:val="20"/>
              </w:rPr>
            </w:pPr>
          </w:p>
          <w:p w14:paraId="1AF500D1" w14:textId="77777777" w:rsidR="00796A91" w:rsidRPr="00622E6C" w:rsidRDefault="00796A91" w:rsidP="00796A91">
            <w:pPr>
              <w:rPr>
                <w:rFonts w:ascii="Arial Narrow" w:hAnsi="Arial Narrow"/>
                <w:sz w:val="20"/>
                <w:szCs w:val="20"/>
              </w:rPr>
            </w:pPr>
          </w:p>
        </w:tc>
      </w:tr>
      <w:tr w:rsidR="00796A91" w:rsidRPr="00622E6C" w14:paraId="116C54A8" w14:textId="77777777" w:rsidTr="00AE4FB8">
        <w:tc>
          <w:tcPr>
            <w:tcW w:w="62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8FE73"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463DB7" w14:textId="77777777" w:rsidR="00796A91" w:rsidRPr="00622E6C" w:rsidRDefault="00796A91" w:rsidP="00796A91">
            <w:pPr>
              <w:rPr>
                <w:rFonts w:ascii="Arial Narrow" w:hAnsi="Arial Narrow"/>
                <w:b/>
                <w:color w:val="000000" w:themeColor="text1"/>
                <w:sz w:val="20"/>
                <w:szCs w:val="20"/>
              </w:rPr>
            </w:pPr>
            <w:r w:rsidRPr="00622E6C">
              <w:rPr>
                <w:rFonts w:ascii="Arial Narrow" w:hAnsi="Arial Narrow"/>
                <w:b/>
                <w:color w:val="000000" w:themeColor="text1"/>
                <w:sz w:val="20"/>
                <w:szCs w:val="20"/>
              </w:rPr>
              <w:t>Category / Program:</w:t>
            </w:r>
          </w:p>
          <w:p w14:paraId="44BAA1AC" w14:textId="77777777" w:rsidR="00796A91" w:rsidRPr="00622E6C" w:rsidRDefault="00796A91" w:rsidP="00796A91">
            <w:pPr>
              <w:rPr>
                <w:rFonts w:ascii="Arial Narrow" w:hAnsi="Arial Narrow"/>
                <w:iCs/>
                <w:color w:val="000000" w:themeColor="text1"/>
                <w:sz w:val="20"/>
                <w:szCs w:val="20"/>
              </w:rPr>
            </w:pPr>
            <w:r w:rsidRPr="00622E6C">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color w:val="000000" w:themeColor="text1"/>
                <w:sz w:val="20"/>
                <w:szCs w:val="20"/>
              </w:rPr>
              <w:instrText xml:space="preserve"> FORMCHECKBOX </w:instrText>
            </w:r>
            <w:r w:rsidR="00BE3AB8">
              <w:rPr>
                <w:rFonts w:ascii="Arial Narrow" w:eastAsia="Calibri" w:hAnsi="Arial Narrow"/>
                <w:color w:val="000000" w:themeColor="text1"/>
                <w:sz w:val="20"/>
                <w:szCs w:val="20"/>
              </w:rPr>
            </w:r>
            <w:r w:rsidR="00BE3AB8">
              <w:rPr>
                <w:rFonts w:ascii="Arial Narrow" w:eastAsia="Calibri" w:hAnsi="Arial Narrow"/>
                <w:color w:val="000000" w:themeColor="text1"/>
                <w:sz w:val="20"/>
                <w:szCs w:val="20"/>
              </w:rPr>
              <w:fldChar w:fldCharType="separate"/>
            </w:r>
            <w:r w:rsidRPr="00622E6C">
              <w:rPr>
                <w:rFonts w:ascii="Arial Narrow" w:eastAsia="Calibri" w:hAnsi="Arial Narrow"/>
                <w:color w:val="000000" w:themeColor="text1"/>
                <w:sz w:val="20"/>
                <w:szCs w:val="20"/>
              </w:rPr>
              <w:fldChar w:fldCharType="end"/>
            </w:r>
            <w:r w:rsidRPr="00622E6C">
              <w:rPr>
                <w:rFonts w:ascii="Arial Narrow" w:eastAsia="Calibri" w:hAnsi="Arial Narrow"/>
                <w:color w:val="000000" w:themeColor="text1"/>
                <w:sz w:val="20"/>
                <w:szCs w:val="20"/>
              </w:rPr>
              <w:t xml:space="preserve"> </w:t>
            </w:r>
            <w:r w:rsidRPr="00622E6C">
              <w:rPr>
                <w:rFonts w:ascii="Arial Narrow" w:hAnsi="Arial Narrow"/>
                <w:color w:val="000000" w:themeColor="text1"/>
                <w:sz w:val="20"/>
                <w:szCs w:val="20"/>
              </w:rPr>
              <w:t xml:space="preserve">Section 100 –Efficient Funding of Chemotherapy– </w:t>
            </w:r>
            <w:r w:rsidRPr="00622E6C">
              <w:rPr>
                <w:rFonts w:ascii="Arial Narrow" w:hAnsi="Arial Narrow"/>
                <w:iCs/>
                <w:color w:val="000000" w:themeColor="text1"/>
                <w:sz w:val="20"/>
                <w:szCs w:val="20"/>
              </w:rPr>
              <w:t>Related Benefits (Code CT)</w:t>
            </w:r>
          </w:p>
          <w:p w14:paraId="46D917A1" w14:textId="77777777" w:rsidR="00796A91" w:rsidRPr="00622E6C" w:rsidRDefault="00796A91" w:rsidP="00796A91">
            <w:pPr>
              <w:rPr>
                <w:rFonts w:ascii="Arial Narrow" w:hAnsi="Arial Narrow"/>
                <w:color w:val="000000" w:themeColor="text1"/>
                <w:sz w:val="20"/>
                <w:szCs w:val="20"/>
              </w:rPr>
            </w:pPr>
            <w:r w:rsidRPr="00622E6C">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color w:val="000000" w:themeColor="text1"/>
                <w:sz w:val="20"/>
                <w:szCs w:val="20"/>
              </w:rPr>
              <w:instrText xml:space="preserve"> FORMCHECKBOX </w:instrText>
            </w:r>
            <w:r w:rsidR="00BE3AB8">
              <w:rPr>
                <w:rFonts w:ascii="Arial Narrow" w:eastAsia="Calibri" w:hAnsi="Arial Narrow"/>
                <w:color w:val="000000" w:themeColor="text1"/>
                <w:sz w:val="20"/>
                <w:szCs w:val="20"/>
              </w:rPr>
            </w:r>
            <w:r w:rsidR="00BE3AB8">
              <w:rPr>
                <w:rFonts w:ascii="Arial Narrow" w:eastAsia="Calibri" w:hAnsi="Arial Narrow"/>
                <w:color w:val="000000" w:themeColor="text1"/>
                <w:sz w:val="20"/>
                <w:szCs w:val="20"/>
              </w:rPr>
              <w:fldChar w:fldCharType="separate"/>
            </w:r>
            <w:r w:rsidRPr="00622E6C">
              <w:rPr>
                <w:rFonts w:ascii="Arial Narrow" w:eastAsia="Calibri" w:hAnsi="Arial Narrow"/>
                <w:color w:val="000000" w:themeColor="text1"/>
                <w:sz w:val="20"/>
                <w:szCs w:val="20"/>
              </w:rPr>
              <w:fldChar w:fldCharType="end"/>
            </w:r>
            <w:r w:rsidRPr="00622E6C">
              <w:rPr>
                <w:rFonts w:ascii="Arial Narrow" w:eastAsia="Calibri" w:hAnsi="Arial Narrow"/>
                <w:color w:val="000000" w:themeColor="text1"/>
                <w:sz w:val="20"/>
                <w:szCs w:val="20"/>
              </w:rPr>
              <w:t xml:space="preserve"> </w:t>
            </w:r>
            <w:r w:rsidRPr="00622E6C">
              <w:rPr>
                <w:rFonts w:ascii="Arial Narrow" w:hAnsi="Arial Narrow"/>
                <w:iCs/>
                <w:color w:val="000000" w:themeColor="text1"/>
                <w:sz w:val="20"/>
                <w:szCs w:val="20"/>
              </w:rPr>
              <w:t>General Schedule (Code GE)</w:t>
            </w:r>
          </w:p>
        </w:tc>
      </w:tr>
      <w:tr w:rsidR="00796A91" w:rsidRPr="00622E6C" w14:paraId="7681B46A" w14:textId="77777777" w:rsidTr="00AE4FB8">
        <w:trPr>
          <w:trHeight w:val="45"/>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03F86A5B"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14D6CF" w14:textId="77777777" w:rsidR="00796A91" w:rsidRPr="00622E6C" w:rsidRDefault="00796A91" w:rsidP="00796A91">
            <w:pPr>
              <w:rPr>
                <w:rFonts w:ascii="Arial Narrow" w:hAnsi="Arial Narrow"/>
                <w:b/>
                <w:color w:val="000000" w:themeColor="text1"/>
                <w:sz w:val="20"/>
                <w:szCs w:val="20"/>
              </w:rPr>
            </w:pPr>
            <w:r w:rsidRPr="00622E6C">
              <w:rPr>
                <w:rFonts w:ascii="Arial Narrow" w:hAnsi="Arial Narrow"/>
                <w:b/>
                <w:color w:val="000000" w:themeColor="text1"/>
                <w:sz w:val="20"/>
                <w:szCs w:val="20"/>
              </w:rPr>
              <w:t xml:space="preserve">Prescriber type: </w:t>
            </w:r>
            <w:r w:rsidRPr="00622E6C">
              <w:rPr>
                <w:rFonts w:ascii="Arial Narrow" w:hAnsi="Arial Narrow"/>
                <w:color w:val="000000" w:themeColor="text1"/>
                <w:sz w:val="20"/>
                <w:szCs w:val="20"/>
              </w:rPr>
              <w:fldChar w:fldCharType="begin">
                <w:ffData>
                  <w:name w:val=""/>
                  <w:enabled/>
                  <w:calcOnExit w:val="0"/>
                  <w:checkBox>
                    <w:sizeAuto/>
                    <w:default w:val="1"/>
                  </w:checkBox>
                </w:ffData>
              </w:fldChar>
            </w:r>
            <w:r w:rsidRPr="00622E6C">
              <w:rPr>
                <w:rFonts w:ascii="Arial Narrow" w:hAnsi="Arial Narrow"/>
                <w:color w:val="000000" w:themeColor="text1"/>
                <w:sz w:val="20"/>
                <w:szCs w:val="20"/>
              </w:rPr>
              <w:instrText xml:space="preserve"> FORMCHECKBOX </w:instrText>
            </w:r>
            <w:r w:rsidR="00BE3AB8">
              <w:rPr>
                <w:rFonts w:ascii="Arial Narrow" w:hAnsi="Arial Narrow"/>
                <w:color w:val="000000" w:themeColor="text1"/>
                <w:sz w:val="20"/>
                <w:szCs w:val="20"/>
              </w:rPr>
            </w:r>
            <w:r w:rsidR="00BE3AB8">
              <w:rPr>
                <w:rFonts w:ascii="Arial Narrow" w:hAnsi="Arial Narrow"/>
                <w:color w:val="000000" w:themeColor="text1"/>
                <w:sz w:val="20"/>
                <w:szCs w:val="20"/>
              </w:rPr>
              <w:fldChar w:fldCharType="separate"/>
            </w:r>
            <w:r w:rsidRPr="00622E6C">
              <w:rPr>
                <w:rFonts w:ascii="Arial Narrow" w:hAnsi="Arial Narrow"/>
                <w:color w:val="000000" w:themeColor="text1"/>
                <w:sz w:val="20"/>
                <w:szCs w:val="20"/>
              </w:rPr>
              <w:fldChar w:fldCharType="end"/>
            </w:r>
            <w:r w:rsidRPr="00622E6C">
              <w:rPr>
                <w:rFonts w:ascii="Arial Narrow" w:hAnsi="Arial Narrow"/>
                <w:color w:val="000000" w:themeColor="text1"/>
                <w:sz w:val="20"/>
                <w:szCs w:val="20"/>
              </w:rPr>
              <w:t xml:space="preserve">Medical Practitioners </w:t>
            </w:r>
          </w:p>
        </w:tc>
      </w:tr>
      <w:tr w:rsidR="00796A91" w:rsidRPr="00622E6C" w14:paraId="43EE25D2" w14:textId="77777777" w:rsidTr="00AE4FB8">
        <w:tc>
          <w:tcPr>
            <w:tcW w:w="625" w:type="pct"/>
            <w:vMerge/>
            <w:tcBorders>
              <w:top w:val="single" w:sz="4" w:space="0" w:color="auto"/>
              <w:left w:val="single" w:sz="4" w:space="0" w:color="auto"/>
              <w:bottom w:val="single" w:sz="4" w:space="0" w:color="auto"/>
              <w:right w:val="single" w:sz="4" w:space="0" w:color="auto"/>
            </w:tcBorders>
            <w:vAlign w:val="center"/>
            <w:hideMark/>
          </w:tcPr>
          <w:p w14:paraId="68F33207"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3298F" w14:textId="77777777" w:rsidR="00796A91" w:rsidRPr="00622E6C" w:rsidRDefault="00796A91" w:rsidP="00796A91">
            <w:pPr>
              <w:rPr>
                <w:rFonts w:ascii="Arial Narrow" w:eastAsia="Calibri" w:hAnsi="Arial Narrow"/>
                <w:color w:val="000000" w:themeColor="text1"/>
                <w:sz w:val="20"/>
                <w:szCs w:val="20"/>
              </w:rPr>
            </w:pPr>
            <w:r w:rsidRPr="00622E6C">
              <w:rPr>
                <w:rFonts w:ascii="Arial Narrow" w:hAnsi="Arial Narrow"/>
                <w:b/>
                <w:color w:val="000000" w:themeColor="text1"/>
                <w:sz w:val="20"/>
                <w:szCs w:val="20"/>
              </w:rPr>
              <w:t xml:space="preserve">Restriction type: </w:t>
            </w:r>
            <w:r w:rsidRPr="00622E6C">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color w:val="000000" w:themeColor="text1"/>
                <w:sz w:val="20"/>
                <w:szCs w:val="20"/>
              </w:rPr>
              <w:instrText xml:space="preserve"> FORMCHECKBOX </w:instrText>
            </w:r>
            <w:r w:rsidR="00BE3AB8">
              <w:rPr>
                <w:rFonts w:ascii="Arial Narrow" w:eastAsia="Calibri" w:hAnsi="Arial Narrow"/>
                <w:color w:val="000000" w:themeColor="text1"/>
                <w:sz w:val="20"/>
                <w:szCs w:val="20"/>
              </w:rPr>
            </w:r>
            <w:r w:rsidR="00BE3AB8">
              <w:rPr>
                <w:rFonts w:ascii="Arial Narrow" w:eastAsia="Calibri" w:hAnsi="Arial Narrow"/>
                <w:color w:val="000000" w:themeColor="text1"/>
                <w:sz w:val="20"/>
                <w:szCs w:val="20"/>
              </w:rPr>
              <w:fldChar w:fldCharType="separate"/>
            </w:r>
            <w:r w:rsidRPr="00622E6C">
              <w:rPr>
                <w:rFonts w:ascii="Arial Narrow" w:eastAsia="Calibri" w:hAnsi="Arial Narrow"/>
                <w:color w:val="000000" w:themeColor="text1"/>
                <w:sz w:val="20"/>
                <w:szCs w:val="20"/>
              </w:rPr>
              <w:fldChar w:fldCharType="end"/>
            </w:r>
            <w:r w:rsidRPr="00622E6C">
              <w:rPr>
                <w:rFonts w:ascii="Arial Narrow" w:eastAsia="Calibri" w:hAnsi="Arial Narrow"/>
                <w:color w:val="000000" w:themeColor="text1"/>
                <w:sz w:val="20"/>
                <w:szCs w:val="20"/>
              </w:rPr>
              <w:t>Authority Required (online PBS Authorities system / telephone)</w:t>
            </w:r>
          </w:p>
        </w:tc>
      </w:tr>
      <w:tr w:rsidR="00F62828" w:rsidRPr="00622E6C" w14:paraId="17E575DE" w14:textId="77777777" w:rsidTr="00F6282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861A5" w14:textId="683CE12C" w:rsidR="00F62828" w:rsidRPr="00622E6C" w:rsidRDefault="00F62828"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6C8B0"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Administrative Advice:</w:t>
            </w:r>
          </w:p>
          <w:p w14:paraId="6F9DE84B" w14:textId="77777777" w:rsidR="00F62828" w:rsidRPr="00622E6C" w:rsidRDefault="00F62828" w:rsidP="00796A91">
            <w:pPr>
              <w:jc w:val="left"/>
              <w:rPr>
                <w:rFonts w:ascii="Arial Narrow" w:hAnsi="Arial Narrow"/>
                <w:color w:val="000000" w:themeColor="text1"/>
                <w:sz w:val="20"/>
                <w:szCs w:val="20"/>
              </w:rPr>
            </w:pPr>
            <w:r w:rsidRPr="00622E6C">
              <w:rPr>
                <w:rFonts w:ascii="Arial Narrow" w:hAnsi="Arial Narrow"/>
                <w:color w:val="000000" w:themeColor="text1"/>
                <w:sz w:val="20"/>
                <w:szCs w:val="20"/>
              </w:rPr>
              <w:t>The intravenously administered presentation of this drug is not PBS-listed for this indication at the request of the sponsor.</w:t>
            </w:r>
          </w:p>
        </w:tc>
      </w:tr>
      <w:tr w:rsidR="00F62828" w:rsidRPr="00622E6C" w14:paraId="258D6F4D" w14:textId="77777777" w:rsidTr="00F6282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A11C8" w14:textId="0297521F" w:rsidR="00F62828" w:rsidRPr="00622E6C" w:rsidRDefault="00F62828"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F8EE90"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Administrative Advice:</w:t>
            </w:r>
          </w:p>
          <w:p w14:paraId="4BE4DA09" w14:textId="77777777" w:rsidR="00F62828" w:rsidRPr="00622E6C" w:rsidRDefault="00F62828" w:rsidP="00796A91">
            <w:pPr>
              <w:jc w:val="left"/>
              <w:rPr>
                <w:rFonts w:ascii="Arial Narrow" w:hAnsi="Arial Narrow"/>
                <w:bCs/>
                <w:color w:val="000000" w:themeColor="text1"/>
                <w:sz w:val="20"/>
                <w:szCs w:val="20"/>
              </w:rPr>
            </w:pPr>
            <w:r w:rsidRPr="00622E6C">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F62828" w:rsidRPr="00622E6C" w14:paraId="036488BF" w14:textId="77777777" w:rsidTr="00F6282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CADCFD" w14:textId="023614E1" w:rsidR="00F62828" w:rsidRPr="00622E6C" w:rsidRDefault="00F62828"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CB0B8"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 xml:space="preserve">Administrative Advice: </w:t>
            </w:r>
            <w:r w:rsidRPr="00622E6C">
              <w:rPr>
                <w:rFonts w:ascii="Arial Narrow" w:hAnsi="Arial Narrow"/>
                <w:color w:val="000000" w:themeColor="text1"/>
                <w:sz w:val="20"/>
                <w:szCs w:val="20"/>
              </w:rPr>
              <w:t>No increase in the maximum quantity or number of units may be authorised.</w:t>
            </w:r>
          </w:p>
        </w:tc>
      </w:tr>
      <w:tr w:rsidR="00F62828" w:rsidRPr="00622E6C" w14:paraId="58A95FD1" w14:textId="77777777" w:rsidTr="00F62828">
        <w:trPr>
          <w:trHeight w:val="31"/>
        </w:trPr>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5D9CDB" w14:textId="6FCBB642" w:rsidR="00F62828" w:rsidRPr="00622E6C" w:rsidRDefault="00F62828"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76422"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 xml:space="preserve">Administrative Advice: </w:t>
            </w:r>
            <w:r w:rsidRPr="00622E6C">
              <w:rPr>
                <w:rFonts w:ascii="Arial Narrow" w:hAnsi="Arial Narrow"/>
                <w:bCs/>
                <w:color w:val="000000" w:themeColor="text1"/>
                <w:sz w:val="20"/>
                <w:szCs w:val="20"/>
              </w:rPr>
              <w:t>No increase in the maximum number of repeats may be authorised.</w:t>
            </w:r>
          </w:p>
        </w:tc>
      </w:tr>
      <w:tr w:rsidR="00F62828" w:rsidRPr="00622E6C" w14:paraId="6F46EBC4" w14:textId="77777777" w:rsidTr="00F62828">
        <w:trPr>
          <w:trHeight w:val="31"/>
        </w:trPr>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2F4CF5" w14:textId="751BED7E" w:rsidR="00F62828" w:rsidRPr="00622E6C" w:rsidRDefault="00F62828"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A807FA" w14:textId="77777777" w:rsidR="00F62828" w:rsidRPr="00622E6C" w:rsidRDefault="00F62828"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 xml:space="preserve">Administrative Advice: </w:t>
            </w:r>
            <w:r w:rsidRPr="00622E6C">
              <w:rPr>
                <w:rFonts w:ascii="Arial Narrow" w:hAnsi="Arial Narrow"/>
                <w:bCs/>
                <w:color w:val="000000" w:themeColor="text1"/>
                <w:sz w:val="20"/>
                <w:szCs w:val="20"/>
              </w:rPr>
              <w:t>Special Pricing Arrangements apply.</w:t>
            </w:r>
          </w:p>
        </w:tc>
      </w:tr>
      <w:tr w:rsidR="00796A91" w:rsidRPr="00622E6C" w14:paraId="1B90C95E"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FB844"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DCB822" w14:textId="77777777" w:rsidR="00796A91" w:rsidRPr="00622E6C" w:rsidRDefault="00796A91" w:rsidP="00796A91">
            <w:pPr>
              <w:rPr>
                <w:rFonts w:ascii="Arial Narrow" w:hAnsi="Arial Narrow"/>
                <w:b/>
                <w:bCs/>
                <w:color w:val="000000" w:themeColor="text1"/>
                <w:sz w:val="20"/>
                <w:szCs w:val="20"/>
              </w:rPr>
            </w:pPr>
          </w:p>
        </w:tc>
      </w:tr>
      <w:tr w:rsidR="00796A91" w:rsidRPr="00622E6C" w14:paraId="4C130454"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89ECE6" w14:textId="4B72E625"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51ED8C" w14:textId="77777777" w:rsidR="00796A91" w:rsidRPr="00622E6C" w:rsidRDefault="00796A91" w:rsidP="00796A91">
            <w:pPr>
              <w:rPr>
                <w:rFonts w:ascii="Arial Narrow" w:hAnsi="Arial Narrow"/>
                <w:color w:val="000000" w:themeColor="text1"/>
                <w:sz w:val="20"/>
                <w:szCs w:val="20"/>
              </w:rPr>
            </w:pPr>
            <w:r w:rsidRPr="00622E6C">
              <w:rPr>
                <w:rFonts w:ascii="Arial Narrow" w:hAnsi="Arial Narrow"/>
                <w:b/>
                <w:bCs/>
                <w:color w:val="000000" w:themeColor="text1"/>
                <w:sz w:val="20"/>
                <w:szCs w:val="20"/>
              </w:rPr>
              <w:t>Indication:</w:t>
            </w:r>
            <w:r w:rsidRPr="00622E6C">
              <w:rPr>
                <w:rFonts w:ascii="Arial Narrow" w:hAnsi="Arial Narrow"/>
                <w:color w:val="000000" w:themeColor="text1"/>
                <w:sz w:val="20"/>
                <w:szCs w:val="20"/>
              </w:rPr>
              <w:t xml:space="preserve"> S</w:t>
            </w:r>
            <w:r w:rsidRPr="00622E6C">
              <w:rPr>
                <w:rFonts w:ascii="Arial Narrow" w:hAnsi="Arial Narrow"/>
                <w:bCs/>
                <w:color w:val="000000" w:themeColor="text1"/>
                <w:sz w:val="20"/>
                <w:szCs w:val="20"/>
              </w:rPr>
              <w:t>ystemic light chain amyloidosis</w:t>
            </w:r>
          </w:p>
        </w:tc>
      </w:tr>
      <w:tr w:rsidR="00796A91" w:rsidRPr="00622E6C" w14:paraId="3D15BF39"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99D6B9"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F2044" w14:textId="77777777" w:rsidR="00796A91" w:rsidRPr="00622E6C" w:rsidRDefault="00796A91" w:rsidP="00796A91">
            <w:pPr>
              <w:rPr>
                <w:rFonts w:ascii="Arial Narrow" w:hAnsi="Arial Narrow"/>
                <w:b/>
                <w:bCs/>
                <w:color w:val="000000" w:themeColor="text1"/>
                <w:sz w:val="20"/>
                <w:szCs w:val="20"/>
              </w:rPr>
            </w:pPr>
          </w:p>
        </w:tc>
      </w:tr>
      <w:tr w:rsidR="00796A91" w:rsidRPr="00622E6C" w14:paraId="05F40A2C"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55C48E" w14:textId="77777777" w:rsidR="00796A91" w:rsidRPr="00622E6C" w:rsidRDefault="00796A91" w:rsidP="00796A91">
            <w:pP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621CB5" w14:textId="77777777" w:rsidR="00796A91" w:rsidRPr="00622E6C" w:rsidRDefault="00796A91" w:rsidP="00796A91">
            <w:pPr>
              <w:rPr>
                <w:rFonts w:ascii="Arial Narrow" w:hAnsi="Arial Narrow"/>
                <w:color w:val="000000" w:themeColor="text1"/>
                <w:sz w:val="20"/>
                <w:szCs w:val="20"/>
              </w:rPr>
            </w:pPr>
            <w:r w:rsidRPr="00622E6C">
              <w:rPr>
                <w:rFonts w:ascii="Arial Narrow" w:hAnsi="Arial Narrow"/>
                <w:b/>
                <w:bCs/>
                <w:color w:val="000000" w:themeColor="text1"/>
                <w:sz w:val="20"/>
                <w:szCs w:val="20"/>
              </w:rPr>
              <w:t>Treatment Phase:</w:t>
            </w:r>
            <w:r w:rsidRPr="00622E6C">
              <w:rPr>
                <w:rFonts w:ascii="Arial Narrow" w:hAnsi="Arial Narrow"/>
                <w:color w:val="000000" w:themeColor="text1"/>
                <w:sz w:val="20"/>
                <w:szCs w:val="20"/>
              </w:rPr>
              <w:t xml:space="preserve"> </w:t>
            </w:r>
            <w:r w:rsidRPr="00622E6C">
              <w:rPr>
                <w:rFonts w:ascii="Arial Narrow" w:eastAsia="Calibri" w:hAnsi="Arial Narrow"/>
                <w:sz w:val="20"/>
                <w:szCs w:val="20"/>
              </w:rPr>
              <w:t>Continuing treatment from week 25 onwards (administered once every four weeks)</w:t>
            </w:r>
          </w:p>
        </w:tc>
      </w:tr>
      <w:tr w:rsidR="00796A91" w:rsidRPr="00622E6C" w14:paraId="167E0D6F"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6F938"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03E53D" w14:textId="77777777" w:rsidR="00796A91" w:rsidRPr="00622E6C" w:rsidRDefault="00796A91" w:rsidP="00796A91">
            <w:pPr>
              <w:rPr>
                <w:rFonts w:ascii="Arial Narrow" w:hAnsi="Arial Narrow"/>
                <w:b/>
                <w:bCs/>
                <w:color w:val="000000" w:themeColor="text1"/>
                <w:sz w:val="20"/>
                <w:szCs w:val="20"/>
              </w:rPr>
            </w:pPr>
          </w:p>
        </w:tc>
      </w:tr>
      <w:tr w:rsidR="00796A91" w:rsidRPr="00622E6C" w14:paraId="52CFCBD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61E9B" w14:textId="11F3FE86"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6124DB" w14:textId="77777777" w:rsidR="00796A91" w:rsidRPr="00622E6C" w:rsidRDefault="00796A91" w:rsidP="00796A91">
            <w:pPr>
              <w:rPr>
                <w:rFonts w:ascii="Arial Narrow" w:hAnsi="Arial Narrow"/>
                <w:color w:val="000000" w:themeColor="text1"/>
                <w:sz w:val="20"/>
                <w:szCs w:val="20"/>
              </w:rPr>
            </w:pPr>
            <w:r w:rsidRPr="00622E6C">
              <w:rPr>
                <w:rFonts w:ascii="Arial Narrow" w:hAnsi="Arial Narrow"/>
                <w:b/>
                <w:bCs/>
                <w:color w:val="000000" w:themeColor="text1"/>
                <w:sz w:val="20"/>
                <w:szCs w:val="20"/>
              </w:rPr>
              <w:t xml:space="preserve">Clinical criteria: </w:t>
            </w:r>
          </w:p>
        </w:tc>
      </w:tr>
      <w:tr w:rsidR="00796A91" w:rsidRPr="00622E6C" w14:paraId="6E51AA40"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CBA843" w14:textId="58780F6E"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02CBD0" w14:textId="77777777" w:rsidR="00796A91" w:rsidRPr="00622E6C" w:rsidRDefault="00796A91" w:rsidP="00796A91">
            <w:pPr>
              <w:rPr>
                <w:rFonts w:ascii="Arial Narrow" w:eastAsia="Calibri" w:hAnsi="Arial Narrow"/>
                <w:sz w:val="20"/>
                <w:szCs w:val="20"/>
              </w:rPr>
            </w:pPr>
            <w:r w:rsidRPr="00622E6C">
              <w:rPr>
                <w:rFonts w:ascii="Arial Narrow" w:eastAsia="Calibri" w:hAnsi="Arial Narrow"/>
                <w:sz w:val="20"/>
                <w:szCs w:val="20"/>
              </w:rPr>
              <w:t xml:space="preserve">Patient must have previously received PBS-subsidised treatment with this drug for this condition, </w:t>
            </w:r>
          </w:p>
        </w:tc>
      </w:tr>
      <w:tr w:rsidR="00796A91" w:rsidRPr="00622E6C" w14:paraId="151512B8"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FD4239"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270FB" w14:textId="77777777" w:rsidR="00796A91" w:rsidRPr="00622E6C" w:rsidRDefault="00796A91" w:rsidP="00796A91">
            <w:pPr>
              <w:rPr>
                <w:rFonts w:ascii="Arial Narrow" w:eastAsia="Calibri" w:hAnsi="Arial Narrow"/>
                <w:sz w:val="20"/>
                <w:szCs w:val="20"/>
              </w:rPr>
            </w:pPr>
          </w:p>
        </w:tc>
      </w:tr>
      <w:tr w:rsidR="00796A91" w:rsidRPr="00622E6C" w14:paraId="3A3CC7C5"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7BE5E6"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2F8638"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Treatment</w:t>
            </w:r>
            <w:r w:rsidRPr="00622E6C">
              <w:rPr>
                <w:rFonts w:ascii="Arial Narrow" w:hAnsi="Arial Narrow"/>
                <w:b/>
                <w:bCs/>
                <w:i/>
                <w:iCs/>
                <w:color w:val="000000" w:themeColor="text1"/>
                <w:sz w:val="20"/>
                <w:szCs w:val="20"/>
              </w:rPr>
              <w:t xml:space="preserve"> </w:t>
            </w:r>
            <w:r w:rsidRPr="00622E6C">
              <w:rPr>
                <w:rFonts w:ascii="Arial Narrow" w:hAnsi="Arial Narrow"/>
                <w:b/>
                <w:bCs/>
                <w:color w:val="000000" w:themeColor="text1"/>
                <w:sz w:val="20"/>
                <w:szCs w:val="20"/>
              </w:rPr>
              <w:t xml:space="preserve">criteria: </w:t>
            </w:r>
          </w:p>
        </w:tc>
      </w:tr>
      <w:tr w:rsidR="00796A91" w:rsidRPr="00622E6C" w14:paraId="2FE73525" w14:textId="77777777" w:rsidTr="00AE4FB8">
        <w:trPr>
          <w:trHeight w:val="539"/>
        </w:trPr>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C8979A" w14:textId="10F4C402"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6CB84D" w14:textId="77777777" w:rsidR="00796A91" w:rsidRPr="00622E6C" w:rsidRDefault="00796A91" w:rsidP="00796A91">
            <w:pPr>
              <w:rPr>
                <w:rFonts w:ascii="Arial Narrow" w:hAnsi="Arial Narrow"/>
                <w:b/>
                <w:bCs/>
                <w:color w:val="000000" w:themeColor="text1"/>
                <w:sz w:val="20"/>
                <w:szCs w:val="20"/>
              </w:rPr>
            </w:pPr>
            <w:r w:rsidRPr="00622E6C">
              <w:rPr>
                <w:rFonts w:ascii="Arial Narrow" w:eastAsia="Calibri" w:hAnsi="Arial Narrow"/>
                <w:sz w:val="20"/>
                <w:szCs w:val="20"/>
              </w:rPr>
              <w:t>Must be treated by a haematologist (this does not exclude treatment via a multidisciplinary team, but the PBS authority application must be sought by the treating haematologist)</w:t>
            </w:r>
          </w:p>
        </w:tc>
      </w:tr>
      <w:tr w:rsidR="00796A91" w:rsidRPr="00622E6C" w14:paraId="5354049E"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EE97BE"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4042EC"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AND</w:t>
            </w:r>
          </w:p>
        </w:tc>
      </w:tr>
      <w:tr w:rsidR="00796A91" w:rsidRPr="00622E6C" w14:paraId="464C8A1C"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41F3AC"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DE8E5" w14:textId="77777777" w:rsidR="00796A91" w:rsidRPr="00622E6C" w:rsidRDefault="00796A91" w:rsidP="00796A91">
            <w:pPr>
              <w:rPr>
                <w:rFonts w:ascii="Arial Narrow" w:eastAsia="Calibri" w:hAnsi="Arial Narrow"/>
                <w:b/>
                <w:bCs/>
                <w:sz w:val="20"/>
                <w:szCs w:val="20"/>
              </w:rPr>
            </w:pPr>
            <w:r w:rsidRPr="00622E6C">
              <w:rPr>
                <w:rFonts w:ascii="Arial Narrow" w:eastAsia="Calibri" w:hAnsi="Arial Narrow"/>
                <w:b/>
                <w:bCs/>
                <w:sz w:val="20"/>
                <w:szCs w:val="20"/>
              </w:rPr>
              <w:t>Treatment criteria:</w:t>
            </w:r>
          </w:p>
        </w:tc>
      </w:tr>
      <w:tr w:rsidR="00796A91" w:rsidRPr="00622E6C" w14:paraId="16F2393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5B23C0" w14:textId="19103A6D"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72C7B" w14:textId="77777777" w:rsidR="00796A91" w:rsidRPr="00622E6C" w:rsidRDefault="00796A91" w:rsidP="00796A91">
            <w:pPr>
              <w:rPr>
                <w:rFonts w:ascii="Arial Narrow" w:eastAsia="Calibri" w:hAnsi="Arial Narrow"/>
                <w:sz w:val="20"/>
                <w:szCs w:val="20"/>
              </w:rPr>
            </w:pPr>
            <w:r w:rsidRPr="00622E6C">
              <w:rPr>
                <w:rFonts w:ascii="Arial Narrow" w:eastAsia="Calibri" w:hAnsi="Arial Narrow"/>
                <w:sz w:val="20"/>
                <w:szCs w:val="20"/>
              </w:rPr>
              <w:t>Patient must not receive more than 24 cumulative months of PBS subsidised treatment with this drug for this condition</w:t>
            </w:r>
          </w:p>
        </w:tc>
      </w:tr>
      <w:tr w:rsidR="00796A91" w:rsidRPr="00622E6C" w14:paraId="7E1871C7"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99961" w14:textId="77777777" w:rsidR="00796A91" w:rsidRPr="00622E6C" w:rsidRDefault="00796A91" w:rsidP="00796A91">
            <w:pPr>
              <w:jc w:val="center"/>
              <w:rPr>
                <w:rFonts w:ascii="Arial Narrow" w:hAnsi="Arial Narrow"/>
                <w:b/>
                <w:bCs/>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E0EBE" w14:textId="77777777" w:rsidR="00796A91" w:rsidRPr="00622E6C" w:rsidRDefault="00796A91" w:rsidP="00796A91">
            <w:pPr>
              <w:rPr>
                <w:rFonts w:ascii="Arial Narrow" w:eastAsia="Calibri" w:hAnsi="Arial Narrow"/>
                <w:b/>
                <w:bCs/>
                <w:sz w:val="20"/>
                <w:szCs w:val="20"/>
              </w:rPr>
            </w:pPr>
            <w:r w:rsidRPr="00622E6C">
              <w:rPr>
                <w:rFonts w:ascii="Arial Narrow" w:eastAsia="Calibri" w:hAnsi="Arial Narrow"/>
                <w:b/>
                <w:bCs/>
                <w:sz w:val="20"/>
                <w:szCs w:val="20"/>
              </w:rPr>
              <w:t>AND</w:t>
            </w:r>
          </w:p>
        </w:tc>
      </w:tr>
      <w:tr w:rsidR="00796A91" w:rsidRPr="00622E6C" w14:paraId="0DC3EBB3"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D1C8B8" w14:textId="77777777" w:rsidR="00796A91" w:rsidRPr="00622E6C" w:rsidRDefault="00796A91" w:rsidP="00796A91">
            <w:pPr>
              <w:jc w:val="center"/>
              <w:rPr>
                <w:rFonts w:ascii="Arial Narrow" w:hAnsi="Arial Narrow"/>
                <w:b/>
                <w:bCs/>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E0433" w14:textId="77777777" w:rsidR="00796A91" w:rsidRPr="00622E6C" w:rsidRDefault="00796A91" w:rsidP="00796A91">
            <w:pPr>
              <w:rPr>
                <w:rFonts w:ascii="Arial Narrow" w:eastAsia="Calibri" w:hAnsi="Arial Narrow"/>
                <w:b/>
                <w:bCs/>
                <w:sz w:val="20"/>
                <w:szCs w:val="20"/>
              </w:rPr>
            </w:pPr>
            <w:r w:rsidRPr="00622E6C">
              <w:rPr>
                <w:rFonts w:ascii="Arial Narrow" w:eastAsia="Calibri" w:hAnsi="Arial Narrow"/>
                <w:b/>
                <w:bCs/>
                <w:sz w:val="20"/>
                <w:szCs w:val="20"/>
              </w:rPr>
              <w:t>Treatment criteria:</w:t>
            </w:r>
          </w:p>
        </w:tc>
      </w:tr>
      <w:tr w:rsidR="00796A91" w:rsidRPr="00622E6C" w14:paraId="364C8564"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35FD55" w14:textId="1E9E15D5"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446E69" w14:textId="77777777" w:rsidR="00796A91" w:rsidRPr="00622E6C" w:rsidRDefault="00796A91" w:rsidP="00796A91">
            <w:pPr>
              <w:rPr>
                <w:rFonts w:ascii="Arial Narrow" w:eastAsia="Calibri" w:hAnsi="Arial Narrow"/>
                <w:sz w:val="20"/>
                <w:szCs w:val="20"/>
              </w:rPr>
            </w:pPr>
            <w:r w:rsidRPr="00622E6C">
              <w:rPr>
                <w:rFonts w:ascii="Arial Narrow" w:eastAsia="Calibri" w:hAnsi="Arial Narrow"/>
                <w:sz w:val="20"/>
                <w:szCs w:val="20"/>
              </w:rPr>
              <w:t>Patient must be undergoing continuing treatment that does not extend treatment duration beyond whichever comes first: (i) disease progression, (ii) 24 cumulative months from the first administered dose, once in a lifetime</w:t>
            </w:r>
          </w:p>
        </w:tc>
      </w:tr>
      <w:tr w:rsidR="00796A91" w:rsidRPr="00622E6C" w14:paraId="70171B5A" w14:textId="77777777" w:rsidTr="00AE4FB8">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A61F9A" w14:textId="77777777" w:rsidR="00796A91" w:rsidRPr="00622E6C" w:rsidRDefault="00796A91" w:rsidP="00796A91">
            <w:pPr>
              <w:rPr>
                <w:rFonts w:ascii="Arial Narrow" w:eastAsia="Calibri" w:hAnsi="Arial Narrow"/>
                <w:sz w:val="20"/>
                <w:szCs w:val="20"/>
              </w:rPr>
            </w:pPr>
          </w:p>
        </w:tc>
      </w:tr>
      <w:tr w:rsidR="00796A91" w:rsidRPr="00622E6C" w14:paraId="175AF2F7" w14:textId="77777777" w:rsidTr="00AE4FB8">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8145AE" w14:textId="31B842A1" w:rsidR="00796A91" w:rsidRPr="00622E6C" w:rsidRDefault="00796A91" w:rsidP="00796A91">
            <w:pPr>
              <w:rPr>
                <w:rFonts w:ascii="Arial Narrow" w:hAnsi="Arial Narrow"/>
                <w:b/>
                <w:bCs/>
                <w:color w:val="000000" w:themeColor="text1"/>
                <w:sz w:val="20"/>
                <w:szCs w:val="20"/>
              </w:rPr>
            </w:pPr>
          </w:p>
        </w:tc>
      </w:tr>
      <w:tr w:rsidR="00796A91" w:rsidRPr="00622E6C" w14:paraId="6DE204F6" w14:textId="77777777" w:rsidTr="00AE4FB8">
        <w:tc>
          <w:tcPr>
            <w:tcW w:w="62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79D8A"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D36643" w14:textId="77777777" w:rsidR="00796A91" w:rsidRPr="00622E6C" w:rsidRDefault="00796A91" w:rsidP="00796A91">
            <w:pPr>
              <w:rPr>
                <w:rFonts w:ascii="Arial Narrow" w:hAnsi="Arial Narrow"/>
                <w:b/>
                <w:iCs/>
                <w:color w:val="000000" w:themeColor="text1"/>
                <w:sz w:val="20"/>
                <w:szCs w:val="20"/>
              </w:rPr>
            </w:pPr>
            <w:r w:rsidRPr="00622E6C">
              <w:rPr>
                <w:rFonts w:ascii="Arial Narrow" w:hAnsi="Arial Narrow"/>
                <w:b/>
                <w:iCs/>
                <w:color w:val="000000" w:themeColor="text1"/>
                <w:sz w:val="20"/>
                <w:szCs w:val="20"/>
              </w:rPr>
              <w:t xml:space="preserve">Category / Program: </w:t>
            </w:r>
          </w:p>
          <w:p w14:paraId="7A06FBD7" w14:textId="77777777" w:rsidR="00796A91" w:rsidRPr="00622E6C" w:rsidRDefault="00796A91" w:rsidP="00796A91">
            <w:pPr>
              <w:rPr>
                <w:rFonts w:ascii="Arial Narrow" w:hAnsi="Arial Narrow"/>
                <w:iCs/>
                <w:color w:val="000000" w:themeColor="text1"/>
                <w:sz w:val="20"/>
                <w:szCs w:val="20"/>
              </w:rPr>
            </w:pPr>
            <w:r w:rsidRPr="00622E6C">
              <w:rPr>
                <w:rFonts w:ascii="Arial Narrow" w:eastAsia="Calibri" w:hAnsi="Arial Narrow"/>
                <w:iCs/>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iCs/>
                <w:color w:val="000000" w:themeColor="text1"/>
                <w:sz w:val="20"/>
                <w:szCs w:val="20"/>
              </w:rPr>
              <w:instrText xml:space="preserve"> FORMCHECKBOX </w:instrText>
            </w:r>
            <w:r w:rsidR="00BE3AB8">
              <w:rPr>
                <w:rFonts w:ascii="Arial Narrow" w:eastAsia="Calibri" w:hAnsi="Arial Narrow"/>
                <w:iCs/>
                <w:color w:val="000000" w:themeColor="text1"/>
                <w:sz w:val="20"/>
                <w:szCs w:val="20"/>
              </w:rPr>
            </w:r>
            <w:r w:rsidR="00BE3AB8">
              <w:rPr>
                <w:rFonts w:ascii="Arial Narrow" w:eastAsia="Calibri" w:hAnsi="Arial Narrow"/>
                <w:iCs/>
                <w:color w:val="000000" w:themeColor="text1"/>
                <w:sz w:val="20"/>
                <w:szCs w:val="20"/>
              </w:rPr>
              <w:fldChar w:fldCharType="separate"/>
            </w:r>
            <w:r w:rsidRPr="00622E6C">
              <w:rPr>
                <w:rFonts w:ascii="Arial Narrow" w:eastAsia="Calibri" w:hAnsi="Arial Narrow"/>
                <w:iCs/>
                <w:color w:val="000000" w:themeColor="text1"/>
                <w:sz w:val="20"/>
                <w:szCs w:val="20"/>
              </w:rPr>
              <w:fldChar w:fldCharType="end"/>
            </w:r>
            <w:r w:rsidRPr="00622E6C">
              <w:rPr>
                <w:rFonts w:ascii="Arial Narrow" w:hAnsi="Arial Narrow"/>
                <w:iCs/>
                <w:color w:val="000000" w:themeColor="text1"/>
                <w:sz w:val="20"/>
                <w:szCs w:val="20"/>
              </w:rPr>
              <w:t>Section 100 –Efficient Funding of Chemotherapy– Related Benefits (Code CT)</w:t>
            </w:r>
          </w:p>
          <w:p w14:paraId="78F86FB2" w14:textId="77777777" w:rsidR="00796A91" w:rsidRPr="00622E6C" w:rsidRDefault="00796A91" w:rsidP="00796A91">
            <w:pPr>
              <w:rPr>
                <w:rFonts w:ascii="Arial Narrow" w:hAnsi="Arial Narrow"/>
                <w:b/>
                <w:bCs/>
                <w:color w:val="000000" w:themeColor="text1"/>
                <w:sz w:val="20"/>
                <w:szCs w:val="20"/>
              </w:rPr>
            </w:pPr>
            <w:r w:rsidRPr="00622E6C">
              <w:rPr>
                <w:rFonts w:ascii="Arial Narrow" w:eastAsia="Calibri" w:hAnsi="Arial Narrow"/>
                <w:iCs/>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iCs/>
                <w:color w:val="000000" w:themeColor="text1"/>
                <w:sz w:val="20"/>
                <w:szCs w:val="20"/>
              </w:rPr>
              <w:instrText xml:space="preserve"> FORMCHECKBOX </w:instrText>
            </w:r>
            <w:r w:rsidR="00BE3AB8">
              <w:rPr>
                <w:rFonts w:ascii="Arial Narrow" w:eastAsia="Calibri" w:hAnsi="Arial Narrow"/>
                <w:iCs/>
                <w:color w:val="000000" w:themeColor="text1"/>
                <w:sz w:val="20"/>
                <w:szCs w:val="20"/>
              </w:rPr>
            </w:r>
            <w:r w:rsidR="00BE3AB8">
              <w:rPr>
                <w:rFonts w:ascii="Arial Narrow" w:eastAsia="Calibri" w:hAnsi="Arial Narrow"/>
                <w:iCs/>
                <w:color w:val="000000" w:themeColor="text1"/>
                <w:sz w:val="20"/>
                <w:szCs w:val="20"/>
              </w:rPr>
              <w:fldChar w:fldCharType="separate"/>
            </w:r>
            <w:r w:rsidRPr="00622E6C">
              <w:rPr>
                <w:rFonts w:ascii="Arial Narrow" w:eastAsia="Calibri" w:hAnsi="Arial Narrow"/>
                <w:iCs/>
                <w:color w:val="000000" w:themeColor="text1"/>
                <w:sz w:val="20"/>
                <w:szCs w:val="20"/>
              </w:rPr>
              <w:fldChar w:fldCharType="end"/>
            </w:r>
            <w:r w:rsidRPr="00622E6C">
              <w:rPr>
                <w:rFonts w:ascii="Arial Narrow" w:eastAsia="Calibri" w:hAnsi="Arial Narrow"/>
                <w:iCs/>
                <w:color w:val="000000" w:themeColor="text1"/>
                <w:sz w:val="20"/>
                <w:szCs w:val="20"/>
              </w:rPr>
              <w:t xml:space="preserve"> </w:t>
            </w:r>
            <w:r w:rsidRPr="00622E6C">
              <w:rPr>
                <w:rFonts w:ascii="Arial Narrow" w:hAnsi="Arial Narrow"/>
                <w:iCs/>
                <w:color w:val="000000" w:themeColor="text1"/>
                <w:sz w:val="20"/>
                <w:szCs w:val="20"/>
              </w:rPr>
              <w:t>General Schedule (Code GE)</w:t>
            </w:r>
          </w:p>
        </w:tc>
      </w:tr>
      <w:tr w:rsidR="00796A91" w:rsidRPr="00622E6C" w14:paraId="2605427D" w14:textId="77777777" w:rsidTr="00AE4FB8">
        <w:tc>
          <w:tcPr>
            <w:tcW w:w="625" w:type="pct"/>
            <w:vMerge/>
            <w:tcBorders>
              <w:top w:val="single" w:sz="4" w:space="0" w:color="auto"/>
              <w:left w:val="single" w:sz="4" w:space="0" w:color="auto"/>
              <w:bottom w:val="single" w:sz="4" w:space="0" w:color="auto"/>
              <w:right w:val="single" w:sz="4" w:space="0" w:color="auto"/>
            </w:tcBorders>
            <w:vAlign w:val="center"/>
            <w:hideMark/>
          </w:tcPr>
          <w:p w14:paraId="12E5309B"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8658B0"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color w:val="000000" w:themeColor="text1"/>
                <w:sz w:val="20"/>
                <w:szCs w:val="20"/>
              </w:rPr>
              <w:t xml:space="preserve">Prescriber type: </w:t>
            </w:r>
            <w:r w:rsidRPr="00622E6C">
              <w:rPr>
                <w:rFonts w:ascii="Arial Narrow" w:hAnsi="Arial Narrow"/>
                <w:color w:val="000000" w:themeColor="text1"/>
                <w:sz w:val="20"/>
                <w:szCs w:val="20"/>
              </w:rPr>
              <w:fldChar w:fldCharType="begin">
                <w:ffData>
                  <w:name w:val=""/>
                  <w:enabled/>
                  <w:calcOnExit w:val="0"/>
                  <w:checkBox>
                    <w:sizeAuto/>
                    <w:default w:val="1"/>
                  </w:checkBox>
                </w:ffData>
              </w:fldChar>
            </w:r>
            <w:r w:rsidRPr="00622E6C">
              <w:rPr>
                <w:rFonts w:ascii="Arial Narrow" w:hAnsi="Arial Narrow"/>
                <w:color w:val="000000" w:themeColor="text1"/>
                <w:sz w:val="20"/>
                <w:szCs w:val="20"/>
              </w:rPr>
              <w:instrText xml:space="preserve"> FORMCHECKBOX </w:instrText>
            </w:r>
            <w:r w:rsidR="00BE3AB8">
              <w:rPr>
                <w:rFonts w:ascii="Arial Narrow" w:hAnsi="Arial Narrow"/>
                <w:color w:val="000000" w:themeColor="text1"/>
                <w:sz w:val="20"/>
                <w:szCs w:val="20"/>
              </w:rPr>
            </w:r>
            <w:r w:rsidR="00BE3AB8">
              <w:rPr>
                <w:rFonts w:ascii="Arial Narrow" w:hAnsi="Arial Narrow"/>
                <w:color w:val="000000" w:themeColor="text1"/>
                <w:sz w:val="20"/>
                <w:szCs w:val="20"/>
              </w:rPr>
              <w:fldChar w:fldCharType="separate"/>
            </w:r>
            <w:r w:rsidRPr="00622E6C">
              <w:rPr>
                <w:rFonts w:ascii="Arial Narrow" w:hAnsi="Arial Narrow"/>
                <w:color w:val="000000" w:themeColor="text1"/>
                <w:sz w:val="20"/>
                <w:szCs w:val="20"/>
              </w:rPr>
              <w:fldChar w:fldCharType="end"/>
            </w:r>
            <w:r w:rsidRPr="00622E6C">
              <w:rPr>
                <w:rFonts w:ascii="Arial Narrow" w:hAnsi="Arial Narrow"/>
                <w:color w:val="000000" w:themeColor="text1"/>
                <w:sz w:val="20"/>
                <w:szCs w:val="20"/>
              </w:rPr>
              <w:t xml:space="preserve">Medical Practitioners </w:t>
            </w:r>
          </w:p>
        </w:tc>
      </w:tr>
      <w:tr w:rsidR="00796A91" w:rsidRPr="00622E6C" w14:paraId="3A365D7C" w14:textId="77777777" w:rsidTr="00AE4FB8">
        <w:tc>
          <w:tcPr>
            <w:tcW w:w="625" w:type="pct"/>
            <w:vMerge/>
            <w:tcBorders>
              <w:top w:val="single" w:sz="4" w:space="0" w:color="auto"/>
              <w:left w:val="single" w:sz="4" w:space="0" w:color="auto"/>
              <w:bottom w:val="single" w:sz="4" w:space="0" w:color="auto"/>
              <w:right w:val="single" w:sz="4" w:space="0" w:color="auto"/>
            </w:tcBorders>
            <w:vAlign w:val="center"/>
            <w:hideMark/>
          </w:tcPr>
          <w:p w14:paraId="32D47447"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7D8A7B"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color w:val="000000" w:themeColor="text1"/>
                <w:sz w:val="20"/>
                <w:szCs w:val="20"/>
              </w:rPr>
              <w:t xml:space="preserve">Restriction type: </w:t>
            </w:r>
            <w:r w:rsidRPr="00622E6C">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22E6C">
              <w:rPr>
                <w:rFonts w:ascii="Arial Narrow" w:eastAsia="Calibri" w:hAnsi="Arial Narrow"/>
                <w:color w:val="000000" w:themeColor="text1"/>
                <w:sz w:val="20"/>
                <w:szCs w:val="20"/>
              </w:rPr>
              <w:instrText xml:space="preserve"> FORMCHECKBOX </w:instrText>
            </w:r>
            <w:r w:rsidR="00BE3AB8">
              <w:rPr>
                <w:rFonts w:ascii="Arial Narrow" w:eastAsia="Calibri" w:hAnsi="Arial Narrow"/>
                <w:color w:val="000000" w:themeColor="text1"/>
                <w:sz w:val="20"/>
                <w:szCs w:val="20"/>
              </w:rPr>
            </w:r>
            <w:r w:rsidR="00BE3AB8">
              <w:rPr>
                <w:rFonts w:ascii="Arial Narrow" w:eastAsia="Calibri" w:hAnsi="Arial Narrow"/>
                <w:color w:val="000000" w:themeColor="text1"/>
                <w:sz w:val="20"/>
                <w:szCs w:val="20"/>
              </w:rPr>
              <w:fldChar w:fldCharType="separate"/>
            </w:r>
            <w:r w:rsidRPr="00622E6C">
              <w:rPr>
                <w:rFonts w:ascii="Arial Narrow" w:eastAsia="Calibri" w:hAnsi="Arial Narrow"/>
                <w:color w:val="000000" w:themeColor="text1"/>
                <w:sz w:val="20"/>
                <w:szCs w:val="20"/>
              </w:rPr>
              <w:fldChar w:fldCharType="end"/>
            </w:r>
            <w:r w:rsidRPr="00622E6C">
              <w:rPr>
                <w:rFonts w:ascii="Arial Narrow" w:eastAsia="Calibri" w:hAnsi="Arial Narrow"/>
                <w:color w:val="000000" w:themeColor="text1"/>
                <w:sz w:val="20"/>
                <w:szCs w:val="20"/>
              </w:rPr>
              <w:t>Authority Required (telephone/online PBS Authorities system)</w:t>
            </w:r>
          </w:p>
        </w:tc>
      </w:tr>
      <w:tr w:rsidR="00796A91" w:rsidRPr="00622E6C" w14:paraId="53097CEF"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AD3EDA"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1251C" w14:textId="77777777" w:rsidR="00796A91" w:rsidRPr="00622E6C" w:rsidRDefault="00796A91" w:rsidP="00796A91">
            <w:pPr>
              <w:rPr>
                <w:rFonts w:ascii="Arial Narrow" w:hAnsi="Arial Narrow"/>
                <w:b/>
                <w:bCs/>
                <w:color w:val="000000" w:themeColor="text1"/>
                <w:sz w:val="20"/>
                <w:szCs w:val="20"/>
              </w:rPr>
            </w:pPr>
          </w:p>
        </w:tc>
      </w:tr>
      <w:tr w:rsidR="00796A91" w:rsidRPr="00622E6C" w14:paraId="0933B47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0ACDE4" w14:textId="04E0E173"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98156"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Indication:</w:t>
            </w:r>
            <w:r w:rsidRPr="00622E6C">
              <w:rPr>
                <w:rFonts w:ascii="Arial Narrow" w:hAnsi="Arial Narrow"/>
                <w:color w:val="000000" w:themeColor="text1"/>
                <w:sz w:val="20"/>
                <w:szCs w:val="20"/>
              </w:rPr>
              <w:t xml:space="preserve"> S</w:t>
            </w:r>
            <w:r w:rsidRPr="00622E6C">
              <w:rPr>
                <w:rFonts w:ascii="Arial Narrow" w:hAnsi="Arial Narrow"/>
                <w:bCs/>
                <w:color w:val="000000" w:themeColor="text1"/>
                <w:sz w:val="20"/>
                <w:szCs w:val="20"/>
              </w:rPr>
              <w:t>ystemic light chain amyloidosis</w:t>
            </w:r>
          </w:p>
        </w:tc>
      </w:tr>
      <w:tr w:rsidR="00796A91" w:rsidRPr="00622E6C" w14:paraId="4713574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9EBBDB"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9981BF" w14:textId="77777777" w:rsidR="00796A91" w:rsidRPr="00622E6C" w:rsidRDefault="00796A91" w:rsidP="00796A91">
            <w:pPr>
              <w:rPr>
                <w:rFonts w:ascii="Arial Narrow" w:hAnsi="Arial Narrow"/>
                <w:b/>
                <w:bCs/>
                <w:color w:val="000000" w:themeColor="text1"/>
                <w:sz w:val="20"/>
                <w:szCs w:val="20"/>
              </w:rPr>
            </w:pPr>
          </w:p>
        </w:tc>
      </w:tr>
      <w:tr w:rsidR="00796A91" w:rsidRPr="00622E6C" w14:paraId="4CE59D92"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07FEEE" w14:textId="77777777" w:rsidR="00796A91" w:rsidRPr="00622E6C" w:rsidRDefault="00796A91" w:rsidP="00796A91">
            <w:pPr>
              <w:rPr>
                <w:rFonts w:ascii="Arial Narrow" w:hAnsi="Arial Narrow"/>
                <w:b/>
                <w:bCs/>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CBDCE1" w14:textId="77777777" w:rsidR="00796A91" w:rsidRPr="00622E6C" w:rsidRDefault="00796A91" w:rsidP="00796A91">
            <w:pPr>
              <w:rPr>
                <w:rFonts w:ascii="Arial Narrow" w:hAnsi="Arial Narrow"/>
                <w:color w:val="000000" w:themeColor="text1"/>
                <w:sz w:val="20"/>
                <w:szCs w:val="20"/>
              </w:rPr>
            </w:pPr>
            <w:r w:rsidRPr="00622E6C">
              <w:rPr>
                <w:rFonts w:ascii="Arial Narrow" w:hAnsi="Arial Narrow"/>
                <w:b/>
                <w:bCs/>
                <w:color w:val="000000" w:themeColor="text1"/>
                <w:sz w:val="20"/>
                <w:szCs w:val="20"/>
              </w:rPr>
              <w:t>Treatment Phase:</w:t>
            </w:r>
            <w:r w:rsidRPr="00622E6C">
              <w:rPr>
                <w:rFonts w:ascii="Arial Narrow" w:hAnsi="Arial Narrow"/>
                <w:color w:val="000000" w:themeColor="text1"/>
                <w:sz w:val="20"/>
                <w:szCs w:val="20"/>
              </w:rPr>
              <w:t xml:space="preserve"> Transitioning from non-PBS to PBS-subsidised supply – ‘Grandfather’ arrangements</w:t>
            </w:r>
          </w:p>
        </w:tc>
      </w:tr>
      <w:tr w:rsidR="00796A91" w:rsidRPr="00622E6C" w14:paraId="120A1613"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DAD138"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990964" w14:textId="77777777" w:rsidR="00796A91" w:rsidRPr="00622E6C" w:rsidRDefault="00796A91" w:rsidP="00796A91">
            <w:pPr>
              <w:rPr>
                <w:rFonts w:ascii="Arial Narrow" w:hAnsi="Arial Narrow"/>
                <w:b/>
                <w:bCs/>
                <w:color w:val="000000" w:themeColor="text1"/>
                <w:sz w:val="20"/>
                <w:szCs w:val="20"/>
              </w:rPr>
            </w:pPr>
          </w:p>
        </w:tc>
      </w:tr>
      <w:tr w:rsidR="00796A91" w:rsidRPr="00622E6C" w14:paraId="1DC50DA7"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FD9B17"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338012"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Clinical criteria:</w:t>
            </w:r>
          </w:p>
        </w:tc>
      </w:tr>
      <w:tr w:rsidR="00796A91" w:rsidRPr="00622E6C" w14:paraId="54B694F1"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A994B7" w14:textId="4235ACC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BAEA2D" w14:textId="77777777" w:rsidR="00796A91" w:rsidRPr="00622E6C" w:rsidRDefault="00796A91" w:rsidP="00796A91">
            <w:pPr>
              <w:rPr>
                <w:rFonts w:ascii="Arial Narrow" w:hAnsi="Arial Narrow"/>
                <w:color w:val="000000" w:themeColor="text1"/>
                <w:sz w:val="20"/>
                <w:szCs w:val="20"/>
              </w:rPr>
            </w:pPr>
            <w:r w:rsidRPr="00622E6C">
              <w:rPr>
                <w:rFonts w:ascii="Arial Narrow" w:hAnsi="Arial Narrow"/>
                <w:color w:val="000000" w:themeColor="text1"/>
                <w:sz w:val="20"/>
                <w:szCs w:val="20"/>
              </w:rPr>
              <w:t>Patient must be continuing treatment with this drug that was commenced as non-PBS subsidised supply prior to [insert listing date]</w:t>
            </w:r>
          </w:p>
        </w:tc>
      </w:tr>
      <w:tr w:rsidR="00796A91" w:rsidRPr="00622E6C" w14:paraId="14E5D06C"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7CBE29"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981836"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AND</w:t>
            </w:r>
          </w:p>
        </w:tc>
      </w:tr>
      <w:tr w:rsidR="00796A91" w:rsidRPr="00622E6C" w14:paraId="73C5463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797C00"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96F1C2" w14:textId="77777777" w:rsidR="00796A91" w:rsidRPr="00622E6C" w:rsidRDefault="00796A91" w:rsidP="00796A91">
            <w:pPr>
              <w:jc w:val="left"/>
              <w:rPr>
                <w:rFonts w:ascii="Arial Narrow" w:hAnsi="Arial Narrow"/>
                <w:color w:val="000000" w:themeColor="text1"/>
                <w:sz w:val="20"/>
                <w:szCs w:val="20"/>
              </w:rPr>
            </w:pPr>
            <w:r w:rsidRPr="00622E6C">
              <w:rPr>
                <w:rFonts w:ascii="Arial Narrow" w:hAnsi="Arial Narrow"/>
                <w:b/>
                <w:bCs/>
                <w:color w:val="000000" w:themeColor="text1"/>
                <w:sz w:val="20"/>
                <w:szCs w:val="20"/>
              </w:rPr>
              <w:t>Clinical</w:t>
            </w:r>
            <w:r w:rsidRPr="00622E6C">
              <w:rPr>
                <w:rFonts w:ascii="Arial Narrow" w:hAnsi="Arial Narrow"/>
                <w:b/>
                <w:bCs/>
                <w:i/>
                <w:iCs/>
                <w:color w:val="000000" w:themeColor="text1"/>
                <w:sz w:val="20"/>
                <w:szCs w:val="20"/>
              </w:rPr>
              <w:t xml:space="preserve"> </w:t>
            </w:r>
            <w:r w:rsidRPr="00622E6C">
              <w:rPr>
                <w:rFonts w:ascii="Arial Narrow" w:hAnsi="Arial Narrow"/>
                <w:b/>
                <w:bCs/>
                <w:color w:val="000000" w:themeColor="text1"/>
                <w:sz w:val="20"/>
                <w:szCs w:val="20"/>
              </w:rPr>
              <w:t xml:space="preserve">criteria: </w:t>
            </w:r>
          </w:p>
        </w:tc>
      </w:tr>
      <w:tr w:rsidR="00796A91" w:rsidRPr="00622E6C" w14:paraId="63BA9023"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23824C" w14:textId="20322A62" w:rsidR="00796A91" w:rsidRPr="00622E6C" w:rsidRDefault="00796A91" w:rsidP="00796A91">
            <w:pPr>
              <w:jc w:val="center"/>
              <w:rPr>
                <w:rFonts w:ascii="Arial Narrow" w:hAnsi="Arial Narrow"/>
                <w:color w:val="000000" w:themeColor="text1"/>
                <w:sz w:val="20"/>
                <w:szCs w:val="20"/>
                <w:highlight w:val="yellow"/>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4A981E"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eastAsia="Calibri" w:hAnsi="Arial Narrow"/>
                <w:sz w:val="20"/>
                <w:szCs w:val="20"/>
              </w:rPr>
              <w:t>The condition must have histological evidence consistent with a diagnosis of systemic light-chain amyloidosis – retain this in the patient’s medical records</w:t>
            </w:r>
          </w:p>
        </w:tc>
      </w:tr>
      <w:tr w:rsidR="00796A91" w:rsidRPr="00622E6C" w14:paraId="174A35AC"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8755F"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FB6B25" w14:textId="77777777" w:rsidR="00796A91" w:rsidRPr="00622E6C" w:rsidRDefault="00796A91" w:rsidP="00796A91">
            <w:pPr>
              <w:jc w:val="left"/>
              <w:rPr>
                <w:rFonts w:ascii="Arial Narrow" w:hAnsi="Arial Narrow"/>
                <w:b/>
                <w:bCs/>
                <w:color w:val="000000" w:themeColor="text1"/>
                <w:sz w:val="20"/>
                <w:szCs w:val="20"/>
              </w:rPr>
            </w:pPr>
            <w:r w:rsidRPr="00622E6C">
              <w:rPr>
                <w:rFonts w:ascii="Arial Narrow" w:hAnsi="Arial Narrow"/>
                <w:b/>
                <w:bCs/>
                <w:color w:val="000000" w:themeColor="text1"/>
                <w:sz w:val="20"/>
                <w:szCs w:val="20"/>
              </w:rPr>
              <w:t>AND</w:t>
            </w:r>
          </w:p>
        </w:tc>
      </w:tr>
      <w:tr w:rsidR="00796A91" w:rsidRPr="00622E6C" w14:paraId="742FB977"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9C90D"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2A8BA"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Clinical criteria:</w:t>
            </w:r>
          </w:p>
        </w:tc>
      </w:tr>
      <w:tr w:rsidR="00796A91" w:rsidRPr="00622E6C" w14:paraId="6227D528"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AF886" w14:textId="2C75924A"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4D14E9" w14:textId="77777777" w:rsidR="00796A91" w:rsidRPr="00622E6C" w:rsidRDefault="00796A91" w:rsidP="00796A91">
            <w:pPr>
              <w:jc w:val="left"/>
              <w:rPr>
                <w:rFonts w:ascii="Arial Narrow" w:eastAsia="Calibri" w:hAnsi="Arial Narrow"/>
                <w:i/>
                <w:iCs/>
                <w:sz w:val="20"/>
                <w:szCs w:val="20"/>
              </w:rPr>
            </w:pPr>
            <w:r w:rsidRPr="00622E6C">
              <w:rPr>
                <w:rFonts w:ascii="Arial Narrow" w:eastAsia="Calibri" w:hAnsi="Arial Narrow"/>
                <w:sz w:val="20"/>
                <w:szCs w:val="20"/>
              </w:rPr>
              <w:t>Patient must be untreated with this drug, irrespective of whether the diagnosis has been re-classified (e.g. multiple myeloma/amyloidosis)</w:t>
            </w:r>
          </w:p>
        </w:tc>
      </w:tr>
      <w:tr w:rsidR="00796A91" w:rsidRPr="00622E6C" w14:paraId="060A236E"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294750"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A18222"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AND</w:t>
            </w:r>
          </w:p>
        </w:tc>
      </w:tr>
      <w:tr w:rsidR="00796A91" w:rsidRPr="00622E6C" w14:paraId="1D68B8D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FDD49A"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D20724" w14:textId="77777777" w:rsidR="00796A91" w:rsidRPr="00622E6C" w:rsidRDefault="00796A91" w:rsidP="00796A91">
            <w:pPr>
              <w:jc w:val="left"/>
              <w:rPr>
                <w:rFonts w:ascii="Arial Narrow" w:eastAsia="Calibri" w:hAnsi="Arial Narrow"/>
                <w:sz w:val="20"/>
                <w:szCs w:val="20"/>
              </w:rPr>
            </w:pPr>
            <w:r w:rsidRPr="00622E6C">
              <w:rPr>
                <w:rFonts w:ascii="Arial Narrow" w:hAnsi="Arial Narrow"/>
                <w:b/>
                <w:bCs/>
                <w:color w:val="000000" w:themeColor="text1"/>
                <w:sz w:val="20"/>
                <w:szCs w:val="20"/>
              </w:rPr>
              <w:t>Clinical criteria:</w:t>
            </w:r>
          </w:p>
        </w:tc>
      </w:tr>
      <w:tr w:rsidR="00796A91" w:rsidRPr="00622E6C" w14:paraId="47B256F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87AB87"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C4650" w14:textId="77777777" w:rsidR="00796A91" w:rsidRPr="00622E6C" w:rsidRDefault="00796A91" w:rsidP="00796A91">
            <w:pPr>
              <w:jc w:val="left"/>
              <w:rPr>
                <w:rFonts w:ascii="Arial Narrow" w:eastAsia="Calibri" w:hAnsi="Arial Narrow"/>
                <w:sz w:val="20"/>
                <w:szCs w:val="20"/>
              </w:rPr>
            </w:pPr>
            <w:r w:rsidRPr="00622E6C">
              <w:rPr>
                <w:rFonts w:ascii="Arial Narrow" w:eastAsia="Calibri" w:hAnsi="Arial Narrow"/>
                <w:sz w:val="20"/>
                <w:szCs w:val="20"/>
              </w:rPr>
              <w:t xml:space="preserve">Patient must have an WHO/Eastern Cooperative Oncology Group (ECOG) performance status of no higher than 2 at the time of treatment initiation with this drug. </w:t>
            </w:r>
          </w:p>
        </w:tc>
      </w:tr>
      <w:tr w:rsidR="00796A91" w:rsidRPr="00622E6C" w14:paraId="3BB98CFB"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EE46D" w14:textId="77777777" w:rsidR="00796A91" w:rsidRPr="00622E6C" w:rsidRDefault="00796A91" w:rsidP="00796A91">
            <w:pPr>
              <w:jc w:val="left"/>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4DE0E4" w14:textId="77777777" w:rsidR="00796A91" w:rsidRPr="00622E6C" w:rsidRDefault="00796A91" w:rsidP="00796A91">
            <w:pPr>
              <w:jc w:val="left"/>
              <w:rPr>
                <w:rFonts w:ascii="Arial Narrow" w:eastAsia="Calibri" w:hAnsi="Arial Narrow"/>
                <w:sz w:val="20"/>
                <w:szCs w:val="20"/>
              </w:rPr>
            </w:pPr>
          </w:p>
        </w:tc>
      </w:tr>
      <w:tr w:rsidR="00796A91" w:rsidRPr="00622E6C" w14:paraId="3109C1EC"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62404A"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493F2F" w14:textId="77777777" w:rsidR="00796A91" w:rsidRPr="00622E6C" w:rsidRDefault="00796A91" w:rsidP="00796A91">
            <w:pPr>
              <w:rPr>
                <w:rFonts w:ascii="Arial Narrow" w:hAnsi="Arial Narrow"/>
                <w:color w:val="000000" w:themeColor="text1"/>
                <w:sz w:val="20"/>
                <w:szCs w:val="20"/>
              </w:rPr>
            </w:pPr>
            <w:r w:rsidRPr="00622E6C">
              <w:rPr>
                <w:rFonts w:ascii="Arial Narrow" w:hAnsi="Arial Narrow"/>
                <w:b/>
                <w:bCs/>
                <w:color w:val="000000" w:themeColor="text1"/>
                <w:sz w:val="20"/>
                <w:szCs w:val="20"/>
              </w:rPr>
              <w:t>Treatment</w:t>
            </w:r>
            <w:r w:rsidRPr="00622E6C">
              <w:rPr>
                <w:rFonts w:ascii="Arial Narrow" w:hAnsi="Arial Narrow"/>
                <w:b/>
                <w:bCs/>
                <w:i/>
                <w:iCs/>
                <w:color w:val="000000" w:themeColor="text1"/>
                <w:sz w:val="20"/>
                <w:szCs w:val="20"/>
              </w:rPr>
              <w:t xml:space="preserve"> </w:t>
            </w:r>
            <w:r w:rsidRPr="00622E6C">
              <w:rPr>
                <w:rFonts w:ascii="Arial Narrow" w:hAnsi="Arial Narrow"/>
                <w:b/>
                <w:bCs/>
                <w:color w:val="000000" w:themeColor="text1"/>
                <w:sz w:val="20"/>
                <w:szCs w:val="20"/>
              </w:rPr>
              <w:t xml:space="preserve">criteria: </w:t>
            </w:r>
          </w:p>
        </w:tc>
      </w:tr>
      <w:tr w:rsidR="00796A91" w:rsidRPr="00622E6C" w14:paraId="2591E2F3"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613806" w14:textId="3579FA59"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F2E59" w14:textId="77777777" w:rsidR="00796A91" w:rsidRPr="00622E6C" w:rsidRDefault="00796A91" w:rsidP="00796A91">
            <w:pPr>
              <w:rPr>
                <w:rFonts w:ascii="Arial Narrow" w:eastAsia="Calibri" w:hAnsi="Arial Narrow"/>
                <w:sz w:val="20"/>
                <w:szCs w:val="20"/>
              </w:rPr>
            </w:pPr>
            <w:r w:rsidRPr="00622E6C">
              <w:rPr>
                <w:rFonts w:ascii="Arial Narrow" w:eastAsia="Calibri" w:hAnsi="Arial Narrow"/>
                <w:sz w:val="20"/>
                <w:szCs w:val="20"/>
              </w:rPr>
              <w:t>Must be treated by a haematologist (this does not exclude treatment via a multidisciplinary team, but the PBS authority application must be sought by the treating haematologist)</w:t>
            </w:r>
          </w:p>
        </w:tc>
      </w:tr>
      <w:tr w:rsidR="00796A91" w:rsidRPr="00622E6C" w14:paraId="464BA1BE"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BC5D37"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50F820" w14:textId="77777777" w:rsidR="00796A91" w:rsidRPr="00622E6C" w:rsidRDefault="00796A91" w:rsidP="00796A91">
            <w:pPr>
              <w:rPr>
                <w:rFonts w:ascii="Arial Narrow" w:eastAsia="Calibri" w:hAnsi="Arial Narrow"/>
                <w:sz w:val="20"/>
                <w:szCs w:val="20"/>
              </w:rPr>
            </w:pPr>
            <w:r w:rsidRPr="00622E6C">
              <w:rPr>
                <w:rFonts w:ascii="Arial Narrow" w:hAnsi="Arial Narrow"/>
                <w:b/>
                <w:bCs/>
                <w:color w:val="000000" w:themeColor="text1"/>
                <w:sz w:val="20"/>
                <w:szCs w:val="20"/>
              </w:rPr>
              <w:t>AND</w:t>
            </w:r>
          </w:p>
        </w:tc>
      </w:tr>
      <w:tr w:rsidR="00796A91" w:rsidRPr="00622E6C" w14:paraId="5A75FBE6"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88BFC0"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311EC3"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Treatment criteria:</w:t>
            </w:r>
          </w:p>
        </w:tc>
      </w:tr>
      <w:tr w:rsidR="00796A91" w:rsidRPr="00622E6C" w14:paraId="71FE7FB7"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4D9752" w14:textId="2385FD8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B30CCA" w14:textId="77777777" w:rsidR="00796A91" w:rsidRPr="00622E6C" w:rsidRDefault="00796A91" w:rsidP="00796A91">
            <w:pPr>
              <w:rPr>
                <w:rFonts w:ascii="Arial Narrow" w:hAnsi="Arial Narrow"/>
                <w:b/>
                <w:bCs/>
                <w:color w:val="000000" w:themeColor="text1"/>
                <w:sz w:val="20"/>
                <w:szCs w:val="20"/>
              </w:rPr>
            </w:pPr>
            <w:r w:rsidRPr="00622E6C">
              <w:rPr>
                <w:rFonts w:ascii="Arial Narrow" w:eastAsia="Calibri" w:hAnsi="Arial Narrow"/>
                <w:sz w:val="20"/>
                <w:szCs w:val="20"/>
              </w:rPr>
              <w:t>Patient must be undergoing concomitant treatment limited to each of: (i) bortezomib, (ii) cyclophosphamide, (iii) dexamethasone, at certain weeks of treatment as outlined in the drug’s approved Product Information</w:t>
            </w:r>
          </w:p>
        </w:tc>
      </w:tr>
      <w:tr w:rsidR="00796A91" w:rsidRPr="00622E6C" w14:paraId="624DB79E"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76839E"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43338" w14:textId="77777777" w:rsidR="00796A91" w:rsidRPr="00622E6C" w:rsidRDefault="00796A91" w:rsidP="00796A91">
            <w:pPr>
              <w:rPr>
                <w:rFonts w:ascii="Arial Narrow" w:hAnsi="Arial Narrow"/>
                <w:b/>
                <w:bCs/>
                <w:color w:val="000000" w:themeColor="text1"/>
                <w:sz w:val="20"/>
                <w:szCs w:val="20"/>
              </w:rPr>
            </w:pPr>
            <w:r w:rsidRPr="00622E6C">
              <w:rPr>
                <w:rFonts w:ascii="Arial Narrow" w:hAnsi="Arial Narrow"/>
                <w:b/>
                <w:bCs/>
                <w:color w:val="000000" w:themeColor="text1"/>
                <w:sz w:val="20"/>
                <w:szCs w:val="20"/>
              </w:rPr>
              <w:t>AND</w:t>
            </w:r>
          </w:p>
        </w:tc>
      </w:tr>
      <w:tr w:rsidR="00796A91" w:rsidRPr="00622E6C" w14:paraId="688718D1"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8A2527"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C03392" w14:textId="77777777" w:rsidR="00796A91" w:rsidRPr="00622E6C" w:rsidRDefault="00796A91" w:rsidP="00796A91">
            <w:pPr>
              <w:rPr>
                <w:rFonts w:ascii="Arial Narrow" w:eastAsia="Calibri" w:hAnsi="Arial Narrow"/>
                <w:b/>
                <w:bCs/>
                <w:sz w:val="20"/>
                <w:szCs w:val="20"/>
              </w:rPr>
            </w:pPr>
            <w:r w:rsidRPr="00622E6C">
              <w:rPr>
                <w:rFonts w:ascii="Arial Narrow" w:eastAsia="Calibri" w:hAnsi="Arial Narrow"/>
                <w:b/>
                <w:bCs/>
                <w:sz w:val="20"/>
                <w:szCs w:val="20"/>
              </w:rPr>
              <w:t>Treatment criteria:</w:t>
            </w:r>
          </w:p>
        </w:tc>
      </w:tr>
      <w:tr w:rsidR="00796A91" w:rsidRPr="00622E6C" w14:paraId="57186A17"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CFED49" w14:textId="665BEBAC"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CEC2EA" w14:textId="77777777" w:rsidR="00796A91" w:rsidRPr="00622E6C" w:rsidRDefault="00796A91" w:rsidP="00796A91">
            <w:pPr>
              <w:rPr>
                <w:rFonts w:ascii="Arial Narrow" w:eastAsia="Calibri" w:hAnsi="Arial Narrow"/>
                <w:sz w:val="20"/>
                <w:szCs w:val="20"/>
              </w:rPr>
            </w:pPr>
            <w:r w:rsidRPr="00622E6C">
              <w:rPr>
                <w:rFonts w:ascii="Arial Narrow" w:eastAsia="Calibri" w:hAnsi="Arial Narrow"/>
                <w:sz w:val="20"/>
                <w:szCs w:val="20"/>
              </w:rPr>
              <w:t>Patient must not receive more than 24 cumulative months of PBS subsidised treatment with this drug for this condition</w:t>
            </w:r>
          </w:p>
        </w:tc>
      </w:tr>
      <w:tr w:rsidR="00796A91" w:rsidRPr="00622E6C" w14:paraId="4A29AA08"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AAE173" w14:textId="77777777" w:rsidR="00796A91" w:rsidRPr="00622E6C" w:rsidRDefault="00796A91" w:rsidP="00796A91">
            <w:pPr>
              <w:jc w:val="center"/>
              <w:rPr>
                <w:rFonts w:ascii="Arial Narrow" w:hAnsi="Arial Narrow"/>
                <w:b/>
                <w:bCs/>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97E499" w14:textId="77777777" w:rsidR="00796A91" w:rsidRPr="00622E6C" w:rsidRDefault="00796A91" w:rsidP="00796A91">
            <w:pPr>
              <w:rPr>
                <w:rFonts w:ascii="Arial Narrow" w:eastAsia="Calibri" w:hAnsi="Arial Narrow"/>
                <w:b/>
                <w:bCs/>
                <w:sz w:val="20"/>
                <w:szCs w:val="20"/>
              </w:rPr>
            </w:pPr>
            <w:r w:rsidRPr="00622E6C">
              <w:rPr>
                <w:rFonts w:ascii="Arial Narrow" w:eastAsia="Calibri" w:hAnsi="Arial Narrow"/>
                <w:b/>
                <w:bCs/>
                <w:sz w:val="20"/>
                <w:szCs w:val="20"/>
              </w:rPr>
              <w:t>AND</w:t>
            </w:r>
          </w:p>
        </w:tc>
      </w:tr>
      <w:tr w:rsidR="00796A91" w:rsidRPr="00622E6C" w14:paraId="778EBC3F"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6CD6B0" w14:textId="77777777" w:rsidR="00796A91" w:rsidRPr="00622E6C" w:rsidRDefault="00796A91" w:rsidP="00796A91">
            <w:pPr>
              <w:jc w:val="center"/>
              <w:rPr>
                <w:rFonts w:ascii="Arial Narrow" w:hAnsi="Arial Narrow"/>
                <w:b/>
                <w:bCs/>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74F959" w14:textId="77777777" w:rsidR="00796A91" w:rsidRPr="00622E6C" w:rsidRDefault="00796A91" w:rsidP="00796A91">
            <w:pPr>
              <w:rPr>
                <w:rFonts w:ascii="Arial Narrow" w:eastAsia="Calibri" w:hAnsi="Arial Narrow"/>
                <w:b/>
                <w:bCs/>
                <w:sz w:val="20"/>
                <w:szCs w:val="20"/>
              </w:rPr>
            </w:pPr>
            <w:r w:rsidRPr="00622E6C">
              <w:rPr>
                <w:rFonts w:ascii="Arial Narrow" w:eastAsia="Calibri" w:hAnsi="Arial Narrow"/>
                <w:b/>
                <w:bCs/>
                <w:sz w:val="20"/>
                <w:szCs w:val="20"/>
              </w:rPr>
              <w:t>Treatment criteria:</w:t>
            </w:r>
          </w:p>
        </w:tc>
      </w:tr>
      <w:tr w:rsidR="00796A91" w:rsidRPr="00622E6C" w14:paraId="481B13A7"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8B2D3" w14:textId="6F6D1832"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511EE5" w14:textId="77777777" w:rsidR="00796A91" w:rsidRPr="00622E6C" w:rsidRDefault="00796A91" w:rsidP="00796A91">
            <w:pPr>
              <w:rPr>
                <w:rFonts w:ascii="Arial Narrow" w:eastAsia="Calibri" w:hAnsi="Arial Narrow"/>
                <w:sz w:val="20"/>
                <w:szCs w:val="20"/>
              </w:rPr>
            </w:pPr>
            <w:r w:rsidRPr="00622E6C">
              <w:rPr>
                <w:rFonts w:ascii="Arial Narrow" w:eastAsia="Calibri" w:hAnsi="Arial Narrow"/>
                <w:sz w:val="20"/>
                <w:szCs w:val="20"/>
              </w:rPr>
              <w:t>Patient must be undergoing continuing treatment that does not extend treatment duration beyond whichever comes first: (i) disease progression, (ii) 24 cumulative months from the first administered dose, once in a lifetime</w:t>
            </w:r>
          </w:p>
        </w:tc>
      </w:tr>
      <w:tr w:rsidR="00796A91" w:rsidRPr="00622E6C" w14:paraId="4109C7DA"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CDCD0D" w14:textId="77777777" w:rsidR="00796A91" w:rsidRPr="00622E6C" w:rsidRDefault="00796A91" w:rsidP="00796A91">
            <w:pPr>
              <w:jc w:val="center"/>
              <w:rPr>
                <w:rFonts w:ascii="Arial Narrow" w:hAnsi="Arial Narrow"/>
                <w:color w:val="000000" w:themeColor="text1"/>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404E54" w14:textId="77777777" w:rsidR="00796A91" w:rsidRPr="00622E6C" w:rsidRDefault="00796A91" w:rsidP="00796A91">
            <w:pPr>
              <w:rPr>
                <w:rFonts w:ascii="Arial Narrow" w:hAnsi="Arial Narrow"/>
                <w:b/>
                <w:bCs/>
                <w:color w:val="000000" w:themeColor="text1"/>
                <w:sz w:val="20"/>
                <w:szCs w:val="20"/>
              </w:rPr>
            </w:pPr>
          </w:p>
        </w:tc>
      </w:tr>
      <w:tr w:rsidR="00796A91" w:rsidRPr="00622E6C" w14:paraId="55EAB3C4"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44E025" w14:textId="77777777" w:rsidR="00796A91" w:rsidRPr="00622E6C" w:rsidRDefault="00796A91" w:rsidP="00796A91">
            <w:pPr>
              <w:jc w:val="center"/>
              <w:rPr>
                <w:rFonts w:ascii="Arial Narrow" w:hAnsi="Arial Narrow"/>
                <w:bCs/>
                <w:sz w:val="20"/>
                <w:szCs w:val="20"/>
              </w:rPr>
            </w:pPr>
          </w:p>
          <w:p w14:paraId="0057BF24" w14:textId="474639E3" w:rsidR="00796A91" w:rsidRPr="00622E6C" w:rsidRDefault="00796A91" w:rsidP="00796A91">
            <w:pPr>
              <w:jc w:val="center"/>
              <w:rPr>
                <w:rFonts w:ascii="Arial Narrow" w:hAnsi="Arial Narrow"/>
                <w:bCs/>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4C776F" w14:textId="77777777" w:rsidR="00796A91" w:rsidRPr="00622E6C" w:rsidRDefault="00796A91" w:rsidP="00796A91">
            <w:pPr>
              <w:rPr>
                <w:rFonts w:ascii="Arial Narrow" w:hAnsi="Arial Narrow"/>
                <w:b/>
                <w:bCs/>
                <w:sz w:val="20"/>
                <w:szCs w:val="20"/>
              </w:rPr>
            </w:pPr>
            <w:r w:rsidRPr="00622E6C">
              <w:rPr>
                <w:rFonts w:ascii="Arial Narrow" w:hAnsi="Arial Narrow"/>
                <w:b/>
                <w:bCs/>
                <w:sz w:val="20"/>
                <w:szCs w:val="20"/>
              </w:rPr>
              <w:t xml:space="preserve">Administrative advice: </w:t>
            </w:r>
          </w:p>
          <w:p w14:paraId="2D8EAF60" w14:textId="77777777" w:rsidR="00796A91" w:rsidRPr="00622E6C" w:rsidRDefault="00796A91" w:rsidP="00796A91">
            <w:pPr>
              <w:rPr>
                <w:rFonts w:ascii="Arial Narrow" w:hAnsi="Arial Narrow"/>
                <w:sz w:val="20"/>
                <w:szCs w:val="20"/>
              </w:rPr>
            </w:pPr>
            <w:r w:rsidRPr="00622E6C">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796A91" w:rsidRPr="00622E6C" w14:paraId="10A0B778" w14:textId="77777777" w:rsidTr="00AE4FB8">
        <w:tc>
          <w:tcPr>
            <w:tcW w:w="6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F4165" w14:textId="6C279FE4" w:rsidR="00796A91" w:rsidRPr="00622E6C" w:rsidRDefault="00796A91" w:rsidP="00796A91">
            <w:pPr>
              <w:jc w:val="center"/>
              <w:rPr>
                <w:rFonts w:ascii="Arial Narrow" w:hAnsi="Arial Narrow"/>
                <w:bCs/>
                <w:sz w:val="20"/>
                <w:szCs w:val="20"/>
              </w:rPr>
            </w:pPr>
          </w:p>
        </w:tc>
        <w:tc>
          <w:tcPr>
            <w:tcW w:w="4375"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C7558" w14:textId="77777777" w:rsidR="00796A91" w:rsidRPr="00622E6C" w:rsidRDefault="00796A91" w:rsidP="00796A91">
            <w:pPr>
              <w:rPr>
                <w:rFonts w:ascii="Arial Narrow" w:hAnsi="Arial Narrow"/>
                <w:b/>
                <w:bCs/>
                <w:sz w:val="20"/>
                <w:szCs w:val="20"/>
              </w:rPr>
            </w:pPr>
            <w:r w:rsidRPr="00622E6C">
              <w:rPr>
                <w:rFonts w:ascii="Arial Narrow" w:hAnsi="Arial Narrow"/>
                <w:b/>
                <w:bCs/>
                <w:sz w:val="20"/>
                <w:szCs w:val="20"/>
              </w:rPr>
              <w:t xml:space="preserve">Administrative advice: </w:t>
            </w:r>
          </w:p>
          <w:p w14:paraId="6FAE668A" w14:textId="77777777" w:rsidR="00796A91" w:rsidRPr="00622E6C" w:rsidRDefault="00796A91" w:rsidP="00796A91">
            <w:pPr>
              <w:rPr>
                <w:rFonts w:ascii="Arial Narrow" w:hAnsi="Arial Narrow"/>
                <w:sz w:val="20"/>
                <w:szCs w:val="20"/>
              </w:rPr>
            </w:pPr>
            <w:r w:rsidRPr="00622E6C">
              <w:rPr>
                <w:rFonts w:ascii="Arial Narrow" w:hAnsi="Arial Narrow"/>
                <w:bCs/>
                <w:sz w:val="20"/>
                <w:szCs w:val="20"/>
              </w:rPr>
              <w:t>This grandfather restriction will cease to operate from 12 months after the date specified in the clinical criteria.</w:t>
            </w:r>
          </w:p>
        </w:tc>
      </w:tr>
    </w:tbl>
    <w:p w14:paraId="00AB2979" w14:textId="77777777" w:rsidR="00796A91" w:rsidRPr="00622E6C" w:rsidRDefault="00796A91" w:rsidP="00796A91"/>
    <w:p w14:paraId="4162C73F" w14:textId="77777777" w:rsidR="00796A91" w:rsidRPr="00622E6C" w:rsidRDefault="00796A91" w:rsidP="00796A91">
      <w:pPr>
        <w:pStyle w:val="3-BodyText"/>
      </w:pPr>
      <w:r w:rsidRPr="00622E6C">
        <w:t>Add new indication for bortezomib to the existing multiple myeloma restriction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125"/>
        <w:gridCol w:w="2409"/>
        <w:gridCol w:w="1842"/>
        <w:gridCol w:w="1703"/>
      </w:tblGrid>
      <w:tr w:rsidR="00796A91" w:rsidRPr="00622E6C" w14:paraId="42997F1B" w14:textId="77777777" w:rsidTr="00796A91">
        <w:trPr>
          <w:cantSplit/>
          <w:trHeight w:val="471"/>
        </w:trPr>
        <w:tc>
          <w:tcPr>
            <w:tcW w:w="3113" w:type="dxa"/>
            <w:gridSpan w:val="2"/>
          </w:tcPr>
          <w:p w14:paraId="05828FE3" w14:textId="77777777" w:rsidR="00796A91" w:rsidRPr="00622E6C" w:rsidRDefault="00796A91" w:rsidP="00796A91">
            <w:pPr>
              <w:ind w:left="-57"/>
              <w:rPr>
                <w:rFonts w:ascii="Arial Narrow" w:hAnsi="Arial Narrow" w:cstheme="minorHAnsi"/>
                <w:b/>
                <w:sz w:val="20"/>
                <w:szCs w:val="20"/>
              </w:rPr>
            </w:pPr>
            <w:r w:rsidRPr="00622E6C">
              <w:rPr>
                <w:rFonts w:ascii="Arial Narrow" w:hAnsi="Arial Narrow" w:cstheme="minorHAnsi"/>
                <w:b/>
                <w:sz w:val="20"/>
                <w:szCs w:val="20"/>
              </w:rPr>
              <w:t>MEDICINAL PRODUCT</w:t>
            </w:r>
          </w:p>
          <w:p w14:paraId="7CD6A7CA" w14:textId="77777777" w:rsidR="00796A91" w:rsidRPr="00622E6C" w:rsidRDefault="00796A91" w:rsidP="00796A91">
            <w:pPr>
              <w:ind w:left="-57"/>
              <w:rPr>
                <w:rFonts w:ascii="Arial Narrow" w:hAnsi="Arial Narrow" w:cstheme="minorHAnsi"/>
                <w:b/>
                <w:sz w:val="20"/>
                <w:szCs w:val="20"/>
              </w:rPr>
            </w:pPr>
            <w:r w:rsidRPr="00622E6C">
              <w:rPr>
                <w:rFonts w:ascii="Arial Narrow" w:hAnsi="Arial Narrow" w:cstheme="minorHAnsi"/>
                <w:b/>
                <w:sz w:val="20"/>
                <w:szCs w:val="20"/>
              </w:rPr>
              <w:t>Form</w:t>
            </w:r>
          </w:p>
        </w:tc>
        <w:tc>
          <w:tcPr>
            <w:tcW w:w="2409" w:type="dxa"/>
          </w:tcPr>
          <w:p w14:paraId="51EFF6A7" w14:textId="77777777" w:rsidR="00796A91" w:rsidRPr="00622E6C" w:rsidRDefault="00796A91" w:rsidP="00796A91">
            <w:pPr>
              <w:keepNext/>
              <w:ind w:left="-108"/>
              <w:jc w:val="center"/>
              <w:rPr>
                <w:rFonts w:ascii="Arial Narrow" w:hAnsi="Arial Narrow" w:cstheme="minorHAnsi"/>
                <w:b/>
                <w:sz w:val="20"/>
                <w:szCs w:val="20"/>
              </w:rPr>
            </w:pPr>
            <w:r w:rsidRPr="00622E6C">
              <w:rPr>
                <w:rFonts w:ascii="Arial Narrow" w:hAnsi="Arial Narrow" w:cstheme="minorHAnsi"/>
                <w:b/>
                <w:sz w:val="20"/>
                <w:szCs w:val="20"/>
              </w:rPr>
              <w:t>PBS item code</w:t>
            </w:r>
          </w:p>
        </w:tc>
        <w:tc>
          <w:tcPr>
            <w:tcW w:w="1842" w:type="dxa"/>
          </w:tcPr>
          <w:p w14:paraId="7DD651AF" w14:textId="77777777" w:rsidR="00796A91" w:rsidRPr="00622E6C" w:rsidRDefault="00796A91" w:rsidP="00796A91">
            <w:pPr>
              <w:keepNext/>
              <w:ind w:left="-108"/>
              <w:jc w:val="center"/>
              <w:rPr>
                <w:rFonts w:ascii="Arial Narrow" w:hAnsi="Arial Narrow" w:cstheme="minorHAnsi"/>
                <w:b/>
                <w:sz w:val="20"/>
                <w:szCs w:val="20"/>
              </w:rPr>
            </w:pPr>
            <w:r w:rsidRPr="00622E6C">
              <w:rPr>
                <w:rFonts w:ascii="Arial Narrow" w:hAnsi="Arial Narrow" w:cstheme="minorHAnsi"/>
                <w:b/>
                <w:sz w:val="20"/>
                <w:szCs w:val="20"/>
              </w:rPr>
              <w:t>Max. Amount</w:t>
            </w:r>
          </w:p>
        </w:tc>
        <w:tc>
          <w:tcPr>
            <w:tcW w:w="1703" w:type="dxa"/>
          </w:tcPr>
          <w:p w14:paraId="2208B1CB" w14:textId="77777777" w:rsidR="00796A91" w:rsidRPr="00622E6C" w:rsidRDefault="00796A91" w:rsidP="00796A91">
            <w:pPr>
              <w:keepNext/>
              <w:ind w:left="-108"/>
              <w:jc w:val="center"/>
              <w:rPr>
                <w:rFonts w:ascii="Arial Narrow" w:hAnsi="Arial Narrow" w:cstheme="minorHAnsi"/>
                <w:b/>
                <w:sz w:val="20"/>
                <w:szCs w:val="20"/>
              </w:rPr>
            </w:pPr>
            <w:r w:rsidRPr="00622E6C">
              <w:rPr>
                <w:rFonts w:ascii="Arial Narrow" w:hAnsi="Arial Narrow" w:cstheme="minorHAnsi"/>
                <w:b/>
                <w:sz w:val="20"/>
                <w:szCs w:val="20"/>
              </w:rPr>
              <w:t>№.of Rpts</w:t>
            </w:r>
          </w:p>
        </w:tc>
      </w:tr>
      <w:tr w:rsidR="00796A91" w:rsidRPr="00622E6C" w14:paraId="0820B635" w14:textId="77777777" w:rsidTr="00796A91">
        <w:trPr>
          <w:cantSplit/>
          <w:trHeight w:val="457"/>
        </w:trPr>
        <w:tc>
          <w:tcPr>
            <w:tcW w:w="3113" w:type="dxa"/>
            <w:gridSpan w:val="2"/>
          </w:tcPr>
          <w:p w14:paraId="15ADF7CB"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BORTEZOMIB</w:t>
            </w:r>
          </w:p>
          <w:p w14:paraId="4E07D713"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Injection</w:t>
            </w:r>
          </w:p>
        </w:tc>
        <w:tc>
          <w:tcPr>
            <w:tcW w:w="2409" w:type="dxa"/>
          </w:tcPr>
          <w:p w14:paraId="1DD2D3D0" w14:textId="77777777" w:rsidR="00796A91" w:rsidRPr="00622E6C" w:rsidRDefault="00796A91" w:rsidP="00796A91">
            <w:pPr>
              <w:keepNext/>
              <w:ind w:left="-108"/>
              <w:jc w:val="center"/>
              <w:rPr>
                <w:rFonts w:ascii="Arial Narrow" w:hAnsi="Arial Narrow" w:cstheme="minorHAnsi"/>
                <w:sz w:val="20"/>
                <w:szCs w:val="20"/>
              </w:rPr>
            </w:pPr>
            <w:r w:rsidRPr="00622E6C">
              <w:rPr>
                <w:rFonts w:ascii="Arial Narrow" w:hAnsi="Arial Narrow" w:cstheme="minorHAnsi"/>
                <w:sz w:val="20"/>
                <w:szCs w:val="20"/>
              </w:rPr>
              <w:t>12227M (Public)</w:t>
            </w:r>
          </w:p>
          <w:p w14:paraId="3C149938" w14:textId="77777777" w:rsidR="00796A91" w:rsidRPr="00622E6C" w:rsidRDefault="00796A91" w:rsidP="00796A91">
            <w:pPr>
              <w:keepNext/>
              <w:ind w:left="-108"/>
              <w:jc w:val="center"/>
              <w:rPr>
                <w:rFonts w:ascii="Arial Narrow" w:hAnsi="Arial Narrow" w:cstheme="minorHAnsi"/>
                <w:sz w:val="20"/>
                <w:szCs w:val="20"/>
              </w:rPr>
            </w:pPr>
            <w:r w:rsidRPr="00622E6C">
              <w:rPr>
                <w:rFonts w:ascii="Arial Narrow" w:hAnsi="Arial Narrow" w:cstheme="minorHAnsi"/>
                <w:sz w:val="20"/>
                <w:szCs w:val="20"/>
              </w:rPr>
              <w:t>12219D (Private)</w:t>
            </w:r>
          </w:p>
        </w:tc>
        <w:tc>
          <w:tcPr>
            <w:tcW w:w="1842" w:type="dxa"/>
          </w:tcPr>
          <w:p w14:paraId="7D46DE32" w14:textId="77777777" w:rsidR="00796A91" w:rsidRPr="00622E6C" w:rsidRDefault="00796A91" w:rsidP="00796A91">
            <w:pPr>
              <w:keepNext/>
              <w:ind w:left="-108"/>
              <w:jc w:val="center"/>
              <w:rPr>
                <w:rFonts w:ascii="Arial Narrow" w:hAnsi="Arial Narrow" w:cstheme="minorHAnsi"/>
                <w:sz w:val="20"/>
                <w:szCs w:val="20"/>
              </w:rPr>
            </w:pPr>
            <w:r w:rsidRPr="00622E6C">
              <w:rPr>
                <w:rFonts w:ascii="Arial Narrow" w:hAnsi="Arial Narrow" w:cstheme="minorHAnsi"/>
                <w:sz w:val="20"/>
                <w:szCs w:val="20"/>
              </w:rPr>
              <w:t>3000 mcg</w:t>
            </w:r>
          </w:p>
          <w:p w14:paraId="22C710BD" w14:textId="77777777" w:rsidR="00796A91" w:rsidRPr="00622E6C" w:rsidRDefault="00796A91" w:rsidP="00796A91">
            <w:pPr>
              <w:keepNext/>
              <w:ind w:left="-108"/>
              <w:jc w:val="center"/>
              <w:rPr>
                <w:rFonts w:ascii="Arial Narrow" w:hAnsi="Arial Narrow" w:cstheme="minorHAnsi"/>
                <w:sz w:val="20"/>
                <w:szCs w:val="20"/>
              </w:rPr>
            </w:pPr>
          </w:p>
        </w:tc>
        <w:tc>
          <w:tcPr>
            <w:tcW w:w="1703" w:type="dxa"/>
          </w:tcPr>
          <w:p w14:paraId="49D9DDC7" w14:textId="77777777" w:rsidR="00796A91" w:rsidRPr="00622E6C" w:rsidRDefault="00796A91" w:rsidP="00796A91">
            <w:pPr>
              <w:keepNext/>
              <w:ind w:left="-108"/>
              <w:jc w:val="center"/>
              <w:rPr>
                <w:rFonts w:ascii="Arial Narrow" w:hAnsi="Arial Narrow" w:cstheme="minorHAnsi"/>
                <w:sz w:val="20"/>
                <w:szCs w:val="20"/>
              </w:rPr>
            </w:pPr>
            <w:r w:rsidRPr="00622E6C">
              <w:rPr>
                <w:rFonts w:ascii="Arial Narrow" w:hAnsi="Arial Narrow" w:cstheme="minorHAnsi"/>
                <w:sz w:val="20"/>
                <w:szCs w:val="20"/>
              </w:rPr>
              <w:t>15</w:t>
            </w:r>
          </w:p>
          <w:p w14:paraId="461E0132" w14:textId="77777777" w:rsidR="00796A91" w:rsidRPr="00622E6C" w:rsidRDefault="00796A91" w:rsidP="00796A91">
            <w:pPr>
              <w:keepNext/>
              <w:ind w:left="-108"/>
              <w:jc w:val="center"/>
              <w:rPr>
                <w:rFonts w:ascii="Arial Narrow" w:hAnsi="Arial Narrow" w:cstheme="minorHAnsi"/>
                <w:sz w:val="20"/>
                <w:szCs w:val="20"/>
              </w:rPr>
            </w:pPr>
          </w:p>
        </w:tc>
      </w:tr>
      <w:tr w:rsidR="00796A91" w:rsidRPr="00622E6C" w14:paraId="524A05E9" w14:textId="77777777" w:rsidTr="00796A91">
        <w:trPr>
          <w:cantSplit/>
          <w:trHeight w:val="225"/>
        </w:trPr>
        <w:tc>
          <w:tcPr>
            <w:tcW w:w="9067" w:type="dxa"/>
            <w:gridSpan w:val="5"/>
          </w:tcPr>
          <w:p w14:paraId="69FAB6F7" w14:textId="77777777" w:rsidR="00796A91" w:rsidRPr="00622E6C" w:rsidRDefault="00796A91" w:rsidP="00796A91">
            <w:pPr>
              <w:ind w:left="-57"/>
              <w:rPr>
                <w:rFonts w:ascii="Arial Narrow" w:hAnsi="Arial Narrow" w:cstheme="minorHAnsi"/>
                <w:b/>
                <w:sz w:val="20"/>
                <w:szCs w:val="20"/>
              </w:rPr>
            </w:pPr>
            <w:r w:rsidRPr="00622E6C">
              <w:rPr>
                <w:rFonts w:ascii="Arial Narrow" w:hAnsi="Arial Narrow" w:cstheme="minorHAnsi"/>
                <w:b/>
                <w:sz w:val="20"/>
                <w:szCs w:val="20"/>
              </w:rPr>
              <w:t>Available brands</w:t>
            </w:r>
          </w:p>
        </w:tc>
      </w:tr>
      <w:tr w:rsidR="00796A91" w:rsidRPr="00622E6C" w14:paraId="36A27182" w14:textId="77777777" w:rsidTr="00796A91">
        <w:trPr>
          <w:cantSplit/>
          <w:trHeight w:val="225"/>
        </w:trPr>
        <w:tc>
          <w:tcPr>
            <w:tcW w:w="9067" w:type="dxa"/>
            <w:gridSpan w:val="5"/>
          </w:tcPr>
          <w:p w14:paraId="7CD18FDC"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BORTEZOMIB-TEVA</w:t>
            </w:r>
          </w:p>
          <w:p w14:paraId="0E88F16C"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3.5 mg injection, 1 vial)</w:t>
            </w:r>
          </w:p>
        </w:tc>
      </w:tr>
      <w:tr w:rsidR="00796A91" w:rsidRPr="00622E6C" w14:paraId="653B8E25" w14:textId="77777777" w:rsidTr="00796A91">
        <w:trPr>
          <w:cantSplit/>
          <w:trHeight w:val="225"/>
        </w:trPr>
        <w:tc>
          <w:tcPr>
            <w:tcW w:w="9067" w:type="dxa"/>
            <w:gridSpan w:val="5"/>
          </w:tcPr>
          <w:p w14:paraId="10E967B0" w14:textId="77777777" w:rsidR="00796A91" w:rsidRPr="00622E6C" w:rsidRDefault="00796A91" w:rsidP="00796A91">
            <w:pPr>
              <w:rPr>
                <w:rFonts w:ascii="Arial Narrow" w:hAnsi="Arial Narrow"/>
                <w:sz w:val="20"/>
                <w:szCs w:val="20"/>
              </w:rPr>
            </w:pPr>
          </w:p>
        </w:tc>
      </w:tr>
      <w:tr w:rsidR="00796A91" w:rsidRPr="00622E6C" w14:paraId="29114E41" w14:textId="77777777" w:rsidTr="00796A91">
        <w:trPr>
          <w:cantSplit/>
          <w:trHeight w:val="225"/>
        </w:trPr>
        <w:tc>
          <w:tcPr>
            <w:tcW w:w="9067" w:type="dxa"/>
            <w:gridSpan w:val="5"/>
          </w:tcPr>
          <w:p w14:paraId="38C91F06"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w:t>
            </w:r>
          </w:p>
          <w:p w14:paraId="16B7ED24"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3.5 mg injection, 1 vial)</w:t>
            </w:r>
          </w:p>
        </w:tc>
      </w:tr>
      <w:tr w:rsidR="00796A91" w:rsidRPr="00622E6C" w14:paraId="0034B77F" w14:textId="77777777" w:rsidTr="00796A91">
        <w:trPr>
          <w:cantSplit/>
          <w:trHeight w:val="225"/>
        </w:trPr>
        <w:tc>
          <w:tcPr>
            <w:tcW w:w="9067" w:type="dxa"/>
            <w:gridSpan w:val="5"/>
          </w:tcPr>
          <w:p w14:paraId="17F3D4BB" w14:textId="77777777" w:rsidR="00796A91" w:rsidRPr="00622E6C" w:rsidRDefault="00796A91" w:rsidP="00796A91">
            <w:pPr>
              <w:rPr>
                <w:rFonts w:ascii="Arial Narrow" w:hAnsi="Arial Narrow"/>
                <w:sz w:val="20"/>
                <w:szCs w:val="20"/>
              </w:rPr>
            </w:pPr>
          </w:p>
        </w:tc>
      </w:tr>
      <w:tr w:rsidR="00796A91" w:rsidRPr="00622E6C" w14:paraId="102D4502" w14:textId="77777777" w:rsidTr="00796A91">
        <w:trPr>
          <w:cantSplit/>
          <w:trHeight w:val="225"/>
        </w:trPr>
        <w:tc>
          <w:tcPr>
            <w:tcW w:w="9067" w:type="dxa"/>
            <w:gridSpan w:val="5"/>
          </w:tcPr>
          <w:p w14:paraId="0170210A"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Accord</w:t>
            </w:r>
          </w:p>
          <w:p w14:paraId="45B01BF4"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1 mg injection, 1 vial)</w:t>
            </w:r>
          </w:p>
        </w:tc>
      </w:tr>
      <w:tr w:rsidR="00796A91" w:rsidRPr="00622E6C" w14:paraId="7BF67AC9" w14:textId="77777777" w:rsidTr="00796A91">
        <w:trPr>
          <w:cantSplit/>
          <w:trHeight w:val="225"/>
        </w:trPr>
        <w:tc>
          <w:tcPr>
            <w:tcW w:w="9067" w:type="dxa"/>
            <w:gridSpan w:val="5"/>
          </w:tcPr>
          <w:p w14:paraId="33BD22F6"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Accord</w:t>
            </w:r>
          </w:p>
          <w:p w14:paraId="79F30AE9"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3.5 mg injection, 1 vial)</w:t>
            </w:r>
          </w:p>
        </w:tc>
      </w:tr>
      <w:tr w:rsidR="00796A91" w:rsidRPr="00622E6C" w14:paraId="3308686C" w14:textId="77777777" w:rsidTr="00796A91">
        <w:trPr>
          <w:cantSplit/>
          <w:trHeight w:val="225"/>
        </w:trPr>
        <w:tc>
          <w:tcPr>
            <w:tcW w:w="9067" w:type="dxa"/>
            <w:gridSpan w:val="5"/>
          </w:tcPr>
          <w:p w14:paraId="39D171D2" w14:textId="77777777" w:rsidR="00796A91" w:rsidRPr="00622E6C" w:rsidRDefault="00796A91" w:rsidP="00796A91">
            <w:pPr>
              <w:rPr>
                <w:rFonts w:ascii="Arial Narrow" w:hAnsi="Arial Narrow"/>
                <w:sz w:val="20"/>
                <w:szCs w:val="20"/>
              </w:rPr>
            </w:pPr>
          </w:p>
        </w:tc>
      </w:tr>
      <w:tr w:rsidR="00796A91" w:rsidRPr="00622E6C" w14:paraId="6CD2B863" w14:textId="77777777" w:rsidTr="00796A91">
        <w:trPr>
          <w:cantSplit/>
          <w:trHeight w:val="225"/>
        </w:trPr>
        <w:tc>
          <w:tcPr>
            <w:tcW w:w="9067" w:type="dxa"/>
            <w:gridSpan w:val="5"/>
          </w:tcPr>
          <w:p w14:paraId="649AB69F"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Juno</w:t>
            </w:r>
          </w:p>
          <w:p w14:paraId="1E5CE53B" w14:textId="77777777" w:rsidR="00796A91" w:rsidRPr="00622E6C" w:rsidRDefault="00796A91" w:rsidP="00796A91">
            <w:pPr>
              <w:rPr>
                <w:rFonts w:ascii="Arial Narrow" w:hAnsi="Arial Narrow" w:cstheme="minorHAnsi"/>
                <w:b/>
                <w:sz w:val="20"/>
                <w:szCs w:val="20"/>
              </w:rPr>
            </w:pPr>
            <w:r w:rsidRPr="00622E6C">
              <w:rPr>
                <w:rFonts w:ascii="Arial Narrow" w:hAnsi="Arial Narrow"/>
                <w:sz w:val="20"/>
                <w:szCs w:val="20"/>
              </w:rPr>
              <w:t>(bortezomib 1 mg injection, 1 vial)</w:t>
            </w:r>
          </w:p>
        </w:tc>
      </w:tr>
      <w:tr w:rsidR="00796A91" w:rsidRPr="00622E6C" w14:paraId="4B241591" w14:textId="77777777" w:rsidTr="00796A91">
        <w:trPr>
          <w:cantSplit/>
          <w:trHeight w:val="225"/>
        </w:trPr>
        <w:tc>
          <w:tcPr>
            <w:tcW w:w="9067" w:type="dxa"/>
            <w:gridSpan w:val="5"/>
          </w:tcPr>
          <w:p w14:paraId="6AF89164"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Juno</w:t>
            </w:r>
          </w:p>
          <w:p w14:paraId="5CEEAB07" w14:textId="77777777" w:rsidR="00796A91" w:rsidRPr="00622E6C" w:rsidRDefault="00796A91" w:rsidP="00796A91">
            <w:pPr>
              <w:rPr>
                <w:rFonts w:ascii="Arial Narrow" w:hAnsi="Arial Narrow" w:cstheme="minorHAnsi"/>
                <w:bCs/>
                <w:sz w:val="20"/>
                <w:szCs w:val="20"/>
              </w:rPr>
            </w:pPr>
            <w:r w:rsidRPr="00622E6C">
              <w:rPr>
                <w:rFonts w:ascii="Arial Narrow" w:hAnsi="Arial Narrow"/>
                <w:sz w:val="20"/>
                <w:szCs w:val="20"/>
              </w:rPr>
              <w:t>(bortezomib 2.5 mg injection, 1 vial)</w:t>
            </w:r>
          </w:p>
        </w:tc>
      </w:tr>
      <w:tr w:rsidR="00796A91" w:rsidRPr="00622E6C" w14:paraId="423F9250" w14:textId="77777777" w:rsidTr="00796A91">
        <w:trPr>
          <w:cantSplit/>
          <w:trHeight w:val="225"/>
        </w:trPr>
        <w:tc>
          <w:tcPr>
            <w:tcW w:w="9067" w:type="dxa"/>
            <w:gridSpan w:val="5"/>
          </w:tcPr>
          <w:p w14:paraId="425C3657"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Juno</w:t>
            </w:r>
          </w:p>
          <w:p w14:paraId="669D7933" w14:textId="77777777" w:rsidR="00796A91" w:rsidRPr="00622E6C" w:rsidRDefault="00796A91" w:rsidP="00796A91">
            <w:pPr>
              <w:rPr>
                <w:rFonts w:ascii="Arial Narrow" w:hAnsi="Arial Narrow" w:cstheme="minorHAnsi"/>
                <w:b/>
                <w:sz w:val="20"/>
                <w:szCs w:val="20"/>
              </w:rPr>
            </w:pPr>
            <w:r w:rsidRPr="00622E6C">
              <w:rPr>
                <w:rFonts w:ascii="Arial Narrow" w:hAnsi="Arial Narrow"/>
                <w:sz w:val="20"/>
                <w:szCs w:val="20"/>
              </w:rPr>
              <w:t>(bortezomib 3.5 mg injection, 1 vial)</w:t>
            </w:r>
          </w:p>
        </w:tc>
      </w:tr>
      <w:tr w:rsidR="00796A91" w:rsidRPr="00622E6C" w14:paraId="028D5C87" w14:textId="77777777" w:rsidTr="00796A91">
        <w:trPr>
          <w:cantSplit/>
          <w:trHeight w:val="225"/>
        </w:trPr>
        <w:tc>
          <w:tcPr>
            <w:tcW w:w="9067" w:type="dxa"/>
            <w:gridSpan w:val="5"/>
          </w:tcPr>
          <w:p w14:paraId="1BDCD969" w14:textId="77777777" w:rsidR="00796A91" w:rsidRPr="00622E6C" w:rsidRDefault="00796A91" w:rsidP="00796A91">
            <w:pPr>
              <w:ind w:left="-57"/>
              <w:rPr>
                <w:rFonts w:ascii="Arial Narrow" w:hAnsi="Arial Narrow" w:cstheme="minorHAnsi"/>
                <w:b/>
                <w:sz w:val="20"/>
                <w:szCs w:val="20"/>
              </w:rPr>
            </w:pPr>
          </w:p>
        </w:tc>
      </w:tr>
      <w:tr w:rsidR="00796A91" w:rsidRPr="00622E6C" w14:paraId="5FB0D261" w14:textId="77777777" w:rsidTr="00796A91">
        <w:trPr>
          <w:cantSplit/>
          <w:trHeight w:val="225"/>
        </w:trPr>
        <w:tc>
          <w:tcPr>
            <w:tcW w:w="9067" w:type="dxa"/>
            <w:gridSpan w:val="5"/>
          </w:tcPr>
          <w:p w14:paraId="0423502F"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 Sandoz</w:t>
            </w:r>
          </w:p>
          <w:p w14:paraId="59C7C3D6" w14:textId="77777777" w:rsidR="00796A91" w:rsidRPr="00622E6C" w:rsidRDefault="00796A91" w:rsidP="00796A91">
            <w:pPr>
              <w:rPr>
                <w:rFonts w:ascii="Arial Narrow" w:hAnsi="Arial Narrow" w:cstheme="minorHAnsi"/>
                <w:b/>
                <w:sz w:val="20"/>
                <w:szCs w:val="20"/>
              </w:rPr>
            </w:pPr>
            <w:r w:rsidRPr="00622E6C">
              <w:rPr>
                <w:rFonts w:ascii="Arial Narrow" w:hAnsi="Arial Narrow"/>
                <w:sz w:val="20"/>
                <w:szCs w:val="20"/>
              </w:rPr>
              <w:t>(bortezomib 3.5 mg injection, 1 vial)</w:t>
            </w:r>
          </w:p>
        </w:tc>
      </w:tr>
      <w:tr w:rsidR="00796A91" w:rsidRPr="00622E6C" w14:paraId="63AFBA9A" w14:textId="77777777" w:rsidTr="00796A91">
        <w:trPr>
          <w:cantSplit/>
          <w:trHeight w:val="225"/>
        </w:trPr>
        <w:tc>
          <w:tcPr>
            <w:tcW w:w="9067" w:type="dxa"/>
            <w:gridSpan w:val="5"/>
          </w:tcPr>
          <w:p w14:paraId="1D83C881" w14:textId="77777777" w:rsidR="00796A91" w:rsidRPr="00622E6C" w:rsidRDefault="00796A91" w:rsidP="00796A91">
            <w:pPr>
              <w:rPr>
                <w:rFonts w:ascii="Arial Narrow" w:hAnsi="Arial Narrow"/>
                <w:sz w:val="20"/>
                <w:szCs w:val="20"/>
              </w:rPr>
            </w:pPr>
          </w:p>
        </w:tc>
      </w:tr>
      <w:tr w:rsidR="00796A91" w:rsidRPr="00622E6C" w14:paraId="39EB9114" w14:textId="77777777" w:rsidTr="00796A91">
        <w:trPr>
          <w:cantSplit/>
          <w:trHeight w:val="225"/>
        </w:trPr>
        <w:tc>
          <w:tcPr>
            <w:tcW w:w="9067" w:type="dxa"/>
            <w:gridSpan w:val="5"/>
          </w:tcPr>
          <w:p w14:paraId="6796998F" w14:textId="77777777" w:rsidR="00796A91" w:rsidRPr="00622E6C" w:rsidRDefault="00796A91" w:rsidP="00796A91">
            <w:pPr>
              <w:rPr>
                <w:rFonts w:ascii="Arial Narrow" w:hAnsi="Arial Narrow"/>
                <w:sz w:val="20"/>
                <w:szCs w:val="20"/>
              </w:rPr>
            </w:pPr>
            <w:r w:rsidRPr="00622E6C">
              <w:rPr>
                <w:rFonts w:ascii="Arial Narrow" w:hAnsi="Arial Narrow"/>
                <w:sz w:val="20"/>
                <w:szCs w:val="20"/>
              </w:rPr>
              <w:t>Bortezomib-Dr.Reddy's</w:t>
            </w:r>
          </w:p>
          <w:p w14:paraId="178DE735" w14:textId="77777777" w:rsidR="00796A91" w:rsidRPr="00622E6C" w:rsidRDefault="00796A91" w:rsidP="00796A91">
            <w:pPr>
              <w:rPr>
                <w:rFonts w:ascii="Arial Narrow" w:hAnsi="Arial Narrow" w:cstheme="minorHAnsi"/>
                <w:b/>
                <w:sz w:val="20"/>
                <w:szCs w:val="20"/>
              </w:rPr>
            </w:pPr>
            <w:r w:rsidRPr="00622E6C">
              <w:rPr>
                <w:rFonts w:ascii="Arial Narrow" w:hAnsi="Arial Narrow"/>
                <w:sz w:val="20"/>
                <w:szCs w:val="20"/>
              </w:rPr>
              <w:t>(bortezomib 3.5 mg injection, 1 vial)</w:t>
            </w:r>
          </w:p>
        </w:tc>
      </w:tr>
      <w:tr w:rsidR="00796A91" w:rsidRPr="00622E6C" w14:paraId="5D5DE7BB" w14:textId="77777777" w:rsidTr="00796A91">
        <w:trPr>
          <w:cantSplit/>
          <w:trHeight w:val="225"/>
        </w:trPr>
        <w:tc>
          <w:tcPr>
            <w:tcW w:w="9067" w:type="dxa"/>
            <w:gridSpan w:val="5"/>
          </w:tcPr>
          <w:p w14:paraId="1D298848" w14:textId="77777777" w:rsidR="00796A91" w:rsidRPr="00622E6C" w:rsidRDefault="00796A91" w:rsidP="00796A91">
            <w:pPr>
              <w:ind w:left="-57"/>
              <w:rPr>
                <w:rFonts w:ascii="Arial Narrow" w:hAnsi="Arial Narrow" w:cstheme="minorHAnsi"/>
                <w:b/>
                <w:sz w:val="20"/>
                <w:szCs w:val="20"/>
              </w:rPr>
            </w:pPr>
          </w:p>
        </w:tc>
      </w:tr>
      <w:tr w:rsidR="00796A91" w:rsidRPr="00622E6C" w14:paraId="3D480D84" w14:textId="77777777" w:rsidTr="00796A91">
        <w:trPr>
          <w:cantSplit/>
          <w:trHeight w:val="225"/>
        </w:trPr>
        <w:tc>
          <w:tcPr>
            <w:tcW w:w="9067" w:type="dxa"/>
            <w:gridSpan w:val="5"/>
          </w:tcPr>
          <w:p w14:paraId="768FC5E6"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DBL Bortezomib</w:t>
            </w:r>
          </w:p>
          <w:p w14:paraId="04A80803"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 xml:space="preserve">(bortezomib 1 mg injection, 1 vial) </w:t>
            </w:r>
          </w:p>
        </w:tc>
      </w:tr>
      <w:tr w:rsidR="00796A91" w:rsidRPr="00622E6C" w14:paraId="734D6997" w14:textId="77777777" w:rsidTr="00796A91">
        <w:trPr>
          <w:cantSplit/>
          <w:trHeight w:val="225"/>
        </w:trPr>
        <w:tc>
          <w:tcPr>
            <w:tcW w:w="9067" w:type="dxa"/>
            <w:gridSpan w:val="5"/>
          </w:tcPr>
          <w:p w14:paraId="103B6429"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DBL Bortezomib</w:t>
            </w:r>
          </w:p>
          <w:p w14:paraId="517E3F40"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 xml:space="preserve">(bortezomib 2.5 mg injection, 1 vial) </w:t>
            </w:r>
          </w:p>
        </w:tc>
      </w:tr>
      <w:tr w:rsidR="00796A91" w:rsidRPr="00622E6C" w14:paraId="15E7A231" w14:textId="77777777" w:rsidTr="00796A91">
        <w:trPr>
          <w:cantSplit/>
          <w:trHeight w:val="225"/>
        </w:trPr>
        <w:tc>
          <w:tcPr>
            <w:tcW w:w="9067" w:type="dxa"/>
            <w:gridSpan w:val="5"/>
          </w:tcPr>
          <w:p w14:paraId="7BD8C2E8"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DBL Bortezomib</w:t>
            </w:r>
          </w:p>
          <w:p w14:paraId="45BA44A1"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 xml:space="preserve">(bortezomib 3 mg injection, 1 vial) </w:t>
            </w:r>
          </w:p>
        </w:tc>
      </w:tr>
      <w:tr w:rsidR="00796A91" w:rsidRPr="00622E6C" w14:paraId="4CD68278" w14:textId="77777777" w:rsidTr="00796A91">
        <w:trPr>
          <w:cantSplit/>
          <w:trHeight w:val="225"/>
        </w:trPr>
        <w:tc>
          <w:tcPr>
            <w:tcW w:w="9067" w:type="dxa"/>
            <w:gridSpan w:val="5"/>
          </w:tcPr>
          <w:p w14:paraId="7245F323"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DBL Bortezomib</w:t>
            </w:r>
          </w:p>
          <w:p w14:paraId="008D6E8B" w14:textId="77777777" w:rsidR="00796A91" w:rsidRPr="00622E6C" w:rsidRDefault="00796A91" w:rsidP="00796A91">
            <w:pPr>
              <w:ind w:left="-57"/>
              <w:rPr>
                <w:rFonts w:ascii="Arial Narrow" w:hAnsi="Arial Narrow" w:cstheme="minorHAnsi"/>
                <w:bCs/>
                <w:sz w:val="20"/>
                <w:szCs w:val="20"/>
              </w:rPr>
            </w:pPr>
            <w:r w:rsidRPr="00622E6C">
              <w:rPr>
                <w:rFonts w:ascii="Arial Narrow" w:hAnsi="Arial Narrow" w:cstheme="minorHAnsi"/>
                <w:bCs/>
                <w:sz w:val="20"/>
                <w:szCs w:val="20"/>
              </w:rPr>
              <w:t xml:space="preserve">(bortezomib 3.5 mg injection, 1 vial) </w:t>
            </w:r>
          </w:p>
        </w:tc>
      </w:tr>
      <w:tr w:rsidR="00796A91" w:rsidRPr="00622E6C" w14:paraId="37862748" w14:textId="77777777" w:rsidTr="00796A91">
        <w:trPr>
          <w:cantSplit/>
          <w:trHeight w:val="225"/>
        </w:trPr>
        <w:tc>
          <w:tcPr>
            <w:tcW w:w="9067" w:type="dxa"/>
            <w:gridSpan w:val="5"/>
          </w:tcPr>
          <w:p w14:paraId="5C58035E" w14:textId="77777777" w:rsidR="00796A91" w:rsidRPr="00622E6C" w:rsidRDefault="00796A91" w:rsidP="00796A91">
            <w:pPr>
              <w:ind w:left="-57"/>
              <w:rPr>
                <w:rFonts w:ascii="Arial Narrow" w:hAnsi="Arial Narrow" w:cstheme="minorHAnsi"/>
                <w:b/>
                <w:sz w:val="20"/>
                <w:szCs w:val="20"/>
              </w:rPr>
            </w:pPr>
          </w:p>
        </w:tc>
      </w:tr>
      <w:tr w:rsidR="00796A91" w:rsidRPr="00622E6C" w14:paraId="4D430DEF" w14:textId="77777777" w:rsidTr="00796A91">
        <w:trPr>
          <w:cantSplit/>
          <w:trHeight w:val="360"/>
        </w:trPr>
        <w:tc>
          <w:tcPr>
            <w:tcW w:w="9067" w:type="dxa"/>
            <w:gridSpan w:val="5"/>
          </w:tcPr>
          <w:p w14:paraId="309DD1D8"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Velcade</w:t>
            </w:r>
          </w:p>
          <w:p w14:paraId="31881965"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(bortezomib 1 mg injection, 1 vial)</w:t>
            </w:r>
          </w:p>
        </w:tc>
      </w:tr>
      <w:tr w:rsidR="00796A91" w:rsidRPr="00622E6C" w14:paraId="72F7C985" w14:textId="77777777" w:rsidTr="00796A91">
        <w:trPr>
          <w:cantSplit/>
          <w:trHeight w:val="360"/>
        </w:trPr>
        <w:tc>
          <w:tcPr>
            <w:tcW w:w="9067" w:type="dxa"/>
            <w:gridSpan w:val="5"/>
            <w:tcBorders>
              <w:top w:val="single" w:sz="4" w:space="0" w:color="auto"/>
              <w:left w:val="single" w:sz="4" w:space="0" w:color="auto"/>
              <w:bottom w:val="single" w:sz="4" w:space="0" w:color="auto"/>
              <w:right w:val="single" w:sz="4" w:space="0" w:color="auto"/>
            </w:tcBorders>
          </w:tcPr>
          <w:p w14:paraId="207A664A"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 xml:space="preserve">Velcade </w:t>
            </w:r>
          </w:p>
          <w:p w14:paraId="12B2DDE8"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(bortezomib 3 mg injection, 1 vial)</w:t>
            </w:r>
          </w:p>
        </w:tc>
      </w:tr>
      <w:tr w:rsidR="00796A91" w:rsidRPr="00622E6C" w14:paraId="1D6516FC" w14:textId="77777777" w:rsidTr="00796A91">
        <w:trPr>
          <w:cantSplit/>
          <w:trHeight w:val="360"/>
        </w:trPr>
        <w:tc>
          <w:tcPr>
            <w:tcW w:w="9067" w:type="dxa"/>
            <w:gridSpan w:val="5"/>
          </w:tcPr>
          <w:p w14:paraId="26FAF505"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Velcade</w:t>
            </w:r>
          </w:p>
          <w:p w14:paraId="0496847B" w14:textId="77777777" w:rsidR="00796A91" w:rsidRPr="00622E6C" w:rsidRDefault="00796A91" w:rsidP="00796A91">
            <w:pPr>
              <w:ind w:left="-57"/>
              <w:rPr>
                <w:rFonts w:ascii="Arial Narrow" w:hAnsi="Arial Narrow" w:cstheme="minorHAnsi"/>
                <w:sz w:val="20"/>
                <w:szCs w:val="20"/>
              </w:rPr>
            </w:pPr>
            <w:r w:rsidRPr="00622E6C">
              <w:rPr>
                <w:rFonts w:ascii="Arial Narrow" w:hAnsi="Arial Narrow" w:cstheme="minorHAnsi"/>
                <w:sz w:val="20"/>
                <w:szCs w:val="20"/>
              </w:rPr>
              <w:t>(bortezomib 3.5 mg injection, 1 vial)</w:t>
            </w:r>
          </w:p>
        </w:tc>
      </w:tr>
      <w:tr w:rsidR="00796A91" w:rsidRPr="00622E6C" w14:paraId="1E2CC4DD" w14:textId="77777777" w:rsidTr="00796A91">
        <w:trPr>
          <w:cantSplit/>
          <w:trHeight w:val="183"/>
        </w:trPr>
        <w:tc>
          <w:tcPr>
            <w:tcW w:w="9067" w:type="dxa"/>
            <w:gridSpan w:val="5"/>
          </w:tcPr>
          <w:p w14:paraId="4A2F9325" w14:textId="77777777" w:rsidR="00796A91" w:rsidRPr="00622E6C" w:rsidRDefault="00796A91" w:rsidP="00796A91">
            <w:pPr>
              <w:ind w:left="-57"/>
              <w:rPr>
                <w:rFonts w:ascii="Arial Narrow" w:hAnsi="Arial Narrow" w:cstheme="minorHAnsi"/>
                <w:sz w:val="20"/>
                <w:szCs w:val="20"/>
              </w:rPr>
            </w:pPr>
          </w:p>
        </w:tc>
      </w:tr>
      <w:tr w:rsidR="00796A91" w:rsidRPr="00622E6C" w14:paraId="543E13EC" w14:textId="77777777" w:rsidTr="00796A91">
        <w:tblPrEx>
          <w:tblCellMar>
            <w:top w:w="15" w:type="dxa"/>
            <w:left w:w="15" w:type="dxa"/>
            <w:bottom w:w="15" w:type="dxa"/>
            <w:right w:w="15" w:type="dxa"/>
          </w:tblCellMar>
          <w:tblLook w:val="04A0" w:firstRow="1" w:lastRow="0" w:firstColumn="1" w:lastColumn="0" w:noHBand="0" w:noVBand="1"/>
        </w:tblPrEx>
        <w:tc>
          <w:tcPr>
            <w:tcW w:w="988" w:type="dxa"/>
            <w:vMerge w:val="restart"/>
            <w:tcBorders>
              <w:top w:val="single" w:sz="4" w:space="0" w:color="auto"/>
              <w:left w:val="single" w:sz="4" w:space="0" w:color="auto"/>
              <w:right w:val="single" w:sz="4" w:space="0" w:color="auto"/>
            </w:tcBorders>
          </w:tcPr>
          <w:p w14:paraId="657A74EE" w14:textId="77777777" w:rsidR="00796A91" w:rsidRPr="00622E6C" w:rsidRDefault="00796A91" w:rsidP="00796A91">
            <w:pPr>
              <w:jc w:val="center"/>
              <w:rPr>
                <w:rFonts w:ascii="Arial Narrow" w:eastAsia="Calibri" w:hAnsi="Arial Narrow" w:cstheme="minorHAnsi"/>
                <w:sz w:val="20"/>
                <w:szCs w:val="20"/>
              </w:rPr>
            </w:pPr>
          </w:p>
        </w:tc>
        <w:tc>
          <w:tcPr>
            <w:tcW w:w="8079" w:type="dxa"/>
            <w:gridSpan w:val="4"/>
            <w:tcBorders>
              <w:top w:val="single" w:sz="4" w:space="0" w:color="auto"/>
              <w:left w:val="single" w:sz="4" w:space="0" w:color="auto"/>
              <w:bottom w:val="single" w:sz="4" w:space="0" w:color="auto"/>
              <w:right w:val="single" w:sz="4" w:space="0" w:color="auto"/>
            </w:tcBorders>
          </w:tcPr>
          <w:p w14:paraId="25E4C3F3" w14:textId="77777777" w:rsidR="00796A91" w:rsidRPr="00622E6C" w:rsidRDefault="00796A91" w:rsidP="00796A91">
            <w:pPr>
              <w:rPr>
                <w:rFonts w:ascii="Arial Narrow" w:eastAsia="Calibri" w:hAnsi="Arial Narrow" w:cstheme="minorHAnsi"/>
                <w:sz w:val="20"/>
                <w:szCs w:val="20"/>
              </w:rPr>
            </w:pPr>
            <w:r w:rsidRPr="00622E6C">
              <w:rPr>
                <w:rFonts w:ascii="Arial Narrow" w:eastAsia="Calibri" w:hAnsi="Arial Narrow" w:cstheme="minorHAnsi"/>
                <w:b/>
                <w:sz w:val="20"/>
                <w:szCs w:val="20"/>
              </w:rPr>
              <w:t xml:space="preserve">Category / Program: </w:t>
            </w:r>
            <w:r w:rsidRPr="00622E6C">
              <w:rPr>
                <w:rFonts w:ascii="Arial Narrow" w:eastAsia="Calibri" w:hAnsi="Arial Narrow" w:cstheme="minorHAnsi"/>
                <w:sz w:val="20"/>
                <w:szCs w:val="20"/>
              </w:rPr>
              <w:t xml:space="preserve">Section 100 – Efficient Funding of Chemotherapy Public/Private hospitals </w:t>
            </w:r>
          </w:p>
        </w:tc>
      </w:tr>
      <w:tr w:rsidR="00796A91" w:rsidRPr="00622E6C" w14:paraId="05AF1FCD" w14:textId="77777777" w:rsidTr="00796A91">
        <w:tblPrEx>
          <w:tblCellMar>
            <w:top w:w="15" w:type="dxa"/>
            <w:left w:w="15" w:type="dxa"/>
            <w:bottom w:w="15" w:type="dxa"/>
            <w:right w:w="15" w:type="dxa"/>
          </w:tblCellMar>
          <w:tblLook w:val="04A0" w:firstRow="1" w:lastRow="0" w:firstColumn="1" w:lastColumn="0" w:noHBand="0" w:noVBand="1"/>
        </w:tblPrEx>
        <w:trPr>
          <w:trHeight w:val="240"/>
        </w:trPr>
        <w:tc>
          <w:tcPr>
            <w:tcW w:w="988" w:type="dxa"/>
            <w:vMerge/>
            <w:tcBorders>
              <w:left w:val="single" w:sz="4" w:space="0" w:color="auto"/>
              <w:right w:val="single" w:sz="4" w:space="0" w:color="auto"/>
            </w:tcBorders>
          </w:tcPr>
          <w:p w14:paraId="6C8F2BFC" w14:textId="77777777" w:rsidR="00796A91" w:rsidRPr="00622E6C" w:rsidRDefault="00796A91" w:rsidP="00796A91">
            <w:pPr>
              <w:rPr>
                <w:rFonts w:ascii="Arial Narrow" w:eastAsia="Calibri" w:hAnsi="Arial Narrow" w:cstheme="minorHAnsi"/>
                <w:sz w:val="20"/>
                <w:szCs w:val="20"/>
              </w:rPr>
            </w:pPr>
          </w:p>
        </w:tc>
        <w:tc>
          <w:tcPr>
            <w:tcW w:w="8079" w:type="dxa"/>
            <w:gridSpan w:val="4"/>
            <w:tcBorders>
              <w:top w:val="single" w:sz="4" w:space="0" w:color="auto"/>
              <w:left w:val="single" w:sz="4" w:space="0" w:color="auto"/>
              <w:bottom w:val="single" w:sz="4" w:space="0" w:color="auto"/>
              <w:right w:val="single" w:sz="4" w:space="0" w:color="auto"/>
            </w:tcBorders>
          </w:tcPr>
          <w:p w14:paraId="4B9747ED" w14:textId="77777777" w:rsidR="00796A91" w:rsidRPr="00622E6C" w:rsidRDefault="00796A91" w:rsidP="00796A91">
            <w:pPr>
              <w:rPr>
                <w:rFonts w:ascii="Arial Narrow" w:eastAsia="Calibri" w:hAnsi="Arial Narrow" w:cstheme="minorHAnsi"/>
                <w:b/>
                <w:sz w:val="20"/>
                <w:szCs w:val="20"/>
              </w:rPr>
            </w:pPr>
            <w:r w:rsidRPr="00622E6C">
              <w:rPr>
                <w:rFonts w:ascii="Arial Narrow" w:eastAsia="Calibri" w:hAnsi="Arial Narrow" w:cstheme="minorHAnsi"/>
                <w:b/>
                <w:sz w:val="20"/>
                <w:szCs w:val="20"/>
              </w:rPr>
              <w:t xml:space="preserve">Prescriber type:   </w:t>
            </w:r>
            <w:r w:rsidRPr="00622E6C">
              <w:rPr>
                <w:rFonts w:ascii="Arial Narrow" w:eastAsia="Calibri" w:hAnsi="Arial Narrow" w:cstheme="minorHAnsi"/>
                <w:sz w:val="20"/>
                <w:szCs w:val="20"/>
              </w:rPr>
              <w:fldChar w:fldCharType="begin">
                <w:ffData>
                  <w:name w:val=""/>
                  <w:enabled/>
                  <w:calcOnExit w:val="0"/>
                  <w:checkBox>
                    <w:sizeAuto/>
                    <w:default w:val="1"/>
                  </w:checkBox>
                </w:ffData>
              </w:fldChar>
            </w:r>
            <w:r w:rsidRPr="00622E6C">
              <w:rPr>
                <w:rFonts w:ascii="Arial Narrow" w:eastAsia="Calibri" w:hAnsi="Arial Narrow" w:cstheme="minorHAnsi"/>
                <w:sz w:val="20"/>
                <w:szCs w:val="20"/>
              </w:rPr>
              <w:instrText xml:space="preserve"> FORMCHECKBOX </w:instrText>
            </w:r>
            <w:r w:rsidR="00BE3AB8">
              <w:rPr>
                <w:rFonts w:ascii="Arial Narrow" w:eastAsia="Calibri" w:hAnsi="Arial Narrow" w:cstheme="minorHAnsi"/>
                <w:sz w:val="20"/>
                <w:szCs w:val="20"/>
              </w:rPr>
            </w:r>
            <w:r w:rsidR="00BE3AB8">
              <w:rPr>
                <w:rFonts w:ascii="Arial Narrow" w:eastAsia="Calibri" w:hAnsi="Arial Narrow" w:cstheme="minorHAnsi"/>
                <w:sz w:val="20"/>
                <w:szCs w:val="20"/>
              </w:rPr>
              <w:fldChar w:fldCharType="separate"/>
            </w:r>
            <w:r w:rsidRPr="00622E6C">
              <w:rPr>
                <w:rFonts w:ascii="Arial Narrow" w:eastAsia="Calibri" w:hAnsi="Arial Narrow" w:cstheme="minorHAnsi"/>
                <w:sz w:val="20"/>
                <w:szCs w:val="20"/>
              </w:rPr>
              <w:fldChar w:fldCharType="end"/>
            </w:r>
            <w:r w:rsidRPr="00622E6C">
              <w:rPr>
                <w:rFonts w:ascii="Arial Narrow" w:eastAsia="Calibri" w:hAnsi="Arial Narrow" w:cstheme="minorHAnsi"/>
                <w:sz w:val="20"/>
                <w:szCs w:val="20"/>
              </w:rPr>
              <w:t xml:space="preserve">Medical Practitioners    </w:t>
            </w:r>
          </w:p>
        </w:tc>
      </w:tr>
      <w:tr w:rsidR="00796A91" w:rsidRPr="00622E6C" w14:paraId="36064F8D" w14:textId="77777777" w:rsidTr="00796A91">
        <w:tblPrEx>
          <w:tblCellMar>
            <w:top w:w="15" w:type="dxa"/>
            <w:left w:w="15" w:type="dxa"/>
            <w:bottom w:w="15" w:type="dxa"/>
            <w:right w:w="15" w:type="dxa"/>
          </w:tblCellMar>
          <w:tblLook w:val="04A0" w:firstRow="1" w:lastRow="0" w:firstColumn="1" w:lastColumn="0" w:noHBand="0" w:noVBand="1"/>
        </w:tblPrEx>
        <w:tc>
          <w:tcPr>
            <w:tcW w:w="988" w:type="dxa"/>
            <w:vMerge/>
            <w:tcBorders>
              <w:left w:val="single" w:sz="4" w:space="0" w:color="auto"/>
              <w:bottom w:val="single" w:sz="4" w:space="0" w:color="auto"/>
              <w:right w:val="single" w:sz="4" w:space="0" w:color="auto"/>
            </w:tcBorders>
          </w:tcPr>
          <w:p w14:paraId="2A63A0A4" w14:textId="77777777" w:rsidR="00796A91" w:rsidRPr="00622E6C" w:rsidRDefault="00796A91" w:rsidP="00796A91">
            <w:pPr>
              <w:rPr>
                <w:rFonts w:ascii="Arial Narrow" w:eastAsia="Calibri" w:hAnsi="Arial Narrow" w:cstheme="minorHAnsi"/>
                <w:sz w:val="20"/>
                <w:szCs w:val="20"/>
              </w:rPr>
            </w:pPr>
          </w:p>
        </w:tc>
        <w:tc>
          <w:tcPr>
            <w:tcW w:w="8079" w:type="dxa"/>
            <w:gridSpan w:val="4"/>
            <w:tcBorders>
              <w:top w:val="single" w:sz="4" w:space="0" w:color="auto"/>
              <w:left w:val="single" w:sz="4" w:space="0" w:color="auto"/>
              <w:bottom w:val="single" w:sz="4" w:space="0" w:color="auto"/>
              <w:right w:val="single" w:sz="4" w:space="0" w:color="auto"/>
            </w:tcBorders>
          </w:tcPr>
          <w:p w14:paraId="4B166AA6" w14:textId="77777777" w:rsidR="00796A91" w:rsidRPr="00622E6C" w:rsidRDefault="00796A91" w:rsidP="00796A91">
            <w:pPr>
              <w:rPr>
                <w:rFonts w:ascii="Arial Narrow" w:eastAsia="Calibri" w:hAnsi="Arial Narrow" w:cstheme="minorHAnsi"/>
                <w:b/>
                <w:iCs/>
                <w:sz w:val="20"/>
                <w:szCs w:val="20"/>
              </w:rPr>
            </w:pPr>
            <w:r w:rsidRPr="00622E6C">
              <w:rPr>
                <w:rFonts w:ascii="Arial Narrow" w:eastAsia="Calibri" w:hAnsi="Arial Narrow" w:cstheme="minorHAnsi"/>
                <w:b/>
                <w:iCs/>
                <w:sz w:val="20"/>
                <w:szCs w:val="20"/>
              </w:rPr>
              <w:t xml:space="preserve">Restriction type: </w:t>
            </w:r>
            <w:r w:rsidRPr="00622E6C">
              <w:rPr>
                <w:rFonts w:ascii="Arial Narrow" w:eastAsia="Calibri" w:hAnsi="Arial Narrow" w:cstheme="minorHAnsi"/>
                <w:i/>
                <w:sz w:val="20"/>
                <w:szCs w:val="20"/>
              </w:rPr>
              <w:fldChar w:fldCharType="begin">
                <w:ffData>
                  <w:name w:val="Check1"/>
                  <w:enabled/>
                  <w:calcOnExit w:val="0"/>
                  <w:checkBox>
                    <w:sizeAuto/>
                    <w:default w:val="1"/>
                  </w:checkBox>
                </w:ffData>
              </w:fldChar>
            </w:r>
            <w:r w:rsidRPr="00622E6C">
              <w:rPr>
                <w:rFonts w:ascii="Arial Narrow" w:eastAsia="Calibri" w:hAnsi="Arial Narrow" w:cstheme="minorHAnsi"/>
                <w:i/>
                <w:sz w:val="20"/>
                <w:szCs w:val="20"/>
              </w:rPr>
              <w:instrText xml:space="preserve"> FORMCHECKBOX </w:instrText>
            </w:r>
            <w:r w:rsidR="00BE3AB8">
              <w:rPr>
                <w:rFonts w:ascii="Arial Narrow" w:eastAsia="Calibri" w:hAnsi="Arial Narrow" w:cstheme="minorHAnsi"/>
                <w:i/>
                <w:sz w:val="20"/>
                <w:szCs w:val="20"/>
              </w:rPr>
            </w:r>
            <w:r w:rsidR="00BE3AB8">
              <w:rPr>
                <w:rFonts w:ascii="Arial Narrow" w:eastAsia="Calibri" w:hAnsi="Arial Narrow" w:cstheme="minorHAnsi"/>
                <w:i/>
                <w:sz w:val="20"/>
                <w:szCs w:val="20"/>
              </w:rPr>
              <w:fldChar w:fldCharType="separate"/>
            </w:r>
            <w:r w:rsidRPr="00622E6C">
              <w:rPr>
                <w:rFonts w:ascii="Arial Narrow" w:eastAsia="Calibri" w:hAnsi="Arial Narrow" w:cstheme="minorHAnsi"/>
                <w:i/>
                <w:sz w:val="20"/>
                <w:szCs w:val="20"/>
              </w:rPr>
              <w:fldChar w:fldCharType="end"/>
            </w:r>
            <w:r w:rsidRPr="00622E6C">
              <w:rPr>
                <w:rFonts w:ascii="Arial Narrow" w:eastAsia="Calibri" w:hAnsi="Arial Narrow" w:cstheme="minorHAnsi"/>
                <w:i/>
                <w:sz w:val="20"/>
                <w:szCs w:val="20"/>
              </w:rPr>
              <w:t xml:space="preserve"> </w:t>
            </w:r>
            <w:r w:rsidRPr="00622E6C">
              <w:rPr>
                <w:rFonts w:ascii="Arial Narrow" w:eastAsia="Calibri" w:hAnsi="Arial Narrow" w:cstheme="minorHAnsi"/>
                <w:iCs/>
                <w:sz w:val="20"/>
                <w:szCs w:val="20"/>
              </w:rPr>
              <w:t>Restricted benefit</w:t>
            </w:r>
          </w:p>
        </w:tc>
      </w:tr>
      <w:tr w:rsidR="00796A91" w:rsidRPr="00622E6C" w14:paraId="67FD74D6" w14:textId="77777777" w:rsidTr="00796A91">
        <w:tblPrEx>
          <w:tblCellMar>
            <w:top w:w="15" w:type="dxa"/>
            <w:left w:w="15" w:type="dxa"/>
            <w:bottom w:w="15" w:type="dxa"/>
            <w:right w:w="15" w:type="dxa"/>
          </w:tblCellMar>
          <w:tblLook w:val="04A0" w:firstRow="1" w:lastRow="0" w:firstColumn="1" w:lastColumn="0" w:noHBand="0" w:noVBand="1"/>
        </w:tblPrEx>
        <w:tc>
          <w:tcPr>
            <w:tcW w:w="988" w:type="dxa"/>
            <w:tcBorders>
              <w:left w:val="single" w:sz="4" w:space="0" w:color="auto"/>
              <w:bottom w:val="single" w:sz="4" w:space="0" w:color="auto"/>
              <w:right w:val="single" w:sz="4" w:space="0" w:color="auto"/>
            </w:tcBorders>
          </w:tcPr>
          <w:p w14:paraId="2B26A79F" w14:textId="77777777" w:rsidR="00796A91" w:rsidRPr="00622E6C" w:rsidRDefault="00796A91" w:rsidP="00796A91">
            <w:pPr>
              <w:rPr>
                <w:rFonts w:ascii="Arial Narrow" w:eastAsia="Calibri" w:hAnsi="Arial Narrow" w:cstheme="minorHAnsi"/>
                <w:sz w:val="20"/>
                <w:szCs w:val="20"/>
              </w:rPr>
            </w:pPr>
          </w:p>
        </w:tc>
        <w:tc>
          <w:tcPr>
            <w:tcW w:w="8079" w:type="dxa"/>
            <w:gridSpan w:val="4"/>
            <w:tcBorders>
              <w:top w:val="single" w:sz="4" w:space="0" w:color="auto"/>
              <w:left w:val="single" w:sz="4" w:space="0" w:color="auto"/>
              <w:bottom w:val="single" w:sz="4" w:space="0" w:color="auto"/>
              <w:right w:val="single" w:sz="4" w:space="0" w:color="auto"/>
            </w:tcBorders>
          </w:tcPr>
          <w:p w14:paraId="04F9389C" w14:textId="77777777" w:rsidR="00796A91" w:rsidRPr="00622E6C" w:rsidRDefault="00796A91" w:rsidP="00796A91">
            <w:pPr>
              <w:rPr>
                <w:rFonts w:ascii="Arial Narrow" w:eastAsia="Calibri" w:hAnsi="Arial Narrow" w:cstheme="minorHAnsi"/>
                <w:b/>
                <w:iCs/>
                <w:sz w:val="20"/>
                <w:szCs w:val="20"/>
              </w:rPr>
            </w:pPr>
          </w:p>
        </w:tc>
      </w:tr>
      <w:tr w:rsidR="00796A91" w:rsidRPr="00622E6C" w14:paraId="44845FDD"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hideMark/>
          </w:tcPr>
          <w:p w14:paraId="0178307B" w14:textId="472DD348" w:rsidR="00796A91" w:rsidRPr="00622E6C" w:rsidRDefault="00796A91" w:rsidP="00796A91">
            <w:pPr>
              <w:jc w:val="center"/>
              <w:rPr>
                <w:rFonts w:ascii="Arial Narrow" w:hAnsi="Arial Narrow" w:cstheme="minorHAnsi"/>
                <w:color w:val="333333"/>
                <w:sz w:val="20"/>
                <w:szCs w:val="20"/>
              </w:rPr>
            </w:pPr>
          </w:p>
        </w:tc>
        <w:tc>
          <w:tcPr>
            <w:tcW w:w="8079" w:type="dxa"/>
            <w:gridSpan w:val="4"/>
            <w:vAlign w:val="center"/>
            <w:hideMark/>
          </w:tcPr>
          <w:p w14:paraId="7AE88006" w14:textId="77777777" w:rsidR="00796A91" w:rsidRPr="00622E6C" w:rsidRDefault="00796A91" w:rsidP="00796A91">
            <w:pPr>
              <w:rPr>
                <w:rFonts w:ascii="Arial Narrow" w:hAnsi="Arial Narrow" w:cstheme="minorHAnsi"/>
                <w:color w:val="333333"/>
                <w:sz w:val="20"/>
                <w:szCs w:val="20"/>
              </w:rPr>
            </w:pPr>
            <w:r w:rsidRPr="00622E6C">
              <w:rPr>
                <w:rFonts w:ascii="Arial Narrow" w:hAnsi="Arial Narrow" w:cstheme="minorHAnsi"/>
                <w:b/>
                <w:bCs/>
                <w:color w:val="333333"/>
                <w:sz w:val="20"/>
                <w:szCs w:val="20"/>
              </w:rPr>
              <w:t>Indication:</w:t>
            </w:r>
            <w:r w:rsidRPr="00622E6C">
              <w:rPr>
                <w:rFonts w:ascii="Arial Narrow" w:hAnsi="Arial Narrow" w:cstheme="minorHAnsi"/>
                <w:color w:val="333333"/>
                <w:sz w:val="20"/>
                <w:szCs w:val="20"/>
              </w:rPr>
              <w:t xml:space="preserve"> </w:t>
            </w:r>
            <w:r w:rsidRPr="00622E6C">
              <w:rPr>
                <w:rFonts w:ascii="Arial Narrow" w:eastAsia="Calibri" w:hAnsi="Arial Narrow" w:cstheme="minorHAnsi"/>
                <w:sz w:val="20"/>
                <w:szCs w:val="20"/>
              </w:rPr>
              <w:t>Systemic light chain amyloidosis</w:t>
            </w:r>
          </w:p>
        </w:tc>
      </w:tr>
      <w:tr w:rsidR="00796A91" w:rsidRPr="00622E6C" w14:paraId="4EF23D09"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tcPr>
          <w:p w14:paraId="255E8611" w14:textId="77777777" w:rsidR="00796A91" w:rsidRPr="00622E6C" w:rsidRDefault="00796A91" w:rsidP="00796A91">
            <w:pPr>
              <w:jc w:val="center"/>
              <w:rPr>
                <w:rFonts w:ascii="Arial Narrow" w:hAnsi="Arial Narrow" w:cstheme="minorHAnsi"/>
                <w:color w:val="333333"/>
                <w:sz w:val="20"/>
                <w:szCs w:val="20"/>
              </w:rPr>
            </w:pPr>
          </w:p>
        </w:tc>
        <w:tc>
          <w:tcPr>
            <w:tcW w:w="8079" w:type="dxa"/>
            <w:gridSpan w:val="4"/>
            <w:vAlign w:val="center"/>
          </w:tcPr>
          <w:p w14:paraId="3649F96B" w14:textId="77777777" w:rsidR="00796A91" w:rsidRPr="00622E6C" w:rsidRDefault="00796A91" w:rsidP="00796A91">
            <w:pPr>
              <w:rPr>
                <w:rFonts w:ascii="Arial Narrow" w:hAnsi="Arial Narrow" w:cstheme="minorHAnsi"/>
                <w:b/>
                <w:bCs/>
                <w:color w:val="333333"/>
                <w:sz w:val="20"/>
                <w:szCs w:val="20"/>
              </w:rPr>
            </w:pPr>
          </w:p>
        </w:tc>
      </w:tr>
      <w:tr w:rsidR="00796A91" w:rsidRPr="00622E6C" w14:paraId="725199F8"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hideMark/>
          </w:tcPr>
          <w:p w14:paraId="3E1C60D4" w14:textId="77777777" w:rsidR="00796A91" w:rsidRPr="00622E6C" w:rsidRDefault="00796A91" w:rsidP="00796A91">
            <w:pPr>
              <w:jc w:val="center"/>
              <w:rPr>
                <w:rFonts w:ascii="Arial Narrow" w:hAnsi="Arial Narrow" w:cstheme="minorHAnsi"/>
                <w:color w:val="000000" w:themeColor="text1"/>
                <w:sz w:val="20"/>
                <w:szCs w:val="20"/>
              </w:rPr>
            </w:pPr>
          </w:p>
        </w:tc>
        <w:tc>
          <w:tcPr>
            <w:tcW w:w="8079" w:type="dxa"/>
            <w:gridSpan w:val="4"/>
            <w:vAlign w:val="center"/>
            <w:hideMark/>
          </w:tcPr>
          <w:p w14:paraId="61BB87B2" w14:textId="77777777" w:rsidR="00796A91" w:rsidRPr="00622E6C" w:rsidRDefault="00796A91" w:rsidP="00796A91">
            <w:pPr>
              <w:rPr>
                <w:rFonts w:ascii="Arial Narrow" w:eastAsia="Calibri" w:hAnsi="Arial Narrow" w:cstheme="minorHAnsi"/>
                <w:strike/>
                <w:sz w:val="20"/>
                <w:szCs w:val="20"/>
              </w:rPr>
            </w:pPr>
            <w:r w:rsidRPr="00622E6C">
              <w:rPr>
                <w:rFonts w:ascii="Arial Narrow" w:hAnsi="Arial Narrow" w:cstheme="minorHAnsi"/>
                <w:b/>
                <w:bCs/>
                <w:color w:val="000000" w:themeColor="text1"/>
                <w:sz w:val="20"/>
                <w:szCs w:val="20"/>
              </w:rPr>
              <w:t>Treatment Phase:</w:t>
            </w:r>
            <w:r w:rsidRPr="00622E6C">
              <w:rPr>
                <w:rFonts w:ascii="Arial Narrow" w:eastAsia="Calibri" w:hAnsi="Arial Narrow" w:cstheme="minorHAnsi"/>
                <w:sz w:val="20"/>
                <w:szCs w:val="20"/>
              </w:rPr>
              <w:t xml:space="preserve"> Administration on Days 1, 8, 15 and 22 of six 28-day (4-weeks) treatment cycles in total </w:t>
            </w:r>
          </w:p>
        </w:tc>
      </w:tr>
      <w:tr w:rsidR="00796A91" w:rsidRPr="00622E6C" w14:paraId="397721E7"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tcPr>
          <w:p w14:paraId="3F8CA4EC" w14:textId="77777777" w:rsidR="00796A91" w:rsidRPr="00622E6C" w:rsidRDefault="00796A91" w:rsidP="00796A91">
            <w:pPr>
              <w:jc w:val="center"/>
              <w:rPr>
                <w:rFonts w:ascii="Arial Narrow" w:hAnsi="Arial Narrow" w:cstheme="minorHAnsi"/>
                <w:color w:val="000000" w:themeColor="text1"/>
                <w:sz w:val="20"/>
                <w:szCs w:val="20"/>
              </w:rPr>
            </w:pPr>
          </w:p>
        </w:tc>
        <w:tc>
          <w:tcPr>
            <w:tcW w:w="8079" w:type="dxa"/>
            <w:gridSpan w:val="4"/>
            <w:vAlign w:val="center"/>
          </w:tcPr>
          <w:p w14:paraId="119FC5E2" w14:textId="77777777" w:rsidR="00796A91" w:rsidRPr="00622E6C" w:rsidRDefault="00796A91" w:rsidP="00796A91">
            <w:pPr>
              <w:rPr>
                <w:rFonts w:ascii="Arial Narrow" w:eastAsia="Calibri" w:hAnsi="Arial Narrow" w:cstheme="minorHAnsi"/>
                <w:b/>
                <w:bCs/>
                <w:sz w:val="20"/>
                <w:szCs w:val="20"/>
              </w:rPr>
            </w:pPr>
          </w:p>
        </w:tc>
      </w:tr>
      <w:tr w:rsidR="00796A91" w:rsidRPr="00622E6C" w14:paraId="5AD1B6AA"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tcPr>
          <w:p w14:paraId="2A5C7A9A" w14:textId="77777777" w:rsidR="00796A91" w:rsidRPr="00622E6C" w:rsidRDefault="00796A91" w:rsidP="00796A91">
            <w:pPr>
              <w:jc w:val="center"/>
              <w:rPr>
                <w:rFonts w:ascii="Arial Narrow" w:hAnsi="Arial Narrow" w:cstheme="minorHAnsi"/>
                <w:color w:val="000000" w:themeColor="text1"/>
                <w:sz w:val="20"/>
                <w:szCs w:val="20"/>
              </w:rPr>
            </w:pPr>
          </w:p>
        </w:tc>
        <w:tc>
          <w:tcPr>
            <w:tcW w:w="8079" w:type="dxa"/>
            <w:gridSpan w:val="4"/>
            <w:vAlign w:val="center"/>
          </w:tcPr>
          <w:p w14:paraId="38D83E10" w14:textId="77777777" w:rsidR="00796A91" w:rsidRPr="00622E6C" w:rsidRDefault="00796A91" w:rsidP="00796A91">
            <w:pPr>
              <w:rPr>
                <w:rFonts w:ascii="Arial Narrow" w:eastAsia="Calibri" w:hAnsi="Arial Narrow" w:cstheme="minorHAnsi"/>
                <w:b/>
                <w:bCs/>
                <w:sz w:val="20"/>
                <w:szCs w:val="20"/>
              </w:rPr>
            </w:pPr>
            <w:r w:rsidRPr="00622E6C">
              <w:rPr>
                <w:rFonts w:ascii="Arial Narrow" w:eastAsia="Calibri" w:hAnsi="Arial Narrow" w:cstheme="minorHAnsi"/>
                <w:b/>
                <w:bCs/>
                <w:sz w:val="20"/>
                <w:szCs w:val="20"/>
              </w:rPr>
              <w:t>Treatment criteria:</w:t>
            </w:r>
          </w:p>
        </w:tc>
      </w:tr>
      <w:tr w:rsidR="00796A91" w:rsidRPr="00622E6C" w14:paraId="27B6E74F"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tcPr>
          <w:p w14:paraId="3A598335" w14:textId="440F48E6" w:rsidR="00796A91" w:rsidRPr="00622E6C" w:rsidRDefault="00796A91" w:rsidP="00796A91">
            <w:pPr>
              <w:jc w:val="center"/>
              <w:rPr>
                <w:rFonts w:ascii="Arial Narrow" w:hAnsi="Arial Narrow" w:cstheme="minorHAnsi"/>
                <w:color w:val="000000" w:themeColor="text1"/>
                <w:sz w:val="20"/>
                <w:szCs w:val="20"/>
              </w:rPr>
            </w:pPr>
          </w:p>
        </w:tc>
        <w:tc>
          <w:tcPr>
            <w:tcW w:w="8079" w:type="dxa"/>
            <w:gridSpan w:val="4"/>
            <w:vAlign w:val="center"/>
          </w:tcPr>
          <w:p w14:paraId="170B4DDD" w14:textId="77777777" w:rsidR="00796A91" w:rsidRPr="00622E6C" w:rsidRDefault="00796A91" w:rsidP="00796A91">
            <w:pPr>
              <w:rPr>
                <w:rFonts w:ascii="Arial Narrow" w:eastAsia="Calibri" w:hAnsi="Arial Narrow" w:cstheme="minorHAnsi"/>
                <w:sz w:val="20"/>
                <w:szCs w:val="20"/>
              </w:rPr>
            </w:pPr>
            <w:r w:rsidRPr="00622E6C">
              <w:rPr>
                <w:rFonts w:ascii="Arial Narrow" w:eastAsia="Calibri" w:hAnsi="Arial Narrow" w:cstheme="minorHAnsi"/>
                <w:sz w:val="20"/>
                <w:szCs w:val="20"/>
              </w:rPr>
              <w:t>Patient must be undergoing concurrent treatment with PBS-subsidised daratumumab for this PBS-indication</w:t>
            </w:r>
          </w:p>
        </w:tc>
      </w:tr>
      <w:tr w:rsidR="00796A91" w:rsidRPr="00622E6C" w14:paraId="1673E6AA" w14:textId="77777777" w:rsidTr="00796A91">
        <w:tblPrEx>
          <w:tblCellMar>
            <w:top w:w="15" w:type="dxa"/>
            <w:left w:w="15" w:type="dxa"/>
            <w:bottom w:w="15" w:type="dxa"/>
            <w:right w:w="15" w:type="dxa"/>
          </w:tblCellMar>
          <w:tblLook w:val="04A0" w:firstRow="1" w:lastRow="0" w:firstColumn="1" w:lastColumn="0" w:noHBand="0" w:noVBand="1"/>
        </w:tblPrEx>
        <w:tc>
          <w:tcPr>
            <w:tcW w:w="988" w:type="dxa"/>
            <w:vAlign w:val="center"/>
          </w:tcPr>
          <w:p w14:paraId="2ED49B3D" w14:textId="77777777" w:rsidR="00796A91" w:rsidRPr="00622E6C" w:rsidRDefault="00796A91" w:rsidP="00796A91">
            <w:pPr>
              <w:jc w:val="center"/>
              <w:rPr>
                <w:rFonts w:ascii="Arial Narrow" w:hAnsi="Arial Narrow"/>
                <w:color w:val="000000" w:themeColor="text1"/>
                <w:sz w:val="20"/>
                <w:szCs w:val="20"/>
              </w:rPr>
            </w:pPr>
          </w:p>
        </w:tc>
        <w:tc>
          <w:tcPr>
            <w:tcW w:w="8079" w:type="dxa"/>
            <w:gridSpan w:val="4"/>
            <w:vAlign w:val="center"/>
          </w:tcPr>
          <w:p w14:paraId="2D544F53" w14:textId="77777777" w:rsidR="00796A91" w:rsidRPr="00622E6C" w:rsidRDefault="00796A91" w:rsidP="00796A91">
            <w:pPr>
              <w:rPr>
                <w:rFonts w:ascii="Arial Narrow" w:hAnsi="Arial Narrow"/>
                <w:b/>
                <w:bCs/>
                <w:color w:val="000000" w:themeColor="text1"/>
                <w:sz w:val="20"/>
                <w:szCs w:val="20"/>
              </w:rPr>
            </w:pPr>
          </w:p>
        </w:tc>
      </w:tr>
    </w:tbl>
    <w:p w14:paraId="7764D47B" w14:textId="77777777" w:rsidR="00796A91" w:rsidRPr="00622E6C" w:rsidRDefault="00796A91" w:rsidP="00796A91">
      <w:pPr>
        <w:pStyle w:val="3-BodyText"/>
        <w:spacing w:before="240"/>
      </w:pPr>
      <w:r w:rsidRPr="00622E6C">
        <w:t>Update daratumumab’s existing restrictions to limit access to lifetime as follows:</w:t>
      </w:r>
    </w:p>
    <w:tbl>
      <w:tblPr>
        <w:tblW w:w="4950" w:type="pct"/>
        <w:shd w:val="clear" w:color="auto" w:fill="FFFFFF"/>
        <w:tblCellMar>
          <w:left w:w="0" w:type="dxa"/>
          <w:right w:w="0" w:type="dxa"/>
        </w:tblCellMar>
        <w:tblLook w:val="04A0" w:firstRow="1" w:lastRow="0" w:firstColumn="1" w:lastColumn="0" w:noHBand="0" w:noVBand="1"/>
      </w:tblPr>
      <w:tblGrid>
        <w:gridCol w:w="8927"/>
      </w:tblGrid>
      <w:tr w:rsidR="00796A91" w:rsidRPr="00622E6C" w14:paraId="7A9C4035" w14:textId="77777777" w:rsidTr="00796A91">
        <w:trPr>
          <w:trHeight w:val="18"/>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240" w:type="dxa"/>
              <w:bottom w:w="0" w:type="dxa"/>
              <w:right w:w="240" w:type="dxa"/>
            </w:tcMar>
          </w:tcPr>
          <w:p w14:paraId="723872E2"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 xml:space="preserve">Add the new eligibility criterion to daratumumab </w:t>
            </w:r>
            <w:r w:rsidRPr="00622E6C">
              <w:rPr>
                <w:rFonts w:ascii="Arial Narrow" w:hAnsi="Arial Narrow"/>
                <w:b/>
                <w:bCs/>
                <w:sz w:val="20"/>
                <w:szCs w:val="20"/>
              </w:rPr>
              <w:t>initial</w:t>
            </w:r>
            <w:r w:rsidRPr="00622E6C">
              <w:rPr>
                <w:rFonts w:ascii="Arial Narrow" w:hAnsi="Arial Narrow"/>
                <w:sz w:val="20"/>
                <w:szCs w:val="20"/>
              </w:rPr>
              <w:t xml:space="preserve"> treatment restrictions with a multiple myeloma indication - RRMM</w:t>
            </w:r>
          </w:p>
        </w:tc>
      </w:tr>
      <w:tr w:rsidR="00796A91" w:rsidRPr="00622E6C" w14:paraId="6D3F70C8" w14:textId="77777777" w:rsidTr="00796A91">
        <w:trPr>
          <w:trHeight w:val="18"/>
        </w:trPr>
        <w:tc>
          <w:tcPr>
            <w:tcW w:w="5000"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tcPr>
          <w:p w14:paraId="5758380C" w14:textId="77777777" w:rsidR="00796A91" w:rsidRPr="00622E6C" w:rsidRDefault="00796A91" w:rsidP="00796A91">
            <w:pPr>
              <w:keepNext/>
              <w:ind w:left="-170" w:right="57"/>
              <w:rPr>
                <w:rFonts w:ascii="Arial Narrow" w:hAnsi="Arial Narrow"/>
                <w:sz w:val="20"/>
                <w:szCs w:val="20"/>
              </w:rPr>
            </w:pPr>
          </w:p>
          <w:p w14:paraId="6E6B1BDE"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EFC listings of the IV daratumumab vials:</w:t>
            </w:r>
          </w:p>
          <w:p w14:paraId="1E1908FD"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 xml:space="preserve">PBS item codes: 1220E, </w:t>
            </w:r>
            <w:hyperlink r:id="rId14" w:tooltip="12221f" w:history="1">
              <w:r w:rsidRPr="00622E6C">
                <w:rPr>
                  <w:rFonts w:ascii="Arial Narrow" w:hAnsi="Arial Narrow"/>
                  <w:sz w:val="20"/>
                  <w:szCs w:val="20"/>
                </w:rPr>
                <w:t>12221F</w:t>
              </w:r>
            </w:hyperlink>
            <w:r w:rsidRPr="00622E6C">
              <w:rPr>
                <w:rFonts w:ascii="Arial Narrow" w:hAnsi="Arial Narrow"/>
                <w:sz w:val="20"/>
                <w:szCs w:val="20"/>
              </w:rPr>
              <w:t xml:space="preserve">, </w:t>
            </w:r>
            <w:hyperlink r:id="rId15" w:tooltip="12225k" w:history="1">
              <w:r w:rsidRPr="00622E6C">
                <w:rPr>
                  <w:rFonts w:ascii="Arial Narrow" w:hAnsi="Arial Narrow"/>
                  <w:sz w:val="20"/>
                  <w:szCs w:val="20"/>
                </w:rPr>
                <w:t>12225K</w:t>
              </w:r>
            </w:hyperlink>
            <w:r w:rsidRPr="00622E6C">
              <w:rPr>
                <w:rFonts w:ascii="Arial Narrow" w:hAnsi="Arial Narrow"/>
                <w:sz w:val="20"/>
                <w:szCs w:val="20"/>
              </w:rPr>
              <w:t xml:space="preserve">, </w:t>
            </w:r>
            <w:hyperlink r:id="rId16" w:tooltip="12226l" w:history="1">
              <w:r w:rsidRPr="00622E6C">
                <w:rPr>
                  <w:rFonts w:ascii="Arial Narrow" w:hAnsi="Arial Narrow"/>
                  <w:sz w:val="20"/>
                  <w:szCs w:val="20"/>
                </w:rPr>
                <w:t>12226L</w:t>
              </w:r>
            </w:hyperlink>
            <w:r w:rsidRPr="00622E6C">
              <w:rPr>
                <w:rFonts w:ascii="Arial Narrow" w:hAnsi="Arial Narrow"/>
                <w:sz w:val="20"/>
                <w:szCs w:val="20"/>
              </w:rPr>
              <w:t xml:space="preserve">, </w:t>
            </w:r>
            <w:hyperlink r:id="rId17" w:tooltip="12228n" w:history="1">
              <w:r w:rsidRPr="00622E6C">
                <w:rPr>
                  <w:rFonts w:ascii="Arial Narrow" w:hAnsi="Arial Narrow"/>
                  <w:sz w:val="20"/>
                  <w:szCs w:val="20"/>
                </w:rPr>
                <w:t>12228N</w:t>
              </w:r>
            </w:hyperlink>
            <w:r w:rsidRPr="00622E6C">
              <w:rPr>
                <w:rFonts w:ascii="Arial Narrow" w:hAnsi="Arial Narrow"/>
                <w:sz w:val="20"/>
                <w:szCs w:val="20"/>
              </w:rPr>
              <w:t xml:space="preserve">, </w:t>
            </w:r>
            <w:hyperlink r:id="rId18" w:tooltip="12229p" w:history="1">
              <w:r w:rsidRPr="00622E6C">
                <w:rPr>
                  <w:rFonts w:ascii="Arial Narrow" w:hAnsi="Arial Narrow"/>
                  <w:sz w:val="20"/>
                  <w:szCs w:val="20"/>
                </w:rPr>
                <w:t>12229P</w:t>
              </w:r>
            </w:hyperlink>
            <w:r w:rsidRPr="00622E6C">
              <w:rPr>
                <w:rFonts w:ascii="Arial Narrow" w:hAnsi="Arial Narrow"/>
                <w:sz w:val="20"/>
                <w:szCs w:val="20"/>
              </w:rPr>
              <w:t xml:space="preserve">, </w:t>
            </w:r>
            <w:hyperlink r:id="rId19" w:tooltip="12230q" w:history="1">
              <w:r w:rsidRPr="00622E6C">
                <w:rPr>
                  <w:rFonts w:ascii="Arial Narrow" w:hAnsi="Arial Narrow"/>
                  <w:sz w:val="20"/>
                  <w:szCs w:val="20"/>
                </w:rPr>
                <w:t>12230Q</w:t>
              </w:r>
            </w:hyperlink>
            <w:r w:rsidRPr="00622E6C">
              <w:rPr>
                <w:rFonts w:ascii="Arial Narrow" w:hAnsi="Arial Narrow"/>
                <w:sz w:val="20"/>
                <w:szCs w:val="20"/>
              </w:rPr>
              <w:t xml:space="preserve">, </w:t>
            </w:r>
            <w:hyperlink r:id="rId20" w:tooltip="12231r" w:history="1">
              <w:r w:rsidRPr="00622E6C">
                <w:rPr>
                  <w:rFonts w:ascii="Arial Narrow" w:hAnsi="Arial Narrow"/>
                  <w:sz w:val="20"/>
                  <w:szCs w:val="20"/>
                </w:rPr>
                <w:t>12231R</w:t>
              </w:r>
            </w:hyperlink>
          </w:p>
          <w:p w14:paraId="417A96C5" w14:textId="77777777" w:rsidR="00796A91" w:rsidRPr="00622E6C" w:rsidRDefault="00796A91" w:rsidP="00796A91">
            <w:pPr>
              <w:keepNext/>
              <w:ind w:left="-170" w:right="57"/>
              <w:jc w:val="left"/>
              <w:rPr>
                <w:rFonts w:ascii="Arial Narrow" w:hAnsi="Arial Narrow"/>
                <w:sz w:val="20"/>
                <w:szCs w:val="20"/>
              </w:rPr>
            </w:pPr>
            <w:r w:rsidRPr="00622E6C">
              <w:rPr>
                <w:rFonts w:ascii="Arial Narrow" w:hAnsi="Arial Narrow"/>
                <w:sz w:val="20"/>
                <w:szCs w:val="20"/>
              </w:rPr>
              <w:t xml:space="preserve">• daratumumab 400 mg/20 mL injection, 20 mL vial, and </w:t>
            </w:r>
            <w:r w:rsidRPr="00622E6C">
              <w:rPr>
                <w:rFonts w:ascii="Arial Narrow" w:hAnsi="Arial Narrow"/>
                <w:sz w:val="20"/>
                <w:szCs w:val="20"/>
              </w:rPr>
              <w:br/>
              <w:t>• daratumumab 100 mg/5 mL injection, 5 mL vial</w:t>
            </w:r>
          </w:p>
          <w:p w14:paraId="16F6DAA3" w14:textId="77777777" w:rsidR="00796A91" w:rsidRPr="00622E6C" w:rsidRDefault="00796A91" w:rsidP="00796A91">
            <w:pPr>
              <w:keepNext/>
              <w:ind w:left="-170" w:right="57"/>
              <w:rPr>
                <w:rFonts w:ascii="Arial Narrow" w:hAnsi="Arial Narrow"/>
                <w:sz w:val="20"/>
                <w:szCs w:val="20"/>
              </w:rPr>
            </w:pPr>
          </w:p>
          <w:p w14:paraId="172E553E"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EFC listings of the SC daratumumab vials:</w:t>
            </w:r>
          </w:p>
          <w:p w14:paraId="6788DD93"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PBS item codes: 12673B, 12682L, 12746W</w:t>
            </w:r>
          </w:p>
          <w:p w14:paraId="08A93722" w14:textId="77777777" w:rsidR="00796A91" w:rsidRPr="00622E6C" w:rsidRDefault="00796A91" w:rsidP="00796A91">
            <w:pPr>
              <w:keepNext/>
              <w:ind w:left="-170" w:right="57"/>
              <w:jc w:val="left"/>
              <w:rPr>
                <w:rFonts w:ascii="Arial Narrow" w:hAnsi="Arial Narrow"/>
                <w:sz w:val="20"/>
                <w:szCs w:val="20"/>
              </w:rPr>
            </w:pPr>
            <w:r w:rsidRPr="00622E6C">
              <w:rPr>
                <w:rFonts w:ascii="Arial Narrow" w:hAnsi="Arial Narrow"/>
                <w:sz w:val="20"/>
                <w:szCs w:val="20"/>
              </w:rPr>
              <w:t xml:space="preserve">• daratumumab 1.8 g/15 mL injection, 15 mL vial </w:t>
            </w:r>
            <w:r w:rsidRPr="00622E6C">
              <w:rPr>
                <w:rFonts w:ascii="Arial Narrow" w:hAnsi="Arial Narrow"/>
                <w:sz w:val="20"/>
                <w:szCs w:val="20"/>
              </w:rPr>
              <w:br/>
            </w:r>
          </w:p>
          <w:p w14:paraId="5EB4C7F3"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General Schedule listings of the SC daratumumab vials:</w:t>
            </w:r>
          </w:p>
          <w:p w14:paraId="5867A2BF" w14:textId="77777777" w:rsidR="00796A91" w:rsidRPr="00622E6C" w:rsidRDefault="00796A91" w:rsidP="00796A91">
            <w:pPr>
              <w:keepNext/>
              <w:ind w:left="-170" w:right="57"/>
              <w:rPr>
                <w:rFonts w:ascii="Arial Narrow" w:hAnsi="Arial Narrow"/>
                <w:sz w:val="20"/>
                <w:szCs w:val="20"/>
              </w:rPr>
            </w:pPr>
            <w:r w:rsidRPr="00622E6C">
              <w:rPr>
                <w:rFonts w:ascii="Arial Narrow" w:hAnsi="Arial Narrow"/>
                <w:sz w:val="20"/>
                <w:szCs w:val="20"/>
              </w:rPr>
              <w:t>PBS item codes: 12683M, 12704P, 12725R, 12755H</w:t>
            </w:r>
          </w:p>
          <w:p w14:paraId="1ADB61B1" w14:textId="77777777" w:rsidR="00796A91" w:rsidRPr="00622E6C" w:rsidRDefault="00796A91" w:rsidP="00796A91">
            <w:pPr>
              <w:keepNext/>
              <w:ind w:left="-170" w:right="57"/>
              <w:jc w:val="left"/>
              <w:rPr>
                <w:rFonts w:ascii="Arial Narrow" w:hAnsi="Arial Narrow"/>
                <w:sz w:val="20"/>
                <w:szCs w:val="20"/>
              </w:rPr>
            </w:pPr>
            <w:r w:rsidRPr="00622E6C">
              <w:rPr>
                <w:rFonts w:ascii="Arial Narrow" w:hAnsi="Arial Narrow"/>
                <w:sz w:val="20"/>
                <w:szCs w:val="20"/>
              </w:rPr>
              <w:t xml:space="preserve">• daratumumab 1.8 g/15 mL injection, 15 mL vial </w:t>
            </w:r>
            <w:r w:rsidRPr="00622E6C">
              <w:rPr>
                <w:rFonts w:ascii="Arial Narrow" w:hAnsi="Arial Narrow"/>
                <w:sz w:val="20"/>
                <w:szCs w:val="20"/>
              </w:rPr>
              <w:br/>
            </w:r>
          </w:p>
        </w:tc>
      </w:tr>
    </w:tbl>
    <w:tbl>
      <w:tblPr>
        <w:tblStyle w:val="TableGridLight"/>
        <w:tblW w:w="8926"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938"/>
      </w:tblGrid>
      <w:tr w:rsidR="00796A91" w:rsidRPr="00622E6C" w14:paraId="3F67B502" w14:textId="77777777" w:rsidTr="00796A91">
        <w:tc>
          <w:tcPr>
            <w:tcW w:w="988" w:type="dxa"/>
            <w:vAlign w:val="center"/>
          </w:tcPr>
          <w:p w14:paraId="35D68C50" w14:textId="77777777" w:rsidR="00796A91" w:rsidRPr="00622E6C" w:rsidRDefault="00796A91" w:rsidP="00796A91">
            <w:pPr>
              <w:ind w:left="720" w:hanging="720"/>
              <w:jc w:val="center"/>
              <w:rPr>
                <w:rFonts w:ascii="Arial Narrow" w:hAnsi="Arial Narrow"/>
                <w:sz w:val="20"/>
                <w:szCs w:val="20"/>
              </w:rPr>
            </w:pPr>
            <w:r w:rsidRPr="00622E6C">
              <w:rPr>
                <w:rFonts w:ascii="Arial Narrow" w:hAnsi="Arial Narrow"/>
                <w:sz w:val="20"/>
                <w:szCs w:val="20"/>
              </w:rPr>
              <w:t>Insert</w:t>
            </w:r>
          </w:p>
        </w:tc>
        <w:tc>
          <w:tcPr>
            <w:tcW w:w="7938" w:type="dxa"/>
            <w:vAlign w:val="center"/>
          </w:tcPr>
          <w:p w14:paraId="02D1A305" w14:textId="77777777" w:rsidR="00796A91" w:rsidRPr="00622E6C" w:rsidRDefault="00796A91" w:rsidP="00796A91">
            <w:pPr>
              <w:ind w:left="-57"/>
              <w:rPr>
                <w:rFonts w:ascii="Arial Narrow" w:hAnsi="Arial Narrow"/>
                <w:i/>
                <w:iCs/>
                <w:sz w:val="18"/>
                <w:szCs w:val="18"/>
              </w:rPr>
            </w:pPr>
            <w:r w:rsidRPr="00622E6C">
              <w:rPr>
                <w:rFonts w:ascii="Arial Narrow" w:hAnsi="Arial Narrow"/>
                <w:b/>
                <w:bCs/>
                <w:i/>
                <w:iCs/>
                <w:sz w:val="20"/>
                <w:szCs w:val="20"/>
              </w:rPr>
              <w:t xml:space="preserve"> </w:t>
            </w:r>
            <w:r w:rsidRPr="00622E6C">
              <w:rPr>
                <w:rFonts w:ascii="Arial Narrow" w:hAnsi="Arial Narrow"/>
                <w:b/>
                <w:bCs/>
                <w:sz w:val="20"/>
                <w:szCs w:val="20"/>
              </w:rPr>
              <w:t>Clinical criteria:</w:t>
            </w:r>
          </w:p>
        </w:tc>
      </w:tr>
    </w:tbl>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940"/>
      </w:tblGrid>
      <w:tr w:rsidR="00796A91" w:rsidRPr="00622E6C" w14:paraId="4B226C5B" w14:textId="77777777" w:rsidTr="00796A91">
        <w:tc>
          <w:tcPr>
            <w:tcW w:w="5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97DE6E" w14:textId="196C6DEF" w:rsidR="00796A91" w:rsidRPr="00622E6C" w:rsidRDefault="00796A91" w:rsidP="00796A91">
            <w:pPr>
              <w:jc w:val="center"/>
              <w:rPr>
                <w:rFonts w:ascii="Arial Narrow" w:hAnsi="Arial Narrow"/>
                <w:color w:val="000000" w:themeColor="text1"/>
                <w:sz w:val="20"/>
                <w:szCs w:val="20"/>
              </w:rPr>
            </w:pPr>
          </w:p>
        </w:tc>
        <w:tc>
          <w:tcPr>
            <w:tcW w:w="44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3CDE21" w14:textId="77777777" w:rsidR="00796A91" w:rsidRPr="00622E6C" w:rsidRDefault="00796A91" w:rsidP="00796A91">
            <w:pPr>
              <w:jc w:val="left"/>
              <w:rPr>
                <w:rFonts w:ascii="Arial Narrow" w:eastAsia="Calibri" w:hAnsi="Arial Narrow"/>
                <w:i/>
                <w:iCs/>
                <w:sz w:val="20"/>
                <w:szCs w:val="20"/>
              </w:rPr>
            </w:pPr>
            <w:r w:rsidRPr="00622E6C">
              <w:rPr>
                <w:rFonts w:ascii="Arial Narrow" w:eastAsia="Calibri" w:hAnsi="Arial Narrow"/>
                <w:sz w:val="20"/>
                <w:szCs w:val="20"/>
              </w:rPr>
              <w:t>Patient must be untreated with this drug, irrespective of whether the diagnosis has been re-classified (e.g. multiple myeloma/amyloidosis)</w:t>
            </w:r>
          </w:p>
        </w:tc>
      </w:tr>
    </w:tbl>
    <w:p w14:paraId="02A3CD22" w14:textId="77777777" w:rsidR="00796A91" w:rsidRPr="00622E6C" w:rsidRDefault="00796A91" w:rsidP="00796A91">
      <w:pPr>
        <w:jc w:val="left"/>
      </w:pPr>
    </w:p>
    <w:p w14:paraId="6A22273E" w14:textId="5B07B5D6" w:rsidR="00796A91" w:rsidRDefault="00796A91">
      <w:pPr>
        <w:jc w:val="left"/>
        <w:rPr>
          <w:rFonts w:asciiTheme="minorHAnsi" w:eastAsiaTheme="majorEastAsia" w:hAnsiTheme="minorHAnsi" w:cstheme="majorBidi"/>
          <w:b/>
          <w:iCs/>
          <w:spacing w:val="5"/>
          <w:kern w:val="28"/>
          <w:sz w:val="28"/>
          <w:szCs w:val="36"/>
        </w:rPr>
      </w:pPr>
      <w:r w:rsidRPr="00622E6C">
        <w:rPr>
          <w:rFonts w:asciiTheme="minorHAnsi" w:hAnsiTheme="minorHAnsi"/>
          <w:b/>
          <w:i/>
        </w:rPr>
        <w:t xml:space="preserve">This restriction may be subject to further review. Should there be any changes made to the restriction the </w:t>
      </w:r>
      <w:r>
        <w:rPr>
          <w:rFonts w:asciiTheme="minorHAnsi" w:hAnsiTheme="minorHAnsi"/>
          <w:b/>
          <w:i/>
        </w:rPr>
        <w:t>s</w:t>
      </w:r>
      <w:r w:rsidRPr="00622E6C">
        <w:rPr>
          <w:rFonts w:asciiTheme="minorHAnsi" w:hAnsiTheme="minorHAnsi"/>
          <w:b/>
          <w:i/>
        </w:rPr>
        <w:t>ponsor will be informed.</w:t>
      </w:r>
    </w:p>
    <w:p w14:paraId="19DB6B36" w14:textId="425371FD" w:rsidR="007F758C" w:rsidRDefault="007F758C" w:rsidP="007F758C">
      <w:pPr>
        <w:pStyle w:val="2-SectionHeading"/>
        <w:rPr>
          <w:bCs/>
          <w:lang w:val="en-GB"/>
        </w:rPr>
      </w:pPr>
      <w:r w:rsidRPr="00C07617">
        <w:t>Context for Decision</w:t>
      </w:r>
    </w:p>
    <w:p w14:paraId="11ACA3A7" w14:textId="77777777" w:rsidR="007F758C" w:rsidRPr="007129F2" w:rsidRDefault="007F758C" w:rsidP="00AE4FB8">
      <w:pPr>
        <w:pStyle w:val="3-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70EF784" w14:textId="7CE9F026" w:rsidR="007F758C" w:rsidRPr="00C07617" w:rsidRDefault="007F758C" w:rsidP="007F758C">
      <w:pPr>
        <w:pStyle w:val="2-SectionHeading"/>
      </w:pPr>
      <w:r>
        <w:t>Sponsor’s Comment</w:t>
      </w:r>
    </w:p>
    <w:p w14:paraId="49945CA1" w14:textId="77777777" w:rsidR="007F758C" w:rsidRPr="001179AC" w:rsidRDefault="007F758C" w:rsidP="00AE4FB8">
      <w:pPr>
        <w:pStyle w:val="3-BodyText"/>
        <w:numPr>
          <w:ilvl w:val="0"/>
          <w:numId w:val="0"/>
        </w:numPr>
        <w:ind w:left="720"/>
      </w:pPr>
      <w:r w:rsidRPr="00C07617">
        <w:t>The sponsor had no comment.</w:t>
      </w:r>
    </w:p>
    <w:p w14:paraId="1591EA6F" w14:textId="77777777" w:rsidR="007F758C" w:rsidRDefault="007F758C">
      <w:pPr>
        <w:jc w:val="left"/>
        <w:rPr>
          <w:rFonts w:asciiTheme="minorHAnsi" w:eastAsiaTheme="majorEastAsia" w:hAnsiTheme="minorHAnsi" w:cstheme="majorBidi"/>
          <w:b/>
          <w:iCs/>
          <w:spacing w:val="5"/>
          <w:kern w:val="28"/>
          <w:sz w:val="28"/>
          <w:szCs w:val="36"/>
        </w:rPr>
      </w:pPr>
    </w:p>
    <w:sectPr w:rsidR="007F758C" w:rsidSect="003A15F8">
      <w:headerReference w:type="even" r:id="rId21"/>
      <w:headerReference w:type="default" r:id="rId22"/>
      <w:footerReference w:type="even" r:id="rId23"/>
      <w:footerReference w:type="default" r:id="rId24"/>
      <w:headerReference w:type="first" r:id="rId25"/>
      <w:footerReference w:type="first" r:id="rId2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78A2" w14:textId="77777777" w:rsidR="00BE3AB8" w:rsidRDefault="00BE3AB8" w:rsidP="00124A51">
      <w:r>
        <w:separator/>
      </w:r>
    </w:p>
    <w:p w14:paraId="483EBD56" w14:textId="77777777" w:rsidR="00BE3AB8" w:rsidRDefault="00BE3AB8"/>
  </w:endnote>
  <w:endnote w:type="continuationSeparator" w:id="0">
    <w:p w14:paraId="538AE211" w14:textId="77777777" w:rsidR="00BE3AB8" w:rsidRDefault="00BE3AB8" w:rsidP="00124A51">
      <w:r>
        <w:continuationSeparator/>
      </w:r>
    </w:p>
    <w:p w14:paraId="120F8BA2" w14:textId="77777777" w:rsidR="00BE3AB8" w:rsidRDefault="00BE3AB8"/>
  </w:endnote>
  <w:endnote w:type="continuationNotice" w:id="1">
    <w:p w14:paraId="51212111" w14:textId="77777777" w:rsidR="00BE3AB8" w:rsidRDefault="00BE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5E05F" w14:textId="77777777" w:rsidR="008976CC" w:rsidRDefault="00897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219553"/>
      <w:docPartObj>
        <w:docPartGallery w:val="Page Numbers (Bottom of Page)"/>
        <w:docPartUnique/>
      </w:docPartObj>
    </w:sdtPr>
    <w:sdtEndPr>
      <w:rPr>
        <w:b/>
        <w:bCs/>
        <w:noProof/>
      </w:rPr>
    </w:sdtEndPr>
    <w:sdtContent>
      <w:p w14:paraId="0B7193E0" w14:textId="77777777" w:rsidR="00BE3AB8" w:rsidRDefault="00BE3AB8">
        <w:pPr>
          <w:pStyle w:val="Footer"/>
          <w:jc w:val="center"/>
        </w:pPr>
      </w:p>
      <w:p w14:paraId="1F42A782" w14:textId="1C7D037B" w:rsidR="00BE3AB8" w:rsidRPr="006F2DBA" w:rsidRDefault="00BE3AB8">
        <w:pPr>
          <w:pStyle w:val="Footer"/>
          <w:jc w:val="center"/>
          <w:rPr>
            <w:b/>
            <w:bCs/>
          </w:rPr>
        </w:pPr>
        <w:r w:rsidRPr="006F2DBA">
          <w:rPr>
            <w:b/>
            <w:bCs/>
          </w:rPr>
          <w:fldChar w:fldCharType="begin"/>
        </w:r>
        <w:r w:rsidRPr="006F2DBA">
          <w:rPr>
            <w:b/>
            <w:bCs/>
          </w:rPr>
          <w:instrText xml:space="preserve"> PAGE   \* MERGEFORMAT </w:instrText>
        </w:r>
        <w:r w:rsidRPr="006F2DBA">
          <w:rPr>
            <w:b/>
            <w:bCs/>
          </w:rPr>
          <w:fldChar w:fldCharType="separate"/>
        </w:r>
        <w:r>
          <w:rPr>
            <w:b/>
            <w:bCs/>
            <w:noProof/>
          </w:rPr>
          <w:t>31</w:t>
        </w:r>
        <w:r w:rsidRPr="006F2DBA">
          <w:rPr>
            <w:b/>
            <w:bCs/>
            <w:noProof/>
          </w:rPr>
          <w:fldChar w:fldCharType="end"/>
        </w:r>
      </w:p>
    </w:sdtContent>
  </w:sdt>
  <w:p w14:paraId="5B20E35E" w14:textId="77777777" w:rsidR="00BE3AB8" w:rsidRDefault="00BE3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762F" w14:textId="77777777" w:rsidR="008976CC" w:rsidRDefault="0089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A4761" w14:textId="77777777" w:rsidR="00BE3AB8" w:rsidRDefault="00BE3AB8" w:rsidP="00124A51">
      <w:r>
        <w:separator/>
      </w:r>
    </w:p>
    <w:p w14:paraId="05612D42" w14:textId="77777777" w:rsidR="00BE3AB8" w:rsidRDefault="00BE3AB8"/>
  </w:footnote>
  <w:footnote w:type="continuationSeparator" w:id="0">
    <w:p w14:paraId="560BF1C7" w14:textId="77777777" w:rsidR="00BE3AB8" w:rsidRDefault="00BE3AB8" w:rsidP="00124A51">
      <w:r>
        <w:continuationSeparator/>
      </w:r>
    </w:p>
    <w:p w14:paraId="23474FEA" w14:textId="77777777" w:rsidR="00BE3AB8" w:rsidRDefault="00BE3AB8"/>
  </w:footnote>
  <w:footnote w:type="continuationNotice" w:id="1">
    <w:p w14:paraId="5BEA4154" w14:textId="77777777" w:rsidR="00BE3AB8" w:rsidRDefault="00BE3AB8"/>
  </w:footnote>
  <w:footnote w:id="2">
    <w:p w14:paraId="77B6B840" w14:textId="77777777" w:rsidR="00BE3AB8" w:rsidRPr="0009605D" w:rsidRDefault="00BE3AB8">
      <w:pPr>
        <w:pStyle w:val="FootnoteText"/>
        <w:rPr>
          <w:rFonts w:asciiTheme="minorHAnsi" w:hAnsiTheme="minorHAnsi" w:cstheme="minorHAnsi"/>
        </w:rPr>
      </w:pPr>
      <w:r w:rsidRPr="0009605D">
        <w:rPr>
          <w:rFonts w:asciiTheme="minorHAnsi" w:eastAsiaTheme="majorEastAsia" w:hAnsiTheme="minorHAnsi" w:cstheme="minorHAnsi"/>
          <w:bCs/>
          <w:szCs w:val="24"/>
          <w:vertAlign w:val="superscript"/>
        </w:rPr>
        <w:footnoteRef/>
      </w:r>
      <w:r w:rsidRPr="0009605D">
        <w:rPr>
          <w:rFonts w:asciiTheme="minorHAnsi" w:eastAsiaTheme="majorEastAsia" w:hAnsiTheme="minorHAnsi" w:cstheme="minorHAnsi"/>
          <w:bCs/>
          <w:szCs w:val="24"/>
        </w:rPr>
        <w:t xml:space="preserve"> MOD-PFS is a composite endpoint for death, the clinical manifestation of end-stage cardiac failure, the clinical manifestation of end-stage renal failure and/or development of hematologic disease progression.</w:t>
      </w:r>
    </w:p>
  </w:footnote>
  <w:footnote w:id="3">
    <w:p w14:paraId="37C7718D" w14:textId="77777777" w:rsidR="00BE3AB8" w:rsidRPr="0009605D" w:rsidRDefault="00BE3AB8" w:rsidP="001F275B">
      <w:pPr>
        <w:pStyle w:val="TableText0"/>
        <w:jc w:val="both"/>
        <w:rPr>
          <w:rFonts w:asciiTheme="minorHAnsi" w:hAnsiTheme="minorHAnsi" w:cstheme="minorHAnsi"/>
        </w:rPr>
      </w:pPr>
      <w:r w:rsidRPr="0009605D">
        <w:rPr>
          <w:rStyle w:val="FootnoteReference"/>
          <w:rFonts w:asciiTheme="minorHAnsi" w:hAnsiTheme="minorHAnsi" w:cstheme="minorHAnsi"/>
        </w:rPr>
        <w:footnoteRef/>
      </w:r>
      <w:r w:rsidRPr="0009605D">
        <w:rPr>
          <w:rFonts w:asciiTheme="minorHAnsi" w:hAnsiTheme="minorHAnsi" w:cstheme="minorHAnsi"/>
        </w:rPr>
        <w:t xml:space="preserve"> Non-cross resistant anti-plasma cell therapy was defined as high dose melphalan and ASCT, melphalan plus dexamethasone, or any new combination regimen that included at least 1 new component other than 1 of the assigned study drugs received (ie, bortezomib plus lenalidomide for both treatment arms and daratumumab for the CyBorD arm).</w:t>
      </w:r>
    </w:p>
  </w:footnote>
  <w:footnote w:id="4">
    <w:p w14:paraId="795C0343" w14:textId="77777777" w:rsidR="00BE3AB8" w:rsidRDefault="00BE3AB8">
      <w:pPr>
        <w:pStyle w:val="FootnoteText"/>
      </w:pPr>
      <w:r>
        <w:rPr>
          <w:rStyle w:val="FootnoteReference"/>
        </w:rPr>
        <w:footnoteRef/>
      </w:r>
      <w:r>
        <w:t xml:space="preserve"> </w:t>
      </w:r>
      <w:r w:rsidRPr="00F82D29">
        <w:rPr>
          <w:rFonts w:asciiTheme="minorHAnsi" w:hAnsiTheme="minorHAnsi"/>
          <w:bCs/>
        </w:rPr>
        <w:t>Quock TP, Yan T, Chang E, Guthrie S, Broder MS. Healthcare resource utilization and costs in amyloid light-chain amyloidosis: a real-world study using US claims data. J Comp Eff Res. 2018 Jun;7(6):549-559.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5190B" w14:textId="77777777" w:rsidR="008976CC" w:rsidRDefault="00897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3E052" w14:textId="46138E53" w:rsidR="00BE3AB8" w:rsidRDefault="00BE3AB8">
    <w:pPr>
      <w:pStyle w:val="Header"/>
      <w:rPr>
        <w:i/>
        <w:iCs/>
      </w:rPr>
    </w:pPr>
    <w:r>
      <w:rPr>
        <w:i/>
        <w:iCs/>
      </w:rPr>
      <w:t xml:space="preserve">Public Summary Document </w:t>
    </w:r>
    <w:r w:rsidRPr="006F2DBA">
      <w:rPr>
        <w:i/>
        <w:iCs/>
      </w:rPr>
      <w:t>– November 2021 PBAC Meeting</w:t>
    </w:r>
    <w:r>
      <w:rPr>
        <w:i/>
        <w:iCs/>
      </w:rPr>
      <w:t xml:space="preserve"> with May 2022 Addendum</w:t>
    </w:r>
  </w:p>
  <w:p w14:paraId="12C17C10" w14:textId="77777777" w:rsidR="00BE3AB8" w:rsidRPr="006F2DBA" w:rsidRDefault="00BE3AB8">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CA5" w14:textId="77777777" w:rsidR="008976CC" w:rsidRDefault="0089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A2A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375FB"/>
    <w:multiLevelType w:val="hybridMultilevel"/>
    <w:tmpl w:val="DD2CA0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701C0F"/>
    <w:multiLevelType w:val="hybridMultilevel"/>
    <w:tmpl w:val="5ADC2712"/>
    <w:lvl w:ilvl="0" w:tplc="24A66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DD0B3E"/>
    <w:multiLevelType w:val="hybridMultilevel"/>
    <w:tmpl w:val="D83618FE"/>
    <w:lvl w:ilvl="0" w:tplc="C95A24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B7F0A"/>
    <w:multiLevelType w:val="multilevel"/>
    <w:tmpl w:val="EB42D0E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92149"/>
    <w:multiLevelType w:val="hybridMultilevel"/>
    <w:tmpl w:val="63A2D0C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22D160FE"/>
    <w:multiLevelType w:val="hybridMultilevel"/>
    <w:tmpl w:val="99D88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A1B52"/>
    <w:multiLevelType w:val="hybridMultilevel"/>
    <w:tmpl w:val="9FC249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B265E8D"/>
    <w:multiLevelType w:val="hybridMultilevel"/>
    <w:tmpl w:val="1E52A84A"/>
    <w:lvl w:ilvl="0" w:tplc="A92C8B2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94676"/>
    <w:multiLevelType w:val="hybridMultilevel"/>
    <w:tmpl w:val="895AD2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B6ECC"/>
    <w:multiLevelType w:val="hybridMultilevel"/>
    <w:tmpl w:val="433EFFD0"/>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1813"/>
    <w:multiLevelType w:val="hybridMultilevel"/>
    <w:tmpl w:val="6E3089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9F16D49"/>
    <w:multiLevelType w:val="hybridMultilevel"/>
    <w:tmpl w:val="9E2EE8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A26763"/>
    <w:multiLevelType w:val="hybridMultilevel"/>
    <w:tmpl w:val="A6FA4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03F6C"/>
    <w:multiLevelType w:val="multilevel"/>
    <w:tmpl w:val="F38863BC"/>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AC310F"/>
    <w:multiLevelType w:val="multilevel"/>
    <w:tmpl w:val="0388C5A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1666C6"/>
    <w:multiLevelType w:val="hybridMultilevel"/>
    <w:tmpl w:val="299A672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672537A2"/>
    <w:multiLevelType w:val="hybridMultilevel"/>
    <w:tmpl w:val="EF8EA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DD1281"/>
    <w:multiLevelType w:val="hybridMultilevel"/>
    <w:tmpl w:val="27EC03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4922C5"/>
    <w:multiLevelType w:val="hybridMultilevel"/>
    <w:tmpl w:val="3B0EDC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C94A2B"/>
    <w:multiLevelType w:val="hybridMultilevel"/>
    <w:tmpl w:val="416AD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2"/>
  </w:num>
  <w:num w:numId="3">
    <w:abstractNumId w:val="0"/>
  </w:num>
  <w:num w:numId="4">
    <w:abstractNumId w:val="6"/>
  </w:num>
  <w:num w:numId="5">
    <w:abstractNumId w:val="15"/>
  </w:num>
  <w:num w:numId="6">
    <w:abstractNumId w:val="8"/>
  </w:num>
  <w:num w:numId="7">
    <w:abstractNumId w:val="3"/>
  </w:num>
  <w:num w:numId="8">
    <w:abstractNumId w:val="18"/>
  </w:num>
  <w:num w:numId="9">
    <w:abstractNumId w:val="17"/>
  </w:num>
  <w:num w:numId="10">
    <w:abstractNumId w:val="5"/>
  </w:num>
  <w:num w:numId="11">
    <w:abstractNumId w:val="19"/>
  </w:num>
  <w:num w:numId="12">
    <w:abstractNumId w:val="4"/>
  </w:num>
  <w:num w:numId="13">
    <w:abstractNumId w:val="16"/>
  </w:num>
  <w:num w:numId="14">
    <w:abstractNumId w:val="10"/>
  </w:num>
  <w:num w:numId="15">
    <w:abstractNumId w:val="9"/>
  </w:num>
  <w:num w:numId="16">
    <w:abstractNumId w:val="14"/>
  </w:num>
  <w:num w:numId="17">
    <w:abstractNumId w:val="21"/>
  </w:num>
  <w:num w:numId="18">
    <w:abstractNumId w:val="1"/>
  </w:num>
  <w:num w:numId="19">
    <w:abstractNumId w:val="20"/>
  </w:num>
  <w:num w:numId="20">
    <w:abstractNumId w:val="22"/>
  </w:num>
  <w:num w:numId="21">
    <w:abstractNumId w:val="2"/>
  </w:num>
  <w:num w:numId="22">
    <w:abstractNumId w:val="7"/>
  </w:num>
  <w:num w:numId="23">
    <w:abstractNumId w:val="13"/>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kwNKoFAF1MHs8tAAAA"/>
    <w:docVar w:name="EN.Layout" w:val="&lt;ENLayout&gt;&lt;Style&gt;Harvar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5e0x55xp0srcextw4pdzsbrawdw2r2ze2r&quot;&gt;Daratumumab&lt;record-ids&gt;&lt;item&gt;4&lt;/item&gt;&lt;item&gt;85&lt;/item&gt;&lt;item&gt;141&lt;/item&gt;&lt;item&gt;142&lt;/item&gt;&lt;item&gt;143&lt;/item&gt;&lt;item&gt;144&lt;/item&gt;&lt;/record-ids&gt;&lt;/item&gt;&lt;/Libraries&gt;"/>
  </w:docVars>
  <w:rsids>
    <w:rsidRoot w:val="00E65E79"/>
    <w:rsid w:val="00000790"/>
    <w:rsid w:val="00000B50"/>
    <w:rsid w:val="0000110B"/>
    <w:rsid w:val="000015D6"/>
    <w:rsid w:val="00002AC1"/>
    <w:rsid w:val="00003074"/>
    <w:rsid w:val="00003499"/>
    <w:rsid w:val="000039B7"/>
    <w:rsid w:val="0000415D"/>
    <w:rsid w:val="00004D56"/>
    <w:rsid w:val="00004FBA"/>
    <w:rsid w:val="000053D8"/>
    <w:rsid w:val="00005E9B"/>
    <w:rsid w:val="0000639A"/>
    <w:rsid w:val="000069CC"/>
    <w:rsid w:val="00007426"/>
    <w:rsid w:val="00011443"/>
    <w:rsid w:val="0001255D"/>
    <w:rsid w:val="00012C47"/>
    <w:rsid w:val="00013247"/>
    <w:rsid w:val="0001347B"/>
    <w:rsid w:val="000140EA"/>
    <w:rsid w:val="000140FC"/>
    <w:rsid w:val="00014A40"/>
    <w:rsid w:val="00015280"/>
    <w:rsid w:val="00015886"/>
    <w:rsid w:val="000162EF"/>
    <w:rsid w:val="00016665"/>
    <w:rsid w:val="000203F1"/>
    <w:rsid w:val="000207C9"/>
    <w:rsid w:val="00020C25"/>
    <w:rsid w:val="0002225F"/>
    <w:rsid w:val="00022DC7"/>
    <w:rsid w:val="00023763"/>
    <w:rsid w:val="00023AE3"/>
    <w:rsid w:val="00024DAD"/>
    <w:rsid w:val="000254D1"/>
    <w:rsid w:val="0002698B"/>
    <w:rsid w:val="00026C41"/>
    <w:rsid w:val="000274B8"/>
    <w:rsid w:val="0003077C"/>
    <w:rsid w:val="000309D1"/>
    <w:rsid w:val="00031A3E"/>
    <w:rsid w:val="00032096"/>
    <w:rsid w:val="000320FD"/>
    <w:rsid w:val="000332F4"/>
    <w:rsid w:val="00033863"/>
    <w:rsid w:val="00034CB1"/>
    <w:rsid w:val="00035621"/>
    <w:rsid w:val="00035DC0"/>
    <w:rsid w:val="00036829"/>
    <w:rsid w:val="00036B13"/>
    <w:rsid w:val="000407F8"/>
    <w:rsid w:val="00040895"/>
    <w:rsid w:val="0004319F"/>
    <w:rsid w:val="000435EE"/>
    <w:rsid w:val="00043C37"/>
    <w:rsid w:val="00043EB2"/>
    <w:rsid w:val="00044C55"/>
    <w:rsid w:val="00045017"/>
    <w:rsid w:val="00045A2B"/>
    <w:rsid w:val="000461BE"/>
    <w:rsid w:val="0004698F"/>
    <w:rsid w:val="00046EAC"/>
    <w:rsid w:val="000508C5"/>
    <w:rsid w:val="00050DF5"/>
    <w:rsid w:val="000521B1"/>
    <w:rsid w:val="00053280"/>
    <w:rsid w:val="000539D0"/>
    <w:rsid w:val="00054621"/>
    <w:rsid w:val="000546D7"/>
    <w:rsid w:val="00054999"/>
    <w:rsid w:val="000555B8"/>
    <w:rsid w:val="00055E10"/>
    <w:rsid w:val="00055E59"/>
    <w:rsid w:val="00055FD5"/>
    <w:rsid w:val="00056ECF"/>
    <w:rsid w:val="00057E69"/>
    <w:rsid w:val="000604DF"/>
    <w:rsid w:val="00061305"/>
    <w:rsid w:val="00062E71"/>
    <w:rsid w:val="0006468D"/>
    <w:rsid w:val="00064C53"/>
    <w:rsid w:val="000650A8"/>
    <w:rsid w:val="0006519D"/>
    <w:rsid w:val="000653B5"/>
    <w:rsid w:val="0006598D"/>
    <w:rsid w:val="00066360"/>
    <w:rsid w:val="00066AF8"/>
    <w:rsid w:val="00067287"/>
    <w:rsid w:val="000674D9"/>
    <w:rsid w:val="00067FC7"/>
    <w:rsid w:val="00070A9C"/>
    <w:rsid w:val="00070AB5"/>
    <w:rsid w:val="00070CAA"/>
    <w:rsid w:val="00071248"/>
    <w:rsid w:val="00071D7D"/>
    <w:rsid w:val="000720B9"/>
    <w:rsid w:val="000737F7"/>
    <w:rsid w:val="0007497E"/>
    <w:rsid w:val="00075643"/>
    <w:rsid w:val="00075A44"/>
    <w:rsid w:val="00076088"/>
    <w:rsid w:val="00076648"/>
    <w:rsid w:val="0007672F"/>
    <w:rsid w:val="00076B54"/>
    <w:rsid w:val="000774F0"/>
    <w:rsid w:val="00077B3E"/>
    <w:rsid w:val="00077FC2"/>
    <w:rsid w:val="00080909"/>
    <w:rsid w:val="00081121"/>
    <w:rsid w:val="000812CA"/>
    <w:rsid w:val="00081E63"/>
    <w:rsid w:val="00082022"/>
    <w:rsid w:val="00082326"/>
    <w:rsid w:val="0008258D"/>
    <w:rsid w:val="00082E6B"/>
    <w:rsid w:val="00083E99"/>
    <w:rsid w:val="0008448C"/>
    <w:rsid w:val="000848D9"/>
    <w:rsid w:val="00084FA8"/>
    <w:rsid w:val="00085408"/>
    <w:rsid w:val="00085640"/>
    <w:rsid w:val="000856C5"/>
    <w:rsid w:val="00085C31"/>
    <w:rsid w:val="000867FD"/>
    <w:rsid w:val="00086CA2"/>
    <w:rsid w:val="00087013"/>
    <w:rsid w:val="000873EC"/>
    <w:rsid w:val="000876F0"/>
    <w:rsid w:val="000902D9"/>
    <w:rsid w:val="00090305"/>
    <w:rsid w:val="000903CA"/>
    <w:rsid w:val="00090BEA"/>
    <w:rsid w:val="00090C7E"/>
    <w:rsid w:val="000910F7"/>
    <w:rsid w:val="0009125F"/>
    <w:rsid w:val="000922D0"/>
    <w:rsid w:val="00092600"/>
    <w:rsid w:val="0009262B"/>
    <w:rsid w:val="00093310"/>
    <w:rsid w:val="00093A9D"/>
    <w:rsid w:val="00093E00"/>
    <w:rsid w:val="0009445C"/>
    <w:rsid w:val="00095200"/>
    <w:rsid w:val="00095762"/>
    <w:rsid w:val="00095788"/>
    <w:rsid w:val="000959A3"/>
    <w:rsid w:val="00095FE5"/>
    <w:rsid w:val="0009605D"/>
    <w:rsid w:val="00096284"/>
    <w:rsid w:val="00096372"/>
    <w:rsid w:val="000967F5"/>
    <w:rsid w:val="000969F9"/>
    <w:rsid w:val="00096D3D"/>
    <w:rsid w:val="000A033C"/>
    <w:rsid w:val="000A03F7"/>
    <w:rsid w:val="000A060B"/>
    <w:rsid w:val="000A1A8E"/>
    <w:rsid w:val="000A1BC0"/>
    <w:rsid w:val="000A214E"/>
    <w:rsid w:val="000A2249"/>
    <w:rsid w:val="000A2755"/>
    <w:rsid w:val="000A3FB8"/>
    <w:rsid w:val="000A3FB9"/>
    <w:rsid w:val="000A4733"/>
    <w:rsid w:val="000A547F"/>
    <w:rsid w:val="000A6039"/>
    <w:rsid w:val="000A6CF7"/>
    <w:rsid w:val="000A6FFD"/>
    <w:rsid w:val="000A7453"/>
    <w:rsid w:val="000A7D08"/>
    <w:rsid w:val="000B0121"/>
    <w:rsid w:val="000B0670"/>
    <w:rsid w:val="000B08FF"/>
    <w:rsid w:val="000B0AA5"/>
    <w:rsid w:val="000B0E75"/>
    <w:rsid w:val="000B0F34"/>
    <w:rsid w:val="000B1099"/>
    <w:rsid w:val="000B1E73"/>
    <w:rsid w:val="000B1FA9"/>
    <w:rsid w:val="000B2DCB"/>
    <w:rsid w:val="000B4AC9"/>
    <w:rsid w:val="000B5327"/>
    <w:rsid w:val="000B5CE0"/>
    <w:rsid w:val="000B6CAC"/>
    <w:rsid w:val="000B7533"/>
    <w:rsid w:val="000B7612"/>
    <w:rsid w:val="000B78AE"/>
    <w:rsid w:val="000C0E43"/>
    <w:rsid w:val="000C0F9B"/>
    <w:rsid w:val="000C11DE"/>
    <w:rsid w:val="000C1730"/>
    <w:rsid w:val="000C17D6"/>
    <w:rsid w:val="000C19EB"/>
    <w:rsid w:val="000C21CE"/>
    <w:rsid w:val="000C2CD8"/>
    <w:rsid w:val="000C3DF9"/>
    <w:rsid w:val="000C3EBA"/>
    <w:rsid w:val="000C4D90"/>
    <w:rsid w:val="000C4E96"/>
    <w:rsid w:val="000C6713"/>
    <w:rsid w:val="000C6B5B"/>
    <w:rsid w:val="000D0775"/>
    <w:rsid w:val="000D0B89"/>
    <w:rsid w:val="000D0C00"/>
    <w:rsid w:val="000D16AF"/>
    <w:rsid w:val="000D1BFC"/>
    <w:rsid w:val="000D1D5D"/>
    <w:rsid w:val="000D281A"/>
    <w:rsid w:val="000D2848"/>
    <w:rsid w:val="000D2F7B"/>
    <w:rsid w:val="000D326A"/>
    <w:rsid w:val="000D32D0"/>
    <w:rsid w:val="000D3DB8"/>
    <w:rsid w:val="000D51FB"/>
    <w:rsid w:val="000D52D6"/>
    <w:rsid w:val="000D7681"/>
    <w:rsid w:val="000E0640"/>
    <w:rsid w:val="000E135D"/>
    <w:rsid w:val="000E2289"/>
    <w:rsid w:val="000E3313"/>
    <w:rsid w:val="000E49C1"/>
    <w:rsid w:val="000E51C8"/>
    <w:rsid w:val="000E5FBD"/>
    <w:rsid w:val="000F00BA"/>
    <w:rsid w:val="000F0F6A"/>
    <w:rsid w:val="000F193C"/>
    <w:rsid w:val="000F2483"/>
    <w:rsid w:val="000F2972"/>
    <w:rsid w:val="000F316A"/>
    <w:rsid w:val="000F3AEE"/>
    <w:rsid w:val="000F3C74"/>
    <w:rsid w:val="000F49CC"/>
    <w:rsid w:val="000F4BB8"/>
    <w:rsid w:val="000F4E7E"/>
    <w:rsid w:val="000F4FA9"/>
    <w:rsid w:val="000F53FB"/>
    <w:rsid w:val="000F6DF7"/>
    <w:rsid w:val="000F7127"/>
    <w:rsid w:val="000F7861"/>
    <w:rsid w:val="000F7B54"/>
    <w:rsid w:val="001007DC"/>
    <w:rsid w:val="00100D91"/>
    <w:rsid w:val="00100F8A"/>
    <w:rsid w:val="001041F9"/>
    <w:rsid w:val="0010452E"/>
    <w:rsid w:val="00104F7B"/>
    <w:rsid w:val="00105840"/>
    <w:rsid w:val="001058A8"/>
    <w:rsid w:val="00105ADC"/>
    <w:rsid w:val="00105AE2"/>
    <w:rsid w:val="00105C6A"/>
    <w:rsid w:val="00105CC2"/>
    <w:rsid w:val="00105E28"/>
    <w:rsid w:val="001060C6"/>
    <w:rsid w:val="001062EA"/>
    <w:rsid w:val="00106891"/>
    <w:rsid w:val="00106898"/>
    <w:rsid w:val="00106B80"/>
    <w:rsid w:val="00107B62"/>
    <w:rsid w:val="0011032E"/>
    <w:rsid w:val="00110705"/>
    <w:rsid w:val="00110721"/>
    <w:rsid w:val="00110964"/>
    <w:rsid w:val="00110F33"/>
    <w:rsid w:val="00111AD7"/>
    <w:rsid w:val="00111D79"/>
    <w:rsid w:val="0011348B"/>
    <w:rsid w:val="00113ADB"/>
    <w:rsid w:val="001142ED"/>
    <w:rsid w:val="0011459A"/>
    <w:rsid w:val="00114BB1"/>
    <w:rsid w:val="00114ED0"/>
    <w:rsid w:val="0011545F"/>
    <w:rsid w:val="00115555"/>
    <w:rsid w:val="00115982"/>
    <w:rsid w:val="0011617F"/>
    <w:rsid w:val="00116B30"/>
    <w:rsid w:val="00116C53"/>
    <w:rsid w:val="00117C69"/>
    <w:rsid w:val="00117D9F"/>
    <w:rsid w:val="00121003"/>
    <w:rsid w:val="00121799"/>
    <w:rsid w:val="00121821"/>
    <w:rsid w:val="001222FC"/>
    <w:rsid w:val="00122CE5"/>
    <w:rsid w:val="00123902"/>
    <w:rsid w:val="00124A51"/>
    <w:rsid w:val="0012535D"/>
    <w:rsid w:val="00125E3F"/>
    <w:rsid w:val="00126621"/>
    <w:rsid w:val="00126B1D"/>
    <w:rsid w:val="00127D97"/>
    <w:rsid w:val="001301E9"/>
    <w:rsid w:val="00131D82"/>
    <w:rsid w:val="00132884"/>
    <w:rsid w:val="00132B22"/>
    <w:rsid w:val="00132F70"/>
    <w:rsid w:val="00133D36"/>
    <w:rsid w:val="001340D9"/>
    <w:rsid w:val="00134871"/>
    <w:rsid w:val="001348D0"/>
    <w:rsid w:val="00134B33"/>
    <w:rsid w:val="001355ED"/>
    <w:rsid w:val="0013572E"/>
    <w:rsid w:val="00135C04"/>
    <w:rsid w:val="00135CF6"/>
    <w:rsid w:val="0013675C"/>
    <w:rsid w:val="00137645"/>
    <w:rsid w:val="00137D6C"/>
    <w:rsid w:val="00137FE9"/>
    <w:rsid w:val="0014015A"/>
    <w:rsid w:val="00140C03"/>
    <w:rsid w:val="00140E99"/>
    <w:rsid w:val="0014149D"/>
    <w:rsid w:val="00141616"/>
    <w:rsid w:val="00141C11"/>
    <w:rsid w:val="00141EDE"/>
    <w:rsid w:val="00142050"/>
    <w:rsid w:val="00142190"/>
    <w:rsid w:val="00142EB2"/>
    <w:rsid w:val="00143715"/>
    <w:rsid w:val="00143F67"/>
    <w:rsid w:val="00144396"/>
    <w:rsid w:val="00144748"/>
    <w:rsid w:val="00144B8E"/>
    <w:rsid w:val="0014528B"/>
    <w:rsid w:val="00145540"/>
    <w:rsid w:val="001456B0"/>
    <w:rsid w:val="0014595E"/>
    <w:rsid w:val="001463EF"/>
    <w:rsid w:val="00147332"/>
    <w:rsid w:val="00150129"/>
    <w:rsid w:val="00150CE7"/>
    <w:rsid w:val="00151F6F"/>
    <w:rsid w:val="001526C6"/>
    <w:rsid w:val="001532A7"/>
    <w:rsid w:val="0015658C"/>
    <w:rsid w:val="00156F8F"/>
    <w:rsid w:val="00157130"/>
    <w:rsid w:val="001576B1"/>
    <w:rsid w:val="00157B71"/>
    <w:rsid w:val="00157EB6"/>
    <w:rsid w:val="0016047B"/>
    <w:rsid w:val="00160A4C"/>
    <w:rsid w:val="001624F0"/>
    <w:rsid w:val="00162913"/>
    <w:rsid w:val="00162E88"/>
    <w:rsid w:val="00163AB4"/>
    <w:rsid w:val="00163EFF"/>
    <w:rsid w:val="00163F66"/>
    <w:rsid w:val="0016455F"/>
    <w:rsid w:val="00166058"/>
    <w:rsid w:val="00166153"/>
    <w:rsid w:val="0016616A"/>
    <w:rsid w:val="001661FB"/>
    <w:rsid w:val="001662E2"/>
    <w:rsid w:val="00166718"/>
    <w:rsid w:val="0016719C"/>
    <w:rsid w:val="001671A0"/>
    <w:rsid w:val="0016767F"/>
    <w:rsid w:val="0016783D"/>
    <w:rsid w:val="00167B4A"/>
    <w:rsid w:val="00172052"/>
    <w:rsid w:val="00172949"/>
    <w:rsid w:val="00173565"/>
    <w:rsid w:val="00173937"/>
    <w:rsid w:val="00173B07"/>
    <w:rsid w:val="00174490"/>
    <w:rsid w:val="00174A61"/>
    <w:rsid w:val="001751FA"/>
    <w:rsid w:val="00175B3B"/>
    <w:rsid w:val="00177C2B"/>
    <w:rsid w:val="00177EEC"/>
    <w:rsid w:val="00181D9C"/>
    <w:rsid w:val="00182EA3"/>
    <w:rsid w:val="001834D7"/>
    <w:rsid w:val="0018363C"/>
    <w:rsid w:val="00183A6D"/>
    <w:rsid w:val="00183AD0"/>
    <w:rsid w:val="00183E22"/>
    <w:rsid w:val="00184457"/>
    <w:rsid w:val="00184B0E"/>
    <w:rsid w:val="00184CD2"/>
    <w:rsid w:val="0018752F"/>
    <w:rsid w:val="00191CC5"/>
    <w:rsid w:val="001924C7"/>
    <w:rsid w:val="00192BEA"/>
    <w:rsid w:val="00193504"/>
    <w:rsid w:val="00193838"/>
    <w:rsid w:val="00194A97"/>
    <w:rsid w:val="00194AD8"/>
    <w:rsid w:val="00195222"/>
    <w:rsid w:val="001961D7"/>
    <w:rsid w:val="001975D8"/>
    <w:rsid w:val="00197B78"/>
    <w:rsid w:val="001A0078"/>
    <w:rsid w:val="001A178E"/>
    <w:rsid w:val="001A22B5"/>
    <w:rsid w:val="001A2E5F"/>
    <w:rsid w:val="001A3BCA"/>
    <w:rsid w:val="001A43FA"/>
    <w:rsid w:val="001A44DD"/>
    <w:rsid w:val="001A47C5"/>
    <w:rsid w:val="001A49B8"/>
    <w:rsid w:val="001A569D"/>
    <w:rsid w:val="001A59FB"/>
    <w:rsid w:val="001A5E9E"/>
    <w:rsid w:val="001A6192"/>
    <w:rsid w:val="001A6354"/>
    <w:rsid w:val="001A6366"/>
    <w:rsid w:val="001A7573"/>
    <w:rsid w:val="001A7764"/>
    <w:rsid w:val="001A7AE8"/>
    <w:rsid w:val="001A7E5E"/>
    <w:rsid w:val="001B0AEC"/>
    <w:rsid w:val="001B0B8C"/>
    <w:rsid w:val="001B204E"/>
    <w:rsid w:val="001B2372"/>
    <w:rsid w:val="001B3443"/>
    <w:rsid w:val="001B3BAF"/>
    <w:rsid w:val="001B3FA0"/>
    <w:rsid w:val="001B4552"/>
    <w:rsid w:val="001B4915"/>
    <w:rsid w:val="001B4D08"/>
    <w:rsid w:val="001B4D20"/>
    <w:rsid w:val="001B5876"/>
    <w:rsid w:val="001B58FB"/>
    <w:rsid w:val="001B5B3B"/>
    <w:rsid w:val="001B5B4D"/>
    <w:rsid w:val="001B66E3"/>
    <w:rsid w:val="001B6BCD"/>
    <w:rsid w:val="001B7994"/>
    <w:rsid w:val="001B7A84"/>
    <w:rsid w:val="001C0B2E"/>
    <w:rsid w:val="001C0FD4"/>
    <w:rsid w:val="001C27EB"/>
    <w:rsid w:val="001C2864"/>
    <w:rsid w:val="001C2A9B"/>
    <w:rsid w:val="001C3226"/>
    <w:rsid w:val="001C4299"/>
    <w:rsid w:val="001C4874"/>
    <w:rsid w:val="001C5F94"/>
    <w:rsid w:val="001C6649"/>
    <w:rsid w:val="001C6C58"/>
    <w:rsid w:val="001C6E66"/>
    <w:rsid w:val="001C7CE7"/>
    <w:rsid w:val="001D0DEE"/>
    <w:rsid w:val="001D1100"/>
    <w:rsid w:val="001D11F3"/>
    <w:rsid w:val="001D1229"/>
    <w:rsid w:val="001D1391"/>
    <w:rsid w:val="001D15CF"/>
    <w:rsid w:val="001D1AB3"/>
    <w:rsid w:val="001D226C"/>
    <w:rsid w:val="001D25D7"/>
    <w:rsid w:val="001D2C6B"/>
    <w:rsid w:val="001D2D5C"/>
    <w:rsid w:val="001D304A"/>
    <w:rsid w:val="001D39BD"/>
    <w:rsid w:val="001D3B95"/>
    <w:rsid w:val="001D3C39"/>
    <w:rsid w:val="001D3EA5"/>
    <w:rsid w:val="001D4A09"/>
    <w:rsid w:val="001D4E94"/>
    <w:rsid w:val="001D50B2"/>
    <w:rsid w:val="001D58FC"/>
    <w:rsid w:val="001D5CE4"/>
    <w:rsid w:val="001D6243"/>
    <w:rsid w:val="001D656F"/>
    <w:rsid w:val="001D7045"/>
    <w:rsid w:val="001D7645"/>
    <w:rsid w:val="001D7A52"/>
    <w:rsid w:val="001D7AF0"/>
    <w:rsid w:val="001D7DF1"/>
    <w:rsid w:val="001E1E86"/>
    <w:rsid w:val="001E238E"/>
    <w:rsid w:val="001E2483"/>
    <w:rsid w:val="001E2B1E"/>
    <w:rsid w:val="001E2CFF"/>
    <w:rsid w:val="001E2F24"/>
    <w:rsid w:val="001E30D4"/>
    <w:rsid w:val="001E34DF"/>
    <w:rsid w:val="001E3FF3"/>
    <w:rsid w:val="001E44B5"/>
    <w:rsid w:val="001E4B14"/>
    <w:rsid w:val="001E52EB"/>
    <w:rsid w:val="001E61D2"/>
    <w:rsid w:val="001E740C"/>
    <w:rsid w:val="001F0571"/>
    <w:rsid w:val="001F1235"/>
    <w:rsid w:val="001F1CB3"/>
    <w:rsid w:val="001F1E9A"/>
    <w:rsid w:val="001F275B"/>
    <w:rsid w:val="001F2862"/>
    <w:rsid w:val="001F38B5"/>
    <w:rsid w:val="001F3EF4"/>
    <w:rsid w:val="001F4081"/>
    <w:rsid w:val="001F40FD"/>
    <w:rsid w:val="001F46B6"/>
    <w:rsid w:val="001F4D1C"/>
    <w:rsid w:val="001F7361"/>
    <w:rsid w:val="001F7975"/>
    <w:rsid w:val="00200381"/>
    <w:rsid w:val="00200D3C"/>
    <w:rsid w:val="002011B0"/>
    <w:rsid w:val="00201C92"/>
    <w:rsid w:val="00201D75"/>
    <w:rsid w:val="00202763"/>
    <w:rsid w:val="00202D11"/>
    <w:rsid w:val="00203181"/>
    <w:rsid w:val="00203520"/>
    <w:rsid w:val="00203783"/>
    <w:rsid w:val="0020385F"/>
    <w:rsid w:val="00206341"/>
    <w:rsid w:val="0020672A"/>
    <w:rsid w:val="002068A0"/>
    <w:rsid w:val="00206DE7"/>
    <w:rsid w:val="00207021"/>
    <w:rsid w:val="0020732F"/>
    <w:rsid w:val="00207637"/>
    <w:rsid w:val="0020797F"/>
    <w:rsid w:val="00207D00"/>
    <w:rsid w:val="002105C1"/>
    <w:rsid w:val="00212990"/>
    <w:rsid w:val="00212B96"/>
    <w:rsid w:val="00212C81"/>
    <w:rsid w:val="0021316E"/>
    <w:rsid w:val="00213EF5"/>
    <w:rsid w:val="002148F2"/>
    <w:rsid w:val="002149E9"/>
    <w:rsid w:val="0021500F"/>
    <w:rsid w:val="0021565B"/>
    <w:rsid w:val="00215935"/>
    <w:rsid w:val="00215B89"/>
    <w:rsid w:val="00215F86"/>
    <w:rsid w:val="00215FA3"/>
    <w:rsid w:val="00216105"/>
    <w:rsid w:val="002168CB"/>
    <w:rsid w:val="00216BF5"/>
    <w:rsid w:val="00217054"/>
    <w:rsid w:val="002171D6"/>
    <w:rsid w:val="00217E99"/>
    <w:rsid w:val="002201F7"/>
    <w:rsid w:val="002211B9"/>
    <w:rsid w:val="00221325"/>
    <w:rsid w:val="00221AAD"/>
    <w:rsid w:val="002231C6"/>
    <w:rsid w:val="00223B49"/>
    <w:rsid w:val="00223D5A"/>
    <w:rsid w:val="00224C89"/>
    <w:rsid w:val="00224DD4"/>
    <w:rsid w:val="00225770"/>
    <w:rsid w:val="00225D54"/>
    <w:rsid w:val="002278A0"/>
    <w:rsid w:val="00230152"/>
    <w:rsid w:val="00230730"/>
    <w:rsid w:val="00230738"/>
    <w:rsid w:val="002307BB"/>
    <w:rsid w:val="002309CC"/>
    <w:rsid w:val="002314B1"/>
    <w:rsid w:val="0023209F"/>
    <w:rsid w:val="002332ED"/>
    <w:rsid w:val="00233562"/>
    <w:rsid w:val="00233C01"/>
    <w:rsid w:val="00233C67"/>
    <w:rsid w:val="00233E02"/>
    <w:rsid w:val="0023413C"/>
    <w:rsid w:val="002346F0"/>
    <w:rsid w:val="00235FDB"/>
    <w:rsid w:val="0023629D"/>
    <w:rsid w:val="002365C7"/>
    <w:rsid w:val="00237255"/>
    <w:rsid w:val="002375BD"/>
    <w:rsid w:val="00237CB1"/>
    <w:rsid w:val="00240402"/>
    <w:rsid w:val="00241F66"/>
    <w:rsid w:val="002424AF"/>
    <w:rsid w:val="002431FD"/>
    <w:rsid w:val="00243851"/>
    <w:rsid w:val="002439DC"/>
    <w:rsid w:val="002441D2"/>
    <w:rsid w:val="00244DC8"/>
    <w:rsid w:val="00245067"/>
    <w:rsid w:val="00245179"/>
    <w:rsid w:val="0024517B"/>
    <w:rsid w:val="002451FD"/>
    <w:rsid w:val="002458BA"/>
    <w:rsid w:val="00245CE9"/>
    <w:rsid w:val="00245E36"/>
    <w:rsid w:val="002461CF"/>
    <w:rsid w:val="0024636C"/>
    <w:rsid w:val="002470E2"/>
    <w:rsid w:val="00247852"/>
    <w:rsid w:val="00247925"/>
    <w:rsid w:val="00247E57"/>
    <w:rsid w:val="002500E8"/>
    <w:rsid w:val="002508EA"/>
    <w:rsid w:val="00251006"/>
    <w:rsid w:val="00251104"/>
    <w:rsid w:val="002524D5"/>
    <w:rsid w:val="00252609"/>
    <w:rsid w:val="0025265C"/>
    <w:rsid w:val="00253955"/>
    <w:rsid w:val="00253B1D"/>
    <w:rsid w:val="00254943"/>
    <w:rsid w:val="00254DCF"/>
    <w:rsid w:val="0025534B"/>
    <w:rsid w:val="00255BB7"/>
    <w:rsid w:val="0025602D"/>
    <w:rsid w:val="0025624E"/>
    <w:rsid w:val="002565B1"/>
    <w:rsid w:val="00256D80"/>
    <w:rsid w:val="00257232"/>
    <w:rsid w:val="00257541"/>
    <w:rsid w:val="00257A39"/>
    <w:rsid w:val="00257AC4"/>
    <w:rsid w:val="00260734"/>
    <w:rsid w:val="00260F3E"/>
    <w:rsid w:val="00260FF9"/>
    <w:rsid w:val="0026177F"/>
    <w:rsid w:val="00261EEF"/>
    <w:rsid w:val="0026258F"/>
    <w:rsid w:val="002626E6"/>
    <w:rsid w:val="00262A1A"/>
    <w:rsid w:val="00262A87"/>
    <w:rsid w:val="002630E6"/>
    <w:rsid w:val="002633AC"/>
    <w:rsid w:val="00263719"/>
    <w:rsid w:val="00263C8F"/>
    <w:rsid w:val="00264112"/>
    <w:rsid w:val="002642E4"/>
    <w:rsid w:val="00264D26"/>
    <w:rsid w:val="0026521C"/>
    <w:rsid w:val="00265241"/>
    <w:rsid w:val="00265E09"/>
    <w:rsid w:val="00266024"/>
    <w:rsid w:val="00267642"/>
    <w:rsid w:val="00267AEA"/>
    <w:rsid w:val="00267EB2"/>
    <w:rsid w:val="002700E6"/>
    <w:rsid w:val="00270A97"/>
    <w:rsid w:val="00270CDC"/>
    <w:rsid w:val="0027133C"/>
    <w:rsid w:val="0027294B"/>
    <w:rsid w:val="00272B5A"/>
    <w:rsid w:val="00273B4E"/>
    <w:rsid w:val="00273EB4"/>
    <w:rsid w:val="00274682"/>
    <w:rsid w:val="00274953"/>
    <w:rsid w:val="00274B16"/>
    <w:rsid w:val="00274F72"/>
    <w:rsid w:val="00275C5A"/>
    <w:rsid w:val="0027627A"/>
    <w:rsid w:val="002768CD"/>
    <w:rsid w:val="0027703E"/>
    <w:rsid w:val="0027712C"/>
    <w:rsid w:val="00277314"/>
    <w:rsid w:val="00277CE8"/>
    <w:rsid w:val="0028089A"/>
    <w:rsid w:val="00280AB3"/>
    <w:rsid w:val="00281014"/>
    <w:rsid w:val="00281369"/>
    <w:rsid w:val="00281B73"/>
    <w:rsid w:val="00281F72"/>
    <w:rsid w:val="00282405"/>
    <w:rsid w:val="00282CD1"/>
    <w:rsid w:val="00282DEC"/>
    <w:rsid w:val="00283337"/>
    <w:rsid w:val="0028665D"/>
    <w:rsid w:val="002906F4"/>
    <w:rsid w:val="00290C63"/>
    <w:rsid w:val="00290E9D"/>
    <w:rsid w:val="002918B4"/>
    <w:rsid w:val="002929F3"/>
    <w:rsid w:val="00293087"/>
    <w:rsid w:val="0029364F"/>
    <w:rsid w:val="00293A2B"/>
    <w:rsid w:val="00294055"/>
    <w:rsid w:val="00294127"/>
    <w:rsid w:val="00294390"/>
    <w:rsid w:val="00295C0B"/>
    <w:rsid w:val="002960A5"/>
    <w:rsid w:val="00296202"/>
    <w:rsid w:val="00296BDF"/>
    <w:rsid w:val="0029727C"/>
    <w:rsid w:val="00297956"/>
    <w:rsid w:val="00297DF0"/>
    <w:rsid w:val="002A09C5"/>
    <w:rsid w:val="002A14AB"/>
    <w:rsid w:val="002A2179"/>
    <w:rsid w:val="002A2ADE"/>
    <w:rsid w:val="002A2DCD"/>
    <w:rsid w:val="002A2F50"/>
    <w:rsid w:val="002A3AD9"/>
    <w:rsid w:val="002A444B"/>
    <w:rsid w:val="002A488E"/>
    <w:rsid w:val="002A57EF"/>
    <w:rsid w:val="002A68E9"/>
    <w:rsid w:val="002A7547"/>
    <w:rsid w:val="002A76BC"/>
    <w:rsid w:val="002A770B"/>
    <w:rsid w:val="002B05A1"/>
    <w:rsid w:val="002B091D"/>
    <w:rsid w:val="002B09A4"/>
    <w:rsid w:val="002B0BD5"/>
    <w:rsid w:val="002B0E47"/>
    <w:rsid w:val="002B1C1F"/>
    <w:rsid w:val="002B3807"/>
    <w:rsid w:val="002B3CC6"/>
    <w:rsid w:val="002B3DC3"/>
    <w:rsid w:val="002B432F"/>
    <w:rsid w:val="002B4484"/>
    <w:rsid w:val="002B5764"/>
    <w:rsid w:val="002B58BC"/>
    <w:rsid w:val="002B5DCA"/>
    <w:rsid w:val="002B62B3"/>
    <w:rsid w:val="002B66CC"/>
    <w:rsid w:val="002B6754"/>
    <w:rsid w:val="002B696A"/>
    <w:rsid w:val="002B6CCE"/>
    <w:rsid w:val="002B7397"/>
    <w:rsid w:val="002B780C"/>
    <w:rsid w:val="002B7C48"/>
    <w:rsid w:val="002B7DBD"/>
    <w:rsid w:val="002B7E66"/>
    <w:rsid w:val="002C1371"/>
    <w:rsid w:val="002C1844"/>
    <w:rsid w:val="002C22B8"/>
    <w:rsid w:val="002C238C"/>
    <w:rsid w:val="002C2510"/>
    <w:rsid w:val="002C2775"/>
    <w:rsid w:val="002C27C1"/>
    <w:rsid w:val="002C322A"/>
    <w:rsid w:val="002C4190"/>
    <w:rsid w:val="002C4351"/>
    <w:rsid w:val="002C493C"/>
    <w:rsid w:val="002C4D7B"/>
    <w:rsid w:val="002C5099"/>
    <w:rsid w:val="002C5278"/>
    <w:rsid w:val="002C5508"/>
    <w:rsid w:val="002C5889"/>
    <w:rsid w:val="002C67D2"/>
    <w:rsid w:val="002C69FF"/>
    <w:rsid w:val="002C71CE"/>
    <w:rsid w:val="002D0452"/>
    <w:rsid w:val="002D08F8"/>
    <w:rsid w:val="002D0C56"/>
    <w:rsid w:val="002D2388"/>
    <w:rsid w:val="002D32A9"/>
    <w:rsid w:val="002D3E9D"/>
    <w:rsid w:val="002D577C"/>
    <w:rsid w:val="002D5E99"/>
    <w:rsid w:val="002D6649"/>
    <w:rsid w:val="002D6F5B"/>
    <w:rsid w:val="002D7F25"/>
    <w:rsid w:val="002E09B7"/>
    <w:rsid w:val="002E0A62"/>
    <w:rsid w:val="002E0D2C"/>
    <w:rsid w:val="002E1071"/>
    <w:rsid w:val="002E114D"/>
    <w:rsid w:val="002E140E"/>
    <w:rsid w:val="002E15B9"/>
    <w:rsid w:val="002E1C84"/>
    <w:rsid w:val="002E2158"/>
    <w:rsid w:val="002E21E0"/>
    <w:rsid w:val="002E2B8F"/>
    <w:rsid w:val="002E30F4"/>
    <w:rsid w:val="002E4E2D"/>
    <w:rsid w:val="002E4F02"/>
    <w:rsid w:val="002E4F14"/>
    <w:rsid w:val="002E5B27"/>
    <w:rsid w:val="002E6497"/>
    <w:rsid w:val="002E67E4"/>
    <w:rsid w:val="002E7722"/>
    <w:rsid w:val="002E7A8E"/>
    <w:rsid w:val="002E7D78"/>
    <w:rsid w:val="002E7FD2"/>
    <w:rsid w:val="002F0363"/>
    <w:rsid w:val="002F07BA"/>
    <w:rsid w:val="002F0DA9"/>
    <w:rsid w:val="002F1014"/>
    <w:rsid w:val="002F1348"/>
    <w:rsid w:val="002F1A52"/>
    <w:rsid w:val="002F1B18"/>
    <w:rsid w:val="002F23A4"/>
    <w:rsid w:val="002F3E38"/>
    <w:rsid w:val="002F4E9C"/>
    <w:rsid w:val="002F4F2F"/>
    <w:rsid w:val="002F518A"/>
    <w:rsid w:val="002F625B"/>
    <w:rsid w:val="002F643C"/>
    <w:rsid w:val="002F71C0"/>
    <w:rsid w:val="002F74F1"/>
    <w:rsid w:val="002F794D"/>
    <w:rsid w:val="00301017"/>
    <w:rsid w:val="00301139"/>
    <w:rsid w:val="00301266"/>
    <w:rsid w:val="0030155F"/>
    <w:rsid w:val="00301BF2"/>
    <w:rsid w:val="00302968"/>
    <w:rsid w:val="00302BB3"/>
    <w:rsid w:val="0030329D"/>
    <w:rsid w:val="003039A9"/>
    <w:rsid w:val="0030419B"/>
    <w:rsid w:val="003043F7"/>
    <w:rsid w:val="0030494B"/>
    <w:rsid w:val="00304E88"/>
    <w:rsid w:val="00304F06"/>
    <w:rsid w:val="003055AB"/>
    <w:rsid w:val="0030587B"/>
    <w:rsid w:val="00305A8B"/>
    <w:rsid w:val="003062E4"/>
    <w:rsid w:val="00306562"/>
    <w:rsid w:val="003066CA"/>
    <w:rsid w:val="00306D98"/>
    <w:rsid w:val="003077AC"/>
    <w:rsid w:val="0030786C"/>
    <w:rsid w:val="003078AB"/>
    <w:rsid w:val="00307DA3"/>
    <w:rsid w:val="00307DB8"/>
    <w:rsid w:val="0031031A"/>
    <w:rsid w:val="0031051F"/>
    <w:rsid w:val="0031068A"/>
    <w:rsid w:val="00310981"/>
    <w:rsid w:val="00310DA4"/>
    <w:rsid w:val="00310DCC"/>
    <w:rsid w:val="00311C8B"/>
    <w:rsid w:val="003124D9"/>
    <w:rsid w:val="0031258C"/>
    <w:rsid w:val="00312594"/>
    <w:rsid w:val="00312612"/>
    <w:rsid w:val="00313519"/>
    <w:rsid w:val="00313924"/>
    <w:rsid w:val="00314C68"/>
    <w:rsid w:val="00315186"/>
    <w:rsid w:val="0031524B"/>
    <w:rsid w:val="00315498"/>
    <w:rsid w:val="00316474"/>
    <w:rsid w:val="00316C0C"/>
    <w:rsid w:val="003206F7"/>
    <w:rsid w:val="00320B6D"/>
    <w:rsid w:val="00322107"/>
    <w:rsid w:val="00322355"/>
    <w:rsid w:val="00322846"/>
    <w:rsid w:val="00322C10"/>
    <w:rsid w:val="0032331C"/>
    <w:rsid w:val="00325192"/>
    <w:rsid w:val="003263F1"/>
    <w:rsid w:val="00326894"/>
    <w:rsid w:val="00326DA7"/>
    <w:rsid w:val="003270E4"/>
    <w:rsid w:val="0032756E"/>
    <w:rsid w:val="00327E6E"/>
    <w:rsid w:val="00330DAA"/>
    <w:rsid w:val="00330F5C"/>
    <w:rsid w:val="00333F06"/>
    <w:rsid w:val="00334C77"/>
    <w:rsid w:val="00335154"/>
    <w:rsid w:val="00335788"/>
    <w:rsid w:val="00335967"/>
    <w:rsid w:val="0033600F"/>
    <w:rsid w:val="0033601C"/>
    <w:rsid w:val="003366C9"/>
    <w:rsid w:val="00336C93"/>
    <w:rsid w:val="003371B0"/>
    <w:rsid w:val="003375D9"/>
    <w:rsid w:val="003375E9"/>
    <w:rsid w:val="00337A0F"/>
    <w:rsid w:val="00340998"/>
    <w:rsid w:val="00340DF1"/>
    <w:rsid w:val="00342AD1"/>
    <w:rsid w:val="00343D2C"/>
    <w:rsid w:val="00346A0D"/>
    <w:rsid w:val="00347C27"/>
    <w:rsid w:val="0035028E"/>
    <w:rsid w:val="00350F96"/>
    <w:rsid w:val="0035154F"/>
    <w:rsid w:val="003517F9"/>
    <w:rsid w:val="00351BA9"/>
    <w:rsid w:val="0035317E"/>
    <w:rsid w:val="003546CF"/>
    <w:rsid w:val="00354F64"/>
    <w:rsid w:val="00355196"/>
    <w:rsid w:val="003556BF"/>
    <w:rsid w:val="00355CD4"/>
    <w:rsid w:val="00355F20"/>
    <w:rsid w:val="0035620E"/>
    <w:rsid w:val="003563CA"/>
    <w:rsid w:val="0035686A"/>
    <w:rsid w:val="003568B9"/>
    <w:rsid w:val="00356A58"/>
    <w:rsid w:val="0035709D"/>
    <w:rsid w:val="0035739A"/>
    <w:rsid w:val="00360345"/>
    <w:rsid w:val="00361A05"/>
    <w:rsid w:val="003624C4"/>
    <w:rsid w:val="00362B4D"/>
    <w:rsid w:val="00363B00"/>
    <w:rsid w:val="00364C6A"/>
    <w:rsid w:val="003654AC"/>
    <w:rsid w:val="0036649C"/>
    <w:rsid w:val="00366E77"/>
    <w:rsid w:val="00370476"/>
    <w:rsid w:val="003706C7"/>
    <w:rsid w:val="00370BDE"/>
    <w:rsid w:val="003710CF"/>
    <w:rsid w:val="00371D44"/>
    <w:rsid w:val="00372198"/>
    <w:rsid w:val="00372E01"/>
    <w:rsid w:val="0037358A"/>
    <w:rsid w:val="00373722"/>
    <w:rsid w:val="003750F6"/>
    <w:rsid w:val="0037536B"/>
    <w:rsid w:val="003760FC"/>
    <w:rsid w:val="00377118"/>
    <w:rsid w:val="00377B3F"/>
    <w:rsid w:val="00380A10"/>
    <w:rsid w:val="00380A5E"/>
    <w:rsid w:val="00381AC8"/>
    <w:rsid w:val="00381D5B"/>
    <w:rsid w:val="00381D79"/>
    <w:rsid w:val="00381F83"/>
    <w:rsid w:val="00382E57"/>
    <w:rsid w:val="00383014"/>
    <w:rsid w:val="0038365C"/>
    <w:rsid w:val="0038369B"/>
    <w:rsid w:val="00383AF1"/>
    <w:rsid w:val="00383B78"/>
    <w:rsid w:val="00383D2F"/>
    <w:rsid w:val="00383D6B"/>
    <w:rsid w:val="00383D78"/>
    <w:rsid w:val="00384438"/>
    <w:rsid w:val="00385A9D"/>
    <w:rsid w:val="003867E9"/>
    <w:rsid w:val="0038720D"/>
    <w:rsid w:val="00387757"/>
    <w:rsid w:val="003877F3"/>
    <w:rsid w:val="003878FE"/>
    <w:rsid w:val="00387F18"/>
    <w:rsid w:val="003902B1"/>
    <w:rsid w:val="003906A8"/>
    <w:rsid w:val="0039179C"/>
    <w:rsid w:val="00392D89"/>
    <w:rsid w:val="00394C07"/>
    <w:rsid w:val="00395ECB"/>
    <w:rsid w:val="003965E2"/>
    <w:rsid w:val="00396896"/>
    <w:rsid w:val="00396FD0"/>
    <w:rsid w:val="003A04EF"/>
    <w:rsid w:val="003A0AB1"/>
    <w:rsid w:val="003A15F8"/>
    <w:rsid w:val="003A1A7A"/>
    <w:rsid w:val="003A2392"/>
    <w:rsid w:val="003A26C7"/>
    <w:rsid w:val="003A2831"/>
    <w:rsid w:val="003A2FF8"/>
    <w:rsid w:val="003A327E"/>
    <w:rsid w:val="003A32CC"/>
    <w:rsid w:val="003A3CB6"/>
    <w:rsid w:val="003A3ED1"/>
    <w:rsid w:val="003A44DB"/>
    <w:rsid w:val="003A5D13"/>
    <w:rsid w:val="003A5E5B"/>
    <w:rsid w:val="003A61A5"/>
    <w:rsid w:val="003A678C"/>
    <w:rsid w:val="003A6931"/>
    <w:rsid w:val="003A6A67"/>
    <w:rsid w:val="003A6B40"/>
    <w:rsid w:val="003A72DC"/>
    <w:rsid w:val="003A7579"/>
    <w:rsid w:val="003A7E6E"/>
    <w:rsid w:val="003B11E7"/>
    <w:rsid w:val="003B1D62"/>
    <w:rsid w:val="003B348D"/>
    <w:rsid w:val="003B363F"/>
    <w:rsid w:val="003B3971"/>
    <w:rsid w:val="003B44F6"/>
    <w:rsid w:val="003B4BE3"/>
    <w:rsid w:val="003B55D1"/>
    <w:rsid w:val="003B5612"/>
    <w:rsid w:val="003B5B61"/>
    <w:rsid w:val="003B5B90"/>
    <w:rsid w:val="003B6EDF"/>
    <w:rsid w:val="003B70A7"/>
    <w:rsid w:val="003B7655"/>
    <w:rsid w:val="003B7891"/>
    <w:rsid w:val="003B78D7"/>
    <w:rsid w:val="003B7CF6"/>
    <w:rsid w:val="003C00B7"/>
    <w:rsid w:val="003C036B"/>
    <w:rsid w:val="003C05EF"/>
    <w:rsid w:val="003C08FC"/>
    <w:rsid w:val="003C1654"/>
    <w:rsid w:val="003C1F0F"/>
    <w:rsid w:val="003C21BB"/>
    <w:rsid w:val="003C5147"/>
    <w:rsid w:val="003C5542"/>
    <w:rsid w:val="003C654B"/>
    <w:rsid w:val="003C7D19"/>
    <w:rsid w:val="003C7D2F"/>
    <w:rsid w:val="003D0CE5"/>
    <w:rsid w:val="003D16CB"/>
    <w:rsid w:val="003D1828"/>
    <w:rsid w:val="003D1DE4"/>
    <w:rsid w:val="003D1E9A"/>
    <w:rsid w:val="003D2422"/>
    <w:rsid w:val="003D272A"/>
    <w:rsid w:val="003D33C1"/>
    <w:rsid w:val="003D39A1"/>
    <w:rsid w:val="003D3A34"/>
    <w:rsid w:val="003D3A54"/>
    <w:rsid w:val="003D3ED4"/>
    <w:rsid w:val="003D3FBF"/>
    <w:rsid w:val="003D4A30"/>
    <w:rsid w:val="003D555B"/>
    <w:rsid w:val="003D5F7D"/>
    <w:rsid w:val="003D6705"/>
    <w:rsid w:val="003D7452"/>
    <w:rsid w:val="003D75BA"/>
    <w:rsid w:val="003D76A3"/>
    <w:rsid w:val="003D79BB"/>
    <w:rsid w:val="003D7C98"/>
    <w:rsid w:val="003D7D70"/>
    <w:rsid w:val="003D7D9D"/>
    <w:rsid w:val="003E0543"/>
    <w:rsid w:val="003E0DDB"/>
    <w:rsid w:val="003E1383"/>
    <w:rsid w:val="003E3F26"/>
    <w:rsid w:val="003E3F40"/>
    <w:rsid w:val="003E46DE"/>
    <w:rsid w:val="003E53DC"/>
    <w:rsid w:val="003E580F"/>
    <w:rsid w:val="003E5C0E"/>
    <w:rsid w:val="003E5D38"/>
    <w:rsid w:val="003E6101"/>
    <w:rsid w:val="003E6AEF"/>
    <w:rsid w:val="003E7338"/>
    <w:rsid w:val="003E749E"/>
    <w:rsid w:val="003E7A49"/>
    <w:rsid w:val="003E7B57"/>
    <w:rsid w:val="003E7D52"/>
    <w:rsid w:val="003F07E0"/>
    <w:rsid w:val="003F0868"/>
    <w:rsid w:val="003F0DFC"/>
    <w:rsid w:val="003F2851"/>
    <w:rsid w:val="003F368D"/>
    <w:rsid w:val="003F38EE"/>
    <w:rsid w:val="003F4156"/>
    <w:rsid w:val="003F41BC"/>
    <w:rsid w:val="003F4230"/>
    <w:rsid w:val="003F52F2"/>
    <w:rsid w:val="003F5ADF"/>
    <w:rsid w:val="003F78B9"/>
    <w:rsid w:val="004009AD"/>
    <w:rsid w:val="00400B06"/>
    <w:rsid w:val="00400B29"/>
    <w:rsid w:val="00400C1D"/>
    <w:rsid w:val="00401E88"/>
    <w:rsid w:val="00403940"/>
    <w:rsid w:val="00404E42"/>
    <w:rsid w:val="0040504B"/>
    <w:rsid w:val="004053A2"/>
    <w:rsid w:val="004059F4"/>
    <w:rsid w:val="00405C61"/>
    <w:rsid w:val="004068D9"/>
    <w:rsid w:val="00407D0F"/>
    <w:rsid w:val="00407EDF"/>
    <w:rsid w:val="00407FE5"/>
    <w:rsid w:val="004101B0"/>
    <w:rsid w:val="004101DD"/>
    <w:rsid w:val="00410326"/>
    <w:rsid w:val="00410708"/>
    <w:rsid w:val="004109B5"/>
    <w:rsid w:val="00410DF9"/>
    <w:rsid w:val="00410EC7"/>
    <w:rsid w:val="00411B39"/>
    <w:rsid w:val="00412362"/>
    <w:rsid w:val="004127A7"/>
    <w:rsid w:val="00412FD7"/>
    <w:rsid w:val="004130DC"/>
    <w:rsid w:val="0041352B"/>
    <w:rsid w:val="0041362E"/>
    <w:rsid w:val="00413795"/>
    <w:rsid w:val="00413A1E"/>
    <w:rsid w:val="00413D42"/>
    <w:rsid w:val="00414476"/>
    <w:rsid w:val="0041451A"/>
    <w:rsid w:val="00414A7C"/>
    <w:rsid w:val="00414C2E"/>
    <w:rsid w:val="004151CF"/>
    <w:rsid w:val="004159A5"/>
    <w:rsid w:val="00416364"/>
    <w:rsid w:val="004167C6"/>
    <w:rsid w:val="0041736B"/>
    <w:rsid w:val="00417CA5"/>
    <w:rsid w:val="0042016A"/>
    <w:rsid w:val="0042047F"/>
    <w:rsid w:val="00420AA6"/>
    <w:rsid w:val="00420B9F"/>
    <w:rsid w:val="0042192C"/>
    <w:rsid w:val="00422260"/>
    <w:rsid w:val="004227DA"/>
    <w:rsid w:val="004230A3"/>
    <w:rsid w:val="00423ED8"/>
    <w:rsid w:val="0042413F"/>
    <w:rsid w:val="0042499B"/>
    <w:rsid w:val="004250B6"/>
    <w:rsid w:val="0043060D"/>
    <w:rsid w:val="00430A68"/>
    <w:rsid w:val="00430B37"/>
    <w:rsid w:val="004312DF"/>
    <w:rsid w:val="004319F8"/>
    <w:rsid w:val="00431E55"/>
    <w:rsid w:val="004321F6"/>
    <w:rsid w:val="00432B96"/>
    <w:rsid w:val="00432C4C"/>
    <w:rsid w:val="00433044"/>
    <w:rsid w:val="004335E5"/>
    <w:rsid w:val="0043392E"/>
    <w:rsid w:val="00434088"/>
    <w:rsid w:val="00436555"/>
    <w:rsid w:val="00436B30"/>
    <w:rsid w:val="004375B9"/>
    <w:rsid w:val="0044010B"/>
    <w:rsid w:val="0044148A"/>
    <w:rsid w:val="00442096"/>
    <w:rsid w:val="004428D0"/>
    <w:rsid w:val="00444185"/>
    <w:rsid w:val="004443A7"/>
    <w:rsid w:val="0044442C"/>
    <w:rsid w:val="00444ECD"/>
    <w:rsid w:val="00445135"/>
    <w:rsid w:val="00445941"/>
    <w:rsid w:val="00445F67"/>
    <w:rsid w:val="0044602B"/>
    <w:rsid w:val="00446263"/>
    <w:rsid w:val="004464EB"/>
    <w:rsid w:val="004468C3"/>
    <w:rsid w:val="00447D26"/>
    <w:rsid w:val="00447DFC"/>
    <w:rsid w:val="00447EE1"/>
    <w:rsid w:val="004507D4"/>
    <w:rsid w:val="00451DE0"/>
    <w:rsid w:val="00452D93"/>
    <w:rsid w:val="0045418C"/>
    <w:rsid w:val="004545FC"/>
    <w:rsid w:val="00454A4F"/>
    <w:rsid w:val="00454B05"/>
    <w:rsid w:val="00455738"/>
    <w:rsid w:val="00455C18"/>
    <w:rsid w:val="00455D45"/>
    <w:rsid w:val="004561C4"/>
    <w:rsid w:val="00456AE2"/>
    <w:rsid w:val="00456B44"/>
    <w:rsid w:val="00457A92"/>
    <w:rsid w:val="00457B64"/>
    <w:rsid w:val="00457C30"/>
    <w:rsid w:val="004607EA"/>
    <w:rsid w:val="00460E90"/>
    <w:rsid w:val="00461749"/>
    <w:rsid w:val="00461F4B"/>
    <w:rsid w:val="0046244B"/>
    <w:rsid w:val="004642B1"/>
    <w:rsid w:val="00464595"/>
    <w:rsid w:val="00465547"/>
    <w:rsid w:val="004657EA"/>
    <w:rsid w:val="004658B5"/>
    <w:rsid w:val="004674E7"/>
    <w:rsid w:val="00471EA5"/>
    <w:rsid w:val="004727AD"/>
    <w:rsid w:val="00472A79"/>
    <w:rsid w:val="00473155"/>
    <w:rsid w:val="00473593"/>
    <w:rsid w:val="00473F19"/>
    <w:rsid w:val="00475009"/>
    <w:rsid w:val="0047578A"/>
    <w:rsid w:val="004759F6"/>
    <w:rsid w:val="00475CCA"/>
    <w:rsid w:val="00475E22"/>
    <w:rsid w:val="00476333"/>
    <w:rsid w:val="0048088E"/>
    <w:rsid w:val="00480CEA"/>
    <w:rsid w:val="00480E44"/>
    <w:rsid w:val="00480F2B"/>
    <w:rsid w:val="0048145F"/>
    <w:rsid w:val="0048148E"/>
    <w:rsid w:val="004821B3"/>
    <w:rsid w:val="00482720"/>
    <w:rsid w:val="00482B32"/>
    <w:rsid w:val="00483119"/>
    <w:rsid w:val="004835E7"/>
    <w:rsid w:val="00483667"/>
    <w:rsid w:val="00483E9D"/>
    <w:rsid w:val="004867E2"/>
    <w:rsid w:val="00486D7D"/>
    <w:rsid w:val="00487247"/>
    <w:rsid w:val="004905C3"/>
    <w:rsid w:val="00490B17"/>
    <w:rsid w:val="00490DDD"/>
    <w:rsid w:val="0049149C"/>
    <w:rsid w:val="00491B3A"/>
    <w:rsid w:val="00492211"/>
    <w:rsid w:val="00492B6B"/>
    <w:rsid w:val="00492CFD"/>
    <w:rsid w:val="00494207"/>
    <w:rsid w:val="00494BF8"/>
    <w:rsid w:val="00494C04"/>
    <w:rsid w:val="00494DD5"/>
    <w:rsid w:val="00495DBB"/>
    <w:rsid w:val="004962D2"/>
    <w:rsid w:val="00497656"/>
    <w:rsid w:val="004976CC"/>
    <w:rsid w:val="004A020E"/>
    <w:rsid w:val="004A04E7"/>
    <w:rsid w:val="004A09FF"/>
    <w:rsid w:val="004A0DA1"/>
    <w:rsid w:val="004A13D6"/>
    <w:rsid w:val="004A184D"/>
    <w:rsid w:val="004A1B07"/>
    <w:rsid w:val="004A1E66"/>
    <w:rsid w:val="004A2058"/>
    <w:rsid w:val="004A2139"/>
    <w:rsid w:val="004A3391"/>
    <w:rsid w:val="004A368B"/>
    <w:rsid w:val="004A4638"/>
    <w:rsid w:val="004A4A4A"/>
    <w:rsid w:val="004A52E9"/>
    <w:rsid w:val="004A5907"/>
    <w:rsid w:val="004A5E1D"/>
    <w:rsid w:val="004A6040"/>
    <w:rsid w:val="004A657B"/>
    <w:rsid w:val="004A6597"/>
    <w:rsid w:val="004A7848"/>
    <w:rsid w:val="004A7C60"/>
    <w:rsid w:val="004A7C7F"/>
    <w:rsid w:val="004B0137"/>
    <w:rsid w:val="004B129F"/>
    <w:rsid w:val="004B1663"/>
    <w:rsid w:val="004B17B1"/>
    <w:rsid w:val="004B1914"/>
    <w:rsid w:val="004B1CB4"/>
    <w:rsid w:val="004B21D4"/>
    <w:rsid w:val="004B23A5"/>
    <w:rsid w:val="004B2F18"/>
    <w:rsid w:val="004B3DDB"/>
    <w:rsid w:val="004B44FD"/>
    <w:rsid w:val="004B54C9"/>
    <w:rsid w:val="004B5A2C"/>
    <w:rsid w:val="004B5CFC"/>
    <w:rsid w:val="004B5E15"/>
    <w:rsid w:val="004B6F79"/>
    <w:rsid w:val="004B774D"/>
    <w:rsid w:val="004C0A37"/>
    <w:rsid w:val="004C1F78"/>
    <w:rsid w:val="004C2D6C"/>
    <w:rsid w:val="004C3048"/>
    <w:rsid w:val="004C37C0"/>
    <w:rsid w:val="004C42D4"/>
    <w:rsid w:val="004C4657"/>
    <w:rsid w:val="004C469D"/>
    <w:rsid w:val="004C48A1"/>
    <w:rsid w:val="004C48CE"/>
    <w:rsid w:val="004C4AED"/>
    <w:rsid w:val="004C4EC9"/>
    <w:rsid w:val="004C560D"/>
    <w:rsid w:val="004C5F73"/>
    <w:rsid w:val="004C72AB"/>
    <w:rsid w:val="004C78BE"/>
    <w:rsid w:val="004D18EA"/>
    <w:rsid w:val="004D23C0"/>
    <w:rsid w:val="004D2C2D"/>
    <w:rsid w:val="004D3922"/>
    <w:rsid w:val="004D3994"/>
    <w:rsid w:val="004D40EC"/>
    <w:rsid w:val="004D414C"/>
    <w:rsid w:val="004D5000"/>
    <w:rsid w:val="004D517A"/>
    <w:rsid w:val="004D5D5D"/>
    <w:rsid w:val="004D6574"/>
    <w:rsid w:val="004D6896"/>
    <w:rsid w:val="004D69B5"/>
    <w:rsid w:val="004D7227"/>
    <w:rsid w:val="004E057F"/>
    <w:rsid w:val="004E0DBB"/>
    <w:rsid w:val="004E0E7F"/>
    <w:rsid w:val="004E0EB8"/>
    <w:rsid w:val="004E1169"/>
    <w:rsid w:val="004E1198"/>
    <w:rsid w:val="004E1455"/>
    <w:rsid w:val="004E169A"/>
    <w:rsid w:val="004E18E9"/>
    <w:rsid w:val="004E2ADC"/>
    <w:rsid w:val="004E2ED8"/>
    <w:rsid w:val="004E3A6C"/>
    <w:rsid w:val="004E3F1E"/>
    <w:rsid w:val="004E43B2"/>
    <w:rsid w:val="004E4ED4"/>
    <w:rsid w:val="004E640D"/>
    <w:rsid w:val="004E7376"/>
    <w:rsid w:val="004F0BA7"/>
    <w:rsid w:val="004F0C63"/>
    <w:rsid w:val="004F1D02"/>
    <w:rsid w:val="004F1E44"/>
    <w:rsid w:val="004F23AF"/>
    <w:rsid w:val="004F2679"/>
    <w:rsid w:val="004F2AC1"/>
    <w:rsid w:val="004F2F21"/>
    <w:rsid w:val="004F3B90"/>
    <w:rsid w:val="004F3DE5"/>
    <w:rsid w:val="004F42C5"/>
    <w:rsid w:val="004F47E9"/>
    <w:rsid w:val="004F4C46"/>
    <w:rsid w:val="004F58AE"/>
    <w:rsid w:val="004F5989"/>
    <w:rsid w:val="004F6913"/>
    <w:rsid w:val="004F6F5F"/>
    <w:rsid w:val="004F7865"/>
    <w:rsid w:val="004F7F53"/>
    <w:rsid w:val="0050174E"/>
    <w:rsid w:val="00501854"/>
    <w:rsid w:val="00501EA2"/>
    <w:rsid w:val="0050219B"/>
    <w:rsid w:val="00502387"/>
    <w:rsid w:val="00502784"/>
    <w:rsid w:val="00502DB6"/>
    <w:rsid w:val="00503F17"/>
    <w:rsid w:val="00504302"/>
    <w:rsid w:val="0050647F"/>
    <w:rsid w:val="005065F1"/>
    <w:rsid w:val="00506928"/>
    <w:rsid w:val="00506DDC"/>
    <w:rsid w:val="005070B1"/>
    <w:rsid w:val="00507585"/>
    <w:rsid w:val="005077EF"/>
    <w:rsid w:val="005103C6"/>
    <w:rsid w:val="0051094F"/>
    <w:rsid w:val="00510BF0"/>
    <w:rsid w:val="00510FBA"/>
    <w:rsid w:val="00511AD5"/>
    <w:rsid w:val="00511DC7"/>
    <w:rsid w:val="005142C5"/>
    <w:rsid w:val="00514E81"/>
    <w:rsid w:val="0051501B"/>
    <w:rsid w:val="005152B5"/>
    <w:rsid w:val="00515BBE"/>
    <w:rsid w:val="00516E9A"/>
    <w:rsid w:val="00517352"/>
    <w:rsid w:val="005174A1"/>
    <w:rsid w:val="00520ECE"/>
    <w:rsid w:val="0052123C"/>
    <w:rsid w:val="00521297"/>
    <w:rsid w:val="00521319"/>
    <w:rsid w:val="0052158A"/>
    <w:rsid w:val="00522BC8"/>
    <w:rsid w:val="00522D2D"/>
    <w:rsid w:val="0052364C"/>
    <w:rsid w:val="00523C28"/>
    <w:rsid w:val="00524841"/>
    <w:rsid w:val="00524A0C"/>
    <w:rsid w:val="00524B80"/>
    <w:rsid w:val="00524EEE"/>
    <w:rsid w:val="00525D6C"/>
    <w:rsid w:val="0052693A"/>
    <w:rsid w:val="00526E11"/>
    <w:rsid w:val="00530B2F"/>
    <w:rsid w:val="0053137E"/>
    <w:rsid w:val="0053176B"/>
    <w:rsid w:val="00531DE5"/>
    <w:rsid w:val="00532649"/>
    <w:rsid w:val="005334A5"/>
    <w:rsid w:val="005349A7"/>
    <w:rsid w:val="005356DE"/>
    <w:rsid w:val="005369A1"/>
    <w:rsid w:val="00536EAD"/>
    <w:rsid w:val="00536F42"/>
    <w:rsid w:val="00537182"/>
    <w:rsid w:val="0054022A"/>
    <w:rsid w:val="00540454"/>
    <w:rsid w:val="00540F55"/>
    <w:rsid w:val="00541EDD"/>
    <w:rsid w:val="00542743"/>
    <w:rsid w:val="00542C2D"/>
    <w:rsid w:val="00542F61"/>
    <w:rsid w:val="00543B9D"/>
    <w:rsid w:val="0054529E"/>
    <w:rsid w:val="00545699"/>
    <w:rsid w:val="00546254"/>
    <w:rsid w:val="005473B8"/>
    <w:rsid w:val="005478BD"/>
    <w:rsid w:val="005479E3"/>
    <w:rsid w:val="005512D4"/>
    <w:rsid w:val="00551985"/>
    <w:rsid w:val="00552BD3"/>
    <w:rsid w:val="00552C87"/>
    <w:rsid w:val="005530AF"/>
    <w:rsid w:val="005532A0"/>
    <w:rsid w:val="005543F1"/>
    <w:rsid w:val="00554BA7"/>
    <w:rsid w:val="00555109"/>
    <w:rsid w:val="0055609B"/>
    <w:rsid w:val="005562ED"/>
    <w:rsid w:val="00556802"/>
    <w:rsid w:val="00556870"/>
    <w:rsid w:val="00556B35"/>
    <w:rsid w:val="0055741A"/>
    <w:rsid w:val="00557F73"/>
    <w:rsid w:val="00560A24"/>
    <w:rsid w:val="005611B7"/>
    <w:rsid w:val="005614DE"/>
    <w:rsid w:val="00561858"/>
    <w:rsid w:val="005618D4"/>
    <w:rsid w:val="00561D86"/>
    <w:rsid w:val="005628A7"/>
    <w:rsid w:val="00562B60"/>
    <w:rsid w:val="005632F1"/>
    <w:rsid w:val="00563388"/>
    <w:rsid w:val="0056474C"/>
    <w:rsid w:val="005655D8"/>
    <w:rsid w:val="00565605"/>
    <w:rsid w:val="00565DF0"/>
    <w:rsid w:val="0056696F"/>
    <w:rsid w:val="005669DA"/>
    <w:rsid w:val="00567397"/>
    <w:rsid w:val="005704FF"/>
    <w:rsid w:val="00570F8A"/>
    <w:rsid w:val="005712F2"/>
    <w:rsid w:val="00571598"/>
    <w:rsid w:val="0057168D"/>
    <w:rsid w:val="00571773"/>
    <w:rsid w:val="00572269"/>
    <w:rsid w:val="0057244A"/>
    <w:rsid w:val="00572F26"/>
    <w:rsid w:val="00572F74"/>
    <w:rsid w:val="005735E5"/>
    <w:rsid w:val="005744B3"/>
    <w:rsid w:val="005745D3"/>
    <w:rsid w:val="005749F0"/>
    <w:rsid w:val="00574E97"/>
    <w:rsid w:val="005750C5"/>
    <w:rsid w:val="005752DE"/>
    <w:rsid w:val="005755B8"/>
    <w:rsid w:val="00575AEF"/>
    <w:rsid w:val="00575C03"/>
    <w:rsid w:val="00575D8D"/>
    <w:rsid w:val="00576055"/>
    <w:rsid w:val="00576251"/>
    <w:rsid w:val="00576527"/>
    <w:rsid w:val="00576972"/>
    <w:rsid w:val="005769DD"/>
    <w:rsid w:val="00576F96"/>
    <w:rsid w:val="005773E5"/>
    <w:rsid w:val="00577FEF"/>
    <w:rsid w:val="00580E3C"/>
    <w:rsid w:val="00581117"/>
    <w:rsid w:val="00581855"/>
    <w:rsid w:val="00582B14"/>
    <w:rsid w:val="0058353E"/>
    <w:rsid w:val="00583699"/>
    <w:rsid w:val="0058396B"/>
    <w:rsid w:val="00584326"/>
    <w:rsid w:val="00584329"/>
    <w:rsid w:val="005854D0"/>
    <w:rsid w:val="005854DA"/>
    <w:rsid w:val="00585CDD"/>
    <w:rsid w:val="00585DCD"/>
    <w:rsid w:val="00585F35"/>
    <w:rsid w:val="00587058"/>
    <w:rsid w:val="00587423"/>
    <w:rsid w:val="005917B9"/>
    <w:rsid w:val="00591868"/>
    <w:rsid w:val="00591957"/>
    <w:rsid w:val="00591B95"/>
    <w:rsid w:val="005920F3"/>
    <w:rsid w:val="00592E3C"/>
    <w:rsid w:val="00592F8A"/>
    <w:rsid w:val="00593D6D"/>
    <w:rsid w:val="00593EF2"/>
    <w:rsid w:val="005953EB"/>
    <w:rsid w:val="00595A59"/>
    <w:rsid w:val="00597B24"/>
    <w:rsid w:val="00597BF9"/>
    <w:rsid w:val="00597CE2"/>
    <w:rsid w:val="005A0B54"/>
    <w:rsid w:val="005A1628"/>
    <w:rsid w:val="005A309A"/>
    <w:rsid w:val="005A373D"/>
    <w:rsid w:val="005A65FA"/>
    <w:rsid w:val="005A71BA"/>
    <w:rsid w:val="005A78EA"/>
    <w:rsid w:val="005B04E9"/>
    <w:rsid w:val="005B0B58"/>
    <w:rsid w:val="005B2317"/>
    <w:rsid w:val="005B2CA9"/>
    <w:rsid w:val="005B30D0"/>
    <w:rsid w:val="005B3FCE"/>
    <w:rsid w:val="005B43EE"/>
    <w:rsid w:val="005B4CBD"/>
    <w:rsid w:val="005B4E53"/>
    <w:rsid w:val="005B517F"/>
    <w:rsid w:val="005B5819"/>
    <w:rsid w:val="005B5857"/>
    <w:rsid w:val="005B6828"/>
    <w:rsid w:val="005B74A0"/>
    <w:rsid w:val="005C0431"/>
    <w:rsid w:val="005C05FB"/>
    <w:rsid w:val="005C091A"/>
    <w:rsid w:val="005C165B"/>
    <w:rsid w:val="005C1B83"/>
    <w:rsid w:val="005C1E46"/>
    <w:rsid w:val="005C25FF"/>
    <w:rsid w:val="005C2ABB"/>
    <w:rsid w:val="005C2BA9"/>
    <w:rsid w:val="005C2D55"/>
    <w:rsid w:val="005C2DD0"/>
    <w:rsid w:val="005C2F76"/>
    <w:rsid w:val="005C2F9D"/>
    <w:rsid w:val="005C328F"/>
    <w:rsid w:val="005C32E7"/>
    <w:rsid w:val="005C346B"/>
    <w:rsid w:val="005C3B7F"/>
    <w:rsid w:val="005C3BF5"/>
    <w:rsid w:val="005C4BD1"/>
    <w:rsid w:val="005C54FD"/>
    <w:rsid w:val="005C583A"/>
    <w:rsid w:val="005C6697"/>
    <w:rsid w:val="005C6C19"/>
    <w:rsid w:val="005D044D"/>
    <w:rsid w:val="005D082C"/>
    <w:rsid w:val="005D0ABD"/>
    <w:rsid w:val="005D0E98"/>
    <w:rsid w:val="005D1560"/>
    <w:rsid w:val="005D18AD"/>
    <w:rsid w:val="005D22DF"/>
    <w:rsid w:val="005D2651"/>
    <w:rsid w:val="005D26B4"/>
    <w:rsid w:val="005D2DBF"/>
    <w:rsid w:val="005D3E57"/>
    <w:rsid w:val="005D4117"/>
    <w:rsid w:val="005D43ED"/>
    <w:rsid w:val="005D5072"/>
    <w:rsid w:val="005D6FEE"/>
    <w:rsid w:val="005D7174"/>
    <w:rsid w:val="005D7266"/>
    <w:rsid w:val="005D742C"/>
    <w:rsid w:val="005D796C"/>
    <w:rsid w:val="005E00C3"/>
    <w:rsid w:val="005E02EE"/>
    <w:rsid w:val="005E078A"/>
    <w:rsid w:val="005E080A"/>
    <w:rsid w:val="005E0E53"/>
    <w:rsid w:val="005E12C1"/>
    <w:rsid w:val="005E1CCF"/>
    <w:rsid w:val="005E2CB7"/>
    <w:rsid w:val="005E3667"/>
    <w:rsid w:val="005E366C"/>
    <w:rsid w:val="005E4175"/>
    <w:rsid w:val="005E4D43"/>
    <w:rsid w:val="005E4D45"/>
    <w:rsid w:val="005E598C"/>
    <w:rsid w:val="005E5C97"/>
    <w:rsid w:val="005E6CBC"/>
    <w:rsid w:val="005E72FF"/>
    <w:rsid w:val="005E732C"/>
    <w:rsid w:val="005E73C0"/>
    <w:rsid w:val="005E7409"/>
    <w:rsid w:val="005F0084"/>
    <w:rsid w:val="005F118F"/>
    <w:rsid w:val="005F1430"/>
    <w:rsid w:val="005F1485"/>
    <w:rsid w:val="005F16D6"/>
    <w:rsid w:val="005F1FD8"/>
    <w:rsid w:val="005F2706"/>
    <w:rsid w:val="005F3138"/>
    <w:rsid w:val="005F3546"/>
    <w:rsid w:val="005F35D1"/>
    <w:rsid w:val="005F37A9"/>
    <w:rsid w:val="005F48E6"/>
    <w:rsid w:val="005F5165"/>
    <w:rsid w:val="005F5BF1"/>
    <w:rsid w:val="005F69C4"/>
    <w:rsid w:val="005F69E7"/>
    <w:rsid w:val="005F6A8C"/>
    <w:rsid w:val="005F6A8F"/>
    <w:rsid w:val="005F6BB7"/>
    <w:rsid w:val="005F6E02"/>
    <w:rsid w:val="005F7588"/>
    <w:rsid w:val="005F78BB"/>
    <w:rsid w:val="006018CE"/>
    <w:rsid w:val="00601DF9"/>
    <w:rsid w:val="00603DB9"/>
    <w:rsid w:val="00604DEA"/>
    <w:rsid w:val="00605E52"/>
    <w:rsid w:val="00606462"/>
    <w:rsid w:val="00606FBA"/>
    <w:rsid w:val="00607669"/>
    <w:rsid w:val="006076F4"/>
    <w:rsid w:val="00607AFD"/>
    <w:rsid w:val="00610BCC"/>
    <w:rsid w:val="00612830"/>
    <w:rsid w:val="00612CB6"/>
    <w:rsid w:val="00612F97"/>
    <w:rsid w:val="00613421"/>
    <w:rsid w:val="0061345D"/>
    <w:rsid w:val="00613A28"/>
    <w:rsid w:val="00613CD2"/>
    <w:rsid w:val="00614CA8"/>
    <w:rsid w:val="00615249"/>
    <w:rsid w:val="0061549B"/>
    <w:rsid w:val="006166D8"/>
    <w:rsid w:val="00616802"/>
    <w:rsid w:val="00617347"/>
    <w:rsid w:val="00617608"/>
    <w:rsid w:val="00617E12"/>
    <w:rsid w:val="00617FBB"/>
    <w:rsid w:val="00620C25"/>
    <w:rsid w:val="00621477"/>
    <w:rsid w:val="00621626"/>
    <w:rsid w:val="006216AC"/>
    <w:rsid w:val="00621ADA"/>
    <w:rsid w:val="00621C7D"/>
    <w:rsid w:val="00621F65"/>
    <w:rsid w:val="00622823"/>
    <w:rsid w:val="00622C6F"/>
    <w:rsid w:val="00623F7B"/>
    <w:rsid w:val="00624A03"/>
    <w:rsid w:val="00625B2E"/>
    <w:rsid w:val="006269AB"/>
    <w:rsid w:val="006269E8"/>
    <w:rsid w:val="006302F3"/>
    <w:rsid w:val="0063079C"/>
    <w:rsid w:val="00630E6D"/>
    <w:rsid w:val="0063110D"/>
    <w:rsid w:val="0063158F"/>
    <w:rsid w:val="00631D6B"/>
    <w:rsid w:val="00632183"/>
    <w:rsid w:val="006326CD"/>
    <w:rsid w:val="0063295D"/>
    <w:rsid w:val="00632D25"/>
    <w:rsid w:val="006330A1"/>
    <w:rsid w:val="00633144"/>
    <w:rsid w:val="0063379F"/>
    <w:rsid w:val="00633F70"/>
    <w:rsid w:val="0063479F"/>
    <w:rsid w:val="00634B57"/>
    <w:rsid w:val="006353F0"/>
    <w:rsid w:val="00635497"/>
    <w:rsid w:val="006357B5"/>
    <w:rsid w:val="00635B65"/>
    <w:rsid w:val="00635C86"/>
    <w:rsid w:val="00636295"/>
    <w:rsid w:val="006364A1"/>
    <w:rsid w:val="0063678E"/>
    <w:rsid w:val="00636E95"/>
    <w:rsid w:val="00637522"/>
    <w:rsid w:val="0063756E"/>
    <w:rsid w:val="00637BFD"/>
    <w:rsid w:val="00640725"/>
    <w:rsid w:val="006408DD"/>
    <w:rsid w:val="00641C4E"/>
    <w:rsid w:val="00641FB3"/>
    <w:rsid w:val="00643E1B"/>
    <w:rsid w:val="006440F6"/>
    <w:rsid w:val="0064434C"/>
    <w:rsid w:val="00644EA3"/>
    <w:rsid w:val="00645EE5"/>
    <w:rsid w:val="00646AFE"/>
    <w:rsid w:val="00646DF7"/>
    <w:rsid w:val="006471CC"/>
    <w:rsid w:val="00647265"/>
    <w:rsid w:val="006478F9"/>
    <w:rsid w:val="00647A29"/>
    <w:rsid w:val="00647A77"/>
    <w:rsid w:val="0065079F"/>
    <w:rsid w:val="006507E9"/>
    <w:rsid w:val="00650877"/>
    <w:rsid w:val="00650F81"/>
    <w:rsid w:val="006510A3"/>
    <w:rsid w:val="00652A28"/>
    <w:rsid w:val="0065379F"/>
    <w:rsid w:val="0065406E"/>
    <w:rsid w:val="006542F8"/>
    <w:rsid w:val="00655567"/>
    <w:rsid w:val="00655CFE"/>
    <w:rsid w:val="00656188"/>
    <w:rsid w:val="006565B8"/>
    <w:rsid w:val="0065715A"/>
    <w:rsid w:val="006579EC"/>
    <w:rsid w:val="006610F1"/>
    <w:rsid w:val="006615D6"/>
    <w:rsid w:val="00661C6B"/>
    <w:rsid w:val="006642D3"/>
    <w:rsid w:val="00664467"/>
    <w:rsid w:val="00664A2E"/>
    <w:rsid w:val="00666E46"/>
    <w:rsid w:val="00667193"/>
    <w:rsid w:val="0067004B"/>
    <w:rsid w:val="0067035D"/>
    <w:rsid w:val="0067062E"/>
    <w:rsid w:val="00671004"/>
    <w:rsid w:val="00672646"/>
    <w:rsid w:val="00674009"/>
    <w:rsid w:val="00674794"/>
    <w:rsid w:val="00674BC3"/>
    <w:rsid w:val="00674E42"/>
    <w:rsid w:val="0067629B"/>
    <w:rsid w:val="00676F70"/>
    <w:rsid w:val="00680960"/>
    <w:rsid w:val="006813F8"/>
    <w:rsid w:val="00682112"/>
    <w:rsid w:val="006823B6"/>
    <w:rsid w:val="00682BA6"/>
    <w:rsid w:val="00683626"/>
    <w:rsid w:val="00683871"/>
    <w:rsid w:val="00683F8E"/>
    <w:rsid w:val="00686957"/>
    <w:rsid w:val="006872BA"/>
    <w:rsid w:val="00687CEB"/>
    <w:rsid w:val="0069011A"/>
    <w:rsid w:val="00690795"/>
    <w:rsid w:val="006909B2"/>
    <w:rsid w:val="00691648"/>
    <w:rsid w:val="006916EC"/>
    <w:rsid w:val="006917D7"/>
    <w:rsid w:val="006918DC"/>
    <w:rsid w:val="00691C55"/>
    <w:rsid w:val="006923F1"/>
    <w:rsid w:val="006927C5"/>
    <w:rsid w:val="0069434C"/>
    <w:rsid w:val="006947CD"/>
    <w:rsid w:val="00694F44"/>
    <w:rsid w:val="0069516C"/>
    <w:rsid w:val="006952C8"/>
    <w:rsid w:val="00695A67"/>
    <w:rsid w:val="00696D09"/>
    <w:rsid w:val="00696E70"/>
    <w:rsid w:val="00696F51"/>
    <w:rsid w:val="00696F60"/>
    <w:rsid w:val="006979A5"/>
    <w:rsid w:val="00697CFD"/>
    <w:rsid w:val="006A0C92"/>
    <w:rsid w:val="006A1339"/>
    <w:rsid w:val="006A15E8"/>
    <w:rsid w:val="006A1EE8"/>
    <w:rsid w:val="006A2677"/>
    <w:rsid w:val="006A2F31"/>
    <w:rsid w:val="006A3BEF"/>
    <w:rsid w:val="006A5A62"/>
    <w:rsid w:val="006A6B99"/>
    <w:rsid w:val="006A78F5"/>
    <w:rsid w:val="006A7E5F"/>
    <w:rsid w:val="006A7F27"/>
    <w:rsid w:val="006B0081"/>
    <w:rsid w:val="006B0414"/>
    <w:rsid w:val="006B0EDB"/>
    <w:rsid w:val="006B195C"/>
    <w:rsid w:val="006B1AA1"/>
    <w:rsid w:val="006B1B5F"/>
    <w:rsid w:val="006B2073"/>
    <w:rsid w:val="006B261B"/>
    <w:rsid w:val="006B2C90"/>
    <w:rsid w:val="006B2D13"/>
    <w:rsid w:val="006B2F82"/>
    <w:rsid w:val="006B35E6"/>
    <w:rsid w:val="006B465A"/>
    <w:rsid w:val="006B49EA"/>
    <w:rsid w:val="006B4D32"/>
    <w:rsid w:val="006B4E14"/>
    <w:rsid w:val="006B4FA8"/>
    <w:rsid w:val="006B62E7"/>
    <w:rsid w:val="006B6A24"/>
    <w:rsid w:val="006B6D47"/>
    <w:rsid w:val="006B6DD0"/>
    <w:rsid w:val="006B6FC1"/>
    <w:rsid w:val="006B72F9"/>
    <w:rsid w:val="006C0399"/>
    <w:rsid w:val="006C0B8D"/>
    <w:rsid w:val="006C1138"/>
    <w:rsid w:val="006C120E"/>
    <w:rsid w:val="006C190F"/>
    <w:rsid w:val="006C1D74"/>
    <w:rsid w:val="006C221F"/>
    <w:rsid w:val="006C2A8E"/>
    <w:rsid w:val="006C3255"/>
    <w:rsid w:val="006C3F26"/>
    <w:rsid w:val="006C4660"/>
    <w:rsid w:val="006C781A"/>
    <w:rsid w:val="006D0D17"/>
    <w:rsid w:val="006D18F9"/>
    <w:rsid w:val="006D1EF4"/>
    <w:rsid w:val="006D2562"/>
    <w:rsid w:val="006D3C7D"/>
    <w:rsid w:val="006D44D6"/>
    <w:rsid w:val="006D4659"/>
    <w:rsid w:val="006D4CF2"/>
    <w:rsid w:val="006D5248"/>
    <w:rsid w:val="006D52F9"/>
    <w:rsid w:val="006D5D5F"/>
    <w:rsid w:val="006D68FB"/>
    <w:rsid w:val="006D73C9"/>
    <w:rsid w:val="006E00AA"/>
    <w:rsid w:val="006E0237"/>
    <w:rsid w:val="006E0866"/>
    <w:rsid w:val="006E0CF2"/>
    <w:rsid w:val="006E20C5"/>
    <w:rsid w:val="006E2868"/>
    <w:rsid w:val="006E2E27"/>
    <w:rsid w:val="006E2EFA"/>
    <w:rsid w:val="006E3504"/>
    <w:rsid w:val="006E4A6E"/>
    <w:rsid w:val="006E54E1"/>
    <w:rsid w:val="006E589E"/>
    <w:rsid w:val="006E58BF"/>
    <w:rsid w:val="006E5F3B"/>
    <w:rsid w:val="006E600D"/>
    <w:rsid w:val="006E6149"/>
    <w:rsid w:val="006E773E"/>
    <w:rsid w:val="006E7C77"/>
    <w:rsid w:val="006F0518"/>
    <w:rsid w:val="006F1357"/>
    <w:rsid w:val="006F239D"/>
    <w:rsid w:val="006F292C"/>
    <w:rsid w:val="006F2DBA"/>
    <w:rsid w:val="006F306C"/>
    <w:rsid w:val="006F3842"/>
    <w:rsid w:val="006F3A9F"/>
    <w:rsid w:val="006F54EF"/>
    <w:rsid w:val="006F63A5"/>
    <w:rsid w:val="006F6F86"/>
    <w:rsid w:val="006F71C5"/>
    <w:rsid w:val="00700592"/>
    <w:rsid w:val="0070142B"/>
    <w:rsid w:val="00701D7B"/>
    <w:rsid w:val="007026BF"/>
    <w:rsid w:val="0070276E"/>
    <w:rsid w:val="0070293F"/>
    <w:rsid w:val="00702F8F"/>
    <w:rsid w:val="00703AB5"/>
    <w:rsid w:val="00705713"/>
    <w:rsid w:val="00705A29"/>
    <w:rsid w:val="00706015"/>
    <w:rsid w:val="0070637E"/>
    <w:rsid w:val="00706EEB"/>
    <w:rsid w:val="00706FE5"/>
    <w:rsid w:val="00707429"/>
    <w:rsid w:val="00707592"/>
    <w:rsid w:val="007079FC"/>
    <w:rsid w:val="00707DE5"/>
    <w:rsid w:val="007108F5"/>
    <w:rsid w:val="00710F71"/>
    <w:rsid w:val="00710F87"/>
    <w:rsid w:val="00710FEE"/>
    <w:rsid w:val="00711A36"/>
    <w:rsid w:val="0071280F"/>
    <w:rsid w:val="00713655"/>
    <w:rsid w:val="00713B26"/>
    <w:rsid w:val="00714556"/>
    <w:rsid w:val="00714C26"/>
    <w:rsid w:val="0071529C"/>
    <w:rsid w:val="007170DA"/>
    <w:rsid w:val="007172AD"/>
    <w:rsid w:val="0072045A"/>
    <w:rsid w:val="00720801"/>
    <w:rsid w:val="00720863"/>
    <w:rsid w:val="00721C40"/>
    <w:rsid w:val="00722212"/>
    <w:rsid w:val="00722343"/>
    <w:rsid w:val="00722A68"/>
    <w:rsid w:val="00722B1B"/>
    <w:rsid w:val="00722CDC"/>
    <w:rsid w:val="00723BB7"/>
    <w:rsid w:val="0072416F"/>
    <w:rsid w:val="00725B60"/>
    <w:rsid w:val="007270E9"/>
    <w:rsid w:val="00727C94"/>
    <w:rsid w:val="00730677"/>
    <w:rsid w:val="00731B0A"/>
    <w:rsid w:val="00731EAE"/>
    <w:rsid w:val="00732675"/>
    <w:rsid w:val="0073306E"/>
    <w:rsid w:val="00733073"/>
    <w:rsid w:val="00733B92"/>
    <w:rsid w:val="00735033"/>
    <w:rsid w:val="00735328"/>
    <w:rsid w:val="0073685B"/>
    <w:rsid w:val="00737B8B"/>
    <w:rsid w:val="00740F22"/>
    <w:rsid w:val="00741D06"/>
    <w:rsid w:val="00741E58"/>
    <w:rsid w:val="00742089"/>
    <w:rsid w:val="007444AF"/>
    <w:rsid w:val="007449BF"/>
    <w:rsid w:val="00744BFB"/>
    <w:rsid w:val="00744D22"/>
    <w:rsid w:val="00744F51"/>
    <w:rsid w:val="007452ED"/>
    <w:rsid w:val="00745415"/>
    <w:rsid w:val="00745A13"/>
    <w:rsid w:val="00746471"/>
    <w:rsid w:val="00746A0F"/>
    <w:rsid w:val="00746BC0"/>
    <w:rsid w:val="00746E73"/>
    <w:rsid w:val="00747763"/>
    <w:rsid w:val="00750588"/>
    <w:rsid w:val="007510B4"/>
    <w:rsid w:val="00752142"/>
    <w:rsid w:val="007521DE"/>
    <w:rsid w:val="007523F9"/>
    <w:rsid w:val="007529CD"/>
    <w:rsid w:val="00752D1A"/>
    <w:rsid w:val="00753204"/>
    <w:rsid w:val="00753278"/>
    <w:rsid w:val="0075357E"/>
    <w:rsid w:val="00754A2D"/>
    <w:rsid w:val="0075511E"/>
    <w:rsid w:val="00755D95"/>
    <w:rsid w:val="00756586"/>
    <w:rsid w:val="007573E8"/>
    <w:rsid w:val="007579C2"/>
    <w:rsid w:val="00757A7C"/>
    <w:rsid w:val="00760C4E"/>
    <w:rsid w:val="00760F9E"/>
    <w:rsid w:val="00760FF7"/>
    <w:rsid w:val="00761100"/>
    <w:rsid w:val="007612BD"/>
    <w:rsid w:val="007612D1"/>
    <w:rsid w:val="00762459"/>
    <w:rsid w:val="007627BE"/>
    <w:rsid w:val="00763D39"/>
    <w:rsid w:val="00763E64"/>
    <w:rsid w:val="00764F03"/>
    <w:rsid w:val="0076506F"/>
    <w:rsid w:val="0076555E"/>
    <w:rsid w:val="00765B1A"/>
    <w:rsid w:val="00766971"/>
    <w:rsid w:val="00766D9D"/>
    <w:rsid w:val="00770507"/>
    <w:rsid w:val="007707C3"/>
    <w:rsid w:val="0077174D"/>
    <w:rsid w:val="00772B5B"/>
    <w:rsid w:val="0077360D"/>
    <w:rsid w:val="00773AEC"/>
    <w:rsid w:val="00775AD3"/>
    <w:rsid w:val="007761B9"/>
    <w:rsid w:val="0077635B"/>
    <w:rsid w:val="007765A2"/>
    <w:rsid w:val="00777335"/>
    <w:rsid w:val="0077764F"/>
    <w:rsid w:val="007777F4"/>
    <w:rsid w:val="00780D5D"/>
    <w:rsid w:val="0078176C"/>
    <w:rsid w:val="00782A7C"/>
    <w:rsid w:val="00783153"/>
    <w:rsid w:val="007839C5"/>
    <w:rsid w:val="007843F2"/>
    <w:rsid w:val="0078575F"/>
    <w:rsid w:val="00785A9F"/>
    <w:rsid w:val="00785D3D"/>
    <w:rsid w:val="00786A6E"/>
    <w:rsid w:val="00787AFB"/>
    <w:rsid w:val="00787BA9"/>
    <w:rsid w:val="0079208B"/>
    <w:rsid w:val="007925A2"/>
    <w:rsid w:val="007925DF"/>
    <w:rsid w:val="00794D7B"/>
    <w:rsid w:val="00796011"/>
    <w:rsid w:val="00796500"/>
    <w:rsid w:val="00796A91"/>
    <w:rsid w:val="00797085"/>
    <w:rsid w:val="00797924"/>
    <w:rsid w:val="007A03C3"/>
    <w:rsid w:val="007A05A7"/>
    <w:rsid w:val="007A08AA"/>
    <w:rsid w:val="007A0A12"/>
    <w:rsid w:val="007A132D"/>
    <w:rsid w:val="007A1345"/>
    <w:rsid w:val="007A20EA"/>
    <w:rsid w:val="007A2748"/>
    <w:rsid w:val="007A279A"/>
    <w:rsid w:val="007A2DDB"/>
    <w:rsid w:val="007A3671"/>
    <w:rsid w:val="007A70BA"/>
    <w:rsid w:val="007B0D68"/>
    <w:rsid w:val="007B0E15"/>
    <w:rsid w:val="007B251D"/>
    <w:rsid w:val="007B30C5"/>
    <w:rsid w:val="007B3210"/>
    <w:rsid w:val="007B3F1C"/>
    <w:rsid w:val="007B4F58"/>
    <w:rsid w:val="007B528D"/>
    <w:rsid w:val="007B63CA"/>
    <w:rsid w:val="007B6D21"/>
    <w:rsid w:val="007B7341"/>
    <w:rsid w:val="007B77D1"/>
    <w:rsid w:val="007B7A3C"/>
    <w:rsid w:val="007B7A4B"/>
    <w:rsid w:val="007C07C7"/>
    <w:rsid w:val="007C1CD9"/>
    <w:rsid w:val="007C2044"/>
    <w:rsid w:val="007C32EF"/>
    <w:rsid w:val="007C361D"/>
    <w:rsid w:val="007C3BC0"/>
    <w:rsid w:val="007C4B84"/>
    <w:rsid w:val="007C5D8B"/>
    <w:rsid w:val="007C66BB"/>
    <w:rsid w:val="007C70FF"/>
    <w:rsid w:val="007C7C25"/>
    <w:rsid w:val="007C7DD8"/>
    <w:rsid w:val="007D004F"/>
    <w:rsid w:val="007D0791"/>
    <w:rsid w:val="007D0B38"/>
    <w:rsid w:val="007D0CDE"/>
    <w:rsid w:val="007D0E36"/>
    <w:rsid w:val="007D266D"/>
    <w:rsid w:val="007D49FF"/>
    <w:rsid w:val="007D505D"/>
    <w:rsid w:val="007D5440"/>
    <w:rsid w:val="007D57C0"/>
    <w:rsid w:val="007D69EB"/>
    <w:rsid w:val="007E128F"/>
    <w:rsid w:val="007E29E5"/>
    <w:rsid w:val="007E2B88"/>
    <w:rsid w:val="007E2D06"/>
    <w:rsid w:val="007E3C7D"/>
    <w:rsid w:val="007E3E28"/>
    <w:rsid w:val="007E402D"/>
    <w:rsid w:val="007E4ECB"/>
    <w:rsid w:val="007E5369"/>
    <w:rsid w:val="007E73B3"/>
    <w:rsid w:val="007F01D6"/>
    <w:rsid w:val="007F09A1"/>
    <w:rsid w:val="007F1017"/>
    <w:rsid w:val="007F1CAE"/>
    <w:rsid w:val="007F1FD0"/>
    <w:rsid w:val="007F24EC"/>
    <w:rsid w:val="007F4009"/>
    <w:rsid w:val="007F4A3F"/>
    <w:rsid w:val="007F4A61"/>
    <w:rsid w:val="007F5255"/>
    <w:rsid w:val="007F56CC"/>
    <w:rsid w:val="007F5820"/>
    <w:rsid w:val="007F61C2"/>
    <w:rsid w:val="007F712E"/>
    <w:rsid w:val="007F758C"/>
    <w:rsid w:val="008007EE"/>
    <w:rsid w:val="00801BCE"/>
    <w:rsid w:val="00801EA8"/>
    <w:rsid w:val="00801EBD"/>
    <w:rsid w:val="00802090"/>
    <w:rsid w:val="00802E73"/>
    <w:rsid w:val="00802EE1"/>
    <w:rsid w:val="008040BD"/>
    <w:rsid w:val="00805142"/>
    <w:rsid w:val="008058E3"/>
    <w:rsid w:val="00805AAD"/>
    <w:rsid w:val="00805D86"/>
    <w:rsid w:val="00805FCE"/>
    <w:rsid w:val="00806668"/>
    <w:rsid w:val="0080749C"/>
    <w:rsid w:val="00807A8B"/>
    <w:rsid w:val="00807DD1"/>
    <w:rsid w:val="00807FB9"/>
    <w:rsid w:val="008104FC"/>
    <w:rsid w:val="00811383"/>
    <w:rsid w:val="00812149"/>
    <w:rsid w:val="0081298F"/>
    <w:rsid w:val="00812CAC"/>
    <w:rsid w:val="00812CDD"/>
    <w:rsid w:val="0081312A"/>
    <w:rsid w:val="00813645"/>
    <w:rsid w:val="00813703"/>
    <w:rsid w:val="00813933"/>
    <w:rsid w:val="00813B80"/>
    <w:rsid w:val="0081462E"/>
    <w:rsid w:val="00815C26"/>
    <w:rsid w:val="0081602A"/>
    <w:rsid w:val="008161D0"/>
    <w:rsid w:val="00816361"/>
    <w:rsid w:val="008166EF"/>
    <w:rsid w:val="00816C83"/>
    <w:rsid w:val="00816FEF"/>
    <w:rsid w:val="00817690"/>
    <w:rsid w:val="00817BFE"/>
    <w:rsid w:val="00817C04"/>
    <w:rsid w:val="0082099C"/>
    <w:rsid w:val="00820A8C"/>
    <w:rsid w:val="00820D5B"/>
    <w:rsid w:val="00820E06"/>
    <w:rsid w:val="008211C7"/>
    <w:rsid w:val="008215FB"/>
    <w:rsid w:val="00822B00"/>
    <w:rsid w:val="00822E90"/>
    <w:rsid w:val="00823174"/>
    <w:rsid w:val="00823CF1"/>
    <w:rsid w:val="00823DD0"/>
    <w:rsid w:val="0082489F"/>
    <w:rsid w:val="00824F36"/>
    <w:rsid w:val="0082530E"/>
    <w:rsid w:val="00825751"/>
    <w:rsid w:val="00825AC2"/>
    <w:rsid w:val="00825D95"/>
    <w:rsid w:val="008262B0"/>
    <w:rsid w:val="008264EB"/>
    <w:rsid w:val="00827415"/>
    <w:rsid w:val="00827BA3"/>
    <w:rsid w:val="008302D6"/>
    <w:rsid w:val="00831167"/>
    <w:rsid w:val="008314A9"/>
    <w:rsid w:val="00832508"/>
    <w:rsid w:val="0083340C"/>
    <w:rsid w:val="00833643"/>
    <w:rsid w:val="00833B05"/>
    <w:rsid w:val="008340CB"/>
    <w:rsid w:val="00834209"/>
    <w:rsid w:val="008344C9"/>
    <w:rsid w:val="008353FD"/>
    <w:rsid w:val="008362B4"/>
    <w:rsid w:val="00836710"/>
    <w:rsid w:val="00837B08"/>
    <w:rsid w:val="00837B32"/>
    <w:rsid w:val="0084067F"/>
    <w:rsid w:val="00840C8C"/>
    <w:rsid w:val="00840CA2"/>
    <w:rsid w:val="00841587"/>
    <w:rsid w:val="008423D0"/>
    <w:rsid w:val="008432EA"/>
    <w:rsid w:val="008436BE"/>
    <w:rsid w:val="0084374F"/>
    <w:rsid w:val="00843B80"/>
    <w:rsid w:val="0084400D"/>
    <w:rsid w:val="0084485F"/>
    <w:rsid w:val="00844A22"/>
    <w:rsid w:val="00845197"/>
    <w:rsid w:val="00845DDA"/>
    <w:rsid w:val="0084691D"/>
    <w:rsid w:val="00846A6C"/>
    <w:rsid w:val="00846ABC"/>
    <w:rsid w:val="00847703"/>
    <w:rsid w:val="00847896"/>
    <w:rsid w:val="00847BFD"/>
    <w:rsid w:val="00847DF5"/>
    <w:rsid w:val="00850078"/>
    <w:rsid w:val="00851370"/>
    <w:rsid w:val="00851A9D"/>
    <w:rsid w:val="00851BD3"/>
    <w:rsid w:val="00852030"/>
    <w:rsid w:val="0085291A"/>
    <w:rsid w:val="0085309D"/>
    <w:rsid w:val="00853803"/>
    <w:rsid w:val="0085385E"/>
    <w:rsid w:val="008559EC"/>
    <w:rsid w:val="00856228"/>
    <w:rsid w:val="00856537"/>
    <w:rsid w:val="00856897"/>
    <w:rsid w:val="00856938"/>
    <w:rsid w:val="00856E9A"/>
    <w:rsid w:val="00856FC8"/>
    <w:rsid w:val="008579FE"/>
    <w:rsid w:val="0086075D"/>
    <w:rsid w:val="008607C1"/>
    <w:rsid w:val="00861F31"/>
    <w:rsid w:val="00862502"/>
    <w:rsid w:val="00862CC1"/>
    <w:rsid w:val="00862DEF"/>
    <w:rsid w:val="008634A4"/>
    <w:rsid w:val="00865702"/>
    <w:rsid w:val="00865DB6"/>
    <w:rsid w:val="008660D4"/>
    <w:rsid w:val="0086707F"/>
    <w:rsid w:val="00867365"/>
    <w:rsid w:val="00870866"/>
    <w:rsid w:val="00870C36"/>
    <w:rsid w:val="008714F9"/>
    <w:rsid w:val="00871FA9"/>
    <w:rsid w:val="008726DE"/>
    <w:rsid w:val="008726F9"/>
    <w:rsid w:val="008728E9"/>
    <w:rsid w:val="00873651"/>
    <w:rsid w:val="008736F8"/>
    <w:rsid w:val="008738A7"/>
    <w:rsid w:val="0087564C"/>
    <w:rsid w:val="008758A4"/>
    <w:rsid w:val="00876485"/>
    <w:rsid w:val="00876964"/>
    <w:rsid w:val="00880792"/>
    <w:rsid w:val="00880B95"/>
    <w:rsid w:val="00880DDC"/>
    <w:rsid w:val="008814A5"/>
    <w:rsid w:val="008819AA"/>
    <w:rsid w:val="00881F04"/>
    <w:rsid w:val="00882187"/>
    <w:rsid w:val="00882874"/>
    <w:rsid w:val="00882C6E"/>
    <w:rsid w:val="00882E3C"/>
    <w:rsid w:val="00883787"/>
    <w:rsid w:val="00885037"/>
    <w:rsid w:val="00885064"/>
    <w:rsid w:val="008855E4"/>
    <w:rsid w:val="00886CD2"/>
    <w:rsid w:val="00887342"/>
    <w:rsid w:val="00887E15"/>
    <w:rsid w:val="00891E6F"/>
    <w:rsid w:val="00892585"/>
    <w:rsid w:val="0089275D"/>
    <w:rsid w:val="00892A36"/>
    <w:rsid w:val="00892D57"/>
    <w:rsid w:val="00892E47"/>
    <w:rsid w:val="00893239"/>
    <w:rsid w:val="00893A6C"/>
    <w:rsid w:val="00893B66"/>
    <w:rsid w:val="00893CD8"/>
    <w:rsid w:val="00894489"/>
    <w:rsid w:val="00895906"/>
    <w:rsid w:val="008963A5"/>
    <w:rsid w:val="00896C13"/>
    <w:rsid w:val="00896D5D"/>
    <w:rsid w:val="008976CC"/>
    <w:rsid w:val="008A0743"/>
    <w:rsid w:val="008A1C71"/>
    <w:rsid w:val="008A1EDF"/>
    <w:rsid w:val="008A3363"/>
    <w:rsid w:val="008A3371"/>
    <w:rsid w:val="008A3C3E"/>
    <w:rsid w:val="008A4F60"/>
    <w:rsid w:val="008A5624"/>
    <w:rsid w:val="008A6ED2"/>
    <w:rsid w:val="008A7054"/>
    <w:rsid w:val="008A7980"/>
    <w:rsid w:val="008A79DE"/>
    <w:rsid w:val="008B048E"/>
    <w:rsid w:val="008B09D4"/>
    <w:rsid w:val="008B0D30"/>
    <w:rsid w:val="008B0F37"/>
    <w:rsid w:val="008B0FE6"/>
    <w:rsid w:val="008B142C"/>
    <w:rsid w:val="008B1757"/>
    <w:rsid w:val="008B2862"/>
    <w:rsid w:val="008B2975"/>
    <w:rsid w:val="008B3C55"/>
    <w:rsid w:val="008B3D4A"/>
    <w:rsid w:val="008B5220"/>
    <w:rsid w:val="008B6552"/>
    <w:rsid w:val="008B67D3"/>
    <w:rsid w:val="008B7992"/>
    <w:rsid w:val="008B7D7E"/>
    <w:rsid w:val="008B7F1B"/>
    <w:rsid w:val="008C0B68"/>
    <w:rsid w:val="008C3A9E"/>
    <w:rsid w:val="008C422C"/>
    <w:rsid w:val="008C4C78"/>
    <w:rsid w:val="008C5610"/>
    <w:rsid w:val="008C5713"/>
    <w:rsid w:val="008C5739"/>
    <w:rsid w:val="008C58E6"/>
    <w:rsid w:val="008C648D"/>
    <w:rsid w:val="008C66AE"/>
    <w:rsid w:val="008C70F9"/>
    <w:rsid w:val="008C753C"/>
    <w:rsid w:val="008C792A"/>
    <w:rsid w:val="008C7DD9"/>
    <w:rsid w:val="008C7ECB"/>
    <w:rsid w:val="008D0AE0"/>
    <w:rsid w:val="008D0BD9"/>
    <w:rsid w:val="008D0E5C"/>
    <w:rsid w:val="008D30F3"/>
    <w:rsid w:val="008D3B83"/>
    <w:rsid w:val="008D3B86"/>
    <w:rsid w:val="008D44D3"/>
    <w:rsid w:val="008D4755"/>
    <w:rsid w:val="008D4C3D"/>
    <w:rsid w:val="008D66D5"/>
    <w:rsid w:val="008D6A0D"/>
    <w:rsid w:val="008D743C"/>
    <w:rsid w:val="008D76C5"/>
    <w:rsid w:val="008E02B5"/>
    <w:rsid w:val="008E08EE"/>
    <w:rsid w:val="008E0D3C"/>
    <w:rsid w:val="008E10AB"/>
    <w:rsid w:val="008E1AC7"/>
    <w:rsid w:val="008E1B9E"/>
    <w:rsid w:val="008E3451"/>
    <w:rsid w:val="008E385D"/>
    <w:rsid w:val="008E3E24"/>
    <w:rsid w:val="008E3E7E"/>
    <w:rsid w:val="008E424C"/>
    <w:rsid w:val="008E4301"/>
    <w:rsid w:val="008E4D26"/>
    <w:rsid w:val="008E55AB"/>
    <w:rsid w:val="008E6972"/>
    <w:rsid w:val="008E6D67"/>
    <w:rsid w:val="008E7327"/>
    <w:rsid w:val="008E7912"/>
    <w:rsid w:val="008F120A"/>
    <w:rsid w:val="008F1EC7"/>
    <w:rsid w:val="008F27E0"/>
    <w:rsid w:val="008F2F01"/>
    <w:rsid w:val="008F2F0D"/>
    <w:rsid w:val="008F3077"/>
    <w:rsid w:val="008F38F8"/>
    <w:rsid w:val="008F45F3"/>
    <w:rsid w:val="008F48EB"/>
    <w:rsid w:val="008F4B14"/>
    <w:rsid w:val="008F4F0B"/>
    <w:rsid w:val="008F514F"/>
    <w:rsid w:val="008F59CD"/>
    <w:rsid w:val="008F6572"/>
    <w:rsid w:val="008F7E0C"/>
    <w:rsid w:val="009000EF"/>
    <w:rsid w:val="0090015C"/>
    <w:rsid w:val="009009D2"/>
    <w:rsid w:val="0090103D"/>
    <w:rsid w:val="00901851"/>
    <w:rsid w:val="00903C21"/>
    <w:rsid w:val="00904040"/>
    <w:rsid w:val="009046C4"/>
    <w:rsid w:val="00904709"/>
    <w:rsid w:val="0090540C"/>
    <w:rsid w:val="00905824"/>
    <w:rsid w:val="009062A5"/>
    <w:rsid w:val="00906554"/>
    <w:rsid w:val="00906A4A"/>
    <w:rsid w:val="009070A3"/>
    <w:rsid w:val="009073A8"/>
    <w:rsid w:val="009077B6"/>
    <w:rsid w:val="00907EC8"/>
    <w:rsid w:val="00910FA7"/>
    <w:rsid w:val="00911272"/>
    <w:rsid w:val="0091313A"/>
    <w:rsid w:val="009135D6"/>
    <w:rsid w:val="00913BC8"/>
    <w:rsid w:val="00914C77"/>
    <w:rsid w:val="00914F22"/>
    <w:rsid w:val="0091556B"/>
    <w:rsid w:val="0091578A"/>
    <w:rsid w:val="00917037"/>
    <w:rsid w:val="0091715F"/>
    <w:rsid w:val="00920967"/>
    <w:rsid w:val="009212D5"/>
    <w:rsid w:val="0092137C"/>
    <w:rsid w:val="00921ACB"/>
    <w:rsid w:val="0092369B"/>
    <w:rsid w:val="00924432"/>
    <w:rsid w:val="0092560E"/>
    <w:rsid w:val="00925C33"/>
    <w:rsid w:val="009277A4"/>
    <w:rsid w:val="00927A15"/>
    <w:rsid w:val="00930017"/>
    <w:rsid w:val="00933F52"/>
    <w:rsid w:val="00934988"/>
    <w:rsid w:val="00934BCB"/>
    <w:rsid w:val="00936A43"/>
    <w:rsid w:val="00937089"/>
    <w:rsid w:val="009402CF"/>
    <w:rsid w:val="009403DF"/>
    <w:rsid w:val="009418FC"/>
    <w:rsid w:val="0094257C"/>
    <w:rsid w:val="0094282B"/>
    <w:rsid w:val="009428CF"/>
    <w:rsid w:val="00942CDC"/>
    <w:rsid w:val="0094352F"/>
    <w:rsid w:val="00943610"/>
    <w:rsid w:val="009438A9"/>
    <w:rsid w:val="00943DA8"/>
    <w:rsid w:val="0094415A"/>
    <w:rsid w:val="00944309"/>
    <w:rsid w:val="00944A01"/>
    <w:rsid w:val="00944BC5"/>
    <w:rsid w:val="00944F8A"/>
    <w:rsid w:val="00944FE4"/>
    <w:rsid w:val="009462F3"/>
    <w:rsid w:val="00946C61"/>
    <w:rsid w:val="00950E97"/>
    <w:rsid w:val="009510A2"/>
    <w:rsid w:val="00951884"/>
    <w:rsid w:val="009519B6"/>
    <w:rsid w:val="00951CD0"/>
    <w:rsid w:val="00953257"/>
    <w:rsid w:val="00953C1F"/>
    <w:rsid w:val="00953E3D"/>
    <w:rsid w:val="0095437A"/>
    <w:rsid w:val="0095474C"/>
    <w:rsid w:val="009572CD"/>
    <w:rsid w:val="009602BD"/>
    <w:rsid w:val="00961039"/>
    <w:rsid w:val="00962CB9"/>
    <w:rsid w:val="00963540"/>
    <w:rsid w:val="00963561"/>
    <w:rsid w:val="00964312"/>
    <w:rsid w:val="009651BA"/>
    <w:rsid w:val="00965B8A"/>
    <w:rsid w:val="00967A3F"/>
    <w:rsid w:val="00967D0A"/>
    <w:rsid w:val="00967F7D"/>
    <w:rsid w:val="00970037"/>
    <w:rsid w:val="0097071F"/>
    <w:rsid w:val="009708DB"/>
    <w:rsid w:val="00970AF4"/>
    <w:rsid w:val="00970BAD"/>
    <w:rsid w:val="00971291"/>
    <w:rsid w:val="009717AC"/>
    <w:rsid w:val="00972336"/>
    <w:rsid w:val="009729F3"/>
    <w:rsid w:val="0097328E"/>
    <w:rsid w:val="00973D4A"/>
    <w:rsid w:val="009748D2"/>
    <w:rsid w:val="009751C1"/>
    <w:rsid w:val="00975C76"/>
    <w:rsid w:val="00976E5B"/>
    <w:rsid w:val="0098058A"/>
    <w:rsid w:val="00980F06"/>
    <w:rsid w:val="009811F1"/>
    <w:rsid w:val="00981B8C"/>
    <w:rsid w:val="00981E01"/>
    <w:rsid w:val="00982350"/>
    <w:rsid w:val="0098319F"/>
    <w:rsid w:val="00983598"/>
    <w:rsid w:val="00983E57"/>
    <w:rsid w:val="009847D1"/>
    <w:rsid w:val="009850EC"/>
    <w:rsid w:val="0098541A"/>
    <w:rsid w:val="0098564A"/>
    <w:rsid w:val="00985DE2"/>
    <w:rsid w:val="00985F51"/>
    <w:rsid w:val="00985F9D"/>
    <w:rsid w:val="0098675D"/>
    <w:rsid w:val="00986FD5"/>
    <w:rsid w:val="00991472"/>
    <w:rsid w:val="00991D03"/>
    <w:rsid w:val="009923E6"/>
    <w:rsid w:val="009926E0"/>
    <w:rsid w:val="0099296C"/>
    <w:rsid w:val="00992D65"/>
    <w:rsid w:val="0099451E"/>
    <w:rsid w:val="00994818"/>
    <w:rsid w:val="009952B3"/>
    <w:rsid w:val="00995BBD"/>
    <w:rsid w:val="00995E7F"/>
    <w:rsid w:val="00995FAC"/>
    <w:rsid w:val="00996B1A"/>
    <w:rsid w:val="00997D7D"/>
    <w:rsid w:val="009A021C"/>
    <w:rsid w:val="009A0BED"/>
    <w:rsid w:val="009A0F56"/>
    <w:rsid w:val="009A2DCC"/>
    <w:rsid w:val="009A3FF4"/>
    <w:rsid w:val="009A42B6"/>
    <w:rsid w:val="009A4EE7"/>
    <w:rsid w:val="009A5ABC"/>
    <w:rsid w:val="009A6360"/>
    <w:rsid w:val="009A71BD"/>
    <w:rsid w:val="009A7A8C"/>
    <w:rsid w:val="009A7B0F"/>
    <w:rsid w:val="009A7F10"/>
    <w:rsid w:val="009B1A36"/>
    <w:rsid w:val="009B2520"/>
    <w:rsid w:val="009B3BD8"/>
    <w:rsid w:val="009B3E26"/>
    <w:rsid w:val="009B3EA8"/>
    <w:rsid w:val="009B493B"/>
    <w:rsid w:val="009B4E56"/>
    <w:rsid w:val="009B59F8"/>
    <w:rsid w:val="009B6A94"/>
    <w:rsid w:val="009B6E0F"/>
    <w:rsid w:val="009B7336"/>
    <w:rsid w:val="009C20BE"/>
    <w:rsid w:val="009C3706"/>
    <w:rsid w:val="009C380E"/>
    <w:rsid w:val="009C3A3A"/>
    <w:rsid w:val="009C4FFB"/>
    <w:rsid w:val="009C5113"/>
    <w:rsid w:val="009C5143"/>
    <w:rsid w:val="009C594A"/>
    <w:rsid w:val="009C64E5"/>
    <w:rsid w:val="009C67E0"/>
    <w:rsid w:val="009C6CAD"/>
    <w:rsid w:val="009C6CEA"/>
    <w:rsid w:val="009C773D"/>
    <w:rsid w:val="009C7B85"/>
    <w:rsid w:val="009C7E5A"/>
    <w:rsid w:val="009D0254"/>
    <w:rsid w:val="009D0A71"/>
    <w:rsid w:val="009D1A64"/>
    <w:rsid w:val="009D2473"/>
    <w:rsid w:val="009D37D9"/>
    <w:rsid w:val="009D3F25"/>
    <w:rsid w:val="009D42A2"/>
    <w:rsid w:val="009D43C4"/>
    <w:rsid w:val="009D4E93"/>
    <w:rsid w:val="009D5452"/>
    <w:rsid w:val="009D54F5"/>
    <w:rsid w:val="009D5B91"/>
    <w:rsid w:val="009D5D10"/>
    <w:rsid w:val="009D67C2"/>
    <w:rsid w:val="009D69D3"/>
    <w:rsid w:val="009D71B1"/>
    <w:rsid w:val="009D792E"/>
    <w:rsid w:val="009D7B10"/>
    <w:rsid w:val="009E082D"/>
    <w:rsid w:val="009E083C"/>
    <w:rsid w:val="009E0D86"/>
    <w:rsid w:val="009E0DFE"/>
    <w:rsid w:val="009E2C08"/>
    <w:rsid w:val="009E2F8E"/>
    <w:rsid w:val="009E31F6"/>
    <w:rsid w:val="009E34EB"/>
    <w:rsid w:val="009E4C07"/>
    <w:rsid w:val="009E5C37"/>
    <w:rsid w:val="009E5F97"/>
    <w:rsid w:val="009E78D6"/>
    <w:rsid w:val="009E7DC7"/>
    <w:rsid w:val="009F0D42"/>
    <w:rsid w:val="009F0F45"/>
    <w:rsid w:val="009F1D07"/>
    <w:rsid w:val="009F38C1"/>
    <w:rsid w:val="009F3CD9"/>
    <w:rsid w:val="009F48CA"/>
    <w:rsid w:val="009F4EC1"/>
    <w:rsid w:val="009F57AE"/>
    <w:rsid w:val="009F5D28"/>
    <w:rsid w:val="009F7E01"/>
    <w:rsid w:val="00A003B3"/>
    <w:rsid w:val="00A01184"/>
    <w:rsid w:val="00A0134B"/>
    <w:rsid w:val="00A01ED7"/>
    <w:rsid w:val="00A034EC"/>
    <w:rsid w:val="00A03570"/>
    <w:rsid w:val="00A037C2"/>
    <w:rsid w:val="00A03D43"/>
    <w:rsid w:val="00A041D5"/>
    <w:rsid w:val="00A04224"/>
    <w:rsid w:val="00A04380"/>
    <w:rsid w:val="00A043BE"/>
    <w:rsid w:val="00A05472"/>
    <w:rsid w:val="00A05520"/>
    <w:rsid w:val="00A05C32"/>
    <w:rsid w:val="00A061AB"/>
    <w:rsid w:val="00A0653F"/>
    <w:rsid w:val="00A06EB5"/>
    <w:rsid w:val="00A06FE6"/>
    <w:rsid w:val="00A07044"/>
    <w:rsid w:val="00A07226"/>
    <w:rsid w:val="00A077F0"/>
    <w:rsid w:val="00A07A71"/>
    <w:rsid w:val="00A07B41"/>
    <w:rsid w:val="00A07E13"/>
    <w:rsid w:val="00A1126A"/>
    <w:rsid w:val="00A11CD0"/>
    <w:rsid w:val="00A11E05"/>
    <w:rsid w:val="00A1273F"/>
    <w:rsid w:val="00A13032"/>
    <w:rsid w:val="00A13948"/>
    <w:rsid w:val="00A13F67"/>
    <w:rsid w:val="00A15031"/>
    <w:rsid w:val="00A1555B"/>
    <w:rsid w:val="00A155C5"/>
    <w:rsid w:val="00A15BEF"/>
    <w:rsid w:val="00A16AD8"/>
    <w:rsid w:val="00A17598"/>
    <w:rsid w:val="00A17659"/>
    <w:rsid w:val="00A202DD"/>
    <w:rsid w:val="00A216CA"/>
    <w:rsid w:val="00A21C95"/>
    <w:rsid w:val="00A21CF3"/>
    <w:rsid w:val="00A21EB7"/>
    <w:rsid w:val="00A22657"/>
    <w:rsid w:val="00A22999"/>
    <w:rsid w:val="00A22DDD"/>
    <w:rsid w:val="00A240E3"/>
    <w:rsid w:val="00A24813"/>
    <w:rsid w:val="00A24B8F"/>
    <w:rsid w:val="00A25EF8"/>
    <w:rsid w:val="00A27AEC"/>
    <w:rsid w:val="00A27DEA"/>
    <w:rsid w:val="00A3046A"/>
    <w:rsid w:val="00A31192"/>
    <w:rsid w:val="00A31592"/>
    <w:rsid w:val="00A320DB"/>
    <w:rsid w:val="00A321CB"/>
    <w:rsid w:val="00A32322"/>
    <w:rsid w:val="00A3235A"/>
    <w:rsid w:val="00A32FD9"/>
    <w:rsid w:val="00A3574C"/>
    <w:rsid w:val="00A35CD9"/>
    <w:rsid w:val="00A35D16"/>
    <w:rsid w:val="00A3668B"/>
    <w:rsid w:val="00A37AC4"/>
    <w:rsid w:val="00A37BCD"/>
    <w:rsid w:val="00A37C4E"/>
    <w:rsid w:val="00A40119"/>
    <w:rsid w:val="00A40DD2"/>
    <w:rsid w:val="00A415BC"/>
    <w:rsid w:val="00A41689"/>
    <w:rsid w:val="00A42592"/>
    <w:rsid w:val="00A42C2E"/>
    <w:rsid w:val="00A4356C"/>
    <w:rsid w:val="00A437EC"/>
    <w:rsid w:val="00A43C59"/>
    <w:rsid w:val="00A45B86"/>
    <w:rsid w:val="00A4727E"/>
    <w:rsid w:val="00A47BA5"/>
    <w:rsid w:val="00A50B9E"/>
    <w:rsid w:val="00A50E7E"/>
    <w:rsid w:val="00A50ECD"/>
    <w:rsid w:val="00A518F3"/>
    <w:rsid w:val="00A51BC3"/>
    <w:rsid w:val="00A52729"/>
    <w:rsid w:val="00A52A7D"/>
    <w:rsid w:val="00A53241"/>
    <w:rsid w:val="00A53675"/>
    <w:rsid w:val="00A54270"/>
    <w:rsid w:val="00A54680"/>
    <w:rsid w:val="00A54FE5"/>
    <w:rsid w:val="00A55FCD"/>
    <w:rsid w:val="00A564D6"/>
    <w:rsid w:val="00A564D7"/>
    <w:rsid w:val="00A5657A"/>
    <w:rsid w:val="00A56B6A"/>
    <w:rsid w:val="00A5729F"/>
    <w:rsid w:val="00A578DC"/>
    <w:rsid w:val="00A62074"/>
    <w:rsid w:val="00A6226B"/>
    <w:rsid w:val="00A62A53"/>
    <w:rsid w:val="00A62EB5"/>
    <w:rsid w:val="00A640E2"/>
    <w:rsid w:val="00A64D65"/>
    <w:rsid w:val="00A6541E"/>
    <w:rsid w:val="00A66675"/>
    <w:rsid w:val="00A6725B"/>
    <w:rsid w:val="00A6777E"/>
    <w:rsid w:val="00A70605"/>
    <w:rsid w:val="00A71114"/>
    <w:rsid w:val="00A73134"/>
    <w:rsid w:val="00A73663"/>
    <w:rsid w:val="00A73931"/>
    <w:rsid w:val="00A73A22"/>
    <w:rsid w:val="00A742DC"/>
    <w:rsid w:val="00A7484D"/>
    <w:rsid w:val="00A7596D"/>
    <w:rsid w:val="00A75C50"/>
    <w:rsid w:val="00A75FB8"/>
    <w:rsid w:val="00A76001"/>
    <w:rsid w:val="00A76C99"/>
    <w:rsid w:val="00A770E5"/>
    <w:rsid w:val="00A777B2"/>
    <w:rsid w:val="00A77B91"/>
    <w:rsid w:val="00A77D53"/>
    <w:rsid w:val="00A817D3"/>
    <w:rsid w:val="00A81993"/>
    <w:rsid w:val="00A825D4"/>
    <w:rsid w:val="00A825F3"/>
    <w:rsid w:val="00A82723"/>
    <w:rsid w:val="00A828F6"/>
    <w:rsid w:val="00A82B73"/>
    <w:rsid w:val="00A83317"/>
    <w:rsid w:val="00A849B2"/>
    <w:rsid w:val="00A84B84"/>
    <w:rsid w:val="00A85416"/>
    <w:rsid w:val="00A85BD8"/>
    <w:rsid w:val="00A85F5E"/>
    <w:rsid w:val="00A86A60"/>
    <w:rsid w:val="00A86E8B"/>
    <w:rsid w:val="00A87164"/>
    <w:rsid w:val="00A8753E"/>
    <w:rsid w:val="00A8787E"/>
    <w:rsid w:val="00A87D8F"/>
    <w:rsid w:val="00A90F09"/>
    <w:rsid w:val="00A91DF0"/>
    <w:rsid w:val="00A92AE4"/>
    <w:rsid w:val="00A92B40"/>
    <w:rsid w:val="00A93072"/>
    <w:rsid w:val="00A938BD"/>
    <w:rsid w:val="00A93953"/>
    <w:rsid w:val="00A95198"/>
    <w:rsid w:val="00A95230"/>
    <w:rsid w:val="00A959D8"/>
    <w:rsid w:val="00A96157"/>
    <w:rsid w:val="00A96B66"/>
    <w:rsid w:val="00AA0592"/>
    <w:rsid w:val="00AA07A7"/>
    <w:rsid w:val="00AA113D"/>
    <w:rsid w:val="00AA199D"/>
    <w:rsid w:val="00AA2DB1"/>
    <w:rsid w:val="00AA2DBC"/>
    <w:rsid w:val="00AA45E4"/>
    <w:rsid w:val="00AA57FE"/>
    <w:rsid w:val="00AA6186"/>
    <w:rsid w:val="00AA6BD5"/>
    <w:rsid w:val="00AA6BD8"/>
    <w:rsid w:val="00AA6C7D"/>
    <w:rsid w:val="00AA6F90"/>
    <w:rsid w:val="00AA7689"/>
    <w:rsid w:val="00AA7767"/>
    <w:rsid w:val="00AA7FD6"/>
    <w:rsid w:val="00AB042A"/>
    <w:rsid w:val="00AB0556"/>
    <w:rsid w:val="00AB0D13"/>
    <w:rsid w:val="00AB0DC1"/>
    <w:rsid w:val="00AB14A2"/>
    <w:rsid w:val="00AB19EF"/>
    <w:rsid w:val="00AB2D34"/>
    <w:rsid w:val="00AB2E79"/>
    <w:rsid w:val="00AB2FC7"/>
    <w:rsid w:val="00AB3430"/>
    <w:rsid w:val="00AB3432"/>
    <w:rsid w:val="00AB36A6"/>
    <w:rsid w:val="00AB37B9"/>
    <w:rsid w:val="00AB4496"/>
    <w:rsid w:val="00AB4AD1"/>
    <w:rsid w:val="00AB4E9F"/>
    <w:rsid w:val="00AB5E07"/>
    <w:rsid w:val="00AB5F83"/>
    <w:rsid w:val="00AB6223"/>
    <w:rsid w:val="00AB62F9"/>
    <w:rsid w:val="00AB6340"/>
    <w:rsid w:val="00AB663E"/>
    <w:rsid w:val="00AB74AB"/>
    <w:rsid w:val="00AB7CFA"/>
    <w:rsid w:val="00AC068A"/>
    <w:rsid w:val="00AC0949"/>
    <w:rsid w:val="00AC0B75"/>
    <w:rsid w:val="00AC124A"/>
    <w:rsid w:val="00AC15A8"/>
    <w:rsid w:val="00AC16BF"/>
    <w:rsid w:val="00AC2D6D"/>
    <w:rsid w:val="00AC2F25"/>
    <w:rsid w:val="00AC349B"/>
    <w:rsid w:val="00AC39AF"/>
    <w:rsid w:val="00AC40B7"/>
    <w:rsid w:val="00AC43C0"/>
    <w:rsid w:val="00AC49BA"/>
    <w:rsid w:val="00AC4C73"/>
    <w:rsid w:val="00AC4F55"/>
    <w:rsid w:val="00AC5B48"/>
    <w:rsid w:val="00AC66DD"/>
    <w:rsid w:val="00AC76BF"/>
    <w:rsid w:val="00AD1450"/>
    <w:rsid w:val="00AD1A37"/>
    <w:rsid w:val="00AD1D15"/>
    <w:rsid w:val="00AD2127"/>
    <w:rsid w:val="00AD340F"/>
    <w:rsid w:val="00AD3A0B"/>
    <w:rsid w:val="00AD3AF4"/>
    <w:rsid w:val="00AD3D69"/>
    <w:rsid w:val="00AD3F0F"/>
    <w:rsid w:val="00AD4582"/>
    <w:rsid w:val="00AD479C"/>
    <w:rsid w:val="00AD4CB1"/>
    <w:rsid w:val="00AD4F81"/>
    <w:rsid w:val="00AD507F"/>
    <w:rsid w:val="00AD636C"/>
    <w:rsid w:val="00AD6502"/>
    <w:rsid w:val="00AD6692"/>
    <w:rsid w:val="00AD7284"/>
    <w:rsid w:val="00AE0695"/>
    <w:rsid w:val="00AE0E07"/>
    <w:rsid w:val="00AE122E"/>
    <w:rsid w:val="00AE23E9"/>
    <w:rsid w:val="00AE282D"/>
    <w:rsid w:val="00AE3E75"/>
    <w:rsid w:val="00AE3E7E"/>
    <w:rsid w:val="00AE3FF6"/>
    <w:rsid w:val="00AE450F"/>
    <w:rsid w:val="00AE4FB8"/>
    <w:rsid w:val="00AE5E98"/>
    <w:rsid w:val="00AE710F"/>
    <w:rsid w:val="00AE7F17"/>
    <w:rsid w:val="00AF1217"/>
    <w:rsid w:val="00AF1315"/>
    <w:rsid w:val="00AF19BF"/>
    <w:rsid w:val="00AF24BC"/>
    <w:rsid w:val="00AF2DC3"/>
    <w:rsid w:val="00AF2F0F"/>
    <w:rsid w:val="00AF3BB8"/>
    <w:rsid w:val="00AF4C94"/>
    <w:rsid w:val="00AF5BFB"/>
    <w:rsid w:val="00AF5FFD"/>
    <w:rsid w:val="00AF60E6"/>
    <w:rsid w:val="00AF6880"/>
    <w:rsid w:val="00AF6BD9"/>
    <w:rsid w:val="00AF70F3"/>
    <w:rsid w:val="00AF7797"/>
    <w:rsid w:val="00B00E74"/>
    <w:rsid w:val="00B0184C"/>
    <w:rsid w:val="00B02256"/>
    <w:rsid w:val="00B022AD"/>
    <w:rsid w:val="00B03388"/>
    <w:rsid w:val="00B033E5"/>
    <w:rsid w:val="00B03831"/>
    <w:rsid w:val="00B03A63"/>
    <w:rsid w:val="00B0499A"/>
    <w:rsid w:val="00B04B1E"/>
    <w:rsid w:val="00B05913"/>
    <w:rsid w:val="00B059FB"/>
    <w:rsid w:val="00B05C45"/>
    <w:rsid w:val="00B06359"/>
    <w:rsid w:val="00B06ED7"/>
    <w:rsid w:val="00B07153"/>
    <w:rsid w:val="00B07426"/>
    <w:rsid w:val="00B10752"/>
    <w:rsid w:val="00B10AB0"/>
    <w:rsid w:val="00B10D58"/>
    <w:rsid w:val="00B114ED"/>
    <w:rsid w:val="00B11BE5"/>
    <w:rsid w:val="00B133E1"/>
    <w:rsid w:val="00B139B4"/>
    <w:rsid w:val="00B146B8"/>
    <w:rsid w:val="00B15876"/>
    <w:rsid w:val="00B17679"/>
    <w:rsid w:val="00B1797D"/>
    <w:rsid w:val="00B201A4"/>
    <w:rsid w:val="00B201D1"/>
    <w:rsid w:val="00B213A6"/>
    <w:rsid w:val="00B21807"/>
    <w:rsid w:val="00B218EA"/>
    <w:rsid w:val="00B21AA7"/>
    <w:rsid w:val="00B21C72"/>
    <w:rsid w:val="00B221BC"/>
    <w:rsid w:val="00B22F76"/>
    <w:rsid w:val="00B2313F"/>
    <w:rsid w:val="00B23230"/>
    <w:rsid w:val="00B235B0"/>
    <w:rsid w:val="00B23A5A"/>
    <w:rsid w:val="00B23C55"/>
    <w:rsid w:val="00B243C6"/>
    <w:rsid w:val="00B24A6A"/>
    <w:rsid w:val="00B24DF6"/>
    <w:rsid w:val="00B24E5E"/>
    <w:rsid w:val="00B266ED"/>
    <w:rsid w:val="00B27BAF"/>
    <w:rsid w:val="00B30F4D"/>
    <w:rsid w:val="00B320A5"/>
    <w:rsid w:val="00B3249C"/>
    <w:rsid w:val="00B32F2A"/>
    <w:rsid w:val="00B33943"/>
    <w:rsid w:val="00B33B35"/>
    <w:rsid w:val="00B344E0"/>
    <w:rsid w:val="00B34EB8"/>
    <w:rsid w:val="00B34FE2"/>
    <w:rsid w:val="00B35166"/>
    <w:rsid w:val="00B357D8"/>
    <w:rsid w:val="00B35987"/>
    <w:rsid w:val="00B35B32"/>
    <w:rsid w:val="00B360F4"/>
    <w:rsid w:val="00B362B4"/>
    <w:rsid w:val="00B36457"/>
    <w:rsid w:val="00B36A00"/>
    <w:rsid w:val="00B36D7F"/>
    <w:rsid w:val="00B37BFC"/>
    <w:rsid w:val="00B40358"/>
    <w:rsid w:val="00B40362"/>
    <w:rsid w:val="00B403A4"/>
    <w:rsid w:val="00B40EF0"/>
    <w:rsid w:val="00B4138E"/>
    <w:rsid w:val="00B41473"/>
    <w:rsid w:val="00B41614"/>
    <w:rsid w:val="00B425EB"/>
    <w:rsid w:val="00B4266C"/>
    <w:rsid w:val="00B42851"/>
    <w:rsid w:val="00B42F80"/>
    <w:rsid w:val="00B435CB"/>
    <w:rsid w:val="00B450EC"/>
    <w:rsid w:val="00B46E33"/>
    <w:rsid w:val="00B46E47"/>
    <w:rsid w:val="00B47B88"/>
    <w:rsid w:val="00B50505"/>
    <w:rsid w:val="00B505C8"/>
    <w:rsid w:val="00B507F2"/>
    <w:rsid w:val="00B50DB8"/>
    <w:rsid w:val="00B50FBE"/>
    <w:rsid w:val="00B51165"/>
    <w:rsid w:val="00B513B7"/>
    <w:rsid w:val="00B51426"/>
    <w:rsid w:val="00B517DF"/>
    <w:rsid w:val="00B51FBD"/>
    <w:rsid w:val="00B52012"/>
    <w:rsid w:val="00B525D7"/>
    <w:rsid w:val="00B53654"/>
    <w:rsid w:val="00B53769"/>
    <w:rsid w:val="00B53905"/>
    <w:rsid w:val="00B54B5B"/>
    <w:rsid w:val="00B5562E"/>
    <w:rsid w:val="00B55D65"/>
    <w:rsid w:val="00B560FB"/>
    <w:rsid w:val="00B561F0"/>
    <w:rsid w:val="00B57000"/>
    <w:rsid w:val="00B5715D"/>
    <w:rsid w:val="00B57268"/>
    <w:rsid w:val="00B57E6B"/>
    <w:rsid w:val="00B60225"/>
    <w:rsid w:val="00B604CD"/>
    <w:rsid w:val="00B60939"/>
    <w:rsid w:val="00B60AFD"/>
    <w:rsid w:val="00B60C5E"/>
    <w:rsid w:val="00B61006"/>
    <w:rsid w:val="00B61358"/>
    <w:rsid w:val="00B6148A"/>
    <w:rsid w:val="00B615D9"/>
    <w:rsid w:val="00B61CA6"/>
    <w:rsid w:val="00B624FA"/>
    <w:rsid w:val="00B62715"/>
    <w:rsid w:val="00B62758"/>
    <w:rsid w:val="00B62A77"/>
    <w:rsid w:val="00B62AB3"/>
    <w:rsid w:val="00B64051"/>
    <w:rsid w:val="00B64097"/>
    <w:rsid w:val="00B64E6E"/>
    <w:rsid w:val="00B64EB6"/>
    <w:rsid w:val="00B6537C"/>
    <w:rsid w:val="00B654EC"/>
    <w:rsid w:val="00B65611"/>
    <w:rsid w:val="00B6596E"/>
    <w:rsid w:val="00B67366"/>
    <w:rsid w:val="00B679A2"/>
    <w:rsid w:val="00B70E8E"/>
    <w:rsid w:val="00B7165E"/>
    <w:rsid w:val="00B71FAD"/>
    <w:rsid w:val="00B723E0"/>
    <w:rsid w:val="00B724D7"/>
    <w:rsid w:val="00B743C6"/>
    <w:rsid w:val="00B75DA7"/>
    <w:rsid w:val="00B76000"/>
    <w:rsid w:val="00B76C92"/>
    <w:rsid w:val="00B7784E"/>
    <w:rsid w:val="00B80693"/>
    <w:rsid w:val="00B807DD"/>
    <w:rsid w:val="00B813E8"/>
    <w:rsid w:val="00B8167C"/>
    <w:rsid w:val="00B818A4"/>
    <w:rsid w:val="00B81C56"/>
    <w:rsid w:val="00B820C7"/>
    <w:rsid w:val="00B82968"/>
    <w:rsid w:val="00B83A2B"/>
    <w:rsid w:val="00B84117"/>
    <w:rsid w:val="00B84324"/>
    <w:rsid w:val="00B84D1A"/>
    <w:rsid w:val="00B84D32"/>
    <w:rsid w:val="00B84DF1"/>
    <w:rsid w:val="00B8574F"/>
    <w:rsid w:val="00B858F0"/>
    <w:rsid w:val="00B85AA2"/>
    <w:rsid w:val="00B85CBC"/>
    <w:rsid w:val="00B86197"/>
    <w:rsid w:val="00B8649C"/>
    <w:rsid w:val="00B8695D"/>
    <w:rsid w:val="00B870DE"/>
    <w:rsid w:val="00B87F0A"/>
    <w:rsid w:val="00B90151"/>
    <w:rsid w:val="00B909A5"/>
    <w:rsid w:val="00B90C1D"/>
    <w:rsid w:val="00B90C55"/>
    <w:rsid w:val="00B91705"/>
    <w:rsid w:val="00B92D0B"/>
    <w:rsid w:val="00B92DA1"/>
    <w:rsid w:val="00B92E65"/>
    <w:rsid w:val="00B94945"/>
    <w:rsid w:val="00B94DD6"/>
    <w:rsid w:val="00B9524D"/>
    <w:rsid w:val="00B9573B"/>
    <w:rsid w:val="00B95F82"/>
    <w:rsid w:val="00B96134"/>
    <w:rsid w:val="00B96B3E"/>
    <w:rsid w:val="00BA0F05"/>
    <w:rsid w:val="00BA322D"/>
    <w:rsid w:val="00BA326C"/>
    <w:rsid w:val="00BA3274"/>
    <w:rsid w:val="00BA3577"/>
    <w:rsid w:val="00BA584E"/>
    <w:rsid w:val="00BA5B36"/>
    <w:rsid w:val="00BA6283"/>
    <w:rsid w:val="00BA63FA"/>
    <w:rsid w:val="00BA716A"/>
    <w:rsid w:val="00BA7300"/>
    <w:rsid w:val="00BA78B9"/>
    <w:rsid w:val="00BA794A"/>
    <w:rsid w:val="00BA7CAE"/>
    <w:rsid w:val="00BA7FDF"/>
    <w:rsid w:val="00BB00B3"/>
    <w:rsid w:val="00BB099B"/>
    <w:rsid w:val="00BB0B5D"/>
    <w:rsid w:val="00BB0BDD"/>
    <w:rsid w:val="00BB1242"/>
    <w:rsid w:val="00BB176C"/>
    <w:rsid w:val="00BB1884"/>
    <w:rsid w:val="00BB18D4"/>
    <w:rsid w:val="00BB2A73"/>
    <w:rsid w:val="00BB3185"/>
    <w:rsid w:val="00BB33F3"/>
    <w:rsid w:val="00BB38F6"/>
    <w:rsid w:val="00BB3A45"/>
    <w:rsid w:val="00BB4ACC"/>
    <w:rsid w:val="00BB5B12"/>
    <w:rsid w:val="00BB703E"/>
    <w:rsid w:val="00BB732D"/>
    <w:rsid w:val="00BB7405"/>
    <w:rsid w:val="00BB788F"/>
    <w:rsid w:val="00BC0344"/>
    <w:rsid w:val="00BC0419"/>
    <w:rsid w:val="00BC0AF0"/>
    <w:rsid w:val="00BC0F50"/>
    <w:rsid w:val="00BC2E51"/>
    <w:rsid w:val="00BC34F3"/>
    <w:rsid w:val="00BC3631"/>
    <w:rsid w:val="00BC4F1C"/>
    <w:rsid w:val="00BC591F"/>
    <w:rsid w:val="00BC5CE1"/>
    <w:rsid w:val="00BC6424"/>
    <w:rsid w:val="00BC7481"/>
    <w:rsid w:val="00BC7D6D"/>
    <w:rsid w:val="00BC7DBC"/>
    <w:rsid w:val="00BD05C0"/>
    <w:rsid w:val="00BD0805"/>
    <w:rsid w:val="00BD083A"/>
    <w:rsid w:val="00BD1425"/>
    <w:rsid w:val="00BD1720"/>
    <w:rsid w:val="00BD1C92"/>
    <w:rsid w:val="00BD2105"/>
    <w:rsid w:val="00BD2108"/>
    <w:rsid w:val="00BD5703"/>
    <w:rsid w:val="00BD60C2"/>
    <w:rsid w:val="00BD68A3"/>
    <w:rsid w:val="00BD6938"/>
    <w:rsid w:val="00BD6CF3"/>
    <w:rsid w:val="00BD6D1F"/>
    <w:rsid w:val="00BD7691"/>
    <w:rsid w:val="00BD7AD6"/>
    <w:rsid w:val="00BE032D"/>
    <w:rsid w:val="00BE0ECA"/>
    <w:rsid w:val="00BE2180"/>
    <w:rsid w:val="00BE21F2"/>
    <w:rsid w:val="00BE2B3D"/>
    <w:rsid w:val="00BE2D62"/>
    <w:rsid w:val="00BE3AB8"/>
    <w:rsid w:val="00BE4275"/>
    <w:rsid w:val="00BE530E"/>
    <w:rsid w:val="00BE67B4"/>
    <w:rsid w:val="00BF04C1"/>
    <w:rsid w:val="00BF06AE"/>
    <w:rsid w:val="00BF0D22"/>
    <w:rsid w:val="00BF0F95"/>
    <w:rsid w:val="00BF147D"/>
    <w:rsid w:val="00BF15B7"/>
    <w:rsid w:val="00BF1D24"/>
    <w:rsid w:val="00BF2433"/>
    <w:rsid w:val="00BF25A2"/>
    <w:rsid w:val="00BF2659"/>
    <w:rsid w:val="00BF3A3C"/>
    <w:rsid w:val="00BF43D9"/>
    <w:rsid w:val="00BF4418"/>
    <w:rsid w:val="00BF44A0"/>
    <w:rsid w:val="00BF4640"/>
    <w:rsid w:val="00BF55B3"/>
    <w:rsid w:val="00BF55FA"/>
    <w:rsid w:val="00BF57D4"/>
    <w:rsid w:val="00BF61C9"/>
    <w:rsid w:val="00BF6665"/>
    <w:rsid w:val="00BF6C94"/>
    <w:rsid w:val="00C0025F"/>
    <w:rsid w:val="00C00424"/>
    <w:rsid w:val="00C00838"/>
    <w:rsid w:val="00C01029"/>
    <w:rsid w:val="00C012F0"/>
    <w:rsid w:val="00C013D4"/>
    <w:rsid w:val="00C01A28"/>
    <w:rsid w:val="00C01D1E"/>
    <w:rsid w:val="00C01F44"/>
    <w:rsid w:val="00C03C2D"/>
    <w:rsid w:val="00C03D71"/>
    <w:rsid w:val="00C03EF8"/>
    <w:rsid w:val="00C0440E"/>
    <w:rsid w:val="00C05A4B"/>
    <w:rsid w:val="00C06AA2"/>
    <w:rsid w:val="00C06D37"/>
    <w:rsid w:val="00C06EEF"/>
    <w:rsid w:val="00C07E11"/>
    <w:rsid w:val="00C1179F"/>
    <w:rsid w:val="00C120F6"/>
    <w:rsid w:val="00C12C14"/>
    <w:rsid w:val="00C1499D"/>
    <w:rsid w:val="00C14C61"/>
    <w:rsid w:val="00C151F5"/>
    <w:rsid w:val="00C15487"/>
    <w:rsid w:val="00C15841"/>
    <w:rsid w:val="00C15F04"/>
    <w:rsid w:val="00C1672A"/>
    <w:rsid w:val="00C1682B"/>
    <w:rsid w:val="00C168E1"/>
    <w:rsid w:val="00C169AF"/>
    <w:rsid w:val="00C17059"/>
    <w:rsid w:val="00C179B3"/>
    <w:rsid w:val="00C17E3F"/>
    <w:rsid w:val="00C200AA"/>
    <w:rsid w:val="00C2026F"/>
    <w:rsid w:val="00C2045B"/>
    <w:rsid w:val="00C20613"/>
    <w:rsid w:val="00C223E7"/>
    <w:rsid w:val="00C237AE"/>
    <w:rsid w:val="00C237ED"/>
    <w:rsid w:val="00C23B0E"/>
    <w:rsid w:val="00C24632"/>
    <w:rsid w:val="00C246C4"/>
    <w:rsid w:val="00C25418"/>
    <w:rsid w:val="00C25D9C"/>
    <w:rsid w:val="00C2626E"/>
    <w:rsid w:val="00C26511"/>
    <w:rsid w:val="00C271C5"/>
    <w:rsid w:val="00C275C9"/>
    <w:rsid w:val="00C2778B"/>
    <w:rsid w:val="00C27B4E"/>
    <w:rsid w:val="00C308AE"/>
    <w:rsid w:val="00C30D41"/>
    <w:rsid w:val="00C311DB"/>
    <w:rsid w:val="00C31649"/>
    <w:rsid w:val="00C31710"/>
    <w:rsid w:val="00C317D2"/>
    <w:rsid w:val="00C31819"/>
    <w:rsid w:val="00C3235B"/>
    <w:rsid w:val="00C32AB6"/>
    <w:rsid w:val="00C32E22"/>
    <w:rsid w:val="00C3434C"/>
    <w:rsid w:val="00C34552"/>
    <w:rsid w:val="00C3504D"/>
    <w:rsid w:val="00C37B92"/>
    <w:rsid w:val="00C40385"/>
    <w:rsid w:val="00C40584"/>
    <w:rsid w:val="00C41768"/>
    <w:rsid w:val="00C42D55"/>
    <w:rsid w:val="00C44E5D"/>
    <w:rsid w:val="00C44ED0"/>
    <w:rsid w:val="00C44EEB"/>
    <w:rsid w:val="00C45069"/>
    <w:rsid w:val="00C45A6C"/>
    <w:rsid w:val="00C45EB6"/>
    <w:rsid w:val="00C46C26"/>
    <w:rsid w:val="00C47113"/>
    <w:rsid w:val="00C475AA"/>
    <w:rsid w:val="00C50DEA"/>
    <w:rsid w:val="00C52306"/>
    <w:rsid w:val="00C52AEC"/>
    <w:rsid w:val="00C52EDC"/>
    <w:rsid w:val="00C530B4"/>
    <w:rsid w:val="00C536A1"/>
    <w:rsid w:val="00C53C98"/>
    <w:rsid w:val="00C53D75"/>
    <w:rsid w:val="00C54A71"/>
    <w:rsid w:val="00C54FCC"/>
    <w:rsid w:val="00C552D8"/>
    <w:rsid w:val="00C558EE"/>
    <w:rsid w:val="00C56BC4"/>
    <w:rsid w:val="00C56FCF"/>
    <w:rsid w:val="00C576D0"/>
    <w:rsid w:val="00C57B6C"/>
    <w:rsid w:val="00C600C7"/>
    <w:rsid w:val="00C60C78"/>
    <w:rsid w:val="00C60F97"/>
    <w:rsid w:val="00C6120A"/>
    <w:rsid w:val="00C6123F"/>
    <w:rsid w:val="00C61631"/>
    <w:rsid w:val="00C6167F"/>
    <w:rsid w:val="00C628A6"/>
    <w:rsid w:val="00C638D0"/>
    <w:rsid w:val="00C64344"/>
    <w:rsid w:val="00C64388"/>
    <w:rsid w:val="00C64568"/>
    <w:rsid w:val="00C64E44"/>
    <w:rsid w:val="00C65108"/>
    <w:rsid w:val="00C651D0"/>
    <w:rsid w:val="00C65576"/>
    <w:rsid w:val="00C6559A"/>
    <w:rsid w:val="00C658C3"/>
    <w:rsid w:val="00C66165"/>
    <w:rsid w:val="00C667A8"/>
    <w:rsid w:val="00C67BD1"/>
    <w:rsid w:val="00C700EA"/>
    <w:rsid w:val="00C7060A"/>
    <w:rsid w:val="00C70E7B"/>
    <w:rsid w:val="00C7151A"/>
    <w:rsid w:val="00C717E3"/>
    <w:rsid w:val="00C71CB2"/>
    <w:rsid w:val="00C71F60"/>
    <w:rsid w:val="00C71F78"/>
    <w:rsid w:val="00C72241"/>
    <w:rsid w:val="00C72EB8"/>
    <w:rsid w:val="00C73292"/>
    <w:rsid w:val="00C73E9E"/>
    <w:rsid w:val="00C74F70"/>
    <w:rsid w:val="00C750C8"/>
    <w:rsid w:val="00C7560F"/>
    <w:rsid w:val="00C76034"/>
    <w:rsid w:val="00C76C58"/>
    <w:rsid w:val="00C77154"/>
    <w:rsid w:val="00C77C2A"/>
    <w:rsid w:val="00C80981"/>
    <w:rsid w:val="00C80985"/>
    <w:rsid w:val="00C80A0E"/>
    <w:rsid w:val="00C80C95"/>
    <w:rsid w:val="00C81A19"/>
    <w:rsid w:val="00C81C51"/>
    <w:rsid w:val="00C8213F"/>
    <w:rsid w:val="00C8418A"/>
    <w:rsid w:val="00C843C9"/>
    <w:rsid w:val="00C85044"/>
    <w:rsid w:val="00C85154"/>
    <w:rsid w:val="00C86016"/>
    <w:rsid w:val="00C860FE"/>
    <w:rsid w:val="00C86CBB"/>
    <w:rsid w:val="00C8797A"/>
    <w:rsid w:val="00C900B8"/>
    <w:rsid w:val="00C90C71"/>
    <w:rsid w:val="00C91431"/>
    <w:rsid w:val="00C91943"/>
    <w:rsid w:val="00C91B2E"/>
    <w:rsid w:val="00C91FD1"/>
    <w:rsid w:val="00C92574"/>
    <w:rsid w:val="00C930E7"/>
    <w:rsid w:val="00C931CF"/>
    <w:rsid w:val="00C93746"/>
    <w:rsid w:val="00C938CF"/>
    <w:rsid w:val="00C94053"/>
    <w:rsid w:val="00C947C6"/>
    <w:rsid w:val="00C9624D"/>
    <w:rsid w:val="00C969DA"/>
    <w:rsid w:val="00C96AF6"/>
    <w:rsid w:val="00C96F39"/>
    <w:rsid w:val="00C9703D"/>
    <w:rsid w:val="00C9774A"/>
    <w:rsid w:val="00C97B77"/>
    <w:rsid w:val="00CA048D"/>
    <w:rsid w:val="00CA0CC4"/>
    <w:rsid w:val="00CA11AE"/>
    <w:rsid w:val="00CA14D4"/>
    <w:rsid w:val="00CA1AB2"/>
    <w:rsid w:val="00CA213B"/>
    <w:rsid w:val="00CA2C77"/>
    <w:rsid w:val="00CA2E90"/>
    <w:rsid w:val="00CA2FAF"/>
    <w:rsid w:val="00CA3F60"/>
    <w:rsid w:val="00CA444F"/>
    <w:rsid w:val="00CA5245"/>
    <w:rsid w:val="00CA71F4"/>
    <w:rsid w:val="00CA7367"/>
    <w:rsid w:val="00CA7627"/>
    <w:rsid w:val="00CA7B09"/>
    <w:rsid w:val="00CA7C2A"/>
    <w:rsid w:val="00CA7DD1"/>
    <w:rsid w:val="00CB0413"/>
    <w:rsid w:val="00CB12A5"/>
    <w:rsid w:val="00CB1CAC"/>
    <w:rsid w:val="00CB2610"/>
    <w:rsid w:val="00CB2F2A"/>
    <w:rsid w:val="00CB36AE"/>
    <w:rsid w:val="00CB5474"/>
    <w:rsid w:val="00CB584D"/>
    <w:rsid w:val="00CB5B1A"/>
    <w:rsid w:val="00CB6B22"/>
    <w:rsid w:val="00CB7525"/>
    <w:rsid w:val="00CB7831"/>
    <w:rsid w:val="00CB7F5F"/>
    <w:rsid w:val="00CC0EC9"/>
    <w:rsid w:val="00CC0F6C"/>
    <w:rsid w:val="00CC1191"/>
    <w:rsid w:val="00CC1387"/>
    <w:rsid w:val="00CC1A39"/>
    <w:rsid w:val="00CC1B39"/>
    <w:rsid w:val="00CC273B"/>
    <w:rsid w:val="00CC2C83"/>
    <w:rsid w:val="00CC3555"/>
    <w:rsid w:val="00CC35EA"/>
    <w:rsid w:val="00CC3848"/>
    <w:rsid w:val="00CC403C"/>
    <w:rsid w:val="00CC5FEE"/>
    <w:rsid w:val="00CC6C17"/>
    <w:rsid w:val="00CD0A6E"/>
    <w:rsid w:val="00CD23DC"/>
    <w:rsid w:val="00CD2744"/>
    <w:rsid w:val="00CD2C54"/>
    <w:rsid w:val="00CD3C6B"/>
    <w:rsid w:val="00CD3F77"/>
    <w:rsid w:val="00CD400E"/>
    <w:rsid w:val="00CD43FE"/>
    <w:rsid w:val="00CD455C"/>
    <w:rsid w:val="00CD50AA"/>
    <w:rsid w:val="00CD593B"/>
    <w:rsid w:val="00CD5FFC"/>
    <w:rsid w:val="00CD639E"/>
    <w:rsid w:val="00CD6ADC"/>
    <w:rsid w:val="00CD7193"/>
    <w:rsid w:val="00CE0244"/>
    <w:rsid w:val="00CE10C1"/>
    <w:rsid w:val="00CE2643"/>
    <w:rsid w:val="00CE27B9"/>
    <w:rsid w:val="00CE2DF7"/>
    <w:rsid w:val="00CE38C8"/>
    <w:rsid w:val="00CE3E29"/>
    <w:rsid w:val="00CE52F5"/>
    <w:rsid w:val="00CE576C"/>
    <w:rsid w:val="00CE5935"/>
    <w:rsid w:val="00CE59FF"/>
    <w:rsid w:val="00CE6274"/>
    <w:rsid w:val="00CE77B6"/>
    <w:rsid w:val="00CE7B86"/>
    <w:rsid w:val="00CE7D15"/>
    <w:rsid w:val="00CF0EA1"/>
    <w:rsid w:val="00CF1C34"/>
    <w:rsid w:val="00CF2491"/>
    <w:rsid w:val="00CF2513"/>
    <w:rsid w:val="00CF2B8D"/>
    <w:rsid w:val="00CF456B"/>
    <w:rsid w:val="00CF4DAA"/>
    <w:rsid w:val="00CF5A22"/>
    <w:rsid w:val="00CF7351"/>
    <w:rsid w:val="00CF7C2B"/>
    <w:rsid w:val="00CF7EA8"/>
    <w:rsid w:val="00D01216"/>
    <w:rsid w:val="00D0259C"/>
    <w:rsid w:val="00D0262E"/>
    <w:rsid w:val="00D02ABD"/>
    <w:rsid w:val="00D02F57"/>
    <w:rsid w:val="00D0319C"/>
    <w:rsid w:val="00D03925"/>
    <w:rsid w:val="00D040FD"/>
    <w:rsid w:val="00D04FAC"/>
    <w:rsid w:val="00D052C5"/>
    <w:rsid w:val="00D05E3D"/>
    <w:rsid w:val="00D06139"/>
    <w:rsid w:val="00D066CC"/>
    <w:rsid w:val="00D06DF7"/>
    <w:rsid w:val="00D071B5"/>
    <w:rsid w:val="00D075C9"/>
    <w:rsid w:val="00D0769A"/>
    <w:rsid w:val="00D10039"/>
    <w:rsid w:val="00D103CE"/>
    <w:rsid w:val="00D1049C"/>
    <w:rsid w:val="00D110BD"/>
    <w:rsid w:val="00D1132D"/>
    <w:rsid w:val="00D12C49"/>
    <w:rsid w:val="00D12DC3"/>
    <w:rsid w:val="00D13228"/>
    <w:rsid w:val="00D13553"/>
    <w:rsid w:val="00D13675"/>
    <w:rsid w:val="00D141E1"/>
    <w:rsid w:val="00D1454A"/>
    <w:rsid w:val="00D15314"/>
    <w:rsid w:val="00D1541D"/>
    <w:rsid w:val="00D15738"/>
    <w:rsid w:val="00D15A06"/>
    <w:rsid w:val="00D15F92"/>
    <w:rsid w:val="00D17790"/>
    <w:rsid w:val="00D17BFC"/>
    <w:rsid w:val="00D17D6C"/>
    <w:rsid w:val="00D20166"/>
    <w:rsid w:val="00D20370"/>
    <w:rsid w:val="00D209ED"/>
    <w:rsid w:val="00D20AF8"/>
    <w:rsid w:val="00D2155B"/>
    <w:rsid w:val="00D21879"/>
    <w:rsid w:val="00D2195E"/>
    <w:rsid w:val="00D21A40"/>
    <w:rsid w:val="00D222A0"/>
    <w:rsid w:val="00D23C4F"/>
    <w:rsid w:val="00D23D11"/>
    <w:rsid w:val="00D242F1"/>
    <w:rsid w:val="00D244B6"/>
    <w:rsid w:val="00D24B9D"/>
    <w:rsid w:val="00D2500D"/>
    <w:rsid w:val="00D25FC2"/>
    <w:rsid w:val="00D272C2"/>
    <w:rsid w:val="00D2754D"/>
    <w:rsid w:val="00D27672"/>
    <w:rsid w:val="00D27B27"/>
    <w:rsid w:val="00D302FD"/>
    <w:rsid w:val="00D313CB"/>
    <w:rsid w:val="00D31DD4"/>
    <w:rsid w:val="00D33BE9"/>
    <w:rsid w:val="00D33F93"/>
    <w:rsid w:val="00D34049"/>
    <w:rsid w:val="00D340B4"/>
    <w:rsid w:val="00D34743"/>
    <w:rsid w:val="00D34C73"/>
    <w:rsid w:val="00D34D2D"/>
    <w:rsid w:val="00D34E44"/>
    <w:rsid w:val="00D354FA"/>
    <w:rsid w:val="00D355E4"/>
    <w:rsid w:val="00D357CE"/>
    <w:rsid w:val="00D357FF"/>
    <w:rsid w:val="00D36A9D"/>
    <w:rsid w:val="00D371FC"/>
    <w:rsid w:val="00D3790C"/>
    <w:rsid w:val="00D37BD5"/>
    <w:rsid w:val="00D411C7"/>
    <w:rsid w:val="00D41F7B"/>
    <w:rsid w:val="00D424C7"/>
    <w:rsid w:val="00D4257A"/>
    <w:rsid w:val="00D42875"/>
    <w:rsid w:val="00D42A35"/>
    <w:rsid w:val="00D42D7B"/>
    <w:rsid w:val="00D42ECF"/>
    <w:rsid w:val="00D4323C"/>
    <w:rsid w:val="00D43B2A"/>
    <w:rsid w:val="00D43D83"/>
    <w:rsid w:val="00D47575"/>
    <w:rsid w:val="00D51089"/>
    <w:rsid w:val="00D51494"/>
    <w:rsid w:val="00D51BF6"/>
    <w:rsid w:val="00D52126"/>
    <w:rsid w:val="00D5243B"/>
    <w:rsid w:val="00D52856"/>
    <w:rsid w:val="00D531A4"/>
    <w:rsid w:val="00D533EC"/>
    <w:rsid w:val="00D54C48"/>
    <w:rsid w:val="00D55211"/>
    <w:rsid w:val="00D55639"/>
    <w:rsid w:val="00D5582A"/>
    <w:rsid w:val="00D5595F"/>
    <w:rsid w:val="00D55A38"/>
    <w:rsid w:val="00D56A95"/>
    <w:rsid w:val="00D57E2E"/>
    <w:rsid w:val="00D6067F"/>
    <w:rsid w:val="00D629D4"/>
    <w:rsid w:val="00D62B28"/>
    <w:rsid w:val="00D630A8"/>
    <w:rsid w:val="00D63188"/>
    <w:rsid w:val="00D6326C"/>
    <w:rsid w:val="00D63632"/>
    <w:rsid w:val="00D63697"/>
    <w:rsid w:val="00D64DD8"/>
    <w:rsid w:val="00D65294"/>
    <w:rsid w:val="00D655EE"/>
    <w:rsid w:val="00D65CC9"/>
    <w:rsid w:val="00D6637C"/>
    <w:rsid w:val="00D66904"/>
    <w:rsid w:val="00D67EB3"/>
    <w:rsid w:val="00D7045E"/>
    <w:rsid w:val="00D70E18"/>
    <w:rsid w:val="00D70F16"/>
    <w:rsid w:val="00D71DEE"/>
    <w:rsid w:val="00D71EB7"/>
    <w:rsid w:val="00D71FC0"/>
    <w:rsid w:val="00D72F57"/>
    <w:rsid w:val="00D731AC"/>
    <w:rsid w:val="00D732D5"/>
    <w:rsid w:val="00D748A3"/>
    <w:rsid w:val="00D750FC"/>
    <w:rsid w:val="00D754B7"/>
    <w:rsid w:val="00D7599D"/>
    <w:rsid w:val="00D762B1"/>
    <w:rsid w:val="00D7673E"/>
    <w:rsid w:val="00D76A44"/>
    <w:rsid w:val="00D76F4B"/>
    <w:rsid w:val="00D772F5"/>
    <w:rsid w:val="00D77B84"/>
    <w:rsid w:val="00D8052D"/>
    <w:rsid w:val="00D8091B"/>
    <w:rsid w:val="00D80EB5"/>
    <w:rsid w:val="00D81295"/>
    <w:rsid w:val="00D815EF"/>
    <w:rsid w:val="00D81F26"/>
    <w:rsid w:val="00D824EA"/>
    <w:rsid w:val="00D8327C"/>
    <w:rsid w:val="00D8328D"/>
    <w:rsid w:val="00D83615"/>
    <w:rsid w:val="00D836B7"/>
    <w:rsid w:val="00D8403D"/>
    <w:rsid w:val="00D84D73"/>
    <w:rsid w:val="00D84DCD"/>
    <w:rsid w:val="00D8501A"/>
    <w:rsid w:val="00D86231"/>
    <w:rsid w:val="00D86828"/>
    <w:rsid w:val="00D87146"/>
    <w:rsid w:val="00D91923"/>
    <w:rsid w:val="00D92C90"/>
    <w:rsid w:val="00D92CB5"/>
    <w:rsid w:val="00D93747"/>
    <w:rsid w:val="00D93753"/>
    <w:rsid w:val="00D938EB"/>
    <w:rsid w:val="00D93A55"/>
    <w:rsid w:val="00D93ED2"/>
    <w:rsid w:val="00D960D2"/>
    <w:rsid w:val="00D970BE"/>
    <w:rsid w:val="00D9766E"/>
    <w:rsid w:val="00DA0ED9"/>
    <w:rsid w:val="00DA1081"/>
    <w:rsid w:val="00DA240A"/>
    <w:rsid w:val="00DA2B31"/>
    <w:rsid w:val="00DA2F92"/>
    <w:rsid w:val="00DA3167"/>
    <w:rsid w:val="00DA3767"/>
    <w:rsid w:val="00DA3E49"/>
    <w:rsid w:val="00DA47A0"/>
    <w:rsid w:val="00DA47FE"/>
    <w:rsid w:val="00DA4DC3"/>
    <w:rsid w:val="00DA5CCE"/>
    <w:rsid w:val="00DA5D68"/>
    <w:rsid w:val="00DA61E8"/>
    <w:rsid w:val="00DA77A5"/>
    <w:rsid w:val="00DB0638"/>
    <w:rsid w:val="00DB0D19"/>
    <w:rsid w:val="00DB0DE6"/>
    <w:rsid w:val="00DB0DF5"/>
    <w:rsid w:val="00DB1135"/>
    <w:rsid w:val="00DB1257"/>
    <w:rsid w:val="00DB1FCD"/>
    <w:rsid w:val="00DB2DA7"/>
    <w:rsid w:val="00DB2FCF"/>
    <w:rsid w:val="00DB3AFE"/>
    <w:rsid w:val="00DB3DBF"/>
    <w:rsid w:val="00DB43A2"/>
    <w:rsid w:val="00DB43D0"/>
    <w:rsid w:val="00DB4532"/>
    <w:rsid w:val="00DB484F"/>
    <w:rsid w:val="00DB49C5"/>
    <w:rsid w:val="00DB60DC"/>
    <w:rsid w:val="00DB614A"/>
    <w:rsid w:val="00DB640A"/>
    <w:rsid w:val="00DB6ABC"/>
    <w:rsid w:val="00DB6F22"/>
    <w:rsid w:val="00DB7020"/>
    <w:rsid w:val="00DB7FC4"/>
    <w:rsid w:val="00DC02AE"/>
    <w:rsid w:val="00DC04F6"/>
    <w:rsid w:val="00DC0690"/>
    <w:rsid w:val="00DC0A6D"/>
    <w:rsid w:val="00DC1D65"/>
    <w:rsid w:val="00DC1D93"/>
    <w:rsid w:val="00DC32BE"/>
    <w:rsid w:val="00DC3313"/>
    <w:rsid w:val="00DC3C57"/>
    <w:rsid w:val="00DC3DA3"/>
    <w:rsid w:val="00DC4A02"/>
    <w:rsid w:val="00DC4B42"/>
    <w:rsid w:val="00DC5501"/>
    <w:rsid w:val="00DC5765"/>
    <w:rsid w:val="00DC58E6"/>
    <w:rsid w:val="00DC5D8B"/>
    <w:rsid w:val="00DC6415"/>
    <w:rsid w:val="00DC7154"/>
    <w:rsid w:val="00DC7E8A"/>
    <w:rsid w:val="00DC7F94"/>
    <w:rsid w:val="00DD0E42"/>
    <w:rsid w:val="00DD0F78"/>
    <w:rsid w:val="00DD12A2"/>
    <w:rsid w:val="00DD15CB"/>
    <w:rsid w:val="00DD224D"/>
    <w:rsid w:val="00DD26D2"/>
    <w:rsid w:val="00DD273C"/>
    <w:rsid w:val="00DD3657"/>
    <w:rsid w:val="00DD3F28"/>
    <w:rsid w:val="00DD4037"/>
    <w:rsid w:val="00DD4537"/>
    <w:rsid w:val="00DD4E15"/>
    <w:rsid w:val="00DD513F"/>
    <w:rsid w:val="00DD523F"/>
    <w:rsid w:val="00DD5306"/>
    <w:rsid w:val="00DD65BF"/>
    <w:rsid w:val="00DD7D2C"/>
    <w:rsid w:val="00DE0DFA"/>
    <w:rsid w:val="00DE161B"/>
    <w:rsid w:val="00DE2304"/>
    <w:rsid w:val="00DE3138"/>
    <w:rsid w:val="00DE37F8"/>
    <w:rsid w:val="00DE4FCB"/>
    <w:rsid w:val="00DE5817"/>
    <w:rsid w:val="00DE5B5A"/>
    <w:rsid w:val="00DE5D07"/>
    <w:rsid w:val="00DE6C30"/>
    <w:rsid w:val="00DE72A7"/>
    <w:rsid w:val="00DE733E"/>
    <w:rsid w:val="00DE7832"/>
    <w:rsid w:val="00DE7BD4"/>
    <w:rsid w:val="00DF062E"/>
    <w:rsid w:val="00DF18FC"/>
    <w:rsid w:val="00DF1D1E"/>
    <w:rsid w:val="00DF40E9"/>
    <w:rsid w:val="00DF476D"/>
    <w:rsid w:val="00DF4A24"/>
    <w:rsid w:val="00DF5176"/>
    <w:rsid w:val="00DF5D2B"/>
    <w:rsid w:val="00DF65DF"/>
    <w:rsid w:val="00DF6E07"/>
    <w:rsid w:val="00DF761A"/>
    <w:rsid w:val="00DF78A7"/>
    <w:rsid w:val="00E00C0C"/>
    <w:rsid w:val="00E00E8E"/>
    <w:rsid w:val="00E02ABA"/>
    <w:rsid w:val="00E0306C"/>
    <w:rsid w:val="00E0351F"/>
    <w:rsid w:val="00E040E3"/>
    <w:rsid w:val="00E04F84"/>
    <w:rsid w:val="00E05255"/>
    <w:rsid w:val="00E05630"/>
    <w:rsid w:val="00E05E4A"/>
    <w:rsid w:val="00E06223"/>
    <w:rsid w:val="00E06920"/>
    <w:rsid w:val="00E06CA4"/>
    <w:rsid w:val="00E06DBB"/>
    <w:rsid w:val="00E074C9"/>
    <w:rsid w:val="00E07E20"/>
    <w:rsid w:val="00E10149"/>
    <w:rsid w:val="00E110AB"/>
    <w:rsid w:val="00E11340"/>
    <w:rsid w:val="00E11402"/>
    <w:rsid w:val="00E11797"/>
    <w:rsid w:val="00E119F1"/>
    <w:rsid w:val="00E122A1"/>
    <w:rsid w:val="00E12668"/>
    <w:rsid w:val="00E12DD5"/>
    <w:rsid w:val="00E1498B"/>
    <w:rsid w:val="00E15229"/>
    <w:rsid w:val="00E15D7F"/>
    <w:rsid w:val="00E16372"/>
    <w:rsid w:val="00E16919"/>
    <w:rsid w:val="00E16B7A"/>
    <w:rsid w:val="00E16BBE"/>
    <w:rsid w:val="00E16D5A"/>
    <w:rsid w:val="00E173CE"/>
    <w:rsid w:val="00E17F2A"/>
    <w:rsid w:val="00E20E4D"/>
    <w:rsid w:val="00E20ED6"/>
    <w:rsid w:val="00E21358"/>
    <w:rsid w:val="00E2249B"/>
    <w:rsid w:val="00E22A0D"/>
    <w:rsid w:val="00E232E6"/>
    <w:rsid w:val="00E244F6"/>
    <w:rsid w:val="00E24740"/>
    <w:rsid w:val="00E248FD"/>
    <w:rsid w:val="00E25106"/>
    <w:rsid w:val="00E25F78"/>
    <w:rsid w:val="00E262B0"/>
    <w:rsid w:val="00E26596"/>
    <w:rsid w:val="00E26ED8"/>
    <w:rsid w:val="00E2722E"/>
    <w:rsid w:val="00E2771E"/>
    <w:rsid w:val="00E311EF"/>
    <w:rsid w:val="00E31F81"/>
    <w:rsid w:val="00E32180"/>
    <w:rsid w:val="00E32D7F"/>
    <w:rsid w:val="00E32D86"/>
    <w:rsid w:val="00E330E0"/>
    <w:rsid w:val="00E33B62"/>
    <w:rsid w:val="00E34948"/>
    <w:rsid w:val="00E3512A"/>
    <w:rsid w:val="00E37095"/>
    <w:rsid w:val="00E37569"/>
    <w:rsid w:val="00E37E01"/>
    <w:rsid w:val="00E401B2"/>
    <w:rsid w:val="00E419B3"/>
    <w:rsid w:val="00E41D46"/>
    <w:rsid w:val="00E41E30"/>
    <w:rsid w:val="00E41FBD"/>
    <w:rsid w:val="00E422E1"/>
    <w:rsid w:val="00E42F73"/>
    <w:rsid w:val="00E43386"/>
    <w:rsid w:val="00E43A02"/>
    <w:rsid w:val="00E43D70"/>
    <w:rsid w:val="00E44581"/>
    <w:rsid w:val="00E44DE0"/>
    <w:rsid w:val="00E4560A"/>
    <w:rsid w:val="00E45643"/>
    <w:rsid w:val="00E4617E"/>
    <w:rsid w:val="00E466F3"/>
    <w:rsid w:val="00E4729B"/>
    <w:rsid w:val="00E472B3"/>
    <w:rsid w:val="00E475F9"/>
    <w:rsid w:val="00E47878"/>
    <w:rsid w:val="00E47B2C"/>
    <w:rsid w:val="00E506A2"/>
    <w:rsid w:val="00E51560"/>
    <w:rsid w:val="00E530B8"/>
    <w:rsid w:val="00E5368D"/>
    <w:rsid w:val="00E53BCB"/>
    <w:rsid w:val="00E53FC8"/>
    <w:rsid w:val="00E54327"/>
    <w:rsid w:val="00E54347"/>
    <w:rsid w:val="00E55424"/>
    <w:rsid w:val="00E556E5"/>
    <w:rsid w:val="00E558D8"/>
    <w:rsid w:val="00E55915"/>
    <w:rsid w:val="00E55BB5"/>
    <w:rsid w:val="00E5617A"/>
    <w:rsid w:val="00E565E8"/>
    <w:rsid w:val="00E5671D"/>
    <w:rsid w:val="00E57B5E"/>
    <w:rsid w:val="00E60625"/>
    <w:rsid w:val="00E60794"/>
    <w:rsid w:val="00E60F0A"/>
    <w:rsid w:val="00E6257A"/>
    <w:rsid w:val="00E62641"/>
    <w:rsid w:val="00E63372"/>
    <w:rsid w:val="00E637F1"/>
    <w:rsid w:val="00E6499A"/>
    <w:rsid w:val="00E65636"/>
    <w:rsid w:val="00E65E79"/>
    <w:rsid w:val="00E66379"/>
    <w:rsid w:val="00E66B38"/>
    <w:rsid w:val="00E66BA2"/>
    <w:rsid w:val="00E66CDD"/>
    <w:rsid w:val="00E670BD"/>
    <w:rsid w:val="00E6734A"/>
    <w:rsid w:val="00E67416"/>
    <w:rsid w:val="00E718B6"/>
    <w:rsid w:val="00E720FE"/>
    <w:rsid w:val="00E723BA"/>
    <w:rsid w:val="00E73581"/>
    <w:rsid w:val="00E73D9D"/>
    <w:rsid w:val="00E74912"/>
    <w:rsid w:val="00E7630D"/>
    <w:rsid w:val="00E76E5F"/>
    <w:rsid w:val="00E771AE"/>
    <w:rsid w:val="00E77C04"/>
    <w:rsid w:val="00E80921"/>
    <w:rsid w:val="00E80DDB"/>
    <w:rsid w:val="00E81F20"/>
    <w:rsid w:val="00E8227B"/>
    <w:rsid w:val="00E82B9C"/>
    <w:rsid w:val="00E82D91"/>
    <w:rsid w:val="00E833F7"/>
    <w:rsid w:val="00E83BDF"/>
    <w:rsid w:val="00E84905"/>
    <w:rsid w:val="00E84D3C"/>
    <w:rsid w:val="00E854BA"/>
    <w:rsid w:val="00E85767"/>
    <w:rsid w:val="00E8677D"/>
    <w:rsid w:val="00E868FB"/>
    <w:rsid w:val="00E876F2"/>
    <w:rsid w:val="00E879BE"/>
    <w:rsid w:val="00E87A1D"/>
    <w:rsid w:val="00E87B29"/>
    <w:rsid w:val="00E87D47"/>
    <w:rsid w:val="00E87FB0"/>
    <w:rsid w:val="00E9094A"/>
    <w:rsid w:val="00E91D35"/>
    <w:rsid w:val="00E92018"/>
    <w:rsid w:val="00E926A5"/>
    <w:rsid w:val="00E92A6E"/>
    <w:rsid w:val="00E9337F"/>
    <w:rsid w:val="00E93A21"/>
    <w:rsid w:val="00E951B4"/>
    <w:rsid w:val="00EA0C89"/>
    <w:rsid w:val="00EA17C3"/>
    <w:rsid w:val="00EA1FC7"/>
    <w:rsid w:val="00EA2206"/>
    <w:rsid w:val="00EA2CAA"/>
    <w:rsid w:val="00EA305C"/>
    <w:rsid w:val="00EA3864"/>
    <w:rsid w:val="00EA3EE1"/>
    <w:rsid w:val="00EA45D0"/>
    <w:rsid w:val="00EA4987"/>
    <w:rsid w:val="00EA4C79"/>
    <w:rsid w:val="00EA50F3"/>
    <w:rsid w:val="00EA565C"/>
    <w:rsid w:val="00EA5819"/>
    <w:rsid w:val="00EA6217"/>
    <w:rsid w:val="00EA6D95"/>
    <w:rsid w:val="00EA71D4"/>
    <w:rsid w:val="00EA7204"/>
    <w:rsid w:val="00EA7961"/>
    <w:rsid w:val="00EA7F1C"/>
    <w:rsid w:val="00EB15B6"/>
    <w:rsid w:val="00EB16AA"/>
    <w:rsid w:val="00EB184F"/>
    <w:rsid w:val="00EB1AFC"/>
    <w:rsid w:val="00EB218A"/>
    <w:rsid w:val="00EB35A2"/>
    <w:rsid w:val="00EB3D06"/>
    <w:rsid w:val="00EB3EFB"/>
    <w:rsid w:val="00EB42A0"/>
    <w:rsid w:val="00EB4334"/>
    <w:rsid w:val="00EB476F"/>
    <w:rsid w:val="00EB4916"/>
    <w:rsid w:val="00EB4BCF"/>
    <w:rsid w:val="00EB6287"/>
    <w:rsid w:val="00EB6603"/>
    <w:rsid w:val="00EB66F6"/>
    <w:rsid w:val="00EB6708"/>
    <w:rsid w:val="00EB6C3D"/>
    <w:rsid w:val="00EB7AAF"/>
    <w:rsid w:val="00EC00C9"/>
    <w:rsid w:val="00EC0DD9"/>
    <w:rsid w:val="00EC23A8"/>
    <w:rsid w:val="00EC2599"/>
    <w:rsid w:val="00EC2649"/>
    <w:rsid w:val="00EC26CB"/>
    <w:rsid w:val="00EC31ED"/>
    <w:rsid w:val="00EC354A"/>
    <w:rsid w:val="00EC45DF"/>
    <w:rsid w:val="00EC5836"/>
    <w:rsid w:val="00EC5AE3"/>
    <w:rsid w:val="00EC63AC"/>
    <w:rsid w:val="00EC63F0"/>
    <w:rsid w:val="00EC688C"/>
    <w:rsid w:val="00EC7A30"/>
    <w:rsid w:val="00ED1730"/>
    <w:rsid w:val="00ED315E"/>
    <w:rsid w:val="00ED3570"/>
    <w:rsid w:val="00ED555A"/>
    <w:rsid w:val="00ED57EA"/>
    <w:rsid w:val="00ED5BD4"/>
    <w:rsid w:val="00ED5C78"/>
    <w:rsid w:val="00ED6536"/>
    <w:rsid w:val="00ED6D96"/>
    <w:rsid w:val="00ED74C0"/>
    <w:rsid w:val="00EE05D1"/>
    <w:rsid w:val="00EE07D3"/>
    <w:rsid w:val="00EE09BD"/>
    <w:rsid w:val="00EE154A"/>
    <w:rsid w:val="00EE17C6"/>
    <w:rsid w:val="00EE1996"/>
    <w:rsid w:val="00EE1C01"/>
    <w:rsid w:val="00EE1E1A"/>
    <w:rsid w:val="00EE22AF"/>
    <w:rsid w:val="00EE2776"/>
    <w:rsid w:val="00EE2FFC"/>
    <w:rsid w:val="00EE33E5"/>
    <w:rsid w:val="00EE35F7"/>
    <w:rsid w:val="00EE3A9F"/>
    <w:rsid w:val="00EE4138"/>
    <w:rsid w:val="00EE46BF"/>
    <w:rsid w:val="00EE51E7"/>
    <w:rsid w:val="00EF005F"/>
    <w:rsid w:val="00EF0171"/>
    <w:rsid w:val="00EF05F6"/>
    <w:rsid w:val="00EF0867"/>
    <w:rsid w:val="00EF19E0"/>
    <w:rsid w:val="00EF1B25"/>
    <w:rsid w:val="00EF1DA0"/>
    <w:rsid w:val="00EF28B4"/>
    <w:rsid w:val="00EF2B15"/>
    <w:rsid w:val="00EF3114"/>
    <w:rsid w:val="00EF43F6"/>
    <w:rsid w:val="00EF4747"/>
    <w:rsid w:val="00EF48F3"/>
    <w:rsid w:val="00EF4BF8"/>
    <w:rsid w:val="00EF4CC8"/>
    <w:rsid w:val="00EF6510"/>
    <w:rsid w:val="00EF678C"/>
    <w:rsid w:val="00EF6EF5"/>
    <w:rsid w:val="00EF6FA3"/>
    <w:rsid w:val="00EF71CC"/>
    <w:rsid w:val="00EF743A"/>
    <w:rsid w:val="00EF7925"/>
    <w:rsid w:val="00F000FD"/>
    <w:rsid w:val="00F003DE"/>
    <w:rsid w:val="00F01CE5"/>
    <w:rsid w:val="00F01D51"/>
    <w:rsid w:val="00F02253"/>
    <w:rsid w:val="00F02D80"/>
    <w:rsid w:val="00F03266"/>
    <w:rsid w:val="00F03C2E"/>
    <w:rsid w:val="00F0412C"/>
    <w:rsid w:val="00F04476"/>
    <w:rsid w:val="00F04A66"/>
    <w:rsid w:val="00F04B4B"/>
    <w:rsid w:val="00F0516C"/>
    <w:rsid w:val="00F053AA"/>
    <w:rsid w:val="00F058D9"/>
    <w:rsid w:val="00F05B7E"/>
    <w:rsid w:val="00F05EC6"/>
    <w:rsid w:val="00F067A2"/>
    <w:rsid w:val="00F071FF"/>
    <w:rsid w:val="00F07B9E"/>
    <w:rsid w:val="00F1116F"/>
    <w:rsid w:val="00F11471"/>
    <w:rsid w:val="00F11C51"/>
    <w:rsid w:val="00F12622"/>
    <w:rsid w:val="00F1263A"/>
    <w:rsid w:val="00F126C7"/>
    <w:rsid w:val="00F12C5F"/>
    <w:rsid w:val="00F13355"/>
    <w:rsid w:val="00F1457A"/>
    <w:rsid w:val="00F150B8"/>
    <w:rsid w:val="00F1550B"/>
    <w:rsid w:val="00F15748"/>
    <w:rsid w:val="00F15B77"/>
    <w:rsid w:val="00F1648E"/>
    <w:rsid w:val="00F166E9"/>
    <w:rsid w:val="00F16E46"/>
    <w:rsid w:val="00F17E05"/>
    <w:rsid w:val="00F2040F"/>
    <w:rsid w:val="00F207E5"/>
    <w:rsid w:val="00F214C6"/>
    <w:rsid w:val="00F22773"/>
    <w:rsid w:val="00F22FAD"/>
    <w:rsid w:val="00F24593"/>
    <w:rsid w:val="00F24837"/>
    <w:rsid w:val="00F24917"/>
    <w:rsid w:val="00F24B40"/>
    <w:rsid w:val="00F2548B"/>
    <w:rsid w:val="00F2575F"/>
    <w:rsid w:val="00F2605E"/>
    <w:rsid w:val="00F27565"/>
    <w:rsid w:val="00F30558"/>
    <w:rsid w:val="00F30A1F"/>
    <w:rsid w:val="00F310D4"/>
    <w:rsid w:val="00F31139"/>
    <w:rsid w:val="00F31D5A"/>
    <w:rsid w:val="00F325C2"/>
    <w:rsid w:val="00F333C0"/>
    <w:rsid w:val="00F33975"/>
    <w:rsid w:val="00F33B5A"/>
    <w:rsid w:val="00F33DE9"/>
    <w:rsid w:val="00F34AF5"/>
    <w:rsid w:val="00F35150"/>
    <w:rsid w:val="00F354A0"/>
    <w:rsid w:val="00F35E6D"/>
    <w:rsid w:val="00F3619A"/>
    <w:rsid w:val="00F36896"/>
    <w:rsid w:val="00F3770D"/>
    <w:rsid w:val="00F37EEC"/>
    <w:rsid w:val="00F4014A"/>
    <w:rsid w:val="00F40AAA"/>
    <w:rsid w:val="00F40BA7"/>
    <w:rsid w:val="00F40D06"/>
    <w:rsid w:val="00F40F9D"/>
    <w:rsid w:val="00F41063"/>
    <w:rsid w:val="00F41ACD"/>
    <w:rsid w:val="00F41F2E"/>
    <w:rsid w:val="00F42751"/>
    <w:rsid w:val="00F42D40"/>
    <w:rsid w:val="00F42FD6"/>
    <w:rsid w:val="00F43490"/>
    <w:rsid w:val="00F43DDB"/>
    <w:rsid w:val="00F45BE2"/>
    <w:rsid w:val="00F46A32"/>
    <w:rsid w:val="00F46CB6"/>
    <w:rsid w:val="00F4756C"/>
    <w:rsid w:val="00F4756D"/>
    <w:rsid w:val="00F479F5"/>
    <w:rsid w:val="00F47DE8"/>
    <w:rsid w:val="00F5044E"/>
    <w:rsid w:val="00F50B6E"/>
    <w:rsid w:val="00F50EF8"/>
    <w:rsid w:val="00F51077"/>
    <w:rsid w:val="00F511BC"/>
    <w:rsid w:val="00F523C8"/>
    <w:rsid w:val="00F53434"/>
    <w:rsid w:val="00F53457"/>
    <w:rsid w:val="00F5389A"/>
    <w:rsid w:val="00F540C9"/>
    <w:rsid w:val="00F542C1"/>
    <w:rsid w:val="00F544AF"/>
    <w:rsid w:val="00F5477F"/>
    <w:rsid w:val="00F55B91"/>
    <w:rsid w:val="00F55D30"/>
    <w:rsid w:val="00F55DA8"/>
    <w:rsid w:val="00F55E73"/>
    <w:rsid w:val="00F55EDA"/>
    <w:rsid w:val="00F56C80"/>
    <w:rsid w:val="00F56FDA"/>
    <w:rsid w:val="00F60092"/>
    <w:rsid w:val="00F609B2"/>
    <w:rsid w:val="00F613DE"/>
    <w:rsid w:val="00F61C18"/>
    <w:rsid w:val="00F62828"/>
    <w:rsid w:val="00F62C66"/>
    <w:rsid w:val="00F64E50"/>
    <w:rsid w:val="00F65F4B"/>
    <w:rsid w:val="00F66418"/>
    <w:rsid w:val="00F668F7"/>
    <w:rsid w:val="00F66D3D"/>
    <w:rsid w:val="00F67A69"/>
    <w:rsid w:val="00F67BB7"/>
    <w:rsid w:val="00F70BFF"/>
    <w:rsid w:val="00F70C9D"/>
    <w:rsid w:val="00F70EC5"/>
    <w:rsid w:val="00F72027"/>
    <w:rsid w:val="00F72BBC"/>
    <w:rsid w:val="00F743B3"/>
    <w:rsid w:val="00F74CD9"/>
    <w:rsid w:val="00F75B87"/>
    <w:rsid w:val="00F76270"/>
    <w:rsid w:val="00F77593"/>
    <w:rsid w:val="00F778A7"/>
    <w:rsid w:val="00F80A7B"/>
    <w:rsid w:val="00F80E5D"/>
    <w:rsid w:val="00F80F5F"/>
    <w:rsid w:val="00F81E78"/>
    <w:rsid w:val="00F82D29"/>
    <w:rsid w:val="00F83562"/>
    <w:rsid w:val="00F851CE"/>
    <w:rsid w:val="00F85320"/>
    <w:rsid w:val="00F90339"/>
    <w:rsid w:val="00F90502"/>
    <w:rsid w:val="00F9056B"/>
    <w:rsid w:val="00F90791"/>
    <w:rsid w:val="00F90855"/>
    <w:rsid w:val="00F91219"/>
    <w:rsid w:val="00F9170B"/>
    <w:rsid w:val="00F9224D"/>
    <w:rsid w:val="00F92444"/>
    <w:rsid w:val="00F936D0"/>
    <w:rsid w:val="00F9393E"/>
    <w:rsid w:val="00F94F30"/>
    <w:rsid w:val="00F95DEF"/>
    <w:rsid w:val="00F96D2C"/>
    <w:rsid w:val="00F96FD0"/>
    <w:rsid w:val="00F97A78"/>
    <w:rsid w:val="00FA02B5"/>
    <w:rsid w:val="00FA07BF"/>
    <w:rsid w:val="00FA0B20"/>
    <w:rsid w:val="00FA1EB4"/>
    <w:rsid w:val="00FA24E7"/>
    <w:rsid w:val="00FA27B4"/>
    <w:rsid w:val="00FA5DF0"/>
    <w:rsid w:val="00FA5EE6"/>
    <w:rsid w:val="00FA60C5"/>
    <w:rsid w:val="00FA6AB9"/>
    <w:rsid w:val="00FA7956"/>
    <w:rsid w:val="00FB0FC8"/>
    <w:rsid w:val="00FB1907"/>
    <w:rsid w:val="00FB1F08"/>
    <w:rsid w:val="00FB262E"/>
    <w:rsid w:val="00FB2FCB"/>
    <w:rsid w:val="00FB32E6"/>
    <w:rsid w:val="00FB383C"/>
    <w:rsid w:val="00FB3A29"/>
    <w:rsid w:val="00FB4257"/>
    <w:rsid w:val="00FB456D"/>
    <w:rsid w:val="00FB4F25"/>
    <w:rsid w:val="00FB5052"/>
    <w:rsid w:val="00FB5AAA"/>
    <w:rsid w:val="00FB5E52"/>
    <w:rsid w:val="00FB7360"/>
    <w:rsid w:val="00FB7952"/>
    <w:rsid w:val="00FB7C55"/>
    <w:rsid w:val="00FC1074"/>
    <w:rsid w:val="00FC1185"/>
    <w:rsid w:val="00FC1884"/>
    <w:rsid w:val="00FC2122"/>
    <w:rsid w:val="00FC3506"/>
    <w:rsid w:val="00FC35A3"/>
    <w:rsid w:val="00FC371D"/>
    <w:rsid w:val="00FC37FB"/>
    <w:rsid w:val="00FC459B"/>
    <w:rsid w:val="00FC580D"/>
    <w:rsid w:val="00FC58CF"/>
    <w:rsid w:val="00FC5AD3"/>
    <w:rsid w:val="00FC5F0B"/>
    <w:rsid w:val="00FC613C"/>
    <w:rsid w:val="00FC63A3"/>
    <w:rsid w:val="00FC7765"/>
    <w:rsid w:val="00FC7FBF"/>
    <w:rsid w:val="00FD1B5B"/>
    <w:rsid w:val="00FD2100"/>
    <w:rsid w:val="00FD2806"/>
    <w:rsid w:val="00FD2E6F"/>
    <w:rsid w:val="00FD3AE6"/>
    <w:rsid w:val="00FD3B35"/>
    <w:rsid w:val="00FD3FAA"/>
    <w:rsid w:val="00FD4344"/>
    <w:rsid w:val="00FD436C"/>
    <w:rsid w:val="00FD446D"/>
    <w:rsid w:val="00FD4599"/>
    <w:rsid w:val="00FD4F2C"/>
    <w:rsid w:val="00FD53CB"/>
    <w:rsid w:val="00FD543D"/>
    <w:rsid w:val="00FD6394"/>
    <w:rsid w:val="00FD73DC"/>
    <w:rsid w:val="00FD7CE5"/>
    <w:rsid w:val="00FE0AB1"/>
    <w:rsid w:val="00FE0E6C"/>
    <w:rsid w:val="00FE1CDC"/>
    <w:rsid w:val="00FE218D"/>
    <w:rsid w:val="00FE21E3"/>
    <w:rsid w:val="00FE21FB"/>
    <w:rsid w:val="00FE225D"/>
    <w:rsid w:val="00FE239E"/>
    <w:rsid w:val="00FE5293"/>
    <w:rsid w:val="00FE561B"/>
    <w:rsid w:val="00FE59F8"/>
    <w:rsid w:val="00FE70C3"/>
    <w:rsid w:val="00FF0463"/>
    <w:rsid w:val="00FF2AD9"/>
    <w:rsid w:val="00FF2D29"/>
    <w:rsid w:val="00FF359F"/>
    <w:rsid w:val="00FF35FA"/>
    <w:rsid w:val="00FF3DCF"/>
    <w:rsid w:val="00FF3DF3"/>
    <w:rsid w:val="00FF404C"/>
    <w:rsid w:val="00FF492C"/>
    <w:rsid w:val="00FF4A21"/>
    <w:rsid w:val="00FF4A22"/>
    <w:rsid w:val="00FF4DF2"/>
    <w:rsid w:val="00FF55FC"/>
    <w:rsid w:val="00FF5814"/>
    <w:rsid w:val="00FF5AA3"/>
    <w:rsid w:val="00FF5AD8"/>
    <w:rsid w:val="00FF61AD"/>
    <w:rsid w:val="00FF6F8B"/>
    <w:rsid w:val="00FF7252"/>
    <w:rsid w:val="00FF73E0"/>
    <w:rsid w:val="01336A0F"/>
    <w:rsid w:val="01998FB1"/>
    <w:rsid w:val="02106285"/>
    <w:rsid w:val="02375D1A"/>
    <w:rsid w:val="02418022"/>
    <w:rsid w:val="03646B0A"/>
    <w:rsid w:val="04301CC1"/>
    <w:rsid w:val="04F70A86"/>
    <w:rsid w:val="053C89EC"/>
    <w:rsid w:val="05638BBF"/>
    <w:rsid w:val="05720C6C"/>
    <w:rsid w:val="08905D3E"/>
    <w:rsid w:val="08FB5E91"/>
    <w:rsid w:val="08FCB7C6"/>
    <w:rsid w:val="09838543"/>
    <w:rsid w:val="0A5A508F"/>
    <w:rsid w:val="0ABB6E79"/>
    <w:rsid w:val="0ABCC660"/>
    <w:rsid w:val="0ACD2522"/>
    <w:rsid w:val="0B392A17"/>
    <w:rsid w:val="0BABCB70"/>
    <w:rsid w:val="0BCC6994"/>
    <w:rsid w:val="0BD38883"/>
    <w:rsid w:val="0C0913BB"/>
    <w:rsid w:val="0D4BAD42"/>
    <w:rsid w:val="0E0879AF"/>
    <w:rsid w:val="0ED11ED1"/>
    <w:rsid w:val="0ED224D8"/>
    <w:rsid w:val="0EDCB581"/>
    <w:rsid w:val="0EF0EE62"/>
    <w:rsid w:val="0F43B962"/>
    <w:rsid w:val="11CFEFE2"/>
    <w:rsid w:val="13492AB7"/>
    <w:rsid w:val="1361881C"/>
    <w:rsid w:val="13701661"/>
    <w:rsid w:val="147D319C"/>
    <w:rsid w:val="148AA0AE"/>
    <w:rsid w:val="154294C7"/>
    <w:rsid w:val="1555703D"/>
    <w:rsid w:val="1577A842"/>
    <w:rsid w:val="164386B0"/>
    <w:rsid w:val="16591D18"/>
    <w:rsid w:val="19B929F9"/>
    <w:rsid w:val="19D50E36"/>
    <w:rsid w:val="1A19074F"/>
    <w:rsid w:val="1A2FC2A1"/>
    <w:rsid w:val="1AA17E05"/>
    <w:rsid w:val="1AA21FF2"/>
    <w:rsid w:val="1B1046AF"/>
    <w:rsid w:val="1B751146"/>
    <w:rsid w:val="1C751BF4"/>
    <w:rsid w:val="1DA97520"/>
    <w:rsid w:val="1DD68F08"/>
    <w:rsid w:val="1E601744"/>
    <w:rsid w:val="1EB921FC"/>
    <w:rsid w:val="1F1DF8C7"/>
    <w:rsid w:val="1F42D1C0"/>
    <w:rsid w:val="1F4A0D1A"/>
    <w:rsid w:val="1F75A197"/>
    <w:rsid w:val="1F90E77B"/>
    <w:rsid w:val="202F162D"/>
    <w:rsid w:val="2083E247"/>
    <w:rsid w:val="2161E159"/>
    <w:rsid w:val="21F0C2BE"/>
    <w:rsid w:val="2321E8E9"/>
    <w:rsid w:val="23338867"/>
    <w:rsid w:val="24BAEFBF"/>
    <w:rsid w:val="26C75C0A"/>
    <w:rsid w:val="26D5F258"/>
    <w:rsid w:val="27E5ABF1"/>
    <w:rsid w:val="27FF79AF"/>
    <w:rsid w:val="2846DBE5"/>
    <w:rsid w:val="28CD3356"/>
    <w:rsid w:val="291D16C0"/>
    <w:rsid w:val="2921BD62"/>
    <w:rsid w:val="2A579424"/>
    <w:rsid w:val="2BDC6E58"/>
    <w:rsid w:val="2EA59A04"/>
    <w:rsid w:val="2EA8D409"/>
    <w:rsid w:val="2F45599F"/>
    <w:rsid w:val="2F83128A"/>
    <w:rsid w:val="304ED6DE"/>
    <w:rsid w:val="308B5CE4"/>
    <w:rsid w:val="3095C873"/>
    <w:rsid w:val="30A1E496"/>
    <w:rsid w:val="30C3C8E9"/>
    <w:rsid w:val="31D6C2A2"/>
    <w:rsid w:val="3255887F"/>
    <w:rsid w:val="33164510"/>
    <w:rsid w:val="3332ACA2"/>
    <w:rsid w:val="334AFCEE"/>
    <w:rsid w:val="33D598E8"/>
    <w:rsid w:val="33D8E86B"/>
    <w:rsid w:val="346CD479"/>
    <w:rsid w:val="34FBC0E9"/>
    <w:rsid w:val="3516B99E"/>
    <w:rsid w:val="35523F07"/>
    <w:rsid w:val="3626CBF9"/>
    <w:rsid w:val="37FD4DC7"/>
    <w:rsid w:val="393D845F"/>
    <w:rsid w:val="3995C1C9"/>
    <w:rsid w:val="3A51CFF0"/>
    <w:rsid w:val="3A538E32"/>
    <w:rsid w:val="3A5AEB6B"/>
    <w:rsid w:val="3A64B1F3"/>
    <w:rsid w:val="3AB5E28E"/>
    <w:rsid w:val="3AF48089"/>
    <w:rsid w:val="3B2EFA3C"/>
    <w:rsid w:val="3B78B688"/>
    <w:rsid w:val="3BEB90AD"/>
    <w:rsid w:val="3BF59E54"/>
    <w:rsid w:val="3C15ED47"/>
    <w:rsid w:val="3C2A57D8"/>
    <w:rsid w:val="3C3DEA65"/>
    <w:rsid w:val="3C5A9C94"/>
    <w:rsid w:val="3CA4807B"/>
    <w:rsid w:val="3CDF53A0"/>
    <w:rsid w:val="3D8F8C3D"/>
    <w:rsid w:val="3E208EB8"/>
    <w:rsid w:val="3E9E09E9"/>
    <w:rsid w:val="3EF78BB7"/>
    <w:rsid w:val="4133FE7B"/>
    <w:rsid w:val="41935255"/>
    <w:rsid w:val="41D18488"/>
    <w:rsid w:val="41FB4C16"/>
    <w:rsid w:val="42288E45"/>
    <w:rsid w:val="42404D32"/>
    <w:rsid w:val="4262BFB7"/>
    <w:rsid w:val="42708524"/>
    <w:rsid w:val="4283D833"/>
    <w:rsid w:val="433EF9B7"/>
    <w:rsid w:val="43ECB812"/>
    <w:rsid w:val="466659D6"/>
    <w:rsid w:val="468635E6"/>
    <w:rsid w:val="473630DA"/>
    <w:rsid w:val="4794B75E"/>
    <w:rsid w:val="47EA5348"/>
    <w:rsid w:val="48022A37"/>
    <w:rsid w:val="48F18B00"/>
    <w:rsid w:val="49BBA341"/>
    <w:rsid w:val="4A964969"/>
    <w:rsid w:val="4B87236D"/>
    <w:rsid w:val="4C0CB1FC"/>
    <w:rsid w:val="4C651432"/>
    <w:rsid w:val="4D084631"/>
    <w:rsid w:val="4D549E51"/>
    <w:rsid w:val="4D7A6A54"/>
    <w:rsid w:val="4DAFD875"/>
    <w:rsid w:val="4ED43B73"/>
    <w:rsid w:val="4FD9F12E"/>
    <w:rsid w:val="4FF413BF"/>
    <w:rsid w:val="506C6DBD"/>
    <w:rsid w:val="507B73D2"/>
    <w:rsid w:val="50A908CC"/>
    <w:rsid w:val="512B0924"/>
    <w:rsid w:val="5147F900"/>
    <w:rsid w:val="5167FA89"/>
    <w:rsid w:val="5255C808"/>
    <w:rsid w:val="5433E5FC"/>
    <w:rsid w:val="543D8BBC"/>
    <w:rsid w:val="548CF8D0"/>
    <w:rsid w:val="54F54E98"/>
    <w:rsid w:val="55309294"/>
    <w:rsid w:val="5596026F"/>
    <w:rsid w:val="56FE3A36"/>
    <w:rsid w:val="570F80A5"/>
    <w:rsid w:val="5716BBDA"/>
    <w:rsid w:val="57626B43"/>
    <w:rsid w:val="57DB9443"/>
    <w:rsid w:val="57E8D18F"/>
    <w:rsid w:val="582C0CEB"/>
    <w:rsid w:val="583481D6"/>
    <w:rsid w:val="58CE2480"/>
    <w:rsid w:val="591B5B7E"/>
    <w:rsid w:val="5963D21F"/>
    <w:rsid w:val="59E8A8A9"/>
    <w:rsid w:val="59FC0455"/>
    <w:rsid w:val="5A0EC11F"/>
    <w:rsid w:val="5AB64D75"/>
    <w:rsid w:val="5B7E1C25"/>
    <w:rsid w:val="5C04179C"/>
    <w:rsid w:val="5C2C50B1"/>
    <w:rsid w:val="5CE5D75A"/>
    <w:rsid w:val="5E65AEAE"/>
    <w:rsid w:val="5EB2CE70"/>
    <w:rsid w:val="61BD6204"/>
    <w:rsid w:val="63089A0B"/>
    <w:rsid w:val="632C176B"/>
    <w:rsid w:val="63A070DD"/>
    <w:rsid w:val="64151FB9"/>
    <w:rsid w:val="641EA53F"/>
    <w:rsid w:val="64B91693"/>
    <w:rsid w:val="64EB2404"/>
    <w:rsid w:val="65604DFA"/>
    <w:rsid w:val="6597D138"/>
    <w:rsid w:val="65FE806E"/>
    <w:rsid w:val="66318FAC"/>
    <w:rsid w:val="66A15039"/>
    <w:rsid w:val="677974DD"/>
    <w:rsid w:val="6831B014"/>
    <w:rsid w:val="68E053D9"/>
    <w:rsid w:val="69AF6ECA"/>
    <w:rsid w:val="6AA4E945"/>
    <w:rsid w:val="6ACCE598"/>
    <w:rsid w:val="6B8D1685"/>
    <w:rsid w:val="6B8F3107"/>
    <w:rsid w:val="6B99C66E"/>
    <w:rsid w:val="6C6D1478"/>
    <w:rsid w:val="6D2FB48D"/>
    <w:rsid w:val="6DD65356"/>
    <w:rsid w:val="6E536027"/>
    <w:rsid w:val="6E56C422"/>
    <w:rsid w:val="6E962BFA"/>
    <w:rsid w:val="6FA0177B"/>
    <w:rsid w:val="70138775"/>
    <w:rsid w:val="7025687D"/>
    <w:rsid w:val="71C1C7FF"/>
    <w:rsid w:val="71D093B9"/>
    <w:rsid w:val="71FDFA1A"/>
    <w:rsid w:val="735A3B16"/>
    <w:rsid w:val="73DD93D5"/>
    <w:rsid w:val="745E75A6"/>
    <w:rsid w:val="7497748D"/>
    <w:rsid w:val="74A91705"/>
    <w:rsid w:val="74C41D5A"/>
    <w:rsid w:val="750D7583"/>
    <w:rsid w:val="763B22C3"/>
    <w:rsid w:val="763FDE46"/>
    <w:rsid w:val="7722AF78"/>
    <w:rsid w:val="7781E6C7"/>
    <w:rsid w:val="77F0AF71"/>
    <w:rsid w:val="77FF99D5"/>
    <w:rsid w:val="780CB81B"/>
    <w:rsid w:val="78221FE7"/>
    <w:rsid w:val="78F88D88"/>
    <w:rsid w:val="78FC8997"/>
    <w:rsid w:val="7966C353"/>
    <w:rsid w:val="798959C2"/>
    <w:rsid w:val="79A13158"/>
    <w:rsid w:val="79E8E38D"/>
    <w:rsid w:val="79EB91C5"/>
    <w:rsid w:val="79FAD45E"/>
    <w:rsid w:val="7A52BEA8"/>
    <w:rsid w:val="7A692D98"/>
    <w:rsid w:val="7A851212"/>
    <w:rsid w:val="7A992346"/>
    <w:rsid w:val="7AED8DB4"/>
    <w:rsid w:val="7C5ECAF6"/>
    <w:rsid w:val="7CC26282"/>
    <w:rsid w:val="7EE4221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D67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65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autoRedefine/>
    <w:uiPriority w:val="35"/>
    <w:unhideWhenUsed/>
    <w:qFormat/>
    <w:rsid w:val="001924C7"/>
    <w:pPr>
      <w:keepNext/>
    </w:pPr>
    <w:rPr>
      <w:rFonts w:ascii="Arial Narrow" w:hAnsi="Arial Narrow"/>
      <w:b/>
      <w:bCs/>
      <w:color w:val="000000" w:themeColor="text1"/>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rsid w:val="001924C7"/>
    <w:rPr>
      <w:rFonts w:ascii="Arial Narrow" w:hAnsi="Arial Narrow" w:cs="Arial"/>
      <w:b/>
      <w:bCs/>
      <w:color w:val="000000" w:themeColor="text1"/>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Body text"/>
    <w:basedOn w:val="Normal"/>
    <w:link w:val="BodyTextChar"/>
    <w:rsid w:val="004B3DDB"/>
    <w:pPr>
      <w:jc w:val="left"/>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Comment Text Char1 Char,Comment Text Char Char Char,Annotationtext, Char,Char1,Char2,list paragraph 2,Comment Text ZS,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Annotationtext Char, Char Char,Char1 Char,Char2 Char,list paragraph 2 Char,Comment Text ZS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Default">
    <w:name w:val="Default"/>
    <w:rsid w:val="009B6A94"/>
    <w:pPr>
      <w:autoSpaceDE w:val="0"/>
      <w:autoSpaceDN w:val="0"/>
      <w:adjustRightInd w:val="0"/>
    </w:pPr>
    <w:rPr>
      <w:color w:val="000000"/>
      <w:sz w:val="24"/>
      <w:szCs w:val="24"/>
      <w:lang w:val="en-US" w:eastAsia="en-US"/>
    </w:rPr>
  </w:style>
  <w:style w:type="paragraph" w:styleId="FootnoteText">
    <w:name w:val="footnote text"/>
    <w:basedOn w:val="Normal"/>
    <w:link w:val="FootnoteTextChar"/>
    <w:unhideWhenUsed/>
    <w:rsid w:val="00335154"/>
    <w:rPr>
      <w:sz w:val="20"/>
      <w:szCs w:val="20"/>
    </w:rPr>
  </w:style>
  <w:style w:type="character" w:customStyle="1" w:styleId="FootnoteTextChar">
    <w:name w:val="Footnote Text Char"/>
    <w:basedOn w:val="DefaultParagraphFont"/>
    <w:link w:val="FootnoteText"/>
    <w:rsid w:val="00335154"/>
    <w:rPr>
      <w:rFonts w:ascii="Calibri" w:hAnsi="Calibri" w:cs="Arial"/>
    </w:rPr>
  </w:style>
  <w:style w:type="character" w:styleId="FootnoteReference">
    <w:name w:val="footnote reference"/>
    <w:basedOn w:val="DefaultParagraphFont"/>
    <w:uiPriority w:val="99"/>
    <w:semiHidden/>
    <w:unhideWhenUsed/>
    <w:rsid w:val="00335154"/>
    <w:rPr>
      <w:vertAlign w:val="superscript"/>
    </w:rPr>
  </w:style>
  <w:style w:type="table" w:customStyle="1" w:styleId="Summarybox3">
    <w:name w:val="Summary box3"/>
    <w:basedOn w:val="TableNormal"/>
    <w:next w:val="TableGrid"/>
    <w:uiPriority w:val="59"/>
    <w:rsid w:val="00B90C1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C1D"/>
    <w:rPr>
      <w:rFonts w:ascii="TimesNewRoman" w:eastAsia="TimesNewRoman" w:hint="eastAsia"/>
      <w:b/>
      <w:bCs/>
      <w:i w:val="0"/>
      <w:iCs w:val="0"/>
      <w:color w:val="000000"/>
      <w:sz w:val="24"/>
      <w:szCs w:val="24"/>
    </w:rPr>
  </w:style>
  <w:style w:type="paragraph" w:customStyle="1" w:styleId="EndNoteBibliographyTitle">
    <w:name w:val="EndNote Bibliography Title"/>
    <w:basedOn w:val="Normal"/>
    <w:link w:val="EndNoteBibliographyTitleChar"/>
    <w:rsid w:val="00B90C1D"/>
    <w:pPr>
      <w:jc w:val="center"/>
    </w:pPr>
    <w:rPr>
      <w:rFonts w:ascii="Arial Narrow" w:hAnsi="Arial Narrow" w:cs="Calibri"/>
      <w:noProof/>
      <w:sz w:val="18"/>
    </w:rPr>
  </w:style>
  <w:style w:type="character" w:customStyle="1" w:styleId="EndNoteBibliographyTitleChar">
    <w:name w:val="EndNote Bibliography Title Char"/>
    <w:basedOn w:val="3-BodyTextChar"/>
    <w:link w:val="EndNoteBibliographyTitle"/>
    <w:rsid w:val="00B90C1D"/>
    <w:rPr>
      <w:rFonts w:ascii="Arial Narrow" w:hAnsi="Arial Narrow" w:cs="Calibri"/>
      <w:noProof/>
      <w:snapToGrid/>
      <w:sz w:val="18"/>
      <w:szCs w:val="24"/>
    </w:rPr>
  </w:style>
  <w:style w:type="paragraph" w:customStyle="1" w:styleId="EndNoteBibliography">
    <w:name w:val="EndNote Bibliography"/>
    <w:basedOn w:val="Normal"/>
    <w:link w:val="EndNoteBibliographyChar"/>
    <w:rsid w:val="00B90C1D"/>
    <w:rPr>
      <w:rFonts w:ascii="Arial Narrow" w:hAnsi="Arial Narrow" w:cs="Calibri"/>
      <w:noProof/>
      <w:sz w:val="18"/>
    </w:rPr>
  </w:style>
  <w:style w:type="character" w:customStyle="1" w:styleId="EndNoteBibliographyChar">
    <w:name w:val="EndNote Bibliography Char"/>
    <w:basedOn w:val="3-BodyTextChar"/>
    <w:link w:val="EndNoteBibliography"/>
    <w:rsid w:val="00B90C1D"/>
    <w:rPr>
      <w:rFonts w:ascii="Arial Narrow" w:hAnsi="Arial Narrow" w:cs="Calibri"/>
      <w:noProof/>
      <w:snapToGrid/>
      <w:sz w:val="18"/>
      <w:szCs w:val="24"/>
    </w:rPr>
  </w:style>
  <w:style w:type="character" w:customStyle="1" w:styleId="UnresolvedMention1">
    <w:name w:val="Unresolved Mention1"/>
    <w:basedOn w:val="DefaultParagraphFont"/>
    <w:uiPriority w:val="99"/>
    <w:semiHidden/>
    <w:unhideWhenUsed/>
    <w:rsid w:val="00B90C1D"/>
    <w:rPr>
      <w:color w:val="605E5C"/>
      <w:shd w:val="clear" w:color="auto" w:fill="E1DFDD"/>
    </w:rPr>
  </w:style>
  <w:style w:type="character" w:customStyle="1" w:styleId="dvdnh">
    <w:name w:val="dvdnh"/>
    <w:basedOn w:val="DefaultParagraphFont"/>
    <w:rsid w:val="00B90C1D"/>
  </w:style>
  <w:style w:type="character" w:customStyle="1" w:styleId="gywzne">
    <w:name w:val="gywzne"/>
    <w:basedOn w:val="DefaultParagraphFont"/>
    <w:rsid w:val="00B90C1D"/>
  </w:style>
  <w:style w:type="character" w:styleId="PlaceholderText">
    <w:name w:val="Placeholder Text"/>
    <w:basedOn w:val="DefaultParagraphFont"/>
    <w:uiPriority w:val="99"/>
    <w:semiHidden/>
    <w:rsid w:val="00B90C1D"/>
    <w:rPr>
      <w:color w:val="808080"/>
    </w:rPr>
  </w:style>
  <w:style w:type="paragraph" w:customStyle="1" w:styleId="TableFigureFootnote">
    <w:name w:val="Table &amp; Figure Footnote"/>
    <w:basedOn w:val="BodyText"/>
    <w:next w:val="BodyText"/>
    <w:qFormat/>
    <w:rsid w:val="005E4D45"/>
    <w:pPr>
      <w:spacing w:before="20" w:after="20"/>
    </w:pPr>
    <w:rPr>
      <w:rFonts w:ascii="Arial Narrow" w:hAnsi="Arial Narrow" w:cs="Times New Roman"/>
      <w:sz w:val="18"/>
    </w:rPr>
  </w:style>
  <w:style w:type="paragraph" w:customStyle="1" w:styleId="TableTitleA">
    <w:name w:val="Table Title A"/>
    <w:next w:val="BodyText"/>
    <w:qFormat/>
    <w:rsid w:val="00B90C1D"/>
    <w:pPr>
      <w:numPr>
        <w:numId w:val="9"/>
      </w:numPr>
      <w:tabs>
        <w:tab w:val="left" w:pos="1134"/>
      </w:tabs>
      <w:spacing w:after="120"/>
    </w:pPr>
    <w:rPr>
      <w:rFonts w:ascii="Arial" w:hAnsi="Arial"/>
      <w:b/>
    </w:rPr>
  </w:style>
  <w:style w:type="paragraph" w:customStyle="1" w:styleId="TableText1">
    <w:name w:val="TableText"/>
    <w:basedOn w:val="Normal"/>
    <w:link w:val="TableTextChar1"/>
    <w:qFormat/>
    <w:rsid w:val="00B90C1D"/>
    <w:pPr>
      <w:keepNext/>
      <w:spacing w:before="40" w:after="40"/>
      <w:jc w:val="left"/>
    </w:pPr>
    <w:rPr>
      <w:rFonts w:ascii="Arial" w:hAnsi="Arial" w:cs="Times New Roman"/>
      <w:sz w:val="18"/>
      <w:szCs w:val="20"/>
    </w:rPr>
  </w:style>
  <w:style w:type="character" w:customStyle="1" w:styleId="TableTextChar1">
    <w:name w:val="TableText Char"/>
    <w:link w:val="TableText1"/>
    <w:rsid w:val="00B90C1D"/>
    <w:rPr>
      <w:rFonts w:ascii="Arial" w:hAnsi="Arial"/>
      <w:sz w:val="18"/>
    </w:rPr>
  </w:style>
  <w:style w:type="paragraph" w:customStyle="1" w:styleId="V50Instructions">
    <w:name w:val="V5.0 Instructions"/>
    <w:basedOn w:val="Normal"/>
    <w:link w:val="V50InstructionsChar"/>
    <w:qFormat/>
    <w:rsid w:val="00B90C1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B90C1D"/>
    <w:rPr>
      <w:rFonts w:asciiTheme="minorHAnsi" w:eastAsiaTheme="minorHAnsi" w:hAnsiTheme="minorHAnsi" w:cstheme="minorBidi"/>
      <w:color w:val="4BACC6" w:themeColor="accent5"/>
      <w:sz w:val="24"/>
      <w:szCs w:val="22"/>
      <w:lang w:eastAsia="en-US"/>
    </w:rPr>
  </w:style>
  <w:style w:type="paragraph" w:customStyle="1" w:styleId="xmsonormal">
    <w:name w:val="x_msonormal"/>
    <w:basedOn w:val="Normal"/>
    <w:rsid w:val="005E4D45"/>
    <w:pPr>
      <w:jc w:val="left"/>
    </w:pPr>
    <w:rPr>
      <w:rFonts w:eastAsiaTheme="minorHAnsi" w:cs="Calibri"/>
      <w:sz w:val="22"/>
      <w:szCs w:val="22"/>
    </w:rPr>
  </w:style>
  <w:style w:type="paragraph" w:customStyle="1" w:styleId="xtabletext">
    <w:name w:val="x_tabletext"/>
    <w:basedOn w:val="Normal"/>
    <w:rsid w:val="005E4D45"/>
    <w:pPr>
      <w:keepNext/>
      <w:jc w:val="left"/>
    </w:pPr>
    <w:rPr>
      <w:rFonts w:ascii="Arial Narrow" w:eastAsiaTheme="minorHAnsi" w:hAnsi="Arial Narrow" w:cs="Calibri"/>
      <w:sz w:val="22"/>
      <w:szCs w:val="22"/>
    </w:rPr>
  </w:style>
  <w:style w:type="paragraph" w:customStyle="1" w:styleId="xtablefigureheading">
    <w:name w:val="x_tablefigureheading"/>
    <w:basedOn w:val="Normal"/>
    <w:rsid w:val="005E4D45"/>
    <w:pPr>
      <w:keepNext/>
      <w:jc w:val="left"/>
    </w:pPr>
    <w:rPr>
      <w:rFonts w:ascii="Arial Narrow" w:eastAsiaTheme="minorHAnsi" w:hAnsi="Arial Narrow" w:cs="Calibri"/>
      <w:b/>
      <w:bCs/>
      <w:sz w:val="22"/>
      <w:szCs w:val="22"/>
    </w:rPr>
  </w:style>
  <w:style w:type="paragraph" w:customStyle="1" w:styleId="xtablefigurefooter">
    <w:name w:val="x_tablefigurefooter"/>
    <w:basedOn w:val="Normal"/>
    <w:rsid w:val="005E4D45"/>
    <w:pPr>
      <w:snapToGrid w:val="0"/>
      <w:spacing w:after="120"/>
    </w:pPr>
    <w:rPr>
      <w:rFonts w:ascii="Arial Narrow" w:eastAsiaTheme="minorHAnsi" w:hAnsi="Arial Narrow" w:cs="Calibri"/>
      <w:sz w:val="18"/>
      <w:szCs w:val="18"/>
    </w:rPr>
  </w:style>
  <w:style w:type="character" w:customStyle="1" w:styleId="UnresolvedMention10">
    <w:name w:val="Unresolved Mention1"/>
    <w:basedOn w:val="DefaultParagraphFont"/>
    <w:uiPriority w:val="99"/>
    <w:semiHidden/>
    <w:unhideWhenUsed/>
    <w:rsid w:val="00432B96"/>
    <w:rPr>
      <w:color w:val="605E5C"/>
      <w:shd w:val="clear" w:color="auto" w:fill="E1DFDD"/>
    </w:rPr>
  </w:style>
  <w:style w:type="character" w:customStyle="1" w:styleId="fontstyle21">
    <w:name w:val="fontstyle21"/>
    <w:basedOn w:val="DefaultParagraphFont"/>
    <w:rsid w:val="008B0D30"/>
    <w:rPr>
      <w:rFonts w:ascii="ArialMT" w:hAnsi="ArialMT" w:hint="default"/>
      <w:b w:val="0"/>
      <w:bCs w:val="0"/>
      <w:i w:val="0"/>
      <w:iCs w:val="0"/>
      <w:color w:val="000000"/>
      <w:sz w:val="20"/>
      <w:szCs w:val="20"/>
    </w:rPr>
  </w:style>
  <w:style w:type="character" w:customStyle="1" w:styleId="UnresolvedMention2">
    <w:name w:val="Unresolved Mention2"/>
    <w:basedOn w:val="DefaultParagraphFont"/>
    <w:uiPriority w:val="99"/>
    <w:semiHidden/>
    <w:unhideWhenUsed/>
    <w:rsid w:val="008B0D30"/>
    <w:rPr>
      <w:color w:val="605E5C"/>
      <w:shd w:val="clear" w:color="auto" w:fill="E1DFDD"/>
    </w:rPr>
  </w:style>
  <w:style w:type="paragraph" w:customStyle="1" w:styleId="3-SubsectionHeading">
    <w:name w:val="3-Subsection Heading"/>
    <w:basedOn w:val="Heading2"/>
    <w:next w:val="Normal"/>
    <w:link w:val="3-SubsectionHeadingChar"/>
    <w:qFormat/>
    <w:rsid w:val="006F2DB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F2DBA"/>
    <w:rPr>
      <w:rFonts w:asciiTheme="minorHAnsi" w:eastAsiaTheme="majorEastAsia" w:hAnsiTheme="minorHAnsi" w:cstheme="majorBidi"/>
      <w:b/>
      <w:i/>
      <w:snapToGrid/>
      <w:spacing w:val="5"/>
      <w:kern w:val="28"/>
      <w:sz w:val="28"/>
      <w:szCs w:val="36"/>
      <w:lang w:eastAsia="en-US"/>
    </w:rPr>
  </w:style>
  <w:style w:type="character" w:customStyle="1" w:styleId="SmallItalics">
    <w:name w:val="Small Italics"/>
    <w:basedOn w:val="DefaultParagraphFont"/>
    <w:uiPriority w:val="4"/>
    <w:qFormat/>
    <w:rsid w:val="00796A91"/>
    <w:rPr>
      <w:rFonts w:ascii="Candara" w:hAnsi="Candara"/>
      <w:i/>
      <w:sz w:val="20"/>
    </w:rPr>
  </w:style>
  <w:style w:type="paragraph" w:customStyle="1" w:styleId="NormalBulletList">
    <w:name w:val="Normal Bullet List"/>
    <w:basedOn w:val="Normal"/>
    <w:uiPriority w:val="3"/>
    <w:qFormat/>
    <w:rsid w:val="00796A91"/>
    <w:pPr>
      <w:numPr>
        <w:numId w:val="14"/>
      </w:numPr>
      <w:spacing w:after="240" w:line="276" w:lineRule="auto"/>
      <w:ind w:left="357" w:hanging="357"/>
      <w:contextualSpacing/>
      <w:jc w:val="left"/>
    </w:pPr>
    <w:rPr>
      <w:rFonts w:ascii="Candara" w:eastAsiaTheme="majorEastAsia" w:hAnsi="Candara" w:cstheme="majorBidi"/>
      <w:szCs w:val="22"/>
      <w:lang w:eastAsia="en-US" w:bidi="en-US"/>
    </w:rPr>
  </w:style>
  <w:style w:type="paragraph" w:customStyle="1" w:styleId="NormalBulletList2">
    <w:name w:val="Normal Bullet List 2"/>
    <w:basedOn w:val="NormalBulletList"/>
    <w:qFormat/>
    <w:rsid w:val="00796A91"/>
    <w:pPr>
      <w:numPr>
        <w:ilvl w:val="1"/>
      </w:numPr>
      <w:spacing w:after="0"/>
      <w:ind w:left="709" w:hanging="357"/>
    </w:pPr>
  </w:style>
  <w:style w:type="table" w:styleId="TableGridLight">
    <w:name w:val="Grid Table Light"/>
    <w:basedOn w:val="TableNormal"/>
    <w:uiPriority w:val="40"/>
    <w:rsid w:val="00796A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rm-strength">
    <w:name w:val="form-strength"/>
    <w:basedOn w:val="DefaultParagraphFont"/>
    <w:rsid w:val="00796A91"/>
  </w:style>
  <w:style w:type="character" w:customStyle="1" w:styleId="item-code">
    <w:name w:val="item-code"/>
    <w:basedOn w:val="DefaultParagraphFont"/>
    <w:rsid w:val="00796A91"/>
  </w:style>
  <w:style w:type="character" w:customStyle="1" w:styleId="legend-item">
    <w:name w:val="legend-item"/>
    <w:basedOn w:val="DefaultParagraphFont"/>
    <w:rsid w:val="00796A91"/>
  </w:style>
  <w:style w:type="character" w:styleId="UnresolvedMention">
    <w:name w:val="Unresolved Mention"/>
    <w:basedOn w:val="DefaultParagraphFont"/>
    <w:uiPriority w:val="99"/>
    <w:semiHidden/>
    <w:unhideWhenUsed/>
    <w:rsid w:val="0079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0548">
      <w:bodyDiv w:val="1"/>
      <w:marLeft w:val="0"/>
      <w:marRight w:val="0"/>
      <w:marTop w:val="0"/>
      <w:marBottom w:val="0"/>
      <w:divBdr>
        <w:top w:val="none" w:sz="0" w:space="0" w:color="auto"/>
        <w:left w:val="none" w:sz="0" w:space="0" w:color="auto"/>
        <w:bottom w:val="none" w:sz="0" w:space="0" w:color="auto"/>
        <w:right w:val="none" w:sz="0" w:space="0" w:color="auto"/>
      </w:divBdr>
      <w:divsChild>
        <w:div w:id="1114058593">
          <w:marLeft w:val="360"/>
          <w:marRight w:val="0"/>
          <w:marTop w:val="100"/>
          <w:marBottom w:val="0"/>
          <w:divBdr>
            <w:top w:val="none" w:sz="0" w:space="0" w:color="auto"/>
            <w:left w:val="none" w:sz="0" w:space="0" w:color="auto"/>
            <w:bottom w:val="none" w:sz="0" w:space="0" w:color="auto"/>
            <w:right w:val="none" w:sz="0" w:space="0" w:color="auto"/>
          </w:divBdr>
        </w:div>
        <w:div w:id="1843355841">
          <w:marLeft w:val="1080"/>
          <w:marRight w:val="0"/>
          <w:marTop w:val="100"/>
          <w:marBottom w:val="0"/>
          <w:divBdr>
            <w:top w:val="none" w:sz="0" w:space="0" w:color="auto"/>
            <w:left w:val="none" w:sz="0" w:space="0" w:color="auto"/>
            <w:bottom w:val="none" w:sz="0" w:space="0" w:color="auto"/>
            <w:right w:val="none" w:sz="0" w:space="0" w:color="auto"/>
          </w:divBdr>
        </w:div>
        <w:div w:id="31271228">
          <w:marLeft w:val="360"/>
          <w:marRight w:val="0"/>
          <w:marTop w:val="100"/>
          <w:marBottom w:val="0"/>
          <w:divBdr>
            <w:top w:val="none" w:sz="0" w:space="0" w:color="auto"/>
            <w:left w:val="none" w:sz="0" w:space="0" w:color="auto"/>
            <w:bottom w:val="none" w:sz="0" w:space="0" w:color="auto"/>
            <w:right w:val="none" w:sz="0" w:space="0" w:color="auto"/>
          </w:divBdr>
        </w:div>
        <w:div w:id="1637373928">
          <w:marLeft w:val="1080"/>
          <w:marRight w:val="0"/>
          <w:marTop w:val="100"/>
          <w:marBottom w:val="0"/>
          <w:divBdr>
            <w:top w:val="none" w:sz="0" w:space="0" w:color="auto"/>
            <w:left w:val="none" w:sz="0" w:space="0" w:color="auto"/>
            <w:bottom w:val="none" w:sz="0" w:space="0" w:color="auto"/>
            <w:right w:val="none" w:sz="0" w:space="0" w:color="auto"/>
          </w:divBdr>
        </w:div>
      </w:divsChild>
    </w:div>
    <w:div w:id="21639118">
      <w:bodyDiv w:val="1"/>
      <w:marLeft w:val="0"/>
      <w:marRight w:val="0"/>
      <w:marTop w:val="0"/>
      <w:marBottom w:val="0"/>
      <w:divBdr>
        <w:top w:val="none" w:sz="0" w:space="0" w:color="auto"/>
        <w:left w:val="none" w:sz="0" w:space="0" w:color="auto"/>
        <w:bottom w:val="none" w:sz="0" w:space="0" w:color="auto"/>
        <w:right w:val="none" w:sz="0" w:space="0" w:color="auto"/>
      </w:divBdr>
      <w:divsChild>
        <w:div w:id="224949848">
          <w:marLeft w:val="360"/>
          <w:marRight w:val="0"/>
          <w:marTop w:val="200"/>
          <w:marBottom w:val="0"/>
          <w:divBdr>
            <w:top w:val="none" w:sz="0" w:space="0" w:color="auto"/>
            <w:left w:val="none" w:sz="0" w:space="0" w:color="auto"/>
            <w:bottom w:val="none" w:sz="0" w:space="0" w:color="auto"/>
            <w:right w:val="none" w:sz="0" w:space="0" w:color="auto"/>
          </w:divBdr>
        </w:div>
        <w:div w:id="851066353">
          <w:marLeft w:val="1080"/>
          <w:marRight w:val="0"/>
          <w:marTop w:val="100"/>
          <w:marBottom w:val="0"/>
          <w:divBdr>
            <w:top w:val="none" w:sz="0" w:space="0" w:color="auto"/>
            <w:left w:val="none" w:sz="0" w:space="0" w:color="auto"/>
            <w:bottom w:val="none" w:sz="0" w:space="0" w:color="auto"/>
            <w:right w:val="none" w:sz="0" w:space="0" w:color="auto"/>
          </w:divBdr>
        </w:div>
        <w:div w:id="1506818240">
          <w:marLeft w:val="1080"/>
          <w:marRight w:val="0"/>
          <w:marTop w:val="100"/>
          <w:marBottom w:val="0"/>
          <w:divBdr>
            <w:top w:val="none" w:sz="0" w:space="0" w:color="auto"/>
            <w:left w:val="none" w:sz="0" w:space="0" w:color="auto"/>
            <w:bottom w:val="none" w:sz="0" w:space="0" w:color="auto"/>
            <w:right w:val="none" w:sz="0" w:space="0" w:color="auto"/>
          </w:divBdr>
        </w:div>
        <w:div w:id="1607615468">
          <w:marLeft w:val="1080"/>
          <w:marRight w:val="0"/>
          <w:marTop w:val="100"/>
          <w:marBottom w:val="0"/>
          <w:divBdr>
            <w:top w:val="none" w:sz="0" w:space="0" w:color="auto"/>
            <w:left w:val="none" w:sz="0" w:space="0" w:color="auto"/>
            <w:bottom w:val="none" w:sz="0" w:space="0" w:color="auto"/>
            <w:right w:val="none" w:sz="0" w:space="0" w:color="auto"/>
          </w:divBdr>
        </w:div>
        <w:div w:id="732511436">
          <w:marLeft w:val="1080"/>
          <w:marRight w:val="0"/>
          <w:marTop w:val="100"/>
          <w:marBottom w:val="0"/>
          <w:divBdr>
            <w:top w:val="none" w:sz="0" w:space="0" w:color="auto"/>
            <w:left w:val="none" w:sz="0" w:space="0" w:color="auto"/>
            <w:bottom w:val="none" w:sz="0" w:space="0" w:color="auto"/>
            <w:right w:val="none" w:sz="0" w:space="0" w:color="auto"/>
          </w:divBdr>
        </w:div>
      </w:divsChild>
    </w:div>
    <w:div w:id="29890377">
      <w:bodyDiv w:val="1"/>
      <w:marLeft w:val="0"/>
      <w:marRight w:val="0"/>
      <w:marTop w:val="0"/>
      <w:marBottom w:val="0"/>
      <w:divBdr>
        <w:top w:val="none" w:sz="0" w:space="0" w:color="auto"/>
        <w:left w:val="none" w:sz="0" w:space="0" w:color="auto"/>
        <w:bottom w:val="none" w:sz="0" w:space="0" w:color="auto"/>
        <w:right w:val="none" w:sz="0" w:space="0" w:color="auto"/>
      </w:divBdr>
      <w:divsChild>
        <w:div w:id="2077508486">
          <w:marLeft w:val="360"/>
          <w:marRight w:val="0"/>
          <w:marTop w:val="100"/>
          <w:marBottom w:val="0"/>
          <w:divBdr>
            <w:top w:val="none" w:sz="0" w:space="0" w:color="auto"/>
            <w:left w:val="none" w:sz="0" w:space="0" w:color="auto"/>
            <w:bottom w:val="none" w:sz="0" w:space="0" w:color="auto"/>
            <w:right w:val="none" w:sz="0" w:space="0" w:color="auto"/>
          </w:divBdr>
        </w:div>
        <w:div w:id="1393114251">
          <w:marLeft w:val="360"/>
          <w:marRight w:val="0"/>
          <w:marTop w:val="100"/>
          <w:marBottom w:val="0"/>
          <w:divBdr>
            <w:top w:val="none" w:sz="0" w:space="0" w:color="auto"/>
            <w:left w:val="none" w:sz="0" w:space="0" w:color="auto"/>
            <w:bottom w:val="none" w:sz="0" w:space="0" w:color="auto"/>
            <w:right w:val="none" w:sz="0" w:space="0" w:color="auto"/>
          </w:divBdr>
        </w:div>
        <w:div w:id="1456482636">
          <w:marLeft w:val="360"/>
          <w:marRight w:val="0"/>
          <w:marTop w:val="100"/>
          <w:marBottom w:val="0"/>
          <w:divBdr>
            <w:top w:val="none" w:sz="0" w:space="0" w:color="auto"/>
            <w:left w:val="none" w:sz="0" w:space="0" w:color="auto"/>
            <w:bottom w:val="none" w:sz="0" w:space="0" w:color="auto"/>
            <w:right w:val="none" w:sz="0" w:space="0" w:color="auto"/>
          </w:divBdr>
        </w:div>
        <w:div w:id="337856447">
          <w:marLeft w:val="360"/>
          <w:marRight w:val="0"/>
          <w:marTop w:val="100"/>
          <w:marBottom w:val="0"/>
          <w:divBdr>
            <w:top w:val="none" w:sz="0" w:space="0" w:color="auto"/>
            <w:left w:val="none" w:sz="0" w:space="0" w:color="auto"/>
            <w:bottom w:val="none" w:sz="0" w:space="0" w:color="auto"/>
            <w:right w:val="none" w:sz="0" w:space="0" w:color="auto"/>
          </w:divBdr>
        </w:div>
      </w:divsChild>
    </w:div>
    <w:div w:id="32509346">
      <w:bodyDiv w:val="1"/>
      <w:marLeft w:val="0"/>
      <w:marRight w:val="0"/>
      <w:marTop w:val="0"/>
      <w:marBottom w:val="0"/>
      <w:divBdr>
        <w:top w:val="none" w:sz="0" w:space="0" w:color="auto"/>
        <w:left w:val="none" w:sz="0" w:space="0" w:color="auto"/>
        <w:bottom w:val="none" w:sz="0" w:space="0" w:color="auto"/>
        <w:right w:val="none" w:sz="0" w:space="0" w:color="auto"/>
      </w:divBdr>
      <w:divsChild>
        <w:div w:id="2034304167">
          <w:marLeft w:val="360"/>
          <w:marRight w:val="0"/>
          <w:marTop w:val="200"/>
          <w:marBottom w:val="0"/>
          <w:divBdr>
            <w:top w:val="none" w:sz="0" w:space="0" w:color="auto"/>
            <w:left w:val="none" w:sz="0" w:space="0" w:color="auto"/>
            <w:bottom w:val="none" w:sz="0" w:space="0" w:color="auto"/>
            <w:right w:val="none" w:sz="0" w:space="0" w:color="auto"/>
          </w:divBdr>
        </w:div>
      </w:divsChild>
    </w:div>
    <w:div w:id="48310759">
      <w:bodyDiv w:val="1"/>
      <w:marLeft w:val="0"/>
      <w:marRight w:val="0"/>
      <w:marTop w:val="0"/>
      <w:marBottom w:val="0"/>
      <w:divBdr>
        <w:top w:val="none" w:sz="0" w:space="0" w:color="auto"/>
        <w:left w:val="none" w:sz="0" w:space="0" w:color="auto"/>
        <w:bottom w:val="none" w:sz="0" w:space="0" w:color="auto"/>
        <w:right w:val="none" w:sz="0" w:space="0" w:color="auto"/>
      </w:divBdr>
    </w:div>
    <w:div w:id="70665047">
      <w:bodyDiv w:val="1"/>
      <w:marLeft w:val="0"/>
      <w:marRight w:val="0"/>
      <w:marTop w:val="0"/>
      <w:marBottom w:val="0"/>
      <w:divBdr>
        <w:top w:val="none" w:sz="0" w:space="0" w:color="auto"/>
        <w:left w:val="none" w:sz="0" w:space="0" w:color="auto"/>
        <w:bottom w:val="none" w:sz="0" w:space="0" w:color="auto"/>
        <w:right w:val="none" w:sz="0" w:space="0" w:color="auto"/>
      </w:divBdr>
      <w:divsChild>
        <w:div w:id="281115570">
          <w:marLeft w:val="0"/>
          <w:marRight w:val="0"/>
          <w:marTop w:val="0"/>
          <w:marBottom w:val="0"/>
          <w:divBdr>
            <w:top w:val="none" w:sz="0" w:space="0" w:color="auto"/>
            <w:left w:val="none" w:sz="0" w:space="0" w:color="auto"/>
            <w:bottom w:val="none" w:sz="0" w:space="0" w:color="auto"/>
            <w:right w:val="none" w:sz="0" w:space="0" w:color="auto"/>
          </w:divBdr>
          <w:divsChild>
            <w:div w:id="16115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1164">
      <w:bodyDiv w:val="1"/>
      <w:marLeft w:val="0"/>
      <w:marRight w:val="0"/>
      <w:marTop w:val="0"/>
      <w:marBottom w:val="0"/>
      <w:divBdr>
        <w:top w:val="none" w:sz="0" w:space="0" w:color="auto"/>
        <w:left w:val="none" w:sz="0" w:space="0" w:color="auto"/>
        <w:bottom w:val="none" w:sz="0" w:space="0" w:color="auto"/>
        <w:right w:val="none" w:sz="0" w:space="0" w:color="auto"/>
      </w:divBdr>
      <w:divsChild>
        <w:div w:id="382339624">
          <w:marLeft w:val="360"/>
          <w:marRight w:val="0"/>
          <w:marTop w:val="200"/>
          <w:marBottom w:val="0"/>
          <w:divBdr>
            <w:top w:val="none" w:sz="0" w:space="0" w:color="auto"/>
            <w:left w:val="none" w:sz="0" w:space="0" w:color="auto"/>
            <w:bottom w:val="none" w:sz="0" w:space="0" w:color="auto"/>
            <w:right w:val="none" w:sz="0" w:space="0" w:color="auto"/>
          </w:divBdr>
        </w:div>
        <w:div w:id="461119730">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7420158">
      <w:bodyDiv w:val="1"/>
      <w:marLeft w:val="0"/>
      <w:marRight w:val="0"/>
      <w:marTop w:val="0"/>
      <w:marBottom w:val="0"/>
      <w:divBdr>
        <w:top w:val="none" w:sz="0" w:space="0" w:color="auto"/>
        <w:left w:val="none" w:sz="0" w:space="0" w:color="auto"/>
        <w:bottom w:val="none" w:sz="0" w:space="0" w:color="auto"/>
        <w:right w:val="none" w:sz="0" w:space="0" w:color="auto"/>
      </w:divBdr>
    </w:div>
    <w:div w:id="229462612">
      <w:bodyDiv w:val="1"/>
      <w:marLeft w:val="0"/>
      <w:marRight w:val="0"/>
      <w:marTop w:val="0"/>
      <w:marBottom w:val="0"/>
      <w:divBdr>
        <w:top w:val="none" w:sz="0" w:space="0" w:color="auto"/>
        <w:left w:val="none" w:sz="0" w:space="0" w:color="auto"/>
        <w:bottom w:val="none" w:sz="0" w:space="0" w:color="auto"/>
        <w:right w:val="none" w:sz="0" w:space="0" w:color="auto"/>
      </w:divBdr>
    </w:div>
    <w:div w:id="233392895">
      <w:bodyDiv w:val="1"/>
      <w:marLeft w:val="0"/>
      <w:marRight w:val="0"/>
      <w:marTop w:val="0"/>
      <w:marBottom w:val="0"/>
      <w:divBdr>
        <w:top w:val="none" w:sz="0" w:space="0" w:color="auto"/>
        <w:left w:val="none" w:sz="0" w:space="0" w:color="auto"/>
        <w:bottom w:val="none" w:sz="0" w:space="0" w:color="auto"/>
        <w:right w:val="none" w:sz="0" w:space="0" w:color="auto"/>
      </w:divBdr>
    </w:div>
    <w:div w:id="263461762">
      <w:bodyDiv w:val="1"/>
      <w:marLeft w:val="0"/>
      <w:marRight w:val="0"/>
      <w:marTop w:val="0"/>
      <w:marBottom w:val="0"/>
      <w:divBdr>
        <w:top w:val="none" w:sz="0" w:space="0" w:color="auto"/>
        <w:left w:val="none" w:sz="0" w:space="0" w:color="auto"/>
        <w:bottom w:val="none" w:sz="0" w:space="0" w:color="auto"/>
        <w:right w:val="none" w:sz="0" w:space="0" w:color="auto"/>
      </w:divBdr>
      <w:divsChild>
        <w:div w:id="1378427662">
          <w:marLeft w:val="1080"/>
          <w:marRight w:val="0"/>
          <w:marTop w:val="100"/>
          <w:marBottom w:val="0"/>
          <w:divBdr>
            <w:top w:val="none" w:sz="0" w:space="0" w:color="auto"/>
            <w:left w:val="none" w:sz="0" w:space="0" w:color="auto"/>
            <w:bottom w:val="none" w:sz="0" w:space="0" w:color="auto"/>
            <w:right w:val="none" w:sz="0" w:space="0" w:color="auto"/>
          </w:divBdr>
        </w:div>
        <w:div w:id="508566710">
          <w:marLeft w:val="1080"/>
          <w:marRight w:val="0"/>
          <w:marTop w:val="100"/>
          <w:marBottom w:val="0"/>
          <w:divBdr>
            <w:top w:val="none" w:sz="0" w:space="0" w:color="auto"/>
            <w:left w:val="none" w:sz="0" w:space="0" w:color="auto"/>
            <w:bottom w:val="none" w:sz="0" w:space="0" w:color="auto"/>
            <w:right w:val="none" w:sz="0" w:space="0" w:color="auto"/>
          </w:divBdr>
        </w:div>
        <w:div w:id="82267662">
          <w:marLeft w:val="1080"/>
          <w:marRight w:val="0"/>
          <w:marTop w:val="100"/>
          <w:marBottom w:val="0"/>
          <w:divBdr>
            <w:top w:val="none" w:sz="0" w:space="0" w:color="auto"/>
            <w:left w:val="none" w:sz="0" w:space="0" w:color="auto"/>
            <w:bottom w:val="none" w:sz="0" w:space="0" w:color="auto"/>
            <w:right w:val="none" w:sz="0" w:space="0" w:color="auto"/>
          </w:divBdr>
        </w:div>
        <w:div w:id="1705321709">
          <w:marLeft w:val="1080"/>
          <w:marRight w:val="0"/>
          <w:marTop w:val="100"/>
          <w:marBottom w:val="0"/>
          <w:divBdr>
            <w:top w:val="none" w:sz="0" w:space="0" w:color="auto"/>
            <w:left w:val="none" w:sz="0" w:space="0" w:color="auto"/>
            <w:bottom w:val="none" w:sz="0" w:space="0" w:color="auto"/>
            <w:right w:val="none" w:sz="0" w:space="0" w:color="auto"/>
          </w:divBdr>
        </w:div>
        <w:div w:id="1216938325">
          <w:marLeft w:val="1080"/>
          <w:marRight w:val="0"/>
          <w:marTop w:val="100"/>
          <w:marBottom w:val="0"/>
          <w:divBdr>
            <w:top w:val="none" w:sz="0" w:space="0" w:color="auto"/>
            <w:left w:val="none" w:sz="0" w:space="0" w:color="auto"/>
            <w:bottom w:val="none" w:sz="0" w:space="0" w:color="auto"/>
            <w:right w:val="none" w:sz="0" w:space="0" w:color="auto"/>
          </w:divBdr>
        </w:div>
      </w:divsChild>
    </w:div>
    <w:div w:id="278881837">
      <w:bodyDiv w:val="1"/>
      <w:marLeft w:val="0"/>
      <w:marRight w:val="0"/>
      <w:marTop w:val="0"/>
      <w:marBottom w:val="0"/>
      <w:divBdr>
        <w:top w:val="none" w:sz="0" w:space="0" w:color="auto"/>
        <w:left w:val="none" w:sz="0" w:space="0" w:color="auto"/>
        <w:bottom w:val="none" w:sz="0" w:space="0" w:color="auto"/>
        <w:right w:val="none" w:sz="0" w:space="0" w:color="auto"/>
      </w:divBdr>
      <w:divsChild>
        <w:div w:id="1958097186">
          <w:marLeft w:val="360"/>
          <w:marRight w:val="0"/>
          <w:marTop w:val="200"/>
          <w:marBottom w:val="0"/>
          <w:divBdr>
            <w:top w:val="none" w:sz="0" w:space="0" w:color="auto"/>
            <w:left w:val="none" w:sz="0" w:space="0" w:color="auto"/>
            <w:bottom w:val="none" w:sz="0" w:space="0" w:color="auto"/>
            <w:right w:val="none" w:sz="0" w:space="0" w:color="auto"/>
          </w:divBdr>
        </w:div>
        <w:div w:id="986083892">
          <w:marLeft w:val="1080"/>
          <w:marRight w:val="0"/>
          <w:marTop w:val="100"/>
          <w:marBottom w:val="0"/>
          <w:divBdr>
            <w:top w:val="none" w:sz="0" w:space="0" w:color="auto"/>
            <w:left w:val="none" w:sz="0" w:space="0" w:color="auto"/>
            <w:bottom w:val="none" w:sz="0" w:space="0" w:color="auto"/>
            <w:right w:val="none" w:sz="0" w:space="0" w:color="auto"/>
          </w:divBdr>
        </w:div>
        <w:div w:id="1665477174">
          <w:marLeft w:val="1800"/>
          <w:marRight w:val="0"/>
          <w:marTop w:val="100"/>
          <w:marBottom w:val="0"/>
          <w:divBdr>
            <w:top w:val="none" w:sz="0" w:space="0" w:color="auto"/>
            <w:left w:val="none" w:sz="0" w:space="0" w:color="auto"/>
            <w:bottom w:val="none" w:sz="0" w:space="0" w:color="auto"/>
            <w:right w:val="none" w:sz="0" w:space="0" w:color="auto"/>
          </w:divBdr>
        </w:div>
        <w:div w:id="1917547412">
          <w:marLeft w:val="1800"/>
          <w:marRight w:val="0"/>
          <w:marTop w:val="100"/>
          <w:marBottom w:val="0"/>
          <w:divBdr>
            <w:top w:val="none" w:sz="0" w:space="0" w:color="auto"/>
            <w:left w:val="none" w:sz="0" w:space="0" w:color="auto"/>
            <w:bottom w:val="none" w:sz="0" w:space="0" w:color="auto"/>
            <w:right w:val="none" w:sz="0" w:space="0" w:color="auto"/>
          </w:divBdr>
        </w:div>
        <w:div w:id="55204761">
          <w:marLeft w:val="2520"/>
          <w:marRight w:val="0"/>
          <w:marTop w:val="100"/>
          <w:marBottom w:val="0"/>
          <w:divBdr>
            <w:top w:val="none" w:sz="0" w:space="0" w:color="auto"/>
            <w:left w:val="none" w:sz="0" w:space="0" w:color="auto"/>
            <w:bottom w:val="none" w:sz="0" w:space="0" w:color="auto"/>
            <w:right w:val="none" w:sz="0" w:space="0" w:color="auto"/>
          </w:divBdr>
        </w:div>
        <w:div w:id="220410844">
          <w:marLeft w:val="1800"/>
          <w:marRight w:val="0"/>
          <w:marTop w:val="100"/>
          <w:marBottom w:val="0"/>
          <w:divBdr>
            <w:top w:val="none" w:sz="0" w:space="0" w:color="auto"/>
            <w:left w:val="none" w:sz="0" w:space="0" w:color="auto"/>
            <w:bottom w:val="none" w:sz="0" w:space="0" w:color="auto"/>
            <w:right w:val="none" w:sz="0" w:space="0" w:color="auto"/>
          </w:divBdr>
        </w:div>
      </w:divsChild>
    </w:div>
    <w:div w:id="292639286">
      <w:bodyDiv w:val="1"/>
      <w:marLeft w:val="0"/>
      <w:marRight w:val="0"/>
      <w:marTop w:val="0"/>
      <w:marBottom w:val="0"/>
      <w:divBdr>
        <w:top w:val="none" w:sz="0" w:space="0" w:color="auto"/>
        <w:left w:val="none" w:sz="0" w:space="0" w:color="auto"/>
        <w:bottom w:val="none" w:sz="0" w:space="0" w:color="auto"/>
        <w:right w:val="none" w:sz="0" w:space="0" w:color="auto"/>
      </w:divBdr>
      <w:divsChild>
        <w:div w:id="1297106679">
          <w:marLeft w:val="0"/>
          <w:marRight w:val="0"/>
          <w:marTop w:val="0"/>
          <w:marBottom w:val="0"/>
          <w:divBdr>
            <w:top w:val="none" w:sz="0" w:space="0" w:color="auto"/>
            <w:left w:val="none" w:sz="0" w:space="0" w:color="auto"/>
            <w:bottom w:val="none" w:sz="0" w:space="0" w:color="auto"/>
            <w:right w:val="none" w:sz="0" w:space="0" w:color="auto"/>
          </w:divBdr>
          <w:divsChild>
            <w:div w:id="15399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5421140">
      <w:bodyDiv w:val="1"/>
      <w:marLeft w:val="0"/>
      <w:marRight w:val="0"/>
      <w:marTop w:val="0"/>
      <w:marBottom w:val="0"/>
      <w:divBdr>
        <w:top w:val="none" w:sz="0" w:space="0" w:color="auto"/>
        <w:left w:val="none" w:sz="0" w:space="0" w:color="auto"/>
        <w:bottom w:val="none" w:sz="0" w:space="0" w:color="auto"/>
        <w:right w:val="none" w:sz="0" w:space="0" w:color="auto"/>
      </w:divBdr>
      <w:divsChild>
        <w:div w:id="2051949606">
          <w:marLeft w:val="360"/>
          <w:marRight w:val="0"/>
          <w:marTop w:val="200"/>
          <w:marBottom w:val="0"/>
          <w:divBdr>
            <w:top w:val="none" w:sz="0" w:space="0" w:color="auto"/>
            <w:left w:val="none" w:sz="0" w:space="0" w:color="auto"/>
            <w:bottom w:val="none" w:sz="0" w:space="0" w:color="auto"/>
            <w:right w:val="none" w:sz="0" w:space="0" w:color="auto"/>
          </w:divBdr>
        </w:div>
      </w:divsChild>
    </w:div>
    <w:div w:id="365299180">
      <w:bodyDiv w:val="1"/>
      <w:marLeft w:val="0"/>
      <w:marRight w:val="0"/>
      <w:marTop w:val="0"/>
      <w:marBottom w:val="0"/>
      <w:divBdr>
        <w:top w:val="none" w:sz="0" w:space="0" w:color="auto"/>
        <w:left w:val="none" w:sz="0" w:space="0" w:color="auto"/>
        <w:bottom w:val="none" w:sz="0" w:space="0" w:color="auto"/>
        <w:right w:val="none" w:sz="0" w:space="0" w:color="auto"/>
      </w:divBdr>
    </w:div>
    <w:div w:id="436095199">
      <w:bodyDiv w:val="1"/>
      <w:marLeft w:val="0"/>
      <w:marRight w:val="0"/>
      <w:marTop w:val="0"/>
      <w:marBottom w:val="0"/>
      <w:divBdr>
        <w:top w:val="none" w:sz="0" w:space="0" w:color="auto"/>
        <w:left w:val="none" w:sz="0" w:space="0" w:color="auto"/>
        <w:bottom w:val="none" w:sz="0" w:space="0" w:color="auto"/>
        <w:right w:val="none" w:sz="0" w:space="0" w:color="auto"/>
      </w:divBdr>
      <w:divsChild>
        <w:div w:id="1480994216">
          <w:marLeft w:val="360"/>
          <w:marRight w:val="0"/>
          <w:marTop w:val="200"/>
          <w:marBottom w:val="0"/>
          <w:divBdr>
            <w:top w:val="none" w:sz="0" w:space="0" w:color="auto"/>
            <w:left w:val="none" w:sz="0" w:space="0" w:color="auto"/>
            <w:bottom w:val="none" w:sz="0" w:space="0" w:color="auto"/>
            <w:right w:val="none" w:sz="0" w:space="0" w:color="auto"/>
          </w:divBdr>
        </w:div>
      </w:divsChild>
    </w:div>
    <w:div w:id="463274587">
      <w:bodyDiv w:val="1"/>
      <w:marLeft w:val="0"/>
      <w:marRight w:val="0"/>
      <w:marTop w:val="0"/>
      <w:marBottom w:val="0"/>
      <w:divBdr>
        <w:top w:val="none" w:sz="0" w:space="0" w:color="auto"/>
        <w:left w:val="none" w:sz="0" w:space="0" w:color="auto"/>
        <w:bottom w:val="none" w:sz="0" w:space="0" w:color="auto"/>
        <w:right w:val="none" w:sz="0" w:space="0" w:color="auto"/>
      </w:divBdr>
    </w:div>
    <w:div w:id="477383137">
      <w:bodyDiv w:val="1"/>
      <w:marLeft w:val="0"/>
      <w:marRight w:val="0"/>
      <w:marTop w:val="0"/>
      <w:marBottom w:val="0"/>
      <w:divBdr>
        <w:top w:val="none" w:sz="0" w:space="0" w:color="auto"/>
        <w:left w:val="none" w:sz="0" w:space="0" w:color="auto"/>
        <w:bottom w:val="none" w:sz="0" w:space="0" w:color="auto"/>
        <w:right w:val="none" w:sz="0" w:space="0" w:color="auto"/>
      </w:divBdr>
    </w:div>
    <w:div w:id="483162381">
      <w:bodyDiv w:val="1"/>
      <w:marLeft w:val="0"/>
      <w:marRight w:val="0"/>
      <w:marTop w:val="0"/>
      <w:marBottom w:val="0"/>
      <w:divBdr>
        <w:top w:val="none" w:sz="0" w:space="0" w:color="auto"/>
        <w:left w:val="none" w:sz="0" w:space="0" w:color="auto"/>
        <w:bottom w:val="none" w:sz="0" w:space="0" w:color="auto"/>
        <w:right w:val="none" w:sz="0" w:space="0" w:color="auto"/>
      </w:divBdr>
    </w:div>
    <w:div w:id="485361609">
      <w:bodyDiv w:val="1"/>
      <w:marLeft w:val="0"/>
      <w:marRight w:val="0"/>
      <w:marTop w:val="0"/>
      <w:marBottom w:val="0"/>
      <w:divBdr>
        <w:top w:val="none" w:sz="0" w:space="0" w:color="auto"/>
        <w:left w:val="none" w:sz="0" w:space="0" w:color="auto"/>
        <w:bottom w:val="none" w:sz="0" w:space="0" w:color="auto"/>
        <w:right w:val="none" w:sz="0" w:space="0" w:color="auto"/>
      </w:divBdr>
    </w:div>
    <w:div w:id="491679036">
      <w:bodyDiv w:val="1"/>
      <w:marLeft w:val="0"/>
      <w:marRight w:val="0"/>
      <w:marTop w:val="0"/>
      <w:marBottom w:val="0"/>
      <w:divBdr>
        <w:top w:val="none" w:sz="0" w:space="0" w:color="auto"/>
        <w:left w:val="none" w:sz="0" w:space="0" w:color="auto"/>
        <w:bottom w:val="none" w:sz="0" w:space="0" w:color="auto"/>
        <w:right w:val="none" w:sz="0" w:space="0" w:color="auto"/>
      </w:divBdr>
    </w:div>
    <w:div w:id="511725008">
      <w:bodyDiv w:val="1"/>
      <w:marLeft w:val="0"/>
      <w:marRight w:val="0"/>
      <w:marTop w:val="0"/>
      <w:marBottom w:val="0"/>
      <w:divBdr>
        <w:top w:val="none" w:sz="0" w:space="0" w:color="auto"/>
        <w:left w:val="none" w:sz="0" w:space="0" w:color="auto"/>
        <w:bottom w:val="none" w:sz="0" w:space="0" w:color="auto"/>
        <w:right w:val="none" w:sz="0" w:space="0" w:color="auto"/>
      </w:divBdr>
      <w:divsChild>
        <w:div w:id="1317999994">
          <w:marLeft w:val="1080"/>
          <w:marRight w:val="0"/>
          <w:marTop w:val="100"/>
          <w:marBottom w:val="0"/>
          <w:divBdr>
            <w:top w:val="none" w:sz="0" w:space="0" w:color="auto"/>
            <w:left w:val="none" w:sz="0" w:space="0" w:color="auto"/>
            <w:bottom w:val="none" w:sz="0" w:space="0" w:color="auto"/>
            <w:right w:val="none" w:sz="0" w:space="0" w:color="auto"/>
          </w:divBdr>
        </w:div>
        <w:div w:id="1442719358">
          <w:marLeft w:val="1800"/>
          <w:marRight w:val="0"/>
          <w:marTop w:val="0"/>
          <w:marBottom w:val="0"/>
          <w:divBdr>
            <w:top w:val="none" w:sz="0" w:space="0" w:color="auto"/>
            <w:left w:val="none" w:sz="0" w:space="0" w:color="auto"/>
            <w:bottom w:val="none" w:sz="0" w:space="0" w:color="auto"/>
            <w:right w:val="none" w:sz="0" w:space="0" w:color="auto"/>
          </w:divBdr>
        </w:div>
        <w:div w:id="874856220">
          <w:marLeft w:val="1800"/>
          <w:marRight w:val="0"/>
          <w:marTop w:val="0"/>
          <w:marBottom w:val="0"/>
          <w:divBdr>
            <w:top w:val="none" w:sz="0" w:space="0" w:color="auto"/>
            <w:left w:val="none" w:sz="0" w:space="0" w:color="auto"/>
            <w:bottom w:val="none" w:sz="0" w:space="0" w:color="auto"/>
            <w:right w:val="none" w:sz="0" w:space="0" w:color="auto"/>
          </w:divBdr>
        </w:div>
        <w:div w:id="1079398887">
          <w:marLeft w:val="1800"/>
          <w:marRight w:val="0"/>
          <w:marTop w:val="0"/>
          <w:marBottom w:val="0"/>
          <w:divBdr>
            <w:top w:val="none" w:sz="0" w:space="0" w:color="auto"/>
            <w:left w:val="none" w:sz="0" w:space="0" w:color="auto"/>
            <w:bottom w:val="none" w:sz="0" w:space="0" w:color="auto"/>
            <w:right w:val="none" w:sz="0" w:space="0" w:color="auto"/>
          </w:divBdr>
        </w:div>
        <w:div w:id="1349453155">
          <w:marLeft w:val="1800"/>
          <w:marRight w:val="0"/>
          <w:marTop w:val="0"/>
          <w:marBottom w:val="0"/>
          <w:divBdr>
            <w:top w:val="none" w:sz="0" w:space="0" w:color="auto"/>
            <w:left w:val="none" w:sz="0" w:space="0" w:color="auto"/>
            <w:bottom w:val="none" w:sz="0" w:space="0" w:color="auto"/>
            <w:right w:val="none" w:sz="0" w:space="0" w:color="auto"/>
          </w:divBdr>
        </w:div>
      </w:divsChild>
    </w:div>
    <w:div w:id="548692129">
      <w:bodyDiv w:val="1"/>
      <w:marLeft w:val="0"/>
      <w:marRight w:val="0"/>
      <w:marTop w:val="0"/>
      <w:marBottom w:val="0"/>
      <w:divBdr>
        <w:top w:val="none" w:sz="0" w:space="0" w:color="auto"/>
        <w:left w:val="none" w:sz="0" w:space="0" w:color="auto"/>
        <w:bottom w:val="none" w:sz="0" w:space="0" w:color="auto"/>
        <w:right w:val="none" w:sz="0" w:space="0" w:color="auto"/>
      </w:divBdr>
    </w:div>
    <w:div w:id="562788060">
      <w:bodyDiv w:val="1"/>
      <w:marLeft w:val="0"/>
      <w:marRight w:val="0"/>
      <w:marTop w:val="0"/>
      <w:marBottom w:val="0"/>
      <w:divBdr>
        <w:top w:val="none" w:sz="0" w:space="0" w:color="auto"/>
        <w:left w:val="none" w:sz="0" w:space="0" w:color="auto"/>
        <w:bottom w:val="none" w:sz="0" w:space="0" w:color="auto"/>
        <w:right w:val="none" w:sz="0" w:space="0" w:color="auto"/>
      </w:divBdr>
      <w:divsChild>
        <w:div w:id="61369392">
          <w:marLeft w:val="360"/>
          <w:marRight w:val="0"/>
          <w:marTop w:val="100"/>
          <w:marBottom w:val="0"/>
          <w:divBdr>
            <w:top w:val="none" w:sz="0" w:space="0" w:color="auto"/>
            <w:left w:val="none" w:sz="0" w:space="0" w:color="auto"/>
            <w:bottom w:val="none" w:sz="0" w:space="0" w:color="auto"/>
            <w:right w:val="none" w:sz="0" w:space="0" w:color="auto"/>
          </w:divBdr>
        </w:div>
        <w:div w:id="1417167863">
          <w:marLeft w:val="360"/>
          <w:marRight w:val="0"/>
          <w:marTop w:val="100"/>
          <w:marBottom w:val="0"/>
          <w:divBdr>
            <w:top w:val="none" w:sz="0" w:space="0" w:color="auto"/>
            <w:left w:val="none" w:sz="0" w:space="0" w:color="auto"/>
            <w:bottom w:val="none" w:sz="0" w:space="0" w:color="auto"/>
            <w:right w:val="none" w:sz="0" w:space="0" w:color="auto"/>
          </w:divBdr>
        </w:div>
        <w:div w:id="454252309">
          <w:marLeft w:val="360"/>
          <w:marRight w:val="0"/>
          <w:marTop w:val="100"/>
          <w:marBottom w:val="0"/>
          <w:divBdr>
            <w:top w:val="none" w:sz="0" w:space="0" w:color="auto"/>
            <w:left w:val="none" w:sz="0" w:space="0" w:color="auto"/>
            <w:bottom w:val="none" w:sz="0" w:space="0" w:color="auto"/>
            <w:right w:val="none" w:sz="0" w:space="0" w:color="auto"/>
          </w:divBdr>
        </w:div>
        <w:div w:id="774711835">
          <w:marLeft w:val="360"/>
          <w:marRight w:val="0"/>
          <w:marTop w:val="100"/>
          <w:marBottom w:val="0"/>
          <w:divBdr>
            <w:top w:val="none" w:sz="0" w:space="0" w:color="auto"/>
            <w:left w:val="none" w:sz="0" w:space="0" w:color="auto"/>
            <w:bottom w:val="none" w:sz="0" w:space="0" w:color="auto"/>
            <w:right w:val="none" w:sz="0" w:space="0" w:color="auto"/>
          </w:divBdr>
        </w:div>
        <w:div w:id="103767010">
          <w:marLeft w:val="360"/>
          <w:marRight w:val="0"/>
          <w:marTop w:val="100"/>
          <w:marBottom w:val="0"/>
          <w:divBdr>
            <w:top w:val="none" w:sz="0" w:space="0" w:color="auto"/>
            <w:left w:val="none" w:sz="0" w:space="0" w:color="auto"/>
            <w:bottom w:val="none" w:sz="0" w:space="0" w:color="auto"/>
            <w:right w:val="none" w:sz="0" w:space="0" w:color="auto"/>
          </w:divBdr>
        </w:div>
      </w:divsChild>
    </w:div>
    <w:div w:id="576280017">
      <w:bodyDiv w:val="1"/>
      <w:marLeft w:val="0"/>
      <w:marRight w:val="0"/>
      <w:marTop w:val="0"/>
      <w:marBottom w:val="0"/>
      <w:divBdr>
        <w:top w:val="none" w:sz="0" w:space="0" w:color="auto"/>
        <w:left w:val="none" w:sz="0" w:space="0" w:color="auto"/>
        <w:bottom w:val="none" w:sz="0" w:space="0" w:color="auto"/>
        <w:right w:val="none" w:sz="0" w:space="0" w:color="auto"/>
      </w:divBdr>
      <w:divsChild>
        <w:div w:id="1210267000">
          <w:marLeft w:val="360"/>
          <w:marRight w:val="0"/>
          <w:marTop w:val="200"/>
          <w:marBottom w:val="0"/>
          <w:divBdr>
            <w:top w:val="none" w:sz="0" w:space="0" w:color="auto"/>
            <w:left w:val="none" w:sz="0" w:space="0" w:color="auto"/>
            <w:bottom w:val="none" w:sz="0" w:space="0" w:color="auto"/>
            <w:right w:val="none" w:sz="0" w:space="0" w:color="auto"/>
          </w:divBdr>
        </w:div>
        <w:div w:id="1951622185">
          <w:marLeft w:val="1080"/>
          <w:marRight w:val="0"/>
          <w:marTop w:val="100"/>
          <w:marBottom w:val="0"/>
          <w:divBdr>
            <w:top w:val="none" w:sz="0" w:space="0" w:color="auto"/>
            <w:left w:val="none" w:sz="0" w:space="0" w:color="auto"/>
            <w:bottom w:val="none" w:sz="0" w:space="0" w:color="auto"/>
            <w:right w:val="none" w:sz="0" w:space="0" w:color="auto"/>
          </w:divBdr>
        </w:div>
      </w:divsChild>
    </w:div>
    <w:div w:id="619722597">
      <w:bodyDiv w:val="1"/>
      <w:marLeft w:val="0"/>
      <w:marRight w:val="0"/>
      <w:marTop w:val="0"/>
      <w:marBottom w:val="0"/>
      <w:divBdr>
        <w:top w:val="none" w:sz="0" w:space="0" w:color="auto"/>
        <w:left w:val="none" w:sz="0" w:space="0" w:color="auto"/>
        <w:bottom w:val="none" w:sz="0" w:space="0" w:color="auto"/>
        <w:right w:val="none" w:sz="0" w:space="0" w:color="auto"/>
      </w:divBdr>
      <w:divsChild>
        <w:div w:id="46345500">
          <w:marLeft w:val="1080"/>
          <w:marRight w:val="0"/>
          <w:marTop w:val="100"/>
          <w:marBottom w:val="0"/>
          <w:divBdr>
            <w:top w:val="none" w:sz="0" w:space="0" w:color="auto"/>
            <w:left w:val="none" w:sz="0" w:space="0" w:color="auto"/>
            <w:bottom w:val="none" w:sz="0" w:space="0" w:color="auto"/>
            <w:right w:val="none" w:sz="0" w:space="0" w:color="auto"/>
          </w:divBdr>
        </w:div>
      </w:divsChild>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694384098">
      <w:bodyDiv w:val="1"/>
      <w:marLeft w:val="0"/>
      <w:marRight w:val="0"/>
      <w:marTop w:val="0"/>
      <w:marBottom w:val="0"/>
      <w:divBdr>
        <w:top w:val="none" w:sz="0" w:space="0" w:color="auto"/>
        <w:left w:val="none" w:sz="0" w:space="0" w:color="auto"/>
        <w:bottom w:val="none" w:sz="0" w:space="0" w:color="auto"/>
        <w:right w:val="none" w:sz="0" w:space="0" w:color="auto"/>
      </w:divBdr>
      <w:divsChild>
        <w:div w:id="91056393">
          <w:marLeft w:val="274"/>
          <w:marRight w:val="0"/>
          <w:marTop w:val="0"/>
          <w:marBottom w:val="0"/>
          <w:divBdr>
            <w:top w:val="none" w:sz="0" w:space="0" w:color="auto"/>
            <w:left w:val="none" w:sz="0" w:space="0" w:color="auto"/>
            <w:bottom w:val="none" w:sz="0" w:space="0" w:color="auto"/>
            <w:right w:val="none" w:sz="0" w:space="0" w:color="auto"/>
          </w:divBdr>
        </w:div>
        <w:div w:id="289555616">
          <w:marLeft w:val="274"/>
          <w:marRight w:val="0"/>
          <w:marTop w:val="0"/>
          <w:marBottom w:val="0"/>
          <w:divBdr>
            <w:top w:val="none" w:sz="0" w:space="0" w:color="auto"/>
            <w:left w:val="none" w:sz="0" w:space="0" w:color="auto"/>
            <w:bottom w:val="none" w:sz="0" w:space="0" w:color="auto"/>
            <w:right w:val="none" w:sz="0" w:space="0" w:color="auto"/>
          </w:divBdr>
        </w:div>
        <w:div w:id="671567021">
          <w:marLeft w:val="274"/>
          <w:marRight w:val="0"/>
          <w:marTop w:val="0"/>
          <w:marBottom w:val="0"/>
          <w:divBdr>
            <w:top w:val="none" w:sz="0" w:space="0" w:color="auto"/>
            <w:left w:val="none" w:sz="0" w:space="0" w:color="auto"/>
            <w:bottom w:val="none" w:sz="0" w:space="0" w:color="auto"/>
            <w:right w:val="none" w:sz="0" w:space="0" w:color="auto"/>
          </w:divBdr>
        </w:div>
      </w:divsChild>
    </w:div>
    <w:div w:id="709570746">
      <w:bodyDiv w:val="1"/>
      <w:marLeft w:val="0"/>
      <w:marRight w:val="0"/>
      <w:marTop w:val="0"/>
      <w:marBottom w:val="0"/>
      <w:divBdr>
        <w:top w:val="none" w:sz="0" w:space="0" w:color="auto"/>
        <w:left w:val="none" w:sz="0" w:space="0" w:color="auto"/>
        <w:bottom w:val="none" w:sz="0" w:space="0" w:color="auto"/>
        <w:right w:val="none" w:sz="0" w:space="0" w:color="auto"/>
      </w:divBdr>
    </w:div>
    <w:div w:id="720790099">
      <w:bodyDiv w:val="1"/>
      <w:marLeft w:val="0"/>
      <w:marRight w:val="0"/>
      <w:marTop w:val="0"/>
      <w:marBottom w:val="0"/>
      <w:divBdr>
        <w:top w:val="none" w:sz="0" w:space="0" w:color="auto"/>
        <w:left w:val="none" w:sz="0" w:space="0" w:color="auto"/>
        <w:bottom w:val="none" w:sz="0" w:space="0" w:color="auto"/>
        <w:right w:val="none" w:sz="0" w:space="0" w:color="auto"/>
      </w:divBdr>
      <w:divsChild>
        <w:div w:id="1402755174">
          <w:marLeft w:val="360"/>
          <w:marRight w:val="0"/>
          <w:marTop w:val="100"/>
          <w:marBottom w:val="0"/>
          <w:divBdr>
            <w:top w:val="none" w:sz="0" w:space="0" w:color="auto"/>
            <w:left w:val="none" w:sz="0" w:space="0" w:color="auto"/>
            <w:bottom w:val="none" w:sz="0" w:space="0" w:color="auto"/>
            <w:right w:val="none" w:sz="0" w:space="0" w:color="auto"/>
          </w:divBdr>
        </w:div>
        <w:div w:id="1119447946">
          <w:marLeft w:val="1080"/>
          <w:marRight w:val="0"/>
          <w:marTop w:val="100"/>
          <w:marBottom w:val="0"/>
          <w:divBdr>
            <w:top w:val="none" w:sz="0" w:space="0" w:color="auto"/>
            <w:left w:val="none" w:sz="0" w:space="0" w:color="auto"/>
            <w:bottom w:val="none" w:sz="0" w:space="0" w:color="auto"/>
            <w:right w:val="none" w:sz="0" w:space="0" w:color="auto"/>
          </w:divBdr>
        </w:div>
        <w:div w:id="1507288593">
          <w:marLeft w:val="1080"/>
          <w:marRight w:val="0"/>
          <w:marTop w:val="100"/>
          <w:marBottom w:val="0"/>
          <w:divBdr>
            <w:top w:val="none" w:sz="0" w:space="0" w:color="auto"/>
            <w:left w:val="none" w:sz="0" w:space="0" w:color="auto"/>
            <w:bottom w:val="none" w:sz="0" w:space="0" w:color="auto"/>
            <w:right w:val="none" w:sz="0" w:space="0" w:color="auto"/>
          </w:divBdr>
        </w:div>
        <w:div w:id="2056077761">
          <w:marLeft w:val="1080"/>
          <w:marRight w:val="0"/>
          <w:marTop w:val="100"/>
          <w:marBottom w:val="0"/>
          <w:divBdr>
            <w:top w:val="none" w:sz="0" w:space="0" w:color="auto"/>
            <w:left w:val="none" w:sz="0" w:space="0" w:color="auto"/>
            <w:bottom w:val="none" w:sz="0" w:space="0" w:color="auto"/>
            <w:right w:val="none" w:sz="0" w:space="0" w:color="auto"/>
          </w:divBdr>
        </w:div>
      </w:divsChild>
    </w:div>
    <w:div w:id="725377121">
      <w:bodyDiv w:val="1"/>
      <w:marLeft w:val="0"/>
      <w:marRight w:val="0"/>
      <w:marTop w:val="0"/>
      <w:marBottom w:val="0"/>
      <w:divBdr>
        <w:top w:val="none" w:sz="0" w:space="0" w:color="auto"/>
        <w:left w:val="none" w:sz="0" w:space="0" w:color="auto"/>
        <w:bottom w:val="none" w:sz="0" w:space="0" w:color="auto"/>
        <w:right w:val="none" w:sz="0" w:space="0" w:color="auto"/>
      </w:divBdr>
      <w:divsChild>
        <w:div w:id="2120564311">
          <w:marLeft w:val="360"/>
          <w:marRight w:val="0"/>
          <w:marTop w:val="200"/>
          <w:marBottom w:val="0"/>
          <w:divBdr>
            <w:top w:val="none" w:sz="0" w:space="0" w:color="auto"/>
            <w:left w:val="none" w:sz="0" w:space="0" w:color="auto"/>
            <w:bottom w:val="none" w:sz="0" w:space="0" w:color="auto"/>
            <w:right w:val="none" w:sz="0" w:space="0" w:color="auto"/>
          </w:divBdr>
        </w:div>
      </w:divsChild>
    </w:div>
    <w:div w:id="739987344">
      <w:bodyDiv w:val="1"/>
      <w:marLeft w:val="0"/>
      <w:marRight w:val="0"/>
      <w:marTop w:val="0"/>
      <w:marBottom w:val="0"/>
      <w:divBdr>
        <w:top w:val="none" w:sz="0" w:space="0" w:color="auto"/>
        <w:left w:val="none" w:sz="0" w:space="0" w:color="auto"/>
        <w:bottom w:val="none" w:sz="0" w:space="0" w:color="auto"/>
        <w:right w:val="none" w:sz="0" w:space="0" w:color="auto"/>
      </w:divBdr>
      <w:divsChild>
        <w:div w:id="998002546">
          <w:marLeft w:val="1080"/>
          <w:marRight w:val="0"/>
          <w:marTop w:val="100"/>
          <w:marBottom w:val="0"/>
          <w:divBdr>
            <w:top w:val="none" w:sz="0" w:space="0" w:color="auto"/>
            <w:left w:val="none" w:sz="0" w:space="0" w:color="auto"/>
            <w:bottom w:val="none" w:sz="0" w:space="0" w:color="auto"/>
            <w:right w:val="none" w:sz="0" w:space="0" w:color="auto"/>
          </w:divBdr>
        </w:div>
        <w:div w:id="1679311798">
          <w:marLeft w:val="1800"/>
          <w:marRight w:val="0"/>
          <w:marTop w:val="100"/>
          <w:marBottom w:val="0"/>
          <w:divBdr>
            <w:top w:val="none" w:sz="0" w:space="0" w:color="auto"/>
            <w:left w:val="none" w:sz="0" w:space="0" w:color="auto"/>
            <w:bottom w:val="none" w:sz="0" w:space="0" w:color="auto"/>
            <w:right w:val="none" w:sz="0" w:space="0" w:color="auto"/>
          </w:divBdr>
        </w:div>
        <w:div w:id="298538978">
          <w:marLeft w:val="1800"/>
          <w:marRight w:val="0"/>
          <w:marTop w:val="100"/>
          <w:marBottom w:val="0"/>
          <w:divBdr>
            <w:top w:val="none" w:sz="0" w:space="0" w:color="auto"/>
            <w:left w:val="none" w:sz="0" w:space="0" w:color="auto"/>
            <w:bottom w:val="none" w:sz="0" w:space="0" w:color="auto"/>
            <w:right w:val="none" w:sz="0" w:space="0" w:color="auto"/>
          </w:divBdr>
        </w:div>
      </w:divsChild>
    </w:div>
    <w:div w:id="798767853">
      <w:bodyDiv w:val="1"/>
      <w:marLeft w:val="0"/>
      <w:marRight w:val="0"/>
      <w:marTop w:val="0"/>
      <w:marBottom w:val="0"/>
      <w:divBdr>
        <w:top w:val="none" w:sz="0" w:space="0" w:color="auto"/>
        <w:left w:val="none" w:sz="0" w:space="0" w:color="auto"/>
        <w:bottom w:val="none" w:sz="0" w:space="0" w:color="auto"/>
        <w:right w:val="none" w:sz="0" w:space="0" w:color="auto"/>
      </w:divBdr>
      <w:divsChild>
        <w:div w:id="7681719">
          <w:marLeft w:val="360"/>
          <w:marRight w:val="0"/>
          <w:marTop w:val="200"/>
          <w:marBottom w:val="0"/>
          <w:divBdr>
            <w:top w:val="none" w:sz="0" w:space="0" w:color="auto"/>
            <w:left w:val="none" w:sz="0" w:space="0" w:color="auto"/>
            <w:bottom w:val="none" w:sz="0" w:space="0" w:color="auto"/>
            <w:right w:val="none" w:sz="0" w:space="0" w:color="auto"/>
          </w:divBdr>
        </w:div>
      </w:divsChild>
    </w:div>
    <w:div w:id="832989089">
      <w:bodyDiv w:val="1"/>
      <w:marLeft w:val="0"/>
      <w:marRight w:val="0"/>
      <w:marTop w:val="0"/>
      <w:marBottom w:val="0"/>
      <w:divBdr>
        <w:top w:val="none" w:sz="0" w:space="0" w:color="auto"/>
        <w:left w:val="none" w:sz="0" w:space="0" w:color="auto"/>
        <w:bottom w:val="none" w:sz="0" w:space="0" w:color="auto"/>
        <w:right w:val="none" w:sz="0" w:space="0" w:color="auto"/>
      </w:divBdr>
    </w:div>
    <w:div w:id="901646122">
      <w:bodyDiv w:val="1"/>
      <w:marLeft w:val="0"/>
      <w:marRight w:val="0"/>
      <w:marTop w:val="0"/>
      <w:marBottom w:val="0"/>
      <w:divBdr>
        <w:top w:val="none" w:sz="0" w:space="0" w:color="auto"/>
        <w:left w:val="none" w:sz="0" w:space="0" w:color="auto"/>
        <w:bottom w:val="none" w:sz="0" w:space="0" w:color="auto"/>
        <w:right w:val="none" w:sz="0" w:space="0" w:color="auto"/>
      </w:divBdr>
      <w:divsChild>
        <w:div w:id="1814785747">
          <w:marLeft w:val="446"/>
          <w:marRight w:val="0"/>
          <w:marTop w:val="100"/>
          <w:marBottom w:val="0"/>
          <w:divBdr>
            <w:top w:val="none" w:sz="0" w:space="0" w:color="auto"/>
            <w:left w:val="none" w:sz="0" w:space="0" w:color="auto"/>
            <w:bottom w:val="none" w:sz="0" w:space="0" w:color="auto"/>
            <w:right w:val="none" w:sz="0" w:space="0" w:color="auto"/>
          </w:divBdr>
        </w:div>
        <w:div w:id="1027289735">
          <w:marLeft w:val="446"/>
          <w:marRight w:val="0"/>
          <w:marTop w:val="100"/>
          <w:marBottom w:val="0"/>
          <w:divBdr>
            <w:top w:val="none" w:sz="0" w:space="0" w:color="auto"/>
            <w:left w:val="none" w:sz="0" w:space="0" w:color="auto"/>
            <w:bottom w:val="none" w:sz="0" w:space="0" w:color="auto"/>
            <w:right w:val="none" w:sz="0" w:space="0" w:color="auto"/>
          </w:divBdr>
        </w:div>
        <w:div w:id="1312638792">
          <w:marLeft w:val="446"/>
          <w:marRight w:val="0"/>
          <w:marTop w:val="100"/>
          <w:marBottom w:val="0"/>
          <w:divBdr>
            <w:top w:val="none" w:sz="0" w:space="0" w:color="auto"/>
            <w:left w:val="none" w:sz="0" w:space="0" w:color="auto"/>
            <w:bottom w:val="none" w:sz="0" w:space="0" w:color="auto"/>
            <w:right w:val="none" w:sz="0" w:space="0" w:color="auto"/>
          </w:divBdr>
        </w:div>
      </w:divsChild>
    </w:div>
    <w:div w:id="918252557">
      <w:bodyDiv w:val="1"/>
      <w:marLeft w:val="0"/>
      <w:marRight w:val="0"/>
      <w:marTop w:val="0"/>
      <w:marBottom w:val="0"/>
      <w:divBdr>
        <w:top w:val="none" w:sz="0" w:space="0" w:color="auto"/>
        <w:left w:val="none" w:sz="0" w:space="0" w:color="auto"/>
        <w:bottom w:val="none" w:sz="0" w:space="0" w:color="auto"/>
        <w:right w:val="none" w:sz="0" w:space="0" w:color="auto"/>
      </w:divBdr>
      <w:divsChild>
        <w:div w:id="662011070">
          <w:marLeft w:val="1080"/>
          <w:marRight w:val="0"/>
          <w:marTop w:val="100"/>
          <w:marBottom w:val="0"/>
          <w:divBdr>
            <w:top w:val="none" w:sz="0" w:space="0" w:color="auto"/>
            <w:left w:val="none" w:sz="0" w:space="0" w:color="auto"/>
            <w:bottom w:val="none" w:sz="0" w:space="0" w:color="auto"/>
            <w:right w:val="none" w:sz="0" w:space="0" w:color="auto"/>
          </w:divBdr>
        </w:div>
      </w:divsChild>
    </w:div>
    <w:div w:id="925303489">
      <w:bodyDiv w:val="1"/>
      <w:marLeft w:val="0"/>
      <w:marRight w:val="0"/>
      <w:marTop w:val="0"/>
      <w:marBottom w:val="0"/>
      <w:divBdr>
        <w:top w:val="none" w:sz="0" w:space="0" w:color="auto"/>
        <w:left w:val="none" w:sz="0" w:space="0" w:color="auto"/>
        <w:bottom w:val="none" w:sz="0" w:space="0" w:color="auto"/>
        <w:right w:val="none" w:sz="0" w:space="0" w:color="auto"/>
      </w:divBdr>
    </w:div>
    <w:div w:id="934902377">
      <w:bodyDiv w:val="1"/>
      <w:marLeft w:val="0"/>
      <w:marRight w:val="0"/>
      <w:marTop w:val="0"/>
      <w:marBottom w:val="0"/>
      <w:divBdr>
        <w:top w:val="none" w:sz="0" w:space="0" w:color="auto"/>
        <w:left w:val="none" w:sz="0" w:space="0" w:color="auto"/>
        <w:bottom w:val="none" w:sz="0" w:space="0" w:color="auto"/>
        <w:right w:val="none" w:sz="0" w:space="0" w:color="auto"/>
      </w:divBdr>
      <w:divsChild>
        <w:div w:id="1067338570">
          <w:marLeft w:val="360"/>
          <w:marRight w:val="0"/>
          <w:marTop w:val="100"/>
          <w:marBottom w:val="0"/>
          <w:divBdr>
            <w:top w:val="none" w:sz="0" w:space="0" w:color="auto"/>
            <w:left w:val="none" w:sz="0" w:space="0" w:color="auto"/>
            <w:bottom w:val="none" w:sz="0" w:space="0" w:color="auto"/>
            <w:right w:val="none" w:sz="0" w:space="0" w:color="auto"/>
          </w:divBdr>
        </w:div>
        <w:div w:id="1074086309">
          <w:marLeft w:val="1080"/>
          <w:marRight w:val="0"/>
          <w:marTop w:val="100"/>
          <w:marBottom w:val="0"/>
          <w:divBdr>
            <w:top w:val="none" w:sz="0" w:space="0" w:color="auto"/>
            <w:left w:val="none" w:sz="0" w:space="0" w:color="auto"/>
            <w:bottom w:val="none" w:sz="0" w:space="0" w:color="auto"/>
            <w:right w:val="none" w:sz="0" w:space="0" w:color="auto"/>
          </w:divBdr>
        </w:div>
        <w:div w:id="1693725724">
          <w:marLeft w:val="1080"/>
          <w:marRight w:val="0"/>
          <w:marTop w:val="100"/>
          <w:marBottom w:val="0"/>
          <w:divBdr>
            <w:top w:val="none" w:sz="0" w:space="0" w:color="auto"/>
            <w:left w:val="none" w:sz="0" w:space="0" w:color="auto"/>
            <w:bottom w:val="none" w:sz="0" w:space="0" w:color="auto"/>
            <w:right w:val="none" w:sz="0" w:space="0" w:color="auto"/>
          </w:divBdr>
        </w:div>
        <w:div w:id="1318798792">
          <w:marLeft w:val="1080"/>
          <w:marRight w:val="0"/>
          <w:marTop w:val="100"/>
          <w:marBottom w:val="0"/>
          <w:divBdr>
            <w:top w:val="none" w:sz="0" w:space="0" w:color="auto"/>
            <w:left w:val="none" w:sz="0" w:space="0" w:color="auto"/>
            <w:bottom w:val="none" w:sz="0" w:space="0" w:color="auto"/>
            <w:right w:val="none" w:sz="0" w:space="0" w:color="auto"/>
          </w:divBdr>
        </w:div>
      </w:divsChild>
    </w:div>
    <w:div w:id="937369774">
      <w:bodyDiv w:val="1"/>
      <w:marLeft w:val="0"/>
      <w:marRight w:val="0"/>
      <w:marTop w:val="0"/>
      <w:marBottom w:val="0"/>
      <w:divBdr>
        <w:top w:val="none" w:sz="0" w:space="0" w:color="auto"/>
        <w:left w:val="none" w:sz="0" w:space="0" w:color="auto"/>
        <w:bottom w:val="none" w:sz="0" w:space="0" w:color="auto"/>
        <w:right w:val="none" w:sz="0" w:space="0" w:color="auto"/>
      </w:divBdr>
    </w:div>
    <w:div w:id="948849907">
      <w:bodyDiv w:val="1"/>
      <w:marLeft w:val="0"/>
      <w:marRight w:val="0"/>
      <w:marTop w:val="0"/>
      <w:marBottom w:val="0"/>
      <w:divBdr>
        <w:top w:val="none" w:sz="0" w:space="0" w:color="auto"/>
        <w:left w:val="none" w:sz="0" w:space="0" w:color="auto"/>
        <w:bottom w:val="none" w:sz="0" w:space="0" w:color="auto"/>
        <w:right w:val="none" w:sz="0" w:space="0" w:color="auto"/>
      </w:divBdr>
      <w:divsChild>
        <w:div w:id="1328441227">
          <w:marLeft w:val="1080"/>
          <w:marRight w:val="0"/>
          <w:marTop w:val="100"/>
          <w:marBottom w:val="0"/>
          <w:divBdr>
            <w:top w:val="none" w:sz="0" w:space="0" w:color="auto"/>
            <w:left w:val="none" w:sz="0" w:space="0" w:color="auto"/>
            <w:bottom w:val="none" w:sz="0" w:space="0" w:color="auto"/>
            <w:right w:val="none" w:sz="0" w:space="0" w:color="auto"/>
          </w:divBdr>
        </w:div>
        <w:div w:id="761100401">
          <w:marLeft w:val="1080"/>
          <w:marRight w:val="0"/>
          <w:marTop w:val="100"/>
          <w:marBottom w:val="0"/>
          <w:divBdr>
            <w:top w:val="none" w:sz="0" w:space="0" w:color="auto"/>
            <w:left w:val="none" w:sz="0" w:space="0" w:color="auto"/>
            <w:bottom w:val="none" w:sz="0" w:space="0" w:color="auto"/>
            <w:right w:val="none" w:sz="0" w:space="0" w:color="auto"/>
          </w:divBdr>
        </w:div>
      </w:divsChild>
    </w:div>
    <w:div w:id="949436804">
      <w:bodyDiv w:val="1"/>
      <w:marLeft w:val="0"/>
      <w:marRight w:val="0"/>
      <w:marTop w:val="0"/>
      <w:marBottom w:val="0"/>
      <w:divBdr>
        <w:top w:val="none" w:sz="0" w:space="0" w:color="auto"/>
        <w:left w:val="none" w:sz="0" w:space="0" w:color="auto"/>
        <w:bottom w:val="none" w:sz="0" w:space="0" w:color="auto"/>
        <w:right w:val="none" w:sz="0" w:space="0" w:color="auto"/>
      </w:divBdr>
      <w:divsChild>
        <w:div w:id="2092120186">
          <w:marLeft w:val="360"/>
          <w:marRight w:val="0"/>
          <w:marTop w:val="200"/>
          <w:marBottom w:val="0"/>
          <w:divBdr>
            <w:top w:val="none" w:sz="0" w:space="0" w:color="auto"/>
            <w:left w:val="none" w:sz="0" w:space="0" w:color="auto"/>
            <w:bottom w:val="none" w:sz="0" w:space="0" w:color="auto"/>
            <w:right w:val="none" w:sz="0" w:space="0" w:color="auto"/>
          </w:divBdr>
        </w:div>
      </w:divsChild>
    </w:div>
    <w:div w:id="955718538">
      <w:bodyDiv w:val="1"/>
      <w:marLeft w:val="0"/>
      <w:marRight w:val="0"/>
      <w:marTop w:val="0"/>
      <w:marBottom w:val="0"/>
      <w:divBdr>
        <w:top w:val="none" w:sz="0" w:space="0" w:color="auto"/>
        <w:left w:val="none" w:sz="0" w:space="0" w:color="auto"/>
        <w:bottom w:val="none" w:sz="0" w:space="0" w:color="auto"/>
        <w:right w:val="none" w:sz="0" w:space="0" w:color="auto"/>
      </w:divBdr>
    </w:div>
    <w:div w:id="956520814">
      <w:bodyDiv w:val="1"/>
      <w:marLeft w:val="0"/>
      <w:marRight w:val="0"/>
      <w:marTop w:val="0"/>
      <w:marBottom w:val="0"/>
      <w:divBdr>
        <w:top w:val="none" w:sz="0" w:space="0" w:color="auto"/>
        <w:left w:val="none" w:sz="0" w:space="0" w:color="auto"/>
        <w:bottom w:val="none" w:sz="0" w:space="0" w:color="auto"/>
        <w:right w:val="none" w:sz="0" w:space="0" w:color="auto"/>
      </w:divBdr>
    </w:div>
    <w:div w:id="974020548">
      <w:bodyDiv w:val="1"/>
      <w:marLeft w:val="0"/>
      <w:marRight w:val="0"/>
      <w:marTop w:val="0"/>
      <w:marBottom w:val="0"/>
      <w:divBdr>
        <w:top w:val="none" w:sz="0" w:space="0" w:color="auto"/>
        <w:left w:val="none" w:sz="0" w:space="0" w:color="auto"/>
        <w:bottom w:val="none" w:sz="0" w:space="0" w:color="auto"/>
        <w:right w:val="none" w:sz="0" w:space="0" w:color="auto"/>
      </w:divBdr>
    </w:div>
    <w:div w:id="978263797">
      <w:bodyDiv w:val="1"/>
      <w:marLeft w:val="0"/>
      <w:marRight w:val="0"/>
      <w:marTop w:val="0"/>
      <w:marBottom w:val="0"/>
      <w:divBdr>
        <w:top w:val="none" w:sz="0" w:space="0" w:color="auto"/>
        <w:left w:val="none" w:sz="0" w:space="0" w:color="auto"/>
        <w:bottom w:val="none" w:sz="0" w:space="0" w:color="auto"/>
        <w:right w:val="none" w:sz="0" w:space="0" w:color="auto"/>
      </w:divBdr>
    </w:div>
    <w:div w:id="987705968">
      <w:bodyDiv w:val="1"/>
      <w:marLeft w:val="0"/>
      <w:marRight w:val="0"/>
      <w:marTop w:val="0"/>
      <w:marBottom w:val="0"/>
      <w:divBdr>
        <w:top w:val="none" w:sz="0" w:space="0" w:color="auto"/>
        <w:left w:val="none" w:sz="0" w:space="0" w:color="auto"/>
        <w:bottom w:val="none" w:sz="0" w:space="0" w:color="auto"/>
        <w:right w:val="none" w:sz="0" w:space="0" w:color="auto"/>
      </w:divBdr>
      <w:divsChild>
        <w:div w:id="572357115">
          <w:marLeft w:val="360"/>
          <w:marRight w:val="0"/>
          <w:marTop w:val="100"/>
          <w:marBottom w:val="0"/>
          <w:divBdr>
            <w:top w:val="none" w:sz="0" w:space="0" w:color="auto"/>
            <w:left w:val="none" w:sz="0" w:space="0" w:color="auto"/>
            <w:bottom w:val="none" w:sz="0" w:space="0" w:color="auto"/>
            <w:right w:val="none" w:sz="0" w:space="0" w:color="auto"/>
          </w:divBdr>
        </w:div>
      </w:divsChild>
    </w:div>
    <w:div w:id="1016686914">
      <w:bodyDiv w:val="1"/>
      <w:marLeft w:val="0"/>
      <w:marRight w:val="0"/>
      <w:marTop w:val="0"/>
      <w:marBottom w:val="0"/>
      <w:divBdr>
        <w:top w:val="none" w:sz="0" w:space="0" w:color="auto"/>
        <w:left w:val="none" w:sz="0" w:space="0" w:color="auto"/>
        <w:bottom w:val="none" w:sz="0" w:space="0" w:color="auto"/>
        <w:right w:val="none" w:sz="0" w:space="0" w:color="auto"/>
      </w:divBdr>
    </w:div>
    <w:div w:id="1028028880">
      <w:bodyDiv w:val="1"/>
      <w:marLeft w:val="0"/>
      <w:marRight w:val="0"/>
      <w:marTop w:val="0"/>
      <w:marBottom w:val="0"/>
      <w:divBdr>
        <w:top w:val="none" w:sz="0" w:space="0" w:color="auto"/>
        <w:left w:val="none" w:sz="0" w:space="0" w:color="auto"/>
        <w:bottom w:val="none" w:sz="0" w:space="0" w:color="auto"/>
        <w:right w:val="none" w:sz="0" w:space="0" w:color="auto"/>
      </w:divBdr>
      <w:divsChild>
        <w:div w:id="2048333740">
          <w:marLeft w:val="1080"/>
          <w:marRight w:val="0"/>
          <w:marTop w:val="100"/>
          <w:marBottom w:val="0"/>
          <w:divBdr>
            <w:top w:val="none" w:sz="0" w:space="0" w:color="auto"/>
            <w:left w:val="none" w:sz="0" w:space="0" w:color="auto"/>
            <w:bottom w:val="none" w:sz="0" w:space="0" w:color="auto"/>
            <w:right w:val="none" w:sz="0" w:space="0" w:color="auto"/>
          </w:divBdr>
        </w:div>
      </w:divsChild>
    </w:div>
    <w:div w:id="1030037286">
      <w:bodyDiv w:val="1"/>
      <w:marLeft w:val="0"/>
      <w:marRight w:val="0"/>
      <w:marTop w:val="0"/>
      <w:marBottom w:val="0"/>
      <w:divBdr>
        <w:top w:val="none" w:sz="0" w:space="0" w:color="auto"/>
        <w:left w:val="none" w:sz="0" w:space="0" w:color="auto"/>
        <w:bottom w:val="none" w:sz="0" w:space="0" w:color="auto"/>
        <w:right w:val="none" w:sz="0" w:space="0" w:color="auto"/>
      </w:divBdr>
    </w:div>
    <w:div w:id="1048144611">
      <w:bodyDiv w:val="1"/>
      <w:marLeft w:val="0"/>
      <w:marRight w:val="0"/>
      <w:marTop w:val="0"/>
      <w:marBottom w:val="0"/>
      <w:divBdr>
        <w:top w:val="none" w:sz="0" w:space="0" w:color="auto"/>
        <w:left w:val="none" w:sz="0" w:space="0" w:color="auto"/>
        <w:bottom w:val="none" w:sz="0" w:space="0" w:color="auto"/>
        <w:right w:val="none" w:sz="0" w:space="0" w:color="auto"/>
      </w:divBdr>
    </w:div>
    <w:div w:id="1055547408">
      <w:bodyDiv w:val="1"/>
      <w:marLeft w:val="0"/>
      <w:marRight w:val="0"/>
      <w:marTop w:val="0"/>
      <w:marBottom w:val="0"/>
      <w:divBdr>
        <w:top w:val="none" w:sz="0" w:space="0" w:color="auto"/>
        <w:left w:val="none" w:sz="0" w:space="0" w:color="auto"/>
        <w:bottom w:val="none" w:sz="0" w:space="0" w:color="auto"/>
        <w:right w:val="none" w:sz="0" w:space="0" w:color="auto"/>
      </w:divBdr>
    </w:div>
    <w:div w:id="1055933667">
      <w:bodyDiv w:val="1"/>
      <w:marLeft w:val="0"/>
      <w:marRight w:val="0"/>
      <w:marTop w:val="0"/>
      <w:marBottom w:val="0"/>
      <w:divBdr>
        <w:top w:val="none" w:sz="0" w:space="0" w:color="auto"/>
        <w:left w:val="none" w:sz="0" w:space="0" w:color="auto"/>
        <w:bottom w:val="none" w:sz="0" w:space="0" w:color="auto"/>
        <w:right w:val="none" w:sz="0" w:space="0" w:color="auto"/>
      </w:divBdr>
      <w:divsChild>
        <w:div w:id="588078759">
          <w:marLeft w:val="1080"/>
          <w:marRight w:val="0"/>
          <w:marTop w:val="100"/>
          <w:marBottom w:val="0"/>
          <w:divBdr>
            <w:top w:val="none" w:sz="0" w:space="0" w:color="auto"/>
            <w:left w:val="none" w:sz="0" w:space="0" w:color="auto"/>
            <w:bottom w:val="none" w:sz="0" w:space="0" w:color="auto"/>
            <w:right w:val="none" w:sz="0" w:space="0" w:color="auto"/>
          </w:divBdr>
        </w:div>
      </w:divsChild>
    </w:div>
    <w:div w:id="1083721486">
      <w:bodyDiv w:val="1"/>
      <w:marLeft w:val="0"/>
      <w:marRight w:val="0"/>
      <w:marTop w:val="0"/>
      <w:marBottom w:val="0"/>
      <w:divBdr>
        <w:top w:val="none" w:sz="0" w:space="0" w:color="auto"/>
        <w:left w:val="none" w:sz="0" w:space="0" w:color="auto"/>
        <w:bottom w:val="none" w:sz="0" w:space="0" w:color="auto"/>
        <w:right w:val="none" w:sz="0" w:space="0" w:color="auto"/>
      </w:divBdr>
      <w:divsChild>
        <w:div w:id="18095476">
          <w:marLeft w:val="360"/>
          <w:marRight w:val="0"/>
          <w:marTop w:val="100"/>
          <w:marBottom w:val="0"/>
          <w:divBdr>
            <w:top w:val="none" w:sz="0" w:space="0" w:color="auto"/>
            <w:left w:val="none" w:sz="0" w:space="0" w:color="auto"/>
            <w:bottom w:val="none" w:sz="0" w:space="0" w:color="auto"/>
            <w:right w:val="none" w:sz="0" w:space="0" w:color="auto"/>
          </w:divBdr>
        </w:div>
        <w:div w:id="14507797">
          <w:marLeft w:val="360"/>
          <w:marRight w:val="0"/>
          <w:marTop w:val="100"/>
          <w:marBottom w:val="0"/>
          <w:divBdr>
            <w:top w:val="none" w:sz="0" w:space="0" w:color="auto"/>
            <w:left w:val="none" w:sz="0" w:space="0" w:color="auto"/>
            <w:bottom w:val="none" w:sz="0" w:space="0" w:color="auto"/>
            <w:right w:val="none" w:sz="0" w:space="0" w:color="auto"/>
          </w:divBdr>
        </w:div>
      </w:divsChild>
    </w:div>
    <w:div w:id="1094009232">
      <w:bodyDiv w:val="1"/>
      <w:marLeft w:val="0"/>
      <w:marRight w:val="0"/>
      <w:marTop w:val="0"/>
      <w:marBottom w:val="0"/>
      <w:divBdr>
        <w:top w:val="none" w:sz="0" w:space="0" w:color="auto"/>
        <w:left w:val="none" w:sz="0" w:space="0" w:color="auto"/>
        <w:bottom w:val="none" w:sz="0" w:space="0" w:color="auto"/>
        <w:right w:val="none" w:sz="0" w:space="0" w:color="auto"/>
      </w:divBdr>
      <w:divsChild>
        <w:div w:id="644625768">
          <w:marLeft w:val="360"/>
          <w:marRight w:val="0"/>
          <w:marTop w:val="200"/>
          <w:marBottom w:val="0"/>
          <w:divBdr>
            <w:top w:val="none" w:sz="0" w:space="0" w:color="auto"/>
            <w:left w:val="none" w:sz="0" w:space="0" w:color="auto"/>
            <w:bottom w:val="none" w:sz="0" w:space="0" w:color="auto"/>
            <w:right w:val="none" w:sz="0" w:space="0" w:color="auto"/>
          </w:divBdr>
        </w:div>
        <w:div w:id="1786773615">
          <w:marLeft w:val="1080"/>
          <w:marRight w:val="0"/>
          <w:marTop w:val="100"/>
          <w:marBottom w:val="0"/>
          <w:divBdr>
            <w:top w:val="none" w:sz="0" w:space="0" w:color="auto"/>
            <w:left w:val="none" w:sz="0" w:space="0" w:color="auto"/>
            <w:bottom w:val="none" w:sz="0" w:space="0" w:color="auto"/>
            <w:right w:val="none" w:sz="0" w:space="0" w:color="auto"/>
          </w:divBdr>
        </w:div>
        <w:div w:id="1882093371">
          <w:marLeft w:val="1080"/>
          <w:marRight w:val="0"/>
          <w:marTop w:val="100"/>
          <w:marBottom w:val="0"/>
          <w:divBdr>
            <w:top w:val="none" w:sz="0" w:space="0" w:color="auto"/>
            <w:left w:val="none" w:sz="0" w:space="0" w:color="auto"/>
            <w:bottom w:val="none" w:sz="0" w:space="0" w:color="auto"/>
            <w:right w:val="none" w:sz="0" w:space="0" w:color="auto"/>
          </w:divBdr>
        </w:div>
        <w:div w:id="845678998">
          <w:marLeft w:val="1080"/>
          <w:marRight w:val="0"/>
          <w:marTop w:val="100"/>
          <w:marBottom w:val="0"/>
          <w:divBdr>
            <w:top w:val="none" w:sz="0" w:space="0" w:color="auto"/>
            <w:left w:val="none" w:sz="0" w:space="0" w:color="auto"/>
            <w:bottom w:val="none" w:sz="0" w:space="0" w:color="auto"/>
            <w:right w:val="none" w:sz="0" w:space="0" w:color="auto"/>
          </w:divBdr>
        </w:div>
        <w:div w:id="1239249144">
          <w:marLeft w:val="1800"/>
          <w:marRight w:val="0"/>
          <w:marTop w:val="100"/>
          <w:marBottom w:val="0"/>
          <w:divBdr>
            <w:top w:val="none" w:sz="0" w:space="0" w:color="auto"/>
            <w:left w:val="none" w:sz="0" w:space="0" w:color="auto"/>
            <w:bottom w:val="none" w:sz="0" w:space="0" w:color="auto"/>
            <w:right w:val="none" w:sz="0" w:space="0" w:color="auto"/>
          </w:divBdr>
        </w:div>
        <w:div w:id="1981029386">
          <w:marLeft w:val="1800"/>
          <w:marRight w:val="0"/>
          <w:marTop w:val="100"/>
          <w:marBottom w:val="0"/>
          <w:divBdr>
            <w:top w:val="none" w:sz="0" w:space="0" w:color="auto"/>
            <w:left w:val="none" w:sz="0" w:space="0" w:color="auto"/>
            <w:bottom w:val="none" w:sz="0" w:space="0" w:color="auto"/>
            <w:right w:val="none" w:sz="0" w:space="0" w:color="auto"/>
          </w:divBdr>
        </w:div>
      </w:divsChild>
    </w:div>
    <w:div w:id="1136143405">
      <w:bodyDiv w:val="1"/>
      <w:marLeft w:val="0"/>
      <w:marRight w:val="0"/>
      <w:marTop w:val="0"/>
      <w:marBottom w:val="0"/>
      <w:divBdr>
        <w:top w:val="none" w:sz="0" w:space="0" w:color="auto"/>
        <w:left w:val="none" w:sz="0" w:space="0" w:color="auto"/>
        <w:bottom w:val="none" w:sz="0" w:space="0" w:color="auto"/>
        <w:right w:val="none" w:sz="0" w:space="0" w:color="auto"/>
      </w:divBdr>
      <w:divsChild>
        <w:div w:id="255020596">
          <w:marLeft w:val="1080"/>
          <w:marRight w:val="0"/>
          <w:marTop w:val="100"/>
          <w:marBottom w:val="0"/>
          <w:divBdr>
            <w:top w:val="none" w:sz="0" w:space="0" w:color="auto"/>
            <w:left w:val="none" w:sz="0" w:space="0" w:color="auto"/>
            <w:bottom w:val="none" w:sz="0" w:space="0" w:color="auto"/>
            <w:right w:val="none" w:sz="0" w:space="0" w:color="auto"/>
          </w:divBdr>
        </w:div>
      </w:divsChild>
    </w:div>
    <w:div w:id="1144002324">
      <w:bodyDiv w:val="1"/>
      <w:marLeft w:val="0"/>
      <w:marRight w:val="0"/>
      <w:marTop w:val="0"/>
      <w:marBottom w:val="0"/>
      <w:divBdr>
        <w:top w:val="none" w:sz="0" w:space="0" w:color="auto"/>
        <w:left w:val="none" w:sz="0" w:space="0" w:color="auto"/>
        <w:bottom w:val="none" w:sz="0" w:space="0" w:color="auto"/>
        <w:right w:val="none" w:sz="0" w:space="0" w:color="auto"/>
      </w:divBdr>
    </w:div>
    <w:div w:id="115521978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4285">
      <w:bodyDiv w:val="1"/>
      <w:marLeft w:val="0"/>
      <w:marRight w:val="0"/>
      <w:marTop w:val="0"/>
      <w:marBottom w:val="0"/>
      <w:divBdr>
        <w:top w:val="none" w:sz="0" w:space="0" w:color="auto"/>
        <w:left w:val="none" w:sz="0" w:space="0" w:color="auto"/>
        <w:bottom w:val="none" w:sz="0" w:space="0" w:color="auto"/>
        <w:right w:val="none" w:sz="0" w:space="0" w:color="auto"/>
      </w:divBdr>
    </w:div>
    <w:div w:id="1227183090">
      <w:bodyDiv w:val="1"/>
      <w:marLeft w:val="0"/>
      <w:marRight w:val="0"/>
      <w:marTop w:val="0"/>
      <w:marBottom w:val="0"/>
      <w:divBdr>
        <w:top w:val="none" w:sz="0" w:space="0" w:color="auto"/>
        <w:left w:val="none" w:sz="0" w:space="0" w:color="auto"/>
        <w:bottom w:val="none" w:sz="0" w:space="0" w:color="auto"/>
        <w:right w:val="none" w:sz="0" w:space="0" w:color="auto"/>
      </w:divBdr>
      <w:divsChild>
        <w:div w:id="326137463">
          <w:marLeft w:val="360"/>
          <w:marRight w:val="0"/>
          <w:marTop w:val="200"/>
          <w:marBottom w:val="0"/>
          <w:divBdr>
            <w:top w:val="none" w:sz="0" w:space="0" w:color="auto"/>
            <w:left w:val="none" w:sz="0" w:space="0" w:color="auto"/>
            <w:bottom w:val="none" w:sz="0" w:space="0" w:color="auto"/>
            <w:right w:val="none" w:sz="0" w:space="0" w:color="auto"/>
          </w:divBdr>
        </w:div>
        <w:div w:id="159127269">
          <w:marLeft w:val="1080"/>
          <w:marRight w:val="0"/>
          <w:marTop w:val="100"/>
          <w:marBottom w:val="0"/>
          <w:divBdr>
            <w:top w:val="none" w:sz="0" w:space="0" w:color="auto"/>
            <w:left w:val="none" w:sz="0" w:space="0" w:color="auto"/>
            <w:bottom w:val="none" w:sz="0" w:space="0" w:color="auto"/>
            <w:right w:val="none" w:sz="0" w:space="0" w:color="auto"/>
          </w:divBdr>
        </w:div>
        <w:div w:id="1054163614">
          <w:marLeft w:val="1080"/>
          <w:marRight w:val="0"/>
          <w:marTop w:val="100"/>
          <w:marBottom w:val="0"/>
          <w:divBdr>
            <w:top w:val="none" w:sz="0" w:space="0" w:color="auto"/>
            <w:left w:val="none" w:sz="0" w:space="0" w:color="auto"/>
            <w:bottom w:val="none" w:sz="0" w:space="0" w:color="auto"/>
            <w:right w:val="none" w:sz="0" w:space="0" w:color="auto"/>
          </w:divBdr>
        </w:div>
      </w:divsChild>
    </w:div>
    <w:div w:id="1290164087">
      <w:bodyDiv w:val="1"/>
      <w:marLeft w:val="0"/>
      <w:marRight w:val="0"/>
      <w:marTop w:val="0"/>
      <w:marBottom w:val="0"/>
      <w:divBdr>
        <w:top w:val="none" w:sz="0" w:space="0" w:color="auto"/>
        <w:left w:val="none" w:sz="0" w:space="0" w:color="auto"/>
        <w:bottom w:val="none" w:sz="0" w:space="0" w:color="auto"/>
        <w:right w:val="none" w:sz="0" w:space="0" w:color="auto"/>
      </w:divBdr>
      <w:divsChild>
        <w:div w:id="1643659632">
          <w:marLeft w:val="446"/>
          <w:marRight w:val="0"/>
          <w:marTop w:val="100"/>
          <w:marBottom w:val="0"/>
          <w:divBdr>
            <w:top w:val="none" w:sz="0" w:space="0" w:color="auto"/>
            <w:left w:val="none" w:sz="0" w:space="0" w:color="auto"/>
            <w:bottom w:val="none" w:sz="0" w:space="0" w:color="auto"/>
            <w:right w:val="none" w:sz="0" w:space="0" w:color="auto"/>
          </w:divBdr>
        </w:div>
        <w:div w:id="1920209009">
          <w:marLeft w:val="446"/>
          <w:marRight w:val="0"/>
          <w:marTop w:val="100"/>
          <w:marBottom w:val="0"/>
          <w:divBdr>
            <w:top w:val="none" w:sz="0" w:space="0" w:color="auto"/>
            <w:left w:val="none" w:sz="0" w:space="0" w:color="auto"/>
            <w:bottom w:val="none" w:sz="0" w:space="0" w:color="auto"/>
            <w:right w:val="none" w:sz="0" w:space="0" w:color="auto"/>
          </w:divBdr>
        </w:div>
        <w:div w:id="561910642">
          <w:marLeft w:val="446"/>
          <w:marRight w:val="0"/>
          <w:marTop w:val="100"/>
          <w:marBottom w:val="0"/>
          <w:divBdr>
            <w:top w:val="none" w:sz="0" w:space="0" w:color="auto"/>
            <w:left w:val="none" w:sz="0" w:space="0" w:color="auto"/>
            <w:bottom w:val="none" w:sz="0" w:space="0" w:color="auto"/>
            <w:right w:val="none" w:sz="0" w:space="0" w:color="auto"/>
          </w:divBdr>
        </w:div>
        <w:div w:id="1933463543">
          <w:marLeft w:val="446"/>
          <w:marRight w:val="0"/>
          <w:marTop w:val="100"/>
          <w:marBottom w:val="0"/>
          <w:divBdr>
            <w:top w:val="none" w:sz="0" w:space="0" w:color="auto"/>
            <w:left w:val="none" w:sz="0" w:space="0" w:color="auto"/>
            <w:bottom w:val="none" w:sz="0" w:space="0" w:color="auto"/>
            <w:right w:val="none" w:sz="0" w:space="0" w:color="auto"/>
          </w:divBdr>
        </w:div>
      </w:divsChild>
    </w:div>
    <w:div w:id="1300694544">
      <w:bodyDiv w:val="1"/>
      <w:marLeft w:val="0"/>
      <w:marRight w:val="0"/>
      <w:marTop w:val="0"/>
      <w:marBottom w:val="0"/>
      <w:divBdr>
        <w:top w:val="none" w:sz="0" w:space="0" w:color="auto"/>
        <w:left w:val="none" w:sz="0" w:space="0" w:color="auto"/>
        <w:bottom w:val="none" w:sz="0" w:space="0" w:color="auto"/>
        <w:right w:val="none" w:sz="0" w:space="0" w:color="auto"/>
      </w:divBdr>
    </w:div>
    <w:div w:id="1328166681">
      <w:bodyDiv w:val="1"/>
      <w:marLeft w:val="0"/>
      <w:marRight w:val="0"/>
      <w:marTop w:val="0"/>
      <w:marBottom w:val="0"/>
      <w:divBdr>
        <w:top w:val="none" w:sz="0" w:space="0" w:color="auto"/>
        <w:left w:val="none" w:sz="0" w:space="0" w:color="auto"/>
        <w:bottom w:val="none" w:sz="0" w:space="0" w:color="auto"/>
        <w:right w:val="none" w:sz="0" w:space="0" w:color="auto"/>
      </w:divBdr>
      <w:divsChild>
        <w:div w:id="819923851">
          <w:marLeft w:val="360"/>
          <w:marRight w:val="0"/>
          <w:marTop w:val="200"/>
          <w:marBottom w:val="0"/>
          <w:divBdr>
            <w:top w:val="none" w:sz="0" w:space="0" w:color="auto"/>
            <w:left w:val="none" w:sz="0" w:space="0" w:color="auto"/>
            <w:bottom w:val="none" w:sz="0" w:space="0" w:color="auto"/>
            <w:right w:val="none" w:sz="0" w:space="0" w:color="auto"/>
          </w:divBdr>
        </w:div>
      </w:divsChild>
    </w:div>
    <w:div w:id="1472677489">
      <w:bodyDiv w:val="1"/>
      <w:marLeft w:val="0"/>
      <w:marRight w:val="0"/>
      <w:marTop w:val="0"/>
      <w:marBottom w:val="0"/>
      <w:divBdr>
        <w:top w:val="none" w:sz="0" w:space="0" w:color="auto"/>
        <w:left w:val="none" w:sz="0" w:space="0" w:color="auto"/>
        <w:bottom w:val="none" w:sz="0" w:space="0" w:color="auto"/>
        <w:right w:val="none" w:sz="0" w:space="0" w:color="auto"/>
      </w:divBdr>
      <w:divsChild>
        <w:div w:id="1060789488">
          <w:marLeft w:val="360"/>
          <w:marRight w:val="0"/>
          <w:marTop w:val="200"/>
          <w:marBottom w:val="0"/>
          <w:divBdr>
            <w:top w:val="none" w:sz="0" w:space="0" w:color="auto"/>
            <w:left w:val="none" w:sz="0" w:space="0" w:color="auto"/>
            <w:bottom w:val="none" w:sz="0" w:space="0" w:color="auto"/>
            <w:right w:val="none" w:sz="0" w:space="0" w:color="auto"/>
          </w:divBdr>
        </w:div>
        <w:div w:id="911349690">
          <w:marLeft w:val="360"/>
          <w:marRight w:val="0"/>
          <w:marTop w:val="200"/>
          <w:marBottom w:val="0"/>
          <w:divBdr>
            <w:top w:val="none" w:sz="0" w:space="0" w:color="auto"/>
            <w:left w:val="none" w:sz="0" w:space="0" w:color="auto"/>
            <w:bottom w:val="none" w:sz="0" w:space="0" w:color="auto"/>
            <w:right w:val="none" w:sz="0" w:space="0" w:color="auto"/>
          </w:divBdr>
        </w:div>
      </w:divsChild>
    </w:div>
    <w:div w:id="1473401729">
      <w:bodyDiv w:val="1"/>
      <w:marLeft w:val="0"/>
      <w:marRight w:val="0"/>
      <w:marTop w:val="0"/>
      <w:marBottom w:val="0"/>
      <w:divBdr>
        <w:top w:val="none" w:sz="0" w:space="0" w:color="auto"/>
        <w:left w:val="none" w:sz="0" w:space="0" w:color="auto"/>
        <w:bottom w:val="none" w:sz="0" w:space="0" w:color="auto"/>
        <w:right w:val="none" w:sz="0" w:space="0" w:color="auto"/>
      </w:divBdr>
      <w:divsChild>
        <w:div w:id="1879050810">
          <w:marLeft w:val="360"/>
          <w:marRight w:val="0"/>
          <w:marTop w:val="100"/>
          <w:marBottom w:val="0"/>
          <w:divBdr>
            <w:top w:val="none" w:sz="0" w:space="0" w:color="auto"/>
            <w:left w:val="none" w:sz="0" w:space="0" w:color="auto"/>
            <w:bottom w:val="none" w:sz="0" w:space="0" w:color="auto"/>
            <w:right w:val="none" w:sz="0" w:space="0" w:color="auto"/>
          </w:divBdr>
        </w:div>
      </w:divsChild>
    </w:div>
    <w:div w:id="1508907179">
      <w:bodyDiv w:val="1"/>
      <w:marLeft w:val="0"/>
      <w:marRight w:val="0"/>
      <w:marTop w:val="0"/>
      <w:marBottom w:val="0"/>
      <w:divBdr>
        <w:top w:val="none" w:sz="0" w:space="0" w:color="auto"/>
        <w:left w:val="none" w:sz="0" w:space="0" w:color="auto"/>
        <w:bottom w:val="none" w:sz="0" w:space="0" w:color="auto"/>
        <w:right w:val="none" w:sz="0" w:space="0" w:color="auto"/>
      </w:divBdr>
      <w:divsChild>
        <w:div w:id="910388317">
          <w:marLeft w:val="360"/>
          <w:marRight w:val="0"/>
          <w:marTop w:val="200"/>
          <w:marBottom w:val="0"/>
          <w:divBdr>
            <w:top w:val="none" w:sz="0" w:space="0" w:color="auto"/>
            <w:left w:val="none" w:sz="0" w:space="0" w:color="auto"/>
            <w:bottom w:val="none" w:sz="0" w:space="0" w:color="auto"/>
            <w:right w:val="none" w:sz="0" w:space="0" w:color="auto"/>
          </w:divBdr>
        </w:div>
      </w:divsChild>
    </w:div>
    <w:div w:id="1509712715">
      <w:bodyDiv w:val="1"/>
      <w:marLeft w:val="0"/>
      <w:marRight w:val="0"/>
      <w:marTop w:val="0"/>
      <w:marBottom w:val="0"/>
      <w:divBdr>
        <w:top w:val="none" w:sz="0" w:space="0" w:color="auto"/>
        <w:left w:val="none" w:sz="0" w:space="0" w:color="auto"/>
        <w:bottom w:val="none" w:sz="0" w:space="0" w:color="auto"/>
        <w:right w:val="none" w:sz="0" w:space="0" w:color="auto"/>
      </w:divBdr>
      <w:divsChild>
        <w:div w:id="1409428158">
          <w:marLeft w:val="0"/>
          <w:marRight w:val="0"/>
          <w:marTop w:val="0"/>
          <w:marBottom w:val="0"/>
          <w:divBdr>
            <w:top w:val="none" w:sz="0" w:space="0" w:color="auto"/>
            <w:left w:val="none" w:sz="0" w:space="0" w:color="auto"/>
            <w:bottom w:val="none" w:sz="0" w:space="0" w:color="auto"/>
            <w:right w:val="none" w:sz="0" w:space="0" w:color="auto"/>
          </w:divBdr>
          <w:divsChild>
            <w:div w:id="354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6877">
      <w:bodyDiv w:val="1"/>
      <w:marLeft w:val="0"/>
      <w:marRight w:val="0"/>
      <w:marTop w:val="0"/>
      <w:marBottom w:val="0"/>
      <w:divBdr>
        <w:top w:val="none" w:sz="0" w:space="0" w:color="auto"/>
        <w:left w:val="none" w:sz="0" w:space="0" w:color="auto"/>
        <w:bottom w:val="none" w:sz="0" w:space="0" w:color="auto"/>
        <w:right w:val="none" w:sz="0" w:space="0" w:color="auto"/>
      </w:divBdr>
    </w:div>
    <w:div w:id="1549299665">
      <w:bodyDiv w:val="1"/>
      <w:marLeft w:val="0"/>
      <w:marRight w:val="0"/>
      <w:marTop w:val="0"/>
      <w:marBottom w:val="0"/>
      <w:divBdr>
        <w:top w:val="none" w:sz="0" w:space="0" w:color="auto"/>
        <w:left w:val="none" w:sz="0" w:space="0" w:color="auto"/>
        <w:bottom w:val="none" w:sz="0" w:space="0" w:color="auto"/>
        <w:right w:val="none" w:sz="0" w:space="0" w:color="auto"/>
      </w:divBdr>
      <w:divsChild>
        <w:div w:id="2087218488">
          <w:marLeft w:val="360"/>
          <w:marRight w:val="0"/>
          <w:marTop w:val="100"/>
          <w:marBottom w:val="0"/>
          <w:divBdr>
            <w:top w:val="none" w:sz="0" w:space="0" w:color="auto"/>
            <w:left w:val="none" w:sz="0" w:space="0" w:color="auto"/>
            <w:bottom w:val="none" w:sz="0" w:space="0" w:color="auto"/>
            <w:right w:val="none" w:sz="0" w:space="0" w:color="auto"/>
          </w:divBdr>
        </w:div>
        <w:div w:id="52580042">
          <w:marLeft w:val="360"/>
          <w:marRight w:val="0"/>
          <w:marTop w:val="100"/>
          <w:marBottom w:val="0"/>
          <w:divBdr>
            <w:top w:val="none" w:sz="0" w:space="0" w:color="auto"/>
            <w:left w:val="none" w:sz="0" w:space="0" w:color="auto"/>
            <w:bottom w:val="none" w:sz="0" w:space="0" w:color="auto"/>
            <w:right w:val="none" w:sz="0" w:space="0" w:color="auto"/>
          </w:divBdr>
        </w:div>
        <w:div w:id="1397317803">
          <w:marLeft w:val="360"/>
          <w:marRight w:val="0"/>
          <w:marTop w:val="100"/>
          <w:marBottom w:val="0"/>
          <w:divBdr>
            <w:top w:val="none" w:sz="0" w:space="0" w:color="auto"/>
            <w:left w:val="none" w:sz="0" w:space="0" w:color="auto"/>
            <w:bottom w:val="none" w:sz="0" w:space="0" w:color="auto"/>
            <w:right w:val="none" w:sz="0" w:space="0" w:color="auto"/>
          </w:divBdr>
        </w:div>
        <w:div w:id="967198063">
          <w:marLeft w:val="360"/>
          <w:marRight w:val="0"/>
          <w:marTop w:val="100"/>
          <w:marBottom w:val="0"/>
          <w:divBdr>
            <w:top w:val="none" w:sz="0" w:space="0" w:color="auto"/>
            <w:left w:val="none" w:sz="0" w:space="0" w:color="auto"/>
            <w:bottom w:val="none" w:sz="0" w:space="0" w:color="auto"/>
            <w:right w:val="none" w:sz="0" w:space="0" w:color="auto"/>
          </w:divBdr>
        </w:div>
        <w:div w:id="1684354703">
          <w:marLeft w:val="1080"/>
          <w:marRight w:val="0"/>
          <w:marTop w:val="100"/>
          <w:marBottom w:val="0"/>
          <w:divBdr>
            <w:top w:val="none" w:sz="0" w:space="0" w:color="auto"/>
            <w:left w:val="none" w:sz="0" w:space="0" w:color="auto"/>
            <w:bottom w:val="none" w:sz="0" w:space="0" w:color="auto"/>
            <w:right w:val="none" w:sz="0" w:space="0" w:color="auto"/>
          </w:divBdr>
        </w:div>
        <w:div w:id="1348601021">
          <w:marLeft w:val="360"/>
          <w:marRight w:val="0"/>
          <w:marTop w:val="100"/>
          <w:marBottom w:val="0"/>
          <w:divBdr>
            <w:top w:val="none" w:sz="0" w:space="0" w:color="auto"/>
            <w:left w:val="none" w:sz="0" w:space="0" w:color="auto"/>
            <w:bottom w:val="none" w:sz="0" w:space="0" w:color="auto"/>
            <w:right w:val="none" w:sz="0" w:space="0" w:color="auto"/>
          </w:divBdr>
        </w:div>
      </w:divsChild>
    </w:div>
    <w:div w:id="1549756705">
      <w:bodyDiv w:val="1"/>
      <w:marLeft w:val="0"/>
      <w:marRight w:val="0"/>
      <w:marTop w:val="0"/>
      <w:marBottom w:val="0"/>
      <w:divBdr>
        <w:top w:val="none" w:sz="0" w:space="0" w:color="auto"/>
        <w:left w:val="none" w:sz="0" w:space="0" w:color="auto"/>
        <w:bottom w:val="none" w:sz="0" w:space="0" w:color="auto"/>
        <w:right w:val="none" w:sz="0" w:space="0" w:color="auto"/>
      </w:divBdr>
    </w:div>
    <w:div w:id="1554849182">
      <w:bodyDiv w:val="1"/>
      <w:marLeft w:val="0"/>
      <w:marRight w:val="0"/>
      <w:marTop w:val="0"/>
      <w:marBottom w:val="0"/>
      <w:divBdr>
        <w:top w:val="none" w:sz="0" w:space="0" w:color="auto"/>
        <w:left w:val="none" w:sz="0" w:space="0" w:color="auto"/>
        <w:bottom w:val="none" w:sz="0" w:space="0" w:color="auto"/>
        <w:right w:val="none" w:sz="0" w:space="0" w:color="auto"/>
      </w:divBdr>
      <w:divsChild>
        <w:div w:id="1471750687">
          <w:marLeft w:val="360"/>
          <w:marRight w:val="0"/>
          <w:marTop w:val="200"/>
          <w:marBottom w:val="0"/>
          <w:divBdr>
            <w:top w:val="none" w:sz="0" w:space="0" w:color="auto"/>
            <w:left w:val="none" w:sz="0" w:space="0" w:color="auto"/>
            <w:bottom w:val="none" w:sz="0" w:space="0" w:color="auto"/>
            <w:right w:val="none" w:sz="0" w:space="0" w:color="auto"/>
          </w:divBdr>
        </w:div>
        <w:div w:id="634144303">
          <w:marLeft w:val="1080"/>
          <w:marRight w:val="0"/>
          <w:marTop w:val="100"/>
          <w:marBottom w:val="0"/>
          <w:divBdr>
            <w:top w:val="none" w:sz="0" w:space="0" w:color="auto"/>
            <w:left w:val="none" w:sz="0" w:space="0" w:color="auto"/>
            <w:bottom w:val="none" w:sz="0" w:space="0" w:color="auto"/>
            <w:right w:val="none" w:sz="0" w:space="0" w:color="auto"/>
          </w:divBdr>
        </w:div>
        <w:div w:id="2147354834">
          <w:marLeft w:val="1080"/>
          <w:marRight w:val="0"/>
          <w:marTop w:val="100"/>
          <w:marBottom w:val="0"/>
          <w:divBdr>
            <w:top w:val="none" w:sz="0" w:space="0" w:color="auto"/>
            <w:left w:val="none" w:sz="0" w:space="0" w:color="auto"/>
            <w:bottom w:val="none" w:sz="0" w:space="0" w:color="auto"/>
            <w:right w:val="none" w:sz="0" w:space="0" w:color="auto"/>
          </w:divBdr>
        </w:div>
      </w:divsChild>
    </w:div>
    <w:div w:id="1629434954">
      <w:bodyDiv w:val="1"/>
      <w:marLeft w:val="0"/>
      <w:marRight w:val="0"/>
      <w:marTop w:val="0"/>
      <w:marBottom w:val="0"/>
      <w:divBdr>
        <w:top w:val="none" w:sz="0" w:space="0" w:color="auto"/>
        <w:left w:val="none" w:sz="0" w:space="0" w:color="auto"/>
        <w:bottom w:val="none" w:sz="0" w:space="0" w:color="auto"/>
        <w:right w:val="none" w:sz="0" w:space="0" w:color="auto"/>
      </w:divBdr>
      <w:divsChild>
        <w:div w:id="1156454931">
          <w:marLeft w:val="1800"/>
          <w:marRight w:val="0"/>
          <w:marTop w:val="100"/>
          <w:marBottom w:val="0"/>
          <w:divBdr>
            <w:top w:val="none" w:sz="0" w:space="0" w:color="auto"/>
            <w:left w:val="none" w:sz="0" w:space="0" w:color="auto"/>
            <w:bottom w:val="none" w:sz="0" w:space="0" w:color="auto"/>
            <w:right w:val="none" w:sz="0" w:space="0" w:color="auto"/>
          </w:divBdr>
        </w:div>
      </w:divsChild>
    </w:div>
    <w:div w:id="1643344701">
      <w:bodyDiv w:val="1"/>
      <w:marLeft w:val="0"/>
      <w:marRight w:val="0"/>
      <w:marTop w:val="0"/>
      <w:marBottom w:val="0"/>
      <w:divBdr>
        <w:top w:val="none" w:sz="0" w:space="0" w:color="auto"/>
        <w:left w:val="none" w:sz="0" w:space="0" w:color="auto"/>
        <w:bottom w:val="none" w:sz="0" w:space="0" w:color="auto"/>
        <w:right w:val="none" w:sz="0" w:space="0" w:color="auto"/>
      </w:divBdr>
    </w:div>
    <w:div w:id="1647514108">
      <w:bodyDiv w:val="1"/>
      <w:marLeft w:val="0"/>
      <w:marRight w:val="0"/>
      <w:marTop w:val="0"/>
      <w:marBottom w:val="0"/>
      <w:divBdr>
        <w:top w:val="none" w:sz="0" w:space="0" w:color="auto"/>
        <w:left w:val="none" w:sz="0" w:space="0" w:color="auto"/>
        <w:bottom w:val="none" w:sz="0" w:space="0" w:color="auto"/>
        <w:right w:val="none" w:sz="0" w:space="0" w:color="auto"/>
      </w:divBdr>
      <w:divsChild>
        <w:div w:id="531461267">
          <w:marLeft w:val="446"/>
          <w:marRight w:val="0"/>
          <w:marTop w:val="0"/>
          <w:marBottom w:val="0"/>
          <w:divBdr>
            <w:top w:val="none" w:sz="0" w:space="0" w:color="auto"/>
            <w:left w:val="none" w:sz="0" w:space="0" w:color="auto"/>
            <w:bottom w:val="none" w:sz="0" w:space="0" w:color="auto"/>
            <w:right w:val="none" w:sz="0" w:space="0" w:color="auto"/>
          </w:divBdr>
        </w:div>
      </w:divsChild>
    </w:div>
    <w:div w:id="1669364751">
      <w:bodyDiv w:val="1"/>
      <w:marLeft w:val="0"/>
      <w:marRight w:val="0"/>
      <w:marTop w:val="0"/>
      <w:marBottom w:val="0"/>
      <w:divBdr>
        <w:top w:val="none" w:sz="0" w:space="0" w:color="auto"/>
        <w:left w:val="none" w:sz="0" w:space="0" w:color="auto"/>
        <w:bottom w:val="none" w:sz="0" w:space="0" w:color="auto"/>
        <w:right w:val="none" w:sz="0" w:space="0" w:color="auto"/>
      </w:divBdr>
      <w:divsChild>
        <w:div w:id="885481855">
          <w:marLeft w:val="360"/>
          <w:marRight w:val="0"/>
          <w:marTop w:val="100"/>
          <w:marBottom w:val="0"/>
          <w:divBdr>
            <w:top w:val="none" w:sz="0" w:space="0" w:color="auto"/>
            <w:left w:val="none" w:sz="0" w:space="0" w:color="auto"/>
            <w:bottom w:val="none" w:sz="0" w:space="0" w:color="auto"/>
            <w:right w:val="none" w:sz="0" w:space="0" w:color="auto"/>
          </w:divBdr>
        </w:div>
        <w:div w:id="194078052">
          <w:marLeft w:val="1080"/>
          <w:marRight w:val="0"/>
          <w:marTop w:val="100"/>
          <w:marBottom w:val="0"/>
          <w:divBdr>
            <w:top w:val="none" w:sz="0" w:space="0" w:color="auto"/>
            <w:left w:val="none" w:sz="0" w:space="0" w:color="auto"/>
            <w:bottom w:val="none" w:sz="0" w:space="0" w:color="auto"/>
            <w:right w:val="none" w:sz="0" w:space="0" w:color="auto"/>
          </w:divBdr>
        </w:div>
        <w:div w:id="103767717">
          <w:marLeft w:val="1080"/>
          <w:marRight w:val="0"/>
          <w:marTop w:val="100"/>
          <w:marBottom w:val="0"/>
          <w:divBdr>
            <w:top w:val="none" w:sz="0" w:space="0" w:color="auto"/>
            <w:left w:val="none" w:sz="0" w:space="0" w:color="auto"/>
            <w:bottom w:val="none" w:sz="0" w:space="0" w:color="auto"/>
            <w:right w:val="none" w:sz="0" w:space="0" w:color="auto"/>
          </w:divBdr>
        </w:div>
        <w:div w:id="1524399812">
          <w:marLeft w:val="1080"/>
          <w:marRight w:val="0"/>
          <w:marTop w:val="100"/>
          <w:marBottom w:val="0"/>
          <w:divBdr>
            <w:top w:val="none" w:sz="0" w:space="0" w:color="auto"/>
            <w:left w:val="none" w:sz="0" w:space="0" w:color="auto"/>
            <w:bottom w:val="none" w:sz="0" w:space="0" w:color="auto"/>
            <w:right w:val="none" w:sz="0" w:space="0" w:color="auto"/>
          </w:divBdr>
        </w:div>
      </w:divsChild>
    </w:div>
    <w:div w:id="1693922850">
      <w:bodyDiv w:val="1"/>
      <w:marLeft w:val="0"/>
      <w:marRight w:val="0"/>
      <w:marTop w:val="0"/>
      <w:marBottom w:val="0"/>
      <w:divBdr>
        <w:top w:val="none" w:sz="0" w:space="0" w:color="auto"/>
        <w:left w:val="none" w:sz="0" w:space="0" w:color="auto"/>
        <w:bottom w:val="none" w:sz="0" w:space="0" w:color="auto"/>
        <w:right w:val="none" w:sz="0" w:space="0" w:color="auto"/>
      </w:divBdr>
    </w:div>
    <w:div w:id="1703507043">
      <w:bodyDiv w:val="1"/>
      <w:marLeft w:val="0"/>
      <w:marRight w:val="0"/>
      <w:marTop w:val="0"/>
      <w:marBottom w:val="0"/>
      <w:divBdr>
        <w:top w:val="none" w:sz="0" w:space="0" w:color="auto"/>
        <w:left w:val="none" w:sz="0" w:space="0" w:color="auto"/>
        <w:bottom w:val="none" w:sz="0" w:space="0" w:color="auto"/>
        <w:right w:val="none" w:sz="0" w:space="0" w:color="auto"/>
      </w:divBdr>
      <w:divsChild>
        <w:div w:id="1192691925">
          <w:marLeft w:val="0"/>
          <w:marRight w:val="0"/>
          <w:marTop w:val="0"/>
          <w:marBottom w:val="0"/>
          <w:divBdr>
            <w:top w:val="none" w:sz="0" w:space="0" w:color="auto"/>
            <w:left w:val="none" w:sz="0" w:space="0" w:color="auto"/>
            <w:bottom w:val="none" w:sz="0" w:space="0" w:color="auto"/>
            <w:right w:val="none" w:sz="0" w:space="0" w:color="auto"/>
          </w:divBdr>
          <w:divsChild>
            <w:div w:id="182399895">
              <w:marLeft w:val="0"/>
              <w:marRight w:val="0"/>
              <w:marTop w:val="0"/>
              <w:marBottom w:val="0"/>
              <w:divBdr>
                <w:top w:val="none" w:sz="0" w:space="0" w:color="auto"/>
                <w:left w:val="none" w:sz="0" w:space="0" w:color="auto"/>
                <w:bottom w:val="none" w:sz="0" w:space="0" w:color="auto"/>
                <w:right w:val="none" w:sz="0" w:space="0" w:color="auto"/>
              </w:divBdr>
            </w:div>
            <w:div w:id="474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
    <w:div w:id="1751006463">
      <w:bodyDiv w:val="1"/>
      <w:marLeft w:val="0"/>
      <w:marRight w:val="0"/>
      <w:marTop w:val="0"/>
      <w:marBottom w:val="0"/>
      <w:divBdr>
        <w:top w:val="none" w:sz="0" w:space="0" w:color="auto"/>
        <w:left w:val="none" w:sz="0" w:space="0" w:color="auto"/>
        <w:bottom w:val="none" w:sz="0" w:space="0" w:color="auto"/>
        <w:right w:val="none" w:sz="0" w:space="0" w:color="auto"/>
      </w:divBdr>
    </w:div>
    <w:div w:id="1765030418">
      <w:bodyDiv w:val="1"/>
      <w:marLeft w:val="0"/>
      <w:marRight w:val="0"/>
      <w:marTop w:val="0"/>
      <w:marBottom w:val="0"/>
      <w:divBdr>
        <w:top w:val="none" w:sz="0" w:space="0" w:color="auto"/>
        <w:left w:val="none" w:sz="0" w:space="0" w:color="auto"/>
        <w:bottom w:val="none" w:sz="0" w:space="0" w:color="auto"/>
        <w:right w:val="none" w:sz="0" w:space="0" w:color="auto"/>
      </w:divBdr>
    </w:div>
    <w:div w:id="1765879588">
      <w:bodyDiv w:val="1"/>
      <w:marLeft w:val="0"/>
      <w:marRight w:val="0"/>
      <w:marTop w:val="0"/>
      <w:marBottom w:val="0"/>
      <w:divBdr>
        <w:top w:val="none" w:sz="0" w:space="0" w:color="auto"/>
        <w:left w:val="none" w:sz="0" w:space="0" w:color="auto"/>
        <w:bottom w:val="none" w:sz="0" w:space="0" w:color="auto"/>
        <w:right w:val="none" w:sz="0" w:space="0" w:color="auto"/>
      </w:divBdr>
    </w:div>
    <w:div w:id="1773433228">
      <w:bodyDiv w:val="1"/>
      <w:marLeft w:val="0"/>
      <w:marRight w:val="0"/>
      <w:marTop w:val="0"/>
      <w:marBottom w:val="0"/>
      <w:divBdr>
        <w:top w:val="none" w:sz="0" w:space="0" w:color="auto"/>
        <w:left w:val="none" w:sz="0" w:space="0" w:color="auto"/>
        <w:bottom w:val="none" w:sz="0" w:space="0" w:color="auto"/>
        <w:right w:val="none" w:sz="0" w:space="0" w:color="auto"/>
      </w:divBdr>
    </w:div>
    <w:div w:id="1784497746">
      <w:bodyDiv w:val="1"/>
      <w:marLeft w:val="0"/>
      <w:marRight w:val="0"/>
      <w:marTop w:val="0"/>
      <w:marBottom w:val="0"/>
      <w:divBdr>
        <w:top w:val="none" w:sz="0" w:space="0" w:color="auto"/>
        <w:left w:val="none" w:sz="0" w:space="0" w:color="auto"/>
        <w:bottom w:val="none" w:sz="0" w:space="0" w:color="auto"/>
        <w:right w:val="none" w:sz="0" w:space="0" w:color="auto"/>
      </w:divBdr>
    </w:div>
    <w:div w:id="1821847907">
      <w:bodyDiv w:val="1"/>
      <w:marLeft w:val="0"/>
      <w:marRight w:val="0"/>
      <w:marTop w:val="0"/>
      <w:marBottom w:val="0"/>
      <w:divBdr>
        <w:top w:val="none" w:sz="0" w:space="0" w:color="auto"/>
        <w:left w:val="none" w:sz="0" w:space="0" w:color="auto"/>
        <w:bottom w:val="none" w:sz="0" w:space="0" w:color="auto"/>
        <w:right w:val="none" w:sz="0" w:space="0" w:color="auto"/>
      </w:divBdr>
    </w:div>
    <w:div w:id="1834226068">
      <w:bodyDiv w:val="1"/>
      <w:marLeft w:val="0"/>
      <w:marRight w:val="0"/>
      <w:marTop w:val="0"/>
      <w:marBottom w:val="0"/>
      <w:divBdr>
        <w:top w:val="none" w:sz="0" w:space="0" w:color="auto"/>
        <w:left w:val="none" w:sz="0" w:space="0" w:color="auto"/>
        <w:bottom w:val="none" w:sz="0" w:space="0" w:color="auto"/>
        <w:right w:val="none" w:sz="0" w:space="0" w:color="auto"/>
      </w:divBdr>
    </w:div>
    <w:div w:id="1861314829">
      <w:bodyDiv w:val="1"/>
      <w:marLeft w:val="0"/>
      <w:marRight w:val="0"/>
      <w:marTop w:val="0"/>
      <w:marBottom w:val="0"/>
      <w:divBdr>
        <w:top w:val="none" w:sz="0" w:space="0" w:color="auto"/>
        <w:left w:val="none" w:sz="0" w:space="0" w:color="auto"/>
        <w:bottom w:val="none" w:sz="0" w:space="0" w:color="auto"/>
        <w:right w:val="none" w:sz="0" w:space="0" w:color="auto"/>
      </w:divBdr>
    </w:div>
    <w:div w:id="191720806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8973197">
      <w:bodyDiv w:val="1"/>
      <w:marLeft w:val="0"/>
      <w:marRight w:val="0"/>
      <w:marTop w:val="0"/>
      <w:marBottom w:val="0"/>
      <w:divBdr>
        <w:top w:val="none" w:sz="0" w:space="0" w:color="auto"/>
        <w:left w:val="none" w:sz="0" w:space="0" w:color="auto"/>
        <w:bottom w:val="none" w:sz="0" w:space="0" w:color="auto"/>
        <w:right w:val="none" w:sz="0" w:space="0" w:color="auto"/>
      </w:divBdr>
    </w:div>
    <w:div w:id="2009211000">
      <w:bodyDiv w:val="1"/>
      <w:marLeft w:val="0"/>
      <w:marRight w:val="0"/>
      <w:marTop w:val="0"/>
      <w:marBottom w:val="0"/>
      <w:divBdr>
        <w:top w:val="none" w:sz="0" w:space="0" w:color="auto"/>
        <w:left w:val="none" w:sz="0" w:space="0" w:color="auto"/>
        <w:bottom w:val="none" w:sz="0" w:space="0" w:color="auto"/>
        <w:right w:val="none" w:sz="0" w:space="0" w:color="auto"/>
      </w:divBdr>
    </w:div>
    <w:div w:id="2029601798">
      <w:bodyDiv w:val="1"/>
      <w:marLeft w:val="0"/>
      <w:marRight w:val="0"/>
      <w:marTop w:val="0"/>
      <w:marBottom w:val="0"/>
      <w:divBdr>
        <w:top w:val="none" w:sz="0" w:space="0" w:color="auto"/>
        <w:left w:val="none" w:sz="0" w:space="0" w:color="auto"/>
        <w:bottom w:val="none" w:sz="0" w:space="0" w:color="auto"/>
        <w:right w:val="none" w:sz="0" w:space="0" w:color="auto"/>
      </w:divBdr>
      <w:divsChild>
        <w:div w:id="231089710">
          <w:marLeft w:val="1080"/>
          <w:marRight w:val="0"/>
          <w:marTop w:val="100"/>
          <w:marBottom w:val="0"/>
          <w:divBdr>
            <w:top w:val="none" w:sz="0" w:space="0" w:color="auto"/>
            <w:left w:val="none" w:sz="0" w:space="0" w:color="auto"/>
            <w:bottom w:val="none" w:sz="0" w:space="0" w:color="auto"/>
            <w:right w:val="none" w:sz="0" w:space="0" w:color="auto"/>
          </w:divBdr>
        </w:div>
        <w:div w:id="906645834">
          <w:marLeft w:val="1080"/>
          <w:marRight w:val="0"/>
          <w:marTop w:val="100"/>
          <w:marBottom w:val="0"/>
          <w:divBdr>
            <w:top w:val="none" w:sz="0" w:space="0" w:color="auto"/>
            <w:left w:val="none" w:sz="0" w:space="0" w:color="auto"/>
            <w:bottom w:val="none" w:sz="0" w:space="0" w:color="auto"/>
            <w:right w:val="none" w:sz="0" w:space="0" w:color="auto"/>
          </w:divBdr>
        </w:div>
        <w:div w:id="813251784">
          <w:marLeft w:val="1080"/>
          <w:marRight w:val="0"/>
          <w:marTop w:val="100"/>
          <w:marBottom w:val="0"/>
          <w:divBdr>
            <w:top w:val="none" w:sz="0" w:space="0" w:color="auto"/>
            <w:left w:val="none" w:sz="0" w:space="0" w:color="auto"/>
            <w:bottom w:val="none" w:sz="0" w:space="0" w:color="auto"/>
            <w:right w:val="none" w:sz="0" w:space="0" w:color="auto"/>
          </w:divBdr>
        </w:div>
        <w:div w:id="789326026">
          <w:marLeft w:val="1080"/>
          <w:marRight w:val="0"/>
          <w:marTop w:val="100"/>
          <w:marBottom w:val="0"/>
          <w:divBdr>
            <w:top w:val="none" w:sz="0" w:space="0" w:color="auto"/>
            <w:left w:val="none" w:sz="0" w:space="0" w:color="auto"/>
            <w:bottom w:val="none" w:sz="0" w:space="0" w:color="auto"/>
            <w:right w:val="none" w:sz="0" w:space="0" w:color="auto"/>
          </w:divBdr>
        </w:div>
        <w:div w:id="491456268">
          <w:marLeft w:val="1080"/>
          <w:marRight w:val="0"/>
          <w:marTop w:val="100"/>
          <w:marBottom w:val="0"/>
          <w:divBdr>
            <w:top w:val="none" w:sz="0" w:space="0" w:color="auto"/>
            <w:left w:val="none" w:sz="0" w:space="0" w:color="auto"/>
            <w:bottom w:val="none" w:sz="0" w:space="0" w:color="auto"/>
            <w:right w:val="none" w:sz="0" w:space="0" w:color="auto"/>
          </w:divBdr>
        </w:div>
        <w:div w:id="2042128237">
          <w:marLeft w:val="1080"/>
          <w:marRight w:val="0"/>
          <w:marTop w:val="100"/>
          <w:marBottom w:val="0"/>
          <w:divBdr>
            <w:top w:val="none" w:sz="0" w:space="0" w:color="auto"/>
            <w:left w:val="none" w:sz="0" w:space="0" w:color="auto"/>
            <w:bottom w:val="none" w:sz="0" w:space="0" w:color="auto"/>
            <w:right w:val="none" w:sz="0" w:space="0" w:color="auto"/>
          </w:divBdr>
        </w:div>
      </w:divsChild>
    </w:div>
    <w:div w:id="2049647955">
      <w:bodyDiv w:val="1"/>
      <w:marLeft w:val="0"/>
      <w:marRight w:val="0"/>
      <w:marTop w:val="0"/>
      <w:marBottom w:val="0"/>
      <w:divBdr>
        <w:top w:val="none" w:sz="0" w:space="0" w:color="auto"/>
        <w:left w:val="none" w:sz="0" w:space="0" w:color="auto"/>
        <w:bottom w:val="none" w:sz="0" w:space="0" w:color="auto"/>
        <w:right w:val="none" w:sz="0" w:space="0" w:color="auto"/>
      </w:divBdr>
    </w:div>
    <w:div w:id="2064595966">
      <w:bodyDiv w:val="1"/>
      <w:marLeft w:val="0"/>
      <w:marRight w:val="0"/>
      <w:marTop w:val="0"/>
      <w:marBottom w:val="0"/>
      <w:divBdr>
        <w:top w:val="none" w:sz="0" w:space="0" w:color="auto"/>
        <w:left w:val="none" w:sz="0" w:space="0" w:color="auto"/>
        <w:bottom w:val="none" w:sz="0" w:space="0" w:color="auto"/>
        <w:right w:val="none" w:sz="0" w:space="0" w:color="auto"/>
      </w:divBdr>
      <w:divsChild>
        <w:div w:id="1662738007">
          <w:marLeft w:val="1080"/>
          <w:marRight w:val="0"/>
          <w:marTop w:val="100"/>
          <w:marBottom w:val="0"/>
          <w:divBdr>
            <w:top w:val="none" w:sz="0" w:space="0" w:color="auto"/>
            <w:left w:val="none" w:sz="0" w:space="0" w:color="auto"/>
            <w:bottom w:val="none" w:sz="0" w:space="0" w:color="auto"/>
            <w:right w:val="none" w:sz="0" w:space="0" w:color="auto"/>
          </w:divBdr>
        </w:div>
        <w:div w:id="1281691318">
          <w:marLeft w:val="1080"/>
          <w:marRight w:val="0"/>
          <w:marTop w:val="100"/>
          <w:marBottom w:val="0"/>
          <w:divBdr>
            <w:top w:val="none" w:sz="0" w:space="0" w:color="auto"/>
            <w:left w:val="none" w:sz="0" w:space="0" w:color="auto"/>
            <w:bottom w:val="none" w:sz="0" w:space="0" w:color="auto"/>
            <w:right w:val="none" w:sz="0" w:space="0" w:color="auto"/>
          </w:divBdr>
        </w:div>
      </w:divsChild>
    </w:div>
    <w:div w:id="2104103831">
      <w:bodyDiv w:val="1"/>
      <w:marLeft w:val="0"/>
      <w:marRight w:val="0"/>
      <w:marTop w:val="0"/>
      <w:marBottom w:val="0"/>
      <w:divBdr>
        <w:top w:val="none" w:sz="0" w:space="0" w:color="auto"/>
        <w:left w:val="none" w:sz="0" w:space="0" w:color="auto"/>
        <w:bottom w:val="none" w:sz="0" w:space="0" w:color="auto"/>
        <w:right w:val="none" w:sz="0" w:space="0" w:color="auto"/>
      </w:divBdr>
      <w:divsChild>
        <w:div w:id="1916358475">
          <w:marLeft w:val="1080"/>
          <w:marRight w:val="0"/>
          <w:marTop w:val="100"/>
          <w:marBottom w:val="0"/>
          <w:divBdr>
            <w:top w:val="none" w:sz="0" w:space="0" w:color="auto"/>
            <w:left w:val="none" w:sz="0" w:space="0" w:color="auto"/>
            <w:bottom w:val="none" w:sz="0" w:space="0" w:color="auto"/>
            <w:right w:val="none" w:sz="0" w:space="0" w:color="auto"/>
          </w:divBdr>
        </w:div>
      </w:divsChild>
    </w:div>
    <w:div w:id="21361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pbs.gov.au/medicine/item/12229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bs.gov.au/medicine/item/12228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medicine/item/12226l" TargetMode="External"/><Relationship Id="rId20" Type="http://schemas.openxmlformats.org/officeDocument/2006/relationships/hyperlink" Target="https://www.pbs.gov.au/medicine/item/12231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medicine/item/12225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bs.gov.au/medicine/item/12230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bs.gov.au/medicine/item/12221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BB1C-827B-46DD-9BBF-EE39FAAC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22096</Words>
  <Characters>124820</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2022-08-25T05:07:00Z</dcterms:created>
  <dcterms:modified xsi:type="dcterms:W3CDTF">2022-08-25T06:12:00Z</dcterms:modified>
</cp:coreProperties>
</file>