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F0C07" w14:textId="37F40829" w:rsidR="005779CF" w:rsidRPr="00BF2B95" w:rsidRDefault="00C6673E" w:rsidP="00216BA3">
      <w:pPr>
        <w:pStyle w:val="1-MainHeading"/>
        <w:contextualSpacing/>
      </w:pPr>
      <w:r>
        <w:t>5.02</w:t>
      </w:r>
      <w:r w:rsidR="00163F66" w:rsidRPr="00BF2B95">
        <w:tab/>
      </w:r>
      <w:r w:rsidR="00185168" w:rsidRPr="00BF2B95">
        <w:t>FARICIMAB</w:t>
      </w:r>
      <w:r w:rsidR="00163F66" w:rsidRPr="00BF2B95">
        <w:t>,</w:t>
      </w:r>
      <w:r w:rsidR="00163F66" w:rsidRPr="00BF2B95">
        <w:br/>
      </w:r>
      <w:r w:rsidR="002A457A">
        <w:rPr>
          <w:sz w:val="32"/>
        </w:rPr>
        <w:t xml:space="preserve">Solution for intravitreal </w:t>
      </w:r>
      <w:r w:rsidR="002A457A">
        <w:t>i</w:t>
      </w:r>
      <w:r w:rsidR="005779CF" w:rsidRPr="00BF2B95">
        <w:t>njection 28.8 mg in 0.24 mL vial,</w:t>
      </w:r>
    </w:p>
    <w:p w14:paraId="51C6701A" w14:textId="36F3CFF1" w:rsidR="00B60939" w:rsidRDefault="005779CF" w:rsidP="00216BA3">
      <w:pPr>
        <w:pStyle w:val="1-MainHeading"/>
        <w:contextualSpacing/>
      </w:pPr>
      <w:r w:rsidRPr="00BF2B95">
        <w:tab/>
      </w:r>
      <w:r w:rsidR="002A457A">
        <w:rPr>
          <w:sz w:val="32"/>
        </w:rPr>
        <w:t xml:space="preserve">Solution for intravitreal </w:t>
      </w:r>
      <w:r w:rsidR="002A457A">
        <w:t>i</w:t>
      </w:r>
      <w:r w:rsidRPr="00BF2B95">
        <w:t>njection</w:t>
      </w:r>
      <w:r w:rsidR="00216BA3" w:rsidRPr="00BF2B95">
        <w:t xml:space="preserve"> 24.0 mg in 0.2 mL syringe</w:t>
      </w:r>
      <w:r w:rsidR="00163F66" w:rsidRPr="00BF2B95">
        <w:t>,</w:t>
      </w:r>
      <w:r w:rsidR="00163F66" w:rsidRPr="00BF2B95">
        <w:br/>
      </w:r>
      <w:r w:rsidR="00185168" w:rsidRPr="00BF2B95">
        <w:t>Vabysmo</w:t>
      </w:r>
      <w:r w:rsidR="00B60939" w:rsidRPr="00BF2B95">
        <w:rPr>
          <w:vertAlign w:val="superscript"/>
        </w:rPr>
        <w:t>®</w:t>
      </w:r>
      <w:r w:rsidR="004A6040" w:rsidRPr="00BF2B95">
        <w:t>,</w:t>
      </w:r>
      <w:r w:rsidR="004A6040" w:rsidRPr="00BF2B95">
        <w:br/>
      </w:r>
      <w:r w:rsidR="00185168" w:rsidRPr="00BF2B95">
        <w:t>Roche Products Pty L</w:t>
      </w:r>
      <w:r w:rsidR="00216BA3" w:rsidRPr="00BF2B95">
        <w:t>imi</w:t>
      </w:r>
      <w:r w:rsidR="00185168" w:rsidRPr="00BF2B95">
        <w:t>t</w:t>
      </w:r>
      <w:r w:rsidR="00216BA3" w:rsidRPr="00BF2B95">
        <w:t>e</w:t>
      </w:r>
      <w:r w:rsidR="00185168" w:rsidRPr="00BF2B95">
        <w:t>d</w:t>
      </w:r>
      <w:r w:rsidR="00B60939" w:rsidRPr="00BF2B95">
        <w:t>.</w:t>
      </w:r>
    </w:p>
    <w:p w14:paraId="11C00795" w14:textId="674C8111" w:rsidR="00B50DB8" w:rsidRPr="00BF2B95" w:rsidRDefault="00B50DB8" w:rsidP="003D01F1">
      <w:pPr>
        <w:pStyle w:val="2-SectionHeading"/>
        <w:spacing w:before="120"/>
      </w:pPr>
      <w:bookmarkStart w:id="0" w:name="_Toc101107800"/>
      <w:r w:rsidRPr="00BF2B95">
        <w:t xml:space="preserve">Purpose of </w:t>
      </w:r>
      <w:r w:rsidR="00CD7193" w:rsidRPr="00BF2B95">
        <w:t>s</w:t>
      </w:r>
      <w:r w:rsidR="00BB3A45" w:rsidRPr="00BF2B95">
        <w:t>ubmission</w:t>
      </w:r>
      <w:bookmarkEnd w:id="0"/>
    </w:p>
    <w:p w14:paraId="19414AA1" w14:textId="797DCD0A" w:rsidR="002C2775" w:rsidRPr="00BF2B95" w:rsidRDefault="007170DA" w:rsidP="004E18E9">
      <w:pPr>
        <w:pStyle w:val="ExecSumBodyText"/>
      </w:pPr>
      <w:r w:rsidRPr="00BF2B95">
        <w:t xml:space="preserve">The </w:t>
      </w:r>
      <w:r w:rsidR="00185168" w:rsidRPr="00BF2B95">
        <w:t xml:space="preserve">Category 2 </w:t>
      </w:r>
      <w:r w:rsidRPr="00BF2B95">
        <w:t xml:space="preserve">submission requested </w:t>
      </w:r>
      <w:r w:rsidR="00185168" w:rsidRPr="00BF2B95">
        <w:t>an</w:t>
      </w:r>
      <w:r w:rsidR="008B1757" w:rsidRPr="00BF2B95">
        <w:t xml:space="preserve"> Authority Required</w:t>
      </w:r>
      <w:r w:rsidR="00185168" w:rsidRPr="00BF2B95">
        <w:t xml:space="preserve"> listing for faricimab for the treatment of neovascular age-related macular degeneration (nAMD)</w:t>
      </w:r>
      <w:r w:rsidR="008B1757" w:rsidRPr="00BF2B95">
        <w:t xml:space="preserve">. </w:t>
      </w:r>
    </w:p>
    <w:p w14:paraId="4E9FBCB5" w14:textId="532C31E9" w:rsidR="00C2778B" w:rsidRPr="00BF2B95" w:rsidRDefault="005750C5" w:rsidP="004E18E9">
      <w:pPr>
        <w:pStyle w:val="ExecSumBodyText"/>
      </w:pPr>
      <w:r w:rsidRPr="00BF2B95">
        <w:t>Listing was requested on the basis of a cost-minimisation</w:t>
      </w:r>
      <w:r w:rsidR="00185168" w:rsidRPr="00BF2B95">
        <w:t xml:space="preserve"> approach </w:t>
      </w:r>
      <w:r w:rsidRPr="00BF2B95">
        <w:t xml:space="preserve">versus </w:t>
      </w:r>
      <w:r w:rsidR="00185168" w:rsidRPr="00BF2B95">
        <w:t>aflibercept</w:t>
      </w:r>
      <w:r w:rsidR="00095E84" w:rsidRPr="00BF2B95">
        <w:t>, as a proxy for standard of care (</w:t>
      </w:r>
      <w:r w:rsidR="00585A88" w:rsidRPr="00BF2B95">
        <w:t>vascular endothelial growth factor (</w:t>
      </w:r>
      <w:r w:rsidR="00095E84" w:rsidRPr="00BF2B95">
        <w:t>VEGF</w:t>
      </w:r>
      <w:r w:rsidR="00585A88" w:rsidRPr="00BF2B95">
        <w:t>)</w:t>
      </w:r>
      <w:r w:rsidR="00095E84" w:rsidRPr="00BF2B95">
        <w:t xml:space="preserve"> inhibitors)</w:t>
      </w:r>
      <w:r w:rsidRPr="00BF2B95">
        <w:t>.</w:t>
      </w:r>
    </w:p>
    <w:p w14:paraId="12FECCA3" w14:textId="4C13A0C0" w:rsidR="00044971" w:rsidRPr="00BF2B95" w:rsidRDefault="00044971" w:rsidP="004E18E9">
      <w:pPr>
        <w:pStyle w:val="ExecSumBodyText"/>
      </w:pPr>
      <w:r w:rsidRPr="00BF2B95">
        <w:t xml:space="preserve">A concurrent submission for faricimab for the treatment of diabetic macular oedema </w:t>
      </w:r>
      <w:r w:rsidR="00F063A0" w:rsidRPr="00BF2B95">
        <w:t xml:space="preserve">(DMO) </w:t>
      </w:r>
      <w:r w:rsidR="008B163C">
        <w:t xml:space="preserve">was </w:t>
      </w:r>
      <w:r w:rsidRPr="00BF2B95">
        <w:t xml:space="preserve">considered at the May 2022 </w:t>
      </w:r>
      <w:r w:rsidR="0081052F" w:rsidRPr="003B3448">
        <w:t>intracycle</w:t>
      </w:r>
      <w:r w:rsidR="0081052F" w:rsidRPr="00BF2B95">
        <w:t xml:space="preserve"> </w:t>
      </w:r>
      <w:r w:rsidRPr="00BF2B95">
        <w:t>PBAC meeting.</w:t>
      </w:r>
    </w:p>
    <w:p w14:paraId="3718DE61" w14:textId="2437971D" w:rsidR="008B1757" w:rsidRPr="00BF2B95" w:rsidRDefault="008B1757" w:rsidP="0081052F">
      <w:pPr>
        <w:pStyle w:val="Caption"/>
        <w:rPr>
          <w:lang w:val="en-AU"/>
        </w:rPr>
      </w:pPr>
      <w:r w:rsidRPr="00BF2B95">
        <w:rPr>
          <w:lang w:val="en-AU"/>
        </w:rPr>
        <w:t xml:space="preserve">Table </w:t>
      </w:r>
      <w:r w:rsidR="009930D5" w:rsidRPr="00BF2B95">
        <w:rPr>
          <w:lang w:val="en-AU"/>
        </w:rPr>
        <w:fldChar w:fldCharType="begin"/>
      </w:r>
      <w:r w:rsidR="009930D5" w:rsidRPr="00BF2B95">
        <w:rPr>
          <w:lang w:val="en-AU"/>
        </w:rPr>
        <w:instrText xml:space="preserve"> SEQ Table \* ARABIC </w:instrText>
      </w:r>
      <w:r w:rsidR="009930D5" w:rsidRPr="00BF2B95">
        <w:rPr>
          <w:lang w:val="en-AU"/>
        </w:rPr>
        <w:fldChar w:fldCharType="separate"/>
      </w:r>
      <w:r w:rsidR="006C2A4B">
        <w:rPr>
          <w:noProof/>
          <w:lang w:val="en-AU"/>
        </w:rPr>
        <w:t>1</w:t>
      </w:r>
      <w:r w:rsidR="009930D5" w:rsidRPr="00BF2B95">
        <w:rPr>
          <w:noProof/>
          <w:lang w:val="en-AU"/>
        </w:rPr>
        <w:fldChar w:fldCharType="end"/>
      </w:r>
      <w:r w:rsidRPr="00BF2B95">
        <w:rPr>
          <w:lang w:val="en-AU"/>
        </w:rPr>
        <w:t>:</w:t>
      </w:r>
      <w:r w:rsidR="00BC591F" w:rsidRPr="00BF2B95">
        <w:rPr>
          <w:lang w:val="en-AU"/>
        </w:rPr>
        <w:t xml:space="preserve"> </w:t>
      </w:r>
      <w:r w:rsidRPr="00BF2B95">
        <w:rPr>
          <w:lang w:val="en-AU"/>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413"/>
        <w:gridCol w:w="7743"/>
      </w:tblGrid>
      <w:tr w:rsidR="00185168" w:rsidRPr="00BF2B95" w14:paraId="13D00954" w14:textId="77777777" w:rsidTr="00F075E6">
        <w:tc>
          <w:tcPr>
            <w:tcW w:w="1413" w:type="dxa"/>
            <w:vAlign w:val="center"/>
          </w:tcPr>
          <w:p w14:paraId="73E1736F" w14:textId="77777777" w:rsidR="00185168" w:rsidRPr="00BF2B95" w:rsidRDefault="00185168" w:rsidP="00174A07">
            <w:pPr>
              <w:pStyle w:val="Tableheadingrow"/>
              <w:rPr>
                <w:lang w:val="en-AU"/>
              </w:rPr>
            </w:pPr>
            <w:r w:rsidRPr="00BF2B95">
              <w:rPr>
                <w:lang w:val="en-AU"/>
              </w:rPr>
              <w:t>Component</w:t>
            </w:r>
          </w:p>
        </w:tc>
        <w:tc>
          <w:tcPr>
            <w:tcW w:w="7743" w:type="dxa"/>
            <w:vAlign w:val="center"/>
          </w:tcPr>
          <w:p w14:paraId="2B165BE4" w14:textId="77777777" w:rsidR="00185168" w:rsidRPr="00BF2B95" w:rsidRDefault="00185168" w:rsidP="00174A07">
            <w:pPr>
              <w:pStyle w:val="Tableheadingrow"/>
              <w:rPr>
                <w:lang w:val="en-AU"/>
              </w:rPr>
            </w:pPr>
            <w:r w:rsidRPr="00BF2B95">
              <w:rPr>
                <w:lang w:val="en-AU"/>
              </w:rPr>
              <w:t>Description</w:t>
            </w:r>
          </w:p>
        </w:tc>
      </w:tr>
      <w:tr w:rsidR="00185168" w:rsidRPr="00BF2B95" w14:paraId="3B68F9F5" w14:textId="77777777" w:rsidTr="00F075E6">
        <w:tc>
          <w:tcPr>
            <w:tcW w:w="1413" w:type="dxa"/>
            <w:vAlign w:val="center"/>
          </w:tcPr>
          <w:p w14:paraId="2F02AAA4" w14:textId="77777777" w:rsidR="00185168" w:rsidRPr="00BF2B95" w:rsidRDefault="00185168" w:rsidP="00174A07">
            <w:pPr>
              <w:pStyle w:val="TableText"/>
            </w:pPr>
            <w:r w:rsidRPr="00BF2B95">
              <w:t>Population</w:t>
            </w:r>
          </w:p>
        </w:tc>
        <w:tc>
          <w:tcPr>
            <w:tcW w:w="7743" w:type="dxa"/>
          </w:tcPr>
          <w:p w14:paraId="1459283A" w14:textId="77777777" w:rsidR="00185168" w:rsidRPr="00BF2B95" w:rsidRDefault="00185168" w:rsidP="00174A07">
            <w:pPr>
              <w:pStyle w:val="TableText"/>
            </w:pPr>
            <w:r w:rsidRPr="00BF2B95">
              <w:t>Patients with nAMD</w:t>
            </w:r>
          </w:p>
        </w:tc>
      </w:tr>
      <w:tr w:rsidR="00185168" w:rsidRPr="00BF2B95" w14:paraId="4DC74EA1" w14:textId="77777777" w:rsidTr="00F075E6">
        <w:tc>
          <w:tcPr>
            <w:tcW w:w="1413" w:type="dxa"/>
            <w:vAlign w:val="center"/>
          </w:tcPr>
          <w:p w14:paraId="454A1162" w14:textId="77777777" w:rsidR="00185168" w:rsidRPr="00BF2B95" w:rsidRDefault="00185168" w:rsidP="00174A07">
            <w:pPr>
              <w:pStyle w:val="TableText"/>
            </w:pPr>
            <w:r w:rsidRPr="00BF2B95">
              <w:t>Intervention</w:t>
            </w:r>
          </w:p>
        </w:tc>
        <w:tc>
          <w:tcPr>
            <w:tcW w:w="7743" w:type="dxa"/>
          </w:tcPr>
          <w:p w14:paraId="4589AD39" w14:textId="77777777" w:rsidR="00185168" w:rsidRPr="00BF2B95" w:rsidRDefault="00185168" w:rsidP="00174A07">
            <w:pPr>
              <w:pStyle w:val="TableText"/>
            </w:pPr>
            <w:r w:rsidRPr="00BF2B95">
              <w:t>Faricimab intravitreal injection</w:t>
            </w:r>
          </w:p>
        </w:tc>
      </w:tr>
      <w:tr w:rsidR="00185168" w:rsidRPr="00BF2B95" w14:paraId="3D823DA4" w14:textId="77777777" w:rsidTr="00F075E6">
        <w:tc>
          <w:tcPr>
            <w:tcW w:w="1413" w:type="dxa"/>
            <w:vAlign w:val="center"/>
          </w:tcPr>
          <w:p w14:paraId="7220580B" w14:textId="77777777" w:rsidR="00185168" w:rsidRPr="00BF2B95" w:rsidRDefault="00185168" w:rsidP="00174A07">
            <w:pPr>
              <w:pStyle w:val="TableText"/>
            </w:pPr>
            <w:r w:rsidRPr="00BF2B95">
              <w:t>Comparator</w:t>
            </w:r>
          </w:p>
        </w:tc>
        <w:tc>
          <w:tcPr>
            <w:tcW w:w="7743" w:type="dxa"/>
          </w:tcPr>
          <w:p w14:paraId="5DDE8ADE" w14:textId="2D26B3DC" w:rsidR="00185168" w:rsidRPr="00BF2B95" w:rsidRDefault="00185168" w:rsidP="00174A07">
            <w:pPr>
              <w:pStyle w:val="TableText"/>
            </w:pPr>
            <w:r w:rsidRPr="00BF2B95">
              <w:t>Aflibercept intravitreal injection, as a proxy for standard of care</w:t>
            </w:r>
            <w:r w:rsidR="002401B6" w:rsidRPr="00BF2B95">
              <w:t xml:space="preserve"> VEGF inhibitors</w:t>
            </w:r>
          </w:p>
        </w:tc>
      </w:tr>
      <w:tr w:rsidR="00185168" w:rsidRPr="00BF2B95" w14:paraId="49DD47E0" w14:textId="77777777" w:rsidTr="00F075E6">
        <w:tc>
          <w:tcPr>
            <w:tcW w:w="1413" w:type="dxa"/>
            <w:tcBorders>
              <w:bottom w:val="single" w:sz="4" w:space="0" w:color="auto"/>
            </w:tcBorders>
            <w:vAlign w:val="center"/>
          </w:tcPr>
          <w:p w14:paraId="488391FF" w14:textId="77777777" w:rsidR="00185168" w:rsidRPr="00BF2B95" w:rsidRDefault="00185168" w:rsidP="00174A07">
            <w:pPr>
              <w:pStyle w:val="TableText"/>
            </w:pPr>
            <w:r w:rsidRPr="00BF2B95">
              <w:t>Outcomes</w:t>
            </w:r>
          </w:p>
        </w:tc>
        <w:tc>
          <w:tcPr>
            <w:tcW w:w="7743" w:type="dxa"/>
            <w:tcBorders>
              <w:bottom w:val="single" w:sz="4" w:space="0" w:color="auto"/>
            </w:tcBorders>
          </w:tcPr>
          <w:p w14:paraId="51CD3E56" w14:textId="1565768A" w:rsidR="00185168" w:rsidRPr="00BF2B95" w:rsidRDefault="00185168" w:rsidP="00DF4E9C">
            <w:pPr>
              <w:pStyle w:val="TableText"/>
            </w:pPr>
            <w:r w:rsidRPr="00BF2B95">
              <w:t xml:space="preserve">Best corrected visual acuity (BCVA); </w:t>
            </w:r>
            <w:r w:rsidR="00570AE7">
              <w:t xml:space="preserve">proportion </w:t>
            </w:r>
            <w:r w:rsidR="00DF4E9C">
              <w:t xml:space="preserve">of patients </w:t>
            </w:r>
            <w:r w:rsidR="00570AE7">
              <w:t xml:space="preserve">gaining/avoiding a loss of ≥15 letters in BCVA; </w:t>
            </w:r>
            <w:r w:rsidR="00DF4E9C">
              <w:t>c</w:t>
            </w:r>
            <w:r w:rsidR="00570AE7">
              <w:t xml:space="preserve">hange in </w:t>
            </w:r>
            <w:r w:rsidR="00DF4E9C">
              <w:t>central subfield thickness; q</w:t>
            </w:r>
            <w:r w:rsidR="00570AE7">
              <w:t>uality of lif</w:t>
            </w:r>
            <w:r w:rsidR="00DF4E9C">
              <w:t xml:space="preserve">e; </w:t>
            </w:r>
            <w:r w:rsidRPr="00BF2B95">
              <w:t>ocular and non-ocular adverse events</w:t>
            </w:r>
          </w:p>
        </w:tc>
      </w:tr>
      <w:tr w:rsidR="00185168" w:rsidRPr="00BF2B95" w14:paraId="3D4AFFFD" w14:textId="77777777" w:rsidTr="00F075E6">
        <w:tc>
          <w:tcPr>
            <w:tcW w:w="1413" w:type="dxa"/>
            <w:tcBorders>
              <w:bottom w:val="single" w:sz="4" w:space="0" w:color="auto"/>
            </w:tcBorders>
          </w:tcPr>
          <w:p w14:paraId="491B4606" w14:textId="77777777" w:rsidR="00185168" w:rsidRPr="00BF2B95" w:rsidRDefault="00185168" w:rsidP="00B11EC3">
            <w:pPr>
              <w:pStyle w:val="TableText"/>
            </w:pPr>
            <w:r w:rsidRPr="00BF2B95">
              <w:t>Clinical claim</w:t>
            </w:r>
          </w:p>
        </w:tc>
        <w:tc>
          <w:tcPr>
            <w:tcW w:w="7743" w:type="dxa"/>
            <w:tcBorders>
              <w:bottom w:val="single" w:sz="4" w:space="0" w:color="auto"/>
            </w:tcBorders>
          </w:tcPr>
          <w:p w14:paraId="365A325E" w14:textId="616DF545" w:rsidR="00185168" w:rsidRPr="00BF2B95" w:rsidRDefault="00185168" w:rsidP="00174A07">
            <w:pPr>
              <w:pStyle w:val="TableText"/>
            </w:pPr>
            <w:r w:rsidRPr="00BF2B95">
              <w:t>In patients with nAMD, faricimab is</w:t>
            </w:r>
            <w:r w:rsidR="00095E84" w:rsidRPr="00BF2B95">
              <w:t xml:space="preserve"> non-inferior to</w:t>
            </w:r>
            <w:r w:rsidRPr="00BF2B95">
              <w:t xml:space="preserve"> aflibercept </w:t>
            </w:r>
            <w:r w:rsidR="00095E84" w:rsidRPr="00BF2B95">
              <w:t>in terms of efficacy,</w:t>
            </w:r>
            <w:r w:rsidRPr="00BF2B95">
              <w:t xml:space="preserve"> with</w:t>
            </w:r>
            <w:r w:rsidR="00F67DAB" w:rsidRPr="00BF2B95">
              <w:t xml:space="preserve"> fewer injections and</w:t>
            </w:r>
            <w:r w:rsidRPr="00BF2B95">
              <w:t xml:space="preserve"> a comparable safety profile</w:t>
            </w:r>
            <w:r w:rsidR="00095E84" w:rsidRPr="00BF2B95">
              <w:t>.</w:t>
            </w:r>
          </w:p>
        </w:tc>
      </w:tr>
    </w:tbl>
    <w:p w14:paraId="18136247" w14:textId="1CB1B0AC" w:rsidR="00185168" w:rsidRPr="00BF2B95" w:rsidRDefault="00185168" w:rsidP="00185168">
      <w:pPr>
        <w:pStyle w:val="TableFigureFooter"/>
      </w:pPr>
      <w:r w:rsidRPr="00BF2B95">
        <w:t>Source: Table 1.1, p.2 of the submission</w:t>
      </w:r>
    </w:p>
    <w:p w14:paraId="67D3683C" w14:textId="7A426358" w:rsidR="00185168" w:rsidRPr="00BF2B95" w:rsidRDefault="00185168" w:rsidP="00185168">
      <w:pPr>
        <w:pStyle w:val="TableFigureFooter"/>
      </w:pPr>
      <w:r w:rsidRPr="00BF2B95">
        <w:t>Abbreviations: nAMD</w:t>
      </w:r>
      <w:r w:rsidR="003E1AB7">
        <w:t xml:space="preserve"> =</w:t>
      </w:r>
      <w:r w:rsidRPr="00BF2B95">
        <w:t xml:space="preserve"> neovascular age-related macular degeneration</w:t>
      </w:r>
      <w:r w:rsidR="002401B6" w:rsidRPr="00BF2B95">
        <w:t>; VEGF</w:t>
      </w:r>
      <w:r w:rsidR="003E1AB7">
        <w:t xml:space="preserve"> =</w:t>
      </w:r>
      <w:r w:rsidR="002401B6" w:rsidRPr="00BF2B95">
        <w:t xml:space="preserve"> vascular endothelial growth factor</w:t>
      </w:r>
    </w:p>
    <w:p w14:paraId="6B4AB6C2" w14:textId="7F01D731" w:rsidR="005C25FF" w:rsidRPr="00BF2B95" w:rsidRDefault="005C25FF" w:rsidP="004A6040">
      <w:pPr>
        <w:pStyle w:val="2-SectionHeading"/>
      </w:pPr>
      <w:bookmarkStart w:id="1" w:name="_Toc101107801"/>
      <w:r w:rsidRPr="00BF2B95">
        <w:t>Background</w:t>
      </w:r>
      <w:bookmarkEnd w:id="1"/>
    </w:p>
    <w:p w14:paraId="2C521D6D" w14:textId="78CF03EE" w:rsidR="005C25FF" w:rsidRPr="00BF2B95" w:rsidRDefault="005C25FF" w:rsidP="004A6040">
      <w:pPr>
        <w:pStyle w:val="3-SubsectionHeading"/>
      </w:pPr>
      <w:bookmarkStart w:id="2" w:name="_Toc22897638"/>
      <w:bookmarkStart w:id="3" w:name="_Toc101107802"/>
      <w:r w:rsidRPr="00BF2B95">
        <w:t>Registration status</w:t>
      </w:r>
      <w:bookmarkEnd w:id="2"/>
      <w:bookmarkEnd w:id="3"/>
    </w:p>
    <w:p w14:paraId="50F66141" w14:textId="7D658305" w:rsidR="00095E84" w:rsidRPr="00CB1561" w:rsidRDefault="000F4EDA" w:rsidP="00CB1561">
      <w:pPr>
        <w:pStyle w:val="ExecSumBodyText"/>
      </w:pPr>
      <w:r w:rsidRPr="00CB1561">
        <w:t xml:space="preserve">The submission </w:t>
      </w:r>
      <w:r w:rsidR="00095E84" w:rsidRPr="00CB1561">
        <w:t xml:space="preserve">was submitted under the TGA/PBAC parallel process, </w:t>
      </w:r>
      <w:r w:rsidR="00BB0B1E" w:rsidRPr="00CB1561">
        <w:t>and is being evaluated under</w:t>
      </w:r>
      <w:r w:rsidR="00095E84" w:rsidRPr="00CB1561">
        <w:t xml:space="preserve"> the Access Consortium New Active Substance Work-Sharing Initiative. </w:t>
      </w:r>
      <w:r w:rsidR="00CB1561">
        <w:t>The TGA delegate’s overview was available a</w:t>
      </w:r>
      <w:r w:rsidR="00BB0B1E" w:rsidRPr="00CB1561">
        <w:t xml:space="preserve">t the time of </w:t>
      </w:r>
      <w:r w:rsidR="00CB1561">
        <w:t>PBAC consideration</w:t>
      </w:r>
      <w:r w:rsidR="00BB0B1E" w:rsidRPr="00CB1561">
        <w:t xml:space="preserve">. </w:t>
      </w:r>
      <w:r w:rsidR="00CB1561" w:rsidRPr="00CB1561">
        <w:t>While a decision was yet to be made, the TGA delegate noted that they were inclined to approve the registration of the product.</w:t>
      </w:r>
    </w:p>
    <w:p w14:paraId="48F635DB" w14:textId="77777777" w:rsidR="0083579A" w:rsidRDefault="00BB0B1E" w:rsidP="00850FE0">
      <w:pPr>
        <w:pStyle w:val="ExecSumBodyText"/>
        <w:contextualSpacing/>
      </w:pPr>
      <w:r w:rsidRPr="00BF2B95">
        <w:t>The proposed</w:t>
      </w:r>
      <w:r w:rsidR="00455E2C" w:rsidRPr="00BF2B95">
        <w:t xml:space="preserve"> TGA</w:t>
      </w:r>
      <w:r w:rsidRPr="00BF2B95">
        <w:t xml:space="preserve"> indication is for the treatment of</w:t>
      </w:r>
      <w:r w:rsidR="0083579A">
        <w:t>:</w:t>
      </w:r>
    </w:p>
    <w:p w14:paraId="1E58BD12" w14:textId="03E062BE" w:rsidR="00A027D1" w:rsidRPr="00BF2B95" w:rsidRDefault="00DB6A8B" w:rsidP="00850FE0">
      <w:pPr>
        <w:pStyle w:val="ExecSumBodyText"/>
        <w:numPr>
          <w:ilvl w:val="0"/>
          <w:numId w:val="17"/>
        </w:numPr>
        <w:ind w:left="1077" w:hanging="357"/>
        <w:contextualSpacing/>
      </w:pPr>
      <w:r w:rsidRPr="00BF2B95">
        <w:t>n</w:t>
      </w:r>
      <w:r w:rsidR="00BB0B1E" w:rsidRPr="00BF2B95">
        <w:t>eovascular (wet) age-related macular degeneration (nAMD)</w:t>
      </w:r>
      <w:r w:rsidR="0083579A">
        <w:t>; and</w:t>
      </w:r>
    </w:p>
    <w:p w14:paraId="7AB6FA03" w14:textId="5238D196" w:rsidR="00BB0B1E" w:rsidRPr="00BF2B95" w:rsidRDefault="00DB6A8B" w:rsidP="00850FE0">
      <w:pPr>
        <w:pStyle w:val="ExecSumBodyText"/>
        <w:numPr>
          <w:ilvl w:val="0"/>
          <w:numId w:val="17"/>
        </w:numPr>
        <w:ind w:left="1077" w:hanging="357"/>
      </w:pPr>
      <w:r w:rsidRPr="00BF2B95">
        <w:t>d</w:t>
      </w:r>
      <w:r w:rsidR="00BB0B1E" w:rsidRPr="00BF2B95">
        <w:t>iabetic macular oedema.</w:t>
      </w:r>
    </w:p>
    <w:p w14:paraId="27E3A813" w14:textId="6E60B475" w:rsidR="00BB0B1E" w:rsidRDefault="00DB6A8B" w:rsidP="001E6BEF">
      <w:pPr>
        <w:pStyle w:val="ExecSumBodyText"/>
        <w:numPr>
          <w:ilvl w:val="1"/>
          <w:numId w:val="1"/>
        </w:numPr>
      </w:pPr>
      <w:r w:rsidRPr="00BF2B95">
        <w:lastRenderedPageBreak/>
        <w:t>Faricimab was approved for use by the US Food and Drug Administration on</w:t>
      </w:r>
      <w:r w:rsidR="00D77C58">
        <w:t xml:space="preserve"> 28 </w:t>
      </w:r>
      <w:r w:rsidRPr="00BF2B95">
        <w:t xml:space="preserve">January 2022 to treat </w:t>
      </w:r>
      <w:r w:rsidR="00261A2A">
        <w:t>nAMD</w:t>
      </w:r>
      <w:r w:rsidRPr="00BF2B95">
        <w:t xml:space="preserve"> and </w:t>
      </w:r>
      <w:r w:rsidR="00261A2A">
        <w:t>DMO</w:t>
      </w:r>
      <w:r w:rsidRPr="00BF2B95">
        <w:t xml:space="preserve">. </w:t>
      </w:r>
      <w:r w:rsidR="001E6BEF">
        <w:t>Faricimab is currently under evaluation by the European Medicines Agency.</w:t>
      </w:r>
    </w:p>
    <w:p w14:paraId="0AFEC7A8" w14:textId="77777777" w:rsidR="000D17EF" w:rsidRPr="00C33D30" w:rsidRDefault="000D17EF" w:rsidP="000D17EF">
      <w:pPr>
        <w:ind w:firstLine="709"/>
        <w:rPr>
          <w:rFonts w:asciiTheme="minorHAnsi" w:hAnsiTheme="minorHAnsi"/>
          <w:i/>
        </w:rPr>
      </w:pPr>
      <w:bookmarkStart w:id="4" w:name="_Hlk76375324"/>
      <w:r w:rsidRPr="00C33D30">
        <w:rPr>
          <w:rFonts w:asciiTheme="minorHAnsi" w:hAnsiTheme="minorHAnsi"/>
          <w:i/>
        </w:rPr>
        <w:t>For more detail on PBAC’s view, see section 7 PBAC outcome.</w:t>
      </w:r>
    </w:p>
    <w:p w14:paraId="76E4EF3C" w14:textId="634EF759" w:rsidR="00B60939" w:rsidRDefault="00B50DB8" w:rsidP="004E18E9">
      <w:pPr>
        <w:pStyle w:val="2-SectionHeading"/>
      </w:pPr>
      <w:bookmarkStart w:id="5" w:name="_Toc101107803"/>
      <w:bookmarkEnd w:id="4"/>
      <w:r w:rsidRPr="00BF2B95">
        <w:t>Requested listing</w:t>
      </w:r>
      <w:bookmarkEnd w:id="5"/>
    </w:p>
    <w:p w14:paraId="7EE7789B" w14:textId="3A604FAD" w:rsidR="004B1EA3" w:rsidRPr="009A63E2" w:rsidRDefault="009A63E2" w:rsidP="009A63E2">
      <w:pPr>
        <w:pStyle w:val="ExecSumBodyText"/>
        <w:numPr>
          <w:ilvl w:val="1"/>
          <w:numId w:val="1"/>
        </w:numPr>
        <w:ind w:left="709" w:hanging="709"/>
        <w:rPr>
          <w:rFonts w:cstheme="minorHAnsi"/>
          <w:iCs/>
        </w:rPr>
      </w:pPr>
      <w:r w:rsidRPr="009A63E2">
        <w:t xml:space="preserve">The submission requested the following restriction for </w:t>
      </w:r>
      <w:r>
        <w:t>nAMD</w:t>
      </w:r>
      <w:r w:rsidRPr="009A63E2">
        <w:t>.</w:t>
      </w:r>
      <w:r>
        <w:t xml:space="preserve"> </w:t>
      </w:r>
      <w:r w:rsidRPr="004F445C">
        <w:rPr>
          <w:rFonts w:cstheme="minorHAnsi"/>
          <w:iCs/>
        </w:rPr>
        <w:t>Suggested additions are in italics and deletions are in strikethrough.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2668"/>
        <w:gridCol w:w="811"/>
        <w:gridCol w:w="812"/>
        <w:gridCol w:w="811"/>
        <w:gridCol w:w="812"/>
        <w:gridCol w:w="1831"/>
      </w:tblGrid>
      <w:tr w:rsidR="009A63E2" w:rsidRPr="009A63E2" w14:paraId="2C878FA9" w14:textId="77777777" w:rsidTr="00115C14">
        <w:trPr>
          <w:cantSplit/>
          <w:trHeight w:val="20"/>
        </w:trPr>
        <w:tc>
          <w:tcPr>
            <w:tcW w:w="3939" w:type="dxa"/>
            <w:gridSpan w:val="3"/>
            <w:tcBorders>
              <w:top w:val="single" w:sz="4" w:space="0" w:color="auto"/>
              <w:left w:val="single" w:sz="4" w:space="0" w:color="auto"/>
              <w:bottom w:val="single" w:sz="4" w:space="0" w:color="auto"/>
              <w:right w:val="single" w:sz="4" w:space="0" w:color="auto"/>
            </w:tcBorders>
            <w:vAlign w:val="center"/>
            <w:hideMark/>
          </w:tcPr>
          <w:p w14:paraId="142ED978" w14:textId="77777777" w:rsidR="009A63E2" w:rsidRPr="009A63E2" w:rsidRDefault="009A63E2" w:rsidP="00115C14">
            <w:pPr>
              <w:keepLines/>
              <w:rPr>
                <w:rFonts w:ascii="Arial Narrow" w:hAnsi="Arial Narrow"/>
                <w:b/>
                <w:bCs/>
                <w:sz w:val="18"/>
                <w:szCs w:val="18"/>
              </w:rPr>
            </w:pPr>
            <w:r w:rsidRPr="009A63E2">
              <w:rPr>
                <w:rFonts w:ascii="Arial Narrow" w:hAnsi="Arial Narrow"/>
                <w:b/>
                <w:bCs/>
                <w:sz w:val="18"/>
                <w:szCs w:val="18"/>
              </w:rPr>
              <w:t>MEDICINAL PRODUCT</w:t>
            </w:r>
          </w:p>
          <w:p w14:paraId="64599AB2" w14:textId="77777777" w:rsidR="009A63E2" w:rsidRPr="009A63E2" w:rsidRDefault="009A63E2" w:rsidP="00115C14">
            <w:pPr>
              <w:keepLines/>
              <w:rPr>
                <w:rFonts w:ascii="Arial Narrow" w:hAnsi="Arial Narrow"/>
                <w:b/>
                <w:sz w:val="18"/>
                <w:szCs w:val="18"/>
              </w:rPr>
            </w:pPr>
            <w:r w:rsidRPr="009A63E2">
              <w:rPr>
                <w:rFonts w:ascii="Arial Narrow" w:hAnsi="Arial Narrow"/>
                <w:b/>
                <w:bCs/>
                <w:sz w:val="18"/>
                <w:szCs w:val="18"/>
              </w:rPr>
              <w:t>medicinal product pack</w:t>
            </w:r>
          </w:p>
        </w:tc>
        <w:tc>
          <w:tcPr>
            <w:tcW w:w="811" w:type="dxa"/>
            <w:tcBorders>
              <w:top w:val="single" w:sz="4" w:space="0" w:color="auto"/>
              <w:left w:val="single" w:sz="4" w:space="0" w:color="auto"/>
              <w:bottom w:val="single" w:sz="4" w:space="0" w:color="auto"/>
              <w:right w:val="single" w:sz="4" w:space="0" w:color="auto"/>
            </w:tcBorders>
            <w:vAlign w:val="center"/>
            <w:hideMark/>
          </w:tcPr>
          <w:p w14:paraId="5C909127" w14:textId="77777777" w:rsidR="009A63E2" w:rsidRPr="009A63E2" w:rsidRDefault="009A63E2" w:rsidP="00115C14">
            <w:pPr>
              <w:keepLines/>
              <w:jc w:val="center"/>
              <w:rPr>
                <w:rFonts w:ascii="Arial Narrow" w:hAnsi="Arial Narrow"/>
                <w:b/>
                <w:sz w:val="18"/>
                <w:szCs w:val="18"/>
              </w:rPr>
            </w:pPr>
            <w:r w:rsidRPr="009A63E2">
              <w:rPr>
                <w:rFonts w:ascii="Arial Narrow" w:hAnsi="Arial Narrow"/>
                <w:b/>
                <w:sz w:val="18"/>
                <w:szCs w:val="18"/>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311D73FD" w14:textId="77777777" w:rsidR="009A63E2" w:rsidRPr="009A63E2" w:rsidRDefault="009A63E2" w:rsidP="00115C14">
            <w:pPr>
              <w:keepLines/>
              <w:jc w:val="center"/>
              <w:rPr>
                <w:rFonts w:ascii="Arial Narrow" w:hAnsi="Arial Narrow"/>
                <w:b/>
                <w:sz w:val="18"/>
                <w:szCs w:val="18"/>
              </w:rPr>
            </w:pPr>
            <w:r w:rsidRPr="009A63E2">
              <w:rPr>
                <w:rFonts w:ascii="Arial Narrow" w:hAnsi="Arial Narrow"/>
                <w:b/>
                <w:sz w:val="18"/>
                <w:szCs w:val="18"/>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51F77D30" w14:textId="77777777" w:rsidR="009A63E2" w:rsidRPr="009A63E2" w:rsidRDefault="009A63E2" w:rsidP="00115C14">
            <w:pPr>
              <w:keepLines/>
              <w:jc w:val="center"/>
              <w:rPr>
                <w:rFonts w:ascii="Arial Narrow" w:hAnsi="Arial Narrow"/>
                <w:b/>
                <w:sz w:val="18"/>
                <w:szCs w:val="18"/>
              </w:rPr>
            </w:pPr>
            <w:r w:rsidRPr="009A63E2">
              <w:rPr>
                <w:rFonts w:ascii="Arial Narrow" w:hAnsi="Arial Narrow"/>
                <w:b/>
                <w:sz w:val="18"/>
                <w:szCs w:val="18"/>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1E8A70D5" w14:textId="77777777" w:rsidR="009A63E2" w:rsidRPr="009A63E2" w:rsidRDefault="009A63E2" w:rsidP="00115C14">
            <w:pPr>
              <w:keepLines/>
              <w:jc w:val="center"/>
              <w:rPr>
                <w:rFonts w:ascii="Arial Narrow" w:hAnsi="Arial Narrow"/>
                <w:b/>
                <w:sz w:val="18"/>
                <w:szCs w:val="18"/>
              </w:rPr>
            </w:pPr>
            <w:r w:rsidRPr="009A63E2">
              <w:rPr>
                <w:rFonts w:ascii="Arial Narrow" w:hAnsi="Arial Narrow"/>
                <w:b/>
                <w:sz w:val="18"/>
                <w:szCs w:val="18"/>
              </w:rPr>
              <w:t>№.of</w:t>
            </w:r>
          </w:p>
          <w:p w14:paraId="40175F6A" w14:textId="77777777" w:rsidR="009A63E2" w:rsidRPr="009A63E2" w:rsidRDefault="009A63E2" w:rsidP="00115C14">
            <w:pPr>
              <w:keepLines/>
              <w:jc w:val="center"/>
              <w:rPr>
                <w:rFonts w:ascii="Arial Narrow" w:hAnsi="Arial Narrow"/>
                <w:b/>
                <w:sz w:val="18"/>
                <w:szCs w:val="18"/>
              </w:rPr>
            </w:pPr>
            <w:r w:rsidRPr="009A63E2">
              <w:rPr>
                <w:rFonts w:ascii="Arial Narrow" w:hAnsi="Arial Narrow"/>
                <w:b/>
                <w:sz w:val="18"/>
                <w:szCs w:val="18"/>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5BB43CA6" w14:textId="77777777" w:rsidR="009A63E2" w:rsidRPr="009A63E2" w:rsidRDefault="009A63E2" w:rsidP="00115C14">
            <w:pPr>
              <w:keepLines/>
              <w:rPr>
                <w:rFonts w:ascii="Arial Narrow" w:hAnsi="Arial Narrow"/>
                <w:b/>
                <w:sz w:val="18"/>
                <w:szCs w:val="18"/>
                <w:lang w:val="fr-FR"/>
              </w:rPr>
            </w:pPr>
            <w:r w:rsidRPr="009A63E2">
              <w:rPr>
                <w:rFonts w:ascii="Arial Narrow" w:hAnsi="Arial Narrow"/>
                <w:b/>
                <w:sz w:val="18"/>
                <w:szCs w:val="18"/>
              </w:rPr>
              <w:t>Available brands</w:t>
            </w:r>
          </w:p>
        </w:tc>
      </w:tr>
      <w:tr w:rsidR="009A63E2" w:rsidRPr="009A63E2" w14:paraId="5DCFB90A" w14:textId="77777777" w:rsidTr="00115C14">
        <w:trPr>
          <w:cantSplit/>
          <w:trHeight w:val="20"/>
        </w:trPr>
        <w:tc>
          <w:tcPr>
            <w:tcW w:w="9016" w:type="dxa"/>
            <w:gridSpan w:val="8"/>
            <w:tcBorders>
              <w:top w:val="single" w:sz="4" w:space="0" w:color="auto"/>
              <w:left w:val="single" w:sz="4" w:space="0" w:color="auto"/>
              <w:bottom w:val="single" w:sz="4" w:space="0" w:color="auto"/>
              <w:right w:val="single" w:sz="4" w:space="0" w:color="auto"/>
            </w:tcBorders>
            <w:vAlign w:val="center"/>
            <w:hideMark/>
          </w:tcPr>
          <w:p w14:paraId="679F1AB0" w14:textId="77777777" w:rsidR="009A63E2" w:rsidRPr="009A63E2" w:rsidRDefault="009A63E2" w:rsidP="00115C14">
            <w:pPr>
              <w:pStyle w:val="TableText"/>
              <w:keepNext w:val="0"/>
              <w:spacing w:line="256" w:lineRule="auto"/>
              <w:rPr>
                <w:rFonts w:cs="Times New Roman"/>
                <w:sz w:val="18"/>
                <w:szCs w:val="18"/>
                <w:lang w:eastAsia="en-US"/>
              </w:rPr>
            </w:pPr>
            <w:r w:rsidRPr="009A63E2">
              <w:rPr>
                <w:smallCaps/>
                <w:sz w:val="18"/>
                <w:szCs w:val="18"/>
                <w:lang w:eastAsia="en-US"/>
              </w:rPr>
              <w:t>FARICIMAB</w:t>
            </w:r>
          </w:p>
        </w:tc>
      </w:tr>
      <w:tr w:rsidR="009A63E2" w:rsidRPr="009A63E2" w14:paraId="4FFF96DE" w14:textId="77777777" w:rsidTr="00115C14">
        <w:trPr>
          <w:cantSplit/>
          <w:trHeight w:val="20"/>
        </w:trPr>
        <w:tc>
          <w:tcPr>
            <w:tcW w:w="3939" w:type="dxa"/>
            <w:gridSpan w:val="3"/>
            <w:tcBorders>
              <w:top w:val="single" w:sz="4" w:space="0" w:color="auto"/>
              <w:left w:val="single" w:sz="4" w:space="0" w:color="auto"/>
              <w:bottom w:val="single" w:sz="4" w:space="0" w:color="auto"/>
              <w:right w:val="single" w:sz="4" w:space="0" w:color="auto"/>
            </w:tcBorders>
            <w:vAlign w:val="center"/>
          </w:tcPr>
          <w:p w14:paraId="04FA8C14" w14:textId="77777777" w:rsidR="009A63E2" w:rsidRPr="009A63E2" w:rsidRDefault="009A63E2" w:rsidP="00115C14">
            <w:pPr>
              <w:pStyle w:val="TableText"/>
              <w:keepNext w:val="0"/>
              <w:spacing w:line="256" w:lineRule="auto"/>
              <w:rPr>
                <w:sz w:val="18"/>
                <w:szCs w:val="18"/>
                <w:lang w:eastAsia="en-US"/>
              </w:rPr>
            </w:pPr>
            <w:r w:rsidRPr="009A63E2">
              <w:rPr>
                <w:i/>
                <w:iCs/>
                <w:sz w:val="18"/>
                <w:szCs w:val="18"/>
                <w:lang w:eastAsia="en-US"/>
              </w:rPr>
              <w:t>faricimab</w:t>
            </w:r>
            <w:r w:rsidRPr="009A63E2">
              <w:rPr>
                <w:sz w:val="18"/>
                <w:szCs w:val="18"/>
                <w:lang w:eastAsia="en-US"/>
              </w:rPr>
              <w:t xml:space="preserve"> 28.8 mg / 0.24 mL solution for injection, vial</w:t>
            </w:r>
          </w:p>
          <w:p w14:paraId="1ADC8DC5" w14:textId="77777777" w:rsidR="009A63E2" w:rsidRPr="009A63E2" w:rsidRDefault="009A63E2" w:rsidP="00115C14">
            <w:pPr>
              <w:keepLines/>
              <w:rPr>
                <w:rFonts w:ascii="Arial Narrow" w:hAnsi="Arial Narrow"/>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1A378261" w14:textId="77777777" w:rsidR="009A63E2" w:rsidRPr="009A63E2" w:rsidRDefault="009A63E2" w:rsidP="00115C14">
            <w:pPr>
              <w:keepLines/>
              <w:jc w:val="center"/>
              <w:rPr>
                <w:rFonts w:ascii="Arial Narrow" w:hAnsi="Arial Narrow"/>
                <w:sz w:val="18"/>
                <w:szCs w:val="18"/>
              </w:rPr>
            </w:pPr>
            <w:r w:rsidRPr="009A63E2">
              <w:rPr>
                <w:rFonts w:ascii="Arial Narrow" w:hAnsi="Arial Narrow"/>
                <w:sz w:val="18"/>
                <w:szCs w:val="18"/>
              </w:rPr>
              <w:t>NEW</w:t>
            </w:r>
          </w:p>
        </w:tc>
        <w:tc>
          <w:tcPr>
            <w:tcW w:w="812" w:type="dxa"/>
            <w:tcBorders>
              <w:top w:val="single" w:sz="4" w:space="0" w:color="auto"/>
              <w:left w:val="single" w:sz="4" w:space="0" w:color="auto"/>
              <w:bottom w:val="single" w:sz="4" w:space="0" w:color="auto"/>
              <w:right w:val="single" w:sz="4" w:space="0" w:color="auto"/>
            </w:tcBorders>
            <w:vAlign w:val="center"/>
            <w:hideMark/>
          </w:tcPr>
          <w:p w14:paraId="5E918579" w14:textId="77777777" w:rsidR="009A63E2" w:rsidRPr="009A63E2" w:rsidRDefault="009A63E2" w:rsidP="00115C14">
            <w:pPr>
              <w:keepLines/>
              <w:jc w:val="center"/>
              <w:rPr>
                <w:rFonts w:ascii="Arial Narrow" w:hAnsi="Arial Narrow"/>
                <w:sz w:val="18"/>
                <w:szCs w:val="18"/>
              </w:rPr>
            </w:pPr>
            <w:r w:rsidRPr="009A63E2">
              <w:rPr>
                <w:rFonts w:ascii="Arial Narrow" w:hAnsi="Arial Narrow"/>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0FBA62AE" w14:textId="77777777" w:rsidR="009A63E2" w:rsidRPr="009A63E2" w:rsidRDefault="009A63E2" w:rsidP="00115C14">
            <w:pPr>
              <w:keepLines/>
              <w:jc w:val="center"/>
              <w:rPr>
                <w:rFonts w:ascii="Arial Narrow" w:hAnsi="Arial Narrow"/>
                <w:sz w:val="18"/>
                <w:szCs w:val="18"/>
              </w:rPr>
            </w:pPr>
            <w:r w:rsidRPr="009A63E2">
              <w:rPr>
                <w:rFonts w:ascii="Arial Narrow" w:hAnsi="Arial Narrow"/>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7C685A04" w14:textId="77777777" w:rsidR="009A63E2" w:rsidRPr="009A63E2" w:rsidRDefault="009A63E2" w:rsidP="00115C14">
            <w:pPr>
              <w:keepLines/>
              <w:jc w:val="center"/>
              <w:rPr>
                <w:rFonts w:ascii="Arial Narrow" w:hAnsi="Arial Narrow"/>
                <w:sz w:val="18"/>
                <w:szCs w:val="18"/>
              </w:rPr>
            </w:pPr>
            <w:r w:rsidRPr="009A63E2">
              <w:rPr>
                <w:rFonts w:ascii="Arial Narrow" w:hAnsi="Arial Narrow"/>
                <w:i/>
                <w:iCs/>
                <w:sz w:val="18"/>
                <w:szCs w:val="18"/>
              </w:rPr>
              <w:t>3</w:t>
            </w:r>
            <w:r w:rsidRPr="009A63E2">
              <w:rPr>
                <w:rFonts w:ascii="Arial Narrow" w:hAnsi="Arial Narrow"/>
                <w:strike/>
                <w:sz w:val="18"/>
                <w:szCs w:val="18"/>
              </w:rPr>
              <w:t>5</w:t>
            </w:r>
          </w:p>
        </w:tc>
        <w:tc>
          <w:tcPr>
            <w:tcW w:w="1831" w:type="dxa"/>
            <w:tcBorders>
              <w:top w:val="single" w:sz="4" w:space="0" w:color="auto"/>
              <w:left w:val="single" w:sz="4" w:space="0" w:color="auto"/>
              <w:bottom w:val="single" w:sz="4" w:space="0" w:color="auto"/>
              <w:right w:val="single" w:sz="4" w:space="0" w:color="auto"/>
            </w:tcBorders>
            <w:vAlign w:val="center"/>
            <w:hideMark/>
          </w:tcPr>
          <w:p w14:paraId="4A523D1E" w14:textId="77777777" w:rsidR="009A63E2" w:rsidRPr="009A63E2" w:rsidRDefault="009A63E2" w:rsidP="00115C14">
            <w:pPr>
              <w:keepLines/>
              <w:jc w:val="center"/>
              <w:rPr>
                <w:rFonts w:ascii="Arial Narrow" w:eastAsiaTheme="majorEastAsia" w:hAnsi="Arial Narrow" w:cstheme="majorBidi"/>
                <w:bCs/>
                <w:sz w:val="18"/>
                <w:szCs w:val="18"/>
              </w:rPr>
            </w:pPr>
            <w:r w:rsidRPr="009A63E2">
              <w:rPr>
                <w:rFonts w:ascii="Arial Narrow" w:eastAsiaTheme="majorEastAsia" w:hAnsi="Arial Narrow" w:cstheme="majorBidi"/>
                <w:bCs/>
                <w:sz w:val="18"/>
                <w:szCs w:val="18"/>
              </w:rPr>
              <w:t>Vabysmo</w:t>
            </w:r>
          </w:p>
        </w:tc>
      </w:tr>
      <w:tr w:rsidR="009A63E2" w:rsidRPr="009A63E2" w14:paraId="03FA0B1F" w14:textId="77777777" w:rsidTr="00115C14">
        <w:trPr>
          <w:cantSplit/>
          <w:trHeight w:val="20"/>
        </w:trPr>
        <w:tc>
          <w:tcPr>
            <w:tcW w:w="3939" w:type="dxa"/>
            <w:gridSpan w:val="3"/>
            <w:tcBorders>
              <w:top w:val="single" w:sz="4" w:space="0" w:color="auto"/>
              <w:left w:val="single" w:sz="4" w:space="0" w:color="auto"/>
              <w:bottom w:val="single" w:sz="4" w:space="0" w:color="auto"/>
              <w:right w:val="single" w:sz="4" w:space="0" w:color="auto"/>
            </w:tcBorders>
            <w:vAlign w:val="center"/>
            <w:hideMark/>
          </w:tcPr>
          <w:p w14:paraId="1B4B9CDD" w14:textId="77777777" w:rsidR="009A63E2" w:rsidRPr="009A63E2" w:rsidRDefault="009A63E2" w:rsidP="00115C14">
            <w:pPr>
              <w:keepLines/>
              <w:rPr>
                <w:rFonts w:ascii="Arial Narrow" w:hAnsi="Arial Narrow"/>
                <w:sz w:val="18"/>
                <w:szCs w:val="18"/>
              </w:rPr>
            </w:pPr>
            <w:r w:rsidRPr="009A63E2">
              <w:rPr>
                <w:rFonts w:ascii="Arial Narrow" w:hAnsi="Arial Narrow"/>
                <w:i/>
                <w:iCs/>
                <w:sz w:val="18"/>
                <w:szCs w:val="18"/>
              </w:rPr>
              <w:t>faricimab</w:t>
            </w:r>
            <w:r w:rsidRPr="009A63E2">
              <w:rPr>
                <w:rFonts w:ascii="Arial Narrow" w:hAnsi="Arial Narrow"/>
                <w:sz w:val="18"/>
                <w:szCs w:val="18"/>
              </w:rPr>
              <w:t xml:space="preserve"> 24.0 mg / 0.2 mL solution for injection, pre-filled syringe</w:t>
            </w:r>
          </w:p>
        </w:tc>
        <w:tc>
          <w:tcPr>
            <w:tcW w:w="811" w:type="dxa"/>
            <w:tcBorders>
              <w:top w:val="single" w:sz="4" w:space="0" w:color="auto"/>
              <w:left w:val="single" w:sz="4" w:space="0" w:color="auto"/>
              <w:bottom w:val="single" w:sz="4" w:space="0" w:color="auto"/>
              <w:right w:val="single" w:sz="4" w:space="0" w:color="auto"/>
            </w:tcBorders>
            <w:vAlign w:val="center"/>
            <w:hideMark/>
          </w:tcPr>
          <w:p w14:paraId="3ECD9870" w14:textId="77777777" w:rsidR="009A63E2" w:rsidRPr="009A63E2" w:rsidRDefault="009A63E2" w:rsidP="00115C14">
            <w:pPr>
              <w:keepLines/>
              <w:jc w:val="center"/>
              <w:rPr>
                <w:rFonts w:ascii="Arial Narrow" w:hAnsi="Arial Narrow"/>
                <w:sz w:val="18"/>
                <w:szCs w:val="18"/>
              </w:rPr>
            </w:pPr>
            <w:r w:rsidRPr="009A63E2">
              <w:rPr>
                <w:rFonts w:ascii="Arial Narrow" w:hAnsi="Arial Narrow"/>
                <w:sz w:val="18"/>
                <w:szCs w:val="18"/>
              </w:rPr>
              <w:t>NEW</w:t>
            </w:r>
          </w:p>
        </w:tc>
        <w:tc>
          <w:tcPr>
            <w:tcW w:w="812" w:type="dxa"/>
            <w:tcBorders>
              <w:top w:val="single" w:sz="4" w:space="0" w:color="auto"/>
              <w:left w:val="single" w:sz="4" w:space="0" w:color="auto"/>
              <w:bottom w:val="single" w:sz="4" w:space="0" w:color="auto"/>
              <w:right w:val="single" w:sz="4" w:space="0" w:color="auto"/>
            </w:tcBorders>
            <w:vAlign w:val="center"/>
            <w:hideMark/>
          </w:tcPr>
          <w:p w14:paraId="705DC578" w14:textId="77777777" w:rsidR="009A63E2" w:rsidRPr="009A63E2" w:rsidRDefault="009A63E2" w:rsidP="00115C14">
            <w:pPr>
              <w:keepLines/>
              <w:jc w:val="center"/>
              <w:rPr>
                <w:rFonts w:ascii="Arial Narrow" w:hAnsi="Arial Narrow"/>
                <w:sz w:val="18"/>
                <w:szCs w:val="18"/>
              </w:rPr>
            </w:pPr>
            <w:r w:rsidRPr="009A63E2">
              <w:rPr>
                <w:rFonts w:ascii="Arial Narrow" w:hAnsi="Arial Narrow"/>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586D830E" w14:textId="77777777" w:rsidR="009A63E2" w:rsidRPr="009A63E2" w:rsidRDefault="009A63E2" w:rsidP="00115C14">
            <w:pPr>
              <w:keepLines/>
              <w:jc w:val="center"/>
              <w:rPr>
                <w:rFonts w:ascii="Arial Narrow" w:hAnsi="Arial Narrow"/>
                <w:sz w:val="18"/>
                <w:szCs w:val="18"/>
              </w:rPr>
            </w:pPr>
            <w:r w:rsidRPr="009A63E2">
              <w:rPr>
                <w:rFonts w:ascii="Arial Narrow" w:hAnsi="Arial Narrow"/>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7C4990AA" w14:textId="77777777" w:rsidR="009A63E2" w:rsidRPr="009A63E2" w:rsidRDefault="009A63E2" w:rsidP="00115C14">
            <w:pPr>
              <w:keepLines/>
              <w:jc w:val="center"/>
              <w:rPr>
                <w:rFonts w:ascii="Arial Narrow" w:hAnsi="Arial Narrow"/>
                <w:sz w:val="18"/>
                <w:szCs w:val="18"/>
              </w:rPr>
            </w:pPr>
            <w:r w:rsidRPr="009A63E2">
              <w:rPr>
                <w:rFonts w:ascii="Arial Narrow" w:hAnsi="Arial Narrow"/>
                <w:i/>
                <w:iCs/>
                <w:sz w:val="18"/>
                <w:szCs w:val="18"/>
              </w:rPr>
              <w:t>3</w:t>
            </w:r>
            <w:r w:rsidRPr="009A63E2">
              <w:rPr>
                <w:rFonts w:ascii="Arial Narrow" w:hAnsi="Arial Narrow"/>
                <w:strike/>
                <w:sz w:val="18"/>
                <w:szCs w:val="18"/>
              </w:rPr>
              <w:t>5</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D3FCF22" w14:textId="77777777" w:rsidR="009A63E2" w:rsidRPr="009A63E2" w:rsidRDefault="009A63E2" w:rsidP="00115C14">
            <w:pPr>
              <w:keepLines/>
              <w:jc w:val="center"/>
              <w:rPr>
                <w:rFonts w:ascii="Arial Narrow" w:eastAsiaTheme="majorEastAsia" w:hAnsi="Arial Narrow" w:cstheme="majorBidi"/>
                <w:bCs/>
                <w:sz w:val="18"/>
                <w:szCs w:val="18"/>
              </w:rPr>
            </w:pPr>
            <w:r w:rsidRPr="009A63E2">
              <w:rPr>
                <w:rFonts w:ascii="Arial Narrow" w:eastAsiaTheme="majorEastAsia" w:hAnsi="Arial Narrow" w:cstheme="majorBidi"/>
                <w:bCs/>
                <w:sz w:val="18"/>
                <w:szCs w:val="18"/>
              </w:rPr>
              <w:t>Vabysmo</w:t>
            </w:r>
          </w:p>
        </w:tc>
      </w:tr>
      <w:tr w:rsidR="009A63E2" w:rsidRPr="009A63E2" w14:paraId="6F87FB65" w14:textId="77777777" w:rsidTr="00115C14">
        <w:trPr>
          <w:trHeight w:val="20"/>
        </w:trPr>
        <w:tc>
          <w:tcPr>
            <w:tcW w:w="901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89477B" w14:textId="77777777" w:rsidR="009A63E2" w:rsidRPr="009A63E2" w:rsidRDefault="009A63E2" w:rsidP="00115C14">
            <w:pPr>
              <w:rPr>
                <w:rFonts w:ascii="Arial Narrow" w:hAnsi="Arial Narrow"/>
                <w:sz w:val="18"/>
                <w:szCs w:val="18"/>
              </w:rPr>
            </w:pPr>
          </w:p>
        </w:tc>
      </w:tr>
      <w:tr w:rsidR="009A63E2" w:rsidRPr="009A63E2" w14:paraId="4720482F" w14:textId="77777777" w:rsidTr="00115C14">
        <w:trPr>
          <w:trHeight w:val="20"/>
        </w:trPr>
        <w:tc>
          <w:tcPr>
            <w:tcW w:w="1271"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C8B6BEE" w14:textId="01EFBD82" w:rsidR="009A63E2" w:rsidRPr="009A63E2" w:rsidRDefault="009A63E2" w:rsidP="00115C14">
            <w:pPr>
              <w:jc w:val="center"/>
              <w:rPr>
                <w:rFonts w:ascii="Arial Narrow" w:hAnsi="Arial Narrow"/>
                <w:b/>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B84447" w14:textId="77777777" w:rsidR="009A63E2" w:rsidRPr="009A63E2" w:rsidRDefault="009A63E2" w:rsidP="00115C14">
            <w:pPr>
              <w:keepLines/>
              <w:rPr>
                <w:rFonts w:ascii="Arial Narrow" w:hAnsi="Arial Narrow"/>
                <w:sz w:val="18"/>
                <w:szCs w:val="18"/>
              </w:rPr>
            </w:pPr>
            <w:r w:rsidRPr="009A63E2">
              <w:rPr>
                <w:rFonts w:ascii="Arial Narrow" w:hAnsi="Arial Narrow"/>
                <w:b/>
                <w:sz w:val="18"/>
                <w:szCs w:val="18"/>
              </w:rPr>
              <w:t xml:space="preserve">Category / Program: </w:t>
            </w:r>
            <w:r w:rsidRPr="009A63E2">
              <w:rPr>
                <w:rFonts w:ascii="Arial Narrow" w:hAnsi="Arial Narrow"/>
                <w:sz w:val="18"/>
                <w:szCs w:val="18"/>
              </w:rPr>
              <w:t>GENERAL – General Schedule (Code GE)</w:t>
            </w:r>
            <w:r w:rsidRPr="009A63E2">
              <w:rPr>
                <w:rFonts w:ascii="Arial Narrow" w:hAnsi="Arial Narrow"/>
                <w:color w:val="FF0000"/>
                <w:sz w:val="18"/>
                <w:szCs w:val="18"/>
              </w:rPr>
              <w:t xml:space="preserve"> </w:t>
            </w:r>
          </w:p>
        </w:tc>
      </w:tr>
      <w:tr w:rsidR="009A63E2" w:rsidRPr="009A63E2" w14:paraId="41D510CC" w14:textId="77777777" w:rsidTr="00115C14">
        <w:trPr>
          <w:trHeight w:val="20"/>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3C7E1E99" w14:textId="77777777" w:rsidR="009A63E2" w:rsidRPr="009A63E2" w:rsidRDefault="009A63E2" w:rsidP="00115C14">
            <w:pPr>
              <w:rPr>
                <w:rFonts w:ascii="Arial Narrow" w:hAnsi="Arial Narrow"/>
                <w:b/>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D68A029" w14:textId="77777777" w:rsidR="009A63E2" w:rsidRPr="009A63E2" w:rsidRDefault="009A63E2" w:rsidP="00115C14">
            <w:pPr>
              <w:keepLines/>
              <w:rPr>
                <w:rFonts w:ascii="Arial Narrow" w:hAnsi="Arial Narrow"/>
                <w:b/>
                <w:sz w:val="18"/>
                <w:szCs w:val="18"/>
              </w:rPr>
            </w:pPr>
            <w:r w:rsidRPr="009A63E2">
              <w:rPr>
                <w:rFonts w:ascii="Arial Narrow" w:hAnsi="Arial Narrow"/>
                <w:b/>
                <w:sz w:val="18"/>
                <w:szCs w:val="18"/>
              </w:rPr>
              <w:t xml:space="preserve">Prescriber type: </w:t>
            </w:r>
            <w:r w:rsidRPr="009A63E2">
              <w:rPr>
                <w:rFonts w:ascii="Arial Narrow" w:hAnsi="Arial Narrow"/>
                <w:sz w:val="18"/>
                <w:szCs w:val="18"/>
              </w:rPr>
              <w:fldChar w:fldCharType="begin">
                <w:ffData>
                  <w:name w:val=""/>
                  <w:enabled/>
                  <w:calcOnExit w:val="0"/>
                  <w:checkBox>
                    <w:sizeAuto/>
                    <w:default w:val="1"/>
                  </w:checkBox>
                </w:ffData>
              </w:fldChar>
            </w:r>
            <w:r w:rsidRPr="009A63E2">
              <w:rPr>
                <w:rFonts w:ascii="Arial Narrow" w:hAnsi="Arial Narrow"/>
                <w:sz w:val="18"/>
                <w:szCs w:val="18"/>
              </w:rPr>
              <w:instrText xml:space="preserve"> FORMCHECKBOX </w:instrText>
            </w:r>
            <w:r w:rsidR="00786949">
              <w:rPr>
                <w:rFonts w:ascii="Arial Narrow" w:hAnsi="Arial Narrow"/>
                <w:sz w:val="18"/>
                <w:szCs w:val="18"/>
              </w:rPr>
            </w:r>
            <w:r w:rsidR="00786949">
              <w:rPr>
                <w:rFonts w:ascii="Arial Narrow" w:hAnsi="Arial Narrow"/>
                <w:sz w:val="18"/>
                <w:szCs w:val="18"/>
              </w:rPr>
              <w:fldChar w:fldCharType="separate"/>
            </w:r>
            <w:r w:rsidRPr="009A63E2">
              <w:rPr>
                <w:rFonts w:ascii="Arial Narrow" w:hAnsi="Arial Narrow"/>
                <w:sz w:val="18"/>
                <w:szCs w:val="18"/>
              </w:rPr>
              <w:fldChar w:fldCharType="end"/>
            </w:r>
            <w:r w:rsidRPr="009A63E2">
              <w:rPr>
                <w:rFonts w:ascii="Arial Narrow" w:hAnsi="Arial Narrow"/>
                <w:sz w:val="18"/>
                <w:szCs w:val="18"/>
              </w:rPr>
              <w:t xml:space="preserve">Medical Practitioners </w:t>
            </w:r>
          </w:p>
        </w:tc>
      </w:tr>
      <w:tr w:rsidR="009A63E2" w:rsidRPr="009A63E2" w14:paraId="5EDB6F8E" w14:textId="77777777" w:rsidTr="00115C14">
        <w:trPr>
          <w:trHeight w:val="20"/>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25F23C06" w14:textId="77777777" w:rsidR="009A63E2" w:rsidRPr="009A63E2" w:rsidRDefault="009A63E2" w:rsidP="00115C14">
            <w:pPr>
              <w:rPr>
                <w:rFonts w:ascii="Arial Narrow" w:hAnsi="Arial Narrow"/>
                <w:b/>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F58AD2" w14:textId="77777777" w:rsidR="009A63E2" w:rsidRPr="009A63E2" w:rsidRDefault="009A63E2" w:rsidP="00115C14">
            <w:pPr>
              <w:keepLines/>
              <w:rPr>
                <w:rFonts w:ascii="Arial Narrow" w:eastAsia="Calibri" w:hAnsi="Arial Narrow"/>
                <w:color w:val="FF0000"/>
                <w:sz w:val="18"/>
                <w:szCs w:val="18"/>
              </w:rPr>
            </w:pPr>
            <w:r w:rsidRPr="009A63E2">
              <w:rPr>
                <w:rFonts w:ascii="Arial Narrow" w:hAnsi="Arial Narrow"/>
                <w:b/>
                <w:sz w:val="18"/>
                <w:szCs w:val="18"/>
              </w:rPr>
              <w:t xml:space="preserve">Restriction type: </w:t>
            </w:r>
            <w:r w:rsidRPr="009A63E2">
              <w:rPr>
                <w:rFonts w:ascii="Arial Narrow" w:eastAsia="Calibri" w:hAnsi="Arial Narrow"/>
                <w:sz w:val="18"/>
                <w:szCs w:val="18"/>
              </w:rPr>
              <w:fldChar w:fldCharType="begin">
                <w:ffData>
                  <w:name w:val=""/>
                  <w:enabled/>
                  <w:calcOnExit w:val="0"/>
                  <w:checkBox>
                    <w:sizeAuto/>
                    <w:default w:val="1"/>
                  </w:checkBox>
                </w:ffData>
              </w:fldChar>
            </w:r>
            <w:r w:rsidRPr="009A63E2">
              <w:rPr>
                <w:rFonts w:ascii="Arial Narrow" w:eastAsia="Calibri" w:hAnsi="Arial Narrow"/>
                <w:sz w:val="18"/>
                <w:szCs w:val="18"/>
              </w:rPr>
              <w:instrText xml:space="preserve"> FORMCHECKBOX </w:instrText>
            </w:r>
            <w:r w:rsidR="00786949">
              <w:rPr>
                <w:rFonts w:ascii="Arial Narrow" w:eastAsia="Calibri" w:hAnsi="Arial Narrow"/>
                <w:sz w:val="18"/>
                <w:szCs w:val="18"/>
              </w:rPr>
            </w:r>
            <w:r w:rsidR="00786949">
              <w:rPr>
                <w:rFonts w:ascii="Arial Narrow" w:eastAsia="Calibri" w:hAnsi="Arial Narrow"/>
                <w:sz w:val="18"/>
                <w:szCs w:val="18"/>
              </w:rPr>
              <w:fldChar w:fldCharType="separate"/>
            </w:r>
            <w:r w:rsidRPr="009A63E2">
              <w:rPr>
                <w:rFonts w:ascii="Arial Narrow" w:eastAsia="Calibri" w:hAnsi="Arial Narrow"/>
                <w:sz w:val="18"/>
                <w:szCs w:val="18"/>
              </w:rPr>
              <w:fldChar w:fldCharType="end"/>
            </w:r>
            <w:r w:rsidRPr="009A63E2">
              <w:rPr>
                <w:rFonts w:ascii="Arial Narrow" w:eastAsia="Calibri" w:hAnsi="Arial Narrow"/>
                <w:sz w:val="18"/>
                <w:szCs w:val="18"/>
              </w:rPr>
              <w:t xml:space="preserve">Authority Required </w:t>
            </w:r>
            <w:r w:rsidRPr="009A63E2">
              <w:rPr>
                <w:rFonts w:ascii="Arial Narrow" w:eastAsia="Calibri" w:hAnsi="Arial Narrow"/>
                <w:strike/>
                <w:sz w:val="18"/>
                <w:szCs w:val="18"/>
              </w:rPr>
              <w:t>– Telephone</w:t>
            </w:r>
            <w:r w:rsidRPr="009A63E2">
              <w:rPr>
                <w:rFonts w:ascii="Arial Narrow" w:eastAsia="Calibri" w:hAnsi="Arial Narrow"/>
                <w:sz w:val="18"/>
                <w:szCs w:val="18"/>
              </w:rPr>
              <w:t xml:space="preserve"> </w:t>
            </w:r>
            <w:r w:rsidRPr="009A63E2">
              <w:rPr>
                <w:rFonts w:ascii="Arial Narrow" w:eastAsia="Calibri" w:hAnsi="Arial Narrow"/>
                <w:i/>
                <w:iCs/>
                <w:sz w:val="18"/>
                <w:szCs w:val="18"/>
              </w:rPr>
              <w:t>Written</w:t>
            </w:r>
          </w:p>
        </w:tc>
      </w:tr>
      <w:tr w:rsidR="009A63E2" w:rsidRPr="009A63E2" w14:paraId="75841321" w14:textId="77777777" w:rsidTr="00115C14">
        <w:trPr>
          <w:trHeight w:val="20"/>
        </w:trPr>
        <w:tc>
          <w:tcPr>
            <w:tcW w:w="42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extDirection w:val="btLr"/>
            <w:hideMark/>
          </w:tcPr>
          <w:p w14:paraId="23538F8D" w14:textId="42ECAC04" w:rsidR="009A63E2" w:rsidRPr="009A63E2" w:rsidRDefault="009A63E2" w:rsidP="00115C14">
            <w:pPr>
              <w:ind w:left="113" w:right="113"/>
              <w:jc w:val="cente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B6DC74" w14:textId="6545D441"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D342BE1" w14:textId="77777777" w:rsidR="009A63E2" w:rsidRPr="009A63E2" w:rsidRDefault="009A63E2" w:rsidP="00115C14">
            <w:pPr>
              <w:rPr>
                <w:sz w:val="18"/>
                <w:szCs w:val="18"/>
              </w:rPr>
            </w:pPr>
            <w:r w:rsidRPr="009A63E2">
              <w:rPr>
                <w:rFonts w:ascii="Arial Narrow" w:hAnsi="Arial Narrow"/>
                <w:b/>
                <w:bCs/>
                <w:color w:val="333333"/>
                <w:sz w:val="18"/>
                <w:szCs w:val="18"/>
              </w:rPr>
              <w:t xml:space="preserve">Administrative Advice: </w:t>
            </w:r>
            <w:r w:rsidRPr="009A63E2">
              <w:rPr>
                <w:rFonts w:ascii="Arial Narrow" w:eastAsiaTheme="majorEastAsia" w:hAnsi="Arial Narrow" w:cstheme="majorBidi"/>
                <w:bCs/>
                <w:sz w:val="18"/>
                <w:szCs w:val="18"/>
              </w:rPr>
              <w:t>Special Pricing Arrangements apply.</w:t>
            </w:r>
          </w:p>
        </w:tc>
      </w:tr>
      <w:tr w:rsidR="009A63E2" w:rsidRPr="009A63E2" w14:paraId="3EA74D67" w14:textId="77777777" w:rsidTr="00115C14">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6DEC243" w14:textId="77777777" w:rsidR="009A63E2" w:rsidRPr="009A63E2" w:rsidRDefault="009A63E2" w:rsidP="00115C14">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CF6620" w14:textId="0C8FDD3D"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8D8EAC" w14:textId="77777777" w:rsidR="009A63E2" w:rsidRPr="009A63E2" w:rsidRDefault="009A63E2" w:rsidP="00115C14">
            <w:pPr>
              <w:rPr>
                <w:sz w:val="18"/>
                <w:szCs w:val="18"/>
              </w:rPr>
            </w:pPr>
            <w:r w:rsidRPr="009A63E2">
              <w:rPr>
                <w:rFonts w:ascii="Arial Narrow" w:hAnsi="Arial Narrow"/>
                <w:b/>
                <w:bCs/>
                <w:color w:val="333333"/>
                <w:sz w:val="18"/>
                <w:szCs w:val="18"/>
              </w:rPr>
              <w:t xml:space="preserve">Administrative Advice: </w:t>
            </w:r>
            <w:r w:rsidRPr="009A63E2">
              <w:rPr>
                <w:rFonts w:ascii="Arial Narrow" w:eastAsiaTheme="majorEastAsia" w:hAnsi="Arial Narrow" w:cstheme="majorBidi"/>
                <w:bCs/>
                <w:sz w:val="18"/>
                <w:szCs w:val="18"/>
              </w:rPr>
              <w:t>No increase in the maximum number of repeats may be authorised.</w:t>
            </w:r>
          </w:p>
        </w:tc>
      </w:tr>
      <w:tr w:rsidR="009A63E2" w:rsidRPr="009A63E2" w14:paraId="43162B1C" w14:textId="77777777" w:rsidTr="00115C14">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335137FE" w14:textId="77777777" w:rsidR="009A63E2" w:rsidRPr="009A63E2" w:rsidRDefault="009A63E2" w:rsidP="00115C14">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DDDE15E" w14:textId="06272117"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1BA1AC" w14:textId="77777777" w:rsidR="009A63E2" w:rsidRPr="009A63E2" w:rsidRDefault="009A63E2" w:rsidP="00115C14">
            <w:pPr>
              <w:rPr>
                <w:sz w:val="18"/>
                <w:szCs w:val="18"/>
              </w:rPr>
            </w:pPr>
            <w:r w:rsidRPr="009A63E2">
              <w:rPr>
                <w:rFonts w:ascii="Arial Narrow" w:hAnsi="Arial Narrow"/>
                <w:b/>
                <w:bCs/>
                <w:color w:val="333333"/>
                <w:sz w:val="18"/>
                <w:szCs w:val="18"/>
              </w:rPr>
              <w:t xml:space="preserve">Administrative Advice: </w:t>
            </w:r>
            <w:r w:rsidRPr="009A63E2">
              <w:rPr>
                <w:rFonts w:ascii="Arial Narrow" w:eastAsiaTheme="majorEastAsia" w:hAnsi="Arial Narrow" w:cstheme="majorBidi"/>
                <w:bCs/>
                <w:sz w:val="18"/>
                <w:szCs w:val="18"/>
              </w:rPr>
              <w:t>No increase in the maximum quantity or number of units may be authorised for applications for treatment of one eye.</w:t>
            </w:r>
          </w:p>
        </w:tc>
      </w:tr>
      <w:tr w:rsidR="009A63E2" w:rsidRPr="009A63E2" w14:paraId="2AA9705B" w14:textId="77777777" w:rsidTr="00115C14">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480B307" w14:textId="77777777" w:rsidR="009A63E2" w:rsidRPr="009A63E2" w:rsidRDefault="009A63E2" w:rsidP="00115C14">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860F5ED" w14:textId="262D1E1D"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C74B87" w14:textId="77777777" w:rsidR="009A63E2" w:rsidRPr="009A63E2" w:rsidRDefault="009A63E2" w:rsidP="00115C14">
            <w:pPr>
              <w:rPr>
                <w:sz w:val="18"/>
                <w:szCs w:val="18"/>
              </w:rPr>
            </w:pPr>
            <w:r w:rsidRPr="009A63E2">
              <w:rPr>
                <w:rFonts w:ascii="Arial Narrow" w:hAnsi="Arial Narrow"/>
                <w:b/>
                <w:bCs/>
                <w:color w:val="333333"/>
                <w:sz w:val="18"/>
                <w:szCs w:val="18"/>
              </w:rPr>
              <w:t xml:space="preserve">Administrative Advice: </w:t>
            </w:r>
            <w:r w:rsidRPr="009A63E2">
              <w:rPr>
                <w:rFonts w:ascii="Arial Narrow" w:eastAsiaTheme="majorEastAsia" w:hAnsi="Arial Narrow" w:cstheme="majorBidi"/>
                <w:bCs/>
                <w:sz w:val="18"/>
                <w:szCs w:val="18"/>
              </w:rPr>
              <w:t>Where both eyes are affected by the condition, a quantity of 2 units can be requested on the same authority prescription form.</w:t>
            </w:r>
          </w:p>
        </w:tc>
      </w:tr>
      <w:tr w:rsidR="009A63E2" w:rsidRPr="009A63E2" w14:paraId="0951686D" w14:textId="77777777" w:rsidTr="00115C14">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14825A1" w14:textId="77777777" w:rsidR="009A63E2" w:rsidRPr="009A63E2" w:rsidRDefault="009A63E2" w:rsidP="00115C14">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7D871C6" w14:textId="2BE8FF33"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917C11" w14:textId="77777777" w:rsidR="009A63E2" w:rsidRPr="009A63E2" w:rsidRDefault="009A63E2" w:rsidP="00115C14">
            <w:pPr>
              <w:rPr>
                <w:rFonts w:ascii="Arial Narrow" w:hAnsi="Arial Narrow"/>
                <w:b/>
                <w:sz w:val="18"/>
                <w:szCs w:val="18"/>
                <w:u w:val="single"/>
              </w:rPr>
            </w:pPr>
            <w:r w:rsidRPr="009A63E2">
              <w:rPr>
                <w:rFonts w:ascii="Arial Narrow" w:hAnsi="Arial Narrow"/>
                <w:b/>
                <w:bCs/>
                <w:color w:val="333333"/>
                <w:sz w:val="18"/>
                <w:szCs w:val="18"/>
              </w:rPr>
              <w:t xml:space="preserve">Administrative Advice: </w:t>
            </w:r>
            <w:r w:rsidRPr="009A63E2">
              <w:rPr>
                <w:rFonts w:ascii="Arial Narrow" w:eastAsiaTheme="majorEastAsia" w:hAnsi="Arial Narrow" w:cstheme="majorBidi"/>
                <w:bCs/>
                <w:sz w:val="18"/>
                <w:szCs w:val="18"/>
              </w:rPr>
              <w:t>Pharmaceutical benefits that have the form faricimab 0.24 mL injection vial and pharmaceutical benefits that have the form faricimab 0.2 mL injection syringe are equivalent for the purposes of substitution.</w:t>
            </w:r>
          </w:p>
        </w:tc>
      </w:tr>
      <w:tr w:rsidR="009A63E2" w:rsidRPr="009A63E2" w14:paraId="28FB7BBA"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1FE5AF" w14:textId="24931801" w:rsidR="009A63E2" w:rsidRPr="009A63E2" w:rsidRDefault="009A63E2" w:rsidP="00115C14">
            <w:pPr>
              <w:keepLines/>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BB1402" w14:textId="77777777" w:rsidR="009A63E2" w:rsidRPr="009A63E2" w:rsidRDefault="009A63E2" w:rsidP="00115C14">
            <w:pPr>
              <w:keepLines/>
              <w:rPr>
                <w:rFonts w:ascii="Arial Narrow" w:hAnsi="Arial Narrow"/>
                <w:color w:val="333333"/>
                <w:sz w:val="18"/>
                <w:szCs w:val="18"/>
              </w:rPr>
            </w:pPr>
            <w:r w:rsidRPr="009A63E2">
              <w:rPr>
                <w:rFonts w:ascii="Arial Narrow" w:hAnsi="Arial Narrow"/>
                <w:b/>
                <w:bCs/>
                <w:color w:val="333333"/>
                <w:sz w:val="18"/>
                <w:szCs w:val="18"/>
              </w:rPr>
              <w:t>Indication:</w:t>
            </w:r>
            <w:r w:rsidRPr="009A63E2">
              <w:rPr>
                <w:rFonts w:ascii="Arial Narrow" w:hAnsi="Arial Narrow"/>
                <w:color w:val="333333"/>
                <w:sz w:val="18"/>
                <w:szCs w:val="18"/>
              </w:rPr>
              <w:t xml:space="preserve"> </w:t>
            </w:r>
            <w:r w:rsidRPr="009A63E2">
              <w:rPr>
                <w:rFonts w:ascii="Arial Narrow" w:eastAsia="Calibri" w:hAnsi="Arial Narrow"/>
                <w:sz w:val="18"/>
                <w:szCs w:val="18"/>
              </w:rPr>
              <w:t>Subfoveal choroidal neovascularisation (CNV)</w:t>
            </w:r>
          </w:p>
        </w:tc>
      </w:tr>
      <w:tr w:rsidR="009A63E2" w:rsidRPr="009A63E2" w14:paraId="231E56DE"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C650BB" w14:textId="77777777" w:rsidR="009A63E2" w:rsidRPr="009A63E2" w:rsidRDefault="009A63E2" w:rsidP="00115C14">
            <w:pP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D13FEB0" w14:textId="77777777" w:rsidR="009A63E2" w:rsidRPr="009A63E2" w:rsidRDefault="009A63E2" w:rsidP="00115C14">
            <w:pPr>
              <w:rPr>
                <w:rFonts w:ascii="Arial Narrow" w:hAnsi="Arial Narrow"/>
                <w:sz w:val="18"/>
                <w:szCs w:val="18"/>
              </w:rPr>
            </w:pPr>
            <w:r w:rsidRPr="009A63E2">
              <w:rPr>
                <w:rFonts w:ascii="Arial Narrow" w:hAnsi="Arial Narrow"/>
                <w:b/>
                <w:bCs/>
                <w:color w:val="333333"/>
                <w:sz w:val="18"/>
                <w:szCs w:val="18"/>
              </w:rPr>
              <w:t>Treatment Phase:</w:t>
            </w:r>
            <w:r w:rsidRPr="009A63E2">
              <w:rPr>
                <w:rFonts w:ascii="Arial Narrow" w:hAnsi="Arial Narrow"/>
                <w:color w:val="FF0000"/>
                <w:sz w:val="18"/>
                <w:szCs w:val="18"/>
              </w:rPr>
              <w:t xml:space="preserve"> </w:t>
            </w:r>
            <w:r w:rsidRPr="009A63E2">
              <w:rPr>
                <w:rFonts w:ascii="Arial Narrow" w:eastAsia="Calibri" w:hAnsi="Arial Narrow"/>
                <w:sz w:val="18"/>
                <w:szCs w:val="18"/>
              </w:rPr>
              <w:t>Initial treatment</w:t>
            </w:r>
          </w:p>
        </w:tc>
      </w:tr>
      <w:tr w:rsidR="009A63E2" w:rsidRPr="009A63E2" w14:paraId="75DB23C6"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F74D93" w14:textId="3A0C94FD"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367F2D1" w14:textId="77777777" w:rsidR="009A63E2" w:rsidRPr="009A63E2" w:rsidRDefault="009A63E2" w:rsidP="00115C14">
            <w:pPr>
              <w:rPr>
                <w:rFonts w:ascii="Arial Narrow" w:hAnsi="Arial Narrow"/>
                <w:b/>
                <w:bCs/>
                <w:color w:val="333333"/>
                <w:sz w:val="18"/>
                <w:szCs w:val="18"/>
              </w:rPr>
            </w:pPr>
            <w:r w:rsidRPr="009A63E2">
              <w:rPr>
                <w:rFonts w:ascii="Arial Narrow" w:hAnsi="Arial Narrow"/>
                <w:b/>
                <w:bCs/>
                <w:color w:val="333333"/>
                <w:sz w:val="18"/>
                <w:szCs w:val="18"/>
              </w:rPr>
              <w:t>Treatment criteria:</w:t>
            </w:r>
          </w:p>
        </w:tc>
      </w:tr>
      <w:tr w:rsidR="009A63E2" w:rsidRPr="009A63E2" w14:paraId="32501213"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F859D7" w14:textId="0FBC7159"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C9B7123" w14:textId="77777777" w:rsidR="009A63E2" w:rsidRPr="009A63E2" w:rsidRDefault="009A63E2" w:rsidP="00115C14">
            <w:pPr>
              <w:rPr>
                <w:rFonts w:ascii="Arial Narrow" w:hAnsi="Arial Narrow"/>
                <w:color w:val="333333"/>
                <w:sz w:val="18"/>
                <w:szCs w:val="18"/>
              </w:rPr>
            </w:pPr>
            <w:r w:rsidRPr="009A63E2">
              <w:rPr>
                <w:rFonts w:ascii="Arial Narrow" w:hAnsi="Arial Narrow"/>
                <w:color w:val="333333"/>
                <w:sz w:val="18"/>
                <w:szCs w:val="18"/>
              </w:rPr>
              <w:t>Must be treated by an ophthalmologist or by an accredited ophthalmology registrar in consultation with an ophthalmologist</w:t>
            </w:r>
          </w:p>
        </w:tc>
      </w:tr>
      <w:tr w:rsidR="009A63E2" w:rsidRPr="009A63E2" w14:paraId="319D72A8"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D22BE2" w14:textId="77777777"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DEA53CB" w14:textId="77777777" w:rsidR="009A63E2" w:rsidRPr="009A63E2" w:rsidRDefault="009A63E2" w:rsidP="00115C14">
            <w:pPr>
              <w:rPr>
                <w:rFonts w:ascii="Arial Narrow" w:hAnsi="Arial Narrow"/>
                <w:color w:val="333333"/>
                <w:sz w:val="18"/>
                <w:szCs w:val="18"/>
              </w:rPr>
            </w:pPr>
            <w:r w:rsidRPr="009A63E2">
              <w:rPr>
                <w:rFonts w:ascii="Arial Narrow" w:hAnsi="Arial Narrow"/>
                <w:b/>
                <w:bCs/>
                <w:color w:val="333333"/>
                <w:sz w:val="18"/>
                <w:szCs w:val="18"/>
              </w:rPr>
              <w:t>AND</w:t>
            </w:r>
          </w:p>
        </w:tc>
      </w:tr>
      <w:tr w:rsidR="009A63E2" w:rsidRPr="009A63E2" w14:paraId="5DDCEAF4"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445DB1" w14:textId="4B552917"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9CB0DCA" w14:textId="77777777" w:rsidR="009A63E2" w:rsidRPr="009A63E2" w:rsidRDefault="009A63E2" w:rsidP="00115C14">
            <w:pPr>
              <w:pStyle w:val="TableText"/>
              <w:keepNext w:val="0"/>
              <w:spacing w:line="256" w:lineRule="auto"/>
              <w:rPr>
                <w:rFonts w:cs="Arial"/>
                <w:sz w:val="18"/>
                <w:szCs w:val="18"/>
                <w:lang w:eastAsia="en-US"/>
              </w:rPr>
            </w:pPr>
            <w:r w:rsidRPr="009A63E2">
              <w:rPr>
                <w:rFonts w:cs="Arial"/>
                <w:b/>
                <w:bCs w:val="0"/>
                <w:sz w:val="18"/>
                <w:szCs w:val="18"/>
                <w:lang w:eastAsia="en-US"/>
              </w:rPr>
              <w:t>Clinical criteria:</w:t>
            </w:r>
            <w:r w:rsidRPr="009A63E2">
              <w:rPr>
                <w:rFonts w:cs="Arial"/>
                <w:sz w:val="18"/>
                <w:szCs w:val="18"/>
                <w:lang w:eastAsia="en-US"/>
              </w:rPr>
              <w:t xml:space="preserve"> </w:t>
            </w:r>
          </w:p>
        </w:tc>
      </w:tr>
      <w:tr w:rsidR="009A63E2" w:rsidRPr="009A63E2" w14:paraId="04BABA7E"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2E826E" w14:textId="1D163551"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4EB677" w14:textId="77777777" w:rsidR="009A63E2" w:rsidRPr="009A63E2" w:rsidRDefault="009A63E2" w:rsidP="00115C14">
            <w:pPr>
              <w:pStyle w:val="TableText"/>
              <w:keepNext w:val="0"/>
              <w:spacing w:line="256" w:lineRule="auto"/>
              <w:rPr>
                <w:rFonts w:cs="Arial"/>
                <w:b/>
                <w:bCs w:val="0"/>
                <w:sz w:val="18"/>
                <w:szCs w:val="18"/>
                <w:lang w:eastAsia="en-US"/>
              </w:rPr>
            </w:pPr>
            <w:r w:rsidRPr="009A63E2">
              <w:rPr>
                <w:rFonts w:cs="Arial"/>
                <w:sz w:val="18"/>
                <w:szCs w:val="18"/>
                <w:lang w:eastAsia="en-US"/>
              </w:rPr>
              <w:t>The condition must be due to age-related macular degeneration (AMD)</w:t>
            </w:r>
          </w:p>
        </w:tc>
      </w:tr>
      <w:tr w:rsidR="009A63E2" w:rsidRPr="009A63E2" w14:paraId="09F19AAB"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911D4A" w14:textId="77777777" w:rsidR="009A63E2" w:rsidRPr="009A63E2" w:rsidRDefault="009A63E2" w:rsidP="00115C14">
            <w:pPr>
              <w:rPr>
                <w:b/>
                <w:bCs/>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1D451E" w14:textId="77777777" w:rsidR="009A63E2" w:rsidRPr="009A63E2" w:rsidRDefault="009A63E2" w:rsidP="00115C14">
            <w:pPr>
              <w:rPr>
                <w:rFonts w:ascii="Arial Narrow" w:hAnsi="Arial Narrow"/>
                <w:color w:val="333333"/>
                <w:sz w:val="18"/>
                <w:szCs w:val="18"/>
              </w:rPr>
            </w:pPr>
            <w:r w:rsidRPr="009A63E2">
              <w:rPr>
                <w:rFonts w:ascii="Arial Narrow" w:hAnsi="Arial Narrow"/>
                <w:b/>
                <w:bCs/>
                <w:color w:val="333333"/>
                <w:sz w:val="18"/>
                <w:szCs w:val="18"/>
              </w:rPr>
              <w:t>AND</w:t>
            </w:r>
          </w:p>
        </w:tc>
      </w:tr>
      <w:tr w:rsidR="009A63E2" w:rsidRPr="009A63E2" w14:paraId="0EEF88B4"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4C754E3" w14:textId="780835B8"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E1035DF" w14:textId="77777777" w:rsidR="009A63E2" w:rsidRPr="009A63E2" w:rsidRDefault="009A63E2" w:rsidP="00115C14">
            <w:pPr>
              <w:rPr>
                <w:rFonts w:ascii="Arial Narrow" w:hAnsi="Arial Narrow"/>
                <w:b/>
                <w:bCs/>
                <w:color w:val="333333"/>
                <w:sz w:val="18"/>
                <w:szCs w:val="18"/>
              </w:rPr>
            </w:pPr>
            <w:r w:rsidRPr="009A63E2">
              <w:rPr>
                <w:rFonts w:ascii="Arial Narrow" w:hAnsi="Arial Narrow"/>
                <w:b/>
                <w:bCs/>
                <w:color w:val="333333"/>
                <w:sz w:val="18"/>
                <w:szCs w:val="18"/>
              </w:rPr>
              <w:t>Clinical criteria:</w:t>
            </w:r>
            <w:r w:rsidRPr="009A63E2">
              <w:rPr>
                <w:sz w:val="18"/>
                <w:szCs w:val="18"/>
              </w:rPr>
              <w:t xml:space="preserve"> </w:t>
            </w:r>
          </w:p>
        </w:tc>
      </w:tr>
      <w:tr w:rsidR="009A63E2" w:rsidRPr="009A63E2" w14:paraId="2AC0E645"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3D04EE2" w14:textId="57A67CBA"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6F1090" w14:textId="77777777" w:rsidR="009A63E2" w:rsidRPr="009A63E2" w:rsidRDefault="009A63E2" w:rsidP="00115C14">
            <w:pPr>
              <w:rPr>
                <w:rFonts w:ascii="Arial Narrow" w:eastAsiaTheme="majorEastAsia" w:hAnsi="Arial Narrow"/>
                <w:bCs/>
                <w:sz w:val="18"/>
                <w:szCs w:val="18"/>
              </w:rPr>
            </w:pPr>
            <w:r w:rsidRPr="009A63E2">
              <w:rPr>
                <w:rFonts w:ascii="Arial Narrow" w:eastAsiaTheme="majorEastAsia" w:hAnsi="Arial Narrow"/>
                <w:bCs/>
                <w:sz w:val="18"/>
                <w:szCs w:val="18"/>
              </w:rPr>
              <w:t>The condition must be diagnosed by optical coherence tomography; or</w:t>
            </w:r>
          </w:p>
          <w:p w14:paraId="44DB43B2" w14:textId="77777777" w:rsidR="009A63E2" w:rsidRPr="009A63E2" w:rsidRDefault="009A63E2" w:rsidP="00115C14">
            <w:pPr>
              <w:rPr>
                <w:rFonts w:ascii="Arial Narrow" w:hAnsi="Arial Narrow"/>
                <w:color w:val="333333"/>
                <w:sz w:val="18"/>
                <w:szCs w:val="18"/>
              </w:rPr>
            </w:pPr>
            <w:r w:rsidRPr="009A63E2">
              <w:rPr>
                <w:rFonts w:ascii="Arial Narrow" w:hAnsi="Arial Narrow"/>
                <w:color w:val="333333"/>
                <w:sz w:val="18"/>
                <w:szCs w:val="18"/>
              </w:rPr>
              <w:t>The condition must be diagnosed by fluorescein angiography</w:t>
            </w:r>
          </w:p>
        </w:tc>
      </w:tr>
      <w:tr w:rsidR="009A63E2" w:rsidRPr="009A63E2" w14:paraId="7831FED7"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4EC067" w14:textId="77777777"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938195D" w14:textId="77777777" w:rsidR="009A63E2" w:rsidRPr="009A63E2" w:rsidRDefault="009A63E2" w:rsidP="00115C14">
            <w:pPr>
              <w:rPr>
                <w:rFonts w:ascii="Arial Narrow" w:hAnsi="Arial Narrow"/>
                <w:b/>
                <w:bCs/>
                <w:color w:val="333333"/>
                <w:sz w:val="18"/>
                <w:szCs w:val="18"/>
              </w:rPr>
            </w:pPr>
            <w:r w:rsidRPr="009A63E2">
              <w:rPr>
                <w:rFonts w:ascii="Arial Narrow" w:hAnsi="Arial Narrow"/>
                <w:b/>
                <w:bCs/>
                <w:color w:val="333333"/>
                <w:sz w:val="18"/>
                <w:szCs w:val="18"/>
              </w:rPr>
              <w:t>AND</w:t>
            </w:r>
          </w:p>
        </w:tc>
      </w:tr>
      <w:tr w:rsidR="009A63E2" w:rsidRPr="009A63E2" w14:paraId="1B6B95AE"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0A7A43" w14:textId="290BDBE4"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A01356D" w14:textId="77777777" w:rsidR="009A63E2" w:rsidRPr="009A63E2" w:rsidRDefault="009A63E2" w:rsidP="00115C14">
            <w:pPr>
              <w:rPr>
                <w:rFonts w:ascii="Arial Narrow" w:hAnsi="Arial Narrow"/>
                <w:color w:val="333333"/>
                <w:sz w:val="18"/>
                <w:szCs w:val="18"/>
              </w:rPr>
            </w:pPr>
            <w:r w:rsidRPr="009A63E2">
              <w:rPr>
                <w:rFonts w:ascii="Arial Narrow" w:hAnsi="Arial Narrow"/>
                <w:b/>
                <w:bCs/>
                <w:color w:val="333333"/>
                <w:sz w:val="18"/>
                <w:szCs w:val="18"/>
              </w:rPr>
              <w:t>Clinical criteria:</w:t>
            </w:r>
          </w:p>
        </w:tc>
      </w:tr>
      <w:tr w:rsidR="009A63E2" w:rsidRPr="009A63E2" w14:paraId="2295A291"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959EA17" w14:textId="46FF7805"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9761878" w14:textId="77777777" w:rsidR="009A63E2" w:rsidRPr="009A63E2" w:rsidRDefault="009A63E2" w:rsidP="00115C14">
            <w:pPr>
              <w:rPr>
                <w:rFonts w:ascii="Arial Narrow" w:hAnsi="Arial Narrow"/>
                <w:b/>
                <w:bCs/>
                <w:color w:val="333333"/>
                <w:sz w:val="18"/>
                <w:szCs w:val="18"/>
              </w:rPr>
            </w:pPr>
            <w:r w:rsidRPr="009A63E2">
              <w:rPr>
                <w:rFonts w:ascii="Arial Narrow" w:eastAsiaTheme="majorEastAsia" w:hAnsi="Arial Narrow"/>
                <w:bCs/>
                <w:sz w:val="18"/>
                <w:szCs w:val="18"/>
              </w:rPr>
              <w:t>The treatment must be the sole PBS-subsidised therapy for this condition</w:t>
            </w:r>
          </w:p>
        </w:tc>
      </w:tr>
      <w:tr w:rsidR="009A63E2" w:rsidRPr="009A63E2" w14:paraId="22E1AD61"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18A4886" w14:textId="51AC2883"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10D3132" w14:textId="77777777" w:rsidR="009A63E2" w:rsidRPr="009A63E2" w:rsidRDefault="009A63E2" w:rsidP="00115C14">
            <w:pPr>
              <w:rPr>
                <w:rFonts w:ascii="Arial Narrow" w:eastAsiaTheme="majorEastAsia" w:hAnsi="Arial Narrow"/>
                <w:b/>
                <w:sz w:val="18"/>
                <w:szCs w:val="18"/>
              </w:rPr>
            </w:pPr>
            <w:r w:rsidRPr="009A63E2">
              <w:rPr>
                <w:rFonts w:ascii="Arial Narrow" w:eastAsiaTheme="majorEastAsia" w:hAnsi="Arial Narrow"/>
                <w:b/>
                <w:sz w:val="18"/>
                <w:szCs w:val="18"/>
              </w:rPr>
              <w:t>Prescribing Instructions:</w:t>
            </w:r>
          </w:p>
          <w:p w14:paraId="42250FF3" w14:textId="77777777" w:rsidR="009A63E2" w:rsidRPr="009A63E2" w:rsidRDefault="009A63E2" w:rsidP="00115C14">
            <w:pPr>
              <w:rPr>
                <w:rFonts w:ascii="Arial Narrow" w:eastAsiaTheme="majorEastAsia" w:hAnsi="Arial Narrow"/>
                <w:bCs/>
                <w:sz w:val="18"/>
                <w:szCs w:val="18"/>
              </w:rPr>
            </w:pPr>
            <w:r w:rsidRPr="009A63E2">
              <w:rPr>
                <w:rFonts w:ascii="Arial Narrow" w:eastAsiaTheme="majorEastAsia" w:hAnsi="Arial Narrow"/>
                <w:bCs/>
                <w:sz w:val="18"/>
                <w:szCs w:val="18"/>
              </w:rPr>
              <w:t>Authority approval for initial treatment of each eye must be sought.</w:t>
            </w:r>
          </w:p>
        </w:tc>
      </w:tr>
      <w:tr w:rsidR="009A63E2" w:rsidRPr="009A63E2" w14:paraId="1D00A4DE"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6C51C62" w14:textId="549B1B7B" w:rsidR="009A63E2" w:rsidRPr="009A63E2" w:rsidRDefault="009A63E2"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DEB3A5" w14:textId="77777777" w:rsidR="009A63E2" w:rsidRPr="009A63E2" w:rsidRDefault="009A63E2" w:rsidP="00115C14">
            <w:pPr>
              <w:pStyle w:val="TableText"/>
              <w:spacing w:line="256" w:lineRule="auto"/>
              <w:rPr>
                <w:sz w:val="18"/>
                <w:szCs w:val="18"/>
                <w:lang w:eastAsia="en-US"/>
              </w:rPr>
            </w:pPr>
            <w:r w:rsidRPr="009A63E2">
              <w:rPr>
                <w:rFonts w:eastAsia="Times New Roman"/>
                <w:b/>
                <w:bCs w:val="0"/>
                <w:color w:val="333333"/>
                <w:sz w:val="18"/>
                <w:szCs w:val="18"/>
                <w:lang w:eastAsia="en-US"/>
              </w:rPr>
              <w:t xml:space="preserve">Prescribing Instructions: </w:t>
            </w:r>
            <w:r w:rsidRPr="009A63E2">
              <w:rPr>
                <w:rFonts w:eastAsia="Times New Roman"/>
                <w:b/>
                <w:bCs w:val="0"/>
                <w:color w:val="333333"/>
                <w:sz w:val="18"/>
                <w:szCs w:val="18"/>
                <w:lang w:eastAsia="en-US"/>
              </w:rPr>
              <w:br/>
            </w:r>
            <w:r w:rsidRPr="009A63E2">
              <w:rPr>
                <w:sz w:val="18"/>
                <w:szCs w:val="18"/>
                <w:lang w:eastAsia="en-US"/>
              </w:rPr>
              <w:t>The first authority application for each eye must be made in writing.</w:t>
            </w:r>
          </w:p>
          <w:p w14:paraId="049E84D5" w14:textId="77777777" w:rsidR="009A63E2" w:rsidRPr="009A63E2" w:rsidRDefault="009A63E2" w:rsidP="00115C14">
            <w:pPr>
              <w:pStyle w:val="TableText"/>
              <w:spacing w:line="256" w:lineRule="auto"/>
              <w:rPr>
                <w:sz w:val="18"/>
                <w:szCs w:val="18"/>
                <w:lang w:eastAsia="en-US"/>
              </w:rPr>
            </w:pPr>
            <w:r w:rsidRPr="009A63E2">
              <w:rPr>
                <w:sz w:val="18"/>
                <w:szCs w:val="18"/>
                <w:lang w:eastAsia="en-US"/>
              </w:rPr>
              <w:t>A written application must include:</w:t>
            </w:r>
          </w:p>
          <w:p w14:paraId="505A8238" w14:textId="77777777" w:rsidR="009A63E2" w:rsidRPr="009A63E2" w:rsidRDefault="009A63E2" w:rsidP="00115C14">
            <w:pPr>
              <w:pStyle w:val="TableText"/>
              <w:spacing w:line="256" w:lineRule="auto"/>
              <w:rPr>
                <w:sz w:val="18"/>
                <w:szCs w:val="18"/>
                <w:lang w:eastAsia="en-US"/>
              </w:rPr>
            </w:pPr>
            <w:r w:rsidRPr="009A63E2">
              <w:rPr>
                <w:sz w:val="18"/>
                <w:szCs w:val="18"/>
                <w:lang w:eastAsia="en-US"/>
              </w:rPr>
              <w:t>a) a completed authority prescription form;</w:t>
            </w:r>
          </w:p>
          <w:p w14:paraId="3B4289F1" w14:textId="77777777" w:rsidR="009A63E2" w:rsidRPr="009A63E2" w:rsidRDefault="009A63E2" w:rsidP="00115C14">
            <w:pPr>
              <w:pStyle w:val="TableText"/>
              <w:spacing w:line="256" w:lineRule="auto"/>
              <w:rPr>
                <w:sz w:val="18"/>
                <w:szCs w:val="18"/>
                <w:lang w:eastAsia="en-US"/>
              </w:rPr>
            </w:pPr>
            <w:r w:rsidRPr="009A63E2">
              <w:rPr>
                <w:sz w:val="18"/>
                <w:szCs w:val="18"/>
                <w:lang w:eastAsia="en-US"/>
              </w:rPr>
              <w:t>b) a completed Subfoveal Choroidal Neovascularisation (CNV) - PBS Supporting Information Form; and</w:t>
            </w:r>
          </w:p>
          <w:p w14:paraId="02B2B61A" w14:textId="77777777" w:rsidR="009A63E2" w:rsidRPr="009A63E2" w:rsidRDefault="009A63E2" w:rsidP="00115C14">
            <w:pPr>
              <w:pStyle w:val="TableText"/>
              <w:keepNext w:val="0"/>
              <w:spacing w:line="256" w:lineRule="auto"/>
              <w:rPr>
                <w:sz w:val="18"/>
                <w:szCs w:val="18"/>
                <w:lang w:eastAsia="en-US"/>
              </w:rPr>
            </w:pPr>
            <w:r w:rsidRPr="009A63E2">
              <w:rPr>
                <w:sz w:val="18"/>
                <w:szCs w:val="18"/>
                <w:lang w:eastAsia="en-US"/>
              </w:rPr>
              <w:t>c) a copy of the optical coherence tomography or fluorescein angiogram report.</w:t>
            </w:r>
          </w:p>
        </w:tc>
      </w:tr>
      <w:tr w:rsidR="009A63E2" w:rsidRPr="009A63E2" w14:paraId="6A1D98C3"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3825A4" w14:textId="306F3B25" w:rsidR="009A63E2" w:rsidRPr="009A63E2" w:rsidRDefault="009A63E2" w:rsidP="00115C14">
            <w:pPr>
              <w:jc w:val="center"/>
              <w:rPr>
                <w:rFonts w:ascii="Arial Narrow" w:hAnsi="Arial Narrow"/>
                <w:i/>
                <w:iCs/>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08D5E1" w14:textId="77777777" w:rsidR="009A63E2" w:rsidRPr="009A63E2" w:rsidRDefault="009A63E2" w:rsidP="00115C14">
            <w:pPr>
              <w:autoSpaceDE w:val="0"/>
              <w:autoSpaceDN w:val="0"/>
              <w:adjustRightInd w:val="0"/>
              <w:jc w:val="left"/>
              <w:rPr>
                <w:rFonts w:ascii="Arial Narrow" w:hAnsi="Arial Narrow"/>
                <w:i/>
                <w:iCs/>
                <w:sz w:val="18"/>
                <w:szCs w:val="18"/>
              </w:rPr>
            </w:pPr>
            <w:r w:rsidRPr="009A63E2">
              <w:rPr>
                <w:rFonts w:ascii="Arial Narrow" w:hAnsi="Arial Narrow"/>
                <w:b/>
                <w:i/>
                <w:iCs/>
                <w:color w:val="333333"/>
                <w:sz w:val="18"/>
                <w:szCs w:val="18"/>
              </w:rPr>
              <w:t xml:space="preserve">Administrative Advice: </w:t>
            </w:r>
            <w:r w:rsidRPr="009A63E2">
              <w:rPr>
                <w:rFonts w:ascii="Arial Narrow" w:hAnsi="Arial Narrow"/>
                <w:b/>
                <w:i/>
                <w:iCs/>
                <w:color w:val="333333"/>
                <w:sz w:val="18"/>
                <w:szCs w:val="18"/>
              </w:rPr>
              <w:br/>
            </w:r>
            <w:r w:rsidRPr="009A63E2">
              <w:rPr>
                <w:rFonts w:ascii="Arial Narrow" w:hAnsi="Arial Narrow"/>
                <w:i/>
                <w:iCs/>
                <w:sz w:val="18"/>
                <w:szCs w:val="18"/>
              </w:rPr>
              <w:t>Any queries concerning the arrangements to prescribe may be directed to Services Australia on 1800 700 270 (hours of operation 8 a.m. to 5 p.m. Monday to Friday).</w:t>
            </w:r>
          </w:p>
          <w:p w14:paraId="4A01CF49" w14:textId="77777777" w:rsidR="009A63E2" w:rsidRPr="009A63E2" w:rsidRDefault="009A63E2" w:rsidP="00115C14">
            <w:pPr>
              <w:autoSpaceDE w:val="0"/>
              <w:autoSpaceDN w:val="0"/>
              <w:adjustRightInd w:val="0"/>
              <w:rPr>
                <w:rFonts w:ascii="Arial Narrow" w:hAnsi="Arial Narrow"/>
                <w:i/>
                <w:iCs/>
                <w:sz w:val="18"/>
                <w:szCs w:val="18"/>
              </w:rPr>
            </w:pPr>
            <w:r w:rsidRPr="009A63E2">
              <w:rPr>
                <w:rFonts w:ascii="Arial Narrow" w:hAnsi="Arial Narrow"/>
                <w:i/>
                <w:iCs/>
                <w:sz w:val="18"/>
                <w:szCs w:val="18"/>
              </w:rPr>
              <w:t>Prescribing information (including Authority Application forms and other relevant documentation as applicable) is available on the Services Australia website at www.servicesaustralia.gov.au</w:t>
            </w:r>
          </w:p>
          <w:p w14:paraId="427A065A" w14:textId="77777777" w:rsidR="009A63E2" w:rsidRPr="009A63E2" w:rsidRDefault="009A63E2" w:rsidP="00115C14">
            <w:pPr>
              <w:autoSpaceDE w:val="0"/>
              <w:autoSpaceDN w:val="0"/>
              <w:adjustRightInd w:val="0"/>
              <w:rPr>
                <w:rFonts w:ascii="Arial Narrow" w:hAnsi="Arial Narrow"/>
                <w:i/>
                <w:iCs/>
                <w:sz w:val="18"/>
                <w:szCs w:val="18"/>
              </w:rPr>
            </w:pPr>
            <w:r w:rsidRPr="009A63E2">
              <w:rPr>
                <w:rFonts w:ascii="Arial Narrow" w:hAnsi="Arial Narrow"/>
                <w:i/>
                <w:iCs/>
                <w:sz w:val="18"/>
                <w:szCs w:val="18"/>
              </w:rPr>
              <w:t>Applications for authority to prescribe should be submitted online using the form upload facility in Health Professional Online Services (HPOS) at www.servicesaustralia.gov.au/hpos</w:t>
            </w:r>
          </w:p>
          <w:p w14:paraId="5E527493" w14:textId="77777777" w:rsidR="009A63E2" w:rsidRPr="009A63E2" w:rsidRDefault="009A63E2" w:rsidP="00115C14">
            <w:pPr>
              <w:autoSpaceDE w:val="0"/>
              <w:autoSpaceDN w:val="0"/>
              <w:adjustRightInd w:val="0"/>
              <w:rPr>
                <w:rFonts w:ascii="Arial Narrow" w:hAnsi="Arial Narrow"/>
                <w:i/>
                <w:iCs/>
                <w:sz w:val="18"/>
                <w:szCs w:val="18"/>
              </w:rPr>
            </w:pPr>
            <w:r w:rsidRPr="009A63E2">
              <w:rPr>
                <w:rFonts w:ascii="Arial Narrow" w:hAnsi="Arial Narrow"/>
                <w:i/>
                <w:iCs/>
                <w:sz w:val="18"/>
                <w:szCs w:val="18"/>
              </w:rPr>
              <w:t>Or mailed to:</w:t>
            </w:r>
          </w:p>
          <w:p w14:paraId="1C4F08FE" w14:textId="77777777" w:rsidR="009A63E2" w:rsidRPr="009A63E2" w:rsidRDefault="009A63E2" w:rsidP="00115C14">
            <w:pPr>
              <w:autoSpaceDE w:val="0"/>
              <w:autoSpaceDN w:val="0"/>
              <w:adjustRightInd w:val="0"/>
              <w:rPr>
                <w:rFonts w:ascii="Arial Narrow" w:hAnsi="Arial Narrow"/>
                <w:i/>
                <w:iCs/>
                <w:sz w:val="18"/>
                <w:szCs w:val="18"/>
              </w:rPr>
            </w:pPr>
            <w:r w:rsidRPr="009A63E2">
              <w:rPr>
                <w:rFonts w:ascii="Arial Narrow" w:hAnsi="Arial Narrow"/>
                <w:i/>
                <w:iCs/>
                <w:sz w:val="18"/>
                <w:szCs w:val="18"/>
              </w:rPr>
              <w:t>Services Australia</w:t>
            </w:r>
          </w:p>
          <w:p w14:paraId="1F18A6BB" w14:textId="77777777" w:rsidR="009A63E2" w:rsidRPr="009A63E2" w:rsidRDefault="009A63E2" w:rsidP="00115C14">
            <w:pPr>
              <w:autoSpaceDE w:val="0"/>
              <w:autoSpaceDN w:val="0"/>
              <w:adjustRightInd w:val="0"/>
              <w:rPr>
                <w:rFonts w:ascii="Arial Narrow" w:hAnsi="Arial Narrow"/>
                <w:i/>
                <w:iCs/>
                <w:sz w:val="18"/>
                <w:szCs w:val="18"/>
              </w:rPr>
            </w:pPr>
            <w:r w:rsidRPr="009A63E2">
              <w:rPr>
                <w:rFonts w:ascii="Arial Narrow" w:hAnsi="Arial Narrow"/>
                <w:i/>
                <w:iCs/>
                <w:sz w:val="18"/>
                <w:szCs w:val="18"/>
              </w:rPr>
              <w:t>Complex Drugs</w:t>
            </w:r>
          </w:p>
          <w:p w14:paraId="0FC11F17" w14:textId="77777777" w:rsidR="009A63E2" w:rsidRPr="009A63E2" w:rsidRDefault="009A63E2" w:rsidP="00115C14">
            <w:pPr>
              <w:autoSpaceDE w:val="0"/>
              <w:autoSpaceDN w:val="0"/>
              <w:adjustRightInd w:val="0"/>
              <w:rPr>
                <w:rFonts w:ascii="Arial Narrow" w:hAnsi="Arial Narrow"/>
                <w:i/>
                <w:iCs/>
                <w:sz w:val="18"/>
                <w:szCs w:val="18"/>
              </w:rPr>
            </w:pPr>
            <w:r w:rsidRPr="009A63E2">
              <w:rPr>
                <w:rFonts w:ascii="Arial Narrow" w:hAnsi="Arial Narrow"/>
                <w:i/>
                <w:iCs/>
                <w:sz w:val="18"/>
                <w:szCs w:val="18"/>
              </w:rPr>
              <w:t>Reply Paid 9826</w:t>
            </w:r>
          </w:p>
          <w:p w14:paraId="7ED26FF2" w14:textId="77777777" w:rsidR="009A63E2" w:rsidRPr="009A63E2" w:rsidRDefault="009A63E2" w:rsidP="00115C14">
            <w:pPr>
              <w:autoSpaceDE w:val="0"/>
              <w:autoSpaceDN w:val="0"/>
              <w:adjustRightInd w:val="0"/>
              <w:rPr>
                <w:rFonts w:ascii="Arial Narrow" w:hAnsi="Arial Narrow" w:cs="Arial Narrow"/>
                <w:i/>
                <w:iCs/>
                <w:color w:val="FF0000"/>
                <w:sz w:val="18"/>
                <w:szCs w:val="18"/>
              </w:rPr>
            </w:pPr>
            <w:r w:rsidRPr="009A63E2">
              <w:rPr>
                <w:rFonts w:ascii="Arial Narrow" w:hAnsi="Arial Narrow"/>
                <w:i/>
                <w:iCs/>
                <w:sz w:val="18"/>
                <w:szCs w:val="18"/>
              </w:rPr>
              <w:t>HOBART TAS 7001</w:t>
            </w:r>
          </w:p>
        </w:tc>
      </w:tr>
    </w:tbl>
    <w:p w14:paraId="0C7A68CE" w14:textId="77777777" w:rsidR="009A63E2" w:rsidRPr="009A63E2" w:rsidRDefault="009A63E2" w:rsidP="009A63E2"/>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666"/>
        <w:gridCol w:w="811"/>
        <w:gridCol w:w="811"/>
        <w:gridCol w:w="810"/>
        <w:gridCol w:w="811"/>
        <w:gridCol w:w="1880"/>
      </w:tblGrid>
      <w:tr w:rsidR="009A63E2" w:rsidRPr="009A63E2" w14:paraId="1BD440E0" w14:textId="77777777" w:rsidTr="00115C14">
        <w:trPr>
          <w:cantSplit/>
          <w:trHeight w:val="20"/>
        </w:trPr>
        <w:tc>
          <w:tcPr>
            <w:tcW w:w="3937" w:type="dxa"/>
            <w:gridSpan w:val="2"/>
            <w:tcBorders>
              <w:top w:val="single" w:sz="4" w:space="0" w:color="auto"/>
              <w:left w:val="single" w:sz="4" w:space="0" w:color="auto"/>
              <w:bottom w:val="single" w:sz="4" w:space="0" w:color="auto"/>
              <w:right w:val="single" w:sz="4" w:space="0" w:color="auto"/>
            </w:tcBorders>
            <w:vAlign w:val="center"/>
            <w:hideMark/>
          </w:tcPr>
          <w:p w14:paraId="4F1352E5" w14:textId="77777777" w:rsidR="009A63E2" w:rsidRPr="009A63E2" w:rsidRDefault="009A63E2" w:rsidP="00115C14">
            <w:pPr>
              <w:keepLines/>
              <w:rPr>
                <w:rFonts w:ascii="Arial Narrow" w:hAnsi="Arial Narrow"/>
                <w:b/>
                <w:bCs/>
                <w:iCs/>
                <w:sz w:val="18"/>
                <w:szCs w:val="18"/>
              </w:rPr>
            </w:pPr>
            <w:r w:rsidRPr="009A63E2">
              <w:rPr>
                <w:rFonts w:ascii="Arial Narrow" w:hAnsi="Arial Narrow"/>
                <w:b/>
                <w:bCs/>
                <w:iCs/>
                <w:sz w:val="18"/>
                <w:szCs w:val="18"/>
              </w:rPr>
              <w:t>MEDICINAL PRODUCT</w:t>
            </w:r>
          </w:p>
          <w:p w14:paraId="335FED8A" w14:textId="77777777" w:rsidR="009A63E2" w:rsidRPr="009A63E2" w:rsidRDefault="009A63E2" w:rsidP="00115C14">
            <w:pPr>
              <w:keepLines/>
              <w:rPr>
                <w:rFonts w:ascii="Arial Narrow" w:hAnsi="Arial Narrow"/>
                <w:b/>
                <w:iCs/>
                <w:sz w:val="18"/>
                <w:szCs w:val="18"/>
              </w:rPr>
            </w:pPr>
            <w:r w:rsidRPr="009A63E2">
              <w:rPr>
                <w:rFonts w:ascii="Arial Narrow" w:hAnsi="Arial Narrow"/>
                <w:b/>
                <w:bCs/>
                <w:iCs/>
                <w:sz w:val="18"/>
                <w:szCs w:val="18"/>
              </w:rPr>
              <w:t>medicinal product pack</w:t>
            </w:r>
          </w:p>
        </w:tc>
        <w:tc>
          <w:tcPr>
            <w:tcW w:w="811" w:type="dxa"/>
            <w:tcBorders>
              <w:top w:val="single" w:sz="4" w:space="0" w:color="auto"/>
              <w:left w:val="single" w:sz="4" w:space="0" w:color="auto"/>
              <w:bottom w:val="single" w:sz="4" w:space="0" w:color="auto"/>
              <w:right w:val="single" w:sz="4" w:space="0" w:color="auto"/>
            </w:tcBorders>
            <w:vAlign w:val="center"/>
            <w:hideMark/>
          </w:tcPr>
          <w:p w14:paraId="02289284" w14:textId="77777777" w:rsidR="009A63E2" w:rsidRPr="009A63E2" w:rsidRDefault="009A63E2" w:rsidP="00115C14">
            <w:pPr>
              <w:keepLines/>
              <w:jc w:val="center"/>
              <w:rPr>
                <w:rFonts w:ascii="Arial Narrow" w:hAnsi="Arial Narrow"/>
                <w:b/>
                <w:iCs/>
                <w:sz w:val="18"/>
                <w:szCs w:val="18"/>
              </w:rPr>
            </w:pPr>
            <w:r w:rsidRPr="009A63E2">
              <w:rPr>
                <w:rFonts w:ascii="Arial Narrow" w:hAnsi="Arial Narrow"/>
                <w:b/>
                <w:iCs/>
                <w:sz w:val="18"/>
                <w:szCs w:val="18"/>
              </w:rPr>
              <w:t>PBS item code</w:t>
            </w:r>
          </w:p>
        </w:tc>
        <w:tc>
          <w:tcPr>
            <w:tcW w:w="811" w:type="dxa"/>
            <w:tcBorders>
              <w:top w:val="single" w:sz="4" w:space="0" w:color="auto"/>
              <w:left w:val="single" w:sz="4" w:space="0" w:color="auto"/>
              <w:bottom w:val="single" w:sz="4" w:space="0" w:color="auto"/>
              <w:right w:val="single" w:sz="4" w:space="0" w:color="auto"/>
            </w:tcBorders>
            <w:vAlign w:val="center"/>
            <w:hideMark/>
          </w:tcPr>
          <w:p w14:paraId="69897B16" w14:textId="77777777" w:rsidR="009A63E2" w:rsidRPr="009A63E2" w:rsidRDefault="009A63E2" w:rsidP="00115C14">
            <w:pPr>
              <w:keepLines/>
              <w:jc w:val="center"/>
              <w:rPr>
                <w:rFonts w:ascii="Arial Narrow" w:hAnsi="Arial Narrow"/>
                <w:b/>
                <w:iCs/>
                <w:sz w:val="18"/>
                <w:szCs w:val="18"/>
              </w:rPr>
            </w:pPr>
            <w:r w:rsidRPr="009A63E2">
              <w:rPr>
                <w:rFonts w:ascii="Arial Narrow" w:hAnsi="Arial Narrow"/>
                <w:b/>
                <w:iCs/>
                <w:sz w:val="18"/>
                <w:szCs w:val="18"/>
              </w:rPr>
              <w:t>Max. qty packs</w:t>
            </w:r>
          </w:p>
        </w:tc>
        <w:tc>
          <w:tcPr>
            <w:tcW w:w="810" w:type="dxa"/>
            <w:tcBorders>
              <w:top w:val="single" w:sz="4" w:space="0" w:color="auto"/>
              <w:left w:val="single" w:sz="4" w:space="0" w:color="auto"/>
              <w:bottom w:val="single" w:sz="4" w:space="0" w:color="auto"/>
              <w:right w:val="single" w:sz="4" w:space="0" w:color="auto"/>
            </w:tcBorders>
            <w:vAlign w:val="center"/>
            <w:hideMark/>
          </w:tcPr>
          <w:p w14:paraId="5A43F07B" w14:textId="77777777" w:rsidR="009A63E2" w:rsidRPr="009A63E2" w:rsidRDefault="009A63E2" w:rsidP="00115C14">
            <w:pPr>
              <w:keepLines/>
              <w:jc w:val="center"/>
              <w:rPr>
                <w:rFonts w:ascii="Arial Narrow" w:hAnsi="Arial Narrow"/>
                <w:b/>
                <w:iCs/>
                <w:sz w:val="18"/>
                <w:szCs w:val="18"/>
              </w:rPr>
            </w:pPr>
            <w:r w:rsidRPr="009A63E2">
              <w:rPr>
                <w:rFonts w:ascii="Arial Narrow" w:hAnsi="Arial Narrow"/>
                <w:b/>
                <w:iCs/>
                <w:sz w:val="18"/>
                <w:szCs w:val="18"/>
              </w:rPr>
              <w:t>Max. qty units</w:t>
            </w:r>
          </w:p>
        </w:tc>
        <w:tc>
          <w:tcPr>
            <w:tcW w:w="811" w:type="dxa"/>
            <w:tcBorders>
              <w:top w:val="single" w:sz="4" w:space="0" w:color="auto"/>
              <w:left w:val="single" w:sz="4" w:space="0" w:color="auto"/>
              <w:bottom w:val="single" w:sz="4" w:space="0" w:color="auto"/>
              <w:right w:val="single" w:sz="4" w:space="0" w:color="auto"/>
            </w:tcBorders>
            <w:vAlign w:val="center"/>
            <w:hideMark/>
          </w:tcPr>
          <w:p w14:paraId="7B6D8854" w14:textId="77777777" w:rsidR="009A63E2" w:rsidRPr="009A63E2" w:rsidRDefault="009A63E2" w:rsidP="00115C14">
            <w:pPr>
              <w:keepLines/>
              <w:jc w:val="center"/>
              <w:rPr>
                <w:rFonts w:ascii="Arial Narrow" w:hAnsi="Arial Narrow"/>
                <w:b/>
                <w:iCs/>
                <w:sz w:val="18"/>
                <w:szCs w:val="18"/>
              </w:rPr>
            </w:pPr>
            <w:r w:rsidRPr="009A63E2">
              <w:rPr>
                <w:rFonts w:ascii="Arial Narrow" w:hAnsi="Arial Narrow"/>
                <w:b/>
                <w:iCs/>
                <w:sz w:val="18"/>
                <w:szCs w:val="18"/>
              </w:rPr>
              <w:t>№.of</w:t>
            </w:r>
          </w:p>
          <w:p w14:paraId="34140311" w14:textId="77777777" w:rsidR="009A63E2" w:rsidRPr="009A63E2" w:rsidRDefault="009A63E2" w:rsidP="00115C14">
            <w:pPr>
              <w:keepLines/>
              <w:jc w:val="center"/>
              <w:rPr>
                <w:rFonts w:ascii="Arial Narrow" w:hAnsi="Arial Narrow"/>
                <w:b/>
                <w:iCs/>
                <w:sz w:val="18"/>
                <w:szCs w:val="18"/>
              </w:rPr>
            </w:pPr>
            <w:r w:rsidRPr="009A63E2">
              <w:rPr>
                <w:rFonts w:ascii="Arial Narrow" w:hAnsi="Arial Narrow"/>
                <w:b/>
                <w:iCs/>
                <w:sz w:val="18"/>
                <w:szCs w:val="18"/>
              </w:rPr>
              <w:t>Rpts</w:t>
            </w:r>
          </w:p>
        </w:tc>
        <w:tc>
          <w:tcPr>
            <w:tcW w:w="1880" w:type="dxa"/>
            <w:tcBorders>
              <w:top w:val="single" w:sz="4" w:space="0" w:color="auto"/>
              <w:left w:val="single" w:sz="4" w:space="0" w:color="auto"/>
              <w:bottom w:val="single" w:sz="4" w:space="0" w:color="auto"/>
              <w:right w:val="single" w:sz="4" w:space="0" w:color="auto"/>
            </w:tcBorders>
            <w:vAlign w:val="center"/>
            <w:hideMark/>
          </w:tcPr>
          <w:p w14:paraId="7EC66316" w14:textId="77777777" w:rsidR="009A63E2" w:rsidRPr="009A63E2" w:rsidRDefault="009A63E2" w:rsidP="00115C14">
            <w:pPr>
              <w:keepLines/>
              <w:rPr>
                <w:rFonts w:ascii="Arial Narrow" w:hAnsi="Arial Narrow"/>
                <w:b/>
                <w:iCs/>
                <w:sz w:val="18"/>
                <w:szCs w:val="18"/>
                <w:lang w:val="fr-FR"/>
              </w:rPr>
            </w:pPr>
            <w:r w:rsidRPr="009A63E2">
              <w:rPr>
                <w:rFonts w:ascii="Arial Narrow" w:hAnsi="Arial Narrow"/>
                <w:b/>
                <w:iCs/>
                <w:sz w:val="18"/>
                <w:szCs w:val="18"/>
              </w:rPr>
              <w:t>Available brands</w:t>
            </w:r>
          </w:p>
        </w:tc>
      </w:tr>
      <w:tr w:rsidR="009A63E2" w:rsidRPr="009A63E2" w14:paraId="26E06686" w14:textId="77777777" w:rsidTr="00115C14">
        <w:trPr>
          <w:cantSplit/>
          <w:trHeight w:val="20"/>
        </w:trPr>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38C98AD9" w14:textId="77777777" w:rsidR="009A63E2" w:rsidRPr="009A63E2" w:rsidRDefault="009A63E2" w:rsidP="00115C14">
            <w:pPr>
              <w:pStyle w:val="TableText"/>
              <w:keepNext w:val="0"/>
              <w:spacing w:line="256" w:lineRule="auto"/>
              <w:rPr>
                <w:rFonts w:cs="Times New Roman"/>
                <w:i/>
                <w:iCs/>
                <w:sz w:val="18"/>
                <w:szCs w:val="18"/>
                <w:lang w:eastAsia="en-US"/>
              </w:rPr>
            </w:pPr>
            <w:r w:rsidRPr="009A63E2">
              <w:rPr>
                <w:i/>
                <w:iCs/>
                <w:smallCaps/>
                <w:sz w:val="18"/>
                <w:szCs w:val="18"/>
                <w:lang w:eastAsia="en-US"/>
              </w:rPr>
              <w:t>FARICIMAB</w:t>
            </w:r>
          </w:p>
        </w:tc>
      </w:tr>
      <w:tr w:rsidR="009A63E2" w:rsidRPr="009A63E2" w14:paraId="26F3893B" w14:textId="77777777" w:rsidTr="00115C14">
        <w:trPr>
          <w:cantSplit/>
          <w:trHeight w:val="20"/>
        </w:trPr>
        <w:tc>
          <w:tcPr>
            <w:tcW w:w="3937" w:type="dxa"/>
            <w:gridSpan w:val="2"/>
            <w:tcBorders>
              <w:top w:val="single" w:sz="4" w:space="0" w:color="auto"/>
              <w:left w:val="single" w:sz="4" w:space="0" w:color="auto"/>
              <w:bottom w:val="single" w:sz="4" w:space="0" w:color="auto"/>
              <w:right w:val="single" w:sz="4" w:space="0" w:color="auto"/>
            </w:tcBorders>
            <w:vAlign w:val="center"/>
          </w:tcPr>
          <w:p w14:paraId="09C9E54B" w14:textId="77777777" w:rsidR="009A63E2" w:rsidRPr="009A63E2" w:rsidRDefault="009A63E2" w:rsidP="00115C14">
            <w:pPr>
              <w:pStyle w:val="TableText"/>
              <w:keepNext w:val="0"/>
              <w:spacing w:line="256" w:lineRule="auto"/>
              <w:rPr>
                <w:iCs/>
                <w:sz w:val="18"/>
                <w:szCs w:val="18"/>
                <w:lang w:eastAsia="en-US"/>
              </w:rPr>
            </w:pPr>
            <w:r w:rsidRPr="009A63E2">
              <w:rPr>
                <w:iCs/>
                <w:sz w:val="18"/>
                <w:szCs w:val="18"/>
                <w:lang w:eastAsia="en-US"/>
              </w:rPr>
              <w:t>faricimab 28.8 mg / 0.24 mL solution for injection, vial</w:t>
            </w:r>
          </w:p>
          <w:p w14:paraId="216E3415" w14:textId="77777777" w:rsidR="009A63E2" w:rsidRPr="009A63E2" w:rsidRDefault="009A63E2" w:rsidP="00115C14">
            <w:pPr>
              <w:keepLines/>
              <w:rPr>
                <w:rFonts w:ascii="Arial Narrow" w:hAnsi="Arial Narrow"/>
                <w:iCs/>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1BD0C832" w14:textId="77777777" w:rsidR="009A63E2" w:rsidRPr="009A63E2" w:rsidRDefault="009A63E2" w:rsidP="00115C14">
            <w:pPr>
              <w:keepLines/>
              <w:jc w:val="center"/>
              <w:rPr>
                <w:rFonts w:ascii="Arial Narrow" w:hAnsi="Arial Narrow"/>
                <w:i/>
                <w:iCs/>
                <w:sz w:val="18"/>
                <w:szCs w:val="18"/>
              </w:rPr>
            </w:pPr>
            <w:r w:rsidRPr="009A63E2">
              <w:rPr>
                <w:rFonts w:ascii="Arial Narrow" w:hAnsi="Arial Narrow"/>
                <w:i/>
                <w:iCs/>
                <w:sz w:val="18"/>
                <w:szCs w:val="18"/>
              </w:rPr>
              <w:t>NEW</w:t>
            </w:r>
          </w:p>
        </w:tc>
        <w:tc>
          <w:tcPr>
            <w:tcW w:w="811" w:type="dxa"/>
            <w:tcBorders>
              <w:top w:val="single" w:sz="4" w:space="0" w:color="auto"/>
              <w:left w:val="single" w:sz="4" w:space="0" w:color="auto"/>
              <w:bottom w:val="single" w:sz="4" w:space="0" w:color="auto"/>
              <w:right w:val="single" w:sz="4" w:space="0" w:color="auto"/>
            </w:tcBorders>
            <w:vAlign w:val="center"/>
            <w:hideMark/>
          </w:tcPr>
          <w:p w14:paraId="339CF357" w14:textId="77777777" w:rsidR="009A63E2" w:rsidRPr="009A63E2" w:rsidRDefault="009A63E2" w:rsidP="00115C14">
            <w:pPr>
              <w:keepLines/>
              <w:jc w:val="center"/>
              <w:rPr>
                <w:rFonts w:ascii="Arial Narrow" w:hAnsi="Arial Narrow"/>
                <w:iCs/>
                <w:sz w:val="18"/>
                <w:szCs w:val="18"/>
              </w:rPr>
            </w:pPr>
            <w:r w:rsidRPr="009A63E2">
              <w:rPr>
                <w:rFonts w:ascii="Arial Narrow" w:hAnsi="Arial Narrow"/>
                <w:iCs/>
                <w:sz w:val="18"/>
                <w:szCs w:val="1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27302DE5" w14:textId="77777777" w:rsidR="009A63E2" w:rsidRPr="009A63E2" w:rsidRDefault="009A63E2" w:rsidP="00115C14">
            <w:pPr>
              <w:keepLines/>
              <w:jc w:val="center"/>
              <w:rPr>
                <w:rFonts w:ascii="Arial Narrow" w:hAnsi="Arial Narrow"/>
                <w:iCs/>
                <w:sz w:val="18"/>
                <w:szCs w:val="18"/>
              </w:rPr>
            </w:pPr>
            <w:r w:rsidRPr="009A63E2">
              <w:rPr>
                <w:rFonts w:ascii="Arial Narrow" w:hAnsi="Arial Narrow"/>
                <w:iCs/>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7E5D6322" w14:textId="77777777" w:rsidR="009A63E2" w:rsidRPr="009A63E2" w:rsidRDefault="009A63E2" w:rsidP="00115C14">
            <w:pPr>
              <w:keepLines/>
              <w:jc w:val="center"/>
              <w:rPr>
                <w:rFonts w:ascii="Arial Narrow" w:hAnsi="Arial Narrow"/>
                <w:i/>
                <w:iCs/>
                <w:sz w:val="18"/>
                <w:szCs w:val="18"/>
              </w:rPr>
            </w:pPr>
            <w:r w:rsidRPr="009A63E2">
              <w:rPr>
                <w:rFonts w:ascii="Arial Narrow" w:hAnsi="Arial Narrow"/>
                <w:iCs/>
                <w:strike/>
                <w:sz w:val="18"/>
                <w:szCs w:val="18"/>
              </w:rPr>
              <w:t>5</w:t>
            </w:r>
            <w:r w:rsidRPr="009A63E2">
              <w:rPr>
                <w:rFonts w:ascii="Arial Narrow" w:hAnsi="Arial Narrow"/>
                <w:i/>
                <w:iCs/>
                <w:sz w:val="18"/>
                <w:szCs w:val="18"/>
              </w:rPr>
              <w:t>1</w:t>
            </w:r>
          </w:p>
        </w:tc>
        <w:tc>
          <w:tcPr>
            <w:tcW w:w="1880" w:type="dxa"/>
            <w:tcBorders>
              <w:top w:val="single" w:sz="4" w:space="0" w:color="auto"/>
              <w:left w:val="single" w:sz="4" w:space="0" w:color="auto"/>
              <w:bottom w:val="single" w:sz="4" w:space="0" w:color="auto"/>
              <w:right w:val="single" w:sz="4" w:space="0" w:color="auto"/>
            </w:tcBorders>
            <w:vAlign w:val="center"/>
            <w:hideMark/>
          </w:tcPr>
          <w:p w14:paraId="5FB1115A" w14:textId="77777777" w:rsidR="009A63E2" w:rsidRPr="009A63E2" w:rsidRDefault="009A63E2" w:rsidP="00115C14">
            <w:pPr>
              <w:keepLines/>
              <w:jc w:val="center"/>
              <w:rPr>
                <w:rFonts w:ascii="Arial Narrow" w:eastAsiaTheme="majorEastAsia" w:hAnsi="Arial Narrow" w:cstheme="majorBidi"/>
                <w:bCs/>
                <w:iCs/>
                <w:sz w:val="18"/>
                <w:szCs w:val="18"/>
              </w:rPr>
            </w:pPr>
            <w:r w:rsidRPr="009A63E2">
              <w:rPr>
                <w:rFonts w:ascii="Arial Narrow" w:eastAsiaTheme="majorEastAsia" w:hAnsi="Arial Narrow" w:cstheme="majorBidi"/>
                <w:bCs/>
                <w:iCs/>
                <w:sz w:val="18"/>
                <w:szCs w:val="18"/>
              </w:rPr>
              <w:t>Vabysmo</w:t>
            </w:r>
          </w:p>
        </w:tc>
      </w:tr>
      <w:tr w:rsidR="009A63E2" w:rsidRPr="009A63E2" w14:paraId="2FAE549E" w14:textId="77777777" w:rsidTr="00115C14">
        <w:trPr>
          <w:cantSplit/>
          <w:trHeight w:val="20"/>
        </w:trPr>
        <w:tc>
          <w:tcPr>
            <w:tcW w:w="3937" w:type="dxa"/>
            <w:gridSpan w:val="2"/>
            <w:tcBorders>
              <w:top w:val="single" w:sz="4" w:space="0" w:color="auto"/>
              <w:left w:val="single" w:sz="4" w:space="0" w:color="auto"/>
              <w:bottom w:val="single" w:sz="4" w:space="0" w:color="auto"/>
              <w:right w:val="single" w:sz="4" w:space="0" w:color="auto"/>
            </w:tcBorders>
            <w:vAlign w:val="center"/>
            <w:hideMark/>
          </w:tcPr>
          <w:p w14:paraId="67E4669C" w14:textId="77777777" w:rsidR="009A63E2" w:rsidRPr="009A63E2" w:rsidRDefault="009A63E2" w:rsidP="00115C14">
            <w:pPr>
              <w:keepLines/>
              <w:rPr>
                <w:rFonts w:ascii="Arial Narrow" w:hAnsi="Arial Narrow"/>
                <w:iCs/>
                <w:sz w:val="18"/>
                <w:szCs w:val="18"/>
              </w:rPr>
            </w:pPr>
            <w:r w:rsidRPr="009A63E2">
              <w:rPr>
                <w:rFonts w:ascii="Arial Narrow" w:hAnsi="Arial Narrow"/>
                <w:iCs/>
                <w:sz w:val="18"/>
                <w:szCs w:val="18"/>
              </w:rPr>
              <w:t>faricimab 24.0 mg / 0.2 mL solution for injection, pre-filled syringe</w:t>
            </w:r>
          </w:p>
        </w:tc>
        <w:tc>
          <w:tcPr>
            <w:tcW w:w="811" w:type="dxa"/>
            <w:tcBorders>
              <w:top w:val="single" w:sz="4" w:space="0" w:color="auto"/>
              <w:left w:val="single" w:sz="4" w:space="0" w:color="auto"/>
              <w:bottom w:val="single" w:sz="4" w:space="0" w:color="auto"/>
              <w:right w:val="single" w:sz="4" w:space="0" w:color="auto"/>
            </w:tcBorders>
            <w:vAlign w:val="center"/>
            <w:hideMark/>
          </w:tcPr>
          <w:p w14:paraId="40416822" w14:textId="77777777" w:rsidR="009A63E2" w:rsidRPr="009A63E2" w:rsidRDefault="009A63E2" w:rsidP="00115C14">
            <w:pPr>
              <w:keepLines/>
              <w:jc w:val="center"/>
              <w:rPr>
                <w:rFonts w:ascii="Arial Narrow" w:hAnsi="Arial Narrow"/>
                <w:i/>
                <w:iCs/>
                <w:sz w:val="18"/>
                <w:szCs w:val="18"/>
              </w:rPr>
            </w:pPr>
            <w:r w:rsidRPr="009A63E2">
              <w:rPr>
                <w:rFonts w:ascii="Arial Narrow" w:hAnsi="Arial Narrow"/>
                <w:i/>
                <w:iCs/>
                <w:sz w:val="18"/>
                <w:szCs w:val="18"/>
              </w:rPr>
              <w:t>NEW</w:t>
            </w:r>
          </w:p>
        </w:tc>
        <w:tc>
          <w:tcPr>
            <w:tcW w:w="811" w:type="dxa"/>
            <w:tcBorders>
              <w:top w:val="single" w:sz="4" w:space="0" w:color="auto"/>
              <w:left w:val="single" w:sz="4" w:space="0" w:color="auto"/>
              <w:bottom w:val="single" w:sz="4" w:space="0" w:color="auto"/>
              <w:right w:val="single" w:sz="4" w:space="0" w:color="auto"/>
            </w:tcBorders>
            <w:vAlign w:val="center"/>
            <w:hideMark/>
          </w:tcPr>
          <w:p w14:paraId="2844A4B0" w14:textId="77777777" w:rsidR="009A63E2" w:rsidRPr="009A63E2" w:rsidRDefault="009A63E2" w:rsidP="00115C14">
            <w:pPr>
              <w:keepLines/>
              <w:jc w:val="center"/>
              <w:rPr>
                <w:rFonts w:ascii="Arial Narrow" w:hAnsi="Arial Narrow"/>
                <w:iCs/>
                <w:sz w:val="18"/>
                <w:szCs w:val="18"/>
              </w:rPr>
            </w:pPr>
            <w:r w:rsidRPr="009A63E2">
              <w:rPr>
                <w:rFonts w:ascii="Arial Narrow" w:hAnsi="Arial Narrow"/>
                <w:iCs/>
                <w:sz w:val="18"/>
                <w:szCs w:val="1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6C6EC096" w14:textId="77777777" w:rsidR="009A63E2" w:rsidRPr="009A63E2" w:rsidRDefault="009A63E2" w:rsidP="00115C14">
            <w:pPr>
              <w:keepLines/>
              <w:jc w:val="center"/>
              <w:rPr>
                <w:rFonts w:ascii="Arial Narrow" w:hAnsi="Arial Narrow"/>
                <w:iCs/>
                <w:sz w:val="18"/>
                <w:szCs w:val="18"/>
              </w:rPr>
            </w:pPr>
            <w:r w:rsidRPr="009A63E2">
              <w:rPr>
                <w:rFonts w:ascii="Arial Narrow" w:hAnsi="Arial Narrow"/>
                <w:iCs/>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6FDF33B9" w14:textId="77777777" w:rsidR="009A63E2" w:rsidRPr="009A63E2" w:rsidRDefault="009A63E2" w:rsidP="00115C14">
            <w:pPr>
              <w:keepLines/>
              <w:jc w:val="center"/>
              <w:rPr>
                <w:rFonts w:ascii="Arial Narrow" w:hAnsi="Arial Narrow"/>
                <w:i/>
                <w:iCs/>
                <w:sz w:val="18"/>
                <w:szCs w:val="18"/>
              </w:rPr>
            </w:pPr>
            <w:r w:rsidRPr="009A63E2">
              <w:rPr>
                <w:rFonts w:ascii="Arial Narrow" w:hAnsi="Arial Narrow"/>
                <w:iCs/>
                <w:strike/>
                <w:sz w:val="18"/>
                <w:szCs w:val="18"/>
              </w:rPr>
              <w:t>5</w:t>
            </w:r>
            <w:r w:rsidRPr="009A63E2">
              <w:rPr>
                <w:rFonts w:ascii="Arial Narrow" w:hAnsi="Arial Narrow"/>
                <w:i/>
                <w:iCs/>
                <w:sz w:val="18"/>
                <w:szCs w:val="18"/>
              </w:rPr>
              <w:t>1</w:t>
            </w:r>
          </w:p>
        </w:tc>
        <w:tc>
          <w:tcPr>
            <w:tcW w:w="1880" w:type="dxa"/>
            <w:tcBorders>
              <w:top w:val="single" w:sz="4" w:space="0" w:color="auto"/>
              <w:left w:val="single" w:sz="4" w:space="0" w:color="auto"/>
              <w:bottom w:val="single" w:sz="4" w:space="0" w:color="auto"/>
              <w:right w:val="single" w:sz="4" w:space="0" w:color="auto"/>
            </w:tcBorders>
            <w:vAlign w:val="center"/>
            <w:hideMark/>
          </w:tcPr>
          <w:p w14:paraId="60D03C83" w14:textId="77777777" w:rsidR="009A63E2" w:rsidRPr="009A63E2" w:rsidRDefault="009A63E2" w:rsidP="00115C14">
            <w:pPr>
              <w:keepLines/>
              <w:jc w:val="center"/>
              <w:rPr>
                <w:rFonts w:ascii="Arial Narrow" w:eastAsiaTheme="majorEastAsia" w:hAnsi="Arial Narrow" w:cstheme="majorBidi"/>
                <w:bCs/>
                <w:iCs/>
                <w:sz w:val="18"/>
                <w:szCs w:val="18"/>
              </w:rPr>
            </w:pPr>
            <w:r w:rsidRPr="009A63E2">
              <w:rPr>
                <w:rFonts w:ascii="Arial Narrow" w:eastAsiaTheme="majorEastAsia" w:hAnsi="Arial Narrow" w:cstheme="majorBidi"/>
                <w:bCs/>
                <w:iCs/>
                <w:sz w:val="18"/>
                <w:szCs w:val="18"/>
              </w:rPr>
              <w:t>Vabysmo</w:t>
            </w:r>
          </w:p>
        </w:tc>
      </w:tr>
      <w:tr w:rsidR="009A63E2" w:rsidRPr="009A63E2" w14:paraId="31E1A500" w14:textId="77777777" w:rsidTr="00115C14">
        <w:trPr>
          <w:trHeight w:val="20"/>
        </w:trPr>
        <w:tc>
          <w:tcPr>
            <w:tcW w:w="9060"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F101DF" w14:textId="77777777" w:rsidR="009A63E2" w:rsidRPr="009A63E2" w:rsidRDefault="009A63E2" w:rsidP="00115C14">
            <w:pPr>
              <w:rPr>
                <w:rFonts w:ascii="Arial Narrow" w:hAnsi="Arial Narrow"/>
                <w:sz w:val="18"/>
                <w:szCs w:val="18"/>
              </w:rPr>
            </w:pPr>
          </w:p>
        </w:tc>
      </w:tr>
      <w:tr w:rsidR="009A63E2" w:rsidRPr="009A63E2" w14:paraId="7B0DDDE4" w14:textId="77777777" w:rsidTr="00115C14">
        <w:trPr>
          <w:cantSplit/>
          <w:trHeight w:val="20"/>
        </w:trPr>
        <w:tc>
          <w:tcPr>
            <w:tcW w:w="127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3ADD60" w14:textId="55B16AF3"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04B7D2C" w14:textId="77777777" w:rsidR="009A63E2" w:rsidRPr="009A63E2" w:rsidRDefault="009A63E2" w:rsidP="00115C14">
            <w:pPr>
              <w:rPr>
                <w:rFonts w:ascii="Arial Narrow" w:hAnsi="Arial Narrow"/>
                <w:b/>
                <w:bCs/>
                <w:sz w:val="18"/>
                <w:szCs w:val="18"/>
              </w:rPr>
            </w:pPr>
            <w:r w:rsidRPr="009A63E2">
              <w:rPr>
                <w:rFonts w:ascii="Arial Narrow" w:hAnsi="Arial Narrow"/>
                <w:b/>
                <w:sz w:val="18"/>
                <w:szCs w:val="18"/>
              </w:rPr>
              <w:t xml:space="preserve">Category / Program: </w:t>
            </w:r>
            <w:r w:rsidRPr="009A63E2">
              <w:rPr>
                <w:rFonts w:ascii="Arial Narrow" w:hAnsi="Arial Narrow"/>
                <w:sz w:val="18"/>
                <w:szCs w:val="18"/>
              </w:rPr>
              <w:t>GENERAL – General Schedule (Code GE)</w:t>
            </w:r>
          </w:p>
        </w:tc>
      </w:tr>
      <w:tr w:rsidR="009A63E2" w:rsidRPr="009A63E2" w14:paraId="578C11E7" w14:textId="77777777" w:rsidTr="00115C14">
        <w:trPr>
          <w:cantSplit/>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E067D05" w14:textId="77777777" w:rsidR="009A63E2" w:rsidRPr="009A63E2" w:rsidRDefault="009A63E2" w:rsidP="00115C14">
            <w:pP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F71922" w14:textId="77777777" w:rsidR="009A63E2" w:rsidRPr="009A63E2" w:rsidRDefault="009A63E2" w:rsidP="00115C14">
            <w:pPr>
              <w:rPr>
                <w:rFonts w:ascii="Arial Narrow" w:hAnsi="Arial Narrow"/>
                <w:b/>
                <w:bCs/>
                <w:sz w:val="18"/>
                <w:szCs w:val="18"/>
              </w:rPr>
            </w:pPr>
            <w:r w:rsidRPr="009A63E2">
              <w:rPr>
                <w:rFonts w:ascii="Arial Narrow" w:hAnsi="Arial Narrow"/>
                <w:b/>
                <w:sz w:val="18"/>
                <w:szCs w:val="18"/>
              </w:rPr>
              <w:t xml:space="preserve">Prescriber type: </w:t>
            </w:r>
            <w:r w:rsidRPr="009A63E2">
              <w:rPr>
                <w:rFonts w:ascii="Arial Narrow" w:hAnsi="Arial Narrow"/>
                <w:sz w:val="18"/>
                <w:szCs w:val="18"/>
              </w:rPr>
              <w:fldChar w:fldCharType="begin">
                <w:ffData>
                  <w:name w:val=""/>
                  <w:enabled/>
                  <w:calcOnExit w:val="0"/>
                  <w:checkBox>
                    <w:sizeAuto/>
                    <w:default w:val="1"/>
                  </w:checkBox>
                </w:ffData>
              </w:fldChar>
            </w:r>
            <w:r w:rsidRPr="009A63E2">
              <w:rPr>
                <w:rFonts w:ascii="Arial Narrow" w:hAnsi="Arial Narrow"/>
                <w:sz w:val="18"/>
                <w:szCs w:val="18"/>
              </w:rPr>
              <w:instrText xml:space="preserve"> FORMCHECKBOX </w:instrText>
            </w:r>
            <w:r w:rsidR="00786949">
              <w:rPr>
                <w:rFonts w:ascii="Arial Narrow" w:hAnsi="Arial Narrow"/>
                <w:sz w:val="18"/>
                <w:szCs w:val="18"/>
              </w:rPr>
            </w:r>
            <w:r w:rsidR="00786949">
              <w:rPr>
                <w:rFonts w:ascii="Arial Narrow" w:hAnsi="Arial Narrow"/>
                <w:sz w:val="18"/>
                <w:szCs w:val="18"/>
              </w:rPr>
              <w:fldChar w:fldCharType="separate"/>
            </w:r>
            <w:r w:rsidRPr="009A63E2">
              <w:rPr>
                <w:rFonts w:ascii="Arial Narrow" w:hAnsi="Arial Narrow"/>
                <w:sz w:val="18"/>
                <w:szCs w:val="18"/>
              </w:rPr>
              <w:fldChar w:fldCharType="end"/>
            </w:r>
            <w:r w:rsidRPr="009A63E2">
              <w:rPr>
                <w:rFonts w:ascii="Arial Narrow" w:hAnsi="Arial Narrow"/>
                <w:sz w:val="18"/>
                <w:szCs w:val="18"/>
              </w:rPr>
              <w:t>Medical</w:t>
            </w:r>
          </w:p>
        </w:tc>
      </w:tr>
      <w:tr w:rsidR="009A63E2" w:rsidRPr="009A63E2" w14:paraId="028B748F" w14:textId="77777777" w:rsidTr="00115C14">
        <w:trPr>
          <w:cantSplit/>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397C1FB" w14:textId="77777777" w:rsidR="009A63E2" w:rsidRPr="009A63E2" w:rsidRDefault="009A63E2" w:rsidP="00115C14">
            <w:pP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FF985B6" w14:textId="77777777" w:rsidR="009A63E2" w:rsidRPr="009A63E2" w:rsidRDefault="009A63E2" w:rsidP="00115C14">
            <w:pPr>
              <w:rPr>
                <w:rFonts w:ascii="Arial Narrow" w:hAnsi="Arial Narrow"/>
                <w:b/>
                <w:bCs/>
                <w:sz w:val="18"/>
                <w:szCs w:val="18"/>
              </w:rPr>
            </w:pPr>
            <w:r w:rsidRPr="009A63E2">
              <w:rPr>
                <w:rFonts w:ascii="Arial Narrow" w:hAnsi="Arial Narrow"/>
                <w:b/>
                <w:sz w:val="18"/>
                <w:szCs w:val="18"/>
              </w:rPr>
              <w:t xml:space="preserve">Restriction type: </w:t>
            </w:r>
            <w:r w:rsidRPr="009A63E2">
              <w:rPr>
                <w:rFonts w:ascii="Arial Narrow" w:eastAsia="Calibri" w:hAnsi="Arial Narrow"/>
                <w:sz w:val="18"/>
                <w:szCs w:val="18"/>
              </w:rPr>
              <w:fldChar w:fldCharType="begin">
                <w:ffData>
                  <w:name w:val=""/>
                  <w:enabled/>
                  <w:calcOnExit w:val="0"/>
                  <w:checkBox>
                    <w:sizeAuto/>
                    <w:default w:val="1"/>
                  </w:checkBox>
                </w:ffData>
              </w:fldChar>
            </w:r>
            <w:r w:rsidRPr="009A63E2">
              <w:rPr>
                <w:rFonts w:ascii="Arial Narrow" w:eastAsia="Calibri" w:hAnsi="Arial Narrow"/>
                <w:sz w:val="18"/>
                <w:szCs w:val="18"/>
              </w:rPr>
              <w:instrText xml:space="preserve"> FORMCHECKBOX </w:instrText>
            </w:r>
            <w:r w:rsidR="00786949">
              <w:rPr>
                <w:rFonts w:ascii="Arial Narrow" w:eastAsia="Calibri" w:hAnsi="Arial Narrow"/>
                <w:sz w:val="18"/>
                <w:szCs w:val="18"/>
              </w:rPr>
            </w:r>
            <w:r w:rsidR="00786949">
              <w:rPr>
                <w:rFonts w:ascii="Arial Narrow" w:eastAsia="Calibri" w:hAnsi="Arial Narrow"/>
                <w:sz w:val="18"/>
                <w:szCs w:val="18"/>
              </w:rPr>
              <w:fldChar w:fldCharType="separate"/>
            </w:r>
            <w:r w:rsidRPr="009A63E2">
              <w:rPr>
                <w:rFonts w:ascii="Arial Narrow" w:eastAsia="Calibri" w:hAnsi="Arial Narrow"/>
                <w:sz w:val="18"/>
                <w:szCs w:val="18"/>
              </w:rPr>
              <w:fldChar w:fldCharType="end"/>
            </w:r>
            <w:r w:rsidRPr="009A63E2">
              <w:rPr>
                <w:rFonts w:ascii="Arial Narrow" w:eastAsia="Calibri" w:hAnsi="Arial Narrow"/>
                <w:sz w:val="18"/>
                <w:szCs w:val="18"/>
              </w:rPr>
              <w:t xml:space="preserve">Authority Required – </w:t>
            </w:r>
            <w:r w:rsidRPr="009A63E2">
              <w:rPr>
                <w:rFonts w:ascii="Arial Narrow" w:eastAsia="Calibri" w:hAnsi="Arial Narrow"/>
                <w:strike/>
                <w:sz w:val="18"/>
                <w:szCs w:val="18"/>
              </w:rPr>
              <w:t>Telephone</w:t>
            </w:r>
            <w:r w:rsidRPr="009A63E2">
              <w:rPr>
                <w:rFonts w:ascii="Arial Narrow" w:eastAsia="Calibri" w:hAnsi="Arial Narrow"/>
                <w:sz w:val="18"/>
                <w:szCs w:val="18"/>
              </w:rPr>
              <w:t xml:space="preserve"> </w:t>
            </w:r>
            <w:r w:rsidRPr="009A63E2">
              <w:rPr>
                <w:rFonts w:ascii="Arial Narrow" w:eastAsia="Calibri" w:hAnsi="Arial Narrow"/>
                <w:i/>
                <w:iCs/>
                <w:sz w:val="18"/>
                <w:szCs w:val="18"/>
              </w:rPr>
              <w:t xml:space="preserve">(STREAMLINED) </w:t>
            </w:r>
          </w:p>
        </w:tc>
      </w:tr>
      <w:tr w:rsidR="009A63E2" w:rsidRPr="009A63E2" w14:paraId="0763F920"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033278" w14:textId="1260CED0"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4B3F8FF" w14:textId="77777777" w:rsidR="009A63E2" w:rsidRPr="009A63E2" w:rsidRDefault="009A63E2" w:rsidP="00115C14">
            <w:pPr>
              <w:rPr>
                <w:rFonts w:ascii="Arial Narrow" w:hAnsi="Arial Narrow"/>
                <w:b/>
                <w:bCs/>
                <w:sz w:val="18"/>
                <w:szCs w:val="18"/>
              </w:rPr>
            </w:pPr>
            <w:r w:rsidRPr="009A63E2">
              <w:rPr>
                <w:rFonts w:ascii="Arial Narrow" w:hAnsi="Arial Narrow"/>
                <w:b/>
                <w:bCs/>
                <w:sz w:val="18"/>
                <w:szCs w:val="18"/>
              </w:rPr>
              <w:t>Indication:</w:t>
            </w:r>
            <w:r w:rsidRPr="009A63E2">
              <w:rPr>
                <w:rFonts w:ascii="Arial Narrow" w:hAnsi="Arial Narrow"/>
                <w:sz w:val="18"/>
                <w:szCs w:val="18"/>
              </w:rPr>
              <w:t xml:space="preserve"> </w:t>
            </w:r>
            <w:r w:rsidRPr="009A63E2">
              <w:rPr>
                <w:rFonts w:ascii="Arial Narrow" w:eastAsia="Calibri" w:hAnsi="Arial Narrow"/>
                <w:sz w:val="18"/>
                <w:szCs w:val="18"/>
              </w:rPr>
              <w:t>Subfoveal choroidal neovascularisation (CNV)</w:t>
            </w:r>
          </w:p>
        </w:tc>
      </w:tr>
      <w:tr w:rsidR="009A63E2" w:rsidRPr="009A63E2" w14:paraId="2AE955D6"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158F3BA" w14:textId="77777777"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C8AFBC3" w14:textId="77777777" w:rsidR="009A63E2" w:rsidRPr="009A63E2" w:rsidRDefault="009A63E2" w:rsidP="00115C14">
            <w:pPr>
              <w:rPr>
                <w:rFonts w:ascii="Arial Narrow" w:hAnsi="Arial Narrow"/>
                <w:b/>
                <w:bCs/>
                <w:i/>
                <w:iCs/>
                <w:sz w:val="18"/>
                <w:szCs w:val="18"/>
              </w:rPr>
            </w:pPr>
            <w:r w:rsidRPr="009A63E2">
              <w:rPr>
                <w:rFonts w:ascii="Arial Narrow" w:hAnsi="Arial Narrow"/>
                <w:b/>
                <w:bCs/>
                <w:sz w:val="18"/>
                <w:szCs w:val="18"/>
              </w:rPr>
              <w:t xml:space="preserve">Treatment Phase: </w:t>
            </w:r>
            <w:r w:rsidRPr="009A63E2">
              <w:rPr>
                <w:rFonts w:ascii="Arial Narrow" w:hAnsi="Arial Narrow"/>
                <w:sz w:val="18"/>
                <w:szCs w:val="18"/>
              </w:rPr>
              <w:t>Continuing treatment</w:t>
            </w:r>
          </w:p>
        </w:tc>
      </w:tr>
      <w:tr w:rsidR="009A63E2" w:rsidRPr="009A63E2" w14:paraId="29A5BA8B"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8EBF18" w14:textId="26EAAF92"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345D915" w14:textId="77777777" w:rsidR="009A63E2" w:rsidRPr="009A63E2" w:rsidRDefault="009A63E2" w:rsidP="00115C14">
            <w:pPr>
              <w:rPr>
                <w:rFonts w:ascii="Arial Narrow" w:hAnsi="Arial Narrow"/>
                <w:b/>
                <w:bCs/>
                <w:sz w:val="18"/>
                <w:szCs w:val="18"/>
              </w:rPr>
            </w:pPr>
            <w:r w:rsidRPr="009A63E2">
              <w:rPr>
                <w:rFonts w:ascii="Arial Narrow" w:hAnsi="Arial Narrow"/>
                <w:b/>
                <w:bCs/>
                <w:sz w:val="18"/>
                <w:szCs w:val="18"/>
              </w:rPr>
              <w:t>Treatment criteria:</w:t>
            </w:r>
          </w:p>
        </w:tc>
      </w:tr>
      <w:tr w:rsidR="009A63E2" w:rsidRPr="009A63E2" w14:paraId="019E3416"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5F23E03" w14:textId="145E3BC0"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41EFED" w14:textId="77777777" w:rsidR="009A63E2" w:rsidRPr="009A63E2" w:rsidRDefault="009A63E2" w:rsidP="00115C14">
            <w:pPr>
              <w:rPr>
                <w:rFonts w:ascii="Arial Narrow" w:hAnsi="Arial Narrow"/>
                <w:b/>
                <w:bCs/>
                <w:sz w:val="18"/>
                <w:szCs w:val="18"/>
              </w:rPr>
            </w:pPr>
            <w:r w:rsidRPr="009A63E2">
              <w:rPr>
                <w:rFonts w:ascii="Arial Narrow" w:hAnsi="Arial Narrow"/>
                <w:sz w:val="18"/>
                <w:szCs w:val="18"/>
              </w:rPr>
              <w:t>Must be treated by an ophthalmologist or by an accredited ophthalmology registrar in consultation with an ophthalmologist</w:t>
            </w:r>
          </w:p>
        </w:tc>
      </w:tr>
      <w:tr w:rsidR="009A63E2" w:rsidRPr="009A63E2" w14:paraId="14D4E44F"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40F36E" w14:textId="77777777"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C788B9" w14:textId="77777777" w:rsidR="009A63E2" w:rsidRPr="009A63E2" w:rsidRDefault="009A63E2" w:rsidP="00115C14">
            <w:pPr>
              <w:rPr>
                <w:rFonts w:ascii="Arial Narrow" w:hAnsi="Arial Narrow"/>
                <w:sz w:val="18"/>
                <w:szCs w:val="18"/>
              </w:rPr>
            </w:pPr>
            <w:r w:rsidRPr="009A63E2">
              <w:rPr>
                <w:rFonts w:ascii="Arial Narrow" w:hAnsi="Arial Narrow"/>
                <w:b/>
                <w:bCs/>
                <w:sz w:val="18"/>
                <w:szCs w:val="18"/>
              </w:rPr>
              <w:t>AND</w:t>
            </w:r>
          </w:p>
        </w:tc>
      </w:tr>
      <w:tr w:rsidR="009A63E2" w:rsidRPr="009A63E2" w14:paraId="74626D41"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6476448" w14:textId="7E26E1B4"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DEFB7B" w14:textId="77777777" w:rsidR="009A63E2" w:rsidRPr="009A63E2" w:rsidRDefault="009A63E2" w:rsidP="00115C14">
            <w:pPr>
              <w:rPr>
                <w:rFonts w:ascii="Arial Narrow" w:hAnsi="Arial Narrow"/>
                <w:b/>
                <w:bCs/>
                <w:sz w:val="18"/>
                <w:szCs w:val="18"/>
              </w:rPr>
            </w:pPr>
            <w:r w:rsidRPr="009A63E2">
              <w:rPr>
                <w:rFonts w:ascii="Arial Narrow" w:hAnsi="Arial Narrow"/>
                <w:b/>
                <w:sz w:val="18"/>
                <w:szCs w:val="18"/>
              </w:rPr>
              <w:t>Clinical criteria:</w:t>
            </w:r>
            <w:r w:rsidRPr="009A63E2">
              <w:rPr>
                <w:rFonts w:ascii="Arial Narrow" w:hAnsi="Arial Narrow"/>
                <w:sz w:val="18"/>
                <w:szCs w:val="18"/>
              </w:rPr>
              <w:t xml:space="preserve"> </w:t>
            </w:r>
          </w:p>
        </w:tc>
      </w:tr>
      <w:tr w:rsidR="009A63E2" w:rsidRPr="009A63E2" w14:paraId="11183563"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065311" w14:textId="34ADB5FF"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0ADA824" w14:textId="77777777" w:rsidR="009A63E2" w:rsidRPr="009A63E2" w:rsidRDefault="009A63E2" w:rsidP="00115C14">
            <w:pPr>
              <w:rPr>
                <w:rFonts w:ascii="Arial Narrow" w:hAnsi="Arial Narrow"/>
                <w:b/>
                <w:bCs/>
                <w:sz w:val="18"/>
                <w:szCs w:val="18"/>
              </w:rPr>
            </w:pPr>
            <w:r w:rsidRPr="009A63E2">
              <w:rPr>
                <w:rFonts w:ascii="Arial Narrow" w:hAnsi="Arial Narrow"/>
                <w:sz w:val="18"/>
                <w:szCs w:val="18"/>
              </w:rPr>
              <w:t>The condition must be due to age-related macular degeneration (AMD)</w:t>
            </w:r>
          </w:p>
        </w:tc>
      </w:tr>
      <w:tr w:rsidR="009A63E2" w:rsidRPr="009A63E2" w14:paraId="16FDE6BF"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C4D54E" w14:textId="77777777"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237EFF8" w14:textId="77777777" w:rsidR="009A63E2" w:rsidRPr="009A63E2" w:rsidRDefault="009A63E2" w:rsidP="00115C14">
            <w:pPr>
              <w:rPr>
                <w:rFonts w:ascii="Arial Narrow" w:hAnsi="Arial Narrow"/>
                <w:b/>
                <w:bCs/>
                <w:sz w:val="18"/>
                <w:szCs w:val="18"/>
              </w:rPr>
            </w:pPr>
            <w:r w:rsidRPr="009A63E2">
              <w:rPr>
                <w:rFonts w:ascii="Arial Narrow" w:hAnsi="Arial Narrow"/>
                <w:b/>
                <w:bCs/>
                <w:sz w:val="18"/>
                <w:szCs w:val="18"/>
              </w:rPr>
              <w:t>AND</w:t>
            </w:r>
          </w:p>
        </w:tc>
      </w:tr>
      <w:tr w:rsidR="009A63E2" w:rsidRPr="009A63E2" w14:paraId="2BF0410E"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89E536" w14:textId="072BB801"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2B0875" w14:textId="77777777" w:rsidR="009A63E2" w:rsidRPr="009A63E2" w:rsidRDefault="009A63E2" w:rsidP="00115C14">
            <w:pPr>
              <w:rPr>
                <w:rFonts w:ascii="Arial Narrow" w:hAnsi="Arial Narrow"/>
                <w:b/>
                <w:bCs/>
                <w:sz w:val="18"/>
                <w:szCs w:val="18"/>
              </w:rPr>
            </w:pPr>
            <w:r w:rsidRPr="009A63E2">
              <w:rPr>
                <w:rFonts w:ascii="Arial Narrow" w:hAnsi="Arial Narrow"/>
                <w:b/>
                <w:bCs/>
                <w:sz w:val="18"/>
                <w:szCs w:val="18"/>
              </w:rPr>
              <w:t>Clinical criteria:</w:t>
            </w:r>
            <w:r w:rsidRPr="009A63E2">
              <w:rPr>
                <w:rFonts w:ascii="Arial Narrow" w:hAnsi="Arial Narrow"/>
                <w:sz w:val="18"/>
                <w:szCs w:val="18"/>
              </w:rPr>
              <w:t xml:space="preserve"> </w:t>
            </w:r>
          </w:p>
        </w:tc>
      </w:tr>
      <w:tr w:rsidR="009A63E2" w:rsidRPr="009A63E2" w14:paraId="3984962D"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FC73AD" w14:textId="333EB2F7"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EE9988" w14:textId="77777777" w:rsidR="009A63E2" w:rsidRPr="009A63E2" w:rsidRDefault="009A63E2" w:rsidP="00115C14">
            <w:pPr>
              <w:rPr>
                <w:rFonts w:ascii="Arial Narrow" w:hAnsi="Arial Narrow"/>
                <w:b/>
                <w:bCs/>
                <w:sz w:val="18"/>
                <w:szCs w:val="18"/>
              </w:rPr>
            </w:pPr>
            <w:r w:rsidRPr="009A63E2">
              <w:rPr>
                <w:rFonts w:ascii="Arial Narrow" w:hAnsi="Arial Narrow"/>
                <w:sz w:val="18"/>
                <w:szCs w:val="18"/>
              </w:rPr>
              <w:t>The treatment must be the sole PBS-subsidised therapy for this condition</w:t>
            </w:r>
          </w:p>
        </w:tc>
      </w:tr>
      <w:tr w:rsidR="009A63E2" w:rsidRPr="009A63E2" w14:paraId="57CF2FFC"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8216CA" w14:textId="77777777"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FB11714" w14:textId="77777777" w:rsidR="009A63E2" w:rsidRPr="009A63E2" w:rsidRDefault="009A63E2" w:rsidP="00115C14">
            <w:pPr>
              <w:rPr>
                <w:rFonts w:ascii="Arial Narrow" w:hAnsi="Arial Narrow"/>
                <w:b/>
                <w:bCs/>
                <w:sz w:val="18"/>
                <w:szCs w:val="18"/>
              </w:rPr>
            </w:pPr>
            <w:r w:rsidRPr="009A63E2">
              <w:rPr>
                <w:rFonts w:ascii="Arial Narrow" w:hAnsi="Arial Narrow"/>
                <w:b/>
                <w:bCs/>
                <w:sz w:val="18"/>
                <w:szCs w:val="18"/>
              </w:rPr>
              <w:t>AND</w:t>
            </w:r>
          </w:p>
        </w:tc>
      </w:tr>
      <w:tr w:rsidR="009A63E2" w:rsidRPr="009A63E2" w14:paraId="6ECA1CF9"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270A898" w14:textId="076474D7"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700A515" w14:textId="77777777" w:rsidR="009A63E2" w:rsidRPr="009A63E2" w:rsidRDefault="009A63E2" w:rsidP="00115C14">
            <w:pPr>
              <w:rPr>
                <w:rFonts w:ascii="Arial Narrow" w:hAnsi="Arial Narrow"/>
                <w:b/>
                <w:bCs/>
                <w:sz w:val="18"/>
                <w:szCs w:val="18"/>
              </w:rPr>
            </w:pPr>
            <w:r w:rsidRPr="009A63E2">
              <w:rPr>
                <w:rFonts w:ascii="Arial Narrow" w:hAnsi="Arial Narrow"/>
                <w:b/>
                <w:bCs/>
                <w:sz w:val="18"/>
                <w:szCs w:val="18"/>
              </w:rPr>
              <w:t>Clinical criteria:</w:t>
            </w:r>
          </w:p>
        </w:tc>
      </w:tr>
      <w:tr w:rsidR="009A63E2" w:rsidRPr="009A63E2" w14:paraId="2C401026"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C67085" w14:textId="33E31E0B"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9D78619" w14:textId="77777777" w:rsidR="009A63E2" w:rsidRPr="009A63E2" w:rsidRDefault="009A63E2" w:rsidP="00115C14">
            <w:pPr>
              <w:rPr>
                <w:rFonts w:ascii="Arial Narrow" w:hAnsi="Arial Narrow"/>
                <w:b/>
                <w:bCs/>
                <w:sz w:val="18"/>
                <w:szCs w:val="18"/>
              </w:rPr>
            </w:pPr>
            <w:r w:rsidRPr="009A63E2">
              <w:rPr>
                <w:rFonts w:ascii="Arial Narrow" w:hAnsi="Arial Narrow"/>
                <w:sz w:val="18"/>
                <w:szCs w:val="18"/>
              </w:rPr>
              <w:t>Patient must have previously been granted an authority prescription for the same eye</w:t>
            </w:r>
          </w:p>
        </w:tc>
      </w:tr>
      <w:tr w:rsidR="009A63E2" w:rsidRPr="009A63E2" w14:paraId="0471F9FE"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B85BF2" w14:textId="77777777" w:rsidR="009A63E2" w:rsidRPr="009A63E2" w:rsidRDefault="009A63E2"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BAC1A19" w14:textId="77777777" w:rsidR="009A63E2" w:rsidRPr="009A63E2" w:rsidRDefault="009A63E2" w:rsidP="00115C14">
            <w:pPr>
              <w:rPr>
                <w:rFonts w:ascii="Arial Narrow" w:hAnsi="Arial Narrow"/>
                <w:b/>
                <w:bCs/>
                <w:sz w:val="18"/>
                <w:szCs w:val="18"/>
              </w:rPr>
            </w:pPr>
            <w:r w:rsidRPr="009A63E2">
              <w:rPr>
                <w:rFonts w:ascii="Arial Narrow" w:hAnsi="Arial Narrow"/>
                <w:b/>
                <w:bCs/>
                <w:sz w:val="18"/>
                <w:szCs w:val="18"/>
              </w:rPr>
              <w:t>AND</w:t>
            </w:r>
          </w:p>
        </w:tc>
      </w:tr>
      <w:tr w:rsidR="009A63E2" w:rsidRPr="009A63E2" w14:paraId="3D560C21"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3902EA3" w14:textId="2B045FD8" w:rsidR="009A63E2" w:rsidRPr="009A63E2" w:rsidRDefault="009A63E2" w:rsidP="00115C14">
            <w:pPr>
              <w:jc w:val="center"/>
              <w:rPr>
                <w:rFonts w:ascii="Arial Narrow" w:hAnsi="Arial Narrow"/>
                <w:strike/>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D59E0E1" w14:textId="77777777" w:rsidR="009A63E2" w:rsidRPr="009A63E2" w:rsidRDefault="009A63E2" w:rsidP="00115C14">
            <w:pPr>
              <w:rPr>
                <w:rFonts w:ascii="Arial Narrow" w:hAnsi="Arial Narrow"/>
                <w:b/>
                <w:bCs/>
                <w:strike/>
                <w:sz w:val="18"/>
                <w:szCs w:val="18"/>
              </w:rPr>
            </w:pPr>
            <w:r w:rsidRPr="009A63E2">
              <w:rPr>
                <w:rFonts w:ascii="Arial Narrow" w:hAnsi="Arial Narrow"/>
                <w:b/>
                <w:bCs/>
                <w:strike/>
                <w:sz w:val="18"/>
                <w:szCs w:val="18"/>
              </w:rPr>
              <w:t>Administrative Advice:</w:t>
            </w:r>
          </w:p>
          <w:p w14:paraId="2C150463" w14:textId="77777777" w:rsidR="009A63E2" w:rsidRPr="009A63E2" w:rsidRDefault="009A63E2" w:rsidP="00115C14">
            <w:pPr>
              <w:rPr>
                <w:rFonts w:ascii="Arial Narrow" w:hAnsi="Arial Narrow"/>
                <w:b/>
                <w:bCs/>
                <w:sz w:val="18"/>
                <w:szCs w:val="18"/>
              </w:rPr>
            </w:pPr>
            <w:r w:rsidRPr="009A63E2">
              <w:rPr>
                <w:rFonts w:ascii="Arial Narrow" w:hAnsi="Arial Narrow"/>
                <w:strike/>
                <w:sz w:val="18"/>
                <w:szCs w:val="18"/>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291C1060" w14:textId="77777777" w:rsidR="009A63E2" w:rsidRPr="009A63E2" w:rsidRDefault="009A63E2" w:rsidP="009A63E2"/>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667"/>
        <w:gridCol w:w="810"/>
        <w:gridCol w:w="811"/>
        <w:gridCol w:w="810"/>
        <w:gridCol w:w="811"/>
        <w:gridCol w:w="1880"/>
      </w:tblGrid>
      <w:tr w:rsidR="009A63E2" w:rsidRPr="009A63E2" w14:paraId="208F5330" w14:textId="77777777" w:rsidTr="000E217A">
        <w:trPr>
          <w:cantSplit/>
          <w:trHeight w:val="20"/>
        </w:trPr>
        <w:tc>
          <w:tcPr>
            <w:tcW w:w="3938" w:type="dxa"/>
            <w:gridSpan w:val="2"/>
            <w:tcBorders>
              <w:top w:val="single" w:sz="4" w:space="0" w:color="auto"/>
              <w:left w:val="single" w:sz="4" w:space="0" w:color="auto"/>
              <w:bottom w:val="single" w:sz="4" w:space="0" w:color="auto"/>
              <w:right w:val="single" w:sz="4" w:space="0" w:color="auto"/>
            </w:tcBorders>
            <w:vAlign w:val="center"/>
            <w:hideMark/>
          </w:tcPr>
          <w:p w14:paraId="34AD0A2B" w14:textId="77777777" w:rsidR="009A63E2" w:rsidRPr="009A63E2" w:rsidRDefault="009A63E2" w:rsidP="00115C14">
            <w:pPr>
              <w:keepLines/>
              <w:rPr>
                <w:rFonts w:ascii="Arial Narrow" w:hAnsi="Arial Narrow"/>
                <w:b/>
                <w:bCs/>
                <w:iCs/>
                <w:sz w:val="18"/>
                <w:szCs w:val="18"/>
              </w:rPr>
            </w:pPr>
            <w:r w:rsidRPr="009A63E2">
              <w:rPr>
                <w:rFonts w:ascii="Arial Narrow" w:hAnsi="Arial Narrow"/>
                <w:b/>
                <w:bCs/>
                <w:iCs/>
                <w:sz w:val="18"/>
                <w:szCs w:val="18"/>
              </w:rPr>
              <w:t>MEDICINAL PRODUCT</w:t>
            </w:r>
          </w:p>
          <w:p w14:paraId="6D6BDE8C" w14:textId="77777777" w:rsidR="009A63E2" w:rsidRPr="009A63E2" w:rsidRDefault="009A63E2" w:rsidP="00115C14">
            <w:pPr>
              <w:keepLines/>
              <w:rPr>
                <w:rFonts w:ascii="Arial Narrow" w:hAnsi="Arial Narrow"/>
                <w:b/>
                <w:iCs/>
                <w:sz w:val="18"/>
                <w:szCs w:val="18"/>
              </w:rPr>
            </w:pPr>
            <w:r w:rsidRPr="009A63E2">
              <w:rPr>
                <w:rFonts w:ascii="Arial Narrow" w:hAnsi="Arial Narrow"/>
                <w:b/>
                <w:bCs/>
                <w:iCs/>
                <w:sz w:val="18"/>
                <w:szCs w:val="18"/>
              </w:rPr>
              <w:t>medicinal product pack</w:t>
            </w:r>
          </w:p>
        </w:tc>
        <w:tc>
          <w:tcPr>
            <w:tcW w:w="810" w:type="dxa"/>
            <w:tcBorders>
              <w:top w:val="single" w:sz="4" w:space="0" w:color="auto"/>
              <w:left w:val="single" w:sz="4" w:space="0" w:color="auto"/>
              <w:bottom w:val="single" w:sz="4" w:space="0" w:color="auto"/>
              <w:right w:val="single" w:sz="4" w:space="0" w:color="auto"/>
            </w:tcBorders>
            <w:vAlign w:val="center"/>
            <w:hideMark/>
          </w:tcPr>
          <w:p w14:paraId="5E459346" w14:textId="77777777" w:rsidR="009A63E2" w:rsidRPr="009A63E2" w:rsidRDefault="009A63E2" w:rsidP="00115C14">
            <w:pPr>
              <w:keepLines/>
              <w:jc w:val="center"/>
              <w:rPr>
                <w:rFonts w:ascii="Arial Narrow" w:hAnsi="Arial Narrow"/>
                <w:b/>
                <w:iCs/>
                <w:sz w:val="18"/>
                <w:szCs w:val="18"/>
              </w:rPr>
            </w:pPr>
            <w:r w:rsidRPr="009A63E2">
              <w:rPr>
                <w:rFonts w:ascii="Arial Narrow" w:hAnsi="Arial Narrow"/>
                <w:b/>
                <w:iCs/>
                <w:sz w:val="18"/>
                <w:szCs w:val="18"/>
              </w:rPr>
              <w:t>PBS item code</w:t>
            </w:r>
          </w:p>
        </w:tc>
        <w:tc>
          <w:tcPr>
            <w:tcW w:w="811" w:type="dxa"/>
            <w:tcBorders>
              <w:top w:val="single" w:sz="4" w:space="0" w:color="auto"/>
              <w:left w:val="single" w:sz="4" w:space="0" w:color="auto"/>
              <w:bottom w:val="single" w:sz="4" w:space="0" w:color="auto"/>
              <w:right w:val="single" w:sz="4" w:space="0" w:color="auto"/>
            </w:tcBorders>
            <w:vAlign w:val="center"/>
            <w:hideMark/>
          </w:tcPr>
          <w:p w14:paraId="2E2FCC5B" w14:textId="77777777" w:rsidR="009A63E2" w:rsidRPr="009A63E2" w:rsidRDefault="009A63E2" w:rsidP="00115C14">
            <w:pPr>
              <w:keepLines/>
              <w:jc w:val="center"/>
              <w:rPr>
                <w:rFonts w:ascii="Arial Narrow" w:hAnsi="Arial Narrow"/>
                <w:b/>
                <w:iCs/>
                <w:sz w:val="18"/>
                <w:szCs w:val="18"/>
              </w:rPr>
            </w:pPr>
            <w:r w:rsidRPr="009A63E2">
              <w:rPr>
                <w:rFonts w:ascii="Arial Narrow" w:hAnsi="Arial Narrow"/>
                <w:b/>
                <w:iCs/>
                <w:sz w:val="18"/>
                <w:szCs w:val="18"/>
              </w:rPr>
              <w:t>Max. qty packs</w:t>
            </w:r>
          </w:p>
        </w:tc>
        <w:tc>
          <w:tcPr>
            <w:tcW w:w="810" w:type="dxa"/>
            <w:tcBorders>
              <w:top w:val="single" w:sz="4" w:space="0" w:color="auto"/>
              <w:left w:val="single" w:sz="4" w:space="0" w:color="auto"/>
              <w:bottom w:val="single" w:sz="4" w:space="0" w:color="auto"/>
              <w:right w:val="single" w:sz="4" w:space="0" w:color="auto"/>
            </w:tcBorders>
            <w:vAlign w:val="center"/>
            <w:hideMark/>
          </w:tcPr>
          <w:p w14:paraId="7ABF966C" w14:textId="77777777" w:rsidR="009A63E2" w:rsidRPr="009A63E2" w:rsidRDefault="009A63E2" w:rsidP="00115C14">
            <w:pPr>
              <w:keepLines/>
              <w:jc w:val="center"/>
              <w:rPr>
                <w:rFonts w:ascii="Arial Narrow" w:hAnsi="Arial Narrow"/>
                <w:b/>
                <w:iCs/>
                <w:sz w:val="18"/>
                <w:szCs w:val="18"/>
              </w:rPr>
            </w:pPr>
            <w:r w:rsidRPr="009A63E2">
              <w:rPr>
                <w:rFonts w:ascii="Arial Narrow" w:hAnsi="Arial Narrow"/>
                <w:b/>
                <w:iCs/>
                <w:sz w:val="18"/>
                <w:szCs w:val="18"/>
              </w:rPr>
              <w:t>Max. qty units</w:t>
            </w:r>
          </w:p>
        </w:tc>
        <w:tc>
          <w:tcPr>
            <w:tcW w:w="811" w:type="dxa"/>
            <w:tcBorders>
              <w:top w:val="single" w:sz="4" w:space="0" w:color="auto"/>
              <w:left w:val="single" w:sz="4" w:space="0" w:color="auto"/>
              <w:bottom w:val="single" w:sz="4" w:space="0" w:color="auto"/>
              <w:right w:val="single" w:sz="4" w:space="0" w:color="auto"/>
            </w:tcBorders>
            <w:vAlign w:val="center"/>
            <w:hideMark/>
          </w:tcPr>
          <w:p w14:paraId="22FAA57F" w14:textId="77777777" w:rsidR="009A63E2" w:rsidRPr="009A63E2" w:rsidRDefault="009A63E2" w:rsidP="00115C14">
            <w:pPr>
              <w:keepLines/>
              <w:jc w:val="center"/>
              <w:rPr>
                <w:rFonts w:ascii="Arial Narrow" w:hAnsi="Arial Narrow"/>
                <w:b/>
                <w:iCs/>
                <w:sz w:val="18"/>
                <w:szCs w:val="18"/>
              </w:rPr>
            </w:pPr>
            <w:r w:rsidRPr="009A63E2">
              <w:rPr>
                <w:rFonts w:ascii="Arial Narrow" w:hAnsi="Arial Narrow"/>
                <w:b/>
                <w:iCs/>
                <w:sz w:val="18"/>
                <w:szCs w:val="18"/>
              </w:rPr>
              <w:t>№.of</w:t>
            </w:r>
          </w:p>
          <w:p w14:paraId="04ABC126" w14:textId="77777777" w:rsidR="009A63E2" w:rsidRPr="009A63E2" w:rsidRDefault="009A63E2" w:rsidP="00115C14">
            <w:pPr>
              <w:keepLines/>
              <w:jc w:val="center"/>
              <w:rPr>
                <w:rFonts w:ascii="Arial Narrow" w:hAnsi="Arial Narrow"/>
                <w:b/>
                <w:iCs/>
                <w:sz w:val="18"/>
                <w:szCs w:val="18"/>
              </w:rPr>
            </w:pPr>
            <w:r w:rsidRPr="009A63E2">
              <w:rPr>
                <w:rFonts w:ascii="Arial Narrow" w:hAnsi="Arial Narrow"/>
                <w:b/>
                <w:iCs/>
                <w:sz w:val="18"/>
                <w:szCs w:val="18"/>
              </w:rPr>
              <w:t>Rpts</w:t>
            </w:r>
          </w:p>
        </w:tc>
        <w:tc>
          <w:tcPr>
            <w:tcW w:w="1880" w:type="dxa"/>
            <w:tcBorders>
              <w:top w:val="single" w:sz="4" w:space="0" w:color="auto"/>
              <w:left w:val="single" w:sz="4" w:space="0" w:color="auto"/>
              <w:bottom w:val="single" w:sz="4" w:space="0" w:color="auto"/>
              <w:right w:val="single" w:sz="4" w:space="0" w:color="auto"/>
            </w:tcBorders>
            <w:vAlign w:val="center"/>
            <w:hideMark/>
          </w:tcPr>
          <w:p w14:paraId="4C1D7145" w14:textId="77777777" w:rsidR="009A63E2" w:rsidRPr="009A63E2" w:rsidRDefault="009A63E2" w:rsidP="00115C14">
            <w:pPr>
              <w:keepLines/>
              <w:rPr>
                <w:rFonts w:ascii="Arial Narrow" w:hAnsi="Arial Narrow"/>
                <w:b/>
                <w:iCs/>
                <w:sz w:val="18"/>
                <w:szCs w:val="18"/>
                <w:lang w:val="fr-FR"/>
              </w:rPr>
            </w:pPr>
            <w:r w:rsidRPr="009A63E2">
              <w:rPr>
                <w:rFonts w:ascii="Arial Narrow" w:hAnsi="Arial Narrow"/>
                <w:b/>
                <w:iCs/>
                <w:sz w:val="18"/>
                <w:szCs w:val="18"/>
              </w:rPr>
              <w:t>Available brands</w:t>
            </w:r>
          </w:p>
        </w:tc>
      </w:tr>
      <w:tr w:rsidR="009A63E2" w:rsidRPr="009A63E2" w14:paraId="3535E8FB" w14:textId="77777777" w:rsidTr="000E217A">
        <w:trPr>
          <w:cantSplit/>
          <w:trHeight w:val="20"/>
        </w:trPr>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35771A3A" w14:textId="77777777" w:rsidR="009A63E2" w:rsidRPr="009A63E2" w:rsidRDefault="009A63E2" w:rsidP="00115C14">
            <w:pPr>
              <w:pStyle w:val="TableText"/>
              <w:keepNext w:val="0"/>
              <w:spacing w:line="256" w:lineRule="auto"/>
              <w:rPr>
                <w:rFonts w:cs="Times New Roman"/>
                <w:iCs/>
                <w:sz w:val="18"/>
                <w:szCs w:val="18"/>
                <w:lang w:eastAsia="en-US"/>
              </w:rPr>
            </w:pPr>
            <w:r w:rsidRPr="009A63E2">
              <w:rPr>
                <w:iCs/>
                <w:smallCaps/>
                <w:sz w:val="18"/>
                <w:szCs w:val="18"/>
                <w:lang w:eastAsia="en-US"/>
              </w:rPr>
              <w:t>FARICIMAB</w:t>
            </w:r>
          </w:p>
        </w:tc>
      </w:tr>
      <w:tr w:rsidR="009A63E2" w:rsidRPr="009A63E2" w14:paraId="765930E9" w14:textId="77777777" w:rsidTr="000E217A">
        <w:trPr>
          <w:cantSplit/>
          <w:trHeight w:val="20"/>
        </w:trPr>
        <w:tc>
          <w:tcPr>
            <w:tcW w:w="3938" w:type="dxa"/>
            <w:gridSpan w:val="2"/>
            <w:tcBorders>
              <w:top w:val="single" w:sz="4" w:space="0" w:color="auto"/>
              <w:left w:val="single" w:sz="4" w:space="0" w:color="auto"/>
              <w:bottom w:val="single" w:sz="4" w:space="0" w:color="auto"/>
              <w:right w:val="single" w:sz="4" w:space="0" w:color="auto"/>
            </w:tcBorders>
            <w:vAlign w:val="center"/>
          </w:tcPr>
          <w:p w14:paraId="7037AAB7" w14:textId="77777777" w:rsidR="009A63E2" w:rsidRPr="009A63E2" w:rsidRDefault="009A63E2" w:rsidP="00115C14">
            <w:pPr>
              <w:pStyle w:val="TableText"/>
              <w:keepNext w:val="0"/>
              <w:spacing w:line="256" w:lineRule="auto"/>
              <w:rPr>
                <w:iCs/>
                <w:sz w:val="18"/>
                <w:szCs w:val="18"/>
                <w:lang w:eastAsia="en-US"/>
              </w:rPr>
            </w:pPr>
            <w:r w:rsidRPr="009A63E2">
              <w:rPr>
                <w:iCs/>
                <w:sz w:val="18"/>
                <w:szCs w:val="18"/>
                <w:lang w:eastAsia="en-US"/>
              </w:rPr>
              <w:lastRenderedPageBreak/>
              <w:t>faricimab 28.8 mg / 0.24 mL solution for injection, vial</w:t>
            </w:r>
          </w:p>
          <w:p w14:paraId="229D1DE7" w14:textId="77777777" w:rsidR="009A63E2" w:rsidRPr="009A63E2" w:rsidRDefault="009A63E2" w:rsidP="00115C14">
            <w:pPr>
              <w:keepLines/>
              <w:rPr>
                <w:rFonts w:ascii="Arial Narrow" w:hAnsi="Arial Narrow"/>
                <w:iCs/>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090DE4B" w14:textId="77777777" w:rsidR="009A63E2" w:rsidRPr="009A63E2" w:rsidRDefault="009A63E2" w:rsidP="00115C14">
            <w:pPr>
              <w:keepLines/>
              <w:jc w:val="center"/>
              <w:rPr>
                <w:rFonts w:ascii="Arial Narrow" w:hAnsi="Arial Narrow"/>
                <w:iCs/>
                <w:sz w:val="18"/>
                <w:szCs w:val="18"/>
              </w:rPr>
            </w:pPr>
            <w:r w:rsidRPr="009A63E2">
              <w:rPr>
                <w:rFonts w:ascii="Arial Narrow" w:hAnsi="Arial Narrow"/>
                <w:iCs/>
                <w:sz w:val="18"/>
                <w:szCs w:val="18"/>
              </w:rPr>
              <w:t>NEW</w:t>
            </w:r>
          </w:p>
        </w:tc>
        <w:tc>
          <w:tcPr>
            <w:tcW w:w="811" w:type="dxa"/>
            <w:tcBorders>
              <w:top w:val="single" w:sz="4" w:space="0" w:color="auto"/>
              <w:left w:val="single" w:sz="4" w:space="0" w:color="auto"/>
              <w:bottom w:val="single" w:sz="4" w:space="0" w:color="auto"/>
              <w:right w:val="single" w:sz="4" w:space="0" w:color="auto"/>
            </w:tcBorders>
            <w:vAlign w:val="center"/>
            <w:hideMark/>
          </w:tcPr>
          <w:p w14:paraId="50AC9FA3" w14:textId="77777777" w:rsidR="009A63E2" w:rsidRPr="009A63E2" w:rsidRDefault="009A63E2" w:rsidP="00115C14">
            <w:pPr>
              <w:keepLines/>
              <w:jc w:val="center"/>
              <w:rPr>
                <w:rFonts w:ascii="Arial Narrow" w:hAnsi="Arial Narrow"/>
                <w:iCs/>
                <w:sz w:val="18"/>
                <w:szCs w:val="18"/>
              </w:rPr>
            </w:pPr>
            <w:r w:rsidRPr="009A63E2">
              <w:rPr>
                <w:rFonts w:ascii="Arial Narrow" w:hAnsi="Arial Narrow"/>
                <w:iCs/>
                <w:sz w:val="18"/>
                <w:szCs w:val="1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975197E" w14:textId="77777777" w:rsidR="009A63E2" w:rsidRPr="009A63E2" w:rsidRDefault="009A63E2" w:rsidP="00115C14">
            <w:pPr>
              <w:keepLines/>
              <w:jc w:val="center"/>
              <w:rPr>
                <w:rFonts w:ascii="Arial Narrow" w:hAnsi="Arial Narrow"/>
                <w:iCs/>
                <w:sz w:val="18"/>
                <w:szCs w:val="18"/>
              </w:rPr>
            </w:pPr>
            <w:r w:rsidRPr="009A63E2">
              <w:rPr>
                <w:rFonts w:ascii="Arial Narrow" w:hAnsi="Arial Narrow"/>
                <w:iCs/>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6C5FBD94" w14:textId="77777777" w:rsidR="009A63E2" w:rsidRPr="009A63E2" w:rsidRDefault="009A63E2" w:rsidP="00115C14">
            <w:pPr>
              <w:keepLines/>
              <w:jc w:val="center"/>
              <w:rPr>
                <w:rFonts w:ascii="Arial Narrow" w:hAnsi="Arial Narrow"/>
                <w:i/>
                <w:iCs/>
                <w:sz w:val="18"/>
                <w:szCs w:val="18"/>
              </w:rPr>
            </w:pPr>
            <w:r w:rsidRPr="009A63E2">
              <w:rPr>
                <w:rFonts w:ascii="Arial Narrow" w:hAnsi="Arial Narrow"/>
                <w:i/>
                <w:iCs/>
                <w:sz w:val="18"/>
                <w:szCs w:val="18"/>
              </w:rPr>
              <w:t>0</w:t>
            </w:r>
          </w:p>
        </w:tc>
        <w:tc>
          <w:tcPr>
            <w:tcW w:w="1880" w:type="dxa"/>
            <w:tcBorders>
              <w:top w:val="single" w:sz="4" w:space="0" w:color="auto"/>
              <w:left w:val="single" w:sz="4" w:space="0" w:color="auto"/>
              <w:bottom w:val="single" w:sz="4" w:space="0" w:color="auto"/>
              <w:right w:val="single" w:sz="4" w:space="0" w:color="auto"/>
            </w:tcBorders>
            <w:vAlign w:val="center"/>
            <w:hideMark/>
          </w:tcPr>
          <w:p w14:paraId="2FF8C98F" w14:textId="77777777" w:rsidR="009A63E2" w:rsidRPr="009A63E2" w:rsidRDefault="009A63E2" w:rsidP="00115C14">
            <w:pPr>
              <w:keepLines/>
              <w:jc w:val="center"/>
              <w:rPr>
                <w:rFonts w:ascii="Arial Narrow" w:eastAsiaTheme="majorEastAsia" w:hAnsi="Arial Narrow" w:cstheme="majorBidi"/>
                <w:bCs/>
                <w:iCs/>
                <w:sz w:val="18"/>
                <w:szCs w:val="18"/>
              </w:rPr>
            </w:pPr>
            <w:r w:rsidRPr="009A63E2">
              <w:rPr>
                <w:rFonts w:ascii="Arial Narrow" w:eastAsiaTheme="majorEastAsia" w:hAnsi="Arial Narrow" w:cstheme="majorBidi"/>
                <w:bCs/>
                <w:iCs/>
                <w:sz w:val="18"/>
                <w:szCs w:val="18"/>
              </w:rPr>
              <w:t>Vabysmo</w:t>
            </w:r>
          </w:p>
        </w:tc>
      </w:tr>
      <w:tr w:rsidR="009A63E2" w:rsidRPr="009A63E2" w14:paraId="5AFB0E65" w14:textId="77777777" w:rsidTr="000E217A">
        <w:trPr>
          <w:cantSplit/>
          <w:trHeight w:val="20"/>
        </w:trPr>
        <w:tc>
          <w:tcPr>
            <w:tcW w:w="3938" w:type="dxa"/>
            <w:gridSpan w:val="2"/>
            <w:tcBorders>
              <w:top w:val="single" w:sz="4" w:space="0" w:color="auto"/>
              <w:left w:val="single" w:sz="4" w:space="0" w:color="auto"/>
              <w:bottom w:val="single" w:sz="4" w:space="0" w:color="auto"/>
              <w:right w:val="single" w:sz="4" w:space="0" w:color="auto"/>
            </w:tcBorders>
            <w:vAlign w:val="center"/>
            <w:hideMark/>
          </w:tcPr>
          <w:p w14:paraId="56B6632A" w14:textId="77777777" w:rsidR="009A63E2" w:rsidRPr="009A63E2" w:rsidRDefault="009A63E2" w:rsidP="00115C14">
            <w:pPr>
              <w:keepLines/>
              <w:rPr>
                <w:rFonts w:ascii="Arial Narrow" w:hAnsi="Arial Narrow"/>
                <w:iCs/>
                <w:sz w:val="18"/>
                <w:szCs w:val="18"/>
              </w:rPr>
            </w:pPr>
            <w:r w:rsidRPr="009A63E2">
              <w:rPr>
                <w:rFonts w:ascii="Arial Narrow" w:hAnsi="Arial Narrow"/>
                <w:iCs/>
                <w:sz w:val="18"/>
                <w:szCs w:val="18"/>
              </w:rPr>
              <w:t>faricimab 24.0 mg / 0.2 mL solution for injection, pre-filled syringe</w:t>
            </w:r>
          </w:p>
        </w:tc>
        <w:tc>
          <w:tcPr>
            <w:tcW w:w="810" w:type="dxa"/>
            <w:tcBorders>
              <w:top w:val="single" w:sz="4" w:space="0" w:color="auto"/>
              <w:left w:val="single" w:sz="4" w:space="0" w:color="auto"/>
              <w:bottom w:val="single" w:sz="4" w:space="0" w:color="auto"/>
              <w:right w:val="single" w:sz="4" w:space="0" w:color="auto"/>
            </w:tcBorders>
            <w:vAlign w:val="center"/>
            <w:hideMark/>
          </w:tcPr>
          <w:p w14:paraId="2E071A4D" w14:textId="77777777" w:rsidR="009A63E2" w:rsidRPr="009A63E2" w:rsidRDefault="009A63E2" w:rsidP="00115C14">
            <w:pPr>
              <w:keepLines/>
              <w:jc w:val="center"/>
              <w:rPr>
                <w:rFonts w:ascii="Arial Narrow" w:hAnsi="Arial Narrow"/>
                <w:iCs/>
                <w:sz w:val="18"/>
                <w:szCs w:val="18"/>
              </w:rPr>
            </w:pPr>
            <w:r w:rsidRPr="009A63E2">
              <w:rPr>
                <w:rFonts w:ascii="Arial Narrow" w:hAnsi="Arial Narrow"/>
                <w:iCs/>
                <w:sz w:val="18"/>
                <w:szCs w:val="18"/>
              </w:rPr>
              <w:t>NEW</w:t>
            </w:r>
          </w:p>
        </w:tc>
        <w:tc>
          <w:tcPr>
            <w:tcW w:w="811" w:type="dxa"/>
            <w:tcBorders>
              <w:top w:val="single" w:sz="4" w:space="0" w:color="auto"/>
              <w:left w:val="single" w:sz="4" w:space="0" w:color="auto"/>
              <w:bottom w:val="single" w:sz="4" w:space="0" w:color="auto"/>
              <w:right w:val="single" w:sz="4" w:space="0" w:color="auto"/>
            </w:tcBorders>
            <w:vAlign w:val="center"/>
            <w:hideMark/>
          </w:tcPr>
          <w:p w14:paraId="6188BFDB" w14:textId="77777777" w:rsidR="009A63E2" w:rsidRPr="009A63E2" w:rsidRDefault="009A63E2" w:rsidP="00115C14">
            <w:pPr>
              <w:keepLines/>
              <w:jc w:val="center"/>
              <w:rPr>
                <w:rFonts w:ascii="Arial Narrow" w:hAnsi="Arial Narrow"/>
                <w:iCs/>
                <w:sz w:val="18"/>
                <w:szCs w:val="18"/>
              </w:rPr>
            </w:pPr>
            <w:r w:rsidRPr="009A63E2">
              <w:rPr>
                <w:rFonts w:ascii="Arial Narrow" w:hAnsi="Arial Narrow"/>
                <w:iCs/>
                <w:sz w:val="18"/>
                <w:szCs w:val="1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56352420" w14:textId="77777777" w:rsidR="009A63E2" w:rsidRPr="009A63E2" w:rsidRDefault="009A63E2" w:rsidP="00115C14">
            <w:pPr>
              <w:keepLines/>
              <w:jc w:val="center"/>
              <w:rPr>
                <w:rFonts w:ascii="Arial Narrow" w:hAnsi="Arial Narrow"/>
                <w:iCs/>
                <w:sz w:val="18"/>
                <w:szCs w:val="18"/>
              </w:rPr>
            </w:pPr>
            <w:r w:rsidRPr="009A63E2">
              <w:rPr>
                <w:rFonts w:ascii="Arial Narrow" w:hAnsi="Arial Narrow"/>
                <w:iCs/>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4FB7CB39" w14:textId="77777777" w:rsidR="009A63E2" w:rsidRPr="009A63E2" w:rsidRDefault="009A63E2" w:rsidP="00115C14">
            <w:pPr>
              <w:keepLines/>
              <w:jc w:val="center"/>
              <w:rPr>
                <w:rFonts w:ascii="Arial Narrow" w:hAnsi="Arial Narrow"/>
                <w:i/>
                <w:iCs/>
                <w:sz w:val="18"/>
                <w:szCs w:val="18"/>
              </w:rPr>
            </w:pPr>
            <w:r w:rsidRPr="009A63E2">
              <w:rPr>
                <w:rFonts w:ascii="Arial Narrow" w:hAnsi="Arial Narrow"/>
                <w:i/>
                <w:iCs/>
                <w:sz w:val="18"/>
                <w:szCs w:val="18"/>
              </w:rPr>
              <w:t>0</w:t>
            </w:r>
          </w:p>
        </w:tc>
        <w:tc>
          <w:tcPr>
            <w:tcW w:w="1880" w:type="dxa"/>
            <w:tcBorders>
              <w:top w:val="single" w:sz="4" w:space="0" w:color="auto"/>
              <w:left w:val="single" w:sz="4" w:space="0" w:color="auto"/>
              <w:bottom w:val="single" w:sz="4" w:space="0" w:color="auto"/>
              <w:right w:val="single" w:sz="4" w:space="0" w:color="auto"/>
            </w:tcBorders>
            <w:vAlign w:val="center"/>
            <w:hideMark/>
          </w:tcPr>
          <w:p w14:paraId="58FC1D40" w14:textId="77777777" w:rsidR="009A63E2" w:rsidRPr="009A63E2" w:rsidRDefault="009A63E2" w:rsidP="00115C14">
            <w:pPr>
              <w:keepLines/>
              <w:jc w:val="center"/>
              <w:rPr>
                <w:rFonts w:ascii="Arial Narrow" w:eastAsiaTheme="majorEastAsia" w:hAnsi="Arial Narrow" w:cstheme="majorBidi"/>
                <w:bCs/>
                <w:iCs/>
                <w:sz w:val="18"/>
                <w:szCs w:val="18"/>
              </w:rPr>
            </w:pPr>
            <w:r w:rsidRPr="009A63E2">
              <w:rPr>
                <w:rFonts w:ascii="Arial Narrow" w:eastAsiaTheme="majorEastAsia" w:hAnsi="Arial Narrow" w:cstheme="majorBidi"/>
                <w:bCs/>
                <w:iCs/>
                <w:sz w:val="18"/>
                <w:szCs w:val="18"/>
              </w:rPr>
              <w:t>Vabysmo</w:t>
            </w:r>
          </w:p>
        </w:tc>
      </w:tr>
      <w:tr w:rsidR="009A63E2" w:rsidRPr="009A63E2" w14:paraId="5E4133F1" w14:textId="77777777" w:rsidTr="000E217A">
        <w:trPr>
          <w:cantSplit/>
          <w:trHeight w:val="20"/>
        </w:trPr>
        <w:tc>
          <w:tcPr>
            <w:tcW w:w="127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333FCFF" w14:textId="0E2068A6"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7DB979" w14:textId="77777777" w:rsidR="009A63E2" w:rsidRPr="009A63E2" w:rsidRDefault="009A63E2" w:rsidP="00115C14">
            <w:pPr>
              <w:rPr>
                <w:rFonts w:ascii="Arial Narrow" w:hAnsi="Arial Narrow"/>
                <w:b/>
                <w:bCs/>
                <w:color w:val="333333"/>
                <w:sz w:val="18"/>
                <w:szCs w:val="18"/>
              </w:rPr>
            </w:pPr>
            <w:r w:rsidRPr="009A63E2">
              <w:rPr>
                <w:rFonts w:ascii="Arial Narrow" w:hAnsi="Arial Narrow"/>
                <w:b/>
                <w:sz w:val="18"/>
                <w:szCs w:val="18"/>
              </w:rPr>
              <w:t xml:space="preserve">Category / Program: </w:t>
            </w:r>
            <w:r w:rsidRPr="009A63E2">
              <w:rPr>
                <w:rFonts w:ascii="Arial Narrow" w:hAnsi="Arial Narrow"/>
                <w:sz w:val="18"/>
                <w:szCs w:val="18"/>
              </w:rPr>
              <w:t>GENERAL – General Schedule (Code GE)</w:t>
            </w:r>
          </w:p>
        </w:tc>
      </w:tr>
      <w:tr w:rsidR="009A63E2" w:rsidRPr="009A63E2" w14:paraId="6E3BB819" w14:textId="77777777" w:rsidTr="000E217A">
        <w:trPr>
          <w:cantSplit/>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6728E5A" w14:textId="77777777" w:rsidR="009A63E2" w:rsidRPr="009A63E2" w:rsidRDefault="009A63E2" w:rsidP="00115C14">
            <w:pP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3CBD873" w14:textId="77777777" w:rsidR="009A63E2" w:rsidRPr="009A63E2" w:rsidRDefault="009A63E2" w:rsidP="00115C14">
            <w:pPr>
              <w:rPr>
                <w:rFonts w:ascii="Arial Narrow" w:hAnsi="Arial Narrow"/>
                <w:b/>
                <w:bCs/>
                <w:color w:val="333333"/>
                <w:sz w:val="18"/>
                <w:szCs w:val="18"/>
              </w:rPr>
            </w:pPr>
            <w:r w:rsidRPr="009A63E2">
              <w:rPr>
                <w:rFonts w:ascii="Arial Narrow" w:hAnsi="Arial Narrow"/>
                <w:b/>
                <w:sz w:val="18"/>
                <w:szCs w:val="18"/>
              </w:rPr>
              <w:t xml:space="preserve">Prescriber type: </w:t>
            </w:r>
            <w:r w:rsidRPr="009A63E2">
              <w:rPr>
                <w:rFonts w:ascii="Arial Narrow" w:hAnsi="Arial Narrow"/>
                <w:sz w:val="18"/>
                <w:szCs w:val="18"/>
              </w:rPr>
              <w:fldChar w:fldCharType="begin">
                <w:ffData>
                  <w:name w:val=""/>
                  <w:enabled/>
                  <w:calcOnExit w:val="0"/>
                  <w:checkBox>
                    <w:sizeAuto/>
                    <w:default w:val="1"/>
                  </w:checkBox>
                </w:ffData>
              </w:fldChar>
            </w:r>
            <w:r w:rsidRPr="009A63E2">
              <w:rPr>
                <w:rFonts w:ascii="Arial Narrow" w:hAnsi="Arial Narrow"/>
                <w:sz w:val="18"/>
                <w:szCs w:val="18"/>
              </w:rPr>
              <w:instrText xml:space="preserve"> FORMCHECKBOX </w:instrText>
            </w:r>
            <w:r w:rsidR="00786949">
              <w:rPr>
                <w:rFonts w:ascii="Arial Narrow" w:hAnsi="Arial Narrow"/>
                <w:sz w:val="18"/>
                <w:szCs w:val="18"/>
              </w:rPr>
            </w:r>
            <w:r w:rsidR="00786949">
              <w:rPr>
                <w:rFonts w:ascii="Arial Narrow" w:hAnsi="Arial Narrow"/>
                <w:sz w:val="18"/>
                <w:szCs w:val="18"/>
              </w:rPr>
              <w:fldChar w:fldCharType="separate"/>
            </w:r>
            <w:r w:rsidRPr="009A63E2">
              <w:rPr>
                <w:rFonts w:ascii="Arial Narrow" w:hAnsi="Arial Narrow"/>
                <w:sz w:val="18"/>
                <w:szCs w:val="18"/>
              </w:rPr>
              <w:fldChar w:fldCharType="end"/>
            </w:r>
            <w:r w:rsidRPr="009A63E2">
              <w:rPr>
                <w:rFonts w:ascii="Arial Narrow" w:hAnsi="Arial Narrow"/>
                <w:sz w:val="18"/>
                <w:szCs w:val="18"/>
              </w:rPr>
              <w:t>Medical</w:t>
            </w:r>
          </w:p>
        </w:tc>
      </w:tr>
      <w:tr w:rsidR="009A63E2" w:rsidRPr="009A63E2" w14:paraId="4FC9C64E" w14:textId="77777777" w:rsidTr="000E217A">
        <w:trPr>
          <w:cantSplit/>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04128EE5" w14:textId="77777777" w:rsidR="009A63E2" w:rsidRPr="009A63E2" w:rsidRDefault="009A63E2" w:rsidP="00115C14">
            <w:pP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00ABC0" w14:textId="77777777" w:rsidR="009A63E2" w:rsidRPr="009A63E2" w:rsidRDefault="009A63E2" w:rsidP="00115C14">
            <w:pPr>
              <w:rPr>
                <w:rFonts w:ascii="Arial Narrow" w:hAnsi="Arial Narrow"/>
                <w:b/>
                <w:bCs/>
                <w:color w:val="333333"/>
                <w:sz w:val="18"/>
                <w:szCs w:val="18"/>
              </w:rPr>
            </w:pPr>
            <w:r w:rsidRPr="009A63E2">
              <w:rPr>
                <w:rFonts w:ascii="Arial Narrow" w:hAnsi="Arial Narrow"/>
                <w:b/>
                <w:sz w:val="18"/>
                <w:szCs w:val="18"/>
              </w:rPr>
              <w:t xml:space="preserve">Restriction type: </w:t>
            </w:r>
            <w:r w:rsidRPr="009A63E2">
              <w:rPr>
                <w:rFonts w:ascii="Arial Narrow" w:eastAsia="Calibri" w:hAnsi="Arial Narrow"/>
                <w:sz w:val="18"/>
                <w:szCs w:val="18"/>
              </w:rPr>
              <w:fldChar w:fldCharType="begin">
                <w:ffData>
                  <w:name w:val=""/>
                  <w:enabled/>
                  <w:calcOnExit w:val="0"/>
                  <w:checkBox>
                    <w:sizeAuto/>
                    <w:default w:val="1"/>
                  </w:checkBox>
                </w:ffData>
              </w:fldChar>
            </w:r>
            <w:r w:rsidRPr="009A63E2">
              <w:rPr>
                <w:rFonts w:ascii="Arial Narrow" w:eastAsia="Calibri" w:hAnsi="Arial Narrow"/>
                <w:sz w:val="18"/>
                <w:szCs w:val="18"/>
              </w:rPr>
              <w:instrText xml:space="preserve"> FORMCHECKBOX </w:instrText>
            </w:r>
            <w:r w:rsidR="00786949">
              <w:rPr>
                <w:rFonts w:ascii="Arial Narrow" w:eastAsia="Calibri" w:hAnsi="Arial Narrow"/>
                <w:sz w:val="18"/>
                <w:szCs w:val="18"/>
              </w:rPr>
            </w:r>
            <w:r w:rsidR="00786949">
              <w:rPr>
                <w:rFonts w:ascii="Arial Narrow" w:eastAsia="Calibri" w:hAnsi="Arial Narrow"/>
                <w:sz w:val="18"/>
                <w:szCs w:val="18"/>
              </w:rPr>
              <w:fldChar w:fldCharType="separate"/>
            </w:r>
            <w:r w:rsidRPr="009A63E2">
              <w:rPr>
                <w:rFonts w:ascii="Arial Narrow" w:eastAsia="Calibri" w:hAnsi="Arial Narrow"/>
                <w:sz w:val="18"/>
                <w:szCs w:val="18"/>
              </w:rPr>
              <w:fldChar w:fldCharType="end"/>
            </w:r>
            <w:r w:rsidRPr="009A63E2">
              <w:rPr>
                <w:rFonts w:ascii="Arial Narrow" w:eastAsia="Calibri" w:hAnsi="Arial Narrow"/>
                <w:sz w:val="18"/>
                <w:szCs w:val="18"/>
              </w:rPr>
              <w:t>Authority Required – Written</w:t>
            </w:r>
          </w:p>
        </w:tc>
      </w:tr>
      <w:tr w:rsidR="009A63E2" w:rsidRPr="009A63E2" w14:paraId="002D3170"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C98B36" w14:textId="0C5B5890"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EE472B" w14:textId="77777777" w:rsidR="009A63E2" w:rsidRPr="009A63E2" w:rsidRDefault="009A63E2" w:rsidP="00115C14">
            <w:pPr>
              <w:rPr>
                <w:rFonts w:ascii="Arial Narrow" w:hAnsi="Arial Narrow"/>
                <w:b/>
                <w:bCs/>
                <w:color w:val="333333"/>
                <w:sz w:val="18"/>
                <w:szCs w:val="18"/>
              </w:rPr>
            </w:pPr>
            <w:r w:rsidRPr="009A63E2">
              <w:rPr>
                <w:rFonts w:ascii="Arial Narrow" w:hAnsi="Arial Narrow"/>
                <w:b/>
                <w:bCs/>
                <w:color w:val="333333"/>
                <w:sz w:val="18"/>
                <w:szCs w:val="18"/>
              </w:rPr>
              <w:t>Indication:</w:t>
            </w:r>
            <w:r w:rsidRPr="009A63E2">
              <w:rPr>
                <w:rFonts w:ascii="Arial Narrow" w:hAnsi="Arial Narrow"/>
                <w:color w:val="333333"/>
                <w:sz w:val="18"/>
                <w:szCs w:val="18"/>
              </w:rPr>
              <w:t xml:space="preserve"> </w:t>
            </w:r>
            <w:r w:rsidRPr="009A63E2">
              <w:rPr>
                <w:rFonts w:ascii="Arial Narrow" w:eastAsia="Calibri" w:hAnsi="Arial Narrow"/>
                <w:sz w:val="18"/>
                <w:szCs w:val="18"/>
              </w:rPr>
              <w:t>Subfoveal choroidal neovascularisation (CNV)</w:t>
            </w:r>
          </w:p>
        </w:tc>
      </w:tr>
      <w:tr w:rsidR="009A63E2" w:rsidRPr="009A63E2" w14:paraId="2D741D2E"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CE500E" w14:textId="77777777"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E21608" w14:textId="77777777" w:rsidR="009A63E2" w:rsidRPr="009A63E2" w:rsidRDefault="009A63E2" w:rsidP="00115C14">
            <w:pPr>
              <w:rPr>
                <w:rFonts w:ascii="Arial Narrow" w:hAnsi="Arial Narrow"/>
                <w:b/>
                <w:bCs/>
                <w:i/>
                <w:iCs/>
                <w:color w:val="333333"/>
                <w:sz w:val="18"/>
                <w:szCs w:val="18"/>
              </w:rPr>
            </w:pPr>
            <w:r w:rsidRPr="009A63E2">
              <w:rPr>
                <w:rFonts w:ascii="Arial Narrow" w:hAnsi="Arial Narrow"/>
                <w:b/>
                <w:bCs/>
                <w:i/>
                <w:iCs/>
                <w:color w:val="333333"/>
                <w:sz w:val="18"/>
                <w:szCs w:val="18"/>
              </w:rPr>
              <w:t xml:space="preserve">Treatment Phase: </w:t>
            </w:r>
            <w:r w:rsidRPr="009A63E2">
              <w:rPr>
                <w:rFonts w:ascii="Arial Narrow" w:hAnsi="Arial Narrow"/>
                <w:i/>
                <w:iCs/>
                <w:sz w:val="18"/>
                <w:szCs w:val="18"/>
              </w:rPr>
              <w:t>Transitioning from non-PBS to PBS-subsidised treatment - Grandfather arrangements</w:t>
            </w:r>
          </w:p>
        </w:tc>
      </w:tr>
      <w:tr w:rsidR="009A63E2" w:rsidRPr="009A63E2" w14:paraId="5C98BB36"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90333E" w14:textId="27613EE4"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0AC0F1" w14:textId="77777777" w:rsidR="009A63E2" w:rsidRPr="009A63E2" w:rsidRDefault="009A63E2" w:rsidP="00115C14">
            <w:pPr>
              <w:rPr>
                <w:rFonts w:ascii="Arial Narrow" w:hAnsi="Arial Narrow"/>
                <w:b/>
                <w:bCs/>
                <w:color w:val="333333"/>
                <w:sz w:val="18"/>
                <w:szCs w:val="18"/>
              </w:rPr>
            </w:pPr>
            <w:r w:rsidRPr="009A63E2">
              <w:rPr>
                <w:rFonts w:ascii="Arial Narrow" w:hAnsi="Arial Narrow"/>
                <w:b/>
                <w:bCs/>
                <w:color w:val="333333"/>
                <w:sz w:val="18"/>
                <w:szCs w:val="18"/>
              </w:rPr>
              <w:t>Treatment criteria:</w:t>
            </w:r>
          </w:p>
        </w:tc>
      </w:tr>
      <w:tr w:rsidR="009A63E2" w:rsidRPr="009A63E2" w14:paraId="740EEAE4"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52E267" w14:textId="58B67B9B"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C476D1" w14:textId="77777777" w:rsidR="009A63E2" w:rsidRPr="009A63E2" w:rsidRDefault="009A63E2" w:rsidP="00115C14">
            <w:pPr>
              <w:rPr>
                <w:rFonts w:ascii="Arial Narrow" w:hAnsi="Arial Narrow"/>
                <w:b/>
                <w:bCs/>
                <w:color w:val="333333"/>
                <w:sz w:val="18"/>
                <w:szCs w:val="18"/>
              </w:rPr>
            </w:pPr>
            <w:r w:rsidRPr="009A63E2">
              <w:rPr>
                <w:rFonts w:ascii="Arial Narrow" w:hAnsi="Arial Narrow"/>
                <w:color w:val="333333"/>
                <w:sz w:val="18"/>
                <w:szCs w:val="18"/>
              </w:rPr>
              <w:t>Must be treated by an ophthalmologist or by an accredited ophthalmology registrar in consultation with an ophthalmologist</w:t>
            </w:r>
          </w:p>
        </w:tc>
      </w:tr>
      <w:tr w:rsidR="009A63E2" w:rsidRPr="009A63E2" w14:paraId="47DA38B4"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B562B27" w14:textId="77777777"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C280F6" w14:textId="77777777" w:rsidR="009A63E2" w:rsidRPr="009A63E2" w:rsidRDefault="009A63E2" w:rsidP="00115C14">
            <w:pPr>
              <w:rPr>
                <w:rFonts w:ascii="Arial Narrow" w:hAnsi="Arial Narrow"/>
                <w:color w:val="333333"/>
                <w:sz w:val="18"/>
                <w:szCs w:val="18"/>
              </w:rPr>
            </w:pPr>
            <w:r w:rsidRPr="009A63E2">
              <w:rPr>
                <w:rFonts w:ascii="Arial Narrow" w:hAnsi="Arial Narrow"/>
                <w:b/>
                <w:bCs/>
                <w:color w:val="333333"/>
                <w:sz w:val="18"/>
                <w:szCs w:val="18"/>
              </w:rPr>
              <w:t>AND</w:t>
            </w:r>
          </w:p>
        </w:tc>
      </w:tr>
      <w:tr w:rsidR="009A63E2" w:rsidRPr="009A63E2" w14:paraId="7736FBB0"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BE3B58" w14:textId="6BB0CDC9"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F74C4D" w14:textId="77777777" w:rsidR="009A63E2" w:rsidRPr="009A63E2" w:rsidRDefault="009A63E2" w:rsidP="00115C14">
            <w:pPr>
              <w:rPr>
                <w:rFonts w:ascii="Arial Narrow" w:hAnsi="Arial Narrow"/>
                <w:b/>
                <w:bCs/>
                <w:color w:val="333333"/>
                <w:sz w:val="18"/>
                <w:szCs w:val="18"/>
              </w:rPr>
            </w:pPr>
            <w:r w:rsidRPr="009A63E2">
              <w:rPr>
                <w:rFonts w:ascii="Arial Narrow" w:hAnsi="Arial Narrow"/>
                <w:b/>
                <w:sz w:val="18"/>
                <w:szCs w:val="18"/>
              </w:rPr>
              <w:t>Clinical criteria:</w:t>
            </w:r>
            <w:r w:rsidRPr="009A63E2">
              <w:rPr>
                <w:rFonts w:ascii="Arial Narrow" w:hAnsi="Arial Narrow"/>
                <w:sz w:val="18"/>
                <w:szCs w:val="18"/>
              </w:rPr>
              <w:t xml:space="preserve"> </w:t>
            </w:r>
          </w:p>
        </w:tc>
      </w:tr>
      <w:tr w:rsidR="009A63E2" w:rsidRPr="009A63E2" w14:paraId="05285F63"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62875A" w14:textId="78D3881C"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5EF3746" w14:textId="77777777" w:rsidR="009A63E2" w:rsidRPr="009A63E2" w:rsidRDefault="009A63E2" w:rsidP="00115C14">
            <w:pPr>
              <w:rPr>
                <w:rFonts w:ascii="Arial Narrow" w:hAnsi="Arial Narrow"/>
                <w:b/>
                <w:bCs/>
                <w:color w:val="333333"/>
                <w:sz w:val="18"/>
                <w:szCs w:val="18"/>
              </w:rPr>
            </w:pPr>
            <w:r w:rsidRPr="009A63E2">
              <w:rPr>
                <w:rFonts w:ascii="Arial Narrow" w:hAnsi="Arial Narrow"/>
                <w:sz w:val="18"/>
                <w:szCs w:val="18"/>
              </w:rPr>
              <w:t>The condition must be due to age-related macular degeneration (AMD)</w:t>
            </w:r>
          </w:p>
        </w:tc>
      </w:tr>
      <w:tr w:rsidR="009A63E2" w:rsidRPr="009A63E2" w14:paraId="3C46926F"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8DFFC1A" w14:textId="77777777"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3D778EA" w14:textId="77777777" w:rsidR="009A63E2" w:rsidRPr="009A63E2" w:rsidRDefault="009A63E2" w:rsidP="00115C14">
            <w:pPr>
              <w:rPr>
                <w:rFonts w:ascii="Arial Narrow" w:hAnsi="Arial Narrow"/>
                <w:b/>
                <w:bCs/>
                <w:color w:val="333333"/>
                <w:sz w:val="18"/>
                <w:szCs w:val="18"/>
              </w:rPr>
            </w:pPr>
            <w:r w:rsidRPr="009A63E2">
              <w:rPr>
                <w:rFonts w:ascii="Arial Narrow" w:hAnsi="Arial Narrow"/>
                <w:b/>
                <w:bCs/>
                <w:color w:val="333333"/>
                <w:sz w:val="18"/>
                <w:szCs w:val="18"/>
              </w:rPr>
              <w:t>AND</w:t>
            </w:r>
          </w:p>
        </w:tc>
      </w:tr>
      <w:tr w:rsidR="009A63E2" w:rsidRPr="009A63E2" w14:paraId="4CA37C17"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A6C759A" w14:textId="6619902F"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E88783" w14:textId="77777777" w:rsidR="009A63E2" w:rsidRPr="009A63E2" w:rsidRDefault="009A63E2" w:rsidP="00115C14">
            <w:pPr>
              <w:rPr>
                <w:rFonts w:ascii="Arial Narrow" w:hAnsi="Arial Narrow"/>
                <w:b/>
                <w:bCs/>
                <w:color w:val="333333"/>
                <w:sz w:val="18"/>
                <w:szCs w:val="18"/>
              </w:rPr>
            </w:pPr>
            <w:r w:rsidRPr="009A63E2">
              <w:rPr>
                <w:rFonts w:ascii="Arial Narrow" w:hAnsi="Arial Narrow"/>
                <w:b/>
                <w:bCs/>
                <w:color w:val="333333"/>
                <w:sz w:val="18"/>
                <w:szCs w:val="18"/>
              </w:rPr>
              <w:t>Clinical criteria:</w:t>
            </w:r>
            <w:r w:rsidRPr="009A63E2">
              <w:rPr>
                <w:rFonts w:ascii="Arial Narrow" w:hAnsi="Arial Narrow"/>
                <w:sz w:val="18"/>
                <w:szCs w:val="18"/>
              </w:rPr>
              <w:t xml:space="preserve"> </w:t>
            </w:r>
          </w:p>
        </w:tc>
      </w:tr>
      <w:tr w:rsidR="009A63E2" w:rsidRPr="009A63E2" w14:paraId="2D1C1FC1"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C953A54" w14:textId="5F2240FD"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3EB8FC4" w14:textId="77777777" w:rsidR="009A63E2" w:rsidRPr="009A63E2" w:rsidRDefault="009A63E2" w:rsidP="00115C14">
            <w:pPr>
              <w:rPr>
                <w:rFonts w:ascii="Arial Narrow" w:eastAsiaTheme="majorEastAsia" w:hAnsi="Arial Narrow"/>
                <w:bCs/>
                <w:sz w:val="18"/>
                <w:szCs w:val="18"/>
              </w:rPr>
            </w:pPr>
            <w:r w:rsidRPr="009A63E2">
              <w:rPr>
                <w:rFonts w:ascii="Arial Narrow" w:eastAsiaTheme="majorEastAsia" w:hAnsi="Arial Narrow"/>
                <w:bCs/>
                <w:sz w:val="18"/>
                <w:szCs w:val="18"/>
              </w:rPr>
              <w:t>The condition must be diagnosed by optical coherence tomography; or</w:t>
            </w:r>
          </w:p>
          <w:p w14:paraId="3EF73795" w14:textId="77777777" w:rsidR="009A63E2" w:rsidRPr="009A63E2" w:rsidRDefault="009A63E2" w:rsidP="00115C14">
            <w:pPr>
              <w:rPr>
                <w:rFonts w:ascii="Arial Narrow" w:hAnsi="Arial Narrow"/>
                <w:b/>
                <w:bCs/>
                <w:sz w:val="18"/>
                <w:szCs w:val="18"/>
              </w:rPr>
            </w:pPr>
            <w:r w:rsidRPr="009A63E2">
              <w:rPr>
                <w:rFonts w:ascii="Arial Narrow" w:hAnsi="Arial Narrow"/>
                <w:sz w:val="18"/>
                <w:szCs w:val="18"/>
              </w:rPr>
              <w:t>The condition must be diagnosed by fluorescein angiography</w:t>
            </w:r>
          </w:p>
        </w:tc>
      </w:tr>
      <w:tr w:rsidR="009A63E2" w:rsidRPr="009A63E2" w14:paraId="06793F82"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FAF3AD" w14:textId="77777777"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862EF0A" w14:textId="77777777" w:rsidR="009A63E2" w:rsidRPr="009A63E2" w:rsidRDefault="009A63E2" w:rsidP="00115C14">
            <w:pPr>
              <w:rPr>
                <w:rFonts w:ascii="Arial Narrow" w:hAnsi="Arial Narrow"/>
                <w:b/>
                <w:bCs/>
                <w:sz w:val="18"/>
                <w:szCs w:val="18"/>
              </w:rPr>
            </w:pPr>
            <w:r w:rsidRPr="009A63E2">
              <w:rPr>
                <w:rFonts w:ascii="Arial Narrow" w:hAnsi="Arial Narrow"/>
                <w:b/>
                <w:bCs/>
                <w:sz w:val="18"/>
                <w:szCs w:val="18"/>
              </w:rPr>
              <w:t>AND</w:t>
            </w:r>
          </w:p>
        </w:tc>
      </w:tr>
      <w:tr w:rsidR="009A63E2" w:rsidRPr="009A63E2" w14:paraId="29029F5C"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860EDA" w14:textId="40240DF1"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5F4BCFA" w14:textId="77777777" w:rsidR="009A63E2" w:rsidRPr="009A63E2" w:rsidRDefault="009A63E2" w:rsidP="00115C14">
            <w:pPr>
              <w:rPr>
                <w:rFonts w:ascii="Arial Narrow" w:hAnsi="Arial Narrow"/>
                <w:b/>
                <w:bCs/>
                <w:sz w:val="18"/>
                <w:szCs w:val="18"/>
              </w:rPr>
            </w:pPr>
            <w:r w:rsidRPr="009A63E2">
              <w:rPr>
                <w:rFonts w:ascii="Arial Narrow" w:hAnsi="Arial Narrow"/>
                <w:b/>
                <w:bCs/>
                <w:sz w:val="18"/>
                <w:szCs w:val="18"/>
              </w:rPr>
              <w:t>Clinical criteria:</w:t>
            </w:r>
          </w:p>
        </w:tc>
      </w:tr>
      <w:tr w:rsidR="009A63E2" w:rsidRPr="009A63E2" w14:paraId="2FA49A34"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4A84C69" w14:textId="42379CD5"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78836A2" w14:textId="77777777" w:rsidR="009A63E2" w:rsidRPr="009A63E2" w:rsidRDefault="009A63E2" w:rsidP="00115C14">
            <w:pPr>
              <w:rPr>
                <w:rFonts w:ascii="Arial Narrow" w:hAnsi="Arial Narrow"/>
                <w:b/>
                <w:bCs/>
                <w:sz w:val="18"/>
                <w:szCs w:val="18"/>
              </w:rPr>
            </w:pPr>
            <w:r w:rsidRPr="009A63E2">
              <w:rPr>
                <w:rFonts w:ascii="Arial Narrow" w:hAnsi="Arial Narrow"/>
                <w:sz w:val="18"/>
                <w:szCs w:val="18"/>
              </w:rPr>
              <w:t>Patient must have received non-PBS subsidised treatment with this drug for this condition prior to [listing date]</w:t>
            </w:r>
          </w:p>
        </w:tc>
      </w:tr>
      <w:tr w:rsidR="009A63E2" w:rsidRPr="009A63E2" w14:paraId="2B15AA50"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BC7CF4" w14:textId="77777777"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128218" w14:textId="77777777" w:rsidR="009A63E2" w:rsidRPr="009A63E2" w:rsidRDefault="009A63E2" w:rsidP="00115C14">
            <w:pPr>
              <w:rPr>
                <w:rFonts w:ascii="Arial Narrow" w:hAnsi="Arial Narrow"/>
                <w:b/>
                <w:bCs/>
                <w:sz w:val="18"/>
                <w:szCs w:val="18"/>
              </w:rPr>
            </w:pPr>
            <w:r w:rsidRPr="009A63E2">
              <w:rPr>
                <w:rFonts w:ascii="Arial Narrow" w:hAnsi="Arial Narrow"/>
                <w:b/>
                <w:bCs/>
                <w:sz w:val="18"/>
                <w:szCs w:val="18"/>
              </w:rPr>
              <w:t>AND</w:t>
            </w:r>
          </w:p>
        </w:tc>
      </w:tr>
      <w:tr w:rsidR="009A63E2" w:rsidRPr="009A63E2" w14:paraId="2754EC63"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9337F7F" w14:textId="6A887FC0"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AF336E" w14:textId="77777777" w:rsidR="009A63E2" w:rsidRPr="009A63E2" w:rsidRDefault="009A63E2" w:rsidP="00115C14">
            <w:pPr>
              <w:rPr>
                <w:rFonts w:ascii="Arial Narrow" w:hAnsi="Arial Narrow"/>
                <w:b/>
                <w:bCs/>
                <w:sz w:val="18"/>
                <w:szCs w:val="18"/>
              </w:rPr>
            </w:pPr>
            <w:r w:rsidRPr="009A63E2">
              <w:rPr>
                <w:rFonts w:ascii="Arial Narrow" w:hAnsi="Arial Narrow"/>
                <w:b/>
                <w:bCs/>
                <w:sz w:val="18"/>
                <w:szCs w:val="18"/>
              </w:rPr>
              <w:t>Clinical criteria:</w:t>
            </w:r>
          </w:p>
        </w:tc>
      </w:tr>
      <w:tr w:rsidR="009A63E2" w:rsidRPr="009A63E2" w14:paraId="2E4DDDDB"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FD5B3E" w14:textId="1199E9EE" w:rsidR="009A63E2" w:rsidRPr="009A63E2" w:rsidRDefault="009A63E2" w:rsidP="00115C14">
            <w:pPr>
              <w:jc w:val="center"/>
              <w:rPr>
                <w:rFonts w:ascii="Arial Narrow" w:hAnsi="Arial Narrow"/>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A24C17" w14:textId="77777777" w:rsidR="009A63E2" w:rsidRPr="009A63E2" w:rsidRDefault="009A63E2" w:rsidP="00115C14">
            <w:pPr>
              <w:rPr>
                <w:rFonts w:ascii="Arial Narrow" w:hAnsi="Arial Narrow"/>
                <w:b/>
                <w:bCs/>
                <w:sz w:val="18"/>
                <w:szCs w:val="18"/>
              </w:rPr>
            </w:pPr>
            <w:r w:rsidRPr="009A63E2">
              <w:rPr>
                <w:rFonts w:ascii="Arial Narrow" w:eastAsiaTheme="majorEastAsia" w:hAnsi="Arial Narrow"/>
                <w:bCs/>
                <w:sz w:val="18"/>
                <w:szCs w:val="18"/>
              </w:rPr>
              <w:t>The treatment must be the sole PBS-subsidised therapy for this condition</w:t>
            </w:r>
          </w:p>
        </w:tc>
      </w:tr>
      <w:tr w:rsidR="009A63E2" w:rsidRPr="009A63E2" w14:paraId="02E9C48C"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44E9AE" w14:textId="58B008A1" w:rsidR="009A63E2" w:rsidRPr="009A63E2" w:rsidRDefault="009A63E2" w:rsidP="00115C14">
            <w:pPr>
              <w:jc w:val="center"/>
              <w:rPr>
                <w:rFonts w:ascii="Arial Narrow" w:hAnsi="Arial Narrow"/>
                <w:i/>
                <w:iCs/>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AC5B138" w14:textId="77777777" w:rsidR="009A63E2" w:rsidRPr="009A63E2" w:rsidRDefault="009A63E2" w:rsidP="00115C14">
            <w:pPr>
              <w:rPr>
                <w:rFonts w:ascii="Arial Narrow" w:eastAsiaTheme="majorEastAsia" w:hAnsi="Arial Narrow"/>
                <w:b/>
                <w:i/>
                <w:iCs/>
                <w:sz w:val="18"/>
                <w:szCs w:val="18"/>
              </w:rPr>
            </w:pPr>
            <w:r w:rsidRPr="009A63E2">
              <w:rPr>
                <w:rFonts w:ascii="Arial Narrow" w:eastAsiaTheme="majorEastAsia" w:hAnsi="Arial Narrow"/>
                <w:b/>
                <w:i/>
                <w:iCs/>
                <w:sz w:val="18"/>
                <w:szCs w:val="18"/>
              </w:rPr>
              <w:t xml:space="preserve">Administrative Advice: </w:t>
            </w:r>
          </w:p>
          <w:p w14:paraId="0D2C98AC" w14:textId="77777777" w:rsidR="009A63E2" w:rsidRPr="009A63E2" w:rsidRDefault="009A63E2" w:rsidP="00115C14">
            <w:pPr>
              <w:rPr>
                <w:rFonts w:ascii="Arial Narrow" w:eastAsiaTheme="majorEastAsia" w:hAnsi="Arial Narrow"/>
                <w:bCs/>
                <w:i/>
                <w:iCs/>
                <w:sz w:val="18"/>
                <w:szCs w:val="18"/>
              </w:rPr>
            </w:pPr>
            <w:r w:rsidRPr="009A63E2">
              <w:rPr>
                <w:rFonts w:ascii="Arial Narrow" w:eastAsiaTheme="majorEastAsia" w:hAnsi="Arial Narrow"/>
                <w:bCs/>
                <w:i/>
                <w:iCs/>
                <w:sz w:val="18"/>
                <w:szCs w:val="18"/>
              </w:rPr>
              <w:t>This grandfather restriction will cease to operate from 12 months after the date specified in the clinical criteria.</w:t>
            </w:r>
          </w:p>
        </w:tc>
      </w:tr>
      <w:tr w:rsidR="009A63E2" w:rsidRPr="009A63E2" w14:paraId="40BBAE58" w14:textId="77777777" w:rsidTr="000E217A">
        <w:trPr>
          <w:cantSplit/>
          <w:trHeight w:val="1004"/>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25DBF7" w14:textId="7447F907" w:rsidR="009A63E2" w:rsidRPr="009A63E2" w:rsidRDefault="009A63E2" w:rsidP="00115C14">
            <w:pPr>
              <w:jc w:val="center"/>
              <w:rPr>
                <w:rFonts w:ascii="Arial Narrow" w:hAnsi="Arial Narrow"/>
                <w:i/>
                <w:iCs/>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7479EA" w14:textId="77777777" w:rsidR="009A63E2" w:rsidRPr="009A63E2" w:rsidRDefault="009A63E2" w:rsidP="00115C14">
            <w:pPr>
              <w:pStyle w:val="TableText"/>
              <w:keepNext w:val="0"/>
              <w:spacing w:line="256" w:lineRule="auto"/>
              <w:rPr>
                <w:b/>
                <w:bCs w:val="0"/>
                <w:i/>
                <w:iCs/>
                <w:sz w:val="18"/>
                <w:szCs w:val="18"/>
                <w:lang w:eastAsia="en-US"/>
              </w:rPr>
            </w:pPr>
            <w:r w:rsidRPr="009A63E2">
              <w:rPr>
                <w:b/>
                <w:bCs w:val="0"/>
                <w:i/>
                <w:iCs/>
                <w:sz w:val="18"/>
                <w:szCs w:val="18"/>
                <w:lang w:eastAsia="en-US"/>
              </w:rPr>
              <w:t xml:space="preserve">Administrative Advice: </w:t>
            </w:r>
          </w:p>
          <w:p w14:paraId="5F75AEB1" w14:textId="77777777" w:rsidR="009A63E2" w:rsidRPr="009A63E2" w:rsidRDefault="009A63E2" w:rsidP="00115C14">
            <w:pPr>
              <w:pStyle w:val="TableText"/>
              <w:keepNext w:val="0"/>
              <w:spacing w:line="256" w:lineRule="auto"/>
              <w:rPr>
                <w:rFonts w:eastAsia="Times New Roman"/>
                <w:b/>
                <w:bCs w:val="0"/>
                <w:i/>
                <w:iCs/>
                <w:color w:val="333333"/>
                <w:sz w:val="18"/>
                <w:szCs w:val="18"/>
                <w:lang w:eastAsia="en-US"/>
              </w:rPr>
            </w:pPr>
            <w:r w:rsidRPr="009A63E2">
              <w:rPr>
                <w:i/>
                <w:iCs/>
                <w:sz w:val="18"/>
                <w:szCs w:val="18"/>
                <w:lang w:eastAsia="en-US"/>
              </w:rPr>
              <w:t>Patients may qualify for PBS-subsidised treatment under this restriction once only per eye. For continuing PBS-subsidised treatment, a 'Grandfathered' patient must qualify under the 'Continuing treatment' criteria.</w:t>
            </w:r>
          </w:p>
        </w:tc>
      </w:tr>
      <w:tr w:rsidR="009A63E2" w14:paraId="2AF0B004" w14:textId="77777777" w:rsidTr="000E217A">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B1C2AF9" w14:textId="08297B01" w:rsidR="009A63E2" w:rsidRPr="009A63E2" w:rsidRDefault="009A63E2" w:rsidP="00115C14">
            <w:pPr>
              <w:jc w:val="center"/>
              <w:rPr>
                <w:rFonts w:ascii="Arial Narrow" w:hAnsi="Arial Narrow"/>
                <w:i/>
                <w:iCs/>
                <w:color w:val="333333"/>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A99DD4" w14:textId="77777777" w:rsidR="009A63E2" w:rsidRPr="009A63E2" w:rsidRDefault="009A63E2" w:rsidP="00115C14">
            <w:pPr>
              <w:pStyle w:val="TableText"/>
              <w:keepNext w:val="0"/>
              <w:spacing w:line="256" w:lineRule="auto"/>
              <w:rPr>
                <w:i/>
                <w:iCs/>
                <w:sz w:val="18"/>
                <w:szCs w:val="18"/>
                <w:lang w:eastAsia="en-US"/>
              </w:rPr>
            </w:pPr>
            <w:r w:rsidRPr="009A63E2">
              <w:rPr>
                <w:rFonts w:eastAsia="Times New Roman"/>
                <w:b/>
                <w:bCs w:val="0"/>
                <w:i/>
                <w:iCs/>
                <w:color w:val="333333"/>
                <w:sz w:val="18"/>
                <w:szCs w:val="18"/>
                <w:lang w:eastAsia="en-US"/>
              </w:rPr>
              <w:t xml:space="preserve">Prescribing Instructions: </w:t>
            </w:r>
          </w:p>
          <w:p w14:paraId="40187BCC" w14:textId="77777777" w:rsidR="009A63E2" w:rsidRPr="009A63E2" w:rsidRDefault="009A63E2" w:rsidP="00115C14">
            <w:pPr>
              <w:pStyle w:val="TableText"/>
              <w:keepNext w:val="0"/>
              <w:spacing w:line="256" w:lineRule="auto"/>
              <w:rPr>
                <w:i/>
                <w:iCs/>
                <w:sz w:val="18"/>
                <w:szCs w:val="18"/>
                <w:lang w:eastAsia="en-US"/>
              </w:rPr>
            </w:pPr>
            <w:r w:rsidRPr="009A63E2">
              <w:rPr>
                <w:i/>
                <w:iCs/>
                <w:sz w:val="18"/>
                <w:szCs w:val="18"/>
                <w:lang w:eastAsia="en-US"/>
              </w:rPr>
              <w:t>The first authority application for each eye must be made in writing.</w:t>
            </w:r>
          </w:p>
          <w:p w14:paraId="06521A48" w14:textId="77777777" w:rsidR="009A63E2" w:rsidRPr="009A63E2" w:rsidRDefault="009A63E2" w:rsidP="00115C14">
            <w:pPr>
              <w:pStyle w:val="TableText"/>
              <w:keepNext w:val="0"/>
              <w:spacing w:line="256" w:lineRule="auto"/>
              <w:rPr>
                <w:i/>
                <w:iCs/>
                <w:sz w:val="18"/>
                <w:szCs w:val="18"/>
                <w:lang w:eastAsia="en-US"/>
              </w:rPr>
            </w:pPr>
            <w:r w:rsidRPr="009A63E2">
              <w:rPr>
                <w:i/>
                <w:iCs/>
                <w:sz w:val="18"/>
                <w:szCs w:val="18"/>
                <w:lang w:eastAsia="en-US"/>
              </w:rPr>
              <w:t>A written application must include:</w:t>
            </w:r>
          </w:p>
          <w:p w14:paraId="16C6E61E" w14:textId="77777777" w:rsidR="009A63E2" w:rsidRPr="009A63E2" w:rsidRDefault="009A63E2" w:rsidP="00115C14">
            <w:pPr>
              <w:pStyle w:val="TableText"/>
              <w:keepNext w:val="0"/>
              <w:spacing w:line="256" w:lineRule="auto"/>
              <w:rPr>
                <w:i/>
                <w:iCs/>
                <w:sz w:val="18"/>
                <w:szCs w:val="18"/>
                <w:lang w:eastAsia="en-US"/>
              </w:rPr>
            </w:pPr>
            <w:r w:rsidRPr="009A63E2">
              <w:rPr>
                <w:i/>
                <w:iCs/>
                <w:sz w:val="18"/>
                <w:szCs w:val="18"/>
                <w:lang w:eastAsia="en-US"/>
              </w:rPr>
              <w:t>a) a completed authority prescription form;</w:t>
            </w:r>
          </w:p>
          <w:p w14:paraId="6776DBF2" w14:textId="7D25E927" w:rsidR="009A63E2" w:rsidRPr="009A63E2" w:rsidRDefault="009A63E2" w:rsidP="00115C14">
            <w:pPr>
              <w:pStyle w:val="TableText"/>
              <w:keepNext w:val="0"/>
              <w:spacing w:line="256" w:lineRule="auto"/>
              <w:rPr>
                <w:i/>
                <w:iCs/>
                <w:sz w:val="18"/>
                <w:szCs w:val="18"/>
                <w:lang w:eastAsia="en-US"/>
              </w:rPr>
            </w:pPr>
            <w:r w:rsidRPr="009A63E2">
              <w:rPr>
                <w:i/>
                <w:iCs/>
                <w:sz w:val="18"/>
                <w:szCs w:val="18"/>
                <w:lang w:eastAsia="en-US"/>
              </w:rPr>
              <w:t>b) a completed Subfoveal Choroidal Neovascularisation (CNV) - PBS Supporting Information Form; and</w:t>
            </w:r>
          </w:p>
          <w:p w14:paraId="55E0C4F4" w14:textId="77777777" w:rsidR="009A63E2" w:rsidRDefault="009A63E2" w:rsidP="00115C14">
            <w:pPr>
              <w:pStyle w:val="TableText"/>
              <w:keepNext w:val="0"/>
              <w:spacing w:line="256" w:lineRule="auto"/>
              <w:rPr>
                <w:rFonts w:eastAsia="Times New Roman"/>
                <w:b/>
                <w:bCs w:val="0"/>
                <w:i/>
                <w:iCs/>
                <w:color w:val="333333"/>
                <w:sz w:val="18"/>
                <w:szCs w:val="18"/>
                <w:lang w:eastAsia="en-US"/>
              </w:rPr>
            </w:pPr>
            <w:r w:rsidRPr="009A63E2">
              <w:rPr>
                <w:i/>
                <w:iCs/>
                <w:sz w:val="18"/>
                <w:szCs w:val="18"/>
                <w:lang w:eastAsia="en-US"/>
              </w:rPr>
              <w:t>c) a copy of the optical coherence tomography or fluorescein angiogram report.</w:t>
            </w:r>
          </w:p>
        </w:tc>
      </w:tr>
    </w:tbl>
    <w:p w14:paraId="62758664" w14:textId="25E99057" w:rsidR="00803EBA" w:rsidRPr="002D21EA" w:rsidRDefault="00803EBA" w:rsidP="009A63E2">
      <w:pPr>
        <w:pStyle w:val="ExecSumBodyText"/>
        <w:spacing w:before="120"/>
      </w:pPr>
      <w:r w:rsidRPr="002D21EA">
        <w:t xml:space="preserve">The proposed restriction includes two faricimab formulations (28.8 mg/0.24 mL vial; 24.0 mg/0.2 mL pre-filled syringe). </w:t>
      </w:r>
      <w:r w:rsidR="00C4121D" w:rsidRPr="002D21EA">
        <w:t>However, t</w:t>
      </w:r>
      <w:r w:rsidRPr="002D21EA">
        <w:t xml:space="preserve">he submission noted that at the time </w:t>
      </w:r>
      <w:r w:rsidR="00A226DD" w:rsidRPr="002D21EA">
        <w:t>of lodgement</w:t>
      </w:r>
      <w:r w:rsidRPr="002D21EA">
        <w:t>, a regulatory application had only been lodged for the faricimab vial formulation.</w:t>
      </w:r>
      <w:r w:rsidR="003B6B3F" w:rsidRPr="002D21EA">
        <w:t xml:space="preserve"> The </w:t>
      </w:r>
      <w:r w:rsidR="009A63E2">
        <w:t xml:space="preserve">Pre-PBAC Response clarified that </w:t>
      </w:r>
      <w:r w:rsidR="003B6B3F" w:rsidRPr="002D21EA">
        <w:t xml:space="preserve">a syringe form is </w:t>
      </w:r>
      <w:r w:rsidR="00E54E60">
        <w:t xml:space="preserve">also </w:t>
      </w:r>
      <w:r w:rsidR="003B6B3F" w:rsidRPr="002D21EA">
        <w:t>being requested for PBS listing.</w:t>
      </w:r>
    </w:p>
    <w:p w14:paraId="3972D24B" w14:textId="77777777" w:rsidR="00845DDB" w:rsidRPr="00845DDB" w:rsidRDefault="00845DDB" w:rsidP="00343AB7">
      <w:pPr>
        <w:pStyle w:val="ExecSumBodyText"/>
        <w:numPr>
          <w:ilvl w:val="1"/>
          <w:numId w:val="1"/>
        </w:numPr>
        <w:ind w:left="709" w:hanging="709"/>
        <w:rPr>
          <w:lang w:val="en-GB"/>
        </w:rPr>
      </w:pPr>
      <w:r w:rsidRPr="002D21EA">
        <w:t>The published dispensed price for maximum quantity (DPMQ) for faricimab is the same as for VEGF inhibitors listed on the PBS, aflibercept and ranibizumab. The same price is proposed in the faricimab submission for DMO. The submission requested a special pricing arrangement, with the effective price to be calculated based on the effective price of the main comparator, aflibercept, on a 1:1 injection basis.</w:t>
      </w:r>
    </w:p>
    <w:p w14:paraId="554658DC" w14:textId="3AC1403A" w:rsidR="00343AB7" w:rsidRDefault="00145C69" w:rsidP="00343AB7">
      <w:pPr>
        <w:pStyle w:val="ExecSumBodyText"/>
        <w:numPr>
          <w:ilvl w:val="1"/>
          <w:numId w:val="1"/>
        </w:numPr>
        <w:ind w:left="709" w:hanging="709"/>
        <w:rPr>
          <w:lang w:val="en-GB"/>
        </w:rPr>
      </w:pPr>
      <w:r w:rsidRPr="002D21EA">
        <w:t>The submission requested a maximum quantity of one injection, with five repeats</w:t>
      </w:r>
      <w:r w:rsidR="004558E5" w:rsidRPr="002D21EA">
        <w:t xml:space="preserve">. </w:t>
      </w:r>
      <w:r w:rsidR="00DA1F96" w:rsidRPr="002D21EA">
        <w:t xml:space="preserve">The </w:t>
      </w:r>
      <w:r w:rsidR="0092128B" w:rsidRPr="002D21EA">
        <w:t xml:space="preserve">PBS listings for aflibercept and ranibizumab for nAMD have two repeats, consistent </w:t>
      </w:r>
      <w:r w:rsidR="0092128B" w:rsidRPr="002D21EA">
        <w:lastRenderedPageBreak/>
        <w:t>with the number of prescriptions required to provide three four-weekly loading doses</w:t>
      </w:r>
      <w:r w:rsidR="00336929" w:rsidRPr="002D21EA">
        <w:t xml:space="preserve">, </w:t>
      </w:r>
      <w:r w:rsidR="00C12D26" w:rsidRPr="002D21EA">
        <w:t>as specified in</w:t>
      </w:r>
      <w:r w:rsidR="00336929" w:rsidRPr="002D21EA">
        <w:t xml:space="preserve"> their product information</w:t>
      </w:r>
      <w:r w:rsidR="007D43CC" w:rsidRPr="002D21EA">
        <w:t xml:space="preserve"> documents</w:t>
      </w:r>
      <w:r w:rsidR="0092128B" w:rsidRPr="002D21EA">
        <w:t>.</w:t>
      </w:r>
      <w:r w:rsidR="00511C82" w:rsidRPr="002D21EA">
        <w:t xml:space="preserve"> The faricimab draft product information specifies four four-weekly loading</w:t>
      </w:r>
      <w:r w:rsidR="00C4615C" w:rsidRPr="002D21EA">
        <w:t xml:space="preserve"> doses</w:t>
      </w:r>
      <w:r w:rsidR="003C03F8" w:rsidRPr="002D21EA">
        <w:t xml:space="preserve">, consistent with </w:t>
      </w:r>
      <w:r w:rsidR="00174A07" w:rsidRPr="002D21EA">
        <w:t>three</w:t>
      </w:r>
      <w:r w:rsidR="003C03F8" w:rsidRPr="002D21EA">
        <w:t xml:space="preserve"> repeats</w:t>
      </w:r>
      <w:r w:rsidR="007D09DA" w:rsidRPr="002D21EA">
        <w:t>, however t</w:t>
      </w:r>
      <w:r w:rsidR="003C03F8" w:rsidRPr="002D21EA">
        <w:t>he submission state</w:t>
      </w:r>
      <w:r w:rsidR="007D09DA" w:rsidRPr="002D21EA">
        <w:t>d</w:t>
      </w:r>
      <w:r w:rsidR="003C03F8" w:rsidRPr="002D21EA">
        <w:t xml:space="preserve"> that five repeats were sought based on clinician feedbac</w:t>
      </w:r>
      <w:r w:rsidR="009F0260" w:rsidRPr="002D21EA">
        <w:t>k</w:t>
      </w:r>
      <w:r w:rsidR="003136B0" w:rsidRPr="002D21EA">
        <w:t xml:space="preserve"> (not provided)</w:t>
      </w:r>
      <w:r w:rsidR="00457A83" w:rsidRPr="002D21EA">
        <w:t>, to</w:t>
      </w:r>
      <w:r w:rsidR="003C03F8" w:rsidRPr="002D21EA">
        <w:t xml:space="preserve"> ensure consistency with the DMO </w:t>
      </w:r>
      <w:r w:rsidR="009E2CA0" w:rsidRPr="002D21EA">
        <w:t>restriction</w:t>
      </w:r>
      <w:r w:rsidR="003C03F8" w:rsidRPr="002D21EA">
        <w:t xml:space="preserve"> which has five repeats (of which, in DM</w:t>
      </w:r>
      <w:r w:rsidR="00E05010" w:rsidRPr="002D21EA">
        <w:t>O</w:t>
      </w:r>
      <w:r w:rsidR="003C03F8" w:rsidRPr="002D21EA">
        <w:t>, three loading doses are specified for ranibizumab and five loading doses for aflibercept) and reduce prescription administrative burden.</w:t>
      </w:r>
      <w:r w:rsidR="009A63E2">
        <w:t xml:space="preserve"> </w:t>
      </w:r>
      <w:r w:rsidR="00F4203E">
        <w:t>T</w:t>
      </w:r>
      <w:r w:rsidR="003948F2">
        <w:t xml:space="preserve">he Secretariat suggested </w:t>
      </w:r>
      <w:r w:rsidR="003948F2" w:rsidRPr="006A3838">
        <w:t>the maximum repeats for faricimab be revised to 3 (initial), 1 (continuing) and 0 (grandfather) based on the draft faricimab PI dosing instructions</w:t>
      </w:r>
      <w:r w:rsidR="003948F2">
        <w:t xml:space="preserve">. </w:t>
      </w:r>
      <w:r w:rsidR="00343AB7">
        <w:t xml:space="preserve"> </w:t>
      </w:r>
      <w:r w:rsidR="003948F2">
        <w:rPr>
          <w:lang w:val="en-GB"/>
        </w:rPr>
        <w:t>T</w:t>
      </w:r>
      <w:r w:rsidR="00343AB7">
        <w:rPr>
          <w:lang w:val="en-GB"/>
        </w:rPr>
        <w:t xml:space="preserve">he PBAC </w:t>
      </w:r>
      <w:r w:rsidR="00343AB7" w:rsidRPr="001B0A24">
        <w:rPr>
          <w:lang w:val="en-GB"/>
        </w:rPr>
        <w:t xml:space="preserve">considered that </w:t>
      </w:r>
      <w:r w:rsidR="00343AB7">
        <w:rPr>
          <w:lang w:val="en-GB"/>
        </w:rPr>
        <w:t>2</w:t>
      </w:r>
      <w:r w:rsidR="00343AB7" w:rsidRPr="001B0A24">
        <w:rPr>
          <w:lang w:val="en-GB"/>
        </w:rPr>
        <w:t xml:space="preserve"> repeats w</w:t>
      </w:r>
      <w:r w:rsidR="00343AB7">
        <w:rPr>
          <w:lang w:val="en-GB"/>
        </w:rPr>
        <w:t>ould be</w:t>
      </w:r>
      <w:r w:rsidR="00343AB7" w:rsidRPr="001B0A24">
        <w:rPr>
          <w:lang w:val="en-GB"/>
        </w:rPr>
        <w:t xml:space="preserve"> appropriate</w:t>
      </w:r>
      <w:r w:rsidR="00343AB7">
        <w:rPr>
          <w:lang w:val="en-GB"/>
        </w:rPr>
        <w:t xml:space="preserve"> for faricimab for all treatment phases to maintain consistency </w:t>
      </w:r>
      <w:r w:rsidR="00343AB7" w:rsidRPr="001B0A24">
        <w:rPr>
          <w:lang w:val="en-GB"/>
        </w:rPr>
        <w:t>with aflibercept and ranibizumab</w:t>
      </w:r>
      <w:r w:rsidR="00343AB7">
        <w:rPr>
          <w:lang w:val="en-GB"/>
        </w:rPr>
        <w:t xml:space="preserve"> listings for </w:t>
      </w:r>
      <w:r w:rsidR="00845DDB">
        <w:rPr>
          <w:lang w:val="en-GB"/>
        </w:rPr>
        <w:t>the same indication</w:t>
      </w:r>
      <w:r w:rsidR="003948F2">
        <w:rPr>
          <w:lang w:val="en-GB"/>
        </w:rPr>
        <w:t xml:space="preserve">, noting some patients receive these medicines under </w:t>
      </w:r>
      <w:r w:rsidR="00343AB7" w:rsidRPr="001B0A24">
        <w:rPr>
          <w:lang w:val="en-GB"/>
        </w:rPr>
        <w:t>treat</w:t>
      </w:r>
      <w:r w:rsidR="00343AB7">
        <w:rPr>
          <w:lang w:val="en-GB"/>
        </w:rPr>
        <w:t>-</w:t>
      </w:r>
      <w:r w:rsidR="00343AB7" w:rsidRPr="001B0A24">
        <w:rPr>
          <w:lang w:val="en-GB"/>
        </w:rPr>
        <w:t>and</w:t>
      </w:r>
      <w:r w:rsidR="00343AB7">
        <w:rPr>
          <w:lang w:val="en-GB"/>
        </w:rPr>
        <w:t>-</w:t>
      </w:r>
      <w:r w:rsidR="00343AB7" w:rsidRPr="001B0A24">
        <w:rPr>
          <w:lang w:val="en-GB"/>
        </w:rPr>
        <w:t>extend regimens.</w:t>
      </w:r>
    </w:p>
    <w:p w14:paraId="35A1E07C" w14:textId="48CC8648" w:rsidR="00E9488F" w:rsidRPr="002D21EA" w:rsidRDefault="00E9488F" w:rsidP="00115C14">
      <w:pPr>
        <w:pStyle w:val="ExecSumBodyText"/>
      </w:pPr>
      <w:r w:rsidRPr="002D21EA">
        <w:t xml:space="preserve">The submission requested a General Schedule Authority required (telephone) listing </w:t>
      </w:r>
      <w:r w:rsidR="00A33CA5" w:rsidRPr="002D21EA">
        <w:t xml:space="preserve">for initial and continuing </w:t>
      </w:r>
      <w:r w:rsidR="006C5FBB" w:rsidRPr="002D21EA">
        <w:t>patients</w:t>
      </w:r>
      <w:r w:rsidR="00A33CA5" w:rsidRPr="002D21EA">
        <w:t xml:space="preserve"> </w:t>
      </w:r>
      <w:r w:rsidR="006C5FBB" w:rsidRPr="003D01F1">
        <w:rPr>
          <w:rFonts w:cstheme="minorHAnsi"/>
        </w:rPr>
        <w:t>and Authority required (in writing) for grandfathered patients</w:t>
      </w:r>
      <w:r w:rsidR="005D4994" w:rsidRPr="003D01F1">
        <w:rPr>
          <w:rFonts w:cstheme="minorHAnsi"/>
        </w:rPr>
        <w:t>,</w:t>
      </w:r>
      <w:r w:rsidR="006C5FBB" w:rsidRPr="002D21EA">
        <w:t xml:space="preserve"> </w:t>
      </w:r>
      <w:r w:rsidRPr="002D21EA">
        <w:t xml:space="preserve">for the treatment of subfoveal choroidal neovascularisation (CNV) due to age-related macular degeneration (AMD). </w:t>
      </w:r>
      <w:r w:rsidR="002F2B78" w:rsidRPr="002D21EA">
        <w:t xml:space="preserve">This is consistent with </w:t>
      </w:r>
      <w:r w:rsidR="00DB7EEA" w:rsidRPr="002D21EA">
        <w:t xml:space="preserve">the proposed TGA indication, but is broader than </w:t>
      </w:r>
      <w:r w:rsidR="002F2B78" w:rsidRPr="002D21EA">
        <w:t xml:space="preserve">the key </w:t>
      </w:r>
      <w:r w:rsidR="00B17796" w:rsidRPr="002D21EA">
        <w:t xml:space="preserve">TENAYA and LUCERNE </w:t>
      </w:r>
      <w:r w:rsidR="002F2B78" w:rsidRPr="002D21EA">
        <w:t>trials (</w:t>
      </w:r>
      <w:r w:rsidR="00EC4E22" w:rsidRPr="002D21EA">
        <w:t xml:space="preserve">the trials were </w:t>
      </w:r>
      <w:r w:rsidR="00AA6312" w:rsidRPr="002D21EA">
        <w:t>limited to treatment naïve patients, aged ≥50 years, with BCVA 78-24 letters</w:t>
      </w:r>
      <w:r w:rsidR="002F2B78" w:rsidRPr="002D21EA">
        <w:t>).</w:t>
      </w:r>
      <w:r w:rsidR="003D01F1">
        <w:t xml:space="preserve"> The PBAC considered that the faricimab listing should be consistent with the restrictions for aflibercept and ranibizumab for the above criteria.</w:t>
      </w:r>
    </w:p>
    <w:p w14:paraId="449BCFD2" w14:textId="6B816D48" w:rsidR="00343AB7" w:rsidRDefault="00C9480A" w:rsidP="00810F21">
      <w:pPr>
        <w:pStyle w:val="ExecSumBodyText"/>
      </w:pPr>
      <w:r w:rsidRPr="002D21EA">
        <w:t>The proposed restriction is consistent with the PBS restrictions for aflibercept and ranibizumab for nAMD</w:t>
      </w:r>
      <w:r w:rsidR="004E6667" w:rsidRPr="002D21EA">
        <w:t xml:space="preserve">. However, the </w:t>
      </w:r>
      <w:r w:rsidR="00925F88" w:rsidRPr="002D21EA">
        <w:t>faricimab</w:t>
      </w:r>
      <w:r w:rsidR="004E6667" w:rsidRPr="002D21EA">
        <w:t xml:space="preserve"> </w:t>
      </w:r>
      <w:r w:rsidR="00925F88" w:rsidRPr="002D21EA">
        <w:t>submission</w:t>
      </w:r>
      <w:r w:rsidR="004E6667" w:rsidRPr="002D21EA">
        <w:t xml:space="preserve"> </w:t>
      </w:r>
      <w:r w:rsidR="00925F88" w:rsidRPr="002D21EA">
        <w:t>requested a telephone authority for initial treatment</w:t>
      </w:r>
      <w:r w:rsidR="002E40C0" w:rsidRPr="002D21EA">
        <w:t xml:space="preserve"> (aflibercept and ranibizumab have written authorities for initial treatment)</w:t>
      </w:r>
      <w:r w:rsidR="002C44E3" w:rsidRPr="002D21EA">
        <w:t>, although the a</w:t>
      </w:r>
      <w:r w:rsidR="007966A0" w:rsidRPr="002D21EA">
        <w:t xml:space="preserve">dministrative advice </w:t>
      </w:r>
      <w:r w:rsidR="002C44E3" w:rsidRPr="002D21EA">
        <w:t>states that the first authority application must be made in writing.</w:t>
      </w:r>
      <w:r w:rsidR="00343AB7">
        <w:t xml:space="preserve"> The PBAC considered that a Written authority </w:t>
      </w:r>
      <w:r w:rsidR="008B163C">
        <w:t xml:space="preserve">would </w:t>
      </w:r>
      <w:r w:rsidR="00343AB7">
        <w:t>be more appropriate for patients initiating faricimab to be consistent with its comparators.</w:t>
      </w:r>
    </w:p>
    <w:p w14:paraId="28807818" w14:textId="1D4718B0" w:rsidR="00343AB7" w:rsidRDefault="00343AB7" w:rsidP="00343AB7">
      <w:pPr>
        <w:pStyle w:val="ExecSumBodyText"/>
        <w:numPr>
          <w:ilvl w:val="1"/>
          <w:numId w:val="1"/>
        </w:numPr>
        <w:ind w:left="709" w:hanging="709"/>
      </w:pPr>
      <w:r>
        <w:t xml:space="preserve">The requested authority for continuing patients was Authority Required – Telephone, consistent with the current restrictions for aflibercept and ranibizumab. The PBAC recalled that, at its November 2021 meeting, it had recommended that the restriction level for patients continuing aflibercept, dexamethasone and ranibizumab should be lowered to Authority Required (STREAMLINED) to reduce administrative burden for specialist clinicians and improve timely access to treatment for patients (PBAC Meeting Outcomes, November 2021). The PBAC considered that the continuing restriction for faricimab should also be Authority Required (STREAMLINED) to be consistent with the November 2021 recommendation. </w:t>
      </w:r>
    </w:p>
    <w:p w14:paraId="7160DEFD" w14:textId="5FB14533" w:rsidR="00361DDC" w:rsidRDefault="00361DDC" w:rsidP="00465E46">
      <w:pPr>
        <w:pStyle w:val="ExecSumBodyText"/>
        <w:numPr>
          <w:ilvl w:val="1"/>
          <w:numId w:val="1"/>
        </w:numPr>
      </w:pPr>
      <w:r w:rsidRPr="002D21EA">
        <w:t xml:space="preserve">The submission requested grandfathered treatment of patients with </w:t>
      </w:r>
      <w:r w:rsidR="00284DCE" w:rsidRPr="002D21EA">
        <w:t>nAMD</w:t>
      </w:r>
      <w:r w:rsidRPr="002D21EA">
        <w:t>. The submission stated that an estimate of eligible grandfathered patients could be provided to the Department of Health if faricimab receives a positive PBAC recommendation.</w:t>
      </w:r>
      <w:r w:rsidR="00465E46" w:rsidRPr="002D21EA">
        <w:t xml:space="preserve"> </w:t>
      </w:r>
      <w:r w:rsidR="00343AB7">
        <w:t>The PBAC noted that g</w:t>
      </w:r>
      <w:r w:rsidR="00465E46" w:rsidRPr="002D21EA">
        <w:t>iven the small number of Australian patients who participated in the clinical trials (</w:t>
      </w:r>
      <w:r w:rsidR="003819B0" w:rsidRPr="002D21EA">
        <w:t>38</w:t>
      </w:r>
      <w:r w:rsidR="00465E46" w:rsidRPr="002D21EA">
        <w:t xml:space="preserve"> patients in the </w:t>
      </w:r>
      <w:r w:rsidR="00CD6991" w:rsidRPr="002D21EA">
        <w:t>LUCERNE</w:t>
      </w:r>
      <w:r w:rsidR="00465E46" w:rsidRPr="002D21EA">
        <w:t xml:space="preserve"> trial), the proposed </w:t>
      </w:r>
      <w:r w:rsidR="00465E46" w:rsidRPr="002D21EA">
        <w:lastRenderedPageBreak/>
        <w:t>grandfathering provisions are unlikely to substantially affect the financial estimates.</w:t>
      </w:r>
      <w:r w:rsidR="00343AB7" w:rsidRPr="00343AB7">
        <w:t xml:space="preserve"> </w:t>
      </w:r>
      <w:r w:rsidR="00343AB7">
        <w:t>The PBAC considered</w:t>
      </w:r>
      <w:r w:rsidR="00343AB7" w:rsidRPr="006A3838">
        <w:t xml:space="preserve"> that </w:t>
      </w:r>
      <w:r w:rsidR="00343AB7">
        <w:t xml:space="preserve">a grandfather restriction would be appropriate and </w:t>
      </w:r>
      <w:r w:rsidR="008B163C">
        <w:t xml:space="preserve">recommended </w:t>
      </w:r>
      <w:r w:rsidR="00343AB7" w:rsidRPr="006A3838">
        <w:t>the grandfather listing be in operation for a maximum of 12 months from listing</w:t>
      </w:r>
      <w:r w:rsidR="00343AB7">
        <w:t>.</w:t>
      </w:r>
    </w:p>
    <w:p w14:paraId="2D79FC87" w14:textId="2A2F75B6" w:rsidR="00343AB7" w:rsidRDefault="00343AB7" w:rsidP="00343AB7">
      <w:pPr>
        <w:pStyle w:val="ExecSumBodyText"/>
        <w:numPr>
          <w:ilvl w:val="1"/>
          <w:numId w:val="1"/>
        </w:numPr>
        <w:ind w:left="709" w:hanging="709"/>
        <w:rPr>
          <w:lang w:val="en-GB"/>
        </w:rPr>
      </w:pPr>
      <w:r w:rsidRPr="00301084">
        <w:rPr>
          <w:lang w:val="en-GB"/>
        </w:rPr>
        <w:t xml:space="preserve">The </w:t>
      </w:r>
      <w:r>
        <w:rPr>
          <w:lang w:val="en-GB"/>
        </w:rPr>
        <w:t xml:space="preserve">PBAC noted </w:t>
      </w:r>
      <w:r w:rsidRPr="00301084">
        <w:rPr>
          <w:lang w:val="en-GB"/>
        </w:rPr>
        <w:t>the proposed initial restriction Administrative advice regarding a-flagging between the two forms</w:t>
      </w:r>
      <w:r>
        <w:rPr>
          <w:lang w:val="en-GB"/>
        </w:rPr>
        <w:t xml:space="preserve"> and </w:t>
      </w:r>
      <w:r w:rsidRPr="00301084">
        <w:rPr>
          <w:lang w:val="en-GB"/>
        </w:rPr>
        <w:t>consider</w:t>
      </w:r>
      <w:r>
        <w:rPr>
          <w:lang w:val="en-GB"/>
        </w:rPr>
        <w:t>ed</w:t>
      </w:r>
      <w:r w:rsidRPr="00301084">
        <w:rPr>
          <w:lang w:val="en-GB"/>
        </w:rPr>
        <w:t xml:space="preserve"> </w:t>
      </w:r>
      <w:r>
        <w:rPr>
          <w:lang w:val="en-GB"/>
        </w:rPr>
        <w:t>that</w:t>
      </w:r>
      <w:r w:rsidRPr="00301084">
        <w:rPr>
          <w:lang w:val="en-GB"/>
        </w:rPr>
        <w:t xml:space="preserve"> faricimab 0.24 mL injection vial and faricimab 0.2 mL injection syringe should be considered equivalent for the purposes of substitution (i.e., ‘a’ flagged in the Schedule with a NOTE stating PBS of one form and PBS of another form are equivalent for the purposes of substitution</w:t>
      </w:r>
      <w:r>
        <w:rPr>
          <w:lang w:val="en-GB"/>
        </w:rPr>
        <w:t>)</w:t>
      </w:r>
      <w:r w:rsidRPr="00301084">
        <w:rPr>
          <w:lang w:val="en-GB"/>
        </w:rPr>
        <w:t xml:space="preserve">. </w:t>
      </w:r>
    </w:p>
    <w:p w14:paraId="79C38A06" w14:textId="3DF56098" w:rsidR="00A916A4" w:rsidRPr="00A916A4" w:rsidRDefault="00A916A4" w:rsidP="00A916A4">
      <w:pPr>
        <w:pStyle w:val="ExecSumBodyText"/>
        <w:numPr>
          <w:ilvl w:val="1"/>
          <w:numId w:val="1"/>
        </w:numPr>
        <w:ind w:left="709" w:hanging="709"/>
        <w:rPr>
          <w:lang w:val="en-GB"/>
        </w:rPr>
      </w:pPr>
      <w:bookmarkStart w:id="6" w:name="_Hlk111494519"/>
      <w:r w:rsidRPr="005C539E">
        <w:rPr>
          <w:lang w:val="en-GB"/>
        </w:rPr>
        <w:t xml:space="preserve">The PBAC recalled that brolucizumab was previously accepted as a subsequent therapy after aflibercept or ranibizumab and considered that this </w:t>
      </w:r>
      <w:r>
        <w:rPr>
          <w:lang w:val="en-GB"/>
        </w:rPr>
        <w:t>sh</w:t>
      </w:r>
      <w:r w:rsidRPr="005C539E">
        <w:rPr>
          <w:lang w:val="en-GB"/>
        </w:rPr>
        <w:t>ould also apply to faricimab (paragraph 7.4, brolucizumab</w:t>
      </w:r>
      <w:r w:rsidR="00786949">
        <w:rPr>
          <w:lang w:val="en-GB"/>
        </w:rPr>
        <w:t xml:space="preserve"> Public Summary Document</w:t>
      </w:r>
      <w:r w:rsidRPr="005C539E">
        <w:rPr>
          <w:lang w:val="en-GB"/>
        </w:rPr>
        <w:t xml:space="preserve"> </w:t>
      </w:r>
      <w:r w:rsidR="00786949">
        <w:rPr>
          <w:lang w:val="en-GB"/>
        </w:rPr>
        <w:t>[</w:t>
      </w:r>
      <w:r w:rsidRPr="005C539E">
        <w:rPr>
          <w:lang w:val="en-GB"/>
        </w:rPr>
        <w:t>PSD</w:t>
      </w:r>
      <w:r w:rsidR="00786949">
        <w:rPr>
          <w:lang w:val="en-GB"/>
        </w:rPr>
        <w:t>]</w:t>
      </w:r>
      <w:r w:rsidRPr="005C539E">
        <w:rPr>
          <w:lang w:val="en-GB"/>
        </w:rPr>
        <w:t>, March 2021 PBAC meeting). The PBAC considered that upon listing of faricimab for nAMD, the restriction flow-on change should apply to the following brolucizumab initial and grandfather restriction: “Patient must have persistent macular exudation, as determined clinically and/or by optical coherence tomography or fluorescein angiography, despite at least 6 months of treatment with: 1. Aflibercept and/or 2. Ranibizumab and/or 3. Faricimab</w:t>
      </w:r>
      <w:r>
        <w:rPr>
          <w:lang w:val="en-GB"/>
        </w:rPr>
        <w:t>”</w:t>
      </w:r>
      <w:r w:rsidRPr="005C539E">
        <w:rPr>
          <w:lang w:val="en-GB"/>
        </w:rPr>
        <w:t>.</w:t>
      </w:r>
      <w:bookmarkEnd w:id="6"/>
    </w:p>
    <w:p w14:paraId="63C0450C" w14:textId="77777777" w:rsidR="000D17EF" w:rsidRPr="00C33D30" w:rsidRDefault="000D17EF" w:rsidP="000D17EF">
      <w:pPr>
        <w:ind w:firstLine="709"/>
        <w:rPr>
          <w:rFonts w:asciiTheme="minorHAnsi" w:hAnsiTheme="minorHAnsi"/>
          <w:i/>
        </w:rPr>
      </w:pPr>
      <w:r w:rsidRPr="00C33D30">
        <w:rPr>
          <w:rFonts w:asciiTheme="minorHAnsi" w:hAnsiTheme="minorHAnsi"/>
          <w:i/>
        </w:rPr>
        <w:t>For more detail on PBAC’s view, see section 7 PBAC outcome.</w:t>
      </w:r>
    </w:p>
    <w:p w14:paraId="7075B85C" w14:textId="1655A25A" w:rsidR="00B50DB8" w:rsidRPr="002D21EA" w:rsidRDefault="00203181" w:rsidP="004E18E9">
      <w:pPr>
        <w:pStyle w:val="2-SectionHeading"/>
      </w:pPr>
      <w:bookmarkStart w:id="7" w:name="_Toc101107804"/>
      <w:r w:rsidRPr="002D21EA">
        <w:t xml:space="preserve">Population and </w:t>
      </w:r>
      <w:r w:rsidR="008E0D3C" w:rsidRPr="002D21EA">
        <w:t>d</w:t>
      </w:r>
      <w:r w:rsidRPr="002D21EA">
        <w:t>isease</w:t>
      </w:r>
      <w:bookmarkEnd w:id="7"/>
    </w:p>
    <w:p w14:paraId="6C9E5CE2" w14:textId="04B02F9D" w:rsidR="00550BDA" w:rsidRPr="002D21EA" w:rsidRDefault="00550BDA" w:rsidP="00550BDA">
      <w:pPr>
        <w:pStyle w:val="ExecSumBodyText"/>
      </w:pPr>
      <w:r w:rsidRPr="002D21EA">
        <w:t>Age-related macular degeneration is a chronic eye disease characterised by progressive degenerative abnormalities in the central retina (macula) and is the leading cause of severe vision loss and legal blindness in people over the age of 65 years. Neovascular (wet) AMD (nAMD) occurs in around 10-15% of overall AMD cases and is characterised by choroidal neovascularisation, a process in which new blood vessels grow beneath the retina and macula</w:t>
      </w:r>
      <w:r w:rsidRPr="002D21EA">
        <w:rPr>
          <w:color w:val="0066FF"/>
        </w:rPr>
        <w:t xml:space="preserve">. </w:t>
      </w:r>
      <w:r w:rsidR="001B59D7" w:rsidRPr="002D21EA">
        <w:t xml:space="preserve">These abnormal blood vessels </w:t>
      </w:r>
      <w:r w:rsidRPr="002D21EA">
        <w:t xml:space="preserve">may leak fluid </w:t>
      </w:r>
      <w:r w:rsidR="00CD4B2A" w:rsidRPr="002D21EA">
        <w:t>and/</w:t>
      </w:r>
      <w:r w:rsidRPr="002D21EA">
        <w:t>or blood and penetrate the photoreceptor layer, resulting in focal retinal detachment and rapid central vision loss (Bhutto 2012; van Lookeren Campagne 2014), and potential blindness (Wong 2014).</w:t>
      </w:r>
    </w:p>
    <w:p w14:paraId="125E2FC8" w14:textId="0D4029AA" w:rsidR="00550BDA" w:rsidRPr="002D21EA" w:rsidRDefault="00280B42" w:rsidP="00550BDA">
      <w:pPr>
        <w:pStyle w:val="ExecSumBodyText"/>
      </w:pPr>
      <w:r w:rsidRPr="002D21EA">
        <w:t xml:space="preserve">The submission </w:t>
      </w:r>
      <w:r w:rsidR="00443BF6" w:rsidRPr="002D21EA">
        <w:t>claimed</w:t>
      </w:r>
      <w:r w:rsidRPr="002D21EA">
        <w:t xml:space="preserve"> that current standard of care with VEGF inhibitors is associated with frequent intravitreal injections and office visits (and associated out-of-pocket costs) which contribute to many patients not achieving or maintaining vision outcomes comparable with those observed in controlled clinical trials. The</w:t>
      </w:r>
      <w:r w:rsidR="0000620A" w:rsidRPr="002D21EA">
        <w:t xml:space="preserve"> submission claimed that the</w:t>
      </w:r>
      <w:r w:rsidRPr="002D21EA">
        <w:t>re is a significant unmet need for novel interventions that reduce treatment burden, subsequently reducing patient clinic visits for treatment administration.</w:t>
      </w:r>
    </w:p>
    <w:p w14:paraId="57A445C8" w14:textId="3EE3914E" w:rsidR="006E7BDC" w:rsidRPr="002D21EA" w:rsidRDefault="006E7BDC" w:rsidP="006E7BDC">
      <w:pPr>
        <w:pStyle w:val="ExecSumBodyText"/>
      </w:pPr>
      <w:r w:rsidRPr="002D21EA">
        <w:t>Faricimab is a humanised bispecific immunoglobulin G1 (IgG1) antibody that acts through inhibition of two distinct pathways by neutrali</w:t>
      </w:r>
      <w:r w:rsidR="009E5DC7" w:rsidRPr="002D21EA">
        <w:t>s</w:t>
      </w:r>
      <w:r w:rsidRPr="002D21EA">
        <w:t xml:space="preserve">ation of both </w:t>
      </w:r>
      <w:r w:rsidR="009E5DC7" w:rsidRPr="002D21EA">
        <w:t xml:space="preserve">vascular endothelial growth factor A (VEGF-A) and </w:t>
      </w:r>
      <w:r w:rsidRPr="002D21EA">
        <w:t>angiopoietin-2 (Ang-2)</w:t>
      </w:r>
      <w:r w:rsidR="009E5DC7" w:rsidRPr="002D21EA">
        <w:t>.</w:t>
      </w:r>
      <w:r w:rsidR="009E056F" w:rsidRPr="002D21EA">
        <w:t xml:space="preserve"> Inhibition of VEGF-A suppresses endothelial cell proliferation, neovascularisation and vascular </w:t>
      </w:r>
      <w:r w:rsidR="009E056F" w:rsidRPr="002D21EA">
        <w:lastRenderedPageBreak/>
        <w:t>permeability</w:t>
      </w:r>
      <w:r w:rsidR="005B2FEE" w:rsidRPr="002D21EA">
        <w:t>, and i</w:t>
      </w:r>
      <w:r w:rsidR="00B70AEE" w:rsidRPr="002D21EA">
        <w:t xml:space="preserve">nhibition of Ang-2 </w:t>
      </w:r>
      <w:r w:rsidR="00847D57" w:rsidRPr="002D21EA">
        <w:t xml:space="preserve">is thought to </w:t>
      </w:r>
      <w:r w:rsidR="00B70AEE" w:rsidRPr="002D21EA">
        <w:t xml:space="preserve">promote vascular stability and desensitise blood vessels to </w:t>
      </w:r>
      <w:r w:rsidR="005B2FEE" w:rsidRPr="002D21EA">
        <w:t xml:space="preserve">the </w:t>
      </w:r>
      <w:r w:rsidR="00F90535" w:rsidRPr="002D21EA">
        <w:t>effects of VEGF-A.</w:t>
      </w:r>
    </w:p>
    <w:p w14:paraId="6AC74693" w14:textId="5903C9C7" w:rsidR="00701CF4" w:rsidRPr="002D21EA" w:rsidRDefault="0068582D" w:rsidP="0002543B">
      <w:pPr>
        <w:pStyle w:val="ExecSumBodyText"/>
      </w:pPr>
      <w:r w:rsidRPr="002D21EA">
        <w:t xml:space="preserve">Faricimab dosing frequency can be variable. </w:t>
      </w:r>
      <w:r w:rsidR="004D1B48" w:rsidRPr="002D21EA">
        <w:t>The</w:t>
      </w:r>
      <w:r w:rsidR="00B34B22" w:rsidRPr="002D21EA">
        <w:t xml:space="preserve"> dos</w:t>
      </w:r>
      <w:r w:rsidR="00353E4A" w:rsidRPr="002D21EA">
        <w:t xml:space="preserve">e </w:t>
      </w:r>
      <w:r w:rsidR="00B34B22" w:rsidRPr="002D21EA">
        <w:t>in the</w:t>
      </w:r>
      <w:r w:rsidR="004D1B48" w:rsidRPr="002D21EA">
        <w:t xml:space="preserve"> </w:t>
      </w:r>
      <w:r w:rsidR="0005784A" w:rsidRPr="002D21EA">
        <w:t xml:space="preserve">faricimab </w:t>
      </w:r>
      <w:r w:rsidR="004D1B48" w:rsidRPr="002D21EA">
        <w:t xml:space="preserve">draft product information </w:t>
      </w:r>
      <w:r w:rsidR="006B57E7" w:rsidRPr="002D21EA">
        <w:t>is one intravitreal injection e</w:t>
      </w:r>
      <w:r w:rsidR="004D44D8" w:rsidRPr="002D21EA">
        <w:t>v</w:t>
      </w:r>
      <w:r w:rsidR="006B57E7" w:rsidRPr="002D21EA">
        <w:t>ery 4 weeks</w:t>
      </w:r>
      <w:r w:rsidR="00213787" w:rsidRPr="002D21EA">
        <w:t xml:space="preserve"> (monthly)</w:t>
      </w:r>
      <w:r w:rsidR="006B57E7" w:rsidRPr="002D21EA">
        <w:t xml:space="preserve"> for the first 4 doses</w:t>
      </w:r>
      <w:r w:rsidR="00510789" w:rsidRPr="002D21EA">
        <w:t>. Thereafter, based on the physician’s judg</w:t>
      </w:r>
      <w:r w:rsidR="0076691D" w:rsidRPr="002D21EA">
        <w:t>e</w:t>
      </w:r>
      <w:r w:rsidR="00510789" w:rsidRPr="002D21EA">
        <w:t>ment of the individual patient’s visual and/or anatomic outcomes, faricimab should be administered every 16 weeks (4 months) with some patients requiring dosing at 12</w:t>
      </w:r>
      <w:r w:rsidR="008A02D8" w:rsidRPr="002D21EA">
        <w:t>-</w:t>
      </w:r>
      <w:r w:rsidR="00510789" w:rsidRPr="002D21EA">
        <w:t>week (3</w:t>
      </w:r>
      <w:r w:rsidR="008A02D8" w:rsidRPr="002D21EA">
        <w:t>-</w:t>
      </w:r>
      <w:r w:rsidR="00510789" w:rsidRPr="002D21EA">
        <w:t>month) or 8</w:t>
      </w:r>
      <w:r w:rsidR="008A02D8" w:rsidRPr="002D21EA">
        <w:t>-</w:t>
      </w:r>
      <w:r w:rsidR="00510789" w:rsidRPr="002D21EA">
        <w:t>week (2</w:t>
      </w:r>
      <w:r w:rsidR="008A02D8" w:rsidRPr="002D21EA">
        <w:t>-</w:t>
      </w:r>
      <w:r w:rsidR="00510789" w:rsidRPr="002D21EA">
        <w:t>month) intervals.</w:t>
      </w:r>
      <w:r w:rsidR="00A755B3" w:rsidRPr="002D21EA">
        <w:t xml:space="preserve"> Monitoring between the dosing visits should be scheduled based on the patient's status and at the physician's discretion.</w:t>
      </w:r>
      <w:r w:rsidR="00701CF4" w:rsidRPr="002D21EA">
        <w:t xml:space="preserve"> </w:t>
      </w:r>
      <w:r w:rsidR="00861210" w:rsidRPr="002D21EA">
        <w:t>It is unclear whether dosing of faricimab will be consistent with a treat-and-extend regimen in clinical practice. Treat-and-extend is the most commonly employed regimen for VEGF inhibitors in Australian clinical practice, in which, following initial loading doses, the treatment interval is extended by increasing injection intervals in 2- or 4-weekly increments while maintaining stable visual and/or anatomic outcomes.</w:t>
      </w:r>
    </w:p>
    <w:p w14:paraId="29A60AE8" w14:textId="045A3AC7" w:rsidR="007216B9" w:rsidRPr="002D21EA" w:rsidRDefault="00701CF4" w:rsidP="00CA1CF7">
      <w:pPr>
        <w:pStyle w:val="ExecSumBodyText"/>
      </w:pPr>
      <w:r w:rsidRPr="002D21EA">
        <w:t xml:space="preserve">The </w:t>
      </w:r>
      <w:r w:rsidR="003F2337" w:rsidRPr="002D21EA">
        <w:t>submission positioned</w:t>
      </w:r>
      <w:r w:rsidRPr="002D21EA">
        <w:t xml:space="preserve"> faricimab as an alternative treatment option to standard of care VEGF inhibitors, aflibercept and ranibizumab (see </w:t>
      </w:r>
      <w:r w:rsidR="00B93813" w:rsidRPr="002D21EA">
        <w:t xml:space="preserve">Figure </w:t>
      </w:r>
      <w:r w:rsidRPr="002D21EA">
        <w:t>1).</w:t>
      </w:r>
      <w:r w:rsidR="00CA1CF7" w:rsidRPr="002D21EA">
        <w:t xml:space="preserve"> While this appeared reasonable, faricimab is a new treatment and is not currently included in treatment guidelines</w:t>
      </w:r>
      <w:r w:rsidR="00474CF3" w:rsidRPr="002D21EA">
        <w:t xml:space="preserve">, and the place in therapy for faricimab is yet to be established. While faricimab has a theoretical advantage of targeting two pathways involved in the pathogenesis of </w:t>
      </w:r>
      <w:r w:rsidR="005B0011" w:rsidRPr="002D21EA">
        <w:t>nAMD</w:t>
      </w:r>
      <w:r w:rsidR="00474CF3" w:rsidRPr="002D21EA">
        <w:t xml:space="preserve"> (VEGF-A and Ang-2), clinical trial evidence presented in the submission was suggestive of similar effectiveness for faricimab and aflibercept for the primary outcome of change from baseline in best corrected visual acuity</w:t>
      </w:r>
      <w:r w:rsidR="00485D91" w:rsidRPr="002D21EA">
        <w:t xml:space="preserve"> (BCVA)</w:t>
      </w:r>
      <w:r w:rsidR="00474CF3" w:rsidRPr="002D21EA">
        <w:t>.</w:t>
      </w:r>
      <w:r w:rsidR="005B0011" w:rsidRPr="002D21EA">
        <w:t xml:space="preserve"> </w:t>
      </w:r>
    </w:p>
    <w:p w14:paraId="244F7A25" w14:textId="228D26F5" w:rsidR="00A959F7" w:rsidRDefault="00A959F7" w:rsidP="00A959F7">
      <w:pPr>
        <w:pStyle w:val="Caption"/>
        <w:jc w:val="both"/>
      </w:pPr>
      <w:r>
        <w:t xml:space="preserve">Figure </w:t>
      </w:r>
      <w:r>
        <w:fldChar w:fldCharType="begin"/>
      </w:r>
      <w:r>
        <w:instrText xml:space="preserve"> SEQ Figure \* ARABIC </w:instrText>
      </w:r>
      <w:r>
        <w:fldChar w:fldCharType="separate"/>
      </w:r>
      <w:r w:rsidR="006C2A4B">
        <w:rPr>
          <w:noProof/>
        </w:rPr>
        <w:t>1</w:t>
      </w:r>
      <w:r>
        <w:fldChar w:fldCharType="end"/>
      </w:r>
      <w:r>
        <w:t>: Proposed clinical management pathway</w:t>
      </w:r>
    </w:p>
    <w:p w14:paraId="59E3A13E" w14:textId="77777777" w:rsidR="00B93813" w:rsidRPr="002D21EA" w:rsidRDefault="00B93813" w:rsidP="00EA5231">
      <w:r w:rsidRPr="002D21EA">
        <w:rPr>
          <w:noProof/>
        </w:rPr>
        <w:drawing>
          <wp:inline distT="0" distB="0" distL="0" distR="0" wp14:anchorId="5A7FBE5C" wp14:editId="3E24EE70">
            <wp:extent cx="4085834" cy="2735580"/>
            <wp:effectExtent l="0" t="0" r="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8"/>
                    <a:srcRect t="55113"/>
                    <a:stretch/>
                  </pic:blipFill>
                  <pic:spPr bwMode="auto">
                    <a:xfrm>
                      <a:off x="0" y="0"/>
                      <a:ext cx="4086979" cy="2736347"/>
                    </a:xfrm>
                    <a:prstGeom prst="rect">
                      <a:avLst/>
                    </a:prstGeom>
                    <a:ln>
                      <a:noFill/>
                    </a:ln>
                    <a:extLst>
                      <a:ext uri="{53640926-AAD7-44D8-BBD7-CCE9431645EC}">
                        <a14:shadowObscured xmlns:a14="http://schemas.microsoft.com/office/drawing/2010/main"/>
                      </a:ext>
                    </a:extLst>
                  </pic:spPr>
                </pic:pic>
              </a:graphicData>
            </a:graphic>
          </wp:inline>
        </w:drawing>
      </w:r>
    </w:p>
    <w:p w14:paraId="0CADA8B5" w14:textId="77777777" w:rsidR="00B93813" w:rsidRPr="00A959F7" w:rsidRDefault="00B93813" w:rsidP="00A959F7">
      <w:pPr>
        <w:pStyle w:val="TableFigureFooter"/>
      </w:pPr>
      <w:r w:rsidRPr="00A959F7">
        <w:t>Source: Figure 1.7, p21 of the submission</w:t>
      </w:r>
    </w:p>
    <w:p w14:paraId="7D2DF1C8" w14:textId="499A0B22" w:rsidR="00B93813" w:rsidRPr="00A959F7" w:rsidRDefault="00B93813" w:rsidP="00A959F7">
      <w:pPr>
        <w:pStyle w:val="TableFigureFooter"/>
      </w:pPr>
      <w:r w:rsidRPr="00A959F7">
        <w:t>Abbreviations: IVT</w:t>
      </w:r>
      <w:r w:rsidR="008D1B6D" w:rsidRPr="00A959F7">
        <w:t xml:space="preserve"> =</w:t>
      </w:r>
      <w:r w:rsidRPr="00A959F7">
        <w:t xml:space="preserve"> intravitreal therapy; VEGF</w:t>
      </w:r>
      <w:r w:rsidR="008D1B6D" w:rsidRPr="00A959F7">
        <w:t xml:space="preserve"> =</w:t>
      </w:r>
      <w:r w:rsidRPr="00A959F7">
        <w:t xml:space="preserve"> vascular endothelial growth factor</w:t>
      </w:r>
    </w:p>
    <w:p w14:paraId="66A1712D" w14:textId="1BAAAF54" w:rsidR="00B93813" w:rsidRPr="00A959F7" w:rsidRDefault="00B93813" w:rsidP="00A959F7">
      <w:pPr>
        <w:pStyle w:val="TableFigureFooter"/>
      </w:pPr>
      <w:r w:rsidRPr="00A959F7">
        <w:t>*Diagnosed by optical coherence tomography or fluorescein angiography (as per PBS criteria)</w:t>
      </w:r>
    </w:p>
    <w:p w14:paraId="42F94FED" w14:textId="77777777" w:rsidR="000D17EF" w:rsidRPr="00C33D30" w:rsidRDefault="000D17EF" w:rsidP="000D17EF">
      <w:pPr>
        <w:ind w:firstLine="709"/>
        <w:rPr>
          <w:rFonts w:asciiTheme="minorHAnsi" w:hAnsiTheme="minorHAnsi"/>
          <w:i/>
        </w:rPr>
      </w:pPr>
      <w:r w:rsidRPr="00C33D30">
        <w:rPr>
          <w:rFonts w:asciiTheme="minorHAnsi" w:hAnsiTheme="minorHAnsi"/>
          <w:i/>
        </w:rPr>
        <w:t>For more detail on PBAC’s view, see section 7 PBAC outcome.</w:t>
      </w:r>
    </w:p>
    <w:p w14:paraId="51E5AE96" w14:textId="136A63B1" w:rsidR="00B50DB8" w:rsidRPr="002D21EA" w:rsidRDefault="00B50DB8" w:rsidP="004E18E9">
      <w:pPr>
        <w:pStyle w:val="2-SectionHeading"/>
      </w:pPr>
      <w:bookmarkStart w:id="8" w:name="_Toc101107805"/>
      <w:r w:rsidRPr="002D21EA">
        <w:lastRenderedPageBreak/>
        <w:t>Comparator</w:t>
      </w:r>
      <w:bookmarkEnd w:id="8"/>
    </w:p>
    <w:p w14:paraId="1D1AD2ED" w14:textId="7A03F7CA" w:rsidR="0080531D" w:rsidRPr="002D21EA" w:rsidRDefault="007567E7" w:rsidP="00174A07">
      <w:pPr>
        <w:pStyle w:val="ExecSumBodyText"/>
      </w:pPr>
      <w:r w:rsidRPr="002D21EA">
        <w:t>The submission nominated</w:t>
      </w:r>
      <w:r w:rsidR="002127D4" w:rsidRPr="002D21EA">
        <w:t xml:space="preserve"> aflibercept</w:t>
      </w:r>
      <w:r w:rsidR="000C35FA" w:rsidRPr="002D21EA">
        <w:t xml:space="preserve"> as the main comparator</w:t>
      </w:r>
      <w:r w:rsidR="00535259" w:rsidRPr="002D21EA">
        <w:t>,</w:t>
      </w:r>
      <w:r w:rsidR="00E90F96" w:rsidRPr="002D21EA">
        <w:t xml:space="preserve"> as</w:t>
      </w:r>
      <w:r w:rsidR="000C35FA" w:rsidRPr="002D21EA">
        <w:t xml:space="preserve"> </w:t>
      </w:r>
      <w:r w:rsidR="00CF2A8B" w:rsidRPr="002D21EA">
        <w:t>aflibercept</w:t>
      </w:r>
      <w:r w:rsidR="00614FF4" w:rsidRPr="002D21EA">
        <w:t xml:space="preserve"> is the most commonly used VEGF inhibitor</w:t>
      </w:r>
      <w:r w:rsidR="00BE59C1" w:rsidRPr="002D21EA">
        <w:t xml:space="preserve"> for nAMD</w:t>
      </w:r>
      <w:r w:rsidR="00614FF4" w:rsidRPr="002D21EA">
        <w:t xml:space="preserve"> on the PBS, and is therefore the therapy most likely to be replaced in clinical practice. </w:t>
      </w:r>
      <w:r w:rsidR="00E90F96" w:rsidRPr="002D21EA">
        <w:t xml:space="preserve">The submission stated that the nomination of aflibercept as the main comparator can be considered representative of either </w:t>
      </w:r>
      <w:r w:rsidR="00C26D41" w:rsidRPr="002D21EA">
        <w:t>aflibercept or</w:t>
      </w:r>
      <w:r w:rsidR="00E90F96" w:rsidRPr="002D21EA">
        <w:t xml:space="preserve"> ranibizumab, as the PBAC has previously accepted non</w:t>
      </w:r>
      <w:r w:rsidR="008D6DDE" w:rsidRPr="002D21EA">
        <w:t>-</w:t>
      </w:r>
      <w:r w:rsidR="00E90F96" w:rsidRPr="002D21EA">
        <w:t xml:space="preserve">inferiority between the two agents, and that they should be priced on an injection:injection basis (Therapeutic Relativity Sheets, Ophthalmologicals). </w:t>
      </w:r>
      <w:r w:rsidR="00875FA5" w:rsidRPr="002D21EA">
        <w:t>Aflibercept is an appropriate main comparator</w:t>
      </w:r>
      <w:r w:rsidR="0080531D" w:rsidRPr="002D21EA">
        <w:t>.</w:t>
      </w:r>
    </w:p>
    <w:p w14:paraId="7ACCD485" w14:textId="1EBB2779" w:rsidR="00E90F96" w:rsidRPr="002D21EA" w:rsidRDefault="00E90F96" w:rsidP="00174A07">
      <w:pPr>
        <w:pStyle w:val="ExecSumBodyText"/>
      </w:pPr>
      <w:r w:rsidRPr="002D21EA">
        <w:t xml:space="preserve">Usual dosing of </w:t>
      </w:r>
      <w:r w:rsidR="00C26D41" w:rsidRPr="002D21EA">
        <w:t>aflibercept</w:t>
      </w:r>
      <w:r w:rsidRPr="002D21EA">
        <w:t xml:space="preserve"> for the treatment of </w:t>
      </w:r>
      <w:r w:rsidR="00C26D41" w:rsidRPr="002D21EA">
        <w:t>n</w:t>
      </w:r>
      <w:r w:rsidRPr="002D21EA">
        <w:t>AMD is</w:t>
      </w:r>
      <w:r w:rsidR="002711B3" w:rsidRPr="002D21EA">
        <w:t xml:space="preserve"> one</w:t>
      </w:r>
      <w:r w:rsidRPr="002D21EA">
        <w:t xml:space="preserve"> </w:t>
      </w:r>
      <w:r w:rsidR="00ED1D79" w:rsidRPr="002D21EA">
        <w:t xml:space="preserve">2 mg </w:t>
      </w:r>
      <w:r w:rsidRPr="002D21EA">
        <w:t xml:space="preserve">intravitreal injection </w:t>
      </w:r>
      <w:r w:rsidR="005B660C" w:rsidRPr="002D21EA">
        <w:t>per</w:t>
      </w:r>
      <w:r w:rsidRPr="002D21EA">
        <w:t xml:space="preserve"> month for </w:t>
      </w:r>
      <w:r w:rsidR="005B660C" w:rsidRPr="002D21EA">
        <w:t xml:space="preserve">three consecutive months, followed by one injection every two months. </w:t>
      </w:r>
      <w:r w:rsidR="00673A7A" w:rsidRPr="002D21EA">
        <w:t>The treatment interval may be further extended using a treat-and-extend dosing regim</w:t>
      </w:r>
      <w:r w:rsidR="00C53D47" w:rsidRPr="002D21EA">
        <w:t>en</w:t>
      </w:r>
      <w:r w:rsidR="007E6CBE" w:rsidRPr="002D21EA">
        <w:t xml:space="preserve"> by increasing injection intervals in 2- or 4-weekly increments while maintaining stable visual and/or anatomic outcomes</w:t>
      </w:r>
      <w:r w:rsidR="00C53D47" w:rsidRPr="002D21EA">
        <w:t>. The aflibercept product information notes that treatment intervals greater than four months (16 weeks) have not been studied.</w:t>
      </w:r>
    </w:p>
    <w:p w14:paraId="1FFD5B76" w14:textId="160E4387" w:rsidR="00B47F5C" w:rsidRPr="002D21EA" w:rsidRDefault="006C7AC0" w:rsidP="002E4F02">
      <w:pPr>
        <w:pStyle w:val="ExecSumBodyText"/>
      </w:pPr>
      <w:r w:rsidRPr="002D21EA">
        <w:t>The submission stated that brolucizumab</w:t>
      </w:r>
      <w:r w:rsidR="00517F2E" w:rsidRPr="002D21EA">
        <w:t xml:space="preserve">, </w:t>
      </w:r>
      <w:r w:rsidRPr="002D21EA">
        <w:t>listed on the PBS in October 2021 for the treatment of nAMD in patients who are non-responsive to prior anti-VEGF treatment</w:t>
      </w:r>
      <w:r w:rsidR="00517F2E" w:rsidRPr="002D21EA">
        <w:t xml:space="preserve">, </w:t>
      </w:r>
      <w:r w:rsidRPr="002D21EA">
        <w:t xml:space="preserve">was not considered a comparator due to its second-line listing. This </w:t>
      </w:r>
      <w:r w:rsidR="00B47F5C" w:rsidRPr="002D21EA">
        <w:t>wa</w:t>
      </w:r>
      <w:r w:rsidRPr="002D21EA">
        <w:t xml:space="preserve">s </w:t>
      </w:r>
      <w:r w:rsidR="00EB4EFE" w:rsidRPr="002D21EA">
        <w:t>reasonable</w:t>
      </w:r>
      <w:r w:rsidRPr="002D21EA">
        <w:t>.</w:t>
      </w:r>
    </w:p>
    <w:p w14:paraId="06978D76" w14:textId="4210B626" w:rsidR="005F003A" w:rsidRDefault="0035739E" w:rsidP="002E4F02">
      <w:pPr>
        <w:pStyle w:val="ExecSumBodyText"/>
      </w:pPr>
      <w:r w:rsidRPr="002D21EA">
        <w:t>R</w:t>
      </w:r>
      <w:r w:rsidR="005F003A" w:rsidRPr="002D21EA">
        <w:t xml:space="preserve">anibizumab via port delivery system </w:t>
      </w:r>
      <w:r w:rsidR="005155D2" w:rsidRPr="002D21EA">
        <w:t xml:space="preserve">(PDS) </w:t>
      </w:r>
      <w:r w:rsidR="00485D91" w:rsidRPr="002D21EA">
        <w:t>was</w:t>
      </w:r>
      <w:r w:rsidRPr="002D21EA">
        <w:t xml:space="preserve"> </w:t>
      </w:r>
      <w:r w:rsidR="005F003A" w:rsidRPr="002D21EA">
        <w:t>considered by the PBAC in March 2022</w:t>
      </w:r>
      <w:r w:rsidRPr="002D21EA">
        <w:t xml:space="preserve"> for </w:t>
      </w:r>
      <w:r w:rsidR="005609B6" w:rsidRPr="002D21EA">
        <w:t>the treatment of patients with nAMD</w:t>
      </w:r>
      <w:r w:rsidR="00F41E41" w:rsidRPr="002D21EA">
        <w:t xml:space="preserve"> who have responded to </w:t>
      </w:r>
      <w:r w:rsidR="0015038E" w:rsidRPr="002D21EA">
        <w:t xml:space="preserve">prior </w:t>
      </w:r>
      <w:r w:rsidR="00F41E41" w:rsidRPr="002D21EA">
        <w:t>VEGF inhibitor therapy</w:t>
      </w:r>
      <w:r w:rsidR="005609B6" w:rsidRPr="002D21EA">
        <w:t>. The submission argued that</w:t>
      </w:r>
      <w:r w:rsidR="0006681F" w:rsidRPr="002D21EA">
        <w:t>,</w:t>
      </w:r>
      <w:r w:rsidR="0013454A" w:rsidRPr="002D21EA">
        <w:t xml:space="preserve"> </w:t>
      </w:r>
      <w:r w:rsidR="00954C64" w:rsidRPr="002D21EA">
        <w:t>given the requirement for a surgical procedure</w:t>
      </w:r>
      <w:r w:rsidR="0006681F" w:rsidRPr="002D21EA">
        <w:t xml:space="preserve"> and assessment of prior response</w:t>
      </w:r>
      <w:r w:rsidR="00954C64" w:rsidRPr="002D21EA">
        <w:t>,</w:t>
      </w:r>
      <w:r w:rsidR="005609B6" w:rsidRPr="002D21EA">
        <w:t xml:space="preserve"> </w:t>
      </w:r>
      <w:r w:rsidR="00954C64" w:rsidRPr="002D21EA">
        <w:t xml:space="preserve">the place in therapy for </w:t>
      </w:r>
      <w:r w:rsidR="009769E2" w:rsidRPr="002D21EA">
        <w:t xml:space="preserve">ranibizumab </w:t>
      </w:r>
      <w:r w:rsidR="005155D2" w:rsidRPr="002D21EA">
        <w:t>PDS</w:t>
      </w:r>
      <w:r w:rsidR="009769E2" w:rsidRPr="002D21EA">
        <w:t xml:space="preserve"> </w:t>
      </w:r>
      <w:r w:rsidR="003B5B9D" w:rsidRPr="002D21EA">
        <w:t xml:space="preserve">is for a </w:t>
      </w:r>
      <w:r w:rsidR="005155D2" w:rsidRPr="002D21EA">
        <w:t xml:space="preserve">niche </w:t>
      </w:r>
      <w:r w:rsidR="003B5B9D" w:rsidRPr="002D21EA">
        <w:t>subset of patients with nAMD.</w:t>
      </w:r>
      <w:r w:rsidR="0045652C" w:rsidRPr="002D21EA">
        <w:t xml:space="preserve"> </w:t>
      </w:r>
      <w:r w:rsidR="00072549">
        <w:t>However, g</w:t>
      </w:r>
      <w:r w:rsidR="000D5910" w:rsidRPr="002D21EA">
        <w:t xml:space="preserve">iven </w:t>
      </w:r>
      <w:r w:rsidR="008D6619" w:rsidRPr="002D21EA">
        <w:t xml:space="preserve">the claimed </w:t>
      </w:r>
      <w:r w:rsidR="00B35C7C" w:rsidRPr="002D21EA">
        <w:t>benefit</w:t>
      </w:r>
      <w:r w:rsidR="008D6619" w:rsidRPr="002D21EA">
        <w:t xml:space="preserve"> </w:t>
      </w:r>
      <w:r w:rsidR="00AE32E3" w:rsidRPr="002D21EA">
        <w:t xml:space="preserve">of reduced injection frequency </w:t>
      </w:r>
      <w:r w:rsidR="008D6619" w:rsidRPr="002D21EA">
        <w:t>for both</w:t>
      </w:r>
      <w:r w:rsidR="008D1EAE" w:rsidRPr="002D21EA">
        <w:t xml:space="preserve"> faricimab and</w:t>
      </w:r>
      <w:r w:rsidR="008D6619" w:rsidRPr="002D21EA">
        <w:t xml:space="preserve"> ranibizumab </w:t>
      </w:r>
      <w:r w:rsidR="00B35C7C" w:rsidRPr="002D21EA">
        <w:t>PDS</w:t>
      </w:r>
      <w:r w:rsidR="008D6619" w:rsidRPr="002D21EA">
        <w:t xml:space="preserve"> </w:t>
      </w:r>
      <w:r w:rsidR="00AE32E3" w:rsidRPr="002D21EA">
        <w:t xml:space="preserve">compared with existing therapies, </w:t>
      </w:r>
      <w:r w:rsidR="005155D2" w:rsidRPr="002D21EA">
        <w:t xml:space="preserve">ranibizumab </w:t>
      </w:r>
      <w:r w:rsidR="00B35C7C" w:rsidRPr="002D21EA">
        <w:t>PDS</w:t>
      </w:r>
      <w:r w:rsidR="005155D2" w:rsidRPr="002D21EA">
        <w:t xml:space="preserve"> </w:t>
      </w:r>
      <w:r w:rsidR="00D952E5" w:rsidRPr="002D21EA">
        <w:t>may</w:t>
      </w:r>
      <w:r w:rsidR="005155D2" w:rsidRPr="002D21EA">
        <w:t xml:space="preserve"> be a potential comparator.</w:t>
      </w:r>
    </w:p>
    <w:p w14:paraId="236343A2" w14:textId="1AED7258" w:rsidR="00187114" w:rsidRDefault="00187114" w:rsidP="00187114">
      <w:pPr>
        <w:pStyle w:val="ExecSumBodyText"/>
      </w:pPr>
      <w:r>
        <w:t>The PBAC accepted the nominated comparator of a</w:t>
      </w:r>
      <w:r w:rsidRPr="006E2778">
        <w:t>flibercept</w:t>
      </w:r>
      <w:r>
        <w:t xml:space="preserve"> as the main comparator</w:t>
      </w:r>
      <w:r w:rsidRPr="006E2778">
        <w:t xml:space="preserve">. </w:t>
      </w:r>
      <w:r w:rsidRPr="00187114">
        <w:t xml:space="preserve">The PBAC considered that aflibercept could be considered representative of either aflibercept or ranibizumab for the clinical and economic comparisons, as the PBAC has previously accepted noninferiority between the two agents and they are priced on </w:t>
      </w:r>
      <w:r w:rsidR="00D2483D" w:rsidRPr="00187114">
        <w:t>a</w:t>
      </w:r>
      <w:r w:rsidRPr="00187114">
        <w:t xml:space="preserve"> </w:t>
      </w:r>
      <w:r w:rsidR="006C2560">
        <w:t>1:1 injection</w:t>
      </w:r>
      <w:r w:rsidRPr="00187114">
        <w:t xml:space="preserve"> basis.</w:t>
      </w:r>
    </w:p>
    <w:p w14:paraId="243D72D3" w14:textId="77777777" w:rsidR="000D17EF" w:rsidRPr="00C33D30" w:rsidRDefault="000D17EF" w:rsidP="000D17EF">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BF2B95" w:rsidRDefault="00223D5A" w:rsidP="00223D5A">
      <w:pPr>
        <w:pStyle w:val="2-SectionHeading"/>
        <w:numPr>
          <w:ilvl w:val="0"/>
          <w:numId w:val="1"/>
        </w:numPr>
      </w:pPr>
      <w:bookmarkStart w:id="9" w:name="_Toc101107806"/>
      <w:bookmarkStart w:id="10" w:name="_Toc22897640"/>
      <w:r w:rsidRPr="00BF2B95">
        <w:t>Consideration of the evidence</w:t>
      </w:r>
      <w:bookmarkEnd w:id="9"/>
    </w:p>
    <w:p w14:paraId="6E4C1DC8" w14:textId="77777777" w:rsidR="00704529" w:rsidRPr="00C03C52" w:rsidRDefault="00704529" w:rsidP="00704529">
      <w:pPr>
        <w:pStyle w:val="3-SubsectionHeading"/>
      </w:pPr>
      <w:bookmarkStart w:id="11" w:name="_Hlk76375935"/>
      <w:bookmarkStart w:id="12" w:name="_Hlk103239266"/>
      <w:bookmarkStart w:id="13" w:name="_Toc101107807"/>
      <w:r w:rsidRPr="00C03C52">
        <w:t>Sponsor hearing</w:t>
      </w:r>
    </w:p>
    <w:p w14:paraId="5A56B5BF" w14:textId="1A372C35" w:rsidR="00704529" w:rsidRPr="00AB0F4F" w:rsidRDefault="00704529" w:rsidP="00115C14">
      <w:pPr>
        <w:widowControl w:val="0"/>
        <w:numPr>
          <w:ilvl w:val="1"/>
          <w:numId w:val="1"/>
        </w:numPr>
        <w:spacing w:after="120"/>
        <w:rPr>
          <w:rFonts w:cs="Calibri"/>
          <w:bCs/>
          <w:snapToGrid w:val="0"/>
        </w:rPr>
      </w:pPr>
      <w:r w:rsidRPr="00AB0F4F">
        <w:rPr>
          <w:rFonts w:cs="Calibri"/>
          <w:bCs/>
          <w:snapToGrid w:val="0"/>
        </w:rPr>
        <w:t>There was no hearing</w:t>
      </w:r>
      <w:r w:rsidR="00C03C52" w:rsidRPr="00AB0F4F">
        <w:rPr>
          <w:rFonts w:cs="Calibri"/>
          <w:bCs/>
          <w:snapToGrid w:val="0"/>
        </w:rPr>
        <w:t xml:space="preserve"> for this item.</w:t>
      </w:r>
    </w:p>
    <w:p w14:paraId="11E18EA9" w14:textId="77777777" w:rsidR="00F06070" w:rsidRDefault="00704529" w:rsidP="00F06070">
      <w:pPr>
        <w:pStyle w:val="3-SubsectionHeading"/>
      </w:pPr>
      <w:r w:rsidRPr="00AB0F4F">
        <w:lastRenderedPageBreak/>
        <w:t>Consumer comments</w:t>
      </w:r>
      <w:bookmarkStart w:id="14" w:name="_Hlk76382618"/>
    </w:p>
    <w:p w14:paraId="0538A4D6" w14:textId="763BC4CF" w:rsidR="00C03C52" w:rsidRPr="00F06070" w:rsidRDefault="00C03C52" w:rsidP="0083714B">
      <w:pPr>
        <w:pStyle w:val="ExecSumBodyText"/>
        <w:rPr>
          <w:snapToGrid/>
        </w:rPr>
      </w:pPr>
      <w:r w:rsidRPr="007456A8">
        <w:rPr>
          <w:rFonts w:cs="Calibri"/>
        </w:rPr>
        <w:t>The</w:t>
      </w:r>
      <w:r w:rsidRPr="00AB0F4F">
        <w:t xml:space="preserve"> PBAC noted and welcomed the input from </w:t>
      </w:r>
      <w:r w:rsidR="00AB0F4F" w:rsidRPr="00AB0F4F">
        <w:t xml:space="preserve">Macular Disease Foundation Australia </w:t>
      </w:r>
      <w:r w:rsidR="00AB0F4F">
        <w:t xml:space="preserve">and </w:t>
      </w:r>
      <w:r w:rsidR="00AB0F4F" w:rsidRPr="00AB0F4F">
        <w:t xml:space="preserve">The Royal Australian and New Zealand College of Ophthalmologists </w:t>
      </w:r>
      <w:r w:rsidRPr="00AB0F4F">
        <w:t>via the Consumer Comments facility on the PBS website.</w:t>
      </w:r>
      <w:r w:rsidR="00AB0F4F">
        <w:t xml:space="preserve"> </w:t>
      </w:r>
      <w:r w:rsidR="00AB0F4F" w:rsidRPr="00AB0F4F">
        <w:t>Macular Disease Foundation Australia</w:t>
      </w:r>
      <w:r w:rsidR="00AB0F4F">
        <w:t xml:space="preserve"> noted </w:t>
      </w:r>
      <w:r w:rsidR="008D7807">
        <w:t xml:space="preserve">the vision loss in </w:t>
      </w:r>
      <w:r w:rsidR="007456A8" w:rsidRPr="007456A8">
        <w:rPr>
          <w:bCs/>
        </w:rPr>
        <w:t xml:space="preserve">patients </w:t>
      </w:r>
      <w:r w:rsidR="007456A8" w:rsidRPr="007456A8">
        <w:rPr>
          <w:rFonts w:ascii="Calibri" w:hAnsi="Calibri"/>
          <w:bCs/>
          <w:snapToGrid/>
        </w:rPr>
        <w:t xml:space="preserve">with </w:t>
      </w:r>
      <w:r w:rsidR="008D7807">
        <w:rPr>
          <w:rFonts w:ascii="Calibri" w:hAnsi="Calibri"/>
          <w:bCs/>
          <w:snapToGrid/>
        </w:rPr>
        <w:t>n</w:t>
      </w:r>
      <w:r w:rsidR="007456A8" w:rsidRPr="007456A8">
        <w:rPr>
          <w:rFonts w:ascii="Calibri" w:hAnsi="Calibri"/>
          <w:bCs/>
          <w:snapToGrid/>
        </w:rPr>
        <w:t xml:space="preserve">AMD </w:t>
      </w:r>
      <w:r w:rsidR="008D7807">
        <w:rPr>
          <w:bCs/>
        </w:rPr>
        <w:t xml:space="preserve">who may </w:t>
      </w:r>
      <w:r w:rsidR="007456A8">
        <w:rPr>
          <w:bCs/>
        </w:rPr>
        <w:t>experience a range of issues including</w:t>
      </w:r>
      <w:r w:rsidR="007456A8" w:rsidRPr="007456A8">
        <w:rPr>
          <w:bCs/>
        </w:rPr>
        <w:t xml:space="preserve"> </w:t>
      </w:r>
      <w:r w:rsidR="007456A8" w:rsidRPr="007456A8">
        <w:rPr>
          <w:rFonts w:ascii="Calibri" w:hAnsi="Calibri"/>
          <w:bCs/>
          <w:snapToGrid/>
        </w:rPr>
        <w:t xml:space="preserve">have </w:t>
      </w:r>
      <w:r w:rsidR="008D7807">
        <w:rPr>
          <w:rFonts w:ascii="Calibri" w:hAnsi="Calibri"/>
          <w:bCs/>
          <w:snapToGrid/>
        </w:rPr>
        <w:t xml:space="preserve">burden of treatment with intravitreal injections, </w:t>
      </w:r>
      <w:r w:rsidR="007456A8" w:rsidRPr="007456A8">
        <w:rPr>
          <w:rFonts w:ascii="Calibri" w:hAnsi="Calibri"/>
          <w:bCs/>
          <w:snapToGrid/>
        </w:rPr>
        <w:t>high health care burden</w:t>
      </w:r>
      <w:r w:rsidR="007456A8">
        <w:rPr>
          <w:bCs/>
        </w:rPr>
        <w:t xml:space="preserve">, </w:t>
      </w:r>
      <w:r w:rsidR="007456A8" w:rsidRPr="004F445C">
        <w:rPr>
          <w:bCs/>
        </w:rPr>
        <w:t xml:space="preserve">high out of pocket costs and access issues, and that </w:t>
      </w:r>
      <w:r w:rsidR="008D7807" w:rsidRPr="008D7807">
        <w:rPr>
          <w:bCs/>
        </w:rPr>
        <w:t>about 50% of nAMD patients continue to receive the current treatments beyond 5 years</w:t>
      </w:r>
      <w:r w:rsidR="008D7807">
        <w:rPr>
          <w:bCs/>
        </w:rPr>
        <w:t xml:space="preserve"> with currently approved treatments.</w:t>
      </w:r>
      <w:r w:rsidR="00AB0F4F">
        <w:t xml:space="preserve"> </w:t>
      </w:r>
      <w:r w:rsidR="00AB0F4F" w:rsidRPr="00AB0F4F">
        <w:t xml:space="preserve">The </w:t>
      </w:r>
      <w:r w:rsidR="00AA683D">
        <w:t xml:space="preserve">input from </w:t>
      </w:r>
      <w:r w:rsidR="00AB0F4F" w:rsidRPr="00AB0F4F">
        <w:t>Royal Australian and New Zealand College of Ophthalmologists</w:t>
      </w:r>
      <w:r w:rsidR="00AB0F4F">
        <w:t xml:space="preserve"> </w:t>
      </w:r>
      <w:r w:rsidR="0083714B">
        <w:t>noted the r</w:t>
      </w:r>
      <w:r w:rsidR="0083714B" w:rsidRPr="0083714B">
        <w:t xml:space="preserve">eduction in treatment burden </w:t>
      </w:r>
      <w:r w:rsidR="0083714B">
        <w:t xml:space="preserve">which was supported by data from </w:t>
      </w:r>
      <w:r w:rsidR="0083714B" w:rsidRPr="0083714B">
        <w:t>TENAYA and LUCERNE</w:t>
      </w:r>
      <w:r w:rsidR="0083714B">
        <w:t xml:space="preserve"> clinical trials.</w:t>
      </w:r>
    </w:p>
    <w:bookmarkEnd w:id="11"/>
    <w:bookmarkEnd w:id="12"/>
    <w:bookmarkEnd w:id="14"/>
    <w:p w14:paraId="609C0765" w14:textId="0A6FBE87" w:rsidR="00B60939" w:rsidRPr="00BF2B95" w:rsidRDefault="00B60939" w:rsidP="002E4F02">
      <w:pPr>
        <w:pStyle w:val="3-SubsectionHeading"/>
      </w:pPr>
      <w:r w:rsidRPr="00BF2B95">
        <w:t>Clinical trials</w:t>
      </w:r>
      <w:bookmarkEnd w:id="10"/>
      <w:bookmarkEnd w:id="13"/>
    </w:p>
    <w:p w14:paraId="17DE34DC" w14:textId="68D96199" w:rsidR="007F1017" w:rsidRPr="002D21EA" w:rsidRDefault="00A73134" w:rsidP="002E4F02">
      <w:pPr>
        <w:pStyle w:val="ExecSumBodyText"/>
        <w:rPr>
          <w:color w:val="0066FF"/>
        </w:rPr>
      </w:pPr>
      <w:r w:rsidRPr="002D21EA">
        <w:rPr>
          <w:snapToGrid/>
        </w:rPr>
        <w:t xml:space="preserve">The submission </w:t>
      </w:r>
      <w:r w:rsidR="00D5243B" w:rsidRPr="002D21EA">
        <w:rPr>
          <w:snapToGrid/>
        </w:rPr>
        <w:t>wa</w:t>
      </w:r>
      <w:r w:rsidRPr="002D21EA">
        <w:rPr>
          <w:snapToGrid/>
        </w:rPr>
        <w:t xml:space="preserve">s based on </w:t>
      </w:r>
      <w:r w:rsidR="00405DAB" w:rsidRPr="002D21EA">
        <w:rPr>
          <w:snapToGrid/>
        </w:rPr>
        <w:t xml:space="preserve">two ongoing </w:t>
      </w:r>
      <w:r w:rsidRPr="002D21EA">
        <w:rPr>
          <w:snapToGrid/>
        </w:rPr>
        <w:t>head-to-head trial</w:t>
      </w:r>
      <w:r w:rsidR="00405DAB" w:rsidRPr="002D21EA">
        <w:rPr>
          <w:snapToGrid/>
        </w:rPr>
        <w:t>s</w:t>
      </w:r>
      <w:r w:rsidRPr="002D21EA">
        <w:rPr>
          <w:snapToGrid/>
        </w:rPr>
        <w:t xml:space="preserve"> comparing </w:t>
      </w:r>
      <w:r w:rsidR="00405DAB" w:rsidRPr="002D21EA">
        <w:rPr>
          <w:snapToGrid/>
        </w:rPr>
        <w:t>faricimab to aflibercept (</w:t>
      </w:r>
      <w:r w:rsidR="00BF3DA4" w:rsidRPr="002D21EA">
        <w:rPr>
          <w:snapToGrid/>
        </w:rPr>
        <w:t>TENAYA, LUCERNE)</w:t>
      </w:r>
      <w:r w:rsidRPr="002D21EA">
        <w:rPr>
          <w:snapToGrid/>
        </w:rPr>
        <w:t>.</w:t>
      </w:r>
      <w:r w:rsidR="00BC591F" w:rsidRPr="002D21EA">
        <w:rPr>
          <w:color w:val="0066FF"/>
        </w:rPr>
        <w:t xml:space="preserve"> </w:t>
      </w:r>
      <w:r w:rsidR="007629B4" w:rsidRPr="002D21EA">
        <w:t>During the evaluation, two phase 2 trials comparing faricimab with ranibizumab were identified (AVENUE, STAIRWAY)</w:t>
      </w:r>
      <w:r w:rsidR="000D5A7C" w:rsidRPr="002D21EA">
        <w:t>. These</w:t>
      </w:r>
      <w:r w:rsidR="007629B4" w:rsidRPr="002D21EA">
        <w:t xml:space="preserve"> were not identified in the submission’s </w:t>
      </w:r>
      <w:r w:rsidR="0043264E" w:rsidRPr="002D21EA">
        <w:t xml:space="preserve">literature </w:t>
      </w:r>
      <w:r w:rsidR="007629B4" w:rsidRPr="002D21EA">
        <w:t xml:space="preserve">search, which was limited to trials comparing faricimab with the nominated main comparator, aflibercept. </w:t>
      </w:r>
    </w:p>
    <w:p w14:paraId="2B59ABAC" w14:textId="679F972A" w:rsidR="00862502" w:rsidRPr="002D21EA" w:rsidRDefault="00A73134" w:rsidP="002E4F02">
      <w:pPr>
        <w:pStyle w:val="ExecSumBodyText"/>
      </w:pPr>
      <w:r w:rsidRPr="002D21EA">
        <w:rPr>
          <w:snapToGrid/>
        </w:rPr>
        <w:t>Details of the trials presented in the submission are provided in the table below.</w:t>
      </w:r>
      <w:r w:rsidR="00BC591F" w:rsidRPr="002D21EA">
        <w:rPr>
          <w:snapToGrid/>
        </w:rPr>
        <w:t xml:space="preserve"> </w:t>
      </w:r>
    </w:p>
    <w:p w14:paraId="7DE3A286" w14:textId="1B288B35" w:rsidR="008E0D3C" w:rsidRPr="002D21EA" w:rsidRDefault="008E0D3C" w:rsidP="0081052F">
      <w:pPr>
        <w:pStyle w:val="Caption"/>
        <w:rPr>
          <w:lang w:val="en-AU"/>
        </w:rPr>
      </w:pPr>
      <w:r w:rsidRPr="002D21EA">
        <w:rPr>
          <w:lang w:val="en-AU"/>
        </w:rPr>
        <w:t xml:space="preserve">Table </w:t>
      </w:r>
      <w:r w:rsidR="009930D5" w:rsidRPr="002D21EA">
        <w:rPr>
          <w:lang w:val="en-AU"/>
        </w:rPr>
        <w:fldChar w:fldCharType="begin"/>
      </w:r>
      <w:r w:rsidR="009930D5" w:rsidRPr="002D21EA">
        <w:rPr>
          <w:lang w:val="en-AU"/>
        </w:rPr>
        <w:instrText xml:space="preserve"> SEQ Table \* ARABIC </w:instrText>
      </w:r>
      <w:r w:rsidR="009930D5" w:rsidRPr="002D21EA">
        <w:rPr>
          <w:lang w:val="en-AU"/>
        </w:rPr>
        <w:fldChar w:fldCharType="separate"/>
      </w:r>
      <w:r w:rsidR="006C2A4B">
        <w:rPr>
          <w:noProof/>
          <w:lang w:val="en-AU"/>
        </w:rPr>
        <w:t>2</w:t>
      </w:r>
      <w:r w:rsidR="009930D5" w:rsidRPr="002D21EA">
        <w:rPr>
          <w:noProof/>
          <w:lang w:val="en-AU"/>
        </w:rPr>
        <w:fldChar w:fldCharType="end"/>
      </w:r>
      <w:r w:rsidRPr="002D21EA">
        <w:rPr>
          <w:lang w:val="en-AU"/>
        </w:rPr>
        <w:t>:</w:t>
      </w:r>
      <w:r w:rsidR="00BC591F" w:rsidRPr="002D21EA">
        <w:rPr>
          <w:lang w:val="en-AU"/>
        </w:rPr>
        <w:t xml:space="preserve"> </w:t>
      </w:r>
      <w:r w:rsidRPr="002D21EA">
        <w:rPr>
          <w:lang w:val="en-AU"/>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129"/>
        <w:gridCol w:w="5812"/>
        <w:gridCol w:w="2076"/>
      </w:tblGrid>
      <w:tr w:rsidR="008E0D3C" w:rsidRPr="002D21EA" w14:paraId="6ACD35C4" w14:textId="77777777" w:rsidTr="00BD1C88">
        <w:trPr>
          <w:cantSplit/>
          <w:tblHeader/>
        </w:trPr>
        <w:tc>
          <w:tcPr>
            <w:tcW w:w="626" w:type="pct"/>
            <w:vAlign w:val="center"/>
          </w:tcPr>
          <w:p w14:paraId="20DEEB23" w14:textId="77777777" w:rsidR="008E0D3C" w:rsidRPr="002D21EA" w:rsidRDefault="008E0D3C" w:rsidP="00EC5836">
            <w:pPr>
              <w:pStyle w:val="Tableheadingrow"/>
              <w:jc w:val="center"/>
              <w:rPr>
                <w:lang w:val="en-AU"/>
              </w:rPr>
            </w:pPr>
            <w:r w:rsidRPr="002D21EA">
              <w:rPr>
                <w:lang w:val="en-AU"/>
              </w:rPr>
              <w:t>Trial ID</w:t>
            </w:r>
          </w:p>
        </w:tc>
        <w:tc>
          <w:tcPr>
            <w:tcW w:w="3223" w:type="pct"/>
            <w:tcBorders>
              <w:bottom w:val="single" w:sz="4" w:space="0" w:color="auto"/>
            </w:tcBorders>
            <w:vAlign w:val="center"/>
          </w:tcPr>
          <w:p w14:paraId="22EF6C51" w14:textId="77777777" w:rsidR="008E0D3C" w:rsidRPr="002D21EA" w:rsidRDefault="008E0D3C" w:rsidP="002E4F02">
            <w:pPr>
              <w:pStyle w:val="Tableheadingrow"/>
              <w:rPr>
                <w:lang w:val="en-AU"/>
              </w:rPr>
            </w:pPr>
            <w:r w:rsidRPr="002D21EA">
              <w:rPr>
                <w:lang w:val="en-AU"/>
              </w:rPr>
              <w:t>Protocol title/ Publication title</w:t>
            </w:r>
          </w:p>
        </w:tc>
        <w:tc>
          <w:tcPr>
            <w:tcW w:w="1151" w:type="pct"/>
            <w:tcBorders>
              <w:bottom w:val="single" w:sz="4" w:space="0" w:color="auto"/>
            </w:tcBorders>
            <w:vAlign w:val="center"/>
          </w:tcPr>
          <w:p w14:paraId="561B27A8" w14:textId="77777777" w:rsidR="008E0D3C" w:rsidRPr="002D21EA" w:rsidRDefault="008E0D3C" w:rsidP="002E4F02">
            <w:pPr>
              <w:pStyle w:val="Tableheadingrow"/>
              <w:rPr>
                <w:lang w:val="en-AU"/>
              </w:rPr>
            </w:pPr>
            <w:r w:rsidRPr="002D21EA">
              <w:rPr>
                <w:lang w:val="en-AU"/>
              </w:rPr>
              <w:t>Publication citation</w:t>
            </w:r>
          </w:p>
        </w:tc>
      </w:tr>
      <w:tr w:rsidR="00494779" w:rsidRPr="002D21EA" w14:paraId="2FAA2ACE" w14:textId="77777777" w:rsidTr="00BD1C88">
        <w:trPr>
          <w:cantSplit/>
          <w:tblHeader/>
        </w:trPr>
        <w:tc>
          <w:tcPr>
            <w:tcW w:w="626" w:type="pct"/>
            <w:vMerge w:val="restart"/>
            <w:vAlign w:val="center"/>
          </w:tcPr>
          <w:p w14:paraId="5FD0EB1E" w14:textId="75DC3B30" w:rsidR="00494779" w:rsidRPr="002D21EA" w:rsidRDefault="00494779" w:rsidP="00D07C30">
            <w:pPr>
              <w:pStyle w:val="Tableheadingrow"/>
              <w:rPr>
                <w:b w:val="0"/>
                <w:bCs/>
                <w:lang w:val="en-AU"/>
              </w:rPr>
            </w:pPr>
            <w:r w:rsidRPr="002D21EA">
              <w:rPr>
                <w:b w:val="0"/>
                <w:bCs/>
                <w:lang w:val="en-AU"/>
              </w:rPr>
              <w:t>TENAYA NCT03823287</w:t>
            </w:r>
          </w:p>
        </w:tc>
        <w:tc>
          <w:tcPr>
            <w:tcW w:w="3223" w:type="pct"/>
            <w:tcBorders>
              <w:bottom w:val="nil"/>
            </w:tcBorders>
          </w:tcPr>
          <w:p w14:paraId="6CD8CCB7" w14:textId="3E449A9E" w:rsidR="00494779" w:rsidRPr="002D21EA" w:rsidRDefault="00494779" w:rsidP="00494779">
            <w:pPr>
              <w:pStyle w:val="Tableheadingrow"/>
              <w:rPr>
                <w:b w:val="0"/>
                <w:bCs/>
                <w:lang w:val="en-AU"/>
              </w:rPr>
            </w:pPr>
            <w:r w:rsidRPr="002D21EA">
              <w:rPr>
                <w:b w:val="0"/>
                <w:bCs/>
                <w:szCs w:val="18"/>
                <w:lang w:val="en-AU"/>
              </w:rPr>
              <w:t>A phase III, multicenter, randomized, double-masked, active comparator-controlled study to evaluate the efficacy and safety of faricimab (RO6867461) in patients with neovascular age-related macular degeneration (nAMD).</w:t>
            </w:r>
          </w:p>
        </w:tc>
        <w:tc>
          <w:tcPr>
            <w:tcW w:w="1151" w:type="pct"/>
            <w:tcBorders>
              <w:bottom w:val="nil"/>
            </w:tcBorders>
          </w:tcPr>
          <w:p w14:paraId="54327B1F" w14:textId="05E9212C" w:rsidR="00494779" w:rsidRPr="002D21EA" w:rsidRDefault="00494779" w:rsidP="00494779">
            <w:pPr>
              <w:pStyle w:val="Tableheadingrow"/>
              <w:rPr>
                <w:b w:val="0"/>
                <w:bCs/>
                <w:lang w:val="en-AU"/>
              </w:rPr>
            </w:pPr>
            <w:r w:rsidRPr="002D21EA">
              <w:rPr>
                <w:b w:val="0"/>
                <w:bCs/>
                <w:szCs w:val="18"/>
                <w:lang w:val="en-AU"/>
              </w:rPr>
              <w:t>Clinical Study Report, May 2021</w:t>
            </w:r>
          </w:p>
        </w:tc>
      </w:tr>
      <w:tr w:rsidR="00494779" w:rsidRPr="002D21EA" w14:paraId="5876D51D" w14:textId="77777777" w:rsidTr="00BD1C88">
        <w:trPr>
          <w:cantSplit/>
          <w:tblHeader/>
        </w:trPr>
        <w:tc>
          <w:tcPr>
            <w:tcW w:w="626" w:type="pct"/>
            <w:vMerge/>
            <w:vAlign w:val="center"/>
          </w:tcPr>
          <w:p w14:paraId="632C55B2" w14:textId="77777777" w:rsidR="00494779" w:rsidRPr="002D21EA" w:rsidRDefault="00494779" w:rsidP="00A13FAC">
            <w:pPr>
              <w:pStyle w:val="Tableheadingrow"/>
              <w:rPr>
                <w:b w:val="0"/>
                <w:bCs/>
                <w:lang w:val="en-AU"/>
              </w:rPr>
            </w:pPr>
          </w:p>
        </w:tc>
        <w:tc>
          <w:tcPr>
            <w:tcW w:w="3223" w:type="pct"/>
            <w:tcBorders>
              <w:top w:val="nil"/>
              <w:bottom w:val="single" w:sz="4" w:space="0" w:color="auto"/>
            </w:tcBorders>
          </w:tcPr>
          <w:p w14:paraId="36E06F12" w14:textId="45A39912" w:rsidR="00494779" w:rsidRPr="002D21EA" w:rsidRDefault="00721487" w:rsidP="00494779">
            <w:pPr>
              <w:pStyle w:val="Tableheadingrow"/>
              <w:rPr>
                <w:b w:val="0"/>
                <w:bCs/>
                <w:szCs w:val="18"/>
                <w:lang w:val="en-AU"/>
              </w:rPr>
            </w:pPr>
            <w:r w:rsidRPr="002D21EA">
              <w:rPr>
                <w:b w:val="0"/>
                <w:bCs/>
                <w:szCs w:val="18"/>
                <w:lang w:val="en-AU"/>
              </w:rPr>
              <w:t xml:space="preserve">Heier JS, Kanani AM, Quezada Ruiz C, et al. </w:t>
            </w:r>
            <w:r w:rsidR="00494779" w:rsidRPr="002D21EA">
              <w:rPr>
                <w:b w:val="0"/>
                <w:bCs/>
                <w:szCs w:val="18"/>
                <w:lang w:val="en-AU"/>
              </w:rPr>
              <w:t>Efficacy, durability, and safety of intravitreal faricimab up to every 16 weeks for neovascular age-related macular degeneration (TENAYA and LUCERNE): two randomised, double-masked, phase 3, non-inferiority trials.</w:t>
            </w:r>
          </w:p>
        </w:tc>
        <w:tc>
          <w:tcPr>
            <w:tcW w:w="1151" w:type="pct"/>
            <w:tcBorders>
              <w:top w:val="nil"/>
              <w:bottom w:val="single" w:sz="4" w:space="0" w:color="auto"/>
            </w:tcBorders>
          </w:tcPr>
          <w:p w14:paraId="5B11E479" w14:textId="1061B687" w:rsidR="00494779" w:rsidRPr="002D21EA" w:rsidRDefault="00494779" w:rsidP="00494779">
            <w:pPr>
              <w:pStyle w:val="Tableheadingrow"/>
              <w:rPr>
                <w:b w:val="0"/>
                <w:bCs/>
                <w:szCs w:val="18"/>
                <w:lang w:val="en-AU"/>
              </w:rPr>
            </w:pPr>
            <w:r w:rsidRPr="002D21EA">
              <w:rPr>
                <w:b w:val="0"/>
                <w:bCs/>
                <w:szCs w:val="18"/>
                <w:lang w:val="en-AU"/>
              </w:rPr>
              <w:t>Lancet January 2022 doi: 10.1016/S0140-6736(22)00010-1.</w:t>
            </w:r>
            <w:r w:rsidR="00F867E2" w:rsidRPr="002D21EA">
              <w:rPr>
                <w:b w:val="0"/>
                <w:bCs/>
                <w:szCs w:val="18"/>
                <w:lang w:val="en-AU"/>
              </w:rPr>
              <w:t xml:space="preserve"> Online ahead of print</w:t>
            </w:r>
          </w:p>
        </w:tc>
      </w:tr>
      <w:tr w:rsidR="00494779" w:rsidRPr="002D21EA" w14:paraId="29521B71" w14:textId="77777777" w:rsidTr="00BD1C88">
        <w:trPr>
          <w:cantSplit/>
          <w:tblHeader/>
        </w:trPr>
        <w:tc>
          <w:tcPr>
            <w:tcW w:w="626" w:type="pct"/>
            <w:vMerge w:val="restart"/>
            <w:vAlign w:val="center"/>
          </w:tcPr>
          <w:p w14:paraId="4346463C" w14:textId="4C11DD29" w:rsidR="00494779" w:rsidRPr="002D21EA" w:rsidRDefault="00494779" w:rsidP="00F55C63">
            <w:pPr>
              <w:pStyle w:val="Tableheadingrow"/>
              <w:rPr>
                <w:b w:val="0"/>
                <w:bCs/>
                <w:lang w:val="en-AU"/>
              </w:rPr>
            </w:pPr>
            <w:r w:rsidRPr="002D21EA">
              <w:rPr>
                <w:b w:val="0"/>
                <w:bCs/>
                <w:lang w:val="en-AU"/>
              </w:rPr>
              <w:t>LUCERNE NCT03823300</w:t>
            </w:r>
          </w:p>
        </w:tc>
        <w:tc>
          <w:tcPr>
            <w:tcW w:w="3223" w:type="pct"/>
            <w:tcBorders>
              <w:bottom w:val="nil"/>
            </w:tcBorders>
          </w:tcPr>
          <w:p w14:paraId="7A013A52" w14:textId="2F317398" w:rsidR="00494779" w:rsidRPr="002D21EA" w:rsidRDefault="00494779" w:rsidP="00494779">
            <w:pPr>
              <w:pStyle w:val="Tableheadingrow"/>
              <w:rPr>
                <w:b w:val="0"/>
                <w:bCs/>
                <w:szCs w:val="18"/>
                <w:lang w:val="en-AU"/>
              </w:rPr>
            </w:pPr>
            <w:r w:rsidRPr="002D21EA">
              <w:rPr>
                <w:b w:val="0"/>
                <w:bCs/>
                <w:szCs w:val="18"/>
                <w:lang w:val="en-AU"/>
              </w:rPr>
              <w:t>A phase III, multicenter, randomized, double-masked, active comparator-controlled study to evaluate the efficacy and safety of faricimab (RO6867461) in patients with neovascular age-related macular degeneration (nAMD).</w:t>
            </w:r>
          </w:p>
        </w:tc>
        <w:tc>
          <w:tcPr>
            <w:tcW w:w="1151" w:type="pct"/>
            <w:tcBorders>
              <w:bottom w:val="nil"/>
            </w:tcBorders>
          </w:tcPr>
          <w:p w14:paraId="1C27436B" w14:textId="66371770" w:rsidR="00494779" w:rsidRPr="002D21EA" w:rsidRDefault="00494779" w:rsidP="00494779">
            <w:pPr>
              <w:pStyle w:val="Tableheadingrow"/>
              <w:rPr>
                <w:b w:val="0"/>
                <w:bCs/>
                <w:lang w:val="en-AU"/>
              </w:rPr>
            </w:pPr>
            <w:r w:rsidRPr="002D21EA">
              <w:rPr>
                <w:b w:val="0"/>
                <w:bCs/>
                <w:szCs w:val="18"/>
                <w:lang w:val="en-AU"/>
              </w:rPr>
              <w:t>Clinical Study Report, May 2021</w:t>
            </w:r>
          </w:p>
        </w:tc>
      </w:tr>
      <w:tr w:rsidR="00494779" w:rsidRPr="002D21EA" w14:paraId="2C11E18D" w14:textId="77777777" w:rsidTr="00BD1C88">
        <w:trPr>
          <w:cantSplit/>
          <w:tblHeader/>
        </w:trPr>
        <w:tc>
          <w:tcPr>
            <w:tcW w:w="626" w:type="pct"/>
            <w:vMerge/>
            <w:vAlign w:val="center"/>
          </w:tcPr>
          <w:p w14:paraId="3E9B1B57" w14:textId="7614FC83" w:rsidR="00494779" w:rsidRPr="002D21EA" w:rsidRDefault="00494779" w:rsidP="00F55C63">
            <w:pPr>
              <w:pStyle w:val="Tableheadingrow"/>
              <w:rPr>
                <w:b w:val="0"/>
                <w:bCs/>
                <w:lang w:val="en-AU"/>
              </w:rPr>
            </w:pPr>
          </w:p>
        </w:tc>
        <w:tc>
          <w:tcPr>
            <w:tcW w:w="3223" w:type="pct"/>
            <w:tcBorders>
              <w:top w:val="nil"/>
            </w:tcBorders>
          </w:tcPr>
          <w:p w14:paraId="5F74A6AE" w14:textId="795A2DC8" w:rsidR="00494779" w:rsidRPr="002D21EA" w:rsidRDefault="00721487" w:rsidP="00494779">
            <w:pPr>
              <w:pStyle w:val="Tableheadingrow"/>
              <w:rPr>
                <w:b w:val="0"/>
                <w:bCs/>
                <w:szCs w:val="18"/>
                <w:lang w:val="en-AU"/>
              </w:rPr>
            </w:pPr>
            <w:r w:rsidRPr="002D21EA">
              <w:rPr>
                <w:b w:val="0"/>
                <w:bCs/>
                <w:szCs w:val="18"/>
                <w:lang w:val="en-AU"/>
              </w:rPr>
              <w:t xml:space="preserve">Heier JS, Kanani AM, Quezada Ruiz C, et al. </w:t>
            </w:r>
            <w:r w:rsidR="00494779" w:rsidRPr="002D21EA">
              <w:rPr>
                <w:b w:val="0"/>
                <w:bCs/>
                <w:szCs w:val="18"/>
                <w:lang w:val="en-AU"/>
              </w:rPr>
              <w:t>Efficacy, durability, and safety of intravitreal faricimab up to every 16 weeks for neovascular age-related macular degeneration (TENAYA and LUCERNE): two randomised, double-masked, phase 3, non-inferiority trials.</w:t>
            </w:r>
          </w:p>
        </w:tc>
        <w:tc>
          <w:tcPr>
            <w:tcW w:w="1151" w:type="pct"/>
            <w:tcBorders>
              <w:top w:val="nil"/>
            </w:tcBorders>
          </w:tcPr>
          <w:p w14:paraId="192B4565" w14:textId="4825CB9D" w:rsidR="00494779" w:rsidRPr="002D21EA" w:rsidRDefault="00494779" w:rsidP="00494779">
            <w:pPr>
              <w:pStyle w:val="Tableheadingrow"/>
              <w:rPr>
                <w:b w:val="0"/>
                <w:bCs/>
                <w:szCs w:val="18"/>
                <w:lang w:val="en-AU"/>
              </w:rPr>
            </w:pPr>
            <w:r w:rsidRPr="002D21EA">
              <w:rPr>
                <w:b w:val="0"/>
                <w:bCs/>
                <w:szCs w:val="18"/>
                <w:lang w:val="en-AU"/>
              </w:rPr>
              <w:t>Lancet January 2022 doi: 10.1016/S0140-6736(22)00010-1.</w:t>
            </w:r>
            <w:r w:rsidR="00F867E2" w:rsidRPr="002D21EA">
              <w:rPr>
                <w:b w:val="0"/>
                <w:bCs/>
                <w:szCs w:val="18"/>
                <w:lang w:val="en-AU"/>
              </w:rPr>
              <w:t xml:space="preserve"> Online ahead of print</w:t>
            </w:r>
          </w:p>
        </w:tc>
      </w:tr>
    </w:tbl>
    <w:p w14:paraId="51D8173A" w14:textId="79995140" w:rsidR="008E0D3C" w:rsidRPr="002D21EA" w:rsidRDefault="008E0D3C" w:rsidP="00EC5836">
      <w:pPr>
        <w:pStyle w:val="TableFigureFooter"/>
      </w:pPr>
      <w:r w:rsidRPr="002D21EA">
        <w:t>Source: Table</w:t>
      </w:r>
      <w:r w:rsidR="00247776" w:rsidRPr="002D21EA">
        <w:t xml:space="preserve"> 2.3, p31</w:t>
      </w:r>
      <w:r w:rsidRPr="002D21EA">
        <w:t xml:space="preserve"> of the submission.</w:t>
      </w:r>
    </w:p>
    <w:p w14:paraId="09CEFA44" w14:textId="1310A875" w:rsidR="0037006E" w:rsidRPr="002D21EA" w:rsidRDefault="0009466D" w:rsidP="00EC5836">
      <w:pPr>
        <w:pStyle w:val="TableFigureFooter"/>
      </w:pPr>
      <w:r w:rsidRPr="002D21EA">
        <w:t>Note:</w:t>
      </w:r>
      <w:r w:rsidR="00943573" w:rsidRPr="002D21EA">
        <w:t xml:space="preserve"> Published a</w:t>
      </w:r>
      <w:r w:rsidRPr="002D21EA">
        <w:t xml:space="preserve">bstracts of </w:t>
      </w:r>
      <w:r w:rsidR="00FA45AC" w:rsidRPr="002D21EA">
        <w:t xml:space="preserve">the </w:t>
      </w:r>
      <w:r w:rsidRPr="002D21EA">
        <w:t xml:space="preserve">trials are not presented, given the </w:t>
      </w:r>
      <w:r w:rsidR="00943573" w:rsidRPr="002D21EA">
        <w:t>availability of a</w:t>
      </w:r>
      <w:r w:rsidRPr="002D21EA">
        <w:t xml:space="preserve"> full </w:t>
      </w:r>
      <w:r w:rsidR="00943573" w:rsidRPr="002D21EA">
        <w:t xml:space="preserve">trial </w:t>
      </w:r>
      <w:r w:rsidRPr="002D21EA">
        <w:t>publication</w:t>
      </w:r>
      <w:r w:rsidR="008D0420" w:rsidRPr="002D21EA">
        <w:t xml:space="preserve"> which w</w:t>
      </w:r>
      <w:r w:rsidR="00F13145" w:rsidRPr="002D21EA">
        <w:t>as</w:t>
      </w:r>
      <w:r w:rsidR="004906D6" w:rsidRPr="002D21EA">
        <w:t xml:space="preserve"> published </w:t>
      </w:r>
      <w:r w:rsidR="00FD6A5E" w:rsidRPr="002D21EA">
        <w:t>after lodgement of the</w:t>
      </w:r>
      <w:r w:rsidR="004906D6" w:rsidRPr="002D21EA">
        <w:t xml:space="preserve"> </w:t>
      </w:r>
      <w:r w:rsidR="00C364D0" w:rsidRPr="002D21EA">
        <w:t>submission</w:t>
      </w:r>
      <w:r w:rsidR="004906D6" w:rsidRPr="002D21EA">
        <w:t xml:space="preserve"> and identified during the evaluation</w:t>
      </w:r>
      <w:r w:rsidR="00F867E2" w:rsidRPr="002D21EA">
        <w:t xml:space="preserve"> (Heier et al, 2022)</w:t>
      </w:r>
      <w:r w:rsidRPr="002D21EA">
        <w:t>.</w:t>
      </w:r>
    </w:p>
    <w:p w14:paraId="1DD06D7D" w14:textId="35D328AA" w:rsidR="007F1017" w:rsidRPr="002D21EA" w:rsidRDefault="008F120A" w:rsidP="00EC5836">
      <w:pPr>
        <w:pStyle w:val="ExecSumBodyText"/>
        <w:rPr>
          <w:color w:val="0066FF"/>
        </w:rPr>
      </w:pPr>
      <w:r w:rsidRPr="002D21EA">
        <w:t xml:space="preserve">The key features of the </w:t>
      </w:r>
      <w:r w:rsidR="009C787D" w:rsidRPr="002D21EA">
        <w:t xml:space="preserve">identically designed </w:t>
      </w:r>
      <w:r w:rsidR="00BF44AC" w:rsidRPr="002D21EA">
        <w:t>TENAYA and LUCERNE</w:t>
      </w:r>
      <w:r w:rsidRPr="002D21EA">
        <w:t xml:space="preserve"> trials</w:t>
      </w:r>
      <w:r w:rsidR="00341ED1" w:rsidRPr="002D21EA">
        <w:t xml:space="preserve"> </w:t>
      </w:r>
      <w:r w:rsidRPr="002D21EA">
        <w:t>are summarised in the table below.</w:t>
      </w:r>
      <w:r w:rsidR="0042792D" w:rsidRPr="002D21EA">
        <w:t xml:space="preserve"> </w:t>
      </w:r>
    </w:p>
    <w:p w14:paraId="355E2F15" w14:textId="7B87179D" w:rsidR="007F1017" w:rsidRPr="002D21EA" w:rsidRDefault="007F1017" w:rsidP="0081052F">
      <w:pPr>
        <w:pStyle w:val="Caption"/>
        <w:rPr>
          <w:lang w:val="en-AU"/>
        </w:rPr>
      </w:pPr>
      <w:r w:rsidRPr="002D21EA">
        <w:rPr>
          <w:lang w:val="en-AU"/>
        </w:rPr>
        <w:lastRenderedPageBreak/>
        <w:t xml:space="preserve">Table </w:t>
      </w:r>
      <w:r w:rsidR="009930D5" w:rsidRPr="002D21EA">
        <w:rPr>
          <w:lang w:val="en-AU"/>
        </w:rPr>
        <w:fldChar w:fldCharType="begin"/>
      </w:r>
      <w:r w:rsidR="009930D5" w:rsidRPr="002D21EA">
        <w:rPr>
          <w:lang w:val="en-AU"/>
        </w:rPr>
        <w:instrText xml:space="preserve"> SEQ Table \* ARABIC </w:instrText>
      </w:r>
      <w:r w:rsidR="009930D5" w:rsidRPr="002D21EA">
        <w:rPr>
          <w:lang w:val="en-AU"/>
        </w:rPr>
        <w:fldChar w:fldCharType="separate"/>
      </w:r>
      <w:r w:rsidR="006C2A4B">
        <w:rPr>
          <w:noProof/>
          <w:lang w:val="en-AU"/>
        </w:rPr>
        <w:t>3</w:t>
      </w:r>
      <w:r w:rsidR="009930D5" w:rsidRPr="002D21EA">
        <w:rPr>
          <w:noProof/>
          <w:lang w:val="en-AU"/>
        </w:rPr>
        <w:fldChar w:fldCharType="end"/>
      </w:r>
      <w:r w:rsidRPr="002D21EA">
        <w:rPr>
          <w:lang w:val="en-AU"/>
        </w:rPr>
        <w:t>: Key features of the included evidence</w:t>
      </w:r>
    </w:p>
    <w:tbl>
      <w:tblPr>
        <w:tblStyle w:val="TableGrid"/>
        <w:tblW w:w="0" w:type="auto"/>
        <w:tblCellMar>
          <w:left w:w="28" w:type="dxa"/>
          <w:right w:w="28" w:type="dxa"/>
        </w:tblCellMar>
        <w:tblLook w:val="04A0" w:firstRow="1" w:lastRow="0" w:firstColumn="1" w:lastColumn="0" w:noHBand="0" w:noVBand="1"/>
      </w:tblPr>
      <w:tblGrid>
        <w:gridCol w:w="1000"/>
        <w:gridCol w:w="552"/>
        <w:gridCol w:w="1562"/>
        <w:gridCol w:w="1417"/>
        <w:gridCol w:w="1701"/>
        <w:gridCol w:w="2785"/>
      </w:tblGrid>
      <w:tr w:rsidR="006514FB" w:rsidRPr="002D21EA" w14:paraId="7F785390" w14:textId="77777777" w:rsidTr="002A3FF8">
        <w:tc>
          <w:tcPr>
            <w:tcW w:w="1000" w:type="dxa"/>
            <w:tcBorders>
              <w:bottom w:val="single" w:sz="4" w:space="0" w:color="auto"/>
            </w:tcBorders>
            <w:vAlign w:val="center"/>
          </w:tcPr>
          <w:p w14:paraId="5891F04A" w14:textId="607E30FE" w:rsidR="00954147" w:rsidRPr="002D21EA" w:rsidRDefault="00954147" w:rsidP="0059446B">
            <w:pPr>
              <w:pStyle w:val="TableText"/>
              <w:rPr>
                <w:b/>
                <w:bCs w:val="0"/>
              </w:rPr>
            </w:pPr>
            <w:r w:rsidRPr="002D21EA">
              <w:rPr>
                <w:b/>
                <w:bCs w:val="0"/>
              </w:rPr>
              <w:t>Trial</w:t>
            </w:r>
          </w:p>
        </w:tc>
        <w:tc>
          <w:tcPr>
            <w:tcW w:w="552" w:type="dxa"/>
            <w:tcBorders>
              <w:bottom w:val="single" w:sz="4" w:space="0" w:color="auto"/>
            </w:tcBorders>
            <w:vAlign w:val="center"/>
          </w:tcPr>
          <w:p w14:paraId="71BC2404" w14:textId="48E8EC1F" w:rsidR="00954147" w:rsidRPr="002D21EA" w:rsidRDefault="00954147" w:rsidP="0059446B">
            <w:pPr>
              <w:pStyle w:val="TableText"/>
              <w:jc w:val="center"/>
              <w:rPr>
                <w:b/>
                <w:bCs w:val="0"/>
              </w:rPr>
            </w:pPr>
            <w:r w:rsidRPr="002D21EA">
              <w:rPr>
                <w:b/>
                <w:bCs w:val="0"/>
              </w:rPr>
              <w:t>N</w:t>
            </w:r>
          </w:p>
        </w:tc>
        <w:tc>
          <w:tcPr>
            <w:tcW w:w="1562" w:type="dxa"/>
            <w:tcBorders>
              <w:bottom w:val="single" w:sz="4" w:space="0" w:color="auto"/>
            </w:tcBorders>
            <w:vAlign w:val="center"/>
          </w:tcPr>
          <w:p w14:paraId="59BEA530" w14:textId="55DEA4AF" w:rsidR="00954147" w:rsidRPr="002D21EA" w:rsidRDefault="00954147" w:rsidP="0059446B">
            <w:pPr>
              <w:pStyle w:val="TableText"/>
              <w:jc w:val="center"/>
              <w:rPr>
                <w:b/>
                <w:bCs w:val="0"/>
              </w:rPr>
            </w:pPr>
            <w:r w:rsidRPr="002D21EA">
              <w:rPr>
                <w:b/>
                <w:bCs w:val="0"/>
              </w:rPr>
              <w:t>Design/duration</w:t>
            </w:r>
          </w:p>
        </w:tc>
        <w:tc>
          <w:tcPr>
            <w:tcW w:w="1417" w:type="dxa"/>
            <w:tcBorders>
              <w:bottom w:val="single" w:sz="4" w:space="0" w:color="auto"/>
            </w:tcBorders>
            <w:vAlign w:val="center"/>
          </w:tcPr>
          <w:p w14:paraId="01D40679" w14:textId="3013B3A1" w:rsidR="00954147" w:rsidRPr="002D21EA" w:rsidRDefault="00954147" w:rsidP="00414E14">
            <w:pPr>
              <w:pStyle w:val="TableText"/>
              <w:jc w:val="center"/>
              <w:rPr>
                <w:b/>
                <w:bCs w:val="0"/>
              </w:rPr>
            </w:pPr>
            <w:r w:rsidRPr="002D21EA">
              <w:rPr>
                <w:b/>
                <w:bCs w:val="0"/>
              </w:rPr>
              <w:t>Risk of bias</w:t>
            </w:r>
          </w:p>
        </w:tc>
        <w:tc>
          <w:tcPr>
            <w:tcW w:w="1701" w:type="dxa"/>
            <w:tcBorders>
              <w:bottom w:val="single" w:sz="4" w:space="0" w:color="auto"/>
            </w:tcBorders>
            <w:vAlign w:val="center"/>
          </w:tcPr>
          <w:p w14:paraId="3E08EFE0" w14:textId="4B2951F0" w:rsidR="00954147" w:rsidRPr="002D21EA" w:rsidRDefault="00954147" w:rsidP="0059446B">
            <w:pPr>
              <w:pStyle w:val="TableText"/>
              <w:jc w:val="center"/>
              <w:rPr>
                <w:b/>
                <w:bCs w:val="0"/>
              </w:rPr>
            </w:pPr>
            <w:r w:rsidRPr="002D21EA">
              <w:rPr>
                <w:b/>
                <w:bCs w:val="0"/>
              </w:rPr>
              <w:t>Patient population</w:t>
            </w:r>
          </w:p>
        </w:tc>
        <w:tc>
          <w:tcPr>
            <w:tcW w:w="2785" w:type="dxa"/>
            <w:tcBorders>
              <w:bottom w:val="single" w:sz="4" w:space="0" w:color="auto"/>
            </w:tcBorders>
            <w:vAlign w:val="center"/>
          </w:tcPr>
          <w:p w14:paraId="77E74CC0" w14:textId="0F316789" w:rsidR="00954147" w:rsidRPr="002D21EA" w:rsidRDefault="00954147" w:rsidP="0059446B">
            <w:pPr>
              <w:pStyle w:val="TableText"/>
              <w:jc w:val="center"/>
              <w:rPr>
                <w:b/>
                <w:bCs w:val="0"/>
              </w:rPr>
            </w:pPr>
            <w:r w:rsidRPr="002D21EA">
              <w:rPr>
                <w:b/>
                <w:bCs w:val="0"/>
              </w:rPr>
              <w:t>Outcomes</w:t>
            </w:r>
          </w:p>
        </w:tc>
      </w:tr>
      <w:tr w:rsidR="00742CCC" w:rsidRPr="002D21EA" w14:paraId="0315B0CE" w14:textId="77777777" w:rsidTr="002A3FF8">
        <w:trPr>
          <w:trHeight w:val="691"/>
        </w:trPr>
        <w:tc>
          <w:tcPr>
            <w:tcW w:w="1000" w:type="dxa"/>
            <w:tcBorders>
              <w:top w:val="single" w:sz="4" w:space="0" w:color="auto"/>
              <w:left w:val="single" w:sz="4" w:space="0" w:color="auto"/>
              <w:bottom w:val="single" w:sz="4" w:space="0" w:color="auto"/>
              <w:right w:val="single" w:sz="4" w:space="0" w:color="auto"/>
            </w:tcBorders>
          </w:tcPr>
          <w:p w14:paraId="462AB838" w14:textId="6877696C" w:rsidR="00742CCC" w:rsidRPr="002D21EA" w:rsidRDefault="00742CCC" w:rsidP="00954147">
            <w:pPr>
              <w:pStyle w:val="TableText"/>
            </w:pPr>
            <w:r w:rsidRPr="002D21EA">
              <w:t>TENAYA</w:t>
            </w:r>
          </w:p>
        </w:tc>
        <w:tc>
          <w:tcPr>
            <w:tcW w:w="552" w:type="dxa"/>
            <w:tcBorders>
              <w:top w:val="single" w:sz="4" w:space="0" w:color="auto"/>
              <w:left w:val="single" w:sz="4" w:space="0" w:color="auto"/>
              <w:bottom w:val="single" w:sz="4" w:space="0" w:color="auto"/>
              <w:right w:val="single" w:sz="4" w:space="0" w:color="auto"/>
            </w:tcBorders>
          </w:tcPr>
          <w:p w14:paraId="6FEA0E63" w14:textId="533D666B" w:rsidR="00742CCC" w:rsidRPr="002D21EA" w:rsidRDefault="00742CCC" w:rsidP="000E47EF">
            <w:pPr>
              <w:pStyle w:val="TableText"/>
              <w:jc w:val="center"/>
            </w:pPr>
            <w:r w:rsidRPr="002D21EA">
              <w:t>671</w:t>
            </w:r>
          </w:p>
        </w:tc>
        <w:tc>
          <w:tcPr>
            <w:tcW w:w="1562" w:type="dxa"/>
            <w:vMerge w:val="restart"/>
            <w:tcBorders>
              <w:top w:val="single" w:sz="4" w:space="0" w:color="auto"/>
              <w:left w:val="single" w:sz="4" w:space="0" w:color="auto"/>
              <w:bottom w:val="single" w:sz="4" w:space="0" w:color="auto"/>
              <w:right w:val="single" w:sz="4" w:space="0" w:color="auto"/>
            </w:tcBorders>
          </w:tcPr>
          <w:p w14:paraId="45B7ECE7" w14:textId="5BA8416B" w:rsidR="006514FB" w:rsidRPr="002D21EA" w:rsidRDefault="00742CCC" w:rsidP="00954147">
            <w:pPr>
              <w:pStyle w:val="TableText"/>
            </w:pPr>
            <w:r w:rsidRPr="002D21EA">
              <w:t>Randomised, multicentre, double masked, parallel, active comparator</w:t>
            </w:r>
            <w:r w:rsidR="0026100E" w:rsidRPr="002D21EA">
              <w:t>-</w:t>
            </w:r>
            <w:r w:rsidRPr="002D21EA">
              <w:t>controlled trial</w:t>
            </w:r>
            <w:r w:rsidR="00292998" w:rsidRPr="002D21EA">
              <w:t>.</w:t>
            </w:r>
          </w:p>
          <w:p w14:paraId="0136E833" w14:textId="049177A9" w:rsidR="00742CCC" w:rsidRPr="002D21EA" w:rsidRDefault="00742CCC" w:rsidP="00954147">
            <w:pPr>
              <w:pStyle w:val="TableText"/>
            </w:pPr>
            <w:r w:rsidRPr="002D21EA">
              <w:t>112 weeks</w:t>
            </w:r>
            <w:r w:rsidRPr="002D21EA">
              <w:rPr>
                <w:vertAlign w:val="superscript"/>
              </w:rPr>
              <w:t>1</w:t>
            </w:r>
          </w:p>
        </w:tc>
        <w:tc>
          <w:tcPr>
            <w:tcW w:w="1417" w:type="dxa"/>
            <w:tcBorders>
              <w:top w:val="single" w:sz="4" w:space="0" w:color="auto"/>
              <w:left w:val="single" w:sz="4" w:space="0" w:color="auto"/>
              <w:bottom w:val="single" w:sz="4" w:space="0" w:color="auto"/>
              <w:right w:val="single" w:sz="4" w:space="0" w:color="auto"/>
            </w:tcBorders>
          </w:tcPr>
          <w:p w14:paraId="3276A64C" w14:textId="207E9527" w:rsidR="00742CCC" w:rsidRPr="002D21EA" w:rsidRDefault="00742CCC" w:rsidP="00414E14">
            <w:pPr>
              <w:pStyle w:val="TableText"/>
              <w:jc w:val="center"/>
            </w:pPr>
            <w:r w:rsidRPr="002D21EA">
              <w:t>Low</w:t>
            </w:r>
          </w:p>
        </w:tc>
        <w:tc>
          <w:tcPr>
            <w:tcW w:w="1701" w:type="dxa"/>
            <w:vMerge w:val="restart"/>
            <w:tcBorders>
              <w:top w:val="single" w:sz="4" w:space="0" w:color="auto"/>
              <w:left w:val="single" w:sz="4" w:space="0" w:color="auto"/>
              <w:bottom w:val="single" w:sz="4" w:space="0" w:color="auto"/>
              <w:right w:val="single" w:sz="4" w:space="0" w:color="auto"/>
            </w:tcBorders>
          </w:tcPr>
          <w:p w14:paraId="6B2C5C16" w14:textId="2892F948" w:rsidR="00742CCC" w:rsidRPr="002D21EA" w:rsidRDefault="00742CCC" w:rsidP="00D161ED">
            <w:pPr>
              <w:pStyle w:val="TableText"/>
              <w:keepNext w:val="0"/>
              <w:numPr>
                <w:ilvl w:val="0"/>
                <w:numId w:val="14"/>
              </w:numPr>
              <w:ind w:left="170" w:hanging="170"/>
              <w:rPr>
                <w:szCs w:val="20"/>
              </w:rPr>
            </w:pPr>
            <w:r w:rsidRPr="002D21EA">
              <w:rPr>
                <w:szCs w:val="20"/>
              </w:rPr>
              <w:t>Treatment-</w:t>
            </w:r>
            <w:r w:rsidR="004150AA" w:rsidRPr="002D21EA">
              <w:rPr>
                <w:szCs w:val="20"/>
              </w:rPr>
              <w:t xml:space="preserve">naïve </w:t>
            </w:r>
            <w:r w:rsidRPr="002D21EA">
              <w:rPr>
                <w:szCs w:val="20"/>
              </w:rPr>
              <w:t>CNV secondary to AMD (nAMD)</w:t>
            </w:r>
          </w:p>
          <w:p w14:paraId="44F0263C" w14:textId="7674D191" w:rsidR="00742CCC" w:rsidRPr="002D21EA" w:rsidRDefault="00742CCC" w:rsidP="00D161ED">
            <w:pPr>
              <w:pStyle w:val="TableText"/>
              <w:keepNext w:val="0"/>
              <w:numPr>
                <w:ilvl w:val="0"/>
                <w:numId w:val="14"/>
              </w:numPr>
              <w:ind w:left="170" w:hanging="170"/>
              <w:rPr>
                <w:szCs w:val="20"/>
              </w:rPr>
            </w:pPr>
            <w:r w:rsidRPr="002D21EA">
              <w:rPr>
                <w:szCs w:val="20"/>
              </w:rPr>
              <w:t>Age ≥50 years</w:t>
            </w:r>
          </w:p>
          <w:p w14:paraId="0CD68D2D" w14:textId="412EB768" w:rsidR="00742CCC" w:rsidRPr="002D21EA" w:rsidRDefault="00742CCC" w:rsidP="00D161ED">
            <w:pPr>
              <w:pStyle w:val="TableText"/>
              <w:keepNext w:val="0"/>
              <w:numPr>
                <w:ilvl w:val="0"/>
                <w:numId w:val="14"/>
              </w:numPr>
              <w:ind w:left="170" w:hanging="170"/>
            </w:pPr>
            <w:r w:rsidRPr="002D21EA">
              <w:rPr>
                <w:szCs w:val="20"/>
              </w:rPr>
              <w:t>BCVA of 78-24 letters</w:t>
            </w:r>
          </w:p>
        </w:tc>
        <w:tc>
          <w:tcPr>
            <w:tcW w:w="2785" w:type="dxa"/>
            <w:vMerge w:val="restart"/>
            <w:tcBorders>
              <w:top w:val="single" w:sz="4" w:space="0" w:color="auto"/>
              <w:left w:val="single" w:sz="4" w:space="0" w:color="auto"/>
              <w:bottom w:val="single" w:sz="4" w:space="0" w:color="auto"/>
              <w:right w:val="single" w:sz="4" w:space="0" w:color="auto"/>
            </w:tcBorders>
          </w:tcPr>
          <w:p w14:paraId="2AC24F57" w14:textId="339BD1EC" w:rsidR="00742CCC" w:rsidRPr="002D21EA" w:rsidRDefault="00742CCC" w:rsidP="00742CCC">
            <w:pPr>
              <w:pStyle w:val="TableText"/>
              <w:keepNext w:val="0"/>
              <w:numPr>
                <w:ilvl w:val="0"/>
                <w:numId w:val="14"/>
              </w:numPr>
              <w:ind w:left="170" w:hanging="170"/>
              <w:rPr>
                <w:szCs w:val="20"/>
              </w:rPr>
            </w:pPr>
            <w:r w:rsidRPr="002D21EA">
              <w:rPr>
                <w:szCs w:val="20"/>
              </w:rPr>
              <w:t>Change in BCVA</w:t>
            </w:r>
          </w:p>
          <w:p w14:paraId="7B6A76E5" w14:textId="5D38F480" w:rsidR="00742CCC" w:rsidRPr="002D21EA" w:rsidRDefault="00742CCC" w:rsidP="00D161ED">
            <w:pPr>
              <w:pStyle w:val="TableText"/>
              <w:keepNext w:val="0"/>
              <w:numPr>
                <w:ilvl w:val="0"/>
                <w:numId w:val="14"/>
              </w:numPr>
              <w:ind w:left="170" w:hanging="170"/>
              <w:rPr>
                <w:szCs w:val="20"/>
              </w:rPr>
            </w:pPr>
            <w:r w:rsidRPr="002D21EA">
              <w:rPr>
                <w:szCs w:val="20"/>
              </w:rPr>
              <w:t>Proportion gaining</w:t>
            </w:r>
            <w:r w:rsidR="00431F37" w:rsidRPr="002D21EA">
              <w:rPr>
                <w:szCs w:val="20"/>
              </w:rPr>
              <w:t>/avoiding a loss of</w:t>
            </w:r>
            <w:r w:rsidRPr="002D21EA">
              <w:rPr>
                <w:szCs w:val="20"/>
              </w:rPr>
              <w:t xml:space="preserve"> ≥15 letters in BCVA</w:t>
            </w:r>
          </w:p>
          <w:p w14:paraId="3E603B88" w14:textId="0FE7300B" w:rsidR="00742CCC" w:rsidRPr="002D21EA" w:rsidRDefault="00742CCC" w:rsidP="00D161ED">
            <w:pPr>
              <w:pStyle w:val="TableText"/>
              <w:keepNext w:val="0"/>
              <w:numPr>
                <w:ilvl w:val="0"/>
                <w:numId w:val="14"/>
              </w:numPr>
              <w:ind w:left="170" w:hanging="170"/>
              <w:rPr>
                <w:szCs w:val="20"/>
              </w:rPr>
            </w:pPr>
            <w:r w:rsidRPr="002D21EA">
              <w:rPr>
                <w:szCs w:val="20"/>
              </w:rPr>
              <w:t>Change in CST</w:t>
            </w:r>
          </w:p>
          <w:p w14:paraId="5934E79E" w14:textId="632DB874" w:rsidR="00742CCC" w:rsidRPr="002D21EA" w:rsidRDefault="00742CCC" w:rsidP="00D161ED">
            <w:pPr>
              <w:pStyle w:val="TableText"/>
              <w:keepNext w:val="0"/>
              <w:numPr>
                <w:ilvl w:val="0"/>
                <w:numId w:val="14"/>
              </w:numPr>
              <w:ind w:left="170" w:hanging="170"/>
              <w:rPr>
                <w:szCs w:val="20"/>
              </w:rPr>
            </w:pPr>
            <w:r w:rsidRPr="002D21EA">
              <w:rPr>
                <w:szCs w:val="20"/>
              </w:rPr>
              <w:t>Quality of life (NEI VFQ-25</w:t>
            </w:r>
            <w:r w:rsidR="002A3FF8" w:rsidRPr="002D21EA">
              <w:rPr>
                <w:szCs w:val="20"/>
              </w:rPr>
              <w:t>)</w:t>
            </w:r>
          </w:p>
          <w:p w14:paraId="1DF2B4FB" w14:textId="3750E39B" w:rsidR="006B796E" w:rsidRPr="002D21EA" w:rsidRDefault="006B796E" w:rsidP="00D161ED">
            <w:pPr>
              <w:pStyle w:val="TableText"/>
              <w:keepNext w:val="0"/>
              <w:numPr>
                <w:ilvl w:val="0"/>
                <w:numId w:val="14"/>
              </w:numPr>
              <w:ind w:left="170" w:hanging="170"/>
              <w:rPr>
                <w:szCs w:val="20"/>
              </w:rPr>
            </w:pPr>
            <w:r w:rsidRPr="002D21EA">
              <w:rPr>
                <w:szCs w:val="20"/>
              </w:rPr>
              <w:t>Adverse events</w:t>
            </w:r>
          </w:p>
        </w:tc>
      </w:tr>
      <w:tr w:rsidR="00742CCC" w:rsidRPr="002D21EA" w14:paraId="56246610" w14:textId="77777777" w:rsidTr="002A3FF8">
        <w:trPr>
          <w:trHeight w:val="691"/>
        </w:trPr>
        <w:tc>
          <w:tcPr>
            <w:tcW w:w="1000" w:type="dxa"/>
            <w:tcBorders>
              <w:top w:val="single" w:sz="4" w:space="0" w:color="auto"/>
              <w:left w:val="single" w:sz="4" w:space="0" w:color="auto"/>
              <w:bottom w:val="single" w:sz="4" w:space="0" w:color="auto"/>
              <w:right w:val="single" w:sz="4" w:space="0" w:color="auto"/>
            </w:tcBorders>
          </w:tcPr>
          <w:p w14:paraId="722C7FB9" w14:textId="49860736" w:rsidR="00742CCC" w:rsidRPr="002D21EA" w:rsidRDefault="00742CCC" w:rsidP="00954147">
            <w:pPr>
              <w:pStyle w:val="TableText"/>
            </w:pPr>
            <w:r w:rsidRPr="002D21EA">
              <w:t>LUCERNE</w:t>
            </w:r>
          </w:p>
        </w:tc>
        <w:tc>
          <w:tcPr>
            <w:tcW w:w="552" w:type="dxa"/>
            <w:tcBorders>
              <w:top w:val="single" w:sz="4" w:space="0" w:color="auto"/>
              <w:left w:val="single" w:sz="4" w:space="0" w:color="auto"/>
              <w:bottom w:val="single" w:sz="4" w:space="0" w:color="auto"/>
              <w:right w:val="single" w:sz="4" w:space="0" w:color="auto"/>
            </w:tcBorders>
          </w:tcPr>
          <w:p w14:paraId="302CDD33" w14:textId="224DA881" w:rsidR="00742CCC" w:rsidRPr="002D21EA" w:rsidRDefault="00742CCC" w:rsidP="000E47EF">
            <w:pPr>
              <w:pStyle w:val="TableText"/>
              <w:jc w:val="center"/>
            </w:pPr>
            <w:r w:rsidRPr="002D21EA">
              <w:t>658</w:t>
            </w:r>
          </w:p>
        </w:tc>
        <w:tc>
          <w:tcPr>
            <w:tcW w:w="1562" w:type="dxa"/>
            <w:vMerge/>
            <w:tcBorders>
              <w:top w:val="single" w:sz="4" w:space="0" w:color="auto"/>
              <w:left w:val="single" w:sz="4" w:space="0" w:color="auto"/>
              <w:bottom w:val="single" w:sz="4" w:space="0" w:color="auto"/>
              <w:right w:val="single" w:sz="4" w:space="0" w:color="auto"/>
            </w:tcBorders>
          </w:tcPr>
          <w:p w14:paraId="442EBF93" w14:textId="1DBEEF5F" w:rsidR="00742CCC" w:rsidRPr="002D21EA" w:rsidRDefault="00742CCC" w:rsidP="00954147">
            <w:pPr>
              <w:pStyle w:val="TableText"/>
            </w:pPr>
          </w:p>
        </w:tc>
        <w:tc>
          <w:tcPr>
            <w:tcW w:w="1417" w:type="dxa"/>
            <w:tcBorders>
              <w:top w:val="single" w:sz="4" w:space="0" w:color="auto"/>
              <w:left w:val="single" w:sz="4" w:space="0" w:color="auto"/>
              <w:bottom w:val="single" w:sz="4" w:space="0" w:color="auto"/>
              <w:right w:val="single" w:sz="4" w:space="0" w:color="auto"/>
            </w:tcBorders>
          </w:tcPr>
          <w:p w14:paraId="50784045" w14:textId="7D7A02AD" w:rsidR="00742CCC" w:rsidRPr="002D21EA" w:rsidRDefault="00742CCC" w:rsidP="00414E14">
            <w:pPr>
              <w:pStyle w:val="TableText"/>
              <w:jc w:val="center"/>
            </w:pPr>
            <w:r w:rsidRPr="002D21EA">
              <w:t>Low</w:t>
            </w:r>
          </w:p>
        </w:tc>
        <w:tc>
          <w:tcPr>
            <w:tcW w:w="1701" w:type="dxa"/>
            <w:vMerge/>
            <w:tcBorders>
              <w:top w:val="single" w:sz="4" w:space="0" w:color="auto"/>
              <w:left w:val="single" w:sz="4" w:space="0" w:color="auto"/>
              <w:bottom w:val="single" w:sz="4" w:space="0" w:color="auto"/>
              <w:right w:val="single" w:sz="4" w:space="0" w:color="auto"/>
            </w:tcBorders>
          </w:tcPr>
          <w:p w14:paraId="3046770D" w14:textId="77777777" w:rsidR="00742CCC" w:rsidRPr="002D21EA" w:rsidRDefault="00742CCC" w:rsidP="00954147">
            <w:pPr>
              <w:pStyle w:val="TableText"/>
            </w:pPr>
          </w:p>
        </w:tc>
        <w:tc>
          <w:tcPr>
            <w:tcW w:w="2785" w:type="dxa"/>
            <w:vMerge/>
            <w:tcBorders>
              <w:top w:val="single" w:sz="4" w:space="0" w:color="auto"/>
              <w:left w:val="single" w:sz="4" w:space="0" w:color="auto"/>
              <w:bottom w:val="single" w:sz="4" w:space="0" w:color="auto"/>
              <w:right w:val="single" w:sz="4" w:space="0" w:color="auto"/>
            </w:tcBorders>
          </w:tcPr>
          <w:p w14:paraId="1A51FB5A" w14:textId="77777777" w:rsidR="00742CCC" w:rsidRPr="002D21EA" w:rsidRDefault="00742CCC" w:rsidP="00954147">
            <w:pPr>
              <w:pStyle w:val="TableText"/>
            </w:pPr>
          </w:p>
        </w:tc>
      </w:tr>
    </w:tbl>
    <w:p w14:paraId="560080D2" w14:textId="3382A961" w:rsidR="00045017" w:rsidRPr="002D21EA" w:rsidRDefault="00045017" w:rsidP="00EC5836">
      <w:pPr>
        <w:pStyle w:val="TableFigureFooter"/>
      </w:pPr>
      <w:r w:rsidRPr="002D21EA">
        <w:t xml:space="preserve">Source: </w:t>
      </w:r>
      <w:r w:rsidR="008B55D4" w:rsidRPr="002D21EA">
        <w:t>Section 2.3, p23; Table 2.</w:t>
      </w:r>
      <w:r w:rsidR="00DC350B" w:rsidRPr="002D21EA">
        <w:t>4, pp34-36; Table 2.7, p40; Table 2.13, p48; Table 2.14, p49 of the submission.</w:t>
      </w:r>
    </w:p>
    <w:p w14:paraId="0255056F" w14:textId="06ACE768" w:rsidR="0026100E" w:rsidRPr="002D21EA" w:rsidRDefault="0026100E" w:rsidP="00EC5836">
      <w:pPr>
        <w:pStyle w:val="TableFigureFooter"/>
      </w:pPr>
      <w:r w:rsidRPr="002D21EA">
        <w:t>Abbreviations: AMD</w:t>
      </w:r>
      <w:r w:rsidR="008D1B6D" w:rsidRPr="002D21EA">
        <w:t xml:space="preserve"> =</w:t>
      </w:r>
      <w:r w:rsidRPr="002D21EA">
        <w:t xml:space="preserve"> </w:t>
      </w:r>
      <w:r w:rsidR="007A2A47" w:rsidRPr="002D21EA">
        <w:t xml:space="preserve">age-related macular degeneration; </w:t>
      </w:r>
      <w:r w:rsidR="00761AD7" w:rsidRPr="002D21EA">
        <w:t>BCVA</w:t>
      </w:r>
      <w:r w:rsidR="008D1B6D" w:rsidRPr="002D21EA">
        <w:t xml:space="preserve"> =</w:t>
      </w:r>
      <w:r w:rsidR="00761AD7" w:rsidRPr="002D21EA">
        <w:t xml:space="preserve"> best corrected visual acuity; </w:t>
      </w:r>
      <w:r w:rsidRPr="002D21EA">
        <w:t>CNV</w:t>
      </w:r>
      <w:r w:rsidR="008D1B6D" w:rsidRPr="002D21EA">
        <w:t xml:space="preserve"> =</w:t>
      </w:r>
      <w:r w:rsidRPr="002D21EA">
        <w:t xml:space="preserve"> </w:t>
      </w:r>
      <w:r w:rsidR="00761AD7" w:rsidRPr="002D21EA">
        <w:t>choroidal neovascularisation</w:t>
      </w:r>
      <w:r w:rsidR="007A2A47" w:rsidRPr="002D21EA">
        <w:t xml:space="preserve">; </w:t>
      </w:r>
      <w:r w:rsidR="009822A0" w:rsidRPr="002D21EA">
        <w:t>CST</w:t>
      </w:r>
      <w:r w:rsidR="008D1B6D" w:rsidRPr="002D21EA">
        <w:t xml:space="preserve"> =</w:t>
      </w:r>
      <w:r w:rsidR="009822A0" w:rsidRPr="002D21EA">
        <w:t xml:space="preserve"> central subfield thickness; </w:t>
      </w:r>
      <w:r w:rsidR="00761AD7" w:rsidRPr="002D21EA">
        <w:t>nAMD</w:t>
      </w:r>
      <w:r w:rsidR="008D1B6D" w:rsidRPr="002D21EA">
        <w:t xml:space="preserve"> =</w:t>
      </w:r>
      <w:r w:rsidR="00761AD7" w:rsidRPr="002D21EA">
        <w:t xml:space="preserve"> neovascular age-related macular degeneration</w:t>
      </w:r>
      <w:r w:rsidR="00F47DBC" w:rsidRPr="002D21EA">
        <w:t>; NEI VFQ-25</w:t>
      </w:r>
      <w:r w:rsidR="008D1B6D" w:rsidRPr="002D21EA">
        <w:t xml:space="preserve"> =</w:t>
      </w:r>
      <w:r w:rsidR="00F47DBC" w:rsidRPr="002D21EA">
        <w:t xml:space="preserve"> National Eye Institute 25-item visual function questionnaire</w:t>
      </w:r>
    </w:p>
    <w:p w14:paraId="3F80172A" w14:textId="038E6853" w:rsidR="00F96089" w:rsidRPr="002D21EA" w:rsidRDefault="00F96089" w:rsidP="00EC5836">
      <w:pPr>
        <w:pStyle w:val="TableFigureFooter"/>
      </w:pPr>
      <w:r w:rsidRPr="002D21EA">
        <w:rPr>
          <w:vertAlign w:val="superscript"/>
        </w:rPr>
        <w:t>1</w:t>
      </w:r>
      <w:r w:rsidR="003073B1" w:rsidRPr="002D21EA">
        <w:t xml:space="preserve">TENAYA and LUCERNE are ongoing trials, with an expected treatment period of approximately 108 weeks, and a final study visit at Week 112. The </w:t>
      </w:r>
      <w:r w:rsidR="005C5A6B" w:rsidRPr="002D21EA">
        <w:t>primary analysis is based on data up to Week 48; with the submission presenting data up to Week 60.</w:t>
      </w:r>
    </w:p>
    <w:p w14:paraId="640BB79C" w14:textId="2A9CA63B" w:rsidR="00C8218E" w:rsidRPr="002D21EA" w:rsidRDefault="00C8218E" w:rsidP="00EC5836">
      <w:pPr>
        <w:pStyle w:val="ExecSumBodyText"/>
      </w:pPr>
      <w:r w:rsidRPr="002D21EA">
        <w:t xml:space="preserve">Baseline characteristics for patients in the TENAYA and LUCERNE trials were generally well-balanced between </w:t>
      </w:r>
      <w:r w:rsidR="00E93101" w:rsidRPr="002D21EA">
        <w:t xml:space="preserve">faricimab and aflibercept treatment </w:t>
      </w:r>
      <w:r w:rsidRPr="002D21EA">
        <w:t>arms</w:t>
      </w:r>
      <w:r w:rsidR="00751787" w:rsidRPr="002D21EA">
        <w:t xml:space="preserve"> and across </w:t>
      </w:r>
      <w:r w:rsidR="005B7071" w:rsidRPr="002D21EA">
        <w:t>trials (Table 2.8 and Table 2.9 of the submission)</w:t>
      </w:r>
      <w:r w:rsidR="00751787" w:rsidRPr="002D21EA">
        <w:t>.</w:t>
      </w:r>
      <w:r w:rsidR="00E93101" w:rsidRPr="002D21EA">
        <w:t xml:space="preserve"> </w:t>
      </w:r>
      <w:r w:rsidR="00234388" w:rsidRPr="002D21EA">
        <w:t xml:space="preserve">The mean </w:t>
      </w:r>
      <w:r w:rsidR="00E93101" w:rsidRPr="002D21EA">
        <w:t>age</w:t>
      </w:r>
      <w:r w:rsidR="0074710A" w:rsidRPr="002D21EA">
        <w:t xml:space="preserve"> of study parti</w:t>
      </w:r>
      <w:r w:rsidR="0099058F" w:rsidRPr="002D21EA">
        <w:t>ci</w:t>
      </w:r>
      <w:r w:rsidR="0074710A" w:rsidRPr="002D21EA">
        <w:t>pants was 7</w:t>
      </w:r>
      <w:r w:rsidR="000D363C" w:rsidRPr="002D21EA">
        <w:t>6</w:t>
      </w:r>
      <w:r w:rsidR="0074710A" w:rsidRPr="002D21EA">
        <w:t xml:space="preserve"> years</w:t>
      </w:r>
      <w:r w:rsidR="00E93101" w:rsidRPr="002D21EA">
        <w:t xml:space="preserve">, </w:t>
      </w:r>
      <w:r w:rsidR="0074710A" w:rsidRPr="002D21EA">
        <w:t xml:space="preserve">with </w:t>
      </w:r>
      <w:r w:rsidR="000D363C" w:rsidRPr="002D21EA">
        <w:t>60</w:t>
      </w:r>
      <w:r w:rsidR="0074710A" w:rsidRPr="002D21EA">
        <w:t>% female</w:t>
      </w:r>
      <w:r w:rsidR="007F7805" w:rsidRPr="002D21EA">
        <w:t xml:space="preserve">, a mean time since AMD diagnosis of 1.9 months, a mean BCVA of 60 letters, and a mean central subfield thickness (measured between </w:t>
      </w:r>
      <w:r w:rsidR="009779BF" w:rsidRPr="002D21EA">
        <w:t>the internal limiting membrane and retinal pigment epithelium</w:t>
      </w:r>
      <w:r w:rsidR="007F7805" w:rsidRPr="002D21EA">
        <w:t xml:space="preserve">) of </w:t>
      </w:r>
      <w:r w:rsidR="0099058F" w:rsidRPr="002D21EA">
        <w:t xml:space="preserve">357 </w:t>
      </w:r>
      <w:r w:rsidR="00924F6A" w:rsidRPr="002D21EA">
        <w:rPr>
          <w:rFonts w:cstheme="minorHAnsi"/>
        </w:rPr>
        <w:t>µ</w:t>
      </w:r>
      <w:r w:rsidR="0099058F" w:rsidRPr="002D21EA">
        <w:t>m.</w:t>
      </w:r>
    </w:p>
    <w:p w14:paraId="68100E1B" w14:textId="1AE439ED" w:rsidR="006C5C4A" w:rsidRPr="002D21EA" w:rsidRDefault="005A4F2D" w:rsidP="00D764BB">
      <w:pPr>
        <w:pStyle w:val="ExecSumBodyText"/>
        <w:contextualSpacing/>
      </w:pPr>
      <w:r w:rsidRPr="002D21EA">
        <w:t>The interventions i</w:t>
      </w:r>
      <w:r w:rsidR="005A0EA9" w:rsidRPr="002D21EA">
        <w:t>n the TENAYA and LUCERNE trials</w:t>
      </w:r>
      <w:r w:rsidRPr="002D21EA">
        <w:t xml:space="preserve"> are summarised in the table below.</w:t>
      </w:r>
    </w:p>
    <w:p w14:paraId="72E86160" w14:textId="3B33A57C" w:rsidR="006A690E" w:rsidRPr="002D21EA" w:rsidRDefault="005A4F2D" w:rsidP="005A4F2D">
      <w:pPr>
        <w:pStyle w:val="Caption"/>
        <w:rPr>
          <w:lang w:val="en-AU"/>
        </w:rPr>
      </w:pPr>
      <w:r w:rsidRPr="002D21EA">
        <w:rPr>
          <w:lang w:val="en-AU"/>
        </w:rPr>
        <w:t xml:space="preserve">Table </w:t>
      </w:r>
      <w:r w:rsidRPr="002D21EA">
        <w:rPr>
          <w:lang w:val="en-AU"/>
        </w:rPr>
        <w:fldChar w:fldCharType="begin"/>
      </w:r>
      <w:r w:rsidRPr="002D21EA">
        <w:rPr>
          <w:lang w:val="en-AU"/>
        </w:rPr>
        <w:instrText xml:space="preserve"> SEQ Table \* ARABIC </w:instrText>
      </w:r>
      <w:r w:rsidRPr="002D21EA">
        <w:rPr>
          <w:lang w:val="en-AU"/>
        </w:rPr>
        <w:fldChar w:fldCharType="separate"/>
      </w:r>
      <w:r w:rsidR="006C2A4B">
        <w:rPr>
          <w:noProof/>
          <w:lang w:val="en-AU"/>
        </w:rPr>
        <w:t>4</w:t>
      </w:r>
      <w:r w:rsidRPr="002D21EA">
        <w:rPr>
          <w:lang w:val="en-AU"/>
        </w:rPr>
        <w:fldChar w:fldCharType="end"/>
      </w:r>
      <w:r w:rsidR="006A690E" w:rsidRPr="002D21EA">
        <w:rPr>
          <w:lang w:val="en-AU"/>
        </w:rPr>
        <w:t>: Interventions compared in the TENAYA and LUCERNE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Interventions compared in the TENAYA and LUCERNE"/>
      </w:tblPr>
      <w:tblGrid>
        <w:gridCol w:w="1129"/>
        <w:gridCol w:w="5268"/>
        <w:gridCol w:w="1310"/>
        <w:gridCol w:w="1310"/>
      </w:tblGrid>
      <w:tr w:rsidR="006A690E" w:rsidRPr="002D21EA" w14:paraId="590FA097" w14:textId="77777777" w:rsidTr="004350EE">
        <w:trPr>
          <w:tblHeader/>
        </w:trPr>
        <w:tc>
          <w:tcPr>
            <w:tcW w:w="1129" w:type="dxa"/>
            <w:vMerge w:val="restart"/>
            <w:vAlign w:val="center"/>
          </w:tcPr>
          <w:p w14:paraId="57EC9BCE" w14:textId="77777777" w:rsidR="006A690E" w:rsidRPr="002D21EA" w:rsidRDefault="006A690E" w:rsidP="00221DF3">
            <w:pPr>
              <w:pStyle w:val="Tableheadingrow"/>
              <w:rPr>
                <w:szCs w:val="20"/>
                <w:lang w:val="en-AU"/>
              </w:rPr>
            </w:pPr>
            <w:r w:rsidRPr="002D21EA">
              <w:rPr>
                <w:szCs w:val="20"/>
                <w:lang w:val="en-AU"/>
              </w:rPr>
              <w:t>Treatment</w:t>
            </w:r>
          </w:p>
        </w:tc>
        <w:tc>
          <w:tcPr>
            <w:tcW w:w="5268" w:type="dxa"/>
            <w:vMerge w:val="restart"/>
            <w:vAlign w:val="center"/>
          </w:tcPr>
          <w:p w14:paraId="2B221876" w14:textId="38D4BF49" w:rsidR="006A690E" w:rsidRPr="002D21EA" w:rsidRDefault="006A690E" w:rsidP="00221DF3">
            <w:pPr>
              <w:pStyle w:val="Tableheadingrow"/>
              <w:jc w:val="center"/>
              <w:rPr>
                <w:szCs w:val="20"/>
                <w:lang w:val="en-AU"/>
              </w:rPr>
            </w:pPr>
            <w:r w:rsidRPr="002D21EA">
              <w:rPr>
                <w:szCs w:val="20"/>
                <w:lang w:val="en-AU"/>
              </w:rPr>
              <w:t>Dosage regimen</w:t>
            </w:r>
            <w:r w:rsidR="006B5D0D" w:rsidRPr="002D21EA">
              <w:rPr>
                <w:szCs w:val="20"/>
                <w:vertAlign w:val="superscript"/>
                <w:lang w:val="en-AU"/>
              </w:rPr>
              <w:t>1</w:t>
            </w:r>
          </w:p>
        </w:tc>
        <w:tc>
          <w:tcPr>
            <w:tcW w:w="2620" w:type="dxa"/>
            <w:gridSpan w:val="2"/>
            <w:vAlign w:val="center"/>
          </w:tcPr>
          <w:p w14:paraId="56112C8D" w14:textId="412FA83E" w:rsidR="006A690E" w:rsidRPr="002D21EA" w:rsidRDefault="006A690E" w:rsidP="00221DF3">
            <w:pPr>
              <w:pStyle w:val="Tableheadingrow"/>
              <w:jc w:val="center"/>
              <w:rPr>
                <w:szCs w:val="20"/>
                <w:lang w:val="en-AU"/>
              </w:rPr>
            </w:pPr>
            <w:r w:rsidRPr="002D21EA">
              <w:rPr>
                <w:szCs w:val="20"/>
                <w:lang w:val="en-AU"/>
              </w:rPr>
              <w:t>Duration of treatment (weeks)</w:t>
            </w:r>
            <w:r w:rsidR="006B5D0D" w:rsidRPr="002D21EA">
              <w:rPr>
                <w:szCs w:val="20"/>
                <w:vertAlign w:val="superscript"/>
                <w:lang w:val="en-AU"/>
              </w:rPr>
              <w:t>2</w:t>
            </w:r>
          </w:p>
          <w:p w14:paraId="6BE6F436" w14:textId="77777777" w:rsidR="006A690E" w:rsidRPr="002D21EA" w:rsidRDefault="006A690E" w:rsidP="00221DF3">
            <w:pPr>
              <w:pStyle w:val="Tableheadingrow"/>
              <w:jc w:val="center"/>
              <w:rPr>
                <w:szCs w:val="20"/>
                <w:lang w:val="en-AU"/>
              </w:rPr>
            </w:pPr>
            <w:r w:rsidRPr="002D21EA">
              <w:rPr>
                <w:szCs w:val="20"/>
                <w:lang w:val="en-AU"/>
              </w:rPr>
              <w:t>Mean (SD)</w:t>
            </w:r>
          </w:p>
          <w:p w14:paraId="1633B767" w14:textId="77777777" w:rsidR="006A690E" w:rsidRPr="002D21EA" w:rsidRDefault="006A690E" w:rsidP="00221DF3">
            <w:pPr>
              <w:pStyle w:val="Tableheadingrow"/>
              <w:jc w:val="center"/>
              <w:rPr>
                <w:szCs w:val="20"/>
                <w:lang w:val="en-AU"/>
              </w:rPr>
            </w:pPr>
            <w:r w:rsidRPr="002D21EA">
              <w:rPr>
                <w:szCs w:val="20"/>
                <w:lang w:val="en-AU"/>
              </w:rPr>
              <w:t>Median (range)</w:t>
            </w:r>
          </w:p>
        </w:tc>
      </w:tr>
      <w:tr w:rsidR="006A690E" w:rsidRPr="002D21EA" w14:paraId="6DCCB6A3" w14:textId="77777777" w:rsidTr="004350EE">
        <w:trPr>
          <w:tblHeader/>
        </w:trPr>
        <w:tc>
          <w:tcPr>
            <w:tcW w:w="1129" w:type="dxa"/>
            <w:vMerge/>
            <w:vAlign w:val="center"/>
          </w:tcPr>
          <w:p w14:paraId="4790A735" w14:textId="77777777" w:rsidR="006A690E" w:rsidRPr="002D21EA" w:rsidRDefault="006A690E" w:rsidP="00221DF3">
            <w:pPr>
              <w:pStyle w:val="Tableheadingrow"/>
              <w:rPr>
                <w:szCs w:val="20"/>
                <w:lang w:val="en-AU"/>
              </w:rPr>
            </w:pPr>
          </w:p>
        </w:tc>
        <w:tc>
          <w:tcPr>
            <w:tcW w:w="5268" w:type="dxa"/>
            <w:vMerge/>
            <w:vAlign w:val="center"/>
          </w:tcPr>
          <w:p w14:paraId="136B7ABE" w14:textId="77777777" w:rsidR="006A690E" w:rsidRPr="002D21EA" w:rsidRDefault="006A690E" w:rsidP="00221DF3">
            <w:pPr>
              <w:pStyle w:val="Tableheadingrow"/>
              <w:jc w:val="center"/>
              <w:rPr>
                <w:b w:val="0"/>
                <w:bCs/>
                <w:szCs w:val="20"/>
                <w:lang w:val="en-AU"/>
              </w:rPr>
            </w:pPr>
          </w:p>
        </w:tc>
        <w:tc>
          <w:tcPr>
            <w:tcW w:w="1310" w:type="dxa"/>
            <w:vAlign w:val="center"/>
          </w:tcPr>
          <w:p w14:paraId="1D508060" w14:textId="77777777" w:rsidR="006A690E" w:rsidRPr="002D21EA" w:rsidRDefault="006A690E" w:rsidP="00221DF3">
            <w:pPr>
              <w:pStyle w:val="Tableheadingrow"/>
              <w:jc w:val="center"/>
              <w:rPr>
                <w:b w:val="0"/>
                <w:bCs/>
                <w:szCs w:val="20"/>
                <w:lang w:val="en-AU"/>
              </w:rPr>
            </w:pPr>
            <w:r w:rsidRPr="002D21EA">
              <w:rPr>
                <w:szCs w:val="20"/>
                <w:lang w:val="en-AU"/>
              </w:rPr>
              <w:t>TENAYA</w:t>
            </w:r>
          </w:p>
        </w:tc>
        <w:tc>
          <w:tcPr>
            <w:tcW w:w="1310" w:type="dxa"/>
            <w:vAlign w:val="center"/>
          </w:tcPr>
          <w:p w14:paraId="3459A2F1" w14:textId="77777777" w:rsidR="006A690E" w:rsidRPr="002D21EA" w:rsidRDefault="006A690E" w:rsidP="00221DF3">
            <w:pPr>
              <w:pStyle w:val="Tableheadingrow"/>
              <w:jc w:val="center"/>
              <w:rPr>
                <w:szCs w:val="20"/>
                <w:lang w:val="en-AU"/>
              </w:rPr>
            </w:pPr>
            <w:r w:rsidRPr="002D21EA">
              <w:rPr>
                <w:szCs w:val="20"/>
                <w:lang w:val="en-AU"/>
              </w:rPr>
              <w:t>LUCERNE</w:t>
            </w:r>
          </w:p>
        </w:tc>
      </w:tr>
      <w:tr w:rsidR="006A690E" w:rsidRPr="002D21EA" w14:paraId="35D31EA5" w14:textId="77777777" w:rsidTr="00C03C52">
        <w:trPr>
          <w:trHeight w:val="2487"/>
          <w:tblHeader/>
        </w:trPr>
        <w:tc>
          <w:tcPr>
            <w:tcW w:w="1129" w:type="dxa"/>
            <w:vAlign w:val="center"/>
          </w:tcPr>
          <w:p w14:paraId="6187892B" w14:textId="77777777" w:rsidR="006A690E" w:rsidRPr="002D21EA" w:rsidRDefault="006A690E" w:rsidP="00221DF3">
            <w:pPr>
              <w:pStyle w:val="Tableheadingrow"/>
              <w:rPr>
                <w:b w:val="0"/>
                <w:bCs/>
                <w:szCs w:val="20"/>
                <w:lang w:val="en-AU"/>
              </w:rPr>
            </w:pPr>
            <w:r w:rsidRPr="002D21EA">
              <w:rPr>
                <w:b w:val="0"/>
                <w:bCs/>
                <w:szCs w:val="20"/>
                <w:lang w:val="en-AU"/>
              </w:rPr>
              <w:t>Faricimab</w:t>
            </w:r>
          </w:p>
        </w:tc>
        <w:tc>
          <w:tcPr>
            <w:tcW w:w="5268" w:type="dxa"/>
            <w:vAlign w:val="center"/>
          </w:tcPr>
          <w:p w14:paraId="21C14A1B" w14:textId="1E61207E" w:rsidR="005A4F2D" w:rsidRPr="002D21EA" w:rsidRDefault="005A4F2D" w:rsidP="005A4F2D">
            <w:pPr>
              <w:pStyle w:val="ExecSumBodyText"/>
              <w:numPr>
                <w:ilvl w:val="0"/>
                <w:numId w:val="17"/>
              </w:numPr>
              <w:ind w:left="195" w:hanging="141"/>
              <w:contextualSpacing/>
              <w:rPr>
                <w:rFonts w:ascii="Arial Narrow" w:hAnsi="Arial Narrow"/>
                <w:sz w:val="20"/>
                <w:szCs w:val="20"/>
              </w:rPr>
            </w:pPr>
            <w:r w:rsidRPr="002D21EA">
              <w:rPr>
                <w:rFonts w:ascii="Arial Narrow" w:hAnsi="Arial Narrow"/>
                <w:sz w:val="20"/>
                <w:szCs w:val="20"/>
              </w:rPr>
              <w:t xml:space="preserve">6 mg intravitreal faricimab every four weeks up to Week 12 (4 injections). </w:t>
            </w:r>
          </w:p>
          <w:p w14:paraId="0F44C075" w14:textId="77777777" w:rsidR="005A4F2D" w:rsidRPr="002D21EA" w:rsidRDefault="005A4F2D" w:rsidP="005A4F2D">
            <w:pPr>
              <w:pStyle w:val="ExecSumBodyText"/>
              <w:numPr>
                <w:ilvl w:val="0"/>
                <w:numId w:val="17"/>
              </w:numPr>
              <w:ind w:left="195" w:hanging="141"/>
              <w:contextualSpacing/>
              <w:rPr>
                <w:rFonts w:ascii="Arial Narrow" w:hAnsi="Arial Narrow"/>
                <w:sz w:val="20"/>
                <w:szCs w:val="20"/>
              </w:rPr>
            </w:pPr>
            <w:r w:rsidRPr="002D21EA">
              <w:rPr>
                <w:rFonts w:ascii="Arial Narrow" w:hAnsi="Arial Narrow"/>
                <w:sz w:val="20"/>
                <w:szCs w:val="20"/>
              </w:rPr>
              <w:t xml:space="preserve">At Week 20, patients with active disease received faricimab every eight weeks. </w:t>
            </w:r>
          </w:p>
          <w:p w14:paraId="5B980964" w14:textId="0E5B5C52" w:rsidR="005A4F2D" w:rsidRPr="002D21EA" w:rsidRDefault="005A4F2D" w:rsidP="005A4F2D">
            <w:pPr>
              <w:pStyle w:val="ExecSumBodyText"/>
              <w:numPr>
                <w:ilvl w:val="0"/>
                <w:numId w:val="17"/>
              </w:numPr>
              <w:ind w:left="195" w:hanging="141"/>
              <w:contextualSpacing/>
              <w:rPr>
                <w:rFonts w:ascii="Arial Narrow" w:hAnsi="Arial Narrow"/>
                <w:sz w:val="20"/>
                <w:szCs w:val="20"/>
              </w:rPr>
            </w:pPr>
            <w:r w:rsidRPr="002D21EA">
              <w:rPr>
                <w:rFonts w:ascii="Arial Narrow" w:hAnsi="Arial Narrow"/>
                <w:sz w:val="20"/>
                <w:szCs w:val="20"/>
              </w:rPr>
              <w:t>At Week 24, patients with active disease</w:t>
            </w:r>
            <w:r w:rsidR="006B5D0D" w:rsidRPr="002D21EA">
              <w:rPr>
                <w:rFonts w:ascii="Arial Narrow" w:hAnsi="Arial Narrow"/>
                <w:bCs/>
                <w:sz w:val="20"/>
                <w:szCs w:val="20"/>
                <w:vertAlign w:val="superscript"/>
              </w:rPr>
              <w:t>3</w:t>
            </w:r>
            <w:r w:rsidRPr="002D21EA">
              <w:rPr>
                <w:rFonts w:ascii="Arial Narrow" w:hAnsi="Arial Narrow"/>
                <w:sz w:val="20"/>
                <w:szCs w:val="20"/>
              </w:rPr>
              <w:t xml:space="preserve"> (excluding those with active disease at Week 20) received faricimab every 12 weeks. </w:t>
            </w:r>
          </w:p>
          <w:p w14:paraId="72AD26B4" w14:textId="682050D9" w:rsidR="005A4F2D" w:rsidRPr="002D21EA" w:rsidRDefault="005A4F2D" w:rsidP="005A4F2D">
            <w:pPr>
              <w:pStyle w:val="ExecSumBodyText"/>
              <w:numPr>
                <w:ilvl w:val="0"/>
                <w:numId w:val="17"/>
              </w:numPr>
              <w:ind w:left="195" w:hanging="141"/>
              <w:contextualSpacing/>
              <w:rPr>
                <w:rFonts w:ascii="Arial Narrow" w:hAnsi="Arial Narrow"/>
                <w:sz w:val="20"/>
                <w:szCs w:val="20"/>
              </w:rPr>
            </w:pPr>
            <w:r w:rsidRPr="002D21EA">
              <w:rPr>
                <w:rFonts w:ascii="Arial Narrow" w:hAnsi="Arial Narrow"/>
                <w:sz w:val="20"/>
                <w:szCs w:val="20"/>
              </w:rPr>
              <w:t>Patients without active disease at Week 20 or Week 24 received faricimab every 16 weeks.</w:t>
            </w:r>
          </w:p>
          <w:p w14:paraId="2AC67A0A" w14:textId="226892F9" w:rsidR="006A690E" w:rsidRPr="002D21EA" w:rsidRDefault="005A4F2D" w:rsidP="00221DF3">
            <w:pPr>
              <w:pStyle w:val="ExecSumBodyText"/>
              <w:numPr>
                <w:ilvl w:val="0"/>
                <w:numId w:val="17"/>
              </w:numPr>
              <w:ind w:left="195" w:hanging="141"/>
              <w:contextualSpacing/>
              <w:rPr>
                <w:rFonts w:ascii="Arial Narrow" w:hAnsi="Arial Narrow"/>
                <w:sz w:val="20"/>
                <w:szCs w:val="20"/>
              </w:rPr>
            </w:pPr>
            <w:r w:rsidRPr="002D21EA">
              <w:rPr>
                <w:rFonts w:ascii="Arial Narrow" w:hAnsi="Arial Narrow"/>
                <w:sz w:val="20"/>
                <w:szCs w:val="20"/>
              </w:rPr>
              <w:t>From Week 60 to Week 108, patients are to receive treatment according to a personalised treatment interval (between every eight weeks and every 16 weeks), based on central subfield thickness, BCVA, and clinical assessment.</w:t>
            </w:r>
          </w:p>
        </w:tc>
        <w:tc>
          <w:tcPr>
            <w:tcW w:w="1310" w:type="dxa"/>
            <w:vAlign w:val="center"/>
          </w:tcPr>
          <w:p w14:paraId="1B449080" w14:textId="77777777" w:rsidR="006A690E" w:rsidRPr="002D21EA" w:rsidRDefault="006A690E" w:rsidP="00221DF3">
            <w:pPr>
              <w:pStyle w:val="Tableheadingrow"/>
              <w:jc w:val="center"/>
              <w:rPr>
                <w:b w:val="0"/>
                <w:bCs/>
                <w:szCs w:val="20"/>
                <w:lang w:val="en-AU"/>
              </w:rPr>
            </w:pPr>
            <w:r w:rsidRPr="002D21EA">
              <w:rPr>
                <w:b w:val="0"/>
                <w:bCs/>
                <w:szCs w:val="20"/>
                <w:lang w:val="en-AU"/>
              </w:rPr>
              <w:t>46.0 (7.9)</w:t>
            </w:r>
          </w:p>
          <w:p w14:paraId="30684130" w14:textId="77777777" w:rsidR="006A690E" w:rsidRPr="002D21EA" w:rsidRDefault="006A690E" w:rsidP="00221DF3">
            <w:pPr>
              <w:pStyle w:val="Tableheadingrow"/>
              <w:jc w:val="center"/>
              <w:rPr>
                <w:b w:val="0"/>
                <w:bCs/>
                <w:szCs w:val="20"/>
                <w:lang w:val="en-AU"/>
              </w:rPr>
            </w:pPr>
            <w:r w:rsidRPr="002D21EA">
              <w:rPr>
                <w:b w:val="0"/>
                <w:bCs/>
                <w:szCs w:val="20"/>
                <w:lang w:val="en-AU"/>
              </w:rPr>
              <w:t>48.1 (0-50)</w:t>
            </w:r>
          </w:p>
        </w:tc>
        <w:tc>
          <w:tcPr>
            <w:tcW w:w="1310" w:type="dxa"/>
            <w:vAlign w:val="center"/>
          </w:tcPr>
          <w:p w14:paraId="2A999B3E" w14:textId="77777777" w:rsidR="006A690E" w:rsidRPr="002D21EA" w:rsidRDefault="006A690E" w:rsidP="00221DF3">
            <w:pPr>
              <w:pStyle w:val="TableText"/>
              <w:jc w:val="center"/>
              <w:rPr>
                <w:szCs w:val="20"/>
              </w:rPr>
            </w:pPr>
            <w:r w:rsidRPr="002D21EA">
              <w:rPr>
                <w:szCs w:val="20"/>
              </w:rPr>
              <w:t>46.4 (6.8)</w:t>
            </w:r>
          </w:p>
          <w:p w14:paraId="61E553F7" w14:textId="77777777" w:rsidR="006A690E" w:rsidRPr="002D21EA" w:rsidRDefault="006A690E" w:rsidP="00221DF3">
            <w:pPr>
              <w:pStyle w:val="Tableheadingrow"/>
              <w:jc w:val="center"/>
              <w:rPr>
                <w:b w:val="0"/>
                <w:bCs/>
                <w:szCs w:val="20"/>
                <w:lang w:val="en-AU"/>
              </w:rPr>
            </w:pPr>
            <w:r w:rsidRPr="002D21EA">
              <w:rPr>
                <w:b w:val="0"/>
                <w:bCs/>
                <w:szCs w:val="20"/>
                <w:lang w:val="en-AU"/>
              </w:rPr>
              <w:t>48.1 (0-50)</w:t>
            </w:r>
          </w:p>
        </w:tc>
      </w:tr>
      <w:tr w:rsidR="006A690E" w:rsidRPr="002D21EA" w14:paraId="1D9883FE" w14:textId="77777777" w:rsidTr="004350EE">
        <w:trPr>
          <w:tblHeader/>
        </w:trPr>
        <w:tc>
          <w:tcPr>
            <w:tcW w:w="1129" w:type="dxa"/>
            <w:vAlign w:val="center"/>
          </w:tcPr>
          <w:p w14:paraId="7F4B79B4" w14:textId="77777777" w:rsidR="006A690E" w:rsidRPr="002D21EA" w:rsidRDefault="006A690E" w:rsidP="00221DF3">
            <w:pPr>
              <w:pStyle w:val="Tableheadingrow"/>
              <w:rPr>
                <w:b w:val="0"/>
                <w:bCs/>
                <w:szCs w:val="20"/>
                <w:lang w:val="en-AU"/>
              </w:rPr>
            </w:pPr>
            <w:r w:rsidRPr="002D21EA">
              <w:rPr>
                <w:b w:val="0"/>
                <w:bCs/>
                <w:szCs w:val="20"/>
                <w:lang w:val="en-AU"/>
              </w:rPr>
              <w:t>Aflibercept</w:t>
            </w:r>
          </w:p>
        </w:tc>
        <w:tc>
          <w:tcPr>
            <w:tcW w:w="5268" w:type="dxa"/>
            <w:vAlign w:val="center"/>
          </w:tcPr>
          <w:p w14:paraId="0D88DF76" w14:textId="19C71AC7" w:rsidR="006A690E" w:rsidRPr="002D21EA" w:rsidRDefault="006A690E" w:rsidP="005A4F2D">
            <w:pPr>
              <w:pStyle w:val="Tableheadingrow"/>
              <w:rPr>
                <w:b w:val="0"/>
                <w:bCs/>
                <w:szCs w:val="20"/>
                <w:lang w:val="en-AU"/>
              </w:rPr>
            </w:pPr>
            <w:r w:rsidRPr="002D21EA">
              <w:rPr>
                <w:b w:val="0"/>
                <w:bCs/>
                <w:szCs w:val="20"/>
                <w:lang w:val="en-AU"/>
              </w:rPr>
              <w:t xml:space="preserve">2 mg intravitreal aflibercept </w:t>
            </w:r>
            <w:r w:rsidR="005A4F2D" w:rsidRPr="002D21EA">
              <w:rPr>
                <w:b w:val="0"/>
                <w:bCs/>
                <w:szCs w:val="20"/>
                <w:lang w:val="en-AU"/>
              </w:rPr>
              <w:t>every 4 weeks</w:t>
            </w:r>
            <w:r w:rsidRPr="002D21EA">
              <w:rPr>
                <w:b w:val="0"/>
                <w:bCs/>
                <w:szCs w:val="20"/>
                <w:lang w:val="en-AU"/>
              </w:rPr>
              <w:t xml:space="preserve"> up to Week 8 (3 injections); followed by aflibercept </w:t>
            </w:r>
            <w:r w:rsidR="005A4F2D" w:rsidRPr="002D21EA">
              <w:rPr>
                <w:b w:val="0"/>
                <w:bCs/>
                <w:szCs w:val="20"/>
                <w:lang w:val="en-AU"/>
              </w:rPr>
              <w:t>every 8 weeks</w:t>
            </w:r>
            <w:r w:rsidRPr="002D21EA">
              <w:rPr>
                <w:b w:val="0"/>
                <w:bCs/>
                <w:szCs w:val="20"/>
                <w:lang w:val="en-AU"/>
              </w:rPr>
              <w:t xml:space="preserve"> to Week 104.</w:t>
            </w:r>
          </w:p>
        </w:tc>
        <w:tc>
          <w:tcPr>
            <w:tcW w:w="1310" w:type="dxa"/>
            <w:vAlign w:val="center"/>
          </w:tcPr>
          <w:p w14:paraId="56F16917" w14:textId="77777777" w:rsidR="006A690E" w:rsidRPr="002D21EA" w:rsidRDefault="006A690E" w:rsidP="00221DF3">
            <w:pPr>
              <w:pStyle w:val="Tableheadingrow"/>
              <w:jc w:val="center"/>
              <w:rPr>
                <w:b w:val="0"/>
                <w:bCs/>
                <w:szCs w:val="20"/>
                <w:lang w:val="en-AU"/>
              </w:rPr>
            </w:pPr>
            <w:r w:rsidRPr="002D21EA">
              <w:rPr>
                <w:b w:val="0"/>
                <w:bCs/>
                <w:szCs w:val="20"/>
                <w:lang w:val="en-AU"/>
              </w:rPr>
              <w:t>47.3 (7.5)</w:t>
            </w:r>
          </w:p>
          <w:p w14:paraId="06596C2E" w14:textId="77777777" w:rsidR="006A690E" w:rsidRPr="002D21EA" w:rsidRDefault="006A690E" w:rsidP="00221DF3">
            <w:pPr>
              <w:pStyle w:val="Tableheadingrow"/>
              <w:jc w:val="center"/>
              <w:rPr>
                <w:b w:val="0"/>
                <w:bCs/>
                <w:szCs w:val="20"/>
                <w:lang w:val="en-AU"/>
              </w:rPr>
            </w:pPr>
            <w:r w:rsidRPr="002D21EA">
              <w:rPr>
                <w:b w:val="0"/>
                <w:bCs/>
                <w:szCs w:val="20"/>
                <w:lang w:val="en-AU"/>
              </w:rPr>
              <w:t>48.1 (0-50)</w:t>
            </w:r>
          </w:p>
        </w:tc>
        <w:tc>
          <w:tcPr>
            <w:tcW w:w="1310" w:type="dxa"/>
            <w:vAlign w:val="center"/>
          </w:tcPr>
          <w:p w14:paraId="2F97C581" w14:textId="77777777" w:rsidR="006A690E" w:rsidRPr="002D21EA" w:rsidRDefault="006A690E" w:rsidP="00221DF3">
            <w:pPr>
              <w:pStyle w:val="TableText"/>
              <w:jc w:val="center"/>
              <w:rPr>
                <w:szCs w:val="20"/>
              </w:rPr>
            </w:pPr>
            <w:r w:rsidRPr="002D21EA">
              <w:rPr>
                <w:szCs w:val="20"/>
              </w:rPr>
              <w:t>46.0 (8.1)</w:t>
            </w:r>
          </w:p>
          <w:p w14:paraId="6C80A074" w14:textId="77777777" w:rsidR="006A690E" w:rsidRPr="002D21EA" w:rsidRDefault="006A690E" w:rsidP="00221DF3">
            <w:pPr>
              <w:pStyle w:val="Tableheadingrow"/>
              <w:jc w:val="center"/>
              <w:rPr>
                <w:b w:val="0"/>
                <w:bCs/>
                <w:szCs w:val="20"/>
                <w:lang w:val="en-AU"/>
              </w:rPr>
            </w:pPr>
            <w:r w:rsidRPr="002D21EA">
              <w:rPr>
                <w:b w:val="0"/>
                <w:bCs/>
                <w:szCs w:val="20"/>
                <w:lang w:val="en-AU"/>
              </w:rPr>
              <w:t>48.1 (0-50)</w:t>
            </w:r>
          </w:p>
        </w:tc>
      </w:tr>
    </w:tbl>
    <w:p w14:paraId="7F0C78DE" w14:textId="77777777" w:rsidR="006A690E" w:rsidRPr="002D21EA" w:rsidRDefault="006A690E" w:rsidP="006A690E">
      <w:pPr>
        <w:pStyle w:val="TableFigureFooter"/>
      </w:pPr>
      <w:r w:rsidRPr="002D21EA">
        <w:t>Source: Table 2.11, p47 of the submission; pp45-46 and Table 22, p139 TENAYA clinical study report; pp 45-46 and Table 22, p140 LUCERNE clinical study report.</w:t>
      </w:r>
    </w:p>
    <w:p w14:paraId="1C85D56F" w14:textId="305B7E05" w:rsidR="006A690E" w:rsidRPr="002D21EA" w:rsidRDefault="006A690E" w:rsidP="006A690E">
      <w:pPr>
        <w:pStyle w:val="TableFigureFooter"/>
      </w:pPr>
      <w:r w:rsidRPr="002D21EA">
        <w:t>Abbreviations: BCVA = best corrected visual acuity; CST = central subfield thickness; nAMD = neovascular age-related macular degeneration; SD = standard deviation.</w:t>
      </w:r>
    </w:p>
    <w:p w14:paraId="0F76F87C" w14:textId="62277367" w:rsidR="006B5D0D" w:rsidRPr="002D21EA" w:rsidRDefault="006A690E" w:rsidP="006B5D0D">
      <w:pPr>
        <w:pStyle w:val="TableFigureFooter"/>
      </w:pPr>
      <w:r w:rsidRPr="002D21EA">
        <w:rPr>
          <w:vertAlign w:val="superscript"/>
        </w:rPr>
        <w:t>1</w:t>
      </w:r>
      <w:r w:rsidR="006B5D0D" w:rsidRPr="002D21EA">
        <w:t xml:space="preserve"> To preserve masking, all patients attended study visits every 4 weeks and received sham injections at non-active dosing visits</w:t>
      </w:r>
    </w:p>
    <w:p w14:paraId="5559D5AB" w14:textId="300A2BBE" w:rsidR="006A690E" w:rsidRPr="002D21EA" w:rsidRDefault="006B5D0D" w:rsidP="006A690E">
      <w:pPr>
        <w:pStyle w:val="TableFigureFooter"/>
      </w:pPr>
      <w:r w:rsidRPr="002D21EA">
        <w:rPr>
          <w:vertAlign w:val="superscript"/>
        </w:rPr>
        <w:t xml:space="preserve">2 </w:t>
      </w:r>
      <w:r w:rsidR="006A690E" w:rsidRPr="002D21EA">
        <w:t>At the time of the primary analysis (Week 48; cutoff 5 October, 2020). TENAYA and LUCERNE are ongoing trials, with an expected treatment period of approximately 108 weeks, and a final study visit at Week 112.</w:t>
      </w:r>
    </w:p>
    <w:p w14:paraId="7266F2DC" w14:textId="4D137214" w:rsidR="006A690E" w:rsidRPr="002D21EA" w:rsidRDefault="006B5D0D" w:rsidP="006A690E">
      <w:pPr>
        <w:pStyle w:val="TableFigureFooter"/>
      </w:pPr>
      <w:r w:rsidRPr="002D21EA">
        <w:rPr>
          <w:vertAlign w:val="superscript"/>
        </w:rPr>
        <w:t xml:space="preserve">3 </w:t>
      </w:r>
      <w:r w:rsidR="006A690E" w:rsidRPr="002D21EA">
        <w:t xml:space="preserve">Active disease was determined by: increase &gt;50 µm in CST compared with the average CST value over the previous two scheduled visits; OR increase ≥75 µm in CST compared with the lowest CST value recorded at either of the previous two scheduled visits; OR decrease ≥5 letters in BCVA compared with average BCVA value over the previous two scheduled visits, owing to nAMD disease activity (as determined by the investigator); OR decrease ≥10 letters in BCVA compared with the highest BCVA value recorded at either of the previous two </w:t>
      </w:r>
      <w:r w:rsidR="006A690E" w:rsidRPr="002D21EA">
        <w:lastRenderedPageBreak/>
        <w:t>scheduled visits, owing to nAMD disease activity (as determined by the investigator); OR presence of new macular haemorrhage (as determined by the investigator), owing to nAMD activity.</w:t>
      </w:r>
    </w:p>
    <w:p w14:paraId="4F59CB9A" w14:textId="2246942D" w:rsidR="00F40407" w:rsidRPr="002D21EA" w:rsidRDefault="00F40407" w:rsidP="007C2E8D">
      <w:pPr>
        <w:pStyle w:val="ExecSumBodyText"/>
      </w:pPr>
      <w:r w:rsidRPr="00B93F99">
        <w:t>The TENAYA and LUCERNE trials are ongoing</w:t>
      </w:r>
      <w:r w:rsidR="00EA5EA5" w:rsidRPr="00B93F99">
        <w:t xml:space="preserve">. </w:t>
      </w:r>
      <w:r w:rsidR="001E5DC2" w:rsidRPr="00B93F99">
        <w:t>The primary analysis is based on data up to Week 48; with the submission presenting data up to Week 60.</w:t>
      </w:r>
      <w:r w:rsidR="006A2EA7" w:rsidRPr="00B93F99">
        <w:t xml:space="preserve"> </w:t>
      </w:r>
      <w:r w:rsidR="00F94C0B" w:rsidRPr="00B93F99">
        <w:t xml:space="preserve">The submission </w:t>
      </w:r>
      <w:r w:rsidR="003E05E8" w:rsidRPr="00B93F99">
        <w:t xml:space="preserve">did </w:t>
      </w:r>
      <w:r w:rsidR="00F94C0B" w:rsidRPr="00B93F99">
        <w:t xml:space="preserve">not include any </w:t>
      </w:r>
      <w:r w:rsidR="006A2EA7" w:rsidRPr="00B93F99">
        <w:t xml:space="preserve">data for the </w:t>
      </w:r>
      <w:r w:rsidR="002A679D" w:rsidRPr="00B93F99">
        <w:t xml:space="preserve">faricimab </w:t>
      </w:r>
      <w:r w:rsidR="006A2EA7" w:rsidRPr="00B93F99">
        <w:t>personalised treatment interval</w:t>
      </w:r>
      <w:r w:rsidR="002A679D" w:rsidRPr="00B93F99">
        <w:t xml:space="preserve"> period of the trials (Weeks 60 to 108)</w:t>
      </w:r>
      <w:r w:rsidR="003E05E8" w:rsidRPr="00B93F99">
        <w:t xml:space="preserve"> as the data </w:t>
      </w:r>
      <w:r w:rsidR="00D23015" w:rsidRPr="00B93F99">
        <w:t>are</w:t>
      </w:r>
      <w:r w:rsidR="003E05E8" w:rsidRPr="00B93F99">
        <w:t xml:space="preserve"> currently unavailable</w:t>
      </w:r>
      <w:r w:rsidR="002A679D" w:rsidRPr="00B93F99">
        <w:t>.</w:t>
      </w:r>
      <w:r w:rsidR="00C03C52">
        <w:t xml:space="preserve"> </w:t>
      </w:r>
      <w:r w:rsidR="007C2E8D">
        <w:t xml:space="preserve">The </w:t>
      </w:r>
      <w:r w:rsidR="00C03C52" w:rsidRPr="00456D47">
        <w:t>Pre-PBAC Response</w:t>
      </w:r>
      <w:r w:rsidR="007C2E8D">
        <w:t xml:space="preserve"> </w:t>
      </w:r>
      <w:r w:rsidR="007C2E8D" w:rsidRPr="007C2E8D">
        <w:t xml:space="preserve">provided follow-up data </w:t>
      </w:r>
      <w:r w:rsidR="00560905" w:rsidRPr="007C2E8D">
        <w:t>up to Week 112</w:t>
      </w:r>
      <w:r w:rsidR="00560905">
        <w:t xml:space="preserve"> </w:t>
      </w:r>
      <w:r w:rsidR="007C2E8D" w:rsidRPr="007C2E8D">
        <w:t xml:space="preserve">from the TENAYA and LUCERNE trials to address concerns regarding the limited long-term efficacy and follow-up data. Data were provided from a presentation reporting Year 2 topline results (April 5, 2022). </w:t>
      </w:r>
      <w:r w:rsidR="00E47972" w:rsidRPr="007C2E8D">
        <w:t>Updated clinical study reports were not provided.</w:t>
      </w:r>
      <w:r w:rsidR="00E47972">
        <w:t xml:space="preserve"> </w:t>
      </w:r>
      <w:r w:rsidR="007C2E8D">
        <w:t xml:space="preserve">The </w:t>
      </w:r>
      <w:r w:rsidR="003517D3">
        <w:t xml:space="preserve">updated </w:t>
      </w:r>
      <w:r w:rsidR="007C2E8D">
        <w:t xml:space="preserve">results were not evaluated. </w:t>
      </w:r>
    </w:p>
    <w:p w14:paraId="2307AB09" w14:textId="5C37F431" w:rsidR="002509E5" w:rsidRPr="002D21EA" w:rsidRDefault="0011781C" w:rsidP="002509E5">
      <w:pPr>
        <w:pStyle w:val="ExecSumBodyText"/>
        <w:rPr>
          <w:rFonts w:ascii="Calibri" w:hAnsi="Calibri" w:cs="Calibri"/>
          <w:sz w:val="22"/>
          <w:szCs w:val="22"/>
        </w:rPr>
      </w:pPr>
      <w:r w:rsidRPr="002D21EA">
        <w:t>The clinical study reports for the</w:t>
      </w:r>
      <w:r w:rsidR="002509E5" w:rsidRPr="002D21EA">
        <w:t xml:space="preserve"> TENAYA and LUCERNE trials </w:t>
      </w:r>
      <w:r w:rsidRPr="002D21EA">
        <w:t xml:space="preserve">stated that the statistical analysis plan was amended prior to the database snapshot/unmasking to </w:t>
      </w:r>
      <w:r w:rsidR="00341729" w:rsidRPr="002D21EA">
        <w:t xml:space="preserve">account for COVID-19-related missing data and intercurrent events, with </w:t>
      </w:r>
      <w:r w:rsidR="002509E5" w:rsidRPr="002D21EA">
        <w:t>additional supplemental analyses</w:t>
      </w:r>
      <w:r w:rsidR="00341729" w:rsidRPr="002D21EA">
        <w:t>,</w:t>
      </w:r>
      <w:r w:rsidR="002509E5" w:rsidRPr="002D21EA">
        <w:t xml:space="preserve"> different missing data</w:t>
      </w:r>
      <w:r w:rsidR="00341729" w:rsidRPr="002D21EA">
        <w:t xml:space="preserve"> handling strategies, and different intercurrent </w:t>
      </w:r>
      <w:r w:rsidR="002509E5" w:rsidRPr="002D21EA">
        <w:t>event handling strategies.</w:t>
      </w:r>
      <w:r w:rsidR="00341729" w:rsidRPr="002D21EA">
        <w:rPr>
          <w:rFonts w:ascii="Calibri" w:hAnsi="Calibri" w:cs="Calibri"/>
          <w:sz w:val="22"/>
          <w:szCs w:val="22"/>
        </w:rPr>
        <w:t xml:space="preserve"> </w:t>
      </w:r>
    </w:p>
    <w:p w14:paraId="5008EF5F" w14:textId="72631CF6" w:rsidR="00671252" w:rsidRPr="002D21EA" w:rsidRDefault="00671252" w:rsidP="00671252">
      <w:pPr>
        <w:pStyle w:val="ExecSumBodyText"/>
      </w:pPr>
      <w:r w:rsidRPr="002D21EA">
        <w:t>The primary outcome for the TENAYA and LUCERNE trials was the change in BCVA score from baseline. A non</w:t>
      </w:r>
      <w:r w:rsidR="008D6DDE" w:rsidRPr="002D21EA">
        <w:t>-</w:t>
      </w:r>
      <w:r w:rsidRPr="002D21EA">
        <w:t>inferiority margin of 4 letters was applied in the submission, consistent with the pre-specified non</w:t>
      </w:r>
      <w:r w:rsidR="008D6DDE" w:rsidRPr="002D21EA">
        <w:t>-</w:t>
      </w:r>
      <w:r w:rsidRPr="002D21EA">
        <w:t xml:space="preserve">inferiority margin in the TENAYA and LUCERNE trials. The submission noted that a minimal clinically important difference of 5 letters (para 6.12, Ranibizumab </w:t>
      </w:r>
      <w:r w:rsidR="00AB6BF3" w:rsidRPr="002D21EA">
        <w:t>Public Summary Document (</w:t>
      </w:r>
      <w:r w:rsidRPr="002D21EA">
        <w:t>PSD</w:t>
      </w:r>
      <w:r w:rsidR="00AB6BF3" w:rsidRPr="002D21EA">
        <w:t>)</w:t>
      </w:r>
      <w:r w:rsidRPr="002D21EA">
        <w:t>, March 2018 PBAC meeting) and a non-inferiority margin of 4 letters (para 6.11, Brol</w:t>
      </w:r>
      <w:r w:rsidR="00814C7B" w:rsidRPr="002D21EA">
        <w:t>uc</w:t>
      </w:r>
      <w:r w:rsidRPr="002D21EA">
        <w:t xml:space="preserve">izumab PSD, November 2019 PBAC meeting) </w:t>
      </w:r>
      <w:r w:rsidR="008D6DDE" w:rsidRPr="002D21EA">
        <w:t xml:space="preserve">were </w:t>
      </w:r>
      <w:r w:rsidRPr="002D21EA">
        <w:t>accepted by the PBAC for the treatment of patients with subfoveal choroidal neovascularisation.</w:t>
      </w:r>
    </w:p>
    <w:p w14:paraId="727897E2" w14:textId="316D95F6" w:rsidR="00671252" w:rsidRPr="002D21EA" w:rsidRDefault="00671252" w:rsidP="00ED7C1F">
      <w:pPr>
        <w:pStyle w:val="ExecSumBodyText"/>
        <w:rPr>
          <w:shd w:val="clear" w:color="auto" w:fill="FFFFFF"/>
        </w:rPr>
      </w:pPr>
      <w:bookmarkStart w:id="15" w:name="_Ref96509213"/>
      <w:r w:rsidRPr="002D21EA">
        <w:rPr>
          <w:shd w:val="clear" w:color="auto" w:fill="FFFFFF"/>
        </w:rPr>
        <w:t>The applicability of the TENAYA and LUCERNE trials to the proposed Australian PBS population is uncertain due to differences in dosing (fixed 8-weekly dosing of aflibercept</w:t>
      </w:r>
      <w:r w:rsidR="001E7354" w:rsidRPr="002D21EA">
        <w:rPr>
          <w:shd w:val="clear" w:color="auto" w:fill="FFFFFF"/>
        </w:rPr>
        <w:t xml:space="preserve"> in the trials </w:t>
      </w:r>
      <w:r w:rsidRPr="002D21EA">
        <w:rPr>
          <w:shd w:val="clear" w:color="auto" w:fill="FFFFFF"/>
        </w:rPr>
        <w:t>versus treat-and-extend regimens</w:t>
      </w:r>
      <w:r w:rsidR="001E7354" w:rsidRPr="002D21EA">
        <w:rPr>
          <w:shd w:val="clear" w:color="auto" w:fill="FFFFFF"/>
        </w:rPr>
        <w:t xml:space="preserve"> in clinical practice</w:t>
      </w:r>
      <w:r w:rsidRPr="002D21EA">
        <w:rPr>
          <w:shd w:val="clear" w:color="auto" w:fill="FFFFFF"/>
        </w:rPr>
        <w:t>; faricimab dosing interval based on the presence/absence of active disease at Weeks 20/24 versus personalised dosing according to patient outcomes)</w:t>
      </w:r>
      <w:r w:rsidR="0082027D" w:rsidRPr="002D21EA">
        <w:rPr>
          <w:shd w:val="clear" w:color="auto" w:fill="FFFFFF"/>
        </w:rPr>
        <w:t>, monitoring (four-weekly visits versus</w:t>
      </w:r>
      <w:r w:rsidR="001219AC" w:rsidRPr="002D21EA">
        <w:rPr>
          <w:shd w:val="clear" w:color="auto" w:fill="FFFFFF"/>
        </w:rPr>
        <w:t xml:space="preserve"> </w:t>
      </w:r>
      <w:r w:rsidR="0046150A" w:rsidRPr="002D21EA">
        <w:rPr>
          <w:shd w:val="clear" w:color="auto" w:fill="FFFFFF"/>
        </w:rPr>
        <w:t xml:space="preserve">monitoring based on the </w:t>
      </w:r>
      <w:r w:rsidR="002A0625" w:rsidRPr="002D21EA">
        <w:rPr>
          <w:shd w:val="clear" w:color="auto" w:fill="FFFFFF"/>
        </w:rPr>
        <w:t>patient's status and at the physician's discretion</w:t>
      </w:r>
      <w:r w:rsidR="0046150A" w:rsidRPr="002D21EA">
        <w:rPr>
          <w:shd w:val="clear" w:color="auto" w:fill="FFFFFF"/>
        </w:rPr>
        <w:t>)</w:t>
      </w:r>
      <w:r w:rsidRPr="002D21EA">
        <w:rPr>
          <w:shd w:val="clear" w:color="auto" w:fill="FFFFFF"/>
        </w:rPr>
        <w:t xml:space="preserve"> and differences in the patient population (</w:t>
      </w:r>
      <w:r w:rsidR="00D259A3" w:rsidRPr="002D21EA">
        <w:rPr>
          <w:shd w:val="clear" w:color="auto" w:fill="FFFFFF"/>
        </w:rPr>
        <w:t>treatment-</w:t>
      </w:r>
      <w:r w:rsidRPr="002D21EA">
        <w:rPr>
          <w:shd w:val="clear" w:color="auto" w:fill="FFFFFF"/>
        </w:rPr>
        <w:t xml:space="preserve">naïve patients versus </w:t>
      </w:r>
      <w:r w:rsidR="00D259A3" w:rsidRPr="002D21EA">
        <w:rPr>
          <w:shd w:val="clear" w:color="auto" w:fill="FFFFFF"/>
        </w:rPr>
        <w:t>treatment-</w:t>
      </w:r>
      <w:r w:rsidRPr="002D21EA">
        <w:rPr>
          <w:shd w:val="clear" w:color="auto" w:fill="FFFFFF"/>
        </w:rPr>
        <w:t>naïve and treatment-experienced patients on the PBS). The impact of these differences on dosing frequency, comparative effectiveness and safety</w:t>
      </w:r>
      <w:r w:rsidR="008E0902" w:rsidRPr="002D21EA">
        <w:rPr>
          <w:shd w:val="clear" w:color="auto" w:fill="FFFFFF"/>
        </w:rPr>
        <w:t xml:space="preserve"> in clinical practice</w:t>
      </w:r>
      <w:r w:rsidRPr="002D21EA">
        <w:rPr>
          <w:shd w:val="clear" w:color="auto" w:fill="FFFFFF"/>
        </w:rPr>
        <w:t xml:space="preserve"> is uncertain. The submission claimed that the differences in aflibercept dosing are unlikely to have an effect as studies have shown similar outcomes regardless of whether dosing intervals are fixed or treat-and-extend. </w:t>
      </w:r>
      <w:bookmarkStart w:id="16" w:name="_Hlk104455209"/>
      <w:r w:rsidRPr="002D21EA">
        <w:rPr>
          <w:shd w:val="clear" w:color="auto" w:fill="FFFFFF"/>
        </w:rPr>
        <w:t xml:space="preserve">However, </w:t>
      </w:r>
      <w:r w:rsidR="008C28C6">
        <w:rPr>
          <w:shd w:val="clear" w:color="auto" w:fill="FFFFFF"/>
        </w:rPr>
        <w:t xml:space="preserve">the PBAC noted that </w:t>
      </w:r>
      <w:r w:rsidRPr="002D21EA">
        <w:rPr>
          <w:shd w:val="clear" w:color="auto" w:fill="FFFFFF"/>
        </w:rPr>
        <w:t>there may be differences in comparative safety with less frequent dosing of aflibercept.</w:t>
      </w:r>
      <w:bookmarkEnd w:id="15"/>
      <w:r w:rsidR="00895C00" w:rsidRPr="00895C00">
        <w:rPr>
          <w:shd w:val="clear" w:color="auto" w:fill="FFFFFF"/>
        </w:rPr>
        <w:t xml:space="preserve"> </w:t>
      </w:r>
      <w:bookmarkEnd w:id="16"/>
      <w:r w:rsidR="00ED7C1F" w:rsidRPr="0069726E">
        <w:rPr>
          <w:lang w:val="en-GB"/>
        </w:rPr>
        <w:t xml:space="preserve">The PBAC noted the differences between the proposed PBS population and the </w:t>
      </w:r>
      <w:r w:rsidR="00ED7C1F" w:rsidRPr="00ED7C1F">
        <w:rPr>
          <w:lang w:val="en-GB"/>
        </w:rPr>
        <w:t xml:space="preserve">TENAYA and LUCERNE </w:t>
      </w:r>
      <w:r w:rsidR="00ED7C1F" w:rsidRPr="0069726E">
        <w:rPr>
          <w:lang w:val="en-GB"/>
        </w:rPr>
        <w:t>trials in terms of eligibility criteria, dosing regimens, monitoring frequency and the proportion of patients with prior anti-VEGF treatment, but considered that these differences were unlikely to materially affect the applicability of the trial results to the proposed PBS population.</w:t>
      </w:r>
    </w:p>
    <w:p w14:paraId="4A4FE085" w14:textId="1C5613CC" w:rsidR="00B60939" w:rsidRPr="00BF2B95" w:rsidRDefault="00B60939" w:rsidP="00EC5836">
      <w:pPr>
        <w:pStyle w:val="3-SubsectionHeading"/>
      </w:pPr>
      <w:bookmarkStart w:id="17" w:name="_Toc22897641"/>
      <w:bookmarkStart w:id="18" w:name="_Toc101107808"/>
      <w:r w:rsidRPr="00BF2B95">
        <w:lastRenderedPageBreak/>
        <w:t>Comparative effectiveness</w:t>
      </w:r>
      <w:bookmarkEnd w:id="17"/>
      <w:bookmarkEnd w:id="18"/>
    </w:p>
    <w:p w14:paraId="14214920" w14:textId="12BCF344" w:rsidR="00DA3167" w:rsidRPr="002D21EA" w:rsidRDefault="004D44D8" w:rsidP="002E1D2C">
      <w:pPr>
        <w:pStyle w:val="ExecSumBodyText"/>
      </w:pPr>
      <w:r w:rsidRPr="002D21EA">
        <w:rPr>
          <w:snapToGrid/>
        </w:rPr>
        <w:t xml:space="preserve">The </w:t>
      </w:r>
      <w:r w:rsidR="008934D2" w:rsidRPr="002D21EA">
        <w:rPr>
          <w:snapToGrid/>
        </w:rPr>
        <w:t xml:space="preserve">primary outcome of the TENAYA and LUCERNE trials was the </w:t>
      </w:r>
      <w:r w:rsidRPr="002D21EA">
        <w:rPr>
          <w:snapToGrid/>
        </w:rPr>
        <w:t xml:space="preserve">mean change from baseline in BCVA </w:t>
      </w:r>
      <w:r w:rsidR="008934D2" w:rsidRPr="002D21EA">
        <w:rPr>
          <w:snapToGrid/>
        </w:rPr>
        <w:t xml:space="preserve">averaged over </w:t>
      </w:r>
      <w:r w:rsidRPr="002D21EA">
        <w:rPr>
          <w:snapToGrid/>
        </w:rPr>
        <w:t>Week 40</w:t>
      </w:r>
      <w:r w:rsidR="008934D2" w:rsidRPr="002D21EA">
        <w:rPr>
          <w:snapToGrid/>
        </w:rPr>
        <w:t xml:space="preserve">, Week </w:t>
      </w:r>
      <w:r w:rsidRPr="002D21EA">
        <w:rPr>
          <w:snapToGrid/>
        </w:rPr>
        <w:t>44</w:t>
      </w:r>
      <w:r w:rsidR="008934D2" w:rsidRPr="002D21EA">
        <w:rPr>
          <w:snapToGrid/>
        </w:rPr>
        <w:t xml:space="preserve">, and Week </w:t>
      </w:r>
      <w:r w:rsidRPr="002D21EA">
        <w:rPr>
          <w:snapToGrid/>
        </w:rPr>
        <w:t>48</w:t>
      </w:r>
      <w:r w:rsidR="008934D2" w:rsidRPr="002D21EA">
        <w:rPr>
          <w:snapToGrid/>
        </w:rPr>
        <w:t xml:space="preserve"> visits</w:t>
      </w:r>
      <w:r w:rsidRPr="002D21EA">
        <w:rPr>
          <w:snapToGrid/>
        </w:rPr>
        <w:t xml:space="preserve">. </w:t>
      </w:r>
      <w:r w:rsidR="002E1D2C">
        <w:rPr>
          <w:snapToGrid/>
        </w:rPr>
        <w:t>U</w:t>
      </w:r>
      <w:r w:rsidR="004C0823" w:rsidRPr="004C0823">
        <w:rPr>
          <w:snapToGrid/>
        </w:rPr>
        <w:t>pdated results based on an average treatment duration of 97-101 weeks</w:t>
      </w:r>
      <w:r w:rsidR="002E1D2C">
        <w:rPr>
          <w:snapToGrid/>
        </w:rPr>
        <w:t xml:space="preserve"> were provided in the Pre-PBAC Response</w:t>
      </w:r>
      <w:r w:rsidR="004C0823" w:rsidRPr="004C0823">
        <w:rPr>
          <w:snapToGrid/>
        </w:rPr>
        <w:t xml:space="preserve">. </w:t>
      </w:r>
      <w:r w:rsidR="002E1D2C" w:rsidRPr="002E1D2C">
        <w:rPr>
          <w:snapToGrid/>
        </w:rPr>
        <w:t>The results of the primary outcome for each of the trials</w:t>
      </w:r>
      <w:r w:rsidR="002E1D2C">
        <w:rPr>
          <w:snapToGrid/>
        </w:rPr>
        <w:t xml:space="preserve"> </w:t>
      </w:r>
      <w:r w:rsidR="004C0823" w:rsidRPr="004C0823">
        <w:rPr>
          <w:snapToGrid/>
        </w:rPr>
        <w:t xml:space="preserve">are presented in </w:t>
      </w:r>
      <w:r w:rsidR="002E1D2C">
        <w:rPr>
          <w:snapToGrid/>
        </w:rPr>
        <w:t>the t</w:t>
      </w:r>
      <w:r w:rsidR="004C0823" w:rsidRPr="004C0823">
        <w:rPr>
          <w:snapToGrid/>
        </w:rPr>
        <w:t>able below</w:t>
      </w:r>
      <w:r w:rsidR="004C0823">
        <w:rPr>
          <w:snapToGrid/>
        </w:rPr>
        <w:t>.</w:t>
      </w:r>
    </w:p>
    <w:p w14:paraId="58D20C52" w14:textId="77777777" w:rsidR="00A959F7" w:rsidRDefault="00A959F7">
      <w:pPr>
        <w:jc w:val="left"/>
        <w:rPr>
          <w:rFonts w:ascii="Arial Narrow" w:eastAsiaTheme="majorEastAsia" w:hAnsi="Arial Narrow" w:cs="Times New Roman"/>
          <w:b/>
          <w:sz w:val="20"/>
        </w:rPr>
      </w:pPr>
      <w:r>
        <w:br w:type="page"/>
      </w:r>
    </w:p>
    <w:p w14:paraId="022AD76F" w14:textId="148DD9E0" w:rsidR="006F63E7" w:rsidRPr="002D21EA" w:rsidRDefault="006F63E7" w:rsidP="00013B4C">
      <w:pPr>
        <w:pStyle w:val="Tableheadingrow"/>
        <w:rPr>
          <w:lang w:val="en-AU"/>
        </w:rPr>
      </w:pPr>
      <w:r w:rsidRPr="002D21EA">
        <w:rPr>
          <w:lang w:val="en-AU"/>
        </w:rPr>
        <w:lastRenderedPageBreak/>
        <w:t>Table</w:t>
      </w:r>
      <w:r w:rsidR="005153E8" w:rsidRPr="002D21EA">
        <w:rPr>
          <w:lang w:val="en-AU"/>
        </w:rPr>
        <w:t xml:space="preserve"> </w:t>
      </w:r>
      <w:r w:rsidR="005153E8" w:rsidRPr="002D21EA">
        <w:rPr>
          <w:b w:val="0"/>
        </w:rPr>
        <w:fldChar w:fldCharType="begin"/>
      </w:r>
      <w:r w:rsidR="005153E8" w:rsidRPr="002D21EA">
        <w:rPr>
          <w:lang w:val="en-AU"/>
        </w:rPr>
        <w:instrText xml:space="preserve"> SEQ Table \* ARABIC </w:instrText>
      </w:r>
      <w:r w:rsidR="005153E8" w:rsidRPr="002D21EA">
        <w:rPr>
          <w:b w:val="0"/>
        </w:rPr>
        <w:fldChar w:fldCharType="separate"/>
      </w:r>
      <w:r w:rsidR="006C2A4B">
        <w:rPr>
          <w:noProof/>
          <w:lang w:val="en-AU"/>
        </w:rPr>
        <w:t>5</w:t>
      </w:r>
      <w:r w:rsidR="005153E8" w:rsidRPr="002D21EA">
        <w:rPr>
          <w:b w:val="0"/>
        </w:rPr>
        <w:fldChar w:fldCharType="end"/>
      </w:r>
      <w:r w:rsidRPr="002D21EA">
        <w:rPr>
          <w:lang w:val="en-AU"/>
        </w:rPr>
        <w:t xml:space="preserve">: </w:t>
      </w:r>
      <w:r w:rsidR="004C0823">
        <w:t xml:space="preserve">Mean change from baseline in BCVA at Weeks 40/44/48 and Weeks 104/108/112 </w:t>
      </w:r>
      <w:r w:rsidRPr="002D21EA">
        <w:rPr>
          <w:lang w:val="en-AU"/>
        </w:rPr>
        <w:t>in the TENAYA and LUCERNE trials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Mean change from baseline in BCVA at Weeks 40/44/48 and Weeks 104/108/112 in the TENAYA and LUCERNE trials"/>
      </w:tblPr>
      <w:tblGrid>
        <w:gridCol w:w="1287"/>
        <w:gridCol w:w="1287"/>
        <w:gridCol w:w="1287"/>
        <w:gridCol w:w="1288"/>
        <w:gridCol w:w="1288"/>
        <w:gridCol w:w="1289"/>
        <w:gridCol w:w="1289"/>
      </w:tblGrid>
      <w:tr w:rsidR="004C0823" w14:paraId="20287B21" w14:textId="77777777" w:rsidTr="004213C0">
        <w:tc>
          <w:tcPr>
            <w:tcW w:w="1287" w:type="dxa"/>
            <w:vMerge w:val="restart"/>
            <w:shd w:val="clear" w:color="auto" w:fill="auto"/>
          </w:tcPr>
          <w:p w14:paraId="0AF3A470" w14:textId="193C7D54" w:rsidR="004C0823" w:rsidRDefault="004C0823" w:rsidP="00115C14">
            <w:pPr>
              <w:pStyle w:val="TableText"/>
            </w:pPr>
          </w:p>
        </w:tc>
        <w:tc>
          <w:tcPr>
            <w:tcW w:w="3862" w:type="dxa"/>
            <w:gridSpan w:val="3"/>
            <w:shd w:val="clear" w:color="auto" w:fill="auto"/>
            <w:vAlign w:val="center"/>
          </w:tcPr>
          <w:p w14:paraId="3FF82538" w14:textId="77777777" w:rsidR="004C0823" w:rsidRPr="00852EAA" w:rsidRDefault="004C0823" w:rsidP="00115C14">
            <w:pPr>
              <w:pStyle w:val="TableText"/>
              <w:jc w:val="center"/>
              <w:rPr>
                <w:b/>
                <w:bCs w:val="0"/>
              </w:rPr>
            </w:pPr>
            <w:r w:rsidRPr="00852EAA">
              <w:rPr>
                <w:b/>
                <w:bCs w:val="0"/>
              </w:rPr>
              <w:t>TENAYA</w:t>
            </w:r>
          </w:p>
        </w:tc>
        <w:tc>
          <w:tcPr>
            <w:tcW w:w="3866" w:type="dxa"/>
            <w:gridSpan w:val="3"/>
            <w:shd w:val="clear" w:color="auto" w:fill="auto"/>
            <w:vAlign w:val="center"/>
          </w:tcPr>
          <w:p w14:paraId="2DB8A897" w14:textId="77777777" w:rsidR="004C0823" w:rsidRPr="00852EAA" w:rsidRDefault="004C0823" w:rsidP="00115C14">
            <w:pPr>
              <w:pStyle w:val="TableText"/>
              <w:jc w:val="center"/>
              <w:rPr>
                <w:b/>
                <w:bCs w:val="0"/>
              </w:rPr>
            </w:pPr>
            <w:r w:rsidRPr="00852EAA">
              <w:rPr>
                <w:b/>
                <w:bCs w:val="0"/>
              </w:rPr>
              <w:t>LUCERNE</w:t>
            </w:r>
          </w:p>
        </w:tc>
      </w:tr>
      <w:tr w:rsidR="004C0823" w:rsidRPr="00CE65B8" w14:paraId="448B1D5C" w14:textId="77777777" w:rsidTr="004213C0">
        <w:tc>
          <w:tcPr>
            <w:tcW w:w="1287" w:type="dxa"/>
            <w:vMerge/>
            <w:shd w:val="clear" w:color="auto" w:fill="auto"/>
          </w:tcPr>
          <w:p w14:paraId="4C086566" w14:textId="77777777" w:rsidR="004C0823" w:rsidRDefault="004C0823" w:rsidP="00115C14">
            <w:pPr>
              <w:pStyle w:val="TableText"/>
            </w:pPr>
          </w:p>
        </w:tc>
        <w:tc>
          <w:tcPr>
            <w:tcW w:w="1287" w:type="dxa"/>
            <w:shd w:val="clear" w:color="auto" w:fill="auto"/>
            <w:vAlign w:val="center"/>
          </w:tcPr>
          <w:p w14:paraId="7926CDAC" w14:textId="77777777" w:rsidR="004C0823" w:rsidRPr="00CE65B8" w:rsidRDefault="004C0823" w:rsidP="00115C14">
            <w:pPr>
              <w:keepNext/>
              <w:keepLines/>
              <w:contextualSpacing/>
              <w:jc w:val="center"/>
              <w:rPr>
                <w:rFonts w:ascii="Arial Narrow" w:hAnsi="Arial Narrow"/>
                <w:b/>
                <w:bCs/>
                <w:sz w:val="20"/>
              </w:rPr>
            </w:pPr>
            <w:r w:rsidRPr="00CE65B8">
              <w:rPr>
                <w:rFonts w:ascii="Arial Narrow" w:hAnsi="Arial Narrow"/>
                <w:b/>
                <w:bCs/>
                <w:sz w:val="20"/>
              </w:rPr>
              <w:t>Faricimab</w:t>
            </w:r>
          </w:p>
          <w:p w14:paraId="60AD3498" w14:textId="77777777" w:rsidR="004C0823" w:rsidRDefault="004C0823" w:rsidP="00115C14">
            <w:pPr>
              <w:keepNext/>
              <w:keepLines/>
              <w:contextualSpacing/>
              <w:jc w:val="center"/>
            </w:pPr>
            <w:r w:rsidRPr="00CE65B8">
              <w:rPr>
                <w:rFonts w:ascii="Arial Narrow" w:hAnsi="Arial Narrow"/>
                <w:b/>
                <w:bCs/>
                <w:sz w:val="20"/>
              </w:rPr>
              <w:t>Adjusted mean (95% CI)</w:t>
            </w:r>
          </w:p>
        </w:tc>
        <w:tc>
          <w:tcPr>
            <w:tcW w:w="1287" w:type="dxa"/>
            <w:shd w:val="clear" w:color="auto" w:fill="auto"/>
            <w:vAlign w:val="center"/>
          </w:tcPr>
          <w:p w14:paraId="6FC7A7D2" w14:textId="77777777" w:rsidR="004C0823" w:rsidRPr="00CE65B8" w:rsidRDefault="004C0823" w:rsidP="00115C14">
            <w:pPr>
              <w:keepNext/>
              <w:keepLines/>
              <w:contextualSpacing/>
              <w:jc w:val="center"/>
              <w:rPr>
                <w:rFonts w:ascii="Arial Narrow" w:hAnsi="Arial Narrow"/>
                <w:b/>
                <w:bCs/>
                <w:sz w:val="20"/>
              </w:rPr>
            </w:pPr>
            <w:r w:rsidRPr="00CE65B8">
              <w:rPr>
                <w:rFonts w:ascii="Arial Narrow" w:hAnsi="Arial Narrow"/>
                <w:b/>
                <w:bCs/>
                <w:sz w:val="20"/>
              </w:rPr>
              <w:t>Aflibercept</w:t>
            </w:r>
          </w:p>
          <w:p w14:paraId="597E261D" w14:textId="77777777" w:rsidR="004C0823" w:rsidRDefault="004C0823" w:rsidP="00115C14">
            <w:pPr>
              <w:pStyle w:val="TableText"/>
              <w:jc w:val="center"/>
            </w:pPr>
            <w:r w:rsidRPr="00CE65B8">
              <w:rPr>
                <w:b/>
                <w:szCs w:val="20"/>
              </w:rPr>
              <w:t>Adjusted mean (95% CI)</w:t>
            </w:r>
          </w:p>
        </w:tc>
        <w:tc>
          <w:tcPr>
            <w:tcW w:w="1288" w:type="dxa"/>
            <w:shd w:val="clear" w:color="auto" w:fill="auto"/>
            <w:vAlign w:val="center"/>
          </w:tcPr>
          <w:p w14:paraId="57890611" w14:textId="77777777" w:rsidR="004C0823" w:rsidRDefault="004C0823" w:rsidP="00115C14">
            <w:pPr>
              <w:pStyle w:val="TableText"/>
              <w:jc w:val="center"/>
            </w:pPr>
            <w:r w:rsidRPr="00CE65B8">
              <w:rPr>
                <w:b/>
                <w:szCs w:val="20"/>
              </w:rPr>
              <w:t>Difference in adjusted means (95% CI)</w:t>
            </w:r>
          </w:p>
        </w:tc>
        <w:tc>
          <w:tcPr>
            <w:tcW w:w="1288" w:type="dxa"/>
            <w:shd w:val="clear" w:color="auto" w:fill="auto"/>
            <w:vAlign w:val="center"/>
          </w:tcPr>
          <w:p w14:paraId="3EBAAAB8" w14:textId="77777777" w:rsidR="004C0823" w:rsidRPr="00CE65B8" w:rsidRDefault="004C0823" w:rsidP="00115C14">
            <w:pPr>
              <w:keepNext/>
              <w:keepLines/>
              <w:contextualSpacing/>
              <w:jc w:val="center"/>
              <w:rPr>
                <w:rFonts w:ascii="Arial Narrow" w:hAnsi="Arial Narrow"/>
                <w:b/>
                <w:bCs/>
                <w:sz w:val="20"/>
              </w:rPr>
            </w:pPr>
            <w:r w:rsidRPr="00CE65B8">
              <w:rPr>
                <w:rFonts w:ascii="Arial Narrow" w:hAnsi="Arial Narrow"/>
                <w:b/>
                <w:bCs/>
                <w:sz w:val="20"/>
              </w:rPr>
              <w:t>Faricimab</w:t>
            </w:r>
          </w:p>
          <w:p w14:paraId="1A3427F1" w14:textId="77777777" w:rsidR="004C0823" w:rsidRDefault="004C0823" w:rsidP="00115C14">
            <w:pPr>
              <w:keepNext/>
              <w:keepLines/>
              <w:contextualSpacing/>
              <w:jc w:val="center"/>
            </w:pPr>
            <w:r w:rsidRPr="00CE65B8">
              <w:rPr>
                <w:rFonts w:ascii="Arial Narrow" w:hAnsi="Arial Narrow"/>
                <w:b/>
                <w:bCs/>
                <w:sz w:val="20"/>
              </w:rPr>
              <w:t>Adjusted mean (95% CI)</w:t>
            </w:r>
          </w:p>
        </w:tc>
        <w:tc>
          <w:tcPr>
            <w:tcW w:w="1289" w:type="dxa"/>
            <w:shd w:val="clear" w:color="auto" w:fill="auto"/>
            <w:vAlign w:val="center"/>
          </w:tcPr>
          <w:p w14:paraId="5DED0CE2" w14:textId="77777777" w:rsidR="004C0823" w:rsidRPr="00CE65B8" w:rsidRDefault="004C0823" w:rsidP="00115C14">
            <w:pPr>
              <w:keepNext/>
              <w:keepLines/>
              <w:contextualSpacing/>
              <w:jc w:val="center"/>
              <w:rPr>
                <w:rFonts w:ascii="Arial Narrow" w:hAnsi="Arial Narrow"/>
                <w:b/>
                <w:bCs/>
                <w:sz w:val="20"/>
              </w:rPr>
            </w:pPr>
            <w:r w:rsidRPr="00CE65B8">
              <w:rPr>
                <w:rFonts w:ascii="Arial Narrow" w:hAnsi="Arial Narrow"/>
                <w:b/>
                <w:bCs/>
                <w:sz w:val="20"/>
              </w:rPr>
              <w:t>Aflibercept</w:t>
            </w:r>
          </w:p>
          <w:p w14:paraId="6A142D1D" w14:textId="77777777" w:rsidR="004C0823" w:rsidRDefault="004C0823" w:rsidP="00115C14">
            <w:pPr>
              <w:pStyle w:val="TableText"/>
              <w:jc w:val="center"/>
            </w:pPr>
            <w:r w:rsidRPr="00CE65B8">
              <w:rPr>
                <w:b/>
                <w:szCs w:val="20"/>
              </w:rPr>
              <w:t>Adjusted mean (95% CI)</w:t>
            </w:r>
          </w:p>
        </w:tc>
        <w:tc>
          <w:tcPr>
            <w:tcW w:w="1289" w:type="dxa"/>
            <w:shd w:val="clear" w:color="auto" w:fill="auto"/>
            <w:vAlign w:val="center"/>
          </w:tcPr>
          <w:p w14:paraId="2313AAC5" w14:textId="77777777" w:rsidR="004C0823" w:rsidRDefault="004C0823" w:rsidP="00115C14">
            <w:pPr>
              <w:pStyle w:val="TableText"/>
              <w:jc w:val="center"/>
            </w:pPr>
            <w:r w:rsidRPr="00CE65B8">
              <w:rPr>
                <w:b/>
                <w:szCs w:val="20"/>
              </w:rPr>
              <w:t>Difference in adjusted means (95% CI)</w:t>
            </w:r>
          </w:p>
        </w:tc>
      </w:tr>
      <w:tr w:rsidR="004C0823" w14:paraId="10793970" w14:textId="77777777" w:rsidTr="004213C0">
        <w:tc>
          <w:tcPr>
            <w:tcW w:w="9015" w:type="dxa"/>
            <w:gridSpan w:val="7"/>
            <w:shd w:val="clear" w:color="auto" w:fill="auto"/>
          </w:tcPr>
          <w:p w14:paraId="27F22B70" w14:textId="77777777" w:rsidR="004C0823" w:rsidRPr="00852EAA" w:rsidRDefault="004C0823" w:rsidP="00115C14">
            <w:pPr>
              <w:pStyle w:val="TableText"/>
              <w:rPr>
                <w:b/>
                <w:bCs w:val="0"/>
              </w:rPr>
            </w:pPr>
            <w:r w:rsidRPr="00852EAA">
              <w:rPr>
                <w:b/>
                <w:bCs w:val="0"/>
              </w:rPr>
              <w:t>Mean change from baseline in BCVA</w:t>
            </w:r>
            <w:r w:rsidRPr="00AF4197">
              <w:rPr>
                <w:b/>
                <w:bCs w:val="0"/>
                <w:vertAlign w:val="superscript"/>
              </w:rPr>
              <w:t>1</w:t>
            </w:r>
          </w:p>
        </w:tc>
      </w:tr>
      <w:tr w:rsidR="004C0823" w14:paraId="7357D01B" w14:textId="77777777" w:rsidTr="004213C0">
        <w:tc>
          <w:tcPr>
            <w:tcW w:w="1287" w:type="dxa"/>
            <w:shd w:val="clear" w:color="auto" w:fill="auto"/>
          </w:tcPr>
          <w:p w14:paraId="159D37AF" w14:textId="77777777" w:rsidR="004C0823" w:rsidRDefault="004C0823" w:rsidP="00115C14">
            <w:pPr>
              <w:pStyle w:val="TableText"/>
            </w:pPr>
            <w:r>
              <w:t>Primary analysis Weeks 40/44/48</w:t>
            </w:r>
          </w:p>
        </w:tc>
        <w:tc>
          <w:tcPr>
            <w:tcW w:w="1287" w:type="dxa"/>
            <w:shd w:val="clear" w:color="auto" w:fill="auto"/>
            <w:vAlign w:val="center"/>
          </w:tcPr>
          <w:p w14:paraId="4B6DFEAE" w14:textId="77777777" w:rsidR="004C0823" w:rsidRDefault="004C0823" w:rsidP="00115C14">
            <w:pPr>
              <w:pStyle w:val="TableText"/>
              <w:jc w:val="center"/>
            </w:pPr>
            <w:r w:rsidRPr="00CE65B8">
              <w:rPr>
                <w:szCs w:val="20"/>
              </w:rPr>
              <w:t>5.8 (4.6, 7.1)</w:t>
            </w:r>
          </w:p>
        </w:tc>
        <w:tc>
          <w:tcPr>
            <w:tcW w:w="1287" w:type="dxa"/>
            <w:shd w:val="clear" w:color="auto" w:fill="auto"/>
            <w:vAlign w:val="center"/>
          </w:tcPr>
          <w:p w14:paraId="55D02556" w14:textId="77777777" w:rsidR="004C0823" w:rsidRDefault="004C0823" w:rsidP="00115C14">
            <w:pPr>
              <w:pStyle w:val="TableText"/>
              <w:jc w:val="center"/>
            </w:pPr>
            <w:r w:rsidRPr="00CE65B8">
              <w:rPr>
                <w:szCs w:val="20"/>
              </w:rPr>
              <w:t>5.1 (3.9, 6.4)</w:t>
            </w:r>
          </w:p>
        </w:tc>
        <w:tc>
          <w:tcPr>
            <w:tcW w:w="1288" w:type="dxa"/>
            <w:shd w:val="clear" w:color="auto" w:fill="auto"/>
            <w:vAlign w:val="center"/>
          </w:tcPr>
          <w:p w14:paraId="2D354310" w14:textId="77777777" w:rsidR="004C0823" w:rsidRDefault="004C0823" w:rsidP="00115C14">
            <w:pPr>
              <w:pStyle w:val="TableText"/>
              <w:jc w:val="center"/>
            </w:pPr>
            <w:r w:rsidRPr="00CE65B8">
              <w:rPr>
                <w:szCs w:val="20"/>
              </w:rPr>
              <w:t>0.7 (-1.1, 2.5)</w:t>
            </w:r>
          </w:p>
        </w:tc>
        <w:tc>
          <w:tcPr>
            <w:tcW w:w="1288" w:type="dxa"/>
            <w:shd w:val="clear" w:color="auto" w:fill="auto"/>
            <w:vAlign w:val="center"/>
          </w:tcPr>
          <w:p w14:paraId="6F5A8916" w14:textId="77777777" w:rsidR="004C0823" w:rsidRDefault="004C0823" w:rsidP="00115C14">
            <w:pPr>
              <w:pStyle w:val="TableText"/>
              <w:jc w:val="center"/>
            </w:pPr>
            <w:r w:rsidRPr="00CE65B8">
              <w:rPr>
                <w:szCs w:val="20"/>
              </w:rPr>
              <w:t>6.6 (5.3, 7.8)</w:t>
            </w:r>
          </w:p>
        </w:tc>
        <w:tc>
          <w:tcPr>
            <w:tcW w:w="1289" w:type="dxa"/>
            <w:shd w:val="clear" w:color="auto" w:fill="auto"/>
            <w:vAlign w:val="center"/>
          </w:tcPr>
          <w:p w14:paraId="7F4A0DBF" w14:textId="77777777" w:rsidR="004C0823" w:rsidRDefault="004C0823" w:rsidP="00115C14">
            <w:pPr>
              <w:pStyle w:val="TableText"/>
              <w:jc w:val="center"/>
            </w:pPr>
            <w:r w:rsidRPr="00CE65B8">
              <w:rPr>
                <w:szCs w:val="20"/>
              </w:rPr>
              <w:t>6.6 (5.3, 7.8)</w:t>
            </w:r>
          </w:p>
        </w:tc>
        <w:tc>
          <w:tcPr>
            <w:tcW w:w="1289" w:type="dxa"/>
            <w:shd w:val="clear" w:color="auto" w:fill="auto"/>
            <w:vAlign w:val="center"/>
          </w:tcPr>
          <w:p w14:paraId="56FE42DC" w14:textId="77777777" w:rsidR="004C0823" w:rsidRDefault="004C0823" w:rsidP="00115C14">
            <w:pPr>
              <w:pStyle w:val="TableText"/>
              <w:jc w:val="center"/>
            </w:pPr>
            <w:r w:rsidRPr="00CE65B8">
              <w:rPr>
                <w:szCs w:val="20"/>
              </w:rPr>
              <w:t>0.0 (-1.7, 1.8)</w:t>
            </w:r>
          </w:p>
        </w:tc>
      </w:tr>
      <w:tr w:rsidR="004C0823" w14:paraId="43767EC5" w14:textId="77777777" w:rsidTr="004213C0">
        <w:trPr>
          <w:trHeight w:val="163"/>
        </w:trPr>
        <w:tc>
          <w:tcPr>
            <w:tcW w:w="1287" w:type="dxa"/>
            <w:shd w:val="clear" w:color="auto" w:fill="auto"/>
          </w:tcPr>
          <w:p w14:paraId="0AD78204" w14:textId="77777777" w:rsidR="004C0823" w:rsidRDefault="004C0823" w:rsidP="00115C14">
            <w:pPr>
              <w:pStyle w:val="TableText"/>
            </w:pPr>
            <w:r>
              <w:t>Update: Weeks 104/108/112</w:t>
            </w:r>
          </w:p>
        </w:tc>
        <w:tc>
          <w:tcPr>
            <w:tcW w:w="1287" w:type="dxa"/>
            <w:shd w:val="clear" w:color="auto" w:fill="auto"/>
            <w:vAlign w:val="center"/>
          </w:tcPr>
          <w:p w14:paraId="08A37DA4" w14:textId="77777777" w:rsidR="004C0823" w:rsidRDefault="004C0823" w:rsidP="00115C14">
            <w:pPr>
              <w:pStyle w:val="TableText"/>
              <w:jc w:val="center"/>
            </w:pPr>
            <w:r>
              <w:t>3.5</w:t>
            </w:r>
          </w:p>
        </w:tc>
        <w:tc>
          <w:tcPr>
            <w:tcW w:w="1287" w:type="dxa"/>
            <w:shd w:val="clear" w:color="auto" w:fill="auto"/>
            <w:vAlign w:val="center"/>
          </w:tcPr>
          <w:p w14:paraId="0317BA2C" w14:textId="77777777" w:rsidR="004C0823" w:rsidRDefault="004C0823" w:rsidP="00115C14">
            <w:pPr>
              <w:pStyle w:val="TableText"/>
              <w:jc w:val="center"/>
            </w:pPr>
            <w:r>
              <w:t>2.8</w:t>
            </w:r>
          </w:p>
        </w:tc>
        <w:tc>
          <w:tcPr>
            <w:tcW w:w="1288" w:type="dxa"/>
            <w:shd w:val="clear" w:color="auto" w:fill="auto"/>
            <w:vAlign w:val="center"/>
          </w:tcPr>
          <w:p w14:paraId="404DE94D" w14:textId="77777777" w:rsidR="004C0823" w:rsidRDefault="004C0823" w:rsidP="00115C14">
            <w:pPr>
              <w:pStyle w:val="TableText"/>
              <w:jc w:val="center"/>
            </w:pPr>
            <w:r>
              <w:t>0.7 (-1.6, 3.0)</w:t>
            </w:r>
          </w:p>
        </w:tc>
        <w:tc>
          <w:tcPr>
            <w:tcW w:w="1288" w:type="dxa"/>
            <w:shd w:val="clear" w:color="auto" w:fill="auto"/>
            <w:vAlign w:val="center"/>
          </w:tcPr>
          <w:p w14:paraId="07FBF51D" w14:textId="77777777" w:rsidR="004C0823" w:rsidRDefault="004C0823" w:rsidP="00115C14">
            <w:pPr>
              <w:pStyle w:val="TableText"/>
              <w:jc w:val="center"/>
            </w:pPr>
            <w:r>
              <w:t>4.8</w:t>
            </w:r>
          </w:p>
        </w:tc>
        <w:tc>
          <w:tcPr>
            <w:tcW w:w="1289" w:type="dxa"/>
            <w:shd w:val="clear" w:color="auto" w:fill="auto"/>
            <w:vAlign w:val="center"/>
          </w:tcPr>
          <w:p w14:paraId="67F6FE3F" w14:textId="77777777" w:rsidR="004C0823" w:rsidRDefault="004C0823" w:rsidP="00115C14">
            <w:pPr>
              <w:pStyle w:val="TableText"/>
              <w:jc w:val="center"/>
            </w:pPr>
            <w:r>
              <w:t>5.1</w:t>
            </w:r>
          </w:p>
        </w:tc>
        <w:tc>
          <w:tcPr>
            <w:tcW w:w="1289" w:type="dxa"/>
            <w:shd w:val="clear" w:color="auto" w:fill="auto"/>
            <w:vAlign w:val="center"/>
          </w:tcPr>
          <w:p w14:paraId="0984B73E" w14:textId="77777777" w:rsidR="004C0823" w:rsidRDefault="004C0823" w:rsidP="00115C14">
            <w:pPr>
              <w:pStyle w:val="TableText"/>
              <w:jc w:val="center"/>
            </w:pPr>
            <w:r>
              <w:t>-0.3 (-2.6, 1.9)</w:t>
            </w:r>
          </w:p>
        </w:tc>
      </w:tr>
    </w:tbl>
    <w:p w14:paraId="06CC272B" w14:textId="3EB037AE" w:rsidR="004C0823" w:rsidRPr="00A959F7" w:rsidRDefault="004C0823" w:rsidP="00A959F7">
      <w:pPr>
        <w:pStyle w:val="TableFigureFooter"/>
      </w:pPr>
      <w:r w:rsidRPr="00A959F7">
        <w:t>Source: TENAYA and LUCERNE clinical study reports; Faricimab in nAMD TENAYA and LUCERNE Year 2 topline results</w:t>
      </w:r>
    </w:p>
    <w:p w14:paraId="610762FA" w14:textId="2CFBA2D6" w:rsidR="004C0823" w:rsidRPr="00A959F7" w:rsidRDefault="004C0823" w:rsidP="00A959F7">
      <w:pPr>
        <w:pStyle w:val="TableFigureFooter"/>
      </w:pPr>
      <w:r w:rsidRPr="00A959F7">
        <w:t>Abbreviations: BCVA, best corrected visual acuity; ITT, intention to treat.</w:t>
      </w:r>
    </w:p>
    <w:p w14:paraId="736D0029" w14:textId="77777777" w:rsidR="004C0823" w:rsidRPr="00A959F7" w:rsidRDefault="004C0823" w:rsidP="00A959F7">
      <w:pPr>
        <w:pStyle w:val="TableFigureFooter"/>
      </w:pPr>
      <w:r w:rsidRPr="00A959F7">
        <w:t>Note: ITT population: TENAYA – faricimab N=334, aflibercept N=337; LUCERNE – faricimab N=331, aflibercept N=327</w:t>
      </w:r>
    </w:p>
    <w:p w14:paraId="37AC21F3" w14:textId="77777777" w:rsidR="004C0823" w:rsidRPr="00A959F7" w:rsidRDefault="004C0823" w:rsidP="00A959F7">
      <w:pPr>
        <w:pStyle w:val="TableFigureFooter"/>
      </w:pPr>
      <w:r w:rsidRPr="00A959F7">
        <w:t>1Patients with ≥1 non-missing assessment at Weeks 40, 44, 48 (TENAYA – faricimab N=292, aflibercept N=300; LUCERNE – faricimab N=302, aflibercept N=291); at Weeks 104, 108, 112 at Weeks 40, 44, 48 (TENAYA – faricimab N=273, aflibercept N=295; LUCERNE – faricimab N=296, aflibercept N=272), using primary estimand strategy.</w:t>
      </w:r>
    </w:p>
    <w:p w14:paraId="619F4742" w14:textId="77777777" w:rsidR="004C0823" w:rsidRPr="00814B05" w:rsidRDefault="004C0823" w:rsidP="00A959F7">
      <w:pPr>
        <w:pStyle w:val="TableFigureFooter"/>
      </w:pPr>
      <w:r w:rsidRPr="00A959F7">
        <w:t>2Patients with ≥1 non-missing assessment at Weeks 40, 44, 48 (TENAYA – faricimab N=291, aflibercept N=297; LUCERNE – faricimab N=299, aflibercept N=287); at Weeks 104, 108, 112 (TENAYA – faricimab N=272, aflibercept N=292; LUCERNE – faricimab N=293, aflibercept N=269), using primary estimand strategy.</w:t>
      </w:r>
    </w:p>
    <w:p w14:paraId="123B95CF" w14:textId="28B5A1A4" w:rsidR="00B70DCB" w:rsidRPr="004C0823" w:rsidRDefault="006F63E7" w:rsidP="00EC5836">
      <w:pPr>
        <w:pStyle w:val="ExecSumBodyText"/>
        <w:rPr>
          <w:color w:val="0066FF"/>
        </w:rPr>
      </w:pPr>
      <w:r w:rsidRPr="002D21EA">
        <w:t xml:space="preserve">In the TENAYA and LUCERNE trials, and pooled analysis, the lower limit of the 95% confidence interval of the </w:t>
      </w:r>
      <w:r w:rsidR="00B70DCB" w:rsidRPr="002D21EA">
        <w:t>adjusted mean difference in BCVA between faricimab and aflibercept was greater than -4 ETDRS letters, thereby meeting the pre-specified non</w:t>
      </w:r>
      <w:r w:rsidR="00B617D4" w:rsidRPr="002D21EA">
        <w:t>-</w:t>
      </w:r>
      <w:r w:rsidR="00B70DCB" w:rsidRPr="002D21EA">
        <w:t xml:space="preserve">inferiority margin. </w:t>
      </w:r>
      <w:r w:rsidR="00341729" w:rsidRPr="002D21EA">
        <w:t xml:space="preserve">Results of supportive analyses using alternative handling rules for missing data and/or COVID-19 intercurrent events were consistent with the main analyses. </w:t>
      </w:r>
      <w:r w:rsidR="00B70DCB" w:rsidRPr="002D21EA">
        <w:t xml:space="preserve">The </w:t>
      </w:r>
      <w:r w:rsidR="00236CAB" w:rsidRPr="002D21EA">
        <w:t xml:space="preserve">results for </w:t>
      </w:r>
      <w:r w:rsidR="00B70DCB" w:rsidRPr="002D21EA">
        <w:t>mean change in BCVA score from baseline averaged over Week</w:t>
      </w:r>
      <w:r w:rsidR="00747253" w:rsidRPr="002D21EA">
        <w:t>s</w:t>
      </w:r>
      <w:r w:rsidR="00B70DCB" w:rsidRPr="002D21EA">
        <w:t xml:space="preserve"> </w:t>
      </w:r>
      <w:r w:rsidR="00416706" w:rsidRPr="002D21EA">
        <w:t>52</w:t>
      </w:r>
      <w:r w:rsidR="00747253" w:rsidRPr="002D21EA">
        <w:t>,</w:t>
      </w:r>
      <w:r w:rsidR="00B70DCB" w:rsidRPr="002D21EA">
        <w:t xml:space="preserve"> </w:t>
      </w:r>
      <w:r w:rsidR="00416706" w:rsidRPr="002D21EA">
        <w:t>56</w:t>
      </w:r>
      <w:r w:rsidR="00B70DCB" w:rsidRPr="002D21EA">
        <w:t xml:space="preserve"> and </w:t>
      </w:r>
      <w:r w:rsidR="00416706" w:rsidRPr="002D21EA">
        <w:t xml:space="preserve">60 </w:t>
      </w:r>
      <w:r w:rsidR="00236CAB" w:rsidRPr="002D21EA">
        <w:t>were consistent with the</w:t>
      </w:r>
      <w:r w:rsidR="00F97605" w:rsidRPr="002D21EA">
        <w:t xml:space="preserve"> primary analysis</w:t>
      </w:r>
      <w:r w:rsidR="00236CAB" w:rsidRPr="002D21EA">
        <w:t xml:space="preserve"> observed over Weeks 40, 44 and 48</w:t>
      </w:r>
      <w:r w:rsidR="00B70DCB" w:rsidRPr="002D21EA">
        <w:t>.</w:t>
      </w:r>
    </w:p>
    <w:p w14:paraId="4C2668B9" w14:textId="77777777" w:rsidR="004C0823" w:rsidRPr="00E47972" w:rsidRDefault="004C0823" w:rsidP="004C0823">
      <w:pPr>
        <w:pStyle w:val="ExecSumBodyText"/>
      </w:pPr>
      <w:r w:rsidRPr="00E47972">
        <w:t>Based on data up to Week 112, the TENAYA and LUCERNE trials continue to demonstrate non-inferiority, as the lower limit of the 95% confidence interval of the adjusted mean difference in BCVA between faricimab and aflibercept was greater than -4 ETDRS letters (the pre-specified non-inferiority margin).</w:t>
      </w:r>
    </w:p>
    <w:p w14:paraId="5CA17290" w14:textId="1BE23547" w:rsidR="00760C4E" w:rsidRPr="002D21EA" w:rsidRDefault="002B652D" w:rsidP="00EC5836">
      <w:pPr>
        <w:pStyle w:val="ExecSumBodyText"/>
      </w:pPr>
      <w:r w:rsidRPr="002D21EA">
        <w:rPr>
          <w:snapToGrid/>
        </w:rPr>
        <w:t>Results of key secondary outcomes for the TENAYA and LUCERNE trials, and pooled analysis, are summarised in the table below</w:t>
      </w:r>
      <w:r w:rsidR="00053555" w:rsidRPr="002D21EA">
        <w:rPr>
          <w:snapToGrid/>
        </w:rPr>
        <w:t>.</w:t>
      </w:r>
    </w:p>
    <w:p w14:paraId="0F3CC2EF" w14:textId="77777777" w:rsidR="00E47972" w:rsidRDefault="00E47972">
      <w:pPr>
        <w:jc w:val="left"/>
        <w:rPr>
          <w:rFonts w:ascii="Arial Narrow" w:eastAsiaTheme="majorEastAsia" w:hAnsi="Arial Narrow" w:cs="Times New Roman"/>
          <w:b/>
          <w:sz w:val="20"/>
        </w:rPr>
      </w:pPr>
      <w:r>
        <w:br w:type="page"/>
      </w:r>
    </w:p>
    <w:p w14:paraId="6A4DDEAF" w14:textId="3980F8A3" w:rsidR="004274DC" w:rsidRPr="002D21EA" w:rsidRDefault="000B7775" w:rsidP="0081052F">
      <w:pPr>
        <w:pStyle w:val="Caption"/>
        <w:rPr>
          <w:lang w:val="en-AU"/>
        </w:rPr>
      </w:pPr>
      <w:r w:rsidRPr="002D21EA">
        <w:rPr>
          <w:lang w:val="en-AU"/>
        </w:rPr>
        <w:lastRenderedPageBreak/>
        <w:t xml:space="preserve">Table </w:t>
      </w:r>
      <w:r w:rsidR="005153E8" w:rsidRPr="002D21EA">
        <w:rPr>
          <w:lang w:val="en-AU"/>
        </w:rPr>
        <w:fldChar w:fldCharType="begin"/>
      </w:r>
      <w:r w:rsidR="005153E8" w:rsidRPr="002D21EA">
        <w:rPr>
          <w:lang w:val="en-AU"/>
        </w:rPr>
        <w:instrText xml:space="preserve"> SEQ Table \* ARABIC </w:instrText>
      </w:r>
      <w:r w:rsidR="005153E8" w:rsidRPr="002D21EA">
        <w:rPr>
          <w:lang w:val="en-AU"/>
        </w:rPr>
        <w:fldChar w:fldCharType="separate"/>
      </w:r>
      <w:r w:rsidR="006C2A4B">
        <w:rPr>
          <w:noProof/>
          <w:lang w:val="en-AU"/>
        </w:rPr>
        <w:t>6</w:t>
      </w:r>
      <w:r w:rsidR="005153E8" w:rsidRPr="002D21EA">
        <w:rPr>
          <w:lang w:val="en-AU"/>
        </w:rPr>
        <w:fldChar w:fldCharType="end"/>
      </w:r>
      <w:r w:rsidR="0081052F" w:rsidRPr="002D21EA">
        <w:rPr>
          <w:lang w:val="en-AU"/>
        </w:rPr>
        <w:t xml:space="preserve">: </w:t>
      </w:r>
      <w:r w:rsidR="004274DC" w:rsidRPr="002D21EA">
        <w:rPr>
          <w:lang w:val="en-AU"/>
        </w:rPr>
        <w:t>Secondary outcomes in the TENAYA and LUCERNE trials</w:t>
      </w:r>
    </w:p>
    <w:tbl>
      <w:tblPr>
        <w:tblStyle w:val="TableGrid"/>
        <w:tblW w:w="0" w:type="auto"/>
        <w:tblCellMar>
          <w:left w:w="28" w:type="dxa"/>
          <w:right w:w="28" w:type="dxa"/>
        </w:tblCellMar>
        <w:tblLook w:val="04A0" w:firstRow="1" w:lastRow="0" w:firstColumn="1" w:lastColumn="0" w:noHBand="0" w:noVBand="1"/>
      </w:tblPr>
      <w:tblGrid>
        <w:gridCol w:w="1980"/>
        <w:gridCol w:w="2345"/>
        <w:gridCol w:w="2345"/>
        <w:gridCol w:w="2346"/>
      </w:tblGrid>
      <w:tr w:rsidR="004274DC" w:rsidRPr="002D21EA" w14:paraId="069870E8" w14:textId="77777777" w:rsidTr="004338FC">
        <w:trPr>
          <w:tblHeader/>
        </w:trPr>
        <w:tc>
          <w:tcPr>
            <w:tcW w:w="1980" w:type="dxa"/>
          </w:tcPr>
          <w:p w14:paraId="4864BD9C" w14:textId="77777777" w:rsidR="004274DC" w:rsidRPr="002D21EA" w:rsidRDefault="004274DC" w:rsidP="00174A07">
            <w:pPr>
              <w:spacing w:after="60"/>
              <w:contextualSpacing/>
              <w:rPr>
                <w:rFonts w:ascii="Arial Narrow" w:hAnsi="Arial Narrow"/>
                <w:sz w:val="20"/>
                <w:szCs w:val="20"/>
              </w:rPr>
            </w:pPr>
          </w:p>
        </w:tc>
        <w:tc>
          <w:tcPr>
            <w:tcW w:w="2345" w:type="dxa"/>
            <w:vAlign w:val="center"/>
          </w:tcPr>
          <w:p w14:paraId="5BCAE1F0" w14:textId="77777777" w:rsidR="004274DC" w:rsidRPr="002D21EA" w:rsidRDefault="004274DC" w:rsidP="00174A07">
            <w:pPr>
              <w:spacing w:after="60"/>
              <w:contextualSpacing/>
              <w:jc w:val="center"/>
              <w:rPr>
                <w:rFonts w:ascii="Arial Narrow" w:hAnsi="Arial Narrow"/>
                <w:b/>
                <w:bCs/>
                <w:sz w:val="20"/>
                <w:szCs w:val="20"/>
              </w:rPr>
            </w:pPr>
            <w:r w:rsidRPr="002D21EA">
              <w:rPr>
                <w:rFonts w:ascii="Arial Narrow" w:hAnsi="Arial Narrow"/>
                <w:b/>
                <w:bCs/>
                <w:sz w:val="20"/>
                <w:szCs w:val="20"/>
              </w:rPr>
              <w:t>Faricimab 6 mg up to Q16W</w:t>
            </w:r>
          </w:p>
        </w:tc>
        <w:tc>
          <w:tcPr>
            <w:tcW w:w="2345" w:type="dxa"/>
            <w:vAlign w:val="center"/>
          </w:tcPr>
          <w:p w14:paraId="114A8CFB" w14:textId="77777777" w:rsidR="004274DC" w:rsidRPr="002D21EA" w:rsidRDefault="004274DC" w:rsidP="00174A07">
            <w:pPr>
              <w:spacing w:after="60"/>
              <w:contextualSpacing/>
              <w:jc w:val="center"/>
              <w:rPr>
                <w:rFonts w:ascii="Arial Narrow" w:hAnsi="Arial Narrow"/>
                <w:b/>
                <w:bCs/>
                <w:sz w:val="20"/>
                <w:szCs w:val="20"/>
              </w:rPr>
            </w:pPr>
            <w:r w:rsidRPr="002D21EA">
              <w:rPr>
                <w:rFonts w:ascii="Arial Narrow" w:hAnsi="Arial Narrow"/>
                <w:b/>
                <w:bCs/>
                <w:sz w:val="20"/>
                <w:szCs w:val="20"/>
              </w:rPr>
              <w:t>Aflibercept 2 mg Q8W</w:t>
            </w:r>
          </w:p>
        </w:tc>
        <w:tc>
          <w:tcPr>
            <w:tcW w:w="2346" w:type="dxa"/>
            <w:vAlign w:val="center"/>
          </w:tcPr>
          <w:p w14:paraId="740F3606" w14:textId="77777777" w:rsidR="004274DC" w:rsidRPr="002D21EA" w:rsidRDefault="004274DC" w:rsidP="00174A07">
            <w:pPr>
              <w:spacing w:after="60"/>
              <w:contextualSpacing/>
              <w:jc w:val="center"/>
              <w:rPr>
                <w:rFonts w:ascii="Arial Narrow" w:hAnsi="Arial Narrow"/>
                <w:b/>
                <w:bCs/>
                <w:sz w:val="20"/>
                <w:szCs w:val="20"/>
              </w:rPr>
            </w:pPr>
            <w:r w:rsidRPr="002D21EA">
              <w:rPr>
                <w:rFonts w:ascii="Arial Narrow" w:hAnsi="Arial Narrow"/>
                <w:b/>
                <w:bCs/>
                <w:sz w:val="20"/>
                <w:szCs w:val="20"/>
              </w:rPr>
              <w:t>Difference</w:t>
            </w:r>
          </w:p>
        </w:tc>
      </w:tr>
      <w:tr w:rsidR="004274DC" w:rsidRPr="002D21EA" w14:paraId="4CEE2C1E" w14:textId="77777777" w:rsidTr="00174A07">
        <w:tc>
          <w:tcPr>
            <w:tcW w:w="9016" w:type="dxa"/>
            <w:gridSpan w:val="4"/>
          </w:tcPr>
          <w:p w14:paraId="213016FA" w14:textId="77777777" w:rsidR="004274DC" w:rsidRPr="002D21EA" w:rsidRDefault="004274DC" w:rsidP="00174A07">
            <w:pPr>
              <w:spacing w:after="60"/>
              <w:contextualSpacing/>
              <w:rPr>
                <w:rFonts w:ascii="Arial Narrow" w:hAnsi="Arial Narrow"/>
                <w:b/>
                <w:bCs/>
                <w:sz w:val="20"/>
                <w:szCs w:val="20"/>
              </w:rPr>
            </w:pPr>
            <w:r w:rsidRPr="002D21EA">
              <w:rPr>
                <w:rFonts w:ascii="Arial Narrow" w:hAnsi="Arial Narrow"/>
                <w:b/>
                <w:bCs/>
                <w:sz w:val="20"/>
                <w:szCs w:val="20"/>
              </w:rPr>
              <w:t>Proportion of patients (95% CI) gaining ≥15 letters of BCVA from baseline at Week 40/44/48</w:t>
            </w:r>
          </w:p>
        </w:tc>
      </w:tr>
      <w:tr w:rsidR="004274DC" w:rsidRPr="002D21EA" w14:paraId="17766798" w14:textId="77777777" w:rsidTr="00174A07">
        <w:tc>
          <w:tcPr>
            <w:tcW w:w="1980" w:type="dxa"/>
          </w:tcPr>
          <w:p w14:paraId="681F56AF" w14:textId="2678E43E" w:rsidR="004274DC" w:rsidRPr="002D21EA" w:rsidRDefault="004274DC" w:rsidP="00174A07">
            <w:pPr>
              <w:spacing w:after="60"/>
              <w:contextualSpacing/>
              <w:rPr>
                <w:rFonts w:ascii="Arial Narrow" w:hAnsi="Arial Narrow"/>
                <w:sz w:val="20"/>
                <w:szCs w:val="20"/>
              </w:rPr>
            </w:pPr>
            <w:r w:rsidRPr="002D21EA">
              <w:rPr>
                <w:rFonts w:ascii="Arial Narrow" w:hAnsi="Arial Narrow"/>
                <w:sz w:val="20"/>
                <w:szCs w:val="20"/>
              </w:rPr>
              <w:t>TENAYA</w:t>
            </w:r>
            <w:r w:rsidR="005162DE" w:rsidRPr="002D21EA">
              <w:rPr>
                <w:rFonts w:ascii="Arial Narrow" w:hAnsi="Arial Narrow"/>
                <w:sz w:val="20"/>
                <w:szCs w:val="20"/>
                <w:vertAlign w:val="superscript"/>
              </w:rPr>
              <w:t>1</w:t>
            </w:r>
          </w:p>
        </w:tc>
        <w:tc>
          <w:tcPr>
            <w:tcW w:w="2345" w:type="dxa"/>
            <w:vAlign w:val="center"/>
          </w:tcPr>
          <w:p w14:paraId="154D64F9" w14:textId="1D88FBCE" w:rsidR="004274DC" w:rsidRPr="002D21EA" w:rsidRDefault="00E6545B" w:rsidP="00174A07">
            <w:pPr>
              <w:spacing w:after="60"/>
              <w:contextualSpacing/>
              <w:jc w:val="center"/>
              <w:rPr>
                <w:rFonts w:ascii="Arial Narrow" w:hAnsi="Arial Narrow"/>
                <w:sz w:val="20"/>
                <w:szCs w:val="20"/>
              </w:rPr>
            </w:pPr>
            <w:r w:rsidRPr="002D21EA">
              <w:rPr>
                <w:rFonts w:ascii="Arial Narrow" w:hAnsi="Arial Narrow"/>
                <w:sz w:val="20"/>
                <w:szCs w:val="20"/>
              </w:rPr>
              <w:t>20.0%</w:t>
            </w:r>
            <w:r w:rsidR="004E5F4A" w:rsidRPr="002D21EA">
              <w:rPr>
                <w:rFonts w:ascii="Arial Narrow" w:hAnsi="Arial Narrow"/>
                <w:sz w:val="20"/>
                <w:szCs w:val="20"/>
              </w:rPr>
              <w:t xml:space="preserve"> (15.6, 24.4)</w:t>
            </w:r>
          </w:p>
        </w:tc>
        <w:tc>
          <w:tcPr>
            <w:tcW w:w="2345" w:type="dxa"/>
            <w:vAlign w:val="center"/>
          </w:tcPr>
          <w:p w14:paraId="55275F6D" w14:textId="7403277A" w:rsidR="004E5F4A" w:rsidRPr="002D21EA" w:rsidRDefault="004E5F4A" w:rsidP="00174A07">
            <w:pPr>
              <w:spacing w:after="60"/>
              <w:contextualSpacing/>
              <w:jc w:val="center"/>
              <w:rPr>
                <w:rFonts w:ascii="Arial Narrow" w:hAnsi="Arial Narrow"/>
                <w:sz w:val="20"/>
                <w:szCs w:val="20"/>
              </w:rPr>
            </w:pPr>
            <w:r w:rsidRPr="002D21EA">
              <w:rPr>
                <w:rFonts w:ascii="Arial Narrow" w:hAnsi="Arial Narrow"/>
                <w:sz w:val="20"/>
                <w:szCs w:val="20"/>
              </w:rPr>
              <w:t>15.7% (11.9, 19.6)</w:t>
            </w:r>
          </w:p>
        </w:tc>
        <w:tc>
          <w:tcPr>
            <w:tcW w:w="2346" w:type="dxa"/>
            <w:vAlign w:val="center"/>
          </w:tcPr>
          <w:p w14:paraId="6284B090" w14:textId="0C9D2FA0" w:rsidR="004274DC" w:rsidRPr="002D21EA" w:rsidRDefault="004E5F4A" w:rsidP="00174A07">
            <w:pPr>
              <w:spacing w:after="60"/>
              <w:contextualSpacing/>
              <w:jc w:val="center"/>
              <w:rPr>
                <w:rFonts w:ascii="Arial Narrow" w:hAnsi="Arial Narrow"/>
                <w:sz w:val="20"/>
                <w:szCs w:val="20"/>
              </w:rPr>
            </w:pPr>
            <w:r w:rsidRPr="002D21EA">
              <w:rPr>
                <w:rFonts w:ascii="Arial Narrow" w:hAnsi="Arial Narrow"/>
                <w:sz w:val="20"/>
                <w:szCs w:val="20"/>
              </w:rPr>
              <w:t>4.3% (-1.6, 10.1)</w:t>
            </w:r>
          </w:p>
        </w:tc>
      </w:tr>
      <w:tr w:rsidR="004274DC" w:rsidRPr="002D21EA" w14:paraId="0AF27111" w14:textId="77777777" w:rsidTr="00174A07">
        <w:tc>
          <w:tcPr>
            <w:tcW w:w="1980" w:type="dxa"/>
          </w:tcPr>
          <w:p w14:paraId="3470FF8C" w14:textId="09FD492D" w:rsidR="004274DC" w:rsidRPr="002D21EA" w:rsidRDefault="004274DC" w:rsidP="00174A07">
            <w:pPr>
              <w:spacing w:after="60"/>
              <w:contextualSpacing/>
              <w:rPr>
                <w:rFonts w:ascii="Arial Narrow" w:hAnsi="Arial Narrow"/>
                <w:sz w:val="20"/>
                <w:szCs w:val="20"/>
              </w:rPr>
            </w:pPr>
            <w:r w:rsidRPr="002D21EA">
              <w:rPr>
                <w:rFonts w:ascii="Arial Narrow" w:hAnsi="Arial Narrow"/>
                <w:sz w:val="20"/>
                <w:szCs w:val="20"/>
              </w:rPr>
              <w:t>LUCERNE</w:t>
            </w:r>
            <w:r w:rsidR="005162DE" w:rsidRPr="002D21EA">
              <w:rPr>
                <w:rFonts w:ascii="Arial Narrow" w:hAnsi="Arial Narrow"/>
                <w:sz w:val="20"/>
                <w:szCs w:val="20"/>
                <w:vertAlign w:val="superscript"/>
              </w:rPr>
              <w:t>2</w:t>
            </w:r>
          </w:p>
        </w:tc>
        <w:tc>
          <w:tcPr>
            <w:tcW w:w="2345" w:type="dxa"/>
            <w:vAlign w:val="center"/>
          </w:tcPr>
          <w:p w14:paraId="6E0862B7" w14:textId="50014128" w:rsidR="004274DC" w:rsidRPr="002D21EA" w:rsidRDefault="0008689D" w:rsidP="00174A07">
            <w:pPr>
              <w:spacing w:after="60"/>
              <w:contextualSpacing/>
              <w:jc w:val="center"/>
              <w:rPr>
                <w:rFonts w:ascii="Arial Narrow" w:hAnsi="Arial Narrow"/>
                <w:sz w:val="20"/>
                <w:szCs w:val="20"/>
              </w:rPr>
            </w:pPr>
            <w:r w:rsidRPr="002D21EA">
              <w:rPr>
                <w:rFonts w:ascii="Arial Narrow" w:hAnsi="Arial Narrow"/>
                <w:sz w:val="20"/>
                <w:szCs w:val="20"/>
              </w:rPr>
              <w:t>20.2% (</w:t>
            </w:r>
            <w:r w:rsidR="00A1439A" w:rsidRPr="002D21EA">
              <w:rPr>
                <w:rFonts w:ascii="Arial Narrow" w:hAnsi="Arial Narrow"/>
                <w:sz w:val="20"/>
                <w:szCs w:val="20"/>
              </w:rPr>
              <w:t>15.9, 24.6)</w:t>
            </w:r>
          </w:p>
        </w:tc>
        <w:tc>
          <w:tcPr>
            <w:tcW w:w="2345" w:type="dxa"/>
            <w:vAlign w:val="center"/>
          </w:tcPr>
          <w:p w14:paraId="52C003E9" w14:textId="0A0D3E8B" w:rsidR="004274DC" w:rsidRPr="002D21EA" w:rsidRDefault="00A1439A" w:rsidP="00174A07">
            <w:pPr>
              <w:spacing w:after="60"/>
              <w:contextualSpacing/>
              <w:jc w:val="center"/>
              <w:rPr>
                <w:rFonts w:ascii="Arial Narrow" w:hAnsi="Arial Narrow"/>
                <w:sz w:val="20"/>
                <w:szCs w:val="20"/>
              </w:rPr>
            </w:pPr>
            <w:r w:rsidRPr="002D21EA">
              <w:rPr>
                <w:rFonts w:ascii="Arial Narrow" w:hAnsi="Arial Narrow"/>
                <w:sz w:val="20"/>
                <w:szCs w:val="20"/>
              </w:rPr>
              <w:t>22.2% (17.7, 26.8)</w:t>
            </w:r>
          </w:p>
        </w:tc>
        <w:tc>
          <w:tcPr>
            <w:tcW w:w="2346" w:type="dxa"/>
            <w:vAlign w:val="center"/>
          </w:tcPr>
          <w:p w14:paraId="2B62DE2F" w14:textId="3A026C9B" w:rsidR="004274DC" w:rsidRPr="002D21EA" w:rsidRDefault="00A1439A" w:rsidP="00174A07">
            <w:pPr>
              <w:spacing w:after="60"/>
              <w:contextualSpacing/>
              <w:jc w:val="center"/>
              <w:rPr>
                <w:rFonts w:ascii="Arial Narrow" w:hAnsi="Arial Narrow"/>
                <w:sz w:val="20"/>
                <w:szCs w:val="20"/>
              </w:rPr>
            </w:pPr>
            <w:r w:rsidRPr="002D21EA">
              <w:rPr>
                <w:rFonts w:ascii="Arial Narrow" w:hAnsi="Arial Narrow"/>
                <w:sz w:val="20"/>
                <w:szCs w:val="20"/>
              </w:rPr>
              <w:t>-2.0 (-8.3, 4.3)</w:t>
            </w:r>
          </w:p>
        </w:tc>
      </w:tr>
      <w:tr w:rsidR="004274DC" w:rsidRPr="002D21EA" w14:paraId="5F969E00" w14:textId="77777777" w:rsidTr="00174A07">
        <w:tc>
          <w:tcPr>
            <w:tcW w:w="1980" w:type="dxa"/>
          </w:tcPr>
          <w:p w14:paraId="11E8514D" w14:textId="54ECE703" w:rsidR="004274DC" w:rsidRPr="002D21EA" w:rsidRDefault="004274DC" w:rsidP="00174A07">
            <w:pPr>
              <w:spacing w:after="60"/>
              <w:contextualSpacing/>
              <w:rPr>
                <w:rFonts w:ascii="Arial Narrow" w:hAnsi="Arial Narrow"/>
                <w:sz w:val="20"/>
                <w:szCs w:val="20"/>
              </w:rPr>
            </w:pPr>
            <w:r w:rsidRPr="002D21EA">
              <w:rPr>
                <w:rFonts w:ascii="Arial Narrow" w:hAnsi="Arial Narrow"/>
                <w:sz w:val="20"/>
                <w:szCs w:val="20"/>
              </w:rPr>
              <w:t>Pooled</w:t>
            </w:r>
            <w:r w:rsidR="005162DE" w:rsidRPr="002D21EA">
              <w:rPr>
                <w:rFonts w:ascii="Arial Narrow" w:hAnsi="Arial Narrow"/>
                <w:sz w:val="20"/>
                <w:szCs w:val="20"/>
                <w:vertAlign w:val="superscript"/>
              </w:rPr>
              <w:t>3</w:t>
            </w:r>
          </w:p>
        </w:tc>
        <w:tc>
          <w:tcPr>
            <w:tcW w:w="2345" w:type="dxa"/>
            <w:vAlign w:val="center"/>
          </w:tcPr>
          <w:p w14:paraId="0E76AC38" w14:textId="77777777" w:rsidR="004274DC" w:rsidRPr="002D21EA" w:rsidRDefault="004274DC" w:rsidP="00174A07">
            <w:pPr>
              <w:spacing w:after="60"/>
              <w:contextualSpacing/>
              <w:jc w:val="center"/>
              <w:rPr>
                <w:rFonts w:ascii="Arial Narrow" w:hAnsi="Arial Narrow"/>
                <w:sz w:val="20"/>
                <w:szCs w:val="20"/>
              </w:rPr>
            </w:pPr>
            <w:r w:rsidRPr="002D21EA">
              <w:rPr>
                <w:rFonts w:ascii="Arial Narrow" w:hAnsi="Arial Narrow"/>
                <w:sz w:val="20"/>
                <w:szCs w:val="20"/>
              </w:rPr>
              <w:t>20.1% (17.0, 23.2)</w:t>
            </w:r>
          </w:p>
        </w:tc>
        <w:tc>
          <w:tcPr>
            <w:tcW w:w="2345" w:type="dxa"/>
            <w:vAlign w:val="center"/>
          </w:tcPr>
          <w:p w14:paraId="61263CEA" w14:textId="77777777" w:rsidR="004274DC" w:rsidRPr="002D21EA" w:rsidRDefault="004274DC" w:rsidP="00174A07">
            <w:pPr>
              <w:spacing w:after="60"/>
              <w:contextualSpacing/>
              <w:jc w:val="center"/>
              <w:rPr>
                <w:rFonts w:ascii="Arial Narrow" w:hAnsi="Arial Narrow"/>
                <w:sz w:val="20"/>
                <w:szCs w:val="20"/>
              </w:rPr>
            </w:pPr>
            <w:r w:rsidRPr="002D21EA">
              <w:rPr>
                <w:rFonts w:ascii="Arial Narrow" w:hAnsi="Arial Narrow"/>
                <w:sz w:val="20"/>
                <w:szCs w:val="20"/>
              </w:rPr>
              <w:t>19.0% (16.0, 22.0)</w:t>
            </w:r>
          </w:p>
        </w:tc>
        <w:tc>
          <w:tcPr>
            <w:tcW w:w="2346" w:type="dxa"/>
            <w:vAlign w:val="center"/>
          </w:tcPr>
          <w:p w14:paraId="12FBC3E3" w14:textId="77777777" w:rsidR="004274DC" w:rsidRPr="002D21EA" w:rsidRDefault="004274DC" w:rsidP="00174A07">
            <w:pPr>
              <w:spacing w:after="60"/>
              <w:contextualSpacing/>
              <w:jc w:val="center"/>
              <w:rPr>
                <w:rFonts w:ascii="Arial Narrow" w:hAnsi="Arial Narrow"/>
                <w:sz w:val="20"/>
                <w:szCs w:val="20"/>
              </w:rPr>
            </w:pPr>
            <w:r w:rsidRPr="002D21EA">
              <w:rPr>
                <w:rFonts w:ascii="Arial Narrow" w:hAnsi="Arial Narrow"/>
                <w:sz w:val="20"/>
                <w:szCs w:val="20"/>
              </w:rPr>
              <w:t>1.1% (-3.2, 5.4)</w:t>
            </w:r>
          </w:p>
        </w:tc>
      </w:tr>
      <w:tr w:rsidR="004274DC" w:rsidRPr="002D21EA" w14:paraId="7AAAD91E" w14:textId="77777777" w:rsidTr="00174A07">
        <w:tc>
          <w:tcPr>
            <w:tcW w:w="9016" w:type="dxa"/>
            <w:gridSpan w:val="4"/>
          </w:tcPr>
          <w:p w14:paraId="30384B3B" w14:textId="77777777" w:rsidR="004274DC" w:rsidRPr="002D21EA" w:rsidRDefault="004274DC" w:rsidP="00174A07">
            <w:pPr>
              <w:spacing w:after="60"/>
              <w:contextualSpacing/>
              <w:jc w:val="left"/>
              <w:rPr>
                <w:rFonts w:ascii="Arial Narrow" w:hAnsi="Arial Narrow"/>
                <w:b/>
                <w:bCs/>
                <w:sz w:val="20"/>
                <w:szCs w:val="20"/>
              </w:rPr>
            </w:pPr>
            <w:r w:rsidRPr="002D21EA">
              <w:rPr>
                <w:rFonts w:ascii="Arial Narrow" w:hAnsi="Arial Narrow"/>
                <w:b/>
                <w:bCs/>
                <w:sz w:val="20"/>
                <w:szCs w:val="20"/>
              </w:rPr>
              <w:t>Proportion of patients (95% CI) avoiding a loss of ≥15 letters in BCVA from baseline at Week 40/44/48</w:t>
            </w:r>
          </w:p>
        </w:tc>
      </w:tr>
      <w:tr w:rsidR="005162DE" w:rsidRPr="002D21EA" w14:paraId="2B815BEC" w14:textId="77777777" w:rsidTr="00174A07">
        <w:tc>
          <w:tcPr>
            <w:tcW w:w="1980" w:type="dxa"/>
          </w:tcPr>
          <w:p w14:paraId="07584711" w14:textId="616A5DF8" w:rsidR="005162DE" w:rsidRPr="002D21EA" w:rsidRDefault="005162DE" w:rsidP="005162DE">
            <w:pPr>
              <w:spacing w:after="60"/>
              <w:contextualSpacing/>
              <w:rPr>
                <w:rFonts w:ascii="Arial Narrow" w:hAnsi="Arial Narrow"/>
                <w:sz w:val="20"/>
                <w:szCs w:val="20"/>
              </w:rPr>
            </w:pPr>
            <w:r w:rsidRPr="002D21EA">
              <w:rPr>
                <w:rFonts w:ascii="Arial Narrow" w:hAnsi="Arial Narrow"/>
                <w:sz w:val="20"/>
                <w:szCs w:val="20"/>
              </w:rPr>
              <w:t>TENAYA</w:t>
            </w:r>
            <w:r w:rsidRPr="002D21EA">
              <w:rPr>
                <w:rFonts w:ascii="Arial Narrow" w:hAnsi="Arial Narrow"/>
                <w:sz w:val="20"/>
                <w:szCs w:val="20"/>
                <w:vertAlign w:val="superscript"/>
              </w:rPr>
              <w:t>1</w:t>
            </w:r>
          </w:p>
        </w:tc>
        <w:tc>
          <w:tcPr>
            <w:tcW w:w="2345" w:type="dxa"/>
            <w:vAlign w:val="center"/>
          </w:tcPr>
          <w:p w14:paraId="60AB11B1" w14:textId="2C7FA85B" w:rsidR="005162DE" w:rsidRPr="002D21EA" w:rsidRDefault="005162DE" w:rsidP="005162DE">
            <w:pPr>
              <w:spacing w:after="60"/>
              <w:contextualSpacing/>
              <w:jc w:val="center"/>
              <w:rPr>
                <w:rFonts w:ascii="Arial Narrow" w:hAnsi="Arial Narrow"/>
                <w:sz w:val="20"/>
                <w:szCs w:val="20"/>
              </w:rPr>
            </w:pPr>
            <w:r w:rsidRPr="002D21EA">
              <w:rPr>
                <w:rFonts w:ascii="Arial Narrow" w:hAnsi="Arial Narrow"/>
                <w:sz w:val="20"/>
                <w:szCs w:val="20"/>
              </w:rPr>
              <w:t>95.4% (93.0, 97.7)</w:t>
            </w:r>
          </w:p>
        </w:tc>
        <w:tc>
          <w:tcPr>
            <w:tcW w:w="2345" w:type="dxa"/>
            <w:vAlign w:val="center"/>
          </w:tcPr>
          <w:p w14:paraId="1DD2AE30" w14:textId="0EAD2A96" w:rsidR="005162DE" w:rsidRPr="002D21EA" w:rsidRDefault="005162DE" w:rsidP="005162DE">
            <w:pPr>
              <w:spacing w:after="60"/>
              <w:contextualSpacing/>
              <w:jc w:val="center"/>
              <w:rPr>
                <w:rFonts w:ascii="Arial Narrow" w:hAnsi="Arial Narrow"/>
                <w:sz w:val="20"/>
                <w:szCs w:val="20"/>
              </w:rPr>
            </w:pPr>
            <w:r w:rsidRPr="002D21EA">
              <w:rPr>
                <w:rFonts w:ascii="Arial Narrow" w:hAnsi="Arial Narrow"/>
                <w:sz w:val="20"/>
                <w:szCs w:val="20"/>
              </w:rPr>
              <w:t>94.1% (91.5, 96.7)</w:t>
            </w:r>
          </w:p>
        </w:tc>
        <w:tc>
          <w:tcPr>
            <w:tcW w:w="2346" w:type="dxa"/>
            <w:vAlign w:val="center"/>
          </w:tcPr>
          <w:p w14:paraId="367116B8" w14:textId="2B77A667" w:rsidR="005162DE" w:rsidRPr="002D21EA" w:rsidRDefault="005162DE" w:rsidP="005162DE">
            <w:pPr>
              <w:spacing w:after="60"/>
              <w:contextualSpacing/>
              <w:jc w:val="center"/>
              <w:rPr>
                <w:rFonts w:ascii="Arial Narrow" w:hAnsi="Arial Narrow"/>
                <w:sz w:val="20"/>
                <w:szCs w:val="20"/>
              </w:rPr>
            </w:pPr>
            <w:r w:rsidRPr="002D21EA">
              <w:rPr>
                <w:rFonts w:ascii="Arial Narrow" w:hAnsi="Arial Narrow"/>
                <w:sz w:val="20"/>
                <w:szCs w:val="20"/>
              </w:rPr>
              <w:t>1.3% (-2.2, 4.8)</w:t>
            </w:r>
          </w:p>
        </w:tc>
      </w:tr>
      <w:tr w:rsidR="005162DE" w:rsidRPr="002D21EA" w14:paraId="69C4C072" w14:textId="77777777" w:rsidTr="00174A07">
        <w:tc>
          <w:tcPr>
            <w:tcW w:w="1980" w:type="dxa"/>
          </w:tcPr>
          <w:p w14:paraId="1CB046BA" w14:textId="53692B69" w:rsidR="005162DE" w:rsidRPr="002D21EA" w:rsidRDefault="005162DE" w:rsidP="005162DE">
            <w:pPr>
              <w:spacing w:after="60"/>
              <w:contextualSpacing/>
              <w:rPr>
                <w:rFonts w:ascii="Arial Narrow" w:hAnsi="Arial Narrow"/>
                <w:sz w:val="20"/>
                <w:szCs w:val="20"/>
              </w:rPr>
            </w:pPr>
            <w:r w:rsidRPr="002D21EA">
              <w:rPr>
                <w:rFonts w:ascii="Arial Narrow" w:hAnsi="Arial Narrow"/>
                <w:sz w:val="20"/>
                <w:szCs w:val="20"/>
              </w:rPr>
              <w:t>LUCERNE</w:t>
            </w:r>
            <w:r w:rsidRPr="002D21EA">
              <w:rPr>
                <w:rFonts w:ascii="Arial Narrow" w:hAnsi="Arial Narrow"/>
                <w:sz w:val="20"/>
                <w:szCs w:val="20"/>
                <w:vertAlign w:val="superscript"/>
              </w:rPr>
              <w:t>2</w:t>
            </w:r>
          </w:p>
        </w:tc>
        <w:tc>
          <w:tcPr>
            <w:tcW w:w="2345" w:type="dxa"/>
            <w:vAlign w:val="center"/>
          </w:tcPr>
          <w:p w14:paraId="319606D1" w14:textId="621639E7" w:rsidR="005162DE" w:rsidRPr="002D21EA" w:rsidRDefault="006D6386" w:rsidP="005162DE">
            <w:pPr>
              <w:spacing w:after="60"/>
              <w:contextualSpacing/>
              <w:jc w:val="center"/>
              <w:rPr>
                <w:rFonts w:ascii="Arial Narrow" w:hAnsi="Arial Narrow"/>
                <w:sz w:val="20"/>
                <w:szCs w:val="20"/>
              </w:rPr>
            </w:pPr>
            <w:r w:rsidRPr="002D21EA">
              <w:rPr>
                <w:rFonts w:ascii="Arial Narrow" w:hAnsi="Arial Narrow"/>
                <w:sz w:val="20"/>
                <w:szCs w:val="20"/>
              </w:rPr>
              <w:t>95.8% (93.6, 98.0)</w:t>
            </w:r>
          </w:p>
        </w:tc>
        <w:tc>
          <w:tcPr>
            <w:tcW w:w="2345" w:type="dxa"/>
            <w:vAlign w:val="center"/>
          </w:tcPr>
          <w:p w14:paraId="63905112" w14:textId="6316FC74" w:rsidR="005162DE" w:rsidRPr="002D21EA" w:rsidRDefault="006D6386" w:rsidP="005162DE">
            <w:pPr>
              <w:spacing w:after="60"/>
              <w:contextualSpacing/>
              <w:jc w:val="center"/>
              <w:rPr>
                <w:rFonts w:ascii="Arial Narrow" w:hAnsi="Arial Narrow"/>
                <w:sz w:val="20"/>
                <w:szCs w:val="20"/>
              </w:rPr>
            </w:pPr>
            <w:r w:rsidRPr="002D21EA">
              <w:rPr>
                <w:rFonts w:ascii="Arial Narrow" w:hAnsi="Arial Narrow"/>
                <w:sz w:val="20"/>
                <w:szCs w:val="20"/>
              </w:rPr>
              <w:t>97.3% (</w:t>
            </w:r>
            <w:r w:rsidR="00EA7895" w:rsidRPr="002D21EA">
              <w:rPr>
                <w:rFonts w:ascii="Arial Narrow" w:hAnsi="Arial Narrow"/>
                <w:sz w:val="20"/>
                <w:szCs w:val="20"/>
              </w:rPr>
              <w:t>95.5, 99.1</w:t>
            </w:r>
            <w:r w:rsidRPr="002D21EA">
              <w:rPr>
                <w:rFonts w:ascii="Arial Narrow" w:hAnsi="Arial Narrow"/>
                <w:sz w:val="20"/>
                <w:szCs w:val="20"/>
              </w:rPr>
              <w:t>)</w:t>
            </w:r>
          </w:p>
        </w:tc>
        <w:tc>
          <w:tcPr>
            <w:tcW w:w="2346" w:type="dxa"/>
            <w:vAlign w:val="center"/>
          </w:tcPr>
          <w:p w14:paraId="328314E1" w14:textId="50A41F02" w:rsidR="005162DE" w:rsidRPr="002D21EA" w:rsidRDefault="00EA7895" w:rsidP="005162DE">
            <w:pPr>
              <w:spacing w:after="60"/>
              <w:contextualSpacing/>
              <w:jc w:val="center"/>
              <w:rPr>
                <w:rFonts w:ascii="Arial Narrow" w:hAnsi="Arial Narrow"/>
                <w:sz w:val="20"/>
                <w:szCs w:val="20"/>
              </w:rPr>
            </w:pPr>
            <w:r w:rsidRPr="002D21EA">
              <w:rPr>
                <w:rFonts w:ascii="Arial Narrow" w:hAnsi="Arial Narrow"/>
                <w:sz w:val="20"/>
                <w:szCs w:val="20"/>
              </w:rPr>
              <w:t>-1.5% (-4.4, 1.3)</w:t>
            </w:r>
          </w:p>
        </w:tc>
      </w:tr>
      <w:tr w:rsidR="005162DE" w:rsidRPr="002D21EA" w14:paraId="1A5282A4" w14:textId="77777777" w:rsidTr="00174A07">
        <w:tc>
          <w:tcPr>
            <w:tcW w:w="1980" w:type="dxa"/>
          </w:tcPr>
          <w:p w14:paraId="3C17C4E8" w14:textId="6D37B45C" w:rsidR="005162DE" w:rsidRPr="002D21EA" w:rsidRDefault="005162DE" w:rsidP="005162DE">
            <w:pPr>
              <w:spacing w:after="60"/>
              <w:contextualSpacing/>
              <w:rPr>
                <w:rFonts w:ascii="Arial Narrow" w:hAnsi="Arial Narrow"/>
                <w:sz w:val="20"/>
                <w:szCs w:val="20"/>
              </w:rPr>
            </w:pPr>
            <w:r w:rsidRPr="002D21EA">
              <w:rPr>
                <w:rFonts w:ascii="Arial Narrow" w:hAnsi="Arial Narrow"/>
                <w:sz w:val="20"/>
                <w:szCs w:val="20"/>
              </w:rPr>
              <w:t>Pooled</w:t>
            </w:r>
            <w:r w:rsidRPr="002D21EA">
              <w:rPr>
                <w:rFonts w:ascii="Arial Narrow" w:hAnsi="Arial Narrow"/>
                <w:sz w:val="20"/>
                <w:szCs w:val="20"/>
                <w:vertAlign w:val="superscript"/>
              </w:rPr>
              <w:t>3</w:t>
            </w:r>
          </w:p>
        </w:tc>
        <w:tc>
          <w:tcPr>
            <w:tcW w:w="2345" w:type="dxa"/>
            <w:vAlign w:val="center"/>
          </w:tcPr>
          <w:p w14:paraId="04CCAE51" w14:textId="77777777" w:rsidR="005162DE" w:rsidRPr="002D21EA" w:rsidRDefault="005162DE" w:rsidP="005162DE">
            <w:pPr>
              <w:spacing w:after="60"/>
              <w:contextualSpacing/>
              <w:jc w:val="center"/>
              <w:rPr>
                <w:rFonts w:ascii="Arial Narrow" w:hAnsi="Arial Narrow"/>
                <w:sz w:val="20"/>
                <w:szCs w:val="20"/>
              </w:rPr>
            </w:pPr>
            <w:r w:rsidRPr="002D21EA">
              <w:rPr>
                <w:rFonts w:ascii="Arial Narrow" w:hAnsi="Arial Narrow"/>
                <w:sz w:val="20"/>
                <w:szCs w:val="20"/>
              </w:rPr>
              <w:t>95.6% (94.0, 97.2)</w:t>
            </w:r>
          </w:p>
        </w:tc>
        <w:tc>
          <w:tcPr>
            <w:tcW w:w="2345" w:type="dxa"/>
            <w:vAlign w:val="center"/>
          </w:tcPr>
          <w:p w14:paraId="53666B25" w14:textId="77777777" w:rsidR="005162DE" w:rsidRPr="002D21EA" w:rsidRDefault="005162DE" w:rsidP="005162DE">
            <w:pPr>
              <w:spacing w:after="60"/>
              <w:contextualSpacing/>
              <w:jc w:val="center"/>
              <w:rPr>
                <w:rFonts w:ascii="Arial Narrow" w:hAnsi="Arial Narrow"/>
                <w:sz w:val="20"/>
                <w:szCs w:val="20"/>
              </w:rPr>
            </w:pPr>
            <w:r w:rsidRPr="002D21EA">
              <w:rPr>
                <w:rFonts w:ascii="Arial Narrow" w:hAnsi="Arial Narrow"/>
                <w:sz w:val="20"/>
                <w:szCs w:val="20"/>
              </w:rPr>
              <w:t>95.7% (94.1, 97.3)</w:t>
            </w:r>
          </w:p>
        </w:tc>
        <w:tc>
          <w:tcPr>
            <w:tcW w:w="2346" w:type="dxa"/>
            <w:vAlign w:val="center"/>
          </w:tcPr>
          <w:p w14:paraId="1B294BED" w14:textId="77777777" w:rsidR="005162DE" w:rsidRPr="002D21EA" w:rsidRDefault="005162DE" w:rsidP="005162DE">
            <w:pPr>
              <w:spacing w:after="60"/>
              <w:contextualSpacing/>
              <w:jc w:val="center"/>
              <w:rPr>
                <w:rFonts w:ascii="Arial Narrow" w:hAnsi="Arial Narrow"/>
                <w:sz w:val="20"/>
                <w:szCs w:val="20"/>
              </w:rPr>
            </w:pPr>
            <w:r w:rsidRPr="002D21EA">
              <w:rPr>
                <w:rFonts w:ascii="Arial Narrow" w:hAnsi="Arial Narrow"/>
                <w:sz w:val="20"/>
                <w:szCs w:val="20"/>
              </w:rPr>
              <w:t>-0.1% (-24, 2.1)</w:t>
            </w:r>
          </w:p>
        </w:tc>
      </w:tr>
      <w:tr w:rsidR="004274DC" w:rsidRPr="002D21EA" w14:paraId="1313C5B1" w14:textId="77777777" w:rsidTr="00174A07">
        <w:tc>
          <w:tcPr>
            <w:tcW w:w="9016" w:type="dxa"/>
            <w:gridSpan w:val="4"/>
          </w:tcPr>
          <w:p w14:paraId="6A6A8240" w14:textId="77777777" w:rsidR="004274DC" w:rsidRPr="002D21EA" w:rsidRDefault="004274DC" w:rsidP="00174A07">
            <w:pPr>
              <w:spacing w:after="60"/>
              <w:contextualSpacing/>
              <w:jc w:val="left"/>
              <w:rPr>
                <w:rFonts w:ascii="Arial Narrow" w:hAnsi="Arial Narrow"/>
                <w:b/>
                <w:bCs/>
                <w:sz w:val="20"/>
                <w:szCs w:val="20"/>
              </w:rPr>
            </w:pPr>
            <w:r w:rsidRPr="002D21EA">
              <w:rPr>
                <w:rFonts w:ascii="Arial Narrow" w:hAnsi="Arial Narrow"/>
                <w:b/>
                <w:bCs/>
                <w:sz w:val="20"/>
                <w:szCs w:val="20"/>
              </w:rPr>
              <w:t>Mean change from baseline (95% CI) in CST at Week 40/44/48</w:t>
            </w:r>
          </w:p>
        </w:tc>
      </w:tr>
      <w:tr w:rsidR="005162DE" w:rsidRPr="002D21EA" w14:paraId="7EA70515" w14:textId="77777777" w:rsidTr="00174A07">
        <w:tc>
          <w:tcPr>
            <w:tcW w:w="1980" w:type="dxa"/>
          </w:tcPr>
          <w:p w14:paraId="7893D51D" w14:textId="126DCA0F" w:rsidR="005162DE" w:rsidRPr="002D21EA" w:rsidRDefault="005162DE" w:rsidP="005162DE">
            <w:pPr>
              <w:spacing w:after="60"/>
              <w:contextualSpacing/>
              <w:rPr>
                <w:rFonts w:ascii="Arial Narrow" w:hAnsi="Arial Narrow"/>
                <w:sz w:val="20"/>
                <w:szCs w:val="20"/>
              </w:rPr>
            </w:pPr>
            <w:r w:rsidRPr="002D21EA">
              <w:rPr>
                <w:rFonts w:ascii="Arial Narrow" w:hAnsi="Arial Narrow"/>
                <w:sz w:val="20"/>
                <w:szCs w:val="20"/>
              </w:rPr>
              <w:t>TENAYA</w:t>
            </w:r>
            <w:r w:rsidRPr="002D21EA">
              <w:rPr>
                <w:rFonts w:ascii="Arial Narrow" w:hAnsi="Arial Narrow"/>
                <w:sz w:val="20"/>
                <w:szCs w:val="20"/>
                <w:vertAlign w:val="superscript"/>
              </w:rPr>
              <w:t>1</w:t>
            </w:r>
          </w:p>
        </w:tc>
        <w:tc>
          <w:tcPr>
            <w:tcW w:w="2345" w:type="dxa"/>
            <w:vAlign w:val="center"/>
          </w:tcPr>
          <w:p w14:paraId="5A63B41E" w14:textId="0C4DD409" w:rsidR="005162DE" w:rsidRPr="002D21EA" w:rsidRDefault="006D284B" w:rsidP="005162DE">
            <w:pPr>
              <w:spacing w:after="60"/>
              <w:contextualSpacing/>
              <w:jc w:val="center"/>
              <w:rPr>
                <w:rFonts w:ascii="Arial Narrow" w:hAnsi="Arial Narrow"/>
                <w:sz w:val="20"/>
                <w:szCs w:val="20"/>
              </w:rPr>
            </w:pPr>
            <w:r w:rsidRPr="002D21EA">
              <w:rPr>
                <w:rFonts w:ascii="Arial Narrow" w:hAnsi="Arial Narrow"/>
                <w:sz w:val="20"/>
                <w:szCs w:val="20"/>
              </w:rPr>
              <w:t>-136.8 (-142.6, -131.0)</w:t>
            </w:r>
          </w:p>
        </w:tc>
        <w:tc>
          <w:tcPr>
            <w:tcW w:w="2345" w:type="dxa"/>
            <w:vAlign w:val="center"/>
          </w:tcPr>
          <w:p w14:paraId="3E01C308" w14:textId="1C5E47D3" w:rsidR="005162DE" w:rsidRPr="002D21EA" w:rsidRDefault="006D284B" w:rsidP="005162DE">
            <w:pPr>
              <w:spacing w:after="60"/>
              <w:contextualSpacing/>
              <w:jc w:val="center"/>
              <w:rPr>
                <w:rFonts w:ascii="Arial Narrow" w:hAnsi="Arial Narrow"/>
                <w:sz w:val="20"/>
                <w:szCs w:val="20"/>
              </w:rPr>
            </w:pPr>
            <w:r w:rsidRPr="002D21EA">
              <w:rPr>
                <w:rFonts w:ascii="Arial Narrow" w:hAnsi="Arial Narrow"/>
                <w:sz w:val="20"/>
                <w:szCs w:val="20"/>
              </w:rPr>
              <w:t>-129.4 (-135.2, -123.5)</w:t>
            </w:r>
          </w:p>
        </w:tc>
        <w:tc>
          <w:tcPr>
            <w:tcW w:w="2346" w:type="dxa"/>
            <w:vAlign w:val="center"/>
          </w:tcPr>
          <w:p w14:paraId="64A3E577" w14:textId="755777EE" w:rsidR="005162DE" w:rsidRPr="002D21EA" w:rsidRDefault="004957DE" w:rsidP="005162DE">
            <w:pPr>
              <w:spacing w:after="60"/>
              <w:contextualSpacing/>
              <w:jc w:val="center"/>
              <w:rPr>
                <w:rFonts w:ascii="Arial Narrow" w:hAnsi="Arial Narrow"/>
                <w:sz w:val="20"/>
                <w:szCs w:val="20"/>
              </w:rPr>
            </w:pPr>
            <w:r w:rsidRPr="002D21EA">
              <w:rPr>
                <w:rFonts w:ascii="Arial Narrow" w:hAnsi="Arial Narrow"/>
                <w:sz w:val="20"/>
                <w:szCs w:val="20"/>
              </w:rPr>
              <w:t>-7.4 (-14.7, 0.8)</w:t>
            </w:r>
          </w:p>
        </w:tc>
      </w:tr>
      <w:tr w:rsidR="005162DE" w:rsidRPr="002D21EA" w14:paraId="3DF7B973" w14:textId="77777777" w:rsidTr="00174A07">
        <w:tc>
          <w:tcPr>
            <w:tcW w:w="1980" w:type="dxa"/>
          </w:tcPr>
          <w:p w14:paraId="687AE452" w14:textId="627889EF" w:rsidR="005162DE" w:rsidRPr="002D21EA" w:rsidRDefault="005162DE" w:rsidP="005162DE">
            <w:pPr>
              <w:spacing w:after="60"/>
              <w:contextualSpacing/>
              <w:rPr>
                <w:rFonts w:ascii="Arial Narrow" w:hAnsi="Arial Narrow"/>
                <w:sz w:val="20"/>
                <w:szCs w:val="20"/>
              </w:rPr>
            </w:pPr>
            <w:r w:rsidRPr="002D21EA">
              <w:rPr>
                <w:rFonts w:ascii="Arial Narrow" w:hAnsi="Arial Narrow"/>
                <w:sz w:val="20"/>
                <w:szCs w:val="20"/>
              </w:rPr>
              <w:t>LUCERNE</w:t>
            </w:r>
            <w:r w:rsidRPr="002D21EA">
              <w:rPr>
                <w:rFonts w:ascii="Arial Narrow" w:hAnsi="Arial Narrow"/>
                <w:sz w:val="20"/>
                <w:szCs w:val="20"/>
                <w:vertAlign w:val="superscript"/>
              </w:rPr>
              <w:t>2</w:t>
            </w:r>
          </w:p>
        </w:tc>
        <w:tc>
          <w:tcPr>
            <w:tcW w:w="2345" w:type="dxa"/>
            <w:vAlign w:val="center"/>
          </w:tcPr>
          <w:p w14:paraId="4D961AFE" w14:textId="20DECACD" w:rsidR="005162DE" w:rsidRPr="002D21EA" w:rsidRDefault="004957DE" w:rsidP="005162DE">
            <w:pPr>
              <w:spacing w:after="60"/>
              <w:contextualSpacing/>
              <w:jc w:val="center"/>
              <w:rPr>
                <w:rFonts w:ascii="Arial Narrow" w:hAnsi="Arial Narrow"/>
                <w:sz w:val="20"/>
                <w:szCs w:val="20"/>
              </w:rPr>
            </w:pPr>
            <w:r w:rsidRPr="002D21EA">
              <w:rPr>
                <w:rFonts w:ascii="Arial Narrow" w:hAnsi="Arial Narrow"/>
                <w:sz w:val="20"/>
                <w:szCs w:val="20"/>
              </w:rPr>
              <w:t>-137.1 (-143.1, -131.2)</w:t>
            </w:r>
          </w:p>
        </w:tc>
        <w:tc>
          <w:tcPr>
            <w:tcW w:w="2345" w:type="dxa"/>
            <w:vAlign w:val="center"/>
          </w:tcPr>
          <w:p w14:paraId="1296701F" w14:textId="1C46F478" w:rsidR="005162DE" w:rsidRPr="002D21EA" w:rsidRDefault="004957DE" w:rsidP="005162DE">
            <w:pPr>
              <w:spacing w:after="60"/>
              <w:contextualSpacing/>
              <w:jc w:val="center"/>
              <w:rPr>
                <w:rFonts w:ascii="Arial Narrow" w:hAnsi="Arial Narrow"/>
                <w:sz w:val="20"/>
                <w:szCs w:val="20"/>
              </w:rPr>
            </w:pPr>
            <w:r w:rsidRPr="002D21EA">
              <w:rPr>
                <w:rFonts w:ascii="Arial Narrow" w:hAnsi="Arial Narrow"/>
                <w:sz w:val="20"/>
                <w:szCs w:val="20"/>
              </w:rPr>
              <w:t>-130.8 (-136.8, -124.8)</w:t>
            </w:r>
          </w:p>
        </w:tc>
        <w:tc>
          <w:tcPr>
            <w:tcW w:w="2346" w:type="dxa"/>
            <w:vAlign w:val="center"/>
          </w:tcPr>
          <w:p w14:paraId="305813AE" w14:textId="23144C76" w:rsidR="005162DE" w:rsidRPr="002D21EA" w:rsidRDefault="004957DE" w:rsidP="005162DE">
            <w:pPr>
              <w:spacing w:after="60"/>
              <w:contextualSpacing/>
              <w:jc w:val="center"/>
              <w:rPr>
                <w:rFonts w:ascii="Arial Narrow" w:hAnsi="Arial Narrow"/>
                <w:sz w:val="20"/>
                <w:szCs w:val="20"/>
              </w:rPr>
            </w:pPr>
            <w:r w:rsidRPr="002D21EA">
              <w:rPr>
                <w:rFonts w:ascii="Arial Narrow" w:hAnsi="Arial Narrow"/>
                <w:sz w:val="20"/>
                <w:szCs w:val="20"/>
              </w:rPr>
              <w:t>-6.4 (-14.8, 2.1)</w:t>
            </w:r>
          </w:p>
        </w:tc>
      </w:tr>
      <w:tr w:rsidR="005162DE" w:rsidRPr="002D21EA" w14:paraId="0DA3994F" w14:textId="77777777" w:rsidTr="00174A07">
        <w:tc>
          <w:tcPr>
            <w:tcW w:w="1980" w:type="dxa"/>
          </w:tcPr>
          <w:p w14:paraId="6392564E" w14:textId="3C3CE2E2" w:rsidR="005162DE" w:rsidRPr="002D21EA" w:rsidRDefault="005162DE" w:rsidP="005162DE">
            <w:pPr>
              <w:spacing w:after="60"/>
              <w:contextualSpacing/>
              <w:rPr>
                <w:rFonts w:ascii="Arial Narrow" w:hAnsi="Arial Narrow"/>
                <w:sz w:val="20"/>
                <w:szCs w:val="20"/>
              </w:rPr>
            </w:pPr>
            <w:r w:rsidRPr="002D21EA">
              <w:rPr>
                <w:rFonts w:ascii="Arial Narrow" w:hAnsi="Arial Narrow"/>
                <w:sz w:val="20"/>
                <w:szCs w:val="20"/>
              </w:rPr>
              <w:t>Pooled</w:t>
            </w:r>
            <w:r w:rsidRPr="002D21EA">
              <w:rPr>
                <w:rFonts w:ascii="Arial Narrow" w:hAnsi="Arial Narrow"/>
                <w:sz w:val="20"/>
                <w:szCs w:val="20"/>
                <w:vertAlign w:val="superscript"/>
              </w:rPr>
              <w:t>3</w:t>
            </w:r>
          </w:p>
        </w:tc>
        <w:tc>
          <w:tcPr>
            <w:tcW w:w="2345" w:type="dxa"/>
            <w:vAlign w:val="center"/>
          </w:tcPr>
          <w:p w14:paraId="79924FDE" w14:textId="77777777" w:rsidR="005162DE" w:rsidRPr="002D21EA" w:rsidRDefault="005162DE" w:rsidP="005162DE">
            <w:pPr>
              <w:spacing w:after="60"/>
              <w:contextualSpacing/>
              <w:jc w:val="center"/>
              <w:rPr>
                <w:rFonts w:ascii="Arial Narrow" w:hAnsi="Arial Narrow"/>
                <w:sz w:val="20"/>
                <w:szCs w:val="20"/>
              </w:rPr>
            </w:pPr>
            <w:r w:rsidRPr="002D21EA">
              <w:rPr>
                <w:rFonts w:ascii="Arial Narrow" w:hAnsi="Arial Narrow"/>
                <w:sz w:val="20"/>
                <w:szCs w:val="20"/>
              </w:rPr>
              <w:t>-137.0 (-141.2, -132.9)</w:t>
            </w:r>
          </w:p>
        </w:tc>
        <w:tc>
          <w:tcPr>
            <w:tcW w:w="2345" w:type="dxa"/>
            <w:vAlign w:val="center"/>
          </w:tcPr>
          <w:p w14:paraId="438C1731" w14:textId="77777777" w:rsidR="005162DE" w:rsidRPr="002D21EA" w:rsidRDefault="005162DE" w:rsidP="005162DE">
            <w:pPr>
              <w:spacing w:after="60"/>
              <w:contextualSpacing/>
              <w:jc w:val="center"/>
              <w:rPr>
                <w:rFonts w:ascii="Arial Narrow" w:hAnsi="Arial Narrow"/>
                <w:sz w:val="20"/>
                <w:szCs w:val="20"/>
              </w:rPr>
            </w:pPr>
            <w:r w:rsidRPr="002D21EA">
              <w:rPr>
                <w:rFonts w:ascii="Arial Narrow" w:hAnsi="Arial Narrow"/>
                <w:sz w:val="20"/>
                <w:szCs w:val="20"/>
              </w:rPr>
              <w:t>-130.1 (-134.2, -125.9)</w:t>
            </w:r>
          </w:p>
        </w:tc>
        <w:tc>
          <w:tcPr>
            <w:tcW w:w="2346" w:type="dxa"/>
            <w:vAlign w:val="center"/>
          </w:tcPr>
          <w:p w14:paraId="70627EB3" w14:textId="77777777" w:rsidR="005162DE" w:rsidRPr="002D21EA" w:rsidRDefault="005162DE" w:rsidP="005162DE">
            <w:pPr>
              <w:spacing w:after="60"/>
              <w:contextualSpacing/>
              <w:jc w:val="center"/>
              <w:rPr>
                <w:rFonts w:ascii="Arial Narrow" w:hAnsi="Arial Narrow"/>
                <w:sz w:val="20"/>
                <w:szCs w:val="20"/>
              </w:rPr>
            </w:pPr>
            <w:r w:rsidRPr="002D21EA">
              <w:rPr>
                <w:rFonts w:ascii="Arial Narrow" w:hAnsi="Arial Narrow"/>
                <w:sz w:val="20"/>
                <w:szCs w:val="20"/>
              </w:rPr>
              <w:t>-7.0 (-12.8, -1.1)</w:t>
            </w:r>
          </w:p>
        </w:tc>
      </w:tr>
      <w:tr w:rsidR="004213C0" w:rsidRPr="002D21EA" w14:paraId="0B64FA28" w14:textId="77777777" w:rsidTr="004213C0">
        <w:tc>
          <w:tcPr>
            <w:tcW w:w="9016" w:type="dxa"/>
            <w:gridSpan w:val="4"/>
          </w:tcPr>
          <w:p w14:paraId="29931A4E" w14:textId="6A2E8769" w:rsidR="004213C0" w:rsidRPr="002D21EA" w:rsidRDefault="004213C0" w:rsidP="004213C0">
            <w:pPr>
              <w:spacing w:after="60"/>
              <w:contextualSpacing/>
              <w:jc w:val="left"/>
              <w:rPr>
                <w:rFonts w:ascii="Arial Narrow" w:hAnsi="Arial Narrow"/>
                <w:sz w:val="20"/>
                <w:szCs w:val="20"/>
              </w:rPr>
            </w:pPr>
            <w:r w:rsidRPr="002D21EA">
              <w:rPr>
                <w:rFonts w:ascii="Arial Narrow" w:hAnsi="Arial Narrow"/>
                <w:b/>
                <w:bCs/>
                <w:sz w:val="20"/>
                <w:szCs w:val="20"/>
              </w:rPr>
              <w:t>Mean change from baseline (95% CI)</w:t>
            </w:r>
            <w:r>
              <w:rPr>
                <w:rFonts w:ascii="Arial Narrow" w:hAnsi="Arial Narrow"/>
                <w:b/>
                <w:bCs/>
                <w:sz w:val="20"/>
                <w:szCs w:val="20"/>
              </w:rPr>
              <w:t xml:space="preserve"> in CST at Week </w:t>
            </w:r>
            <w:r w:rsidRPr="004213C0">
              <w:rPr>
                <w:rFonts w:ascii="Arial Narrow" w:hAnsi="Arial Narrow"/>
                <w:b/>
                <w:bCs/>
                <w:sz w:val="20"/>
                <w:szCs w:val="20"/>
              </w:rPr>
              <w:t>104/108/112</w:t>
            </w:r>
            <w:r w:rsidR="005C4ACE">
              <w:rPr>
                <w:rFonts w:ascii="Arial Narrow" w:hAnsi="Arial Narrow"/>
                <w:b/>
                <w:bCs/>
                <w:sz w:val="20"/>
                <w:szCs w:val="20"/>
              </w:rPr>
              <w:t xml:space="preserve"> (provided in Pre-PBAC Response)</w:t>
            </w:r>
          </w:p>
        </w:tc>
      </w:tr>
      <w:tr w:rsidR="004213C0" w:rsidRPr="002D21EA" w14:paraId="43D76831" w14:textId="77777777" w:rsidTr="00174A07">
        <w:tc>
          <w:tcPr>
            <w:tcW w:w="1980" w:type="dxa"/>
          </w:tcPr>
          <w:p w14:paraId="3BDD7F83" w14:textId="176BA154" w:rsidR="004213C0" w:rsidRPr="004213C0" w:rsidRDefault="004213C0" w:rsidP="004213C0">
            <w:pPr>
              <w:spacing w:after="60"/>
              <w:contextualSpacing/>
              <w:rPr>
                <w:rFonts w:ascii="Arial Narrow" w:hAnsi="Arial Narrow"/>
                <w:sz w:val="20"/>
                <w:szCs w:val="18"/>
              </w:rPr>
            </w:pPr>
            <w:r w:rsidRPr="004213C0">
              <w:rPr>
                <w:rFonts w:ascii="Arial Narrow" w:hAnsi="Arial Narrow"/>
                <w:sz w:val="20"/>
                <w:szCs w:val="18"/>
              </w:rPr>
              <w:t>TENAYA</w:t>
            </w:r>
            <w:r w:rsidRPr="004213C0">
              <w:rPr>
                <w:rFonts w:ascii="Arial Narrow" w:hAnsi="Arial Narrow"/>
                <w:sz w:val="20"/>
                <w:szCs w:val="18"/>
                <w:vertAlign w:val="superscript"/>
              </w:rPr>
              <w:t>1</w:t>
            </w:r>
          </w:p>
        </w:tc>
        <w:tc>
          <w:tcPr>
            <w:tcW w:w="2345" w:type="dxa"/>
            <w:vAlign w:val="center"/>
          </w:tcPr>
          <w:p w14:paraId="3B719A29" w14:textId="37B35CCB" w:rsidR="004213C0" w:rsidRPr="004213C0" w:rsidRDefault="004213C0" w:rsidP="004213C0">
            <w:pPr>
              <w:spacing w:after="60"/>
              <w:contextualSpacing/>
              <w:jc w:val="center"/>
              <w:rPr>
                <w:rFonts w:ascii="Arial Narrow" w:hAnsi="Arial Narrow"/>
                <w:sz w:val="20"/>
                <w:szCs w:val="18"/>
              </w:rPr>
            </w:pPr>
            <w:r w:rsidRPr="004213C0">
              <w:rPr>
                <w:rFonts w:ascii="Arial Narrow" w:hAnsi="Arial Narrow"/>
                <w:sz w:val="20"/>
                <w:szCs w:val="18"/>
              </w:rPr>
              <w:t>-146.3</w:t>
            </w:r>
          </w:p>
        </w:tc>
        <w:tc>
          <w:tcPr>
            <w:tcW w:w="2345" w:type="dxa"/>
            <w:vAlign w:val="center"/>
          </w:tcPr>
          <w:p w14:paraId="1033DB02" w14:textId="07C91ADB" w:rsidR="004213C0" w:rsidRPr="004213C0" w:rsidRDefault="004213C0" w:rsidP="004213C0">
            <w:pPr>
              <w:spacing w:after="60"/>
              <w:contextualSpacing/>
              <w:jc w:val="center"/>
              <w:rPr>
                <w:rFonts w:ascii="Arial Narrow" w:hAnsi="Arial Narrow"/>
                <w:sz w:val="20"/>
                <w:szCs w:val="18"/>
              </w:rPr>
            </w:pPr>
            <w:r w:rsidRPr="004213C0">
              <w:rPr>
                <w:rFonts w:ascii="Arial Narrow" w:hAnsi="Arial Narrow"/>
                <w:sz w:val="20"/>
                <w:szCs w:val="18"/>
              </w:rPr>
              <w:t>-146.0</w:t>
            </w:r>
          </w:p>
        </w:tc>
        <w:tc>
          <w:tcPr>
            <w:tcW w:w="2346" w:type="dxa"/>
            <w:vAlign w:val="center"/>
          </w:tcPr>
          <w:p w14:paraId="30659379" w14:textId="55E18964" w:rsidR="004213C0" w:rsidRPr="004213C0" w:rsidRDefault="004213C0" w:rsidP="004213C0">
            <w:pPr>
              <w:spacing w:after="60"/>
              <w:contextualSpacing/>
              <w:jc w:val="center"/>
              <w:rPr>
                <w:rFonts w:ascii="Arial Narrow" w:hAnsi="Arial Narrow"/>
                <w:sz w:val="20"/>
                <w:szCs w:val="18"/>
              </w:rPr>
            </w:pPr>
            <w:r w:rsidRPr="004213C0">
              <w:rPr>
                <w:rFonts w:ascii="Arial Narrow" w:hAnsi="Arial Narrow"/>
                <w:sz w:val="20"/>
                <w:szCs w:val="18"/>
              </w:rPr>
              <w:t>-0.3 (-8.8, 8.2)</w:t>
            </w:r>
          </w:p>
        </w:tc>
      </w:tr>
      <w:tr w:rsidR="004213C0" w:rsidRPr="002D21EA" w14:paraId="27BB0D21" w14:textId="77777777" w:rsidTr="00174A07">
        <w:tc>
          <w:tcPr>
            <w:tcW w:w="1980" w:type="dxa"/>
          </w:tcPr>
          <w:p w14:paraId="39C4F478" w14:textId="1718D023" w:rsidR="004213C0" w:rsidRPr="004213C0" w:rsidRDefault="004213C0" w:rsidP="004213C0">
            <w:pPr>
              <w:spacing w:after="60"/>
              <w:contextualSpacing/>
              <w:rPr>
                <w:rFonts w:ascii="Arial Narrow" w:hAnsi="Arial Narrow"/>
                <w:sz w:val="20"/>
                <w:szCs w:val="18"/>
              </w:rPr>
            </w:pPr>
            <w:r w:rsidRPr="004213C0">
              <w:rPr>
                <w:rFonts w:ascii="Arial Narrow" w:hAnsi="Arial Narrow"/>
                <w:sz w:val="20"/>
                <w:szCs w:val="18"/>
              </w:rPr>
              <w:t>LUCERNE</w:t>
            </w:r>
            <w:r w:rsidRPr="004213C0">
              <w:rPr>
                <w:rFonts w:ascii="Arial Narrow" w:hAnsi="Arial Narrow"/>
                <w:sz w:val="20"/>
                <w:szCs w:val="18"/>
                <w:vertAlign w:val="superscript"/>
              </w:rPr>
              <w:t>2</w:t>
            </w:r>
          </w:p>
        </w:tc>
        <w:tc>
          <w:tcPr>
            <w:tcW w:w="2345" w:type="dxa"/>
            <w:vAlign w:val="center"/>
          </w:tcPr>
          <w:p w14:paraId="53E3832C" w14:textId="46702AA4" w:rsidR="004213C0" w:rsidRPr="004213C0" w:rsidRDefault="004213C0" w:rsidP="004213C0">
            <w:pPr>
              <w:spacing w:after="60"/>
              <w:contextualSpacing/>
              <w:jc w:val="center"/>
              <w:rPr>
                <w:rFonts w:ascii="Arial Narrow" w:hAnsi="Arial Narrow"/>
                <w:sz w:val="20"/>
                <w:szCs w:val="18"/>
              </w:rPr>
            </w:pPr>
            <w:r w:rsidRPr="004213C0">
              <w:rPr>
                <w:rFonts w:ascii="Arial Narrow" w:hAnsi="Arial Narrow"/>
                <w:sz w:val="20"/>
                <w:szCs w:val="18"/>
              </w:rPr>
              <w:t>-151.9</w:t>
            </w:r>
          </w:p>
        </w:tc>
        <w:tc>
          <w:tcPr>
            <w:tcW w:w="2345" w:type="dxa"/>
            <w:vAlign w:val="center"/>
          </w:tcPr>
          <w:p w14:paraId="5A2C182F" w14:textId="371AC344" w:rsidR="004213C0" w:rsidRPr="004213C0" w:rsidRDefault="004213C0" w:rsidP="004213C0">
            <w:pPr>
              <w:spacing w:after="60"/>
              <w:contextualSpacing/>
              <w:jc w:val="center"/>
              <w:rPr>
                <w:rFonts w:ascii="Arial Narrow" w:hAnsi="Arial Narrow"/>
                <w:sz w:val="20"/>
                <w:szCs w:val="18"/>
              </w:rPr>
            </w:pPr>
            <w:r w:rsidRPr="004213C0">
              <w:rPr>
                <w:rFonts w:ascii="Arial Narrow" w:hAnsi="Arial Narrow"/>
                <w:sz w:val="20"/>
                <w:szCs w:val="18"/>
              </w:rPr>
              <w:t>-144.5</w:t>
            </w:r>
          </w:p>
        </w:tc>
        <w:tc>
          <w:tcPr>
            <w:tcW w:w="2346" w:type="dxa"/>
            <w:vAlign w:val="center"/>
          </w:tcPr>
          <w:p w14:paraId="68A89DCF" w14:textId="369D2DB1" w:rsidR="004213C0" w:rsidRPr="004213C0" w:rsidRDefault="004213C0" w:rsidP="004213C0">
            <w:pPr>
              <w:spacing w:after="60"/>
              <w:contextualSpacing/>
              <w:jc w:val="center"/>
              <w:rPr>
                <w:rFonts w:ascii="Arial Narrow" w:hAnsi="Arial Narrow"/>
                <w:sz w:val="20"/>
                <w:szCs w:val="18"/>
              </w:rPr>
            </w:pPr>
            <w:r w:rsidRPr="004213C0">
              <w:rPr>
                <w:rFonts w:ascii="Arial Narrow" w:hAnsi="Arial Narrow"/>
                <w:sz w:val="20"/>
                <w:szCs w:val="18"/>
              </w:rPr>
              <w:t>-7.5 (-15.6, 0.6)</w:t>
            </w:r>
          </w:p>
        </w:tc>
      </w:tr>
      <w:tr w:rsidR="004213C0" w:rsidRPr="002D21EA" w14:paraId="3BB3D517" w14:textId="77777777" w:rsidTr="00174A07">
        <w:tc>
          <w:tcPr>
            <w:tcW w:w="9016" w:type="dxa"/>
            <w:gridSpan w:val="4"/>
          </w:tcPr>
          <w:p w14:paraId="583D1DFA" w14:textId="34531DEF" w:rsidR="004213C0" w:rsidRPr="002D21EA" w:rsidRDefault="004213C0" w:rsidP="004213C0">
            <w:pPr>
              <w:spacing w:after="60"/>
              <w:contextualSpacing/>
              <w:jc w:val="left"/>
              <w:rPr>
                <w:rFonts w:ascii="Arial Narrow" w:hAnsi="Arial Narrow"/>
                <w:b/>
                <w:bCs/>
                <w:sz w:val="20"/>
                <w:szCs w:val="20"/>
              </w:rPr>
            </w:pPr>
            <w:r w:rsidRPr="002D21EA">
              <w:rPr>
                <w:rFonts w:ascii="Arial Narrow" w:hAnsi="Arial Narrow"/>
                <w:b/>
                <w:bCs/>
                <w:sz w:val="20"/>
                <w:szCs w:val="20"/>
              </w:rPr>
              <w:t>Mean change from baseline (95% CI) in the NEI VFQ-25 composite score</w:t>
            </w:r>
            <w:r w:rsidRPr="002D21EA">
              <w:rPr>
                <w:rFonts w:ascii="Arial Narrow" w:hAnsi="Arial Narrow"/>
                <w:b/>
                <w:bCs/>
                <w:sz w:val="20"/>
                <w:szCs w:val="20"/>
                <w:vertAlign w:val="superscript"/>
              </w:rPr>
              <w:t>4</w:t>
            </w:r>
            <w:r w:rsidRPr="002D21EA">
              <w:rPr>
                <w:rFonts w:ascii="Arial Narrow" w:hAnsi="Arial Narrow"/>
                <w:b/>
                <w:bCs/>
                <w:sz w:val="20"/>
                <w:szCs w:val="20"/>
              </w:rPr>
              <w:t xml:space="preserve"> at Week 48</w:t>
            </w:r>
          </w:p>
        </w:tc>
      </w:tr>
      <w:tr w:rsidR="004213C0" w:rsidRPr="002D21EA" w14:paraId="5034A12B" w14:textId="77777777" w:rsidTr="00174A07">
        <w:tc>
          <w:tcPr>
            <w:tcW w:w="1980" w:type="dxa"/>
          </w:tcPr>
          <w:p w14:paraId="7D02A1F4" w14:textId="794383B9" w:rsidR="004213C0" w:rsidRPr="002D21EA" w:rsidRDefault="004213C0" w:rsidP="004213C0">
            <w:pPr>
              <w:spacing w:after="60"/>
              <w:contextualSpacing/>
              <w:rPr>
                <w:rFonts w:ascii="Arial Narrow" w:hAnsi="Arial Narrow"/>
                <w:b/>
                <w:bCs/>
                <w:sz w:val="20"/>
                <w:szCs w:val="20"/>
              </w:rPr>
            </w:pPr>
            <w:r w:rsidRPr="002D21EA">
              <w:rPr>
                <w:rFonts w:ascii="Arial Narrow" w:hAnsi="Arial Narrow"/>
                <w:sz w:val="20"/>
                <w:szCs w:val="20"/>
              </w:rPr>
              <w:t>TENAYA</w:t>
            </w:r>
            <w:r w:rsidRPr="002D21EA">
              <w:rPr>
                <w:rFonts w:ascii="Arial Narrow" w:hAnsi="Arial Narrow"/>
                <w:sz w:val="20"/>
                <w:szCs w:val="20"/>
                <w:vertAlign w:val="superscript"/>
              </w:rPr>
              <w:t>1</w:t>
            </w:r>
          </w:p>
        </w:tc>
        <w:tc>
          <w:tcPr>
            <w:tcW w:w="2345" w:type="dxa"/>
            <w:vAlign w:val="center"/>
          </w:tcPr>
          <w:p w14:paraId="690BFC3C" w14:textId="70935312" w:rsidR="004213C0" w:rsidRPr="002D21EA" w:rsidRDefault="004213C0" w:rsidP="004213C0">
            <w:pPr>
              <w:spacing w:after="60"/>
              <w:contextualSpacing/>
              <w:jc w:val="center"/>
              <w:rPr>
                <w:rFonts w:ascii="Arial Narrow" w:hAnsi="Arial Narrow"/>
                <w:sz w:val="20"/>
                <w:szCs w:val="20"/>
              </w:rPr>
            </w:pPr>
            <w:r w:rsidRPr="002D21EA">
              <w:rPr>
                <w:rFonts w:ascii="Arial Narrow" w:hAnsi="Arial Narrow"/>
                <w:sz w:val="20"/>
                <w:szCs w:val="20"/>
              </w:rPr>
              <w:t>4.5 (3.4, 5.7)</w:t>
            </w:r>
          </w:p>
        </w:tc>
        <w:tc>
          <w:tcPr>
            <w:tcW w:w="2345" w:type="dxa"/>
            <w:vAlign w:val="center"/>
          </w:tcPr>
          <w:p w14:paraId="0BD86789" w14:textId="6E79A21E" w:rsidR="004213C0" w:rsidRPr="002D21EA" w:rsidRDefault="004213C0" w:rsidP="004213C0">
            <w:pPr>
              <w:spacing w:after="60"/>
              <w:contextualSpacing/>
              <w:jc w:val="center"/>
              <w:rPr>
                <w:rFonts w:ascii="Arial Narrow" w:hAnsi="Arial Narrow"/>
                <w:sz w:val="20"/>
                <w:szCs w:val="20"/>
              </w:rPr>
            </w:pPr>
            <w:r w:rsidRPr="002D21EA">
              <w:rPr>
                <w:rFonts w:ascii="Arial Narrow" w:hAnsi="Arial Narrow"/>
                <w:sz w:val="20"/>
                <w:szCs w:val="20"/>
              </w:rPr>
              <w:t>2.8 (1.7, 3.9)</w:t>
            </w:r>
          </w:p>
        </w:tc>
        <w:tc>
          <w:tcPr>
            <w:tcW w:w="2346" w:type="dxa"/>
            <w:vAlign w:val="center"/>
          </w:tcPr>
          <w:p w14:paraId="0808AF2A" w14:textId="41B076C8" w:rsidR="004213C0" w:rsidRPr="002D21EA" w:rsidRDefault="004213C0" w:rsidP="004213C0">
            <w:pPr>
              <w:spacing w:after="60"/>
              <w:contextualSpacing/>
              <w:jc w:val="center"/>
              <w:rPr>
                <w:rFonts w:ascii="Arial Narrow" w:hAnsi="Arial Narrow"/>
                <w:sz w:val="20"/>
                <w:szCs w:val="20"/>
              </w:rPr>
            </w:pPr>
            <w:r w:rsidRPr="002D21EA">
              <w:rPr>
                <w:rFonts w:ascii="Arial Narrow" w:hAnsi="Arial Narrow"/>
                <w:sz w:val="20"/>
                <w:szCs w:val="20"/>
              </w:rPr>
              <w:t>1.7 (0.1, 3.3)</w:t>
            </w:r>
          </w:p>
        </w:tc>
      </w:tr>
      <w:tr w:rsidR="004213C0" w:rsidRPr="002D21EA" w14:paraId="451EC6C7" w14:textId="77777777" w:rsidTr="00174A07">
        <w:tc>
          <w:tcPr>
            <w:tcW w:w="1980" w:type="dxa"/>
          </w:tcPr>
          <w:p w14:paraId="0E17D055" w14:textId="4FAC172A" w:rsidR="004213C0" w:rsidRPr="002D21EA" w:rsidRDefault="004213C0" w:rsidP="004213C0">
            <w:pPr>
              <w:spacing w:after="60"/>
              <w:contextualSpacing/>
              <w:rPr>
                <w:rFonts w:ascii="Arial Narrow" w:hAnsi="Arial Narrow"/>
                <w:sz w:val="20"/>
                <w:szCs w:val="20"/>
              </w:rPr>
            </w:pPr>
            <w:r w:rsidRPr="002D21EA">
              <w:rPr>
                <w:rFonts w:ascii="Arial Narrow" w:hAnsi="Arial Narrow"/>
                <w:sz w:val="20"/>
                <w:szCs w:val="20"/>
              </w:rPr>
              <w:t>LUCERNE</w:t>
            </w:r>
            <w:r w:rsidRPr="002D21EA">
              <w:rPr>
                <w:rFonts w:ascii="Arial Narrow" w:hAnsi="Arial Narrow"/>
                <w:sz w:val="20"/>
                <w:szCs w:val="20"/>
                <w:vertAlign w:val="superscript"/>
              </w:rPr>
              <w:t>2</w:t>
            </w:r>
          </w:p>
        </w:tc>
        <w:tc>
          <w:tcPr>
            <w:tcW w:w="2345" w:type="dxa"/>
            <w:vAlign w:val="center"/>
          </w:tcPr>
          <w:p w14:paraId="429FFAF6" w14:textId="1AC09C9B" w:rsidR="004213C0" w:rsidRPr="002D21EA" w:rsidRDefault="004213C0" w:rsidP="004213C0">
            <w:pPr>
              <w:spacing w:after="60"/>
              <w:contextualSpacing/>
              <w:jc w:val="center"/>
              <w:rPr>
                <w:rFonts w:ascii="Arial Narrow" w:hAnsi="Arial Narrow"/>
                <w:sz w:val="20"/>
                <w:szCs w:val="20"/>
              </w:rPr>
            </w:pPr>
            <w:r w:rsidRPr="002D21EA">
              <w:rPr>
                <w:rFonts w:ascii="Arial Narrow" w:hAnsi="Arial Narrow"/>
                <w:sz w:val="20"/>
                <w:szCs w:val="20"/>
              </w:rPr>
              <w:t>4.2 (3.1, 5.3)</w:t>
            </w:r>
          </w:p>
        </w:tc>
        <w:tc>
          <w:tcPr>
            <w:tcW w:w="2345" w:type="dxa"/>
            <w:vAlign w:val="center"/>
          </w:tcPr>
          <w:p w14:paraId="0E6B7E0C" w14:textId="5F6CEDDC" w:rsidR="004213C0" w:rsidRPr="002D21EA" w:rsidRDefault="004213C0" w:rsidP="004213C0">
            <w:pPr>
              <w:spacing w:after="60"/>
              <w:contextualSpacing/>
              <w:jc w:val="center"/>
              <w:rPr>
                <w:rFonts w:ascii="Arial Narrow" w:hAnsi="Arial Narrow"/>
                <w:sz w:val="20"/>
                <w:szCs w:val="20"/>
              </w:rPr>
            </w:pPr>
            <w:r w:rsidRPr="002D21EA">
              <w:rPr>
                <w:rFonts w:ascii="Arial Narrow" w:hAnsi="Arial Narrow"/>
                <w:sz w:val="20"/>
                <w:szCs w:val="20"/>
              </w:rPr>
              <w:t>5.4 (4.3, 6.6)</w:t>
            </w:r>
          </w:p>
        </w:tc>
        <w:tc>
          <w:tcPr>
            <w:tcW w:w="2346" w:type="dxa"/>
            <w:vAlign w:val="center"/>
          </w:tcPr>
          <w:p w14:paraId="4CCF3B32" w14:textId="728E7F12" w:rsidR="004213C0" w:rsidRPr="002D21EA" w:rsidRDefault="004213C0" w:rsidP="004213C0">
            <w:pPr>
              <w:spacing w:after="60"/>
              <w:contextualSpacing/>
              <w:jc w:val="center"/>
              <w:rPr>
                <w:rFonts w:ascii="Arial Narrow" w:hAnsi="Arial Narrow"/>
                <w:sz w:val="20"/>
                <w:szCs w:val="20"/>
              </w:rPr>
            </w:pPr>
            <w:r w:rsidRPr="002D21EA">
              <w:rPr>
                <w:rFonts w:ascii="Arial Narrow" w:hAnsi="Arial Narrow"/>
                <w:sz w:val="20"/>
                <w:szCs w:val="20"/>
              </w:rPr>
              <w:t>-1.2 (-2.8, 0.4)</w:t>
            </w:r>
          </w:p>
        </w:tc>
      </w:tr>
      <w:tr w:rsidR="004213C0" w:rsidRPr="002D21EA" w14:paraId="4D30C8B8" w14:textId="77777777" w:rsidTr="00174A07">
        <w:tc>
          <w:tcPr>
            <w:tcW w:w="1980" w:type="dxa"/>
          </w:tcPr>
          <w:p w14:paraId="48BCA36C" w14:textId="0FF78A17" w:rsidR="004213C0" w:rsidRPr="002D21EA" w:rsidRDefault="004213C0" w:rsidP="004213C0">
            <w:pPr>
              <w:spacing w:after="60"/>
              <w:contextualSpacing/>
              <w:rPr>
                <w:rFonts w:ascii="Arial Narrow" w:hAnsi="Arial Narrow"/>
                <w:sz w:val="20"/>
                <w:szCs w:val="20"/>
              </w:rPr>
            </w:pPr>
            <w:r w:rsidRPr="002D21EA">
              <w:rPr>
                <w:rFonts w:ascii="Arial Narrow" w:hAnsi="Arial Narrow"/>
                <w:sz w:val="20"/>
                <w:szCs w:val="20"/>
              </w:rPr>
              <w:t>Pooled</w:t>
            </w:r>
            <w:r w:rsidRPr="002D21EA">
              <w:rPr>
                <w:rFonts w:ascii="Arial Narrow" w:hAnsi="Arial Narrow"/>
                <w:sz w:val="20"/>
                <w:szCs w:val="20"/>
                <w:vertAlign w:val="superscript"/>
              </w:rPr>
              <w:t>3</w:t>
            </w:r>
          </w:p>
        </w:tc>
        <w:tc>
          <w:tcPr>
            <w:tcW w:w="2345" w:type="dxa"/>
            <w:vAlign w:val="center"/>
          </w:tcPr>
          <w:p w14:paraId="432DF603" w14:textId="77777777" w:rsidR="004213C0" w:rsidRPr="002D21EA" w:rsidRDefault="004213C0" w:rsidP="004213C0">
            <w:pPr>
              <w:spacing w:after="60"/>
              <w:contextualSpacing/>
              <w:jc w:val="center"/>
              <w:rPr>
                <w:rFonts w:ascii="Arial Narrow" w:hAnsi="Arial Narrow"/>
                <w:sz w:val="20"/>
                <w:szCs w:val="20"/>
              </w:rPr>
            </w:pPr>
            <w:r w:rsidRPr="002D21EA">
              <w:rPr>
                <w:rFonts w:ascii="Arial Narrow" w:hAnsi="Arial Narrow"/>
                <w:sz w:val="20"/>
                <w:szCs w:val="20"/>
              </w:rPr>
              <w:t>4.4 (3.6, 5.2)</w:t>
            </w:r>
          </w:p>
        </w:tc>
        <w:tc>
          <w:tcPr>
            <w:tcW w:w="2345" w:type="dxa"/>
            <w:vAlign w:val="center"/>
          </w:tcPr>
          <w:p w14:paraId="1F7A2437" w14:textId="77777777" w:rsidR="004213C0" w:rsidRPr="002D21EA" w:rsidRDefault="004213C0" w:rsidP="004213C0">
            <w:pPr>
              <w:spacing w:after="60"/>
              <w:contextualSpacing/>
              <w:jc w:val="center"/>
              <w:rPr>
                <w:rFonts w:ascii="Arial Narrow" w:hAnsi="Arial Narrow"/>
                <w:sz w:val="20"/>
                <w:szCs w:val="20"/>
              </w:rPr>
            </w:pPr>
            <w:r w:rsidRPr="002D21EA">
              <w:rPr>
                <w:rFonts w:ascii="Arial Narrow" w:hAnsi="Arial Narrow"/>
                <w:sz w:val="20"/>
                <w:szCs w:val="20"/>
              </w:rPr>
              <w:t>4.1 (3.3, 4.9)</w:t>
            </w:r>
          </w:p>
        </w:tc>
        <w:tc>
          <w:tcPr>
            <w:tcW w:w="2346" w:type="dxa"/>
            <w:vAlign w:val="center"/>
          </w:tcPr>
          <w:p w14:paraId="2BCC06E2" w14:textId="77777777" w:rsidR="004213C0" w:rsidRPr="002D21EA" w:rsidRDefault="004213C0" w:rsidP="004213C0">
            <w:pPr>
              <w:spacing w:after="60"/>
              <w:contextualSpacing/>
              <w:jc w:val="center"/>
              <w:rPr>
                <w:rFonts w:ascii="Arial Narrow" w:hAnsi="Arial Narrow"/>
                <w:sz w:val="20"/>
                <w:szCs w:val="20"/>
              </w:rPr>
            </w:pPr>
            <w:r w:rsidRPr="002D21EA">
              <w:rPr>
                <w:rFonts w:ascii="Arial Narrow" w:hAnsi="Arial Narrow"/>
                <w:sz w:val="20"/>
                <w:szCs w:val="20"/>
              </w:rPr>
              <w:t>0.3 (-0.9, 1.4)</w:t>
            </w:r>
          </w:p>
        </w:tc>
      </w:tr>
    </w:tbl>
    <w:p w14:paraId="639112A8" w14:textId="3AC1FFAC" w:rsidR="004274DC" w:rsidRPr="002D21EA" w:rsidRDefault="004274DC" w:rsidP="004274DC">
      <w:pPr>
        <w:pStyle w:val="TableFigureFooter"/>
      </w:pPr>
      <w:r w:rsidRPr="002D21EA">
        <w:t xml:space="preserve">Source: </w:t>
      </w:r>
      <w:r w:rsidR="005971EF" w:rsidRPr="002D21EA">
        <w:t xml:space="preserve">Table 2.17, p57; Table 2.18, p59; Table 2.20, p63; </w:t>
      </w:r>
      <w:r w:rsidR="0028508E" w:rsidRPr="002D21EA">
        <w:t xml:space="preserve">Table 2.21, p66 of the submission. </w:t>
      </w:r>
      <w:r w:rsidRPr="002D21EA">
        <w:t>Table 22, p124; Table 23, p126; Table 25, p132 of the Summary of clinical efficacy</w:t>
      </w:r>
      <w:r w:rsidR="004A7B06" w:rsidRPr="002D21EA">
        <w:t xml:space="preserve"> (provided with the DMO submission) </w:t>
      </w:r>
    </w:p>
    <w:p w14:paraId="4F85B2BD" w14:textId="5F5E49F7" w:rsidR="004274DC" w:rsidRPr="002D21EA" w:rsidRDefault="004274DC" w:rsidP="004274DC">
      <w:pPr>
        <w:pStyle w:val="TableFigureFooter"/>
      </w:pPr>
      <w:r w:rsidRPr="002D21EA">
        <w:t>Abbreviations: BCVA</w:t>
      </w:r>
      <w:r w:rsidR="008D1B6D" w:rsidRPr="002D21EA">
        <w:t xml:space="preserve"> =</w:t>
      </w:r>
      <w:r w:rsidRPr="002D21EA">
        <w:t xml:space="preserve"> best corrected visual acuity; CI</w:t>
      </w:r>
      <w:r w:rsidR="008D1B6D" w:rsidRPr="002D21EA">
        <w:t xml:space="preserve"> =</w:t>
      </w:r>
      <w:r w:rsidRPr="002D21EA">
        <w:t xml:space="preserve"> confidence interval; CST</w:t>
      </w:r>
      <w:r w:rsidR="008D1B6D" w:rsidRPr="002D21EA">
        <w:t xml:space="preserve"> =</w:t>
      </w:r>
      <w:r w:rsidRPr="002D21EA">
        <w:t xml:space="preserve"> central subfield thickness; NEI VFQ-25</w:t>
      </w:r>
      <w:r w:rsidR="008D1B6D" w:rsidRPr="002D21EA">
        <w:t xml:space="preserve"> =</w:t>
      </w:r>
      <w:r w:rsidRPr="002D21EA">
        <w:t xml:space="preserve"> National Eye Institute 25-item visual function questionnaire; Q8W</w:t>
      </w:r>
      <w:r w:rsidR="008D1B6D" w:rsidRPr="002D21EA">
        <w:t xml:space="preserve"> =</w:t>
      </w:r>
      <w:r w:rsidRPr="002D21EA">
        <w:t xml:space="preserve"> every 8 weeks; Q16W</w:t>
      </w:r>
      <w:r w:rsidR="008D1B6D" w:rsidRPr="002D21EA">
        <w:t xml:space="preserve"> =</w:t>
      </w:r>
      <w:r w:rsidRPr="002D21EA">
        <w:t xml:space="preserve"> every 16 weeks</w:t>
      </w:r>
    </w:p>
    <w:p w14:paraId="7A317540" w14:textId="5493527B" w:rsidR="005162DE" w:rsidRPr="002D21EA" w:rsidRDefault="005162DE" w:rsidP="004274DC">
      <w:pPr>
        <w:pStyle w:val="TableFigureFooter"/>
      </w:pPr>
      <w:r w:rsidRPr="002D21EA">
        <w:rPr>
          <w:vertAlign w:val="superscript"/>
        </w:rPr>
        <w:t>1</w:t>
      </w:r>
      <w:r w:rsidRPr="002D21EA">
        <w:t>TENAYA trial: N=334 for the faricimab arm</w:t>
      </w:r>
      <w:r w:rsidR="00A9026B" w:rsidRPr="002D21EA">
        <w:t>; N=337 for the aflibercept arm</w:t>
      </w:r>
    </w:p>
    <w:p w14:paraId="32D01D8A" w14:textId="6460BCF2" w:rsidR="00A9026B" w:rsidRPr="002D21EA" w:rsidRDefault="00A9026B" w:rsidP="004274DC">
      <w:pPr>
        <w:pStyle w:val="TableFigureFooter"/>
      </w:pPr>
      <w:r w:rsidRPr="002D21EA">
        <w:rPr>
          <w:vertAlign w:val="superscript"/>
        </w:rPr>
        <w:t>2</w:t>
      </w:r>
      <w:r w:rsidRPr="002D21EA">
        <w:t>LUCERNE trial: N=331 for the faricimab arm; N=327 for the aflibercept arm</w:t>
      </w:r>
    </w:p>
    <w:p w14:paraId="74073D19" w14:textId="77777777" w:rsidR="00803136" w:rsidRPr="002D21EA" w:rsidRDefault="00A9026B" w:rsidP="00803136">
      <w:pPr>
        <w:pStyle w:val="TableFigureFooter"/>
      </w:pPr>
      <w:r w:rsidRPr="002D21EA">
        <w:rPr>
          <w:vertAlign w:val="superscript"/>
        </w:rPr>
        <w:t>3</w:t>
      </w:r>
      <w:r w:rsidRPr="002D21EA">
        <w:t>Pooled</w:t>
      </w:r>
      <w:r w:rsidR="008A1903" w:rsidRPr="002D21EA">
        <w:t xml:space="preserve"> TENAYA and LUCERNE trials: N=665 for the faricimab arm; N=664 for the aflibercept arm</w:t>
      </w:r>
    </w:p>
    <w:p w14:paraId="6E3D797C" w14:textId="44DF0707" w:rsidR="00A9026B" w:rsidRPr="002D21EA" w:rsidRDefault="00803136" w:rsidP="004274DC">
      <w:pPr>
        <w:pStyle w:val="TableFigureFooter"/>
      </w:pPr>
      <w:r w:rsidRPr="002D21EA">
        <w:rPr>
          <w:vertAlign w:val="superscript"/>
        </w:rPr>
        <w:t>4</w:t>
      </w:r>
      <w:r w:rsidRPr="002D21EA">
        <w:t>Composite scores for the NEI VFQ-25 range from 0 to 100, with higher scores indicating better visual function.</w:t>
      </w:r>
    </w:p>
    <w:p w14:paraId="75F382DE" w14:textId="030A3D2A" w:rsidR="00591EC1" w:rsidRPr="002D21EA" w:rsidRDefault="00FE6334" w:rsidP="00FE6334">
      <w:pPr>
        <w:pStyle w:val="ExecSumBodyText"/>
      </w:pPr>
      <w:r w:rsidRPr="002D21EA">
        <w:t xml:space="preserve">In the TENAYA and LUCERNE trials, the proportions of patients who gained at least 15 letters, and the proportions of patients who avoided a loss of at least 15 letters, from baseline to Week 40/44/48 were comparable between faricimab and aflibercept treatment arms. The results observed from baseline to Week 52/56/60 were comparable to those observed at Week 40/44/48. </w:t>
      </w:r>
    </w:p>
    <w:p w14:paraId="0AD2DA3B" w14:textId="4C8F1468" w:rsidR="00F10020" w:rsidRPr="002D21EA" w:rsidRDefault="0085612D" w:rsidP="004213C0">
      <w:pPr>
        <w:pStyle w:val="ExecSumBodyText"/>
      </w:pPr>
      <w:r w:rsidRPr="002D21EA">
        <w:t>Reductions in central subfield thickness from baseline to Week 40/44/48</w:t>
      </w:r>
      <w:r w:rsidR="002B794F" w:rsidRPr="002D21EA">
        <w:t xml:space="preserve"> were numerically larger in the faricimab arm</w:t>
      </w:r>
      <w:r w:rsidR="0032026C" w:rsidRPr="002D21EA">
        <w:t xml:space="preserve"> compared with the aflibercept arm in the TENAYA and LUCERNE trials, with the </w:t>
      </w:r>
      <w:r w:rsidR="00EC5F63" w:rsidRPr="002D21EA">
        <w:t xml:space="preserve">difference between treatment arms in the </w:t>
      </w:r>
      <w:r w:rsidR="0032026C" w:rsidRPr="002D21EA">
        <w:t>pooled analysis reaching statistical significance.</w:t>
      </w:r>
      <w:r w:rsidR="00AF7149" w:rsidRPr="002D21EA">
        <w:t xml:space="preserve"> However, mean change </w:t>
      </w:r>
      <w:r w:rsidR="007F746A" w:rsidRPr="002D21EA">
        <w:t xml:space="preserve">from baseline </w:t>
      </w:r>
      <w:r w:rsidR="00AF7149" w:rsidRPr="002D21EA">
        <w:t>to Week 52/56/60</w:t>
      </w:r>
      <w:r w:rsidR="00701FEB" w:rsidRPr="002D21EA">
        <w:t xml:space="preserve"> showed similar reductions in central subfield thickness between treatment arms</w:t>
      </w:r>
      <w:r w:rsidR="00475FA9" w:rsidRPr="002D21EA">
        <w:t>.</w:t>
      </w:r>
      <w:r w:rsidR="004213C0">
        <w:t xml:space="preserve"> </w:t>
      </w:r>
      <w:r w:rsidR="004213C0" w:rsidRPr="004213C0">
        <w:t>Comparable central subfield thickness reductions were maintained across all treatment arms up to Week 112. Patients treated with faricimab had comparable reductions in CST from baseline at Weeks 104/108/112 to patients treated with aflibercept.</w:t>
      </w:r>
    </w:p>
    <w:p w14:paraId="67EB988F" w14:textId="6037365E" w:rsidR="001608EB" w:rsidRPr="002D21EA" w:rsidRDefault="001608EB" w:rsidP="00174A07">
      <w:pPr>
        <w:pStyle w:val="ExecSumBodyText"/>
      </w:pPr>
      <w:r w:rsidRPr="002D21EA">
        <w:t xml:space="preserve">Patients treated with faricimab had a comparable </w:t>
      </w:r>
      <w:r w:rsidR="00E75BEF" w:rsidRPr="002D21EA">
        <w:t xml:space="preserve">adjusted mean change from baseline in the NEI VFQ-25 composite score at Week 48 compared with patients treated with aflibercept in the </w:t>
      </w:r>
      <w:r w:rsidRPr="002D21EA">
        <w:t>TENAYA and LUCERNE</w:t>
      </w:r>
      <w:r w:rsidR="00E75BEF" w:rsidRPr="002D21EA">
        <w:t xml:space="preserve"> trials. Results for NEI VFQ-25 were not reported at Week 60.</w:t>
      </w:r>
      <w:r w:rsidRPr="002D21EA">
        <w:t xml:space="preserve"> </w:t>
      </w:r>
    </w:p>
    <w:p w14:paraId="412DA9C9" w14:textId="0512F54C" w:rsidR="00B9223A" w:rsidRPr="002D21EA" w:rsidRDefault="00B9223A" w:rsidP="00174A07">
      <w:pPr>
        <w:pStyle w:val="ExecSumBodyText"/>
      </w:pPr>
      <w:r w:rsidRPr="002D21EA">
        <w:lastRenderedPageBreak/>
        <w:t>The STAIRWAY and AVENUE trials indicated that faricimab 6 mg at 4-, 8-, 12-and 16-weekly intervals resulted in comparable visual acuity outcomes to ranibizumab 0.5 mg every 4 weeks.</w:t>
      </w:r>
    </w:p>
    <w:p w14:paraId="1452C351" w14:textId="0D19F1B0" w:rsidR="00B60939" w:rsidRPr="00BF2B95" w:rsidRDefault="00B60939" w:rsidP="00D86231">
      <w:pPr>
        <w:pStyle w:val="3-SubsectionHeading"/>
      </w:pPr>
      <w:bookmarkStart w:id="19" w:name="_Toc22897642"/>
      <w:bookmarkStart w:id="20" w:name="_Toc101107809"/>
      <w:r w:rsidRPr="00BF2B95">
        <w:t>Comparative harms</w:t>
      </w:r>
      <w:bookmarkEnd w:id="19"/>
      <w:bookmarkEnd w:id="20"/>
    </w:p>
    <w:p w14:paraId="2DAF16D1" w14:textId="1AB5B00E" w:rsidR="00B60939" w:rsidRPr="002D21EA" w:rsidRDefault="00A72D6E" w:rsidP="00D86231">
      <w:pPr>
        <w:pStyle w:val="ExecSumBodyText"/>
      </w:pPr>
      <w:r w:rsidRPr="002D21EA">
        <w:t>A summary of safety outcomes through to Week 48 in the TENAYA and LUCERNE trials is provided in the table below.</w:t>
      </w:r>
    </w:p>
    <w:p w14:paraId="44C8ACC4" w14:textId="6BAC1CC0" w:rsidR="00A40459" w:rsidRPr="002D21EA" w:rsidRDefault="00B83E00" w:rsidP="0081052F">
      <w:pPr>
        <w:pStyle w:val="Tableheadingrow"/>
        <w:rPr>
          <w:lang w:val="en-AU"/>
        </w:rPr>
      </w:pPr>
      <w:r w:rsidRPr="002D21EA">
        <w:rPr>
          <w:lang w:val="en-AU"/>
        </w:rPr>
        <w:t xml:space="preserve">Table </w:t>
      </w:r>
      <w:r w:rsidR="0081052F" w:rsidRPr="002D21EA">
        <w:rPr>
          <w:lang w:val="en-AU"/>
        </w:rPr>
        <w:fldChar w:fldCharType="begin"/>
      </w:r>
      <w:r w:rsidR="0081052F" w:rsidRPr="002D21EA">
        <w:rPr>
          <w:lang w:val="en-AU"/>
        </w:rPr>
        <w:instrText xml:space="preserve"> SEQ Table \* ARABIC </w:instrText>
      </w:r>
      <w:r w:rsidR="0081052F" w:rsidRPr="002D21EA">
        <w:rPr>
          <w:lang w:val="en-AU"/>
        </w:rPr>
        <w:fldChar w:fldCharType="separate"/>
      </w:r>
      <w:r w:rsidR="006C2A4B">
        <w:rPr>
          <w:noProof/>
          <w:lang w:val="en-AU"/>
        </w:rPr>
        <w:t>7</w:t>
      </w:r>
      <w:r w:rsidR="0081052F" w:rsidRPr="002D21EA">
        <w:rPr>
          <w:lang w:val="en-AU"/>
        </w:rPr>
        <w:fldChar w:fldCharType="end"/>
      </w:r>
      <w:r w:rsidR="00A761CF" w:rsidRPr="002D21EA">
        <w:rPr>
          <w:lang w:val="en-AU"/>
        </w:rPr>
        <w:t xml:space="preserve">: </w:t>
      </w:r>
      <w:r w:rsidR="00A40459" w:rsidRPr="002D21EA">
        <w:rPr>
          <w:lang w:val="en-AU"/>
        </w:rPr>
        <w:t>Safety summary through Week 48 in the TENAYA and LUCERNE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Safety summary through Week 48 in the TENAYA and LUCERNE trials"/>
      </w:tblPr>
      <w:tblGrid>
        <w:gridCol w:w="2830"/>
        <w:gridCol w:w="1546"/>
        <w:gridCol w:w="1547"/>
        <w:gridCol w:w="1547"/>
        <w:gridCol w:w="1547"/>
      </w:tblGrid>
      <w:tr w:rsidR="00A40459" w:rsidRPr="002D21EA" w14:paraId="32A00BC9" w14:textId="77777777" w:rsidTr="00174A07">
        <w:trPr>
          <w:cantSplit/>
          <w:tblHeader/>
        </w:trPr>
        <w:tc>
          <w:tcPr>
            <w:tcW w:w="1569" w:type="pct"/>
            <w:vMerge w:val="restart"/>
            <w:vAlign w:val="center"/>
          </w:tcPr>
          <w:p w14:paraId="6198AEBF" w14:textId="77777777" w:rsidR="00A40459" w:rsidRPr="002D21EA" w:rsidRDefault="00A40459" w:rsidP="00174A07">
            <w:pPr>
              <w:pStyle w:val="Tableheadingrow"/>
              <w:keepNext w:val="0"/>
              <w:rPr>
                <w:szCs w:val="20"/>
                <w:lang w:val="en-AU"/>
              </w:rPr>
            </w:pPr>
          </w:p>
        </w:tc>
        <w:tc>
          <w:tcPr>
            <w:tcW w:w="1715" w:type="pct"/>
            <w:gridSpan w:val="2"/>
          </w:tcPr>
          <w:p w14:paraId="3974C388" w14:textId="77777777" w:rsidR="00A40459" w:rsidRPr="002D21EA" w:rsidRDefault="00A40459" w:rsidP="00174A07">
            <w:pPr>
              <w:pStyle w:val="Tableheadingrow"/>
              <w:keepNext w:val="0"/>
              <w:jc w:val="center"/>
              <w:rPr>
                <w:szCs w:val="20"/>
                <w:lang w:val="en-AU"/>
              </w:rPr>
            </w:pPr>
            <w:r w:rsidRPr="002D21EA">
              <w:rPr>
                <w:szCs w:val="20"/>
                <w:lang w:val="en-AU"/>
              </w:rPr>
              <w:t>TENAYA</w:t>
            </w:r>
          </w:p>
        </w:tc>
        <w:tc>
          <w:tcPr>
            <w:tcW w:w="1716" w:type="pct"/>
            <w:gridSpan w:val="2"/>
          </w:tcPr>
          <w:p w14:paraId="4F7E12B2" w14:textId="77777777" w:rsidR="00A40459" w:rsidRPr="002D21EA" w:rsidRDefault="00A40459" w:rsidP="00174A07">
            <w:pPr>
              <w:pStyle w:val="Tableheadingrow"/>
              <w:keepNext w:val="0"/>
              <w:jc w:val="center"/>
              <w:rPr>
                <w:szCs w:val="20"/>
                <w:lang w:val="en-AU"/>
              </w:rPr>
            </w:pPr>
            <w:r w:rsidRPr="002D21EA">
              <w:rPr>
                <w:szCs w:val="20"/>
                <w:lang w:val="en-AU"/>
              </w:rPr>
              <w:t>LUCERNE</w:t>
            </w:r>
          </w:p>
        </w:tc>
      </w:tr>
      <w:tr w:rsidR="00A40459" w:rsidRPr="002D21EA" w14:paraId="6C4AABB7" w14:textId="77777777" w:rsidTr="00174A07">
        <w:trPr>
          <w:cantSplit/>
          <w:tblHeader/>
        </w:trPr>
        <w:tc>
          <w:tcPr>
            <w:tcW w:w="1569" w:type="pct"/>
            <w:vMerge/>
            <w:vAlign w:val="center"/>
          </w:tcPr>
          <w:p w14:paraId="40F0DEAF" w14:textId="77777777" w:rsidR="00A40459" w:rsidRPr="002D21EA" w:rsidRDefault="00A40459" w:rsidP="00174A07">
            <w:pPr>
              <w:pStyle w:val="Tableheadingrow"/>
              <w:keepNext w:val="0"/>
              <w:rPr>
                <w:szCs w:val="20"/>
                <w:lang w:val="en-AU"/>
              </w:rPr>
            </w:pPr>
          </w:p>
        </w:tc>
        <w:tc>
          <w:tcPr>
            <w:tcW w:w="857" w:type="pct"/>
            <w:vAlign w:val="center"/>
          </w:tcPr>
          <w:p w14:paraId="739BB00B" w14:textId="77777777" w:rsidR="00A40459" w:rsidRPr="002D21EA" w:rsidRDefault="00A40459" w:rsidP="00174A07">
            <w:pPr>
              <w:pStyle w:val="Tableheadingrow"/>
              <w:keepNext w:val="0"/>
              <w:jc w:val="center"/>
              <w:rPr>
                <w:szCs w:val="20"/>
                <w:lang w:val="en-AU"/>
              </w:rPr>
            </w:pPr>
            <w:r w:rsidRPr="002D21EA">
              <w:rPr>
                <w:szCs w:val="20"/>
                <w:lang w:val="en-AU"/>
              </w:rPr>
              <w:t>Faricimab</w:t>
            </w:r>
          </w:p>
          <w:p w14:paraId="36BD9959" w14:textId="77777777" w:rsidR="00A40459" w:rsidRPr="002D21EA" w:rsidRDefault="00A40459" w:rsidP="00174A07">
            <w:pPr>
              <w:pStyle w:val="Tableheadingrow"/>
              <w:keepNext w:val="0"/>
              <w:jc w:val="center"/>
              <w:rPr>
                <w:szCs w:val="20"/>
                <w:lang w:val="en-AU"/>
              </w:rPr>
            </w:pPr>
            <w:r w:rsidRPr="002D21EA">
              <w:rPr>
                <w:szCs w:val="20"/>
                <w:lang w:val="en-AU"/>
              </w:rPr>
              <w:t>N=333</w:t>
            </w:r>
          </w:p>
        </w:tc>
        <w:tc>
          <w:tcPr>
            <w:tcW w:w="858" w:type="pct"/>
            <w:vAlign w:val="center"/>
          </w:tcPr>
          <w:p w14:paraId="22B0AED8" w14:textId="77777777" w:rsidR="00A40459" w:rsidRPr="002D21EA" w:rsidRDefault="00A40459" w:rsidP="00174A07">
            <w:pPr>
              <w:pStyle w:val="Tableheadingrow"/>
              <w:keepNext w:val="0"/>
              <w:jc w:val="center"/>
              <w:rPr>
                <w:szCs w:val="20"/>
                <w:lang w:val="en-AU"/>
              </w:rPr>
            </w:pPr>
            <w:r w:rsidRPr="002D21EA">
              <w:rPr>
                <w:szCs w:val="20"/>
                <w:lang w:val="en-AU"/>
              </w:rPr>
              <w:t>Aflibercept</w:t>
            </w:r>
          </w:p>
          <w:p w14:paraId="6F306131" w14:textId="77777777" w:rsidR="00A40459" w:rsidRPr="002D21EA" w:rsidRDefault="00A40459" w:rsidP="00174A07">
            <w:pPr>
              <w:pStyle w:val="Tableheadingrow"/>
              <w:keepNext w:val="0"/>
              <w:jc w:val="center"/>
              <w:rPr>
                <w:szCs w:val="20"/>
                <w:lang w:val="en-AU"/>
              </w:rPr>
            </w:pPr>
            <w:r w:rsidRPr="002D21EA">
              <w:rPr>
                <w:szCs w:val="20"/>
                <w:lang w:val="en-AU"/>
              </w:rPr>
              <w:t>N=336</w:t>
            </w:r>
          </w:p>
        </w:tc>
        <w:tc>
          <w:tcPr>
            <w:tcW w:w="858" w:type="pct"/>
            <w:vAlign w:val="center"/>
          </w:tcPr>
          <w:p w14:paraId="2E0D9501" w14:textId="77777777" w:rsidR="00A40459" w:rsidRPr="002D21EA" w:rsidRDefault="00A40459" w:rsidP="00174A07">
            <w:pPr>
              <w:pStyle w:val="Tableheadingrow"/>
              <w:keepNext w:val="0"/>
              <w:jc w:val="center"/>
              <w:rPr>
                <w:szCs w:val="20"/>
                <w:lang w:val="en-AU"/>
              </w:rPr>
            </w:pPr>
            <w:r w:rsidRPr="002D21EA">
              <w:rPr>
                <w:szCs w:val="20"/>
                <w:lang w:val="en-AU"/>
              </w:rPr>
              <w:t>Faricimab</w:t>
            </w:r>
          </w:p>
          <w:p w14:paraId="5A1A191C" w14:textId="77777777" w:rsidR="00A40459" w:rsidRPr="002D21EA" w:rsidRDefault="00A40459" w:rsidP="00174A07">
            <w:pPr>
              <w:pStyle w:val="Tableheadingrow"/>
              <w:keepNext w:val="0"/>
              <w:jc w:val="center"/>
              <w:rPr>
                <w:szCs w:val="20"/>
                <w:lang w:val="en-AU"/>
              </w:rPr>
            </w:pPr>
            <w:r w:rsidRPr="002D21EA">
              <w:rPr>
                <w:szCs w:val="20"/>
                <w:lang w:val="en-AU"/>
              </w:rPr>
              <w:t>N=331</w:t>
            </w:r>
          </w:p>
        </w:tc>
        <w:tc>
          <w:tcPr>
            <w:tcW w:w="858" w:type="pct"/>
            <w:vAlign w:val="center"/>
          </w:tcPr>
          <w:p w14:paraId="36422788" w14:textId="77777777" w:rsidR="00A40459" w:rsidRPr="002D21EA" w:rsidRDefault="00A40459" w:rsidP="00174A07">
            <w:pPr>
              <w:pStyle w:val="Tableheadingrow"/>
              <w:keepNext w:val="0"/>
              <w:jc w:val="center"/>
              <w:rPr>
                <w:szCs w:val="20"/>
                <w:lang w:val="en-AU"/>
              </w:rPr>
            </w:pPr>
            <w:r w:rsidRPr="002D21EA">
              <w:rPr>
                <w:szCs w:val="20"/>
                <w:lang w:val="en-AU"/>
              </w:rPr>
              <w:t>Aflibercept</w:t>
            </w:r>
          </w:p>
          <w:p w14:paraId="22F35683" w14:textId="77777777" w:rsidR="00A40459" w:rsidRPr="002D21EA" w:rsidRDefault="00A40459" w:rsidP="00174A07">
            <w:pPr>
              <w:pStyle w:val="Tableheadingrow"/>
              <w:keepNext w:val="0"/>
              <w:jc w:val="center"/>
              <w:rPr>
                <w:szCs w:val="20"/>
                <w:lang w:val="en-AU"/>
              </w:rPr>
            </w:pPr>
            <w:r w:rsidRPr="002D21EA">
              <w:rPr>
                <w:szCs w:val="20"/>
                <w:lang w:val="en-AU"/>
              </w:rPr>
              <w:t>N=326</w:t>
            </w:r>
          </w:p>
        </w:tc>
      </w:tr>
      <w:tr w:rsidR="00A40459" w:rsidRPr="002D21EA" w14:paraId="7EBCDF08" w14:textId="77777777" w:rsidTr="00174A07">
        <w:trPr>
          <w:cantSplit/>
        </w:trPr>
        <w:tc>
          <w:tcPr>
            <w:tcW w:w="1569" w:type="pct"/>
            <w:vAlign w:val="center"/>
          </w:tcPr>
          <w:p w14:paraId="07AA7A4E" w14:textId="77777777" w:rsidR="00A40459" w:rsidRPr="002D21EA" w:rsidRDefault="00A40459" w:rsidP="00174A07">
            <w:pPr>
              <w:pStyle w:val="TableText"/>
              <w:keepNext w:val="0"/>
              <w:rPr>
                <w:szCs w:val="20"/>
              </w:rPr>
            </w:pPr>
            <w:r w:rsidRPr="002D21EA">
              <w:rPr>
                <w:szCs w:val="20"/>
              </w:rPr>
              <w:t>Any AE, n (%)</w:t>
            </w:r>
          </w:p>
        </w:tc>
        <w:tc>
          <w:tcPr>
            <w:tcW w:w="857" w:type="pct"/>
            <w:vAlign w:val="center"/>
          </w:tcPr>
          <w:p w14:paraId="3222A853" w14:textId="77777777" w:rsidR="00A40459" w:rsidRPr="002D21EA" w:rsidRDefault="00A40459" w:rsidP="00174A07">
            <w:pPr>
              <w:pStyle w:val="TableText"/>
              <w:keepNext w:val="0"/>
              <w:jc w:val="center"/>
              <w:rPr>
                <w:szCs w:val="20"/>
              </w:rPr>
            </w:pPr>
            <w:r w:rsidRPr="002D21EA">
              <w:rPr>
                <w:szCs w:val="20"/>
              </w:rPr>
              <w:t>238 (71.5%)</w:t>
            </w:r>
          </w:p>
        </w:tc>
        <w:tc>
          <w:tcPr>
            <w:tcW w:w="858" w:type="pct"/>
            <w:vAlign w:val="center"/>
          </w:tcPr>
          <w:p w14:paraId="76A05583" w14:textId="77777777" w:rsidR="00A40459" w:rsidRPr="002D21EA" w:rsidRDefault="00A40459" w:rsidP="00174A07">
            <w:pPr>
              <w:pStyle w:val="TableText"/>
              <w:keepNext w:val="0"/>
              <w:jc w:val="center"/>
              <w:rPr>
                <w:szCs w:val="20"/>
              </w:rPr>
            </w:pPr>
            <w:r w:rsidRPr="002D21EA">
              <w:rPr>
                <w:szCs w:val="20"/>
              </w:rPr>
              <w:t>235 (69.9%)</w:t>
            </w:r>
          </w:p>
        </w:tc>
        <w:tc>
          <w:tcPr>
            <w:tcW w:w="858" w:type="pct"/>
            <w:vAlign w:val="center"/>
          </w:tcPr>
          <w:p w14:paraId="7FFD68DD" w14:textId="77777777" w:rsidR="00A40459" w:rsidRPr="002D21EA" w:rsidRDefault="00A40459" w:rsidP="00174A07">
            <w:pPr>
              <w:pStyle w:val="TableText"/>
              <w:keepNext w:val="0"/>
              <w:jc w:val="center"/>
              <w:rPr>
                <w:szCs w:val="20"/>
              </w:rPr>
            </w:pPr>
            <w:r w:rsidRPr="002D21EA">
              <w:rPr>
                <w:szCs w:val="20"/>
              </w:rPr>
              <w:t>233 (70.4%)</w:t>
            </w:r>
          </w:p>
        </w:tc>
        <w:tc>
          <w:tcPr>
            <w:tcW w:w="858" w:type="pct"/>
            <w:vAlign w:val="center"/>
          </w:tcPr>
          <w:p w14:paraId="37ACE43E" w14:textId="77777777" w:rsidR="00A40459" w:rsidRPr="002D21EA" w:rsidRDefault="00A40459" w:rsidP="00174A07">
            <w:pPr>
              <w:pStyle w:val="TableText"/>
              <w:keepNext w:val="0"/>
              <w:jc w:val="center"/>
              <w:rPr>
                <w:szCs w:val="20"/>
              </w:rPr>
            </w:pPr>
            <w:r w:rsidRPr="002D21EA">
              <w:rPr>
                <w:szCs w:val="20"/>
              </w:rPr>
              <w:t>248 (76.1%)</w:t>
            </w:r>
          </w:p>
        </w:tc>
      </w:tr>
      <w:tr w:rsidR="00A40459" w:rsidRPr="002D21EA" w14:paraId="38FE251F" w14:textId="77777777" w:rsidTr="00174A07">
        <w:trPr>
          <w:cantSplit/>
        </w:trPr>
        <w:tc>
          <w:tcPr>
            <w:tcW w:w="1569" w:type="pct"/>
            <w:vAlign w:val="center"/>
          </w:tcPr>
          <w:p w14:paraId="2EC5452C" w14:textId="77777777" w:rsidR="00A40459" w:rsidRPr="002D21EA" w:rsidRDefault="00A40459" w:rsidP="00174A07">
            <w:pPr>
              <w:pStyle w:val="TableText"/>
              <w:keepNext w:val="0"/>
              <w:rPr>
                <w:szCs w:val="20"/>
              </w:rPr>
            </w:pPr>
            <w:r w:rsidRPr="002D21EA">
              <w:rPr>
                <w:szCs w:val="20"/>
              </w:rPr>
              <w:t>Total AEs, n</w:t>
            </w:r>
          </w:p>
        </w:tc>
        <w:tc>
          <w:tcPr>
            <w:tcW w:w="857" w:type="pct"/>
            <w:vAlign w:val="center"/>
          </w:tcPr>
          <w:p w14:paraId="60FB67D9" w14:textId="77777777" w:rsidR="00A40459" w:rsidRPr="002D21EA" w:rsidRDefault="00A40459" w:rsidP="00174A07">
            <w:pPr>
              <w:pStyle w:val="TableText"/>
              <w:keepNext w:val="0"/>
              <w:jc w:val="center"/>
              <w:rPr>
                <w:szCs w:val="20"/>
              </w:rPr>
            </w:pPr>
            <w:r w:rsidRPr="002D21EA">
              <w:rPr>
                <w:szCs w:val="20"/>
              </w:rPr>
              <w:t>858</w:t>
            </w:r>
          </w:p>
        </w:tc>
        <w:tc>
          <w:tcPr>
            <w:tcW w:w="858" w:type="pct"/>
            <w:vAlign w:val="center"/>
          </w:tcPr>
          <w:p w14:paraId="27CBD8E2" w14:textId="77777777" w:rsidR="00A40459" w:rsidRPr="002D21EA" w:rsidRDefault="00A40459" w:rsidP="00174A07">
            <w:pPr>
              <w:pStyle w:val="TableText"/>
              <w:keepNext w:val="0"/>
              <w:jc w:val="center"/>
              <w:rPr>
                <w:szCs w:val="20"/>
              </w:rPr>
            </w:pPr>
            <w:r w:rsidRPr="002D21EA">
              <w:rPr>
                <w:szCs w:val="20"/>
              </w:rPr>
              <w:t>812</w:t>
            </w:r>
          </w:p>
        </w:tc>
        <w:tc>
          <w:tcPr>
            <w:tcW w:w="858" w:type="pct"/>
            <w:vAlign w:val="center"/>
          </w:tcPr>
          <w:p w14:paraId="524C22E7" w14:textId="77777777" w:rsidR="00A40459" w:rsidRPr="002D21EA" w:rsidRDefault="00A40459" w:rsidP="00174A07">
            <w:pPr>
              <w:pStyle w:val="TableText"/>
              <w:keepNext w:val="0"/>
              <w:jc w:val="center"/>
              <w:rPr>
                <w:szCs w:val="20"/>
              </w:rPr>
            </w:pPr>
            <w:r w:rsidRPr="002D21EA">
              <w:rPr>
                <w:szCs w:val="20"/>
              </w:rPr>
              <w:t>812</w:t>
            </w:r>
          </w:p>
        </w:tc>
        <w:tc>
          <w:tcPr>
            <w:tcW w:w="858" w:type="pct"/>
            <w:vAlign w:val="center"/>
          </w:tcPr>
          <w:p w14:paraId="4DE3D8BA" w14:textId="77777777" w:rsidR="00A40459" w:rsidRPr="002D21EA" w:rsidRDefault="00A40459" w:rsidP="00174A07">
            <w:pPr>
              <w:pStyle w:val="TableText"/>
              <w:keepNext w:val="0"/>
              <w:jc w:val="center"/>
              <w:rPr>
                <w:szCs w:val="20"/>
              </w:rPr>
            </w:pPr>
            <w:r w:rsidRPr="002D21EA">
              <w:rPr>
                <w:szCs w:val="20"/>
              </w:rPr>
              <w:t>846</w:t>
            </w:r>
          </w:p>
        </w:tc>
      </w:tr>
      <w:tr w:rsidR="00A40459" w:rsidRPr="002D21EA" w14:paraId="430D122B" w14:textId="77777777" w:rsidTr="00174A07">
        <w:trPr>
          <w:cantSplit/>
        </w:trPr>
        <w:tc>
          <w:tcPr>
            <w:tcW w:w="1569" w:type="pct"/>
            <w:vAlign w:val="center"/>
          </w:tcPr>
          <w:p w14:paraId="08E2F008" w14:textId="77777777" w:rsidR="00A40459" w:rsidRPr="002D21EA" w:rsidRDefault="00A40459" w:rsidP="00174A07">
            <w:pPr>
              <w:pStyle w:val="TableText"/>
              <w:keepNext w:val="0"/>
              <w:rPr>
                <w:szCs w:val="20"/>
              </w:rPr>
            </w:pPr>
            <w:r w:rsidRPr="002D21EA">
              <w:rPr>
                <w:szCs w:val="20"/>
              </w:rPr>
              <w:t xml:space="preserve">Serious AEs, n (%) </w:t>
            </w:r>
          </w:p>
        </w:tc>
        <w:tc>
          <w:tcPr>
            <w:tcW w:w="857" w:type="pct"/>
            <w:vAlign w:val="center"/>
          </w:tcPr>
          <w:p w14:paraId="051F0740" w14:textId="77777777" w:rsidR="00A40459" w:rsidRPr="002D21EA" w:rsidRDefault="00A40459" w:rsidP="00174A07">
            <w:pPr>
              <w:pStyle w:val="TableText"/>
              <w:keepNext w:val="0"/>
              <w:jc w:val="center"/>
              <w:rPr>
                <w:szCs w:val="20"/>
              </w:rPr>
            </w:pPr>
            <w:r w:rsidRPr="002D21EA">
              <w:rPr>
                <w:szCs w:val="20"/>
              </w:rPr>
              <w:t>34 (10.2%)</w:t>
            </w:r>
          </w:p>
        </w:tc>
        <w:tc>
          <w:tcPr>
            <w:tcW w:w="858" w:type="pct"/>
            <w:vAlign w:val="center"/>
          </w:tcPr>
          <w:p w14:paraId="1265D966" w14:textId="77777777" w:rsidR="00A40459" w:rsidRPr="002D21EA" w:rsidRDefault="00A40459" w:rsidP="00174A07">
            <w:pPr>
              <w:pStyle w:val="TableText"/>
              <w:keepNext w:val="0"/>
              <w:jc w:val="center"/>
              <w:rPr>
                <w:szCs w:val="20"/>
              </w:rPr>
            </w:pPr>
            <w:r w:rsidRPr="002D21EA">
              <w:rPr>
                <w:szCs w:val="20"/>
              </w:rPr>
              <w:t>44 (13.1%)</w:t>
            </w:r>
          </w:p>
        </w:tc>
        <w:tc>
          <w:tcPr>
            <w:tcW w:w="858" w:type="pct"/>
            <w:vAlign w:val="center"/>
          </w:tcPr>
          <w:p w14:paraId="6851EBE7" w14:textId="77777777" w:rsidR="00A40459" w:rsidRPr="002D21EA" w:rsidRDefault="00A40459" w:rsidP="00174A07">
            <w:pPr>
              <w:pStyle w:val="TableText"/>
              <w:keepNext w:val="0"/>
              <w:jc w:val="center"/>
              <w:rPr>
                <w:szCs w:val="20"/>
              </w:rPr>
            </w:pPr>
            <w:r w:rsidRPr="002D21EA">
              <w:rPr>
                <w:szCs w:val="20"/>
              </w:rPr>
              <w:t>49 (14.8%)</w:t>
            </w:r>
          </w:p>
        </w:tc>
        <w:tc>
          <w:tcPr>
            <w:tcW w:w="858" w:type="pct"/>
            <w:vAlign w:val="center"/>
          </w:tcPr>
          <w:p w14:paraId="29D3F28F" w14:textId="77777777" w:rsidR="00A40459" w:rsidRPr="002D21EA" w:rsidRDefault="00A40459" w:rsidP="00174A07">
            <w:pPr>
              <w:pStyle w:val="TableText"/>
              <w:keepNext w:val="0"/>
              <w:jc w:val="center"/>
              <w:rPr>
                <w:szCs w:val="20"/>
              </w:rPr>
            </w:pPr>
            <w:r w:rsidRPr="002D21EA">
              <w:rPr>
                <w:szCs w:val="20"/>
              </w:rPr>
              <w:t>57 (17.5%)</w:t>
            </w:r>
          </w:p>
        </w:tc>
      </w:tr>
      <w:tr w:rsidR="00A40459" w:rsidRPr="002D21EA" w14:paraId="624E43CA" w14:textId="77777777" w:rsidTr="00174A07">
        <w:trPr>
          <w:cantSplit/>
        </w:trPr>
        <w:tc>
          <w:tcPr>
            <w:tcW w:w="1569" w:type="pct"/>
            <w:vAlign w:val="center"/>
          </w:tcPr>
          <w:p w14:paraId="677EDAA1" w14:textId="77777777" w:rsidR="00A40459" w:rsidRPr="002D21EA" w:rsidRDefault="00A40459" w:rsidP="00174A07">
            <w:pPr>
              <w:pStyle w:val="TableText"/>
              <w:keepNext w:val="0"/>
              <w:rPr>
                <w:szCs w:val="20"/>
              </w:rPr>
            </w:pPr>
            <w:r w:rsidRPr="002D21EA">
              <w:rPr>
                <w:szCs w:val="20"/>
              </w:rPr>
              <w:t>Total serious AEs, n</w:t>
            </w:r>
          </w:p>
        </w:tc>
        <w:tc>
          <w:tcPr>
            <w:tcW w:w="857" w:type="pct"/>
            <w:vAlign w:val="center"/>
          </w:tcPr>
          <w:p w14:paraId="0896389F" w14:textId="77777777" w:rsidR="00A40459" w:rsidRPr="002D21EA" w:rsidRDefault="00A40459" w:rsidP="00174A07">
            <w:pPr>
              <w:pStyle w:val="TableText"/>
              <w:keepNext w:val="0"/>
              <w:jc w:val="center"/>
              <w:rPr>
                <w:szCs w:val="20"/>
              </w:rPr>
            </w:pPr>
            <w:r w:rsidRPr="002D21EA">
              <w:rPr>
                <w:szCs w:val="20"/>
              </w:rPr>
              <w:t>47</w:t>
            </w:r>
          </w:p>
        </w:tc>
        <w:tc>
          <w:tcPr>
            <w:tcW w:w="858" w:type="pct"/>
            <w:vAlign w:val="center"/>
          </w:tcPr>
          <w:p w14:paraId="0606CEFB" w14:textId="77777777" w:rsidR="00A40459" w:rsidRPr="002D21EA" w:rsidRDefault="00A40459" w:rsidP="00174A07">
            <w:pPr>
              <w:pStyle w:val="TableText"/>
              <w:keepNext w:val="0"/>
              <w:jc w:val="center"/>
              <w:rPr>
                <w:szCs w:val="20"/>
              </w:rPr>
            </w:pPr>
            <w:r w:rsidRPr="002D21EA">
              <w:rPr>
                <w:szCs w:val="20"/>
              </w:rPr>
              <w:t>67</w:t>
            </w:r>
          </w:p>
        </w:tc>
        <w:tc>
          <w:tcPr>
            <w:tcW w:w="858" w:type="pct"/>
            <w:vAlign w:val="center"/>
          </w:tcPr>
          <w:p w14:paraId="4E3F34E5" w14:textId="77777777" w:rsidR="00A40459" w:rsidRPr="002D21EA" w:rsidRDefault="00A40459" w:rsidP="00174A07">
            <w:pPr>
              <w:pStyle w:val="TableText"/>
              <w:keepNext w:val="0"/>
              <w:jc w:val="center"/>
              <w:rPr>
                <w:szCs w:val="20"/>
              </w:rPr>
            </w:pPr>
            <w:r w:rsidRPr="002D21EA">
              <w:rPr>
                <w:szCs w:val="20"/>
              </w:rPr>
              <w:t>68</w:t>
            </w:r>
          </w:p>
        </w:tc>
        <w:tc>
          <w:tcPr>
            <w:tcW w:w="858" w:type="pct"/>
            <w:vAlign w:val="center"/>
          </w:tcPr>
          <w:p w14:paraId="69DD1A7E" w14:textId="77777777" w:rsidR="00A40459" w:rsidRPr="002D21EA" w:rsidRDefault="00A40459" w:rsidP="00174A07">
            <w:pPr>
              <w:pStyle w:val="TableText"/>
              <w:keepNext w:val="0"/>
              <w:jc w:val="center"/>
              <w:rPr>
                <w:szCs w:val="20"/>
              </w:rPr>
            </w:pPr>
            <w:r w:rsidRPr="002D21EA">
              <w:rPr>
                <w:szCs w:val="20"/>
              </w:rPr>
              <w:t>122</w:t>
            </w:r>
          </w:p>
        </w:tc>
      </w:tr>
      <w:tr w:rsidR="00A40459" w:rsidRPr="002D21EA" w14:paraId="6C608A7F" w14:textId="77777777" w:rsidTr="00174A07">
        <w:trPr>
          <w:cantSplit/>
        </w:trPr>
        <w:tc>
          <w:tcPr>
            <w:tcW w:w="1569" w:type="pct"/>
            <w:vAlign w:val="center"/>
          </w:tcPr>
          <w:p w14:paraId="6F8B8B6D" w14:textId="77777777" w:rsidR="00A40459" w:rsidRPr="002D21EA" w:rsidRDefault="00A40459" w:rsidP="00174A07">
            <w:pPr>
              <w:pStyle w:val="TableText"/>
              <w:keepNext w:val="0"/>
              <w:rPr>
                <w:szCs w:val="20"/>
              </w:rPr>
            </w:pPr>
            <w:r w:rsidRPr="002D21EA">
              <w:rPr>
                <w:szCs w:val="20"/>
              </w:rPr>
              <w:t>Deaths, n (%)</w:t>
            </w:r>
          </w:p>
        </w:tc>
        <w:tc>
          <w:tcPr>
            <w:tcW w:w="857" w:type="pct"/>
            <w:vAlign w:val="center"/>
          </w:tcPr>
          <w:p w14:paraId="5770B5C7" w14:textId="77777777" w:rsidR="00A40459" w:rsidRPr="002D21EA" w:rsidRDefault="00A40459" w:rsidP="00174A07">
            <w:pPr>
              <w:pStyle w:val="TableText"/>
              <w:keepNext w:val="0"/>
              <w:jc w:val="center"/>
              <w:rPr>
                <w:szCs w:val="20"/>
              </w:rPr>
            </w:pPr>
            <w:r w:rsidRPr="002D21EA">
              <w:rPr>
                <w:szCs w:val="20"/>
              </w:rPr>
              <w:t>5 (1.5%)</w:t>
            </w:r>
          </w:p>
        </w:tc>
        <w:tc>
          <w:tcPr>
            <w:tcW w:w="858" w:type="pct"/>
            <w:vAlign w:val="center"/>
          </w:tcPr>
          <w:p w14:paraId="19FA83C3" w14:textId="77777777" w:rsidR="00A40459" w:rsidRPr="002D21EA" w:rsidRDefault="00A40459" w:rsidP="00174A07">
            <w:pPr>
              <w:pStyle w:val="TableText"/>
              <w:keepNext w:val="0"/>
              <w:jc w:val="center"/>
              <w:rPr>
                <w:szCs w:val="20"/>
              </w:rPr>
            </w:pPr>
            <w:r w:rsidRPr="002D21EA">
              <w:rPr>
                <w:szCs w:val="20"/>
              </w:rPr>
              <w:t>1 (0.3%)</w:t>
            </w:r>
          </w:p>
        </w:tc>
        <w:tc>
          <w:tcPr>
            <w:tcW w:w="858" w:type="pct"/>
            <w:vAlign w:val="center"/>
          </w:tcPr>
          <w:p w14:paraId="3A9D9BF8" w14:textId="77777777" w:rsidR="00A40459" w:rsidRPr="002D21EA" w:rsidRDefault="00A40459" w:rsidP="00174A07">
            <w:pPr>
              <w:pStyle w:val="TableText"/>
              <w:keepNext w:val="0"/>
              <w:jc w:val="center"/>
              <w:rPr>
                <w:szCs w:val="20"/>
              </w:rPr>
            </w:pPr>
            <w:r w:rsidRPr="002D21EA">
              <w:rPr>
                <w:szCs w:val="20"/>
              </w:rPr>
              <w:t>4 (1.2%)</w:t>
            </w:r>
          </w:p>
        </w:tc>
        <w:tc>
          <w:tcPr>
            <w:tcW w:w="858" w:type="pct"/>
            <w:vAlign w:val="center"/>
          </w:tcPr>
          <w:p w14:paraId="4B75418D" w14:textId="77777777" w:rsidR="00A40459" w:rsidRPr="002D21EA" w:rsidRDefault="00A40459" w:rsidP="00174A07">
            <w:pPr>
              <w:pStyle w:val="TableText"/>
              <w:keepNext w:val="0"/>
              <w:jc w:val="center"/>
              <w:rPr>
                <w:szCs w:val="20"/>
              </w:rPr>
            </w:pPr>
            <w:r w:rsidRPr="002D21EA">
              <w:rPr>
                <w:szCs w:val="20"/>
              </w:rPr>
              <w:t>7 (2.1%)</w:t>
            </w:r>
          </w:p>
        </w:tc>
      </w:tr>
      <w:tr w:rsidR="00A40459" w:rsidRPr="002D21EA" w14:paraId="7E13DD38" w14:textId="77777777" w:rsidTr="00174A07">
        <w:trPr>
          <w:cantSplit/>
        </w:trPr>
        <w:tc>
          <w:tcPr>
            <w:tcW w:w="1569" w:type="pct"/>
            <w:vAlign w:val="center"/>
          </w:tcPr>
          <w:p w14:paraId="4EAE26E4" w14:textId="77777777" w:rsidR="00A40459" w:rsidRPr="002D21EA" w:rsidRDefault="00A40459" w:rsidP="00174A07">
            <w:pPr>
              <w:pStyle w:val="TableText"/>
              <w:keepNext w:val="0"/>
              <w:rPr>
                <w:szCs w:val="20"/>
              </w:rPr>
            </w:pPr>
            <w:r w:rsidRPr="002D21EA">
              <w:rPr>
                <w:szCs w:val="20"/>
              </w:rPr>
              <w:t>AE leading to study w/d, n (%)</w:t>
            </w:r>
          </w:p>
        </w:tc>
        <w:tc>
          <w:tcPr>
            <w:tcW w:w="857" w:type="pct"/>
            <w:vAlign w:val="center"/>
          </w:tcPr>
          <w:p w14:paraId="0A16E34E" w14:textId="77777777" w:rsidR="00A40459" w:rsidRPr="002D21EA" w:rsidRDefault="00A40459" w:rsidP="00174A07">
            <w:pPr>
              <w:pStyle w:val="TableText"/>
              <w:keepNext w:val="0"/>
              <w:jc w:val="center"/>
              <w:rPr>
                <w:szCs w:val="20"/>
              </w:rPr>
            </w:pPr>
            <w:r w:rsidRPr="002D21EA">
              <w:rPr>
                <w:szCs w:val="20"/>
              </w:rPr>
              <w:t>3 (0.9%)</w:t>
            </w:r>
          </w:p>
        </w:tc>
        <w:tc>
          <w:tcPr>
            <w:tcW w:w="858" w:type="pct"/>
            <w:vAlign w:val="center"/>
          </w:tcPr>
          <w:p w14:paraId="2B1ADF16" w14:textId="77777777" w:rsidR="00A40459" w:rsidRPr="002D21EA" w:rsidRDefault="00A40459" w:rsidP="00174A07">
            <w:pPr>
              <w:pStyle w:val="TableText"/>
              <w:keepNext w:val="0"/>
              <w:jc w:val="center"/>
              <w:rPr>
                <w:szCs w:val="20"/>
              </w:rPr>
            </w:pPr>
            <w:r w:rsidRPr="002D21EA">
              <w:rPr>
                <w:szCs w:val="20"/>
              </w:rPr>
              <w:t>4 (1.2%)</w:t>
            </w:r>
          </w:p>
        </w:tc>
        <w:tc>
          <w:tcPr>
            <w:tcW w:w="858" w:type="pct"/>
            <w:vAlign w:val="center"/>
          </w:tcPr>
          <w:p w14:paraId="40ED07DD" w14:textId="77777777" w:rsidR="00A40459" w:rsidRPr="002D21EA" w:rsidRDefault="00A40459" w:rsidP="00174A07">
            <w:pPr>
              <w:pStyle w:val="TableText"/>
              <w:keepNext w:val="0"/>
              <w:jc w:val="center"/>
              <w:rPr>
                <w:szCs w:val="20"/>
              </w:rPr>
            </w:pPr>
            <w:r w:rsidRPr="002D21EA">
              <w:rPr>
                <w:szCs w:val="20"/>
              </w:rPr>
              <w:t>5 (1.5%)</w:t>
            </w:r>
          </w:p>
        </w:tc>
        <w:tc>
          <w:tcPr>
            <w:tcW w:w="858" w:type="pct"/>
            <w:vAlign w:val="center"/>
          </w:tcPr>
          <w:p w14:paraId="60537DF4" w14:textId="77777777" w:rsidR="00A40459" w:rsidRPr="002D21EA" w:rsidRDefault="00A40459" w:rsidP="00174A07">
            <w:pPr>
              <w:pStyle w:val="TableText"/>
              <w:keepNext w:val="0"/>
              <w:jc w:val="center"/>
              <w:rPr>
                <w:szCs w:val="20"/>
              </w:rPr>
            </w:pPr>
            <w:r w:rsidRPr="002D21EA">
              <w:rPr>
                <w:szCs w:val="20"/>
              </w:rPr>
              <w:t>6 (1.8%)</w:t>
            </w:r>
          </w:p>
        </w:tc>
      </w:tr>
      <w:tr w:rsidR="00A40459" w:rsidRPr="002D21EA" w14:paraId="7B073355" w14:textId="77777777" w:rsidTr="00174A07">
        <w:trPr>
          <w:cantSplit/>
        </w:trPr>
        <w:tc>
          <w:tcPr>
            <w:tcW w:w="1569" w:type="pct"/>
            <w:vAlign w:val="center"/>
          </w:tcPr>
          <w:p w14:paraId="5B1A968B" w14:textId="77777777" w:rsidR="00A40459" w:rsidRPr="002D21EA" w:rsidRDefault="00A40459" w:rsidP="00174A07">
            <w:pPr>
              <w:pStyle w:val="TableText"/>
              <w:keepNext w:val="0"/>
              <w:rPr>
                <w:szCs w:val="20"/>
              </w:rPr>
            </w:pPr>
            <w:r w:rsidRPr="002D21EA">
              <w:rPr>
                <w:szCs w:val="20"/>
              </w:rPr>
              <w:t>AE leading to treatment w/d, n (%)</w:t>
            </w:r>
          </w:p>
        </w:tc>
        <w:tc>
          <w:tcPr>
            <w:tcW w:w="857" w:type="pct"/>
            <w:vAlign w:val="center"/>
          </w:tcPr>
          <w:p w14:paraId="260E2D3C" w14:textId="77777777" w:rsidR="00A40459" w:rsidRPr="002D21EA" w:rsidRDefault="00A40459" w:rsidP="00174A07">
            <w:pPr>
              <w:pStyle w:val="TableText"/>
              <w:keepNext w:val="0"/>
              <w:jc w:val="center"/>
              <w:rPr>
                <w:szCs w:val="20"/>
              </w:rPr>
            </w:pPr>
            <w:r w:rsidRPr="002D21EA">
              <w:rPr>
                <w:szCs w:val="20"/>
              </w:rPr>
              <w:t>3 (0.9%)</w:t>
            </w:r>
          </w:p>
        </w:tc>
        <w:tc>
          <w:tcPr>
            <w:tcW w:w="858" w:type="pct"/>
            <w:vAlign w:val="center"/>
          </w:tcPr>
          <w:p w14:paraId="08EA2F5E" w14:textId="77777777" w:rsidR="00A40459" w:rsidRPr="002D21EA" w:rsidRDefault="00A40459" w:rsidP="00174A07">
            <w:pPr>
              <w:pStyle w:val="TableText"/>
              <w:keepNext w:val="0"/>
              <w:jc w:val="center"/>
              <w:rPr>
                <w:szCs w:val="20"/>
              </w:rPr>
            </w:pPr>
            <w:r w:rsidRPr="002D21EA">
              <w:rPr>
                <w:szCs w:val="20"/>
              </w:rPr>
              <w:t>3 (0.9%)</w:t>
            </w:r>
          </w:p>
        </w:tc>
        <w:tc>
          <w:tcPr>
            <w:tcW w:w="858" w:type="pct"/>
            <w:vAlign w:val="center"/>
          </w:tcPr>
          <w:p w14:paraId="1B27D116" w14:textId="77777777" w:rsidR="00A40459" w:rsidRPr="002D21EA" w:rsidRDefault="00A40459" w:rsidP="00174A07">
            <w:pPr>
              <w:pStyle w:val="TableText"/>
              <w:keepNext w:val="0"/>
              <w:jc w:val="center"/>
              <w:rPr>
                <w:szCs w:val="20"/>
              </w:rPr>
            </w:pPr>
            <w:r w:rsidRPr="002D21EA">
              <w:rPr>
                <w:szCs w:val="20"/>
              </w:rPr>
              <w:t>8 (2.4%)</w:t>
            </w:r>
          </w:p>
        </w:tc>
        <w:tc>
          <w:tcPr>
            <w:tcW w:w="858" w:type="pct"/>
            <w:vAlign w:val="center"/>
          </w:tcPr>
          <w:p w14:paraId="618D0BB6" w14:textId="77777777" w:rsidR="00A40459" w:rsidRPr="002D21EA" w:rsidRDefault="00A40459" w:rsidP="00174A07">
            <w:pPr>
              <w:pStyle w:val="TableText"/>
              <w:keepNext w:val="0"/>
              <w:jc w:val="center"/>
              <w:rPr>
                <w:szCs w:val="20"/>
              </w:rPr>
            </w:pPr>
            <w:r w:rsidRPr="002D21EA">
              <w:rPr>
                <w:szCs w:val="20"/>
              </w:rPr>
              <w:t>1 (0.3%)</w:t>
            </w:r>
          </w:p>
        </w:tc>
      </w:tr>
      <w:tr w:rsidR="00A40459" w:rsidRPr="002D21EA" w14:paraId="1D42F6ED" w14:textId="77777777" w:rsidTr="00174A07">
        <w:trPr>
          <w:cantSplit/>
        </w:trPr>
        <w:tc>
          <w:tcPr>
            <w:tcW w:w="1569" w:type="pct"/>
            <w:tcBorders>
              <w:bottom w:val="single" w:sz="4" w:space="0" w:color="auto"/>
            </w:tcBorders>
            <w:vAlign w:val="center"/>
          </w:tcPr>
          <w:p w14:paraId="5E494B7F" w14:textId="77777777" w:rsidR="00A40459" w:rsidRPr="002D21EA" w:rsidRDefault="00A40459" w:rsidP="00174A07">
            <w:pPr>
              <w:pStyle w:val="TableText"/>
              <w:keepNext w:val="0"/>
              <w:rPr>
                <w:szCs w:val="20"/>
              </w:rPr>
            </w:pPr>
            <w:r w:rsidRPr="002D21EA">
              <w:rPr>
                <w:szCs w:val="20"/>
              </w:rPr>
              <w:t>AE of special interest, n (%)</w:t>
            </w:r>
          </w:p>
        </w:tc>
        <w:tc>
          <w:tcPr>
            <w:tcW w:w="857" w:type="pct"/>
            <w:tcBorders>
              <w:bottom w:val="single" w:sz="4" w:space="0" w:color="auto"/>
            </w:tcBorders>
            <w:vAlign w:val="center"/>
          </w:tcPr>
          <w:p w14:paraId="3CE23EA6" w14:textId="77777777" w:rsidR="00A40459" w:rsidRPr="002D21EA" w:rsidRDefault="00A40459" w:rsidP="00174A07">
            <w:pPr>
              <w:pStyle w:val="TableText"/>
              <w:keepNext w:val="0"/>
              <w:jc w:val="center"/>
              <w:rPr>
                <w:szCs w:val="20"/>
              </w:rPr>
            </w:pPr>
            <w:r w:rsidRPr="002D21EA">
              <w:rPr>
                <w:szCs w:val="20"/>
              </w:rPr>
              <w:t>3 (0.9%)</w:t>
            </w:r>
          </w:p>
        </w:tc>
        <w:tc>
          <w:tcPr>
            <w:tcW w:w="858" w:type="pct"/>
            <w:tcBorders>
              <w:bottom w:val="single" w:sz="4" w:space="0" w:color="auto"/>
            </w:tcBorders>
            <w:vAlign w:val="center"/>
          </w:tcPr>
          <w:p w14:paraId="4E8A3547" w14:textId="77777777" w:rsidR="00A40459" w:rsidRPr="002D21EA" w:rsidRDefault="00A40459" w:rsidP="00174A07">
            <w:pPr>
              <w:pStyle w:val="TableText"/>
              <w:keepNext w:val="0"/>
              <w:jc w:val="center"/>
              <w:rPr>
                <w:szCs w:val="20"/>
              </w:rPr>
            </w:pPr>
            <w:r w:rsidRPr="002D21EA">
              <w:rPr>
                <w:szCs w:val="20"/>
              </w:rPr>
              <w:t>12 (3.6%)</w:t>
            </w:r>
          </w:p>
        </w:tc>
        <w:tc>
          <w:tcPr>
            <w:tcW w:w="858" w:type="pct"/>
            <w:tcBorders>
              <w:bottom w:val="single" w:sz="4" w:space="0" w:color="auto"/>
            </w:tcBorders>
            <w:vAlign w:val="center"/>
          </w:tcPr>
          <w:p w14:paraId="272ACFDE" w14:textId="77777777" w:rsidR="00A40459" w:rsidRPr="002D21EA" w:rsidRDefault="00A40459" w:rsidP="00174A07">
            <w:pPr>
              <w:pStyle w:val="TableText"/>
              <w:keepNext w:val="0"/>
              <w:jc w:val="center"/>
              <w:rPr>
                <w:szCs w:val="20"/>
              </w:rPr>
            </w:pPr>
            <w:r w:rsidRPr="002D21EA">
              <w:rPr>
                <w:szCs w:val="20"/>
              </w:rPr>
              <w:t>11 (3.3%)</w:t>
            </w:r>
          </w:p>
        </w:tc>
        <w:tc>
          <w:tcPr>
            <w:tcW w:w="858" w:type="pct"/>
            <w:tcBorders>
              <w:bottom w:val="single" w:sz="4" w:space="0" w:color="auto"/>
            </w:tcBorders>
            <w:vAlign w:val="center"/>
          </w:tcPr>
          <w:p w14:paraId="307540C8" w14:textId="77777777" w:rsidR="00A40459" w:rsidRPr="002D21EA" w:rsidRDefault="00A40459" w:rsidP="00174A07">
            <w:pPr>
              <w:pStyle w:val="TableText"/>
              <w:keepNext w:val="0"/>
              <w:jc w:val="center"/>
              <w:rPr>
                <w:szCs w:val="20"/>
              </w:rPr>
            </w:pPr>
            <w:r w:rsidRPr="002D21EA">
              <w:rPr>
                <w:szCs w:val="20"/>
              </w:rPr>
              <w:t>8 (2.5%)</w:t>
            </w:r>
          </w:p>
        </w:tc>
      </w:tr>
      <w:tr w:rsidR="00A40459" w:rsidRPr="002D21EA" w14:paraId="688DCDF5" w14:textId="77777777" w:rsidTr="00174A07">
        <w:trPr>
          <w:cantSplit/>
        </w:trPr>
        <w:tc>
          <w:tcPr>
            <w:tcW w:w="1569" w:type="pct"/>
            <w:tcBorders>
              <w:bottom w:val="nil"/>
            </w:tcBorders>
            <w:vAlign w:val="center"/>
          </w:tcPr>
          <w:p w14:paraId="2D079367" w14:textId="77777777" w:rsidR="00A40459" w:rsidRPr="002D21EA" w:rsidRDefault="00A40459" w:rsidP="00174A07">
            <w:pPr>
              <w:pStyle w:val="TableText"/>
              <w:keepNext w:val="0"/>
              <w:rPr>
                <w:szCs w:val="20"/>
              </w:rPr>
            </w:pPr>
            <w:r w:rsidRPr="002D21EA">
              <w:rPr>
                <w:szCs w:val="20"/>
              </w:rPr>
              <w:t>Ocular adverse events, n (%)</w:t>
            </w:r>
          </w:p>
        </w:tc>
        <w:tc>
          <w:tcPr>
            <w:tcW w:w="857" w:type="pct"/>
            <w:tcBorders>
              <w:bottom w:val="nil"/>
            </w:tcBorders>
            <w:vAlign w:val="center"/>
          </w:tcPr>
          <w:p w14:paraId="16AE9DD4" w14:textId="77777777" w:rsidR="00A40459" w:rsidRPr="002D21EA" w:rsidRDefault="00A40459" w:rsidP="00174A07">
            <w:pPr>
              <w:pStyle w:val="TableText"/>
              <w:keepNext w:val="0"/>
              <w:jc w:val="center"/>
              <w:rPr>
                <w:b/>
                <w:bCs w:val="0"/>
                <w:szCs w:val="20"/>
              </w:rPr>
            </w:pPr>
          </w:p>
        </w:tc>
        <w:tc>
          <w:tcPr>
            <w:tcW w:w="858" w:type="pct"/>
            <w:tcBorders>
              <w:bottom w:val="nil"/>
            </w:tcBorders>
            <w:vAlign w:val="center"/>
          </w:tcPr>
          <w:p w14:paraId="43E98576" w14:textId="77777777" w:rsidR="00A40459" w:rsidRPr="002D21EA" w:rsidRDefault="00A40459" w:rsidP="00174A07">
            <w:pPr>
              <w:pStyle w:val="TableText"/>
              <w:keepNext w:val="0"/>
              <w:jc w:val="center"/>
              <w:rPr>
                <w:b/>
                <w:bCs w:val="0"/>
                <w:szCs w:val="20"/>
              </w:rPr>
            </w:pPr>
          </w:p>
        </w:tc>
        <w:tc>
          <w:tcPr>
            <w:tcW w:w="858" w:type="pct"/>
            <w:tcBorders>
              <w:bottom w:val="nil"/>
            </w:tcBorders>
            <w:vAlign w:val="center"/>
          </w:tcPr>
          <w:p w14:paraId="70B1E997" w14:textId="77777777" w:rsidR="00A40459" w:rsidRPr="002D21EA" w:rsidRDefault="00A40459" w:rsidP="00174A07">
            <w:pPr>
              <w:pStyle w:val="TableText"/>
              <w:keepNext w:val="0"/>
              <w:jc w:val="center"/>
              <w:rPr>
                <w:b/>
                <w:bCs w:val="0"/>
                <w:szCs w:val="20"/>
              </w:rPr>
            </w:pPr>
          </w:p>
        </w:tc>
        <w:tc>
          <w:tcPr>
            <w:tcW w:w="858" w:type="pct"/>
            <w:tcBorders>
              <w:bottom w:val="nil"/>
            </w:tcBorders>
            <w:vAlign w:val="center"/>
          </w:tcPr>
          <w:p w14:paraId="745B2B01" w14:textId="77777777" w:rsidR="00A40459" w:rsidRPr="002D21EA" w:rsidRDefault="00A40459" w:rsidP="00174A07">
            <w:pPr>
              <w:pStyle w:val="TableText"/>
              <w:keepNext w:val="0"/>
              <w:jc w:val="center"/>
              <w:rPr>
                <w:b/>
                <w:bCs w:val="0"/>
                <w:szCs w:val="20"/>
              </w:rPr>
            </w:pPr>
          </w:p>
        </w:tc>
      </w:tr>
      <w:tr w:rsidR="00A40459" w:rsidRPr="002D21EA" w14:paraId="6400779D" w14:textId="77777777" w:rsidTr="00174A07">
        <w:trPr>
          <w:cantSplit/>
        </w:trPr>
        <w:tc>
          <w:tcPr>
            <w:tcW w:w="1569" w:type="pct"/>
            <w:tcBorders>
              <w:top w:val="nil"/>
              <w:bottom w:val="nil"/>
            </w:tcBorders>
            <w:vAlign w:val="center"/>
          </w:tcPr>
          <w:p w14:paraId="23230EF1" w14:textId="77777777" w:rsidR="00A40459" w:rsidRPr="002D21EA" w:rsidRDefault="00A40459" w:rsidP="00A40459">
            <w:pPr>
              <w:pStyle w:val="TableText"/>
              <w:keepNext w:val="0"/>
              <w:numPr>
                <w:ilvl w:val="0"/>
                <w:numId w:val="14"/>
              </w:numPr>
              <w:ind w:left="170" w:hanging="170"/>
              <w:rPr>
                <w:szCs w:val="20"/>
              </w:rPr>
            </w:pPr>
            <w:r w:rsidRPr="002D21EA">
              <w:rPr>
                <w:szCs w:val="20"/>
              </w:rPr>
              <w:t>Any AE</w:t>
            </w:r>
          </w:p>
        </w:tc>
        <w:tc>
          <w:tcPr>
            <w:tcW w:w="857" w:type="pct"/>
            <w:tcBorders>
              <w:top w:val="nil"/>
              <w:bottom w:val="nil"/>
            </w:tcBorders>
            <w:vAlign w:val="center"/>
          </w:tcPr>
          <w:p w14:paraId="1300EC59" w14:textId="77777777" w:rsidR="00A40459" w:rsidRPr="002D21EA" w:rsidRDefault="00A40459" w:rsidP="00174A07">
            <w:pPr>
              <w:pStyle w:val="TableText"/>
              <w:keepNext w:val="0"/>
              <w:jc w:val="center"/>
              <w:rPr>
                <w:szCs w:val="20"/>
              </w:rPr>
            </w:pPr>
            <w:r w:rsidRPr="002D21EA">
              <w:rPr>
                <w:szCs w:val="20"/>
              </w:rPr>
              <w:t>121 (36.3%)</w:t>
            </w:r>
          </w:p>
        </w:tc>
        <w:tc>
          <w:tcPr>
            <w:tcW w:w="858" w:type="pct"/>
            <w:tcBorders>
              <w:top w:val="nil"/>
              <w:bottom w:val="nil"/>
            </w:tcBorders>
            <w:vAlign w:val="center"/>
          </w:tcPr>
          <w:p w14:paraId="2577E009" w14:textId="77777777" w:rsidR="00A40459" w:rsidRPr="002D21EA" w:rsidRDefault="00A40459" w:rsidP="00174A07">
            <w:pPr>
              <w:pStyle w:val="TableText"/>
              <w:keepNext w:val="0"/>
              <w:jc w:val="center"/>
              <w:rPr>
                <w:szCs w:val="20"/>
              </w:rPr>
            </w:pPr>
            <w:r w:rsidRPr="002D21EA">
              <w:rPr>
                <w:szCs w:val="20"/>
              </w:rPr>
              <w:t>128 (38.1%)</w:t>
            </w:r>
          </w:p>
        </w:tc>
        <w:tc>
          <w:tcPr>
            <w:tcW w:w="858" w:type="pct"/>
            <w:tcBorders>
              <w:top w:val="nil"/>
              <w:bottom w:val="nil"/>
            </w:tcBorders>
            <w:vAlign w:val="center"/>
          </w:tcPr>
          <w:p w14:paraId="02DA7A9C" w14:textId="77777777" w:rsidR="00A40459" w:rsidRPr="002D21EA" w:rsidRDefault="00A40459" w:rsidP="00174A07">
            <w:pPr>
              <w:pStyle w:val="TableText"/>
              <w:keepNext w:val="0"/>
              <w:jc w:val="center"/>
              <w:rPr>
                <w:szCs w:val="20"/>
              </w:rPr>
            </w:pPr>
            <w:r w:rsidRPr="002D21EA">
              <w:rPr>
                <w:szCs w:val="20"/>
              </w:rPr>
              <w:t>133 (40.2%)</w:t>
            </w:r>
          </w:p>
        </w:tc>
        <w:tc>
          <w:tcPr>
            <w:tcW w:w="858" w:type="pct"/>
            <w:tcBorders>
              <w:top w:val="nil"/>
              <w:bottom w:val="nil"/>
            </w:tcBorders>
            <w:vAlign w:val="center"/>
          </w:tcPr>
          <w:p w14:paraId="129E7523" w14:textId="77777777" w:rsidR="00A40459" w:rsidRPr="002D21EA" w:rsidRDefault="00A40459" w:rsidP="00174A07">
            <w:pPr>
              <w:pStyle w:val="TableText"/>
              <w:keepNext w:val="0"/>
              <w:jc w:val="center"/>
              <w:rPr>
                <w:szCs w:val="20"/>
              </w:rPr>
            </w:pPr>
            <w:r w:rsidRPr="002D21EA">
              <w:rPr>
                <w:szCs w:val="20"/>
              </w:rPr>
              <w:t>118 (36.2%)</w:t>
            </w:r>
          </w:p>
        </w:tc>
      </w:tr>
      <w:tr w:rsidR="00A40459" w:rsidRPr="002D21EA" w14:paraId="7AAA9AFA" w14:textId="77777777" w:rsidTr="00174A07">
        <w:trPr>
          <w:cantSplit/>
        </w:trPr>
        <w:tc>
          <w:tcPr>
            <w:tcW w:w="1569" w:type="pct"/>
            <w:tcBorders>
              <w:top w:val="nil"/>
              <w:bottom w:val="nil"/>
            </w:tcBorders>
            <w:vAlign w:val="center"/>
          </w:tcPr>
          <w:p w14:paraId="00F99FD9" w14:textId="77777777" w:rsidR="00A40459" w:rsidRPr="002D21EA" w:rsidRDefault="00A40459" w:rsidP="00A40459">
            <w:pPr>
              <w:pStyle w:val="TableText"/>
              <w:keepNext w:val="0"/>
              <w:numPr>
                <w:ilvl w:val="0"/>
                <w:numId w:val="14"/>
              </w:numPr>
              <w:ind w:left="170" w:hanging="170"/>
              <w:rPr>
                <w:szCs w:val="20"/>
              </w:rPr>
            </w:pPr>
            <w:r w:rsidRPr="002D21EA">
              <w:rPr>
                <w:szCs w:val="20"/>
              </w:rPr>
              <w:t>Serious AEs</w:t>
            </w:r>
          </w:p>
        </w:tc>
        <w:tc>
          <w:tcPr>
            <w:tcW w:w="857" w:type="pct"/>
            <w:tcBorders>
              <w:top w:val="nil"/>
              <w:bottom w:val="nil"/>
            </w:tcBorders>
            <w:vAlign w:val="center"/>
          </w:tcPr>
          <w:p w14:paraId="03760B32" w14:textId="77777777" w:rsidR="00A40459" w:rsidRPr="002D21EA" w:rsidRDefault="00A40459" w:rsidP="00174A07">
            <w:pPr>
              <w:pStyle w:val="TableText"/>
              <w:keepNext w:val="0"/>
              <w:jc w:val="center"/>
              <w:rPr>
                <w:szCs w:val="20"/>
              </w:rPr>
            </w:pPr>
            <w:r w:rsidRPr="002D21EA">
              <w:rPr>
                <w:szCs w:val="20"/>
              </w:rPr>
              <w:t>4 (1.2%)</w:t>
            </w:r>
          </w:p>
        </w:tc>
        <w:tc>
          <w:tcPr>
            <w:tcW w:w="858" w:type="pct"/>
            <w:tcBorders>
              <w:top w:val="nil"/>
              <w:bottom w:val="nil"/>
            </w:tcBorders>
            <w:vAlign w:val="center"/>
          </w:tcPr>
          <w:p w14:paraId="62983BF4" w14:textId="77777777" w:rsidR="00A40459" w:rsidRPr="002D21EA" w:rsidRDefault="00A40459" w:rsidP="00174A07">
            <w:pPr>
              <w:pStyle w:val="TableText"/>
              <w:keepNext w:val="0"/>
              <w:jc w:val="center"/>
              <w:rPr>
                <w:szCs w:val="20"/>
              </w:rPr>
            </w:pPr>
            <w:r w:rsidRPr="002D21EA">
              <w:rPr>
                <w:szCs w:val="20"/>
              </w:rPr>
              <w:t>6 (1.8%)</w:t>
            </w:r>
          </w:p>
        </w:tc>
        <w:tc>
          <w:tcPr>
            <w:tcW w:w="858" w:type="pct"/>
            <w:tcBorders>
              <w:top w:val="nil"/>
              <w:bottom w:val="nil"/>
            </w:tcBorders>
            <w:vAlign w:val="center"/>
          </w:tcPr>
          <w:p w14:paraId="0540ED39" w14:textId="77777777" w:rsidR="00A40459" w:rsidRPr="002D21EA" w:rsidRDefault="00A40459" w:rsidP="00174A07">
            <w:pPr>
              <w:pStyle w:val="TableText"/>
              <w:keepNext w:val="0"/>
              <w:jc w:val="center"/>
              <w:rPr>
                <w:szCs w:val="20"/>
              </w:rPr>
            </w:pPr>
            <w:r w:rsidRPr="002D21EA">
              <w:rPr>
                <w:szCs w:val="20"/>
              </w:rPr>
              <w:t>7 (2.1%)</w:t>
            </w:r>
          </w:p>
        </w:tc>
        <w:tc>
          <w:tcPr>
            <w:tcW w:w="858" w:type="pct"/>
            <w:tcBorders>
              <w:top w:val="nil"/>
              <w:bottom w:val="nil"/>
            </w:tcBorders>
            <w:vAlign w:val="center"/>
          </w:tcPr>
          <w:p w14:paraId="26D95550" w14:textId="77777777" w:rsidR="00A40459" w:rsidRPr="002D21EA" w:rsidRDefault="00A40459" w:rsidP="00174A07">
            <w:pPr>
              <w:pStyle w:val="TableText"/>
              <w:keepNext w:val="0"/>
              <w:jc w:val="center"/>
              <w:rPr>
                <w:szCs w:val="20"/>
              </w:rPr>
            </w:pPr>
            <w:r w:rsidRPr="002D21EA">
              <w:rPr>
                <w:szCs w:val="20"/>
              </w:rPr>
              <w:t>7 (2.1%)</w:t>
            </w:r>
          </w:p>
        </w:tc>
      </w:tr>
      <w:tr w:rsidR="00A40459" w:rsidRPr="002D21EA" w14:paraId="68F04262" w14:textId="77777777" w:rsidTr="00174A07">
        <w:trPr>
          <w:cantSplit/>
          <w:trHeight w:val="70"/>
        </w:trPr>
        <w:tc>
          <w:tcPr>
            <w:tcW w:w="1569" w:type="pct"/>
            <w:tcBorders>
              <w:top w:val="nil"/>
              <w:bottom w:val="nil"/>
            </w:tcBorders>
            <w:vAlign w:val="center"/>
          </w:tcPr>
          <w:p w14:paraId="7E085C82" w14:textId="77777777" w:rsidR="00A40459" w:rsidRPr="002D21EA" w:rsidRDefault="00A40459" w:rsidP="00A40459">
            <w:pPr>
              <w:pStyle w:val="TableText"/>
              <w:keepNext w:val="0"/>
              <w:numPr>
                <w:ilvl w:val="0"/>
                <w:numId w:val="14"/>
              </w:numPr>
              <w:ind w:left="170" w:hanging="170"/>
              <w:rPr>
                <w:szCs w:val="20"/>
              </w:rPr>
            </w:pPr>
            <w:r w:rsidRPr="002D21EA">
              <w:rPr>
                <w:szCs w:val="20"/>
              </w:rPr>
              <w:t>AE leading to treatment withdrawal</w:t>
            </w:r>
          </w:p>
        </w:tc>
        <w:tc>
          <w:tcPr>
            <w:tcW w:w="857" w:type="pct"/>
            <w:tcBorders>
              <w:top w:val="nil"/>
              <w:bottom w:val="nil"/>
            </w:tcBorders>
            <w:vAlign w:val="center"/>
          </w:tcPr>
          <w:p w14:paraId="21D1D273" w14:textId="77777777" w:rsidR="00A40459" w:rsidRPr="002D21EA" w:rsidRDefault="00A40459" w:rsidP="00174A07">
            <w:pPr>
              <w:pStyle w:val="TableText"/>
              <w:keepNext w:val="0"/>
              <w:jc w:val="center"/>
              <w:rPr>
                <w:szCs w:val="20"/>
              </w:rPr>
            </w:pPr>
            <w:r w:rsidRPr="002D21EA">
              <w:rPr>
                <w:szCs w:val="20"/>
              </w:rPr>
              <w:t>1 (0.3%)</w:t>
            </w:r>
          </w:p>
        </w:tc>
        <w:tc>
          <w:tcPr>
            <w:tcW w:w="858" w:type="pct"/>
            <w:tcBorders>
              <w:top w:val="nil"/>
              <w:bottom w:val="nil"/>
            </w:tcBorders>
            <w:vAlign w:val="center"/>
          </w:tcPr>
          <w:p w14:paraId="09835CEC" w14:textId="77777777" w:rsidR="00A40459" w:rsidRPr="002D21EA" w:rsidRDefault="00A40459" w:rsidP="00174A07">
            <w:pPr>
              <w:pStyle w:val="TableText"/>
              <w:keepNext w:val="0"/>
              <w:jc w:val="center"/>
              <w:rPr>
                <w:szCs w:val="20"/>
              </w:rPr>
            </w:pPr>
            <w:r w:rsidRPr="002D21EA">
              <w:rPr>
                <w:szCs w:val="20"/>
              </w:rPr>
              <w:t>0</w:t>
            </w:r>
          </w:p>
        </w:tc>
        <w:tc>
          <w:tcPr>
            <w:tcW w:w="858" w:type="pct"/>
            <w:tcBorders>
              <w:top w:val="nil"/>
              <w:bottom w:val="nil"/>
            </w:tcBorders>
            <w:vAlign w:val="center"/>
          </w:tcPr>
          <w:p w14:paraId="0F9086BB" w14:textId="77777777" w:rsidR="00A40459" w:rsidRPr="002D21EA" w:rsidRDefault="00A40459" w:rsidP="00174A07">
            <w:pPr>
              <w:pStyle w:val="TableText"/>
              <w:keepNext w:val="0"/>
              <w:jc w:val="center"/>
              <w:rPr>
                <w:szCs w:val="20"/>
              </w:rPr>
            </w:pPr>
            <w:r w:rsidRPr="002D21EA">
              <w:rPr>
                <w:szCs w:val="20"/>
              </w:rPr>
              <w:t>5 (1.5%)</w:t>
            </w:r>
          </w:p>
        </w:tc>
        <w:tc>
          <w:tcPr>
            <w:tcW w:w="858" w:type="pct"/>
            <w:tcBorders>
              <w:top w:val="nil"/>
              <w:bottom w:val="nil"/>
            </w:tcBorders>
            <w:vAlign w:val="center"/>
          </w:tcPr>
          <w:p w14:paraId="368D61DE" w14:textId="77777777" w:rsidR="00A40459" w:rsidRPr="002D21EA" w:rsidRDefault="00A40459" w:rsidP="00174A07">
            <w:pPr>
              <w:pStyle w:val="TableText"/>
              <w:keepNext w:val="0"/>
              <w:jc w:val="center"/>
              <w:rPr>
                <w:szCs w:val="20"/>
              </w:rPr>
            </w:pPr>
            <w:r w:rsidRPr="002D21EA">
              <w:rPr>
                <w:szCs w:val="20"/>
              </w:rPr>
              <w:t>1 (0.3%)</w:t>
            </w:r>
          </w:p>
        </w:tc>
      </w:tr>
      <w:tr w:rsidR="00A40459" w:rsidRPr="002D21EA" w14:paraId="496B13B6" w14:textId="77777777" w:rsidTr="00174A07">
        <w:trPr>
          <w:cantSplit/>
        </w:trPr>
        <w:tc>
          <w:tcPr>
            <w:tcW w:w="1569" w:type="pct"/>
            <w:tcBorders>
              <w:top w:val="nil"/>
              <w:bottom w:val="nil"/>
            </w:tcBorders>
            <w:vAlign w:val="center"/>
          </w:tcPr>
          <w:p w14:paraId="642FA767" w14:textId="77777777" w:rsidR="00A40459" w:rsidRPr="002D21EA" w:rsidRDefault="00A40459" w:rsidP="00A40459">
            <w:pPr>
              <w:pStyle w:val="TableText"/>
              <w:keepNext w:val="0"/>
              <w:numPr>
                <w:ilvl w:val="0"/>
                <w:numId w:val="14"/>
              </w:numPr>
              <w:ind w:left="170" w:hanging="170"/>
              <w:rPr>
                <w:szCs w:val="20"/>
              </w:rPr>
            </w:pPr>
            <w:r w:rsidRPr="002D21EA">
              <w:rPr>
                <w:szCs w:val="20"/>
              </w:rPr>
              <w:t>Treatment-related AEs</w:t>
            </w:r>
          </w:p>
        </w:tc>
        <w:tc>
          <w:tcPr>
            <w:tcW w:w="857" w:type="pct"/>
            <w:tcBorders>
              <w:top w:val="nil"/>
              <w:bottom w:val="nil"/>
            </w:tcBorders>
            <w:vAlign w:val="center"/>
          </w:tcPr>
          <w:p w14:paraId="133619A6" w14:textId="77777777" w:rsidR="00A40459" w:rsidRPr="002D21EA" w:rsidRDefault="00A40459" w:rsidP="00174A07">
            <w:pPr>
              <w:pStyle w:val="TableText"/>
              <w:keepNext w:val="0"/>
              <w:jc w:val="center"/>
              <w:rPr>
                <w:szCs w:val="20"/>
              </w:rPr>
            </w:pPr>
            <w:r w:rsidRPr="002D21EA">
              <w:rPr>
                <w:szCs w:val="20"/>
              </w:rPr>
              <w:t>9 (2.7%)</w:t>
            </w:r>
          </w:p>
        </w:tc>
        <w:tc>
          <w:tcPr>
            <w:tcW w:w="858" w:type="pct"/>
            <w:tcBorders>
              <w:top w:val="nil"/>
              <w:bottom w:val="nil"/>
            </w:tcBorders>
            <w:vAlign w:val="center"/>
          </w:tcPr>
          <w:p w14:paraId="1D82B91E" w14:textId="77777777" w:rsidR="00A40459" w:rsidRPr="002D21EA" w:rsidRDefault="00A40459" w:rsidP="00174A07">
            <w:pPr>
              <w:pStyle w:val="TableText"/>
              <w:keepNext w:val="0"/>
              <w:jc w:val="center"/>
              <w:rPr>
                <w:szCs w:val="20"/>
              </w:rPr>
            </w:pPr>
            <w:r w:rsidRPr="002D21EA">
              <w:rPr>
                <w:szCs w:val="20"/>
              </w:rPr>
              <w:t>9 (2.7)</w:t>
            </w:r>
          </w:p>
        </w:tc>
        <w:tc>
          <w:tcPr>
            <w:tcW w:w="858" w:type="pct"/>
            <w:tcBorders>
              <w:top w:val="nil"/>
              <w:bottom w:val="nil"/>
            </w:tcBorders>
            <w:vAlign w:val="center"/>
          </w:tcPr>
          <w:p w14:paraId="3B047623" w14:textId="77777777" w:rsidR="00A40459" w:rsidRPr="002D21EA" w:rsidRDefault="00A40459" w:rsidP="00174A07">
            <w:pPr>
              <w:pStyle w:val="TableText"/>
              <w:keepNext w:val="0"/>
              <w:jc w:val="center"/>
              <w:rPr>
                <w:szCs w:val="20"/>
              </w:rPr>
            </w:pPr>
            <w:r w:rsidRPr="002D21EA">
              <w:rPr>
                <w:szCs w:val="20"/>
              </w:rPr>
              <w:t>10 (3.0%)</w:t>
            </w:r>
          </w:p>
        </w:tc>
        <w:tc>
          <w:tcPr>
            <w:tcW w:w="858" w:type="pct"/>
            <w:tcBorders>
              <w:top w:val="nil"/>
              <w:bottom w:val="nil"/>
            </w:tcBorders>
            <w:vAlign w:val="center"/>
          </w:tcPr>
          <w:p w14:paraId="3534E612" w14:textId="77777777" w:rsidR="00A40459" w:rsidRPr="002D21EA" w:rsidRDefault="00A40459" w:rsidP="00174A07">
            <w:pPr>
              <w:pStyle w:val="TableText"/>
              <w:keepNext w:val="0"/>
              <w:jc w:val="center"/>
              <w:rPr>
                <w:szCs w:val="20"/>
              </w:rPr>
            </w:pPr>
            <w:r w:rsidRPr="002D21EA">
              <w:rPr>
                <w:szCs w:val="20"/>
              </w:rPr>
              <w:t>8 (2.5%)</w:t>
            </w:r>
          </w:p>
        </w:tc>
      </w:tr>
      <w:tr w:rsidR="00A40459" w:rsidRPr="002D21EA" w14:paraId="12E59E0D" w14:textId="77777777" w:rsidTr="00174A07">
        <w:trPr>
          <w:cantSplit/>
        </w:trPr>
        <w:tc>
          <w:tcPr>
            <w:tcW w:w="1569" w:type="pct"/>
            <w:tcBorders>
              <w:top w:val="nil"/>
              <w:bottom w:val="single" w:sz="4" w:space="0" w:color="auto"/>
            </w:tcBorders>
            <w:vAlign w:val="center"/>
          </w:tcPr>
          <w:p w14:paraId="2BDFF86C" w14:textId="77777777" w:rsidR="00A40459" w:rsidRPr="002D21EA" w:rsidRDefault="00A40459" w:rsidP="00A40459">
            <w:pPr>
              <w:pStyle w:val="TableText"/>
              <w:keepNext w:val="0"/>
              <w:numPr>
                <w:ilvl w:val="0"/>
                <w:numId w:val="14"/>
              </w:numPr>
              <w:ind w:left="170" w:hanging="170"/>
              <w:rPr>
                <w:szCs w:val="20"/>
              </w:rPr>
            </w:pPr>
            <w:r w:rsidRPr="002D21EA">
              <w:rPr>
                <w:szCs w:val="20"/>
              </w:rPr>
              <w:t>Treatment-related serious AEs</w:t>
            </w:r>
          </w:p>
        </w:tc>
        <w:tc>
          <w:tcPr>
            <w:tcW w:w="857" w:type="pct"/>
            <w:tcBorders>
              <w:top w:val="nil"/>
              <w:bottom w:val="single" w:sz="4" w:space="0" w:color="auto"/>
            </w:tcBorders>
            <w:vAlign w:val="center"/>
          </w:tcPr>
          <w:p w14:paraId="4A4A0FC4" w14:textId="77777777" w:rsidR="00A40459" w:rsidRPr="002D21EA" w:rsidRDefault="00A40459" w:rsidP="00174A07">
            <w:pPr>
              <w:pStyle w:val="TableText"/>
              <w:keepNext w:val="0"/>
              <w:jc w:val="center"/>
              <w:rPr>
                <w:szCs w:val="20"/>
              </w:rPr>
            </w:pPr>
            <w:r w:rsidRPr="002D21EA">
              <w:rPr>
                <w:szCs w:val="20"/>
              </w:rPr>
              <w:t>3 (0.9%)</w:t>
            </w:r>
          </w:p>
        </w:tc>
        <w:tc>
          <w:tcPr>
            <w:tcW w:w="858" w:type="pct"/>
            <w:tcBorders>
              <w:top w:val="nil"/>
              <w:bottom w:val="single" w:sz="4" w:space="0" w:color="auto"/>
            </w:tcBorders>
            <w:vAlign w:val="center"/>
          </w:tcPr>
          <w:p w14:paraId="164BA574" w14:textId="77777777" w:rsidR="00A40459" w:rsidRPr="002D21EA" w:rsidRDefault="00A40459" w:rsidP="00174A07">
            <w:pPr>
              <w:pStyle w:val="TableText"/>
              <w:keepNext w:val="0"/>
              <w:jc w:val="center"/>
              <w:rPr>
                <w:szCs w:val="20"/>
              </w:rPr>
            </w:pPr>
            <w:r w:rsidRPr="002D21EA">
              <w:rPr>
                <w:szCs w:val="20"/>
              </w:rPr>
              <w:t>0</w:t>
            </w:r>
          </w:p>
        </w:tc>
        <w:tc>
          <w:tcPr>
            <w:tcW w:w="858" w:type="pct"/>
            <w:tcBorders>
              <w:top w:val="nil"/>
              <w:bottom w:val="single" w:sz="4" w:space="0" w:color="auto"/>
            </w:tcBorders>
            <w:vAlign w:val="center"/>
          </w:tcPr>
          <w:p w14:paraId="6F16FF0C" w14:textId="77777777" w:rsidR="00A40459" w:rsidRPr="002D21EA" w:rsidRDefault="00A40459" w:rsidP="00174A07">
            <w:pPr>
              <w:pStyle w:val="TableText"/>
              <w:keepNext w:val="0"/>
              <w:jc w:val="center"/>
              <w:rPr>
                <w:szCs w:val="20"/>
              </w:rPr>
            </w:pPr>
            <w:r w:rsidRPr="002D21EA">
              <w:rPr>
                <w:szCs w:val="20"/>
              </w:rPr>
              <w:t>5 (1.5%)</w:t>
            </w:r>
          </w:p>
        </w:tc>
        <w:tc>
          <w:tcPr>
            <w:tcW w:w="858" w:type="pct"/>
            <w:tcBorders>
              <w:top w:val="nil"/>
              <w:bottom w:val="single" w:sz="4" w:space="0" w:color="auto"/>
            </w:tcBorders>
            <w:vAlign w:val="center"/>
          </w:tcPr>
          <w:p w14:paraId="60435A21" w14:textId="77777777" w:rsidR="00A40459" w:rsidRPr="002D21EA" w:rsidRDefault="00A40459" w:rsidP="00174A07">
            <w:pPr>
              <w:pStyle w:val="TableText"/>
              <w:keepNext w:val="0"/>
              <w:jc w:val="center"/>
              <w:rPr>
                <w:szCs w:val="20"/>
              </w:rPr>
            </w:pPr>
            <w:r w:rsidRPr="002D21EA">
              <w:rPr>
                <w:szCs w:val="20"/>
              </w:rPr>
              <w:t>1 (0.3%)</w:t>
            </w:r>
          </w:p>
        </w:tc>
      </w:tr>
      <w:tr w:rsidR="00A40459" w:rsidRPr="002D21EA" w14:paraId="0677545E" w14:textId="77777777" w:rsidTr="000E2217">
        <w:trPr>
          <w:cantSplit/>
        </w:trPr>
        <w:tc>
          <w:tcPr>
            <w:tcW w:w="1569" w:type="pct"/>
            <w:tcBorders>
              <w:bottom w:val="nil"/>
            </w:tcBorders>
            <w:vAlign w:val="center"/>
          </w:tcPr>
          <w:p w14:paraId="0DED0815" w14:textId="77777777" w:rsidR="00A40459" w:rsidRPr="002D21EA" w:rsidRDefault="00A40459" w:rsidP="00174A07">
            <w:pPr>
              <w:pStyle w:val="TableText"/>
              <w:keepNext w:val="0"/>
              <w:rPr>
                <w:szCs w:val="20"/>
              </w:rPr>
            </w:pPr>
            <w:r w:rsidRPr="002D21EA">
              <w:rPr>
                <w:szCs w:val="20"/>
              </w:rPr>
              <w:t>Ocular AEs of special interest, n (%)</w:t>
            </w:r>
          </w:p>
        </w:tc>
        <w:tc>
          <w:tcPr>
            <w:tcW w:w="857" w:type="pct"/>
            <w:tcBorders>
              <w:bottom w:val="nil"/>
            </w:tcBorders>
          </w:tcPr>
          <w:p w14:paraId="595BB950" w14:textId="0C070628" w:rsidR="00A40459" w:rsidRPr="002D21EA" w:rsidRDefault="00E806DB" w:rsidP="000E2217">
            <w:pPr>
              <w:pStyle w:val="TableText"/>
              <w:keepNext w:val="0"/>
              <w:jc w:val="center"/>
              <w:rPr>
                <w:szCs w:val="20"/>
              </w:rPr>
            </w:pPr>
            <w:r w:rsidRPr="002D21EA">
              <w:rPr>
                <w:szCs w:val="20"/>
              </w:rPr>
              <w:t>3 (0.9%)</w:t>
            </w:r>
          </w:p>
        </w:tc>
        <w:tc>
          <w:tcPr>
            <w:tcW w:w="858" w:type="pct"/>
            <w:tcBorders>
              <w:bottom w:val="nil"/>
            </w:tcBorders>
          </w:tcPr>
          <w:p w14:paraId="2EE107EF" w14:textId="08FAA8B4" w:rsidR="00A40459" w:rsidRPr="002D21EA" w:rsidRDefault="00E806DB" w:rsidP="000E2217">
            <w:pPr>
              <w:pStyle w:val="TableText"/>
              <w:keepNext w:val="0"/>
              <w:jc w:val="center"/>
              <w:rPr>
                <w:szCs w:val="20"/>
              </w:rPr>
            </w:pPr>
            <w:r w:rsidRPr="002D21EA">
              <w:rPr>
                <w:szCs w:val="20"/>
              </w:rPr>
              <w:t>6 (1.8%)</w:t>
            </w:r>
          </w:p>
        </w:tc>
        <w:tc>
          <w:tcPr>
            <w:tcW w:w="858" w:type="pct"/>
            <w:tcBorders>
              <w:bottom w:val="nil"/>
            </w:tcBorders>
          </w:tcPr>
          <w:p w14:paraId="09FA1573" w14:textId="3ACC0234" w:rsidR="00A40459" w:rsidRPr="002D21EA" w:rsidRDefault="003F2CAA" w:rsidP="000E2217">
            <w:pPr>
              <w:pStyle w:val="TableText"/>
              <w:keepNext w:val="0"/>
              <w:jc w:val="center"/>
              <w:rPr>
                <w:szCs w:val="20"/>
              </w:rPr>
            </w:pPr>
            <w:r w:rsidRPr="002D21EA">
              <w:rPr>
                <w:szCs w:val="20"/>
              </w:rPr>
              <w:t>5 (1.5%)</w:t>
            </w:r>
          </w:p>
        </w:tc>
        <w:tc>
          <w:tcPr>
            <w:tcW w:w="858" w:type="pct"/>
            <w:tcBorders>
              <w:bottom w:val="nil"/>
            </w:tcBorders>
          </w:tcPr>
          <w:p w14:paraId="5A15840A" w14:textId="7F8124A8" w:rsidR="00A40459" w:rsidRPr="002D21EA" w:rsidRDefault="003F2CAA" w:rsidP="000E2217">
            <w:pPr>
              <w:pStyle w:val="TableText"/>
              <w:keepNext w:val="0"/>
              <w:jc w:val="center"/>
              <w:rPr>
                <w:szCs w:val="20"/>
              </w:rPr>
            </w:pPr>
            <w:r w:rsidRPr="002D21EA">
              <w:rPr>
                <w:szCs w:val="20"/>
              </w:rPr>
              <w:t>6 (1.8%)</w:t>
            </w:r>
          </w:p>
        </w:tc>
      </w:tr>
      <w:tr w:rsidR="00A40459" w:rsidRPr="002D21EA" w14:paraId="23BDF746" w14:textId="77777777" w:rsidTr="000E2217">
        <w:trPr>
          <w:cantSplit/>
        </w:trPr>
        <w:tc>
          <w:tcPr>
            <w:tcW w:w="1569" w:type="pct"/>
            <w:tcBorders>
              <w:top w:val="nil"/>
              <w:bottom w:val="nil"/>
            </w:tcBorders>
            <w:vAlign w:val="center"/>
          </w:tcPr>
          <w:p w14:paraId="2AEC60BC" w14:textId="77777777" w:rsidR="00A40459" w:rsidRPr="002D21EA" w:rsidRDefault="00A40459" w:rsidP="00A40459">
            <w:pPr>
              <w:pStyle w:val="TableText"/>
              <w:keepNext w:val="0"/>
              <w:numPr>
                <w:ilvl w:val="0"/>
                <w:numId w:val="14"/>
              </w:numPr>
              <w:ind w:left="170" w:hanging="170"/>
              <w:rPr>
                <w:szCs w:val="20"/>
              </w:rPr>
            </w:pPr>
            <w:r w:rsidRPr="002D21EA">
              <w:rPr>
                <w:szCs w:val="20"/>
              </w:rPr>
              <w:t>Drop in VA score ≥30</w:t>
            </w:r>
          </w:p>
        </w:tc>
        <w:tc>
          <w:tcPr>
            <w:tcW w:w="857" w:type="pct"/>
            <w:tcBorders>
              <w:top w:val="nil"/>
              <w:bottom w:val="nil"/>
            </w:tcBorders>
          </w:tcPr>
          <w:p w14:paraId="4947C3D2" w14:textId="77777777" w:rsidR="00A40459" w:rsidRPr="002D21EA" w:rsidRDefault="00A40459" w:rsidP="000E2217">
            <w:pPr>
              <w:pStyle w:val="TableText"/>
              <w:keepNext w:val="0"/>
              <w:jc w:val="center"/>
              <w:rPr>
                <w:szCs w:val="20"/>
              </w:rPr>
            </w:pPr>
            <w:r w:rsidRPr="002D21EA">
              <w:rPr>
                <w:szCs w:val="20"/>
              </w:rPr>
              <w:t>3 (0.9%)</w:t>
            </w:r>
          </w:p>
        </w:tc>
        <w:tc>
          <w:tcPr>
            <w:tcW w:w="858" w:type="pct"/>
            <w:tcBorders>
              <w:top w:val="nil"/>
              <w:bottom w:val="nil"/>
            </w:tcBorders>
          </w:tcPr>
          <w:p w14:paraId="6130199E" w14:textId="77777777" w:rsidR="00A40459" w:rsidRPr="002D21EA" w:rsidRDefault="00A40459" w:rsidP="000E2217">
            <w:pPr>
              <w:pStyle w:val="TableText"/>
              <w:keepNext w:val="0"/>
              <w:jc w:val="center"/>
              <w:rPr>
                <w:szCs w:val="20"/>
              </w:rPr>
            </w:pPr>
            <w:r w:rsidRPr="002D21EA">
              <w:rPr>
                <w:szCs w:val="20"/>
              </w:rPr>
              <w:t>4 (1.2%)</w:t>
            </w:r>
          </w:p>
        </w:tc>
        <w:tc>
          <w:tcPr>
            <w:tcW w:w="858" w:type="pct"/>
            <w:tcBorders>
              <w:top w:val="nil"/>
              <w:bottom w:val="nil"/>
            </w:tcBorders>
          </w:tcPr>
          <w:p w14:paraId="0D53A36F" w14:textId="77777777" w:rsidR="00A40459" w:rsidRPr="002D21EA" w:rsidRDefault="00A40459" w:rsidP="000E2217">
            <w:pPr>
              <w:pStyle w:val="TableText"/>
              <w:keepNext w:val="0"/>
              <w:jc w:val="center"/>
              <w:rPr>
                <w:szCs w:val="20"/>
              </w:rPr>
            </w:pPr>
            <w:r w:rsidRPr="002D21EA">
              <w:rPr>
                <w:szCs w:val="20"/>
              </w:rPr>
              <w:t>4 (1.5%)</w:t>
            </w:r>
          </w:p>
        </w:tc>
        <w:tc>
          <w:tcPr>
            <w:tcW w:w="858" w:type="pct"/>
            <w:tcBorders>
              <w:top w:val="nil"/>
              <w:bottom w:val="nil"/>
            </w:tcBorders>
          </w:tcPr>
          <w:p w14:paraId="5CB1956A" w14:textId="77777777" w:rsidR="00A40459" w:rsidRPr="002D21EA" w:rsidRDefault="00A40459" w:rsidP="000E2217">
            <w:pPr>
              <w:pStyle w:val="TableText"/>
              <w:keepNext w:val="0"/>
              <w:jc w:val="center"/>
              <w:rPr>
                <w:szCs w:val="20"/>
              </w:rPr>
            </w:pPr>
            <w:r w:rsidRPr="002D21EA">
              <w:rPr>
                <w:szCs w:val="20"/>
              </w:rPr>
              <w:t>5 (1.5%)</w:t>
            </w:r>
          </w:p>
        </w:tc>
      </w:tr>
      <w:tr w:rsidR="00A40459" w:rsidRPr="002D21EA" w14:paraId="0F0E5F09" w14:textId="77777777" w:rsidTr="000E2217">
        <w:trPr>
          <w:cantSplit/>
        </w:trPr>
        <w:tc>
          <w:tcPr>
            <w:tcW w:w="1569" w:type="pct"/>
            <w:tcBorders>
              <w:top w:val="nil"/>
              <w:bottom w:val="nil"/>
            </w:tcBorders>
            <w:vAlign w:val="center"/>
          </w:tcPr>
          <w:p w14:paraId="49C40442" w14:textId="77777777" w:rsidR="00A40459" w:rsidRPr="002D21EA" w:rsidRDefault="00A40459" w:rsidP="00A40459">
            <w:pPr>
              <w:pStyle w:val="TableText"/>
              <w:keepNext w:val="0"/>
              <w:numPr>
                <w:ilvl w:val="0"/>
                <w:numId w:val="14"/>
              </w:numPr>
              <w:ind w:left="170" w:hanging="170"/>
              <w:rPr>
                <w:szCs w:val="20"/>
              </w:rPr>
            </w:pPr>
            <w:r w:rsidRPr="002D21EA">
              <w:rPr>
                <w:szCs w:val="20"/>
              </w:rPr>
              <w:t xml:space="preserve">Associated with severe intraocular inflammation </w:t>
            </w:r>
          </w:p>
        </w:tc>
        <w:tc>
          <w:tcPr>
            <w:tcW w:w="857" w:type="pct"/>
            <w:tcBorders>
              <w:top w:val="nil"/>
              <w:bottom w:val="nil"/>
            </w:tcBorders>
          </w:tcPr>
          <w:p w14:paraId="7FE42AEB" w14:textId="77777777" w:rsidR="00A40459" w:rsidRPr="002D21EA" w:rsidRDefault="00A40459" w:rsidP="000E2217">
            <w:pPr>
              <w:pStyle w:val="TableText"/>
              <w:keepNext w:val="0"/>
              <w:jc w:val="center"/>
              <w:rPr>
                <w:szCs w:val="20"/>
              </w:rPr>
            </w:pPr>
            <w:r w:rsidRPr="002D21EA">
              <w:rPr>
                <w:szCs w:val="20"/>
              </w:rPr>
              <w:t>0</w:t>
            </w:r>
          </w:p>
        </w:tc>
        <w:tc>
          <w:tcPr>
            <w:tcW w:w="858" w:type="pct"/>
            <w:tcBorders>
              <w:top w:val="nil"/>
              <w:bottom w:val="nil"/>
            </w:tcBorders>
          </w:tcPr>
          <w:p w14:paraId="6F4F7C7E" w14:textId="77777777" w:rsidR="00A40459" w:rsidRPr="002D21EA" w:rsidRDefault="00A40459" w:rsidP="000E2217">
            <w:pPr>
              <w:pStyle w:val="TableText"/>
              <w:keepNext w:val="0"/>
              <w:jc w:val="center"/>
              <w:rPr>
                <w:szCs w:val="20"/>
              </w:rPr>
            </w:pPr>
            <w:r w:rsidRPr="002D21EA">
              <w:rPr>
                <w:szCs w:val="20"/>
              </w:rPr>
              <w:t>1 (0.3%)</w:t>
            </w:r>
          </w:p>
        </w:tc>
        <w:tc>
          <w:tcPr>
            <w:tcW w:w="858" w:type="pct"/>
            <w:tcBorders>
              <w:top w:val="nil"/>
              <w:bottom w:val="nil"/>
            </w:tcBorders>
          </w:tcPr>
          <w:p w14:paraId="5767E92E" w14:textId="77777777" w:rsidR="00A40459" w:rsidRPr="002D21EA" w:rsidRDefault="00A40459" w:rsidP="000E2217">
            <w:pPr>
              <w:pStyle w:val="TableText"/>
              <w:keepNext w:val="0"/>
              <w:jc w:val="center"/>
              <w:rPr>
                <w:szCs w:val="20"/>
              </w:rPr>
            </w:pPr>
            <w:r w:rsidRPr="002D21EA">
              <w:rPr>
                <w:szCs w:val="20"/>
              </w:rPr>
              <w:t>1 (0.3%)</w:t>
            </w:r>
          </w:p>
        </w:tc>
        <w:tc>
          <w:tcPr>
            <w:tcW w:w="858" w:type="pct"/>
            <w:tcBorders>
              <w:top w:val="nil"/>
              <w:bottom w:val="nil"/>
            </w:tcBorders>
          </w:tcPr>
          <w:p w14:paraId="486969D8" w14:textId="77777777" w:rsidR="00A40459" w:rsidRPr="002D21EA" w:rsidRDefault="00A40459" w:rsidP="000E2217">
            <w:pPr>
              <w:pStyle w:val="TableText"/>
              <w:keepNext w:val="0"/>
              <w:jc w:val="center"/>
              <w:rPr>
                <w:szCs w:val="20"/>
              </w:rPr>
            </w:pPr>
            <w:r w:rsidRPr="002D21EA">
              <w:rPr>
                <w:szCs w:val="20"/>
              </w:rPr>
              <w:t>1 (0.3%)</w:t>
            </w:r>
          </w:p>
        </w:tc>
      </w:tr>
      <w:tr w:rsidR="00332F58" w:rsidRPr="002D21EA" w14:paraId="0B2FB248" w14:textId="77777777" w:rsidTr="000E2217">
        <w:trPr>
          <w:cantSplit/>
        </w:trPr>
        <w:tc>
          <w:tcPr>
            <w:tcW w:w="1569" w:type="pct"/>
            <w:tcBorders>
              <w:top w:val="nil"/>
              <w:bottom w:val="single" w:sz="4" w:space="0" w:color="auto"/>
            </w:tcBorders>
            <w:vAlign w:val="center"/>
          </w:tcPr>
          <w:p w14:paraId="7913FC3A" w14:textId="415A7611" w:rsidR="00332F58" w:rsidRPr="002D21EA" w:rsidRDefault="00332F58" w:rsidP="00332F58">
            <w:pPr>
              <w:pStyle w:val="TableText"/>
              <w:keepNext w:val="0"/>
              <w:numPr>
                <w:ilvl w:val="0"/>
                <w:numId w:val="14"/>
              </w:numPr>
              <w:ind w:left="170" w:hanging="170"/>
              <w:rPr>
                <w:szCs w:val="20"/>
              </w:rPr>
            </w:pPr>
            <w:r w:rsidRPr="002D21EA">
              <w:rPr>
                <w:szCs w:val="20"/>
              </w:rPr>
              <w:t>Intervention required to prevent permanent vision loss</w:t>
            </w:r>
          </w:p>
        </w:tc>
        <w:tc>
          <w:tcPr>
            <w:tcW w:w="857" w:type="pct"/>
            <w:tcBorders>
              <w:top w:val="nil"/>
              <w:bottom w:val="single" w:sz="4" w:space="0" w:color="auto"/>
            </w:tcBorders>
          </w:tcPr>
          <w:p w14:paraId="0EC04212" w14:textId="46702FC9" w:rsidR="00332F58" w:rsidRPr="002D21EA" w:rsidRDefault="00332F58" w:rsidP="000E2217">
            <w:pPr>
              <w:pStyle w:val="TableText"/>
              <w:keepNext w:val="0"/>
              <w:jc w:val="center"/>
              <w:rPr>
                <w:szCs w:val="20"/>
              </w:rPr>
            </w:pPr>
            <w:r w:rsidRPr="002D21EA">
              <w:rPr>
                <w:szCs w:val="20"/>
              </w:rPr>
              <w:t>0</w:t>
            </w:r>
          </w:p>
        </w:tc>
        <w:tc>
          <w:tcPr>
            <w:tcW w:w="858" w:type="pct"/>
            <w:tcBorders>
              <w:top w:val="nil"/>
              <w:bottom w:val="single" w:sz="4" w:space="0" w:color="auto"/>
            </w:tcBorders>
          </w:tcPr>
          <w:p w14:paraId="00B36FE7" w14:textId="58E6020B" w:rsidR="00332F58" w:rsidRPr="002D21EA" w:rsidRDefault="00332F58" w:rsidP="000E2217">
            <w:pPr>
              <w:pStyle w:val="TableText"/>
              <w:keepNext w:val="0"/>
              <w:jc w:val="center"/>
              <w:rPr>
                <w:szCs w:val="20"/>
              </w:rPr>
            </w:pPr>
            <w:r w:rsidRPr="002D21EA">
              <w:rPr>
                <w:szCs w:val="20"/>
              </w:rPr>
              <w:t>1 (0.3%)</w:t>
            </w:r>
          </w:p>
        </w:tc>
        <w:tc>
          <w:tcPr>
            <w:tcW w:w="858" w:type="pct"/>
            <w:tcBorders>
              <w:top w:val="nil"/>
              <w:bottom w:val="single" w:sz="4" w:space="0" w:color="auto"/>
            </w:tcBorders>
          </w:tcPr>
          <w:p w14:paraId="7ED8AFB4" w14:textId="0AE9398A" w:rsidR="00332F58" w:rsidRPr="002D21EA" w:rsidRDefault="00332F58" w:rsidP="000E2217">
            <w:pPr>
              <w:pStyle w:val="TableText"/>
              <w:keepNext w:val="0"/>
              <w:jc w:val="center"/>
              <w:rPr>
                <w:szCs w:val="20"/>
              </w:rPr>
            </w:pPr>
            <w:r w:rsidRPr="002D21EA">
              <w:rPr>
                <w:szCs w:val="20"/>
              </w:rPr>
              <w:t>0</w:t>
            </w:r>
          </w:p>
        </w:tc>
        <w:tc>
          <w:tcPr>
            <w:tcW w:w="858" w:type="pct"/>
            <w:tcBorders>
              <w:top w:val="nil"/>
              <w:bottom w:val="single" w:sz="4" w:space="0" w:color="auto"/>
            </w:tcBorders>
          </w:tcPr>
          <w:p w14:paraId="59D994D6" w14:textId="305118EF" w:rsidR="00332F58" w:rsidRPr="002D21EA" w:rsidRDefault="00332F58" w:rsidP="000E2217">
            <w:pPr>
              <w:pStyle w:val="TableText"/>
              <w:keepNext w:val="0"/>
              <w:jc w:val="center"/>
              <w:rPr>
                <w:szCs w:val="20"/>
              </w:rPr>
            </w:pPr>
            <w:r w:rsidRPr="002D21EA">
              <w:rPr>
                <w:szCs w:val="20"/>
              </w:rPr>
              <w:t>0</w:t>
            </w:r>
          </w:p>
        </w:tc>
      </w:tr>
      <w:tr w:rsidR="00D956B2" w:rsidRPr="002D21EA" w14:paraId="067E9E61" w14:textId="77777777" w:rsidTr="00D956B2">
        <w:trPr>
          <w:cantSplit/>
        </w:trPr>
        <w:tc>
          <w:tcPr>
            <w:tcW w:w="1569" w:type="pct"/>
            <w:tcBorders>
              <w:top w:val="single" w:sz="4" w:space="0" w:color="auto"/>
              <w:bottom w:val="nil"/>
            </w:tcBorders>
            <w:vAlign w:val="center"/>
          </w:tcPr>
          <w:p w14:paraId="0CD5F60C" w14:textId="6F0717B2" w:rsidR="00D956B2" w:rsidRPr="002D21EA" w:rsidRDefault="00D956B2" w:rsidP="00D956B2">
            <w:pPr>
              <w:pStyle w:val="TableText"/>
              <w:keepNext w:val="0"/>
              <w:rPr>
                <w:szCs w:val="20"/>
              </w:rPr>
            </w:pPr>
            <w:r w:rsidRPr="002D21EA">
              <w:rPr>
                <w:szCs w:val="20"/>
              </w:rPr>
              <w:t>Adjudicated APTC events</w:t>
            </w:r>
          </w:p>
        </w:tc>
        <w:tc>
          <w:tcPr>
            <w:tcW w:w="857" w:type="pct"/>
            <w:tcBorders>
              <w:top w:val="single" w:sz="4" w:space="0" w:color="auto"/>
              <w:bottom w:val="nil"/>
            </w:tcBorders>
            <w:vAlign w:val="center"/>
          </w:tcPr>
          <w:p w14:paraId="074CD496" w14:textId="54A8CBAC" w:rsidR="00D956B2" w:rsidRPr="002D21EA" w:rsidRDefault="00C00DA9" w:rsidP="00D956B2">
            <w:pPr>
              <w:pStyle w:val="TableText"/>
              <w:keepNext w:val="0"/>
              <w:jc w:val="center"/>
              <w:rPr>
                <w:szCs w:val="20"/>
              </w:rPr>
            </w:pPr>
            <w:r w:rsidRPr="002D21EA">
              <w:rPr>
                <w:szCs w:val="20"/>
              </w:rPr>
              <w:t>3 (0.9%)</w:t>
            </w:r>
          </w:p>
        </w:tc>
        <w:tc>
          <w:tcPr>
            <w:tcW w:w="858" w:type="pct"/>
            <w:tcBorders>
              <w:top w:val="single" w:sz="4" w:space="0" w:color="auto"/>
              <w:bottom w:val="nil"/>
            </w:tcBorders>
            <w:vAlign w:val="center"/>
          </w:tcPr>
          <w:p w14:paraId="29842C63" w14:textId="3A022827" w:rsidR="00D956B2" w:rsidRPr="002D21EA" w:rsidRDefault="00C00DA9" w:rsidP="00D956B2">
            <w:pPr>
              <w:pStyle w:val="TableText"/>
              <w:keepNext w:val="0"/>
              <w:jc w:val="center"/>
              <w:rPr>
                <w:szCs w:val="20"/>
              </w:rPr>
            </w:pPr>
            <w:r w:rsidRPr="002D21EA">
              <w:rPr>
                <w:szCs w:val="20"/>
              </w:rPr>
              <w:t>3 (0.9%)</w:t>
            </w:r>
          </w:p>
        </w:tc>
        <w:tc>
          <w:tcPr>
            <w:tcW w:w="858" w:type="pct"/>
            <w:tcBorders>
              <w:top w:val="single" w:sz="4" w:space="0" w:color="auto"/>
              <w:bottom w:val="nil"/>
            </w:tcBorders>
            <w:vAlign w:val="center"/>
          </w:tcPr>
          <w:p w14:paraId="4EA7A266" w14:textId="4A3A90A5" w:rsidR="00D956B2" w:rsidRPr="002D21EA" w:rsidRDefault="00143524" w:rsidP="00D956B2">
            <w:pPr>
              <w:pStyle w:val="TableText"/>
              <w:keepNext w:val="0"/>
              <w:jc w:val="center"/>
              <w:rPr>
                <w:szCs w:val="20"/>
              </w:rPr>
            </w:pPr>
            <w:r w:rsidRPr="002D21EA">
              <w:rPr>
                <w:szCs w:val="20"/>
              </w:rPr>
              <w:t>4 (1.2%)</w:t>
            </w:r>
          </w:p>
        </w:tc>
        <w:tc>
          <w:tcPr>
            <w:tcW w:w="858" w:type="pct"/>
            <w:tcBorders>
              <w:top w:val="single" w:sz="4" w:space="0" w:color="auto"/>
              <w:bottom w:val="nil"/>
            </w:tcBorders>
            <w:vAlign w:val="center"/>
          </w:tcPr>
          <w:p w14:paraId="100E0FBE" w14:textId="4F950767" w:rsidR="00D956B2" w:rsidRPr="002D21EA" w:rsidRDefault="00143524" w:rsidP="00D956B2">
            <w:pPr>
              <w:pStyle w:val="TableText"/>
              <w:keepNext w:val="0"/>
              <w:jc w:val="center"/>
              <w:rPr>
                <w:szCs w:val="20"/>
              </w:rPr>
            </w:pPr>
            <w:r w:rsidRPr="002D21EA">
              <w:rPr>
                <w:szCs w:val="20"/>
              </w:rPr>
              <w:t>3 (0.9%)</w:t>
            </w:r>
          </w:p>
        </w:tc>
      </w:tr>
      <w:tr w:rsidR="00D956B2" w:rsidRPr="002D21EA" w14:paraId="4B5606ED" w14:textId="77777777" w:rsidTr="00D956B2">
        <w:trPr>
          <w:cantSplit/>
        </w:trPr>
        <w:tc>
          <w:tcPr>
            <w:tcW w:w="1569" w:type="pct"/>
            <w:tcBorders>
              <w:top w:val="nil"/>
              <w:bottom w:val="nil"/>
            </w:tcBorders>
            <w:vAlign w:val="center"/>
          </w:tcPr>
          <w:p w14:paraId="355A4861" w14:textId="3E54892A" w:rsidR="00D956B2" w:rsidRPr="002D21EA" w:rsidRDefault="00D956B2" w:rsidP="00D956B2">
            <w:pPr>
              <w:pStyle w:val="TableText"/>
              <w:keepNext w:val="0"/>
              <w:numPr>
                <w:ilvl w:val="0"/>
                <w:numId w:val="14"/>
              </w:numPr>
              <w:ind w:left="170" w:hanging="170"/>
              <w:rPr>
                <w:szCs w:val="20"/>
              </w:rPr>
            </w:pPr>
            <w:r w:rsidRPr="002D21EA">
              <w:rPr>
                <w:szCs w:val="20"/>
              </w:rPr>
              <w:t>Non-fatal MI</w:t>
            </w:r>
          </w:p>
        </w:tc>
        <w:tc>
          <w:tcPr>
            <w:tcW w:w="857" w:type="pct"/>
            <w:tcBorders>
              <w:top w:val="nil"/>
              <w:bottom w:val="nil"/>
            </w:tcBorders>
            <w:vAlign w:val="center"/>
          </w:tcPr>
          <w:p w14:paraId="63979291" w14:textId="7A2B33C8" w:rsidR="00D956B2" w:rsidRPr="002D21EA" w:rsidRDefault="00C00DA9" w:rsidP="00D956B2">
            <w:pPr>
              <w:pStyle w:val="TableText"/>
              <w:keepNext w:val="0"/>
              <w:jc w:val="center"/>
              <w:rPr>
                <w:szCs w:val="20"/>
              </w:rPr>
            </w:pPr>
            <w:r w:rsidRPr="002D21EA">
              <w:rPr>
                <w:szCs w:val="20"/>
              </w:rPr>
              <w:t>1 (0.3%)</w:t>
            </w:r>
          </w:p>
        </w:tc>
        <w:tc>
          <w:tcPr>
            <w:tcW w:w="858" w:type="pct"/>
            <w:tcBorders>
              <w:top w:val="nil"/>
              <w:bottom w:val="nil"/>
            </w:tcBorders>
            <w:vAlign w:val="center"/>
          </w:tcPr>
          <w:p w14:paraId="48DEC301" w14:textId="30AE424B" w:rsidR="00D956B2" w:rsidRPr="002D21EA" w:rsidRDefault="00C00DA9" w:rsidP="00D956B2">
            <w:pPr>
              <w:pStyle w:val="TableText"/>
              <w:keepNext w:val="0"/>
              <w:jc w:val="center"/>
              <w:rPr>
                <w:szCs w:val="20"/>
              </w:rPr>
            </w:pPr>
            <w:r w:rsidRPr="002D21EA">
              <w:rPr>
                <w:szCs w:val="20"/>
              </w:rPr>
              <w:t>1 (0.3%)</w:t>
            </w:r>
          </w:p>
        </w:tc>
        <w:tc>
          <w:tcPr>
            <w:tcW w:w="858" w:type="pct"/>
            <w:tcBorders>
              <w:top w:val="nil"/>
              <w:bottom w:val="nil"/>
            </w:tcBorders>
            <w:vAlign w:val="center"/>
          </w:tcPr>
          <w:p w14:paraId="24EBE0A5" w14:textId="2130AD70" w:rsidR="00D956B2" w:rsidRPr="002D21EA" w:rsidRDefault="00143524" w:rsidP="00D956B2">
            <w:pPr>
              <w:pStyle w:val="TableText"/>
              <w:keepNext w:val="0"/>
              <w:jc w:val="center"/>
              <w:rPr>
                <w:szCs w:val="20"/>
              </w:rPr>
            </w:pPr>
            <w:r w:rsidRPr="002D21EA">
              <w:rPr>
                <w:szCs w:val="20"/>
              </w:rPr>
              <w:t>2 (0.6%)</w:t>
            </w:r>
          </w:p>
        </w:tc>
        <w:tc>
          <w:tcPr>
            <w:tcW w:w="858" w:type="pct"/>
            <w:tcBorders>
              <w:top w:val="nil"/>
              <w:bottom w:val="nil"/>
            </w:tcBorders>
            <w:vAlign w:val="center"/>
          </w:tcPr>
          <w:p w14:paraId="0815E745" w14:textId="2BA93EC4" w:rsidR="00D956B2" w:rsidRPr="002D21EA" w:rsidRDefault="00143524" w:rsidP="00D956B2">
            <w:pPr>
              <w:pStyle w:val="TableText"/>
              <w:keepNext w:val="0"/>
              <w:jc w:val="center"/>
              <w:rPr>
                <w:szCs w:val="20"/>
              </w:rPr>
            </w:pPr>
            <w:r w:rsidRPr="002D21EA">
              <w:rPr>
                <w:szCs w:val="20"/>
              </w:rPr>
              <w:t>1 (0.3%)</w:t>
            </w:r>
          </w:p>
        </w:tc>
      </w:tr>
      <w:tr w:rsidR="00D956B2" w:rsidRPr="002D21EA" w14:paraId="2BB91906" w14:textId="77777777" w:rsidTr="00D956B2">
        <w:trPr>
          <w:cantSplit/>
        </w:trPr>
        <w:tc>
          <w:tcPr>
            <w:tcW w:w="1569" w:type="pct"/>
            <w:tcBorders>
              <w:top w:val="nil"/>
              <w:bottom w:val="nil"/>
            </w:tcBorders>
            <w:vAlign w:val="center"/>
          </w:tcPr>
          <w:p w14:paraId="2A39A30C" w14:textId="7701C31C" w:rsidR="00D956B2" w:rsidRPr="002D21EA" w:rsidRDefault="00D956B2" w:rsidP="00D956B2">
            <w:pPr>
              <w:pStyle w:val="TableText"/>
              <w:keepNext w:val="0"/>
              <w:numPr>
                <w:ilvl w:val="0"/>
                <w:numId w:val="14"/>
              </w:numPr>
              <w:ind w:left="170" w:hanging="170"/>
              <w:rPr>
                <w:szCs w:val="20"/>
              </w:rPr>
            </w:pPr>
            <w:r w:rsidRPr="002D21EA">
              <w:rPr>
                <w:szCs w:val="20"/>
              </w:rPr>
              <w:t>Non-fatal stroke</w:t>
            </w:r>
          </w:p>
        </w:tc>
        <w:tc>
          <w:tcPr>
            <w:tcW w:w="857" w:type="pct"/>
            <w:tcBorders>
              <w:top w:val="nil"/>
              <w:bottom w:val="nil"/>
            </w:tcBorders>
            <w:vAlign w:val="center"/>
          </w:tcPr>
          <w:p w14:paraId="0030DC4E" w14:textId="283200FA" w:rsidR="00D956B2" w:rsidRPr="002D21EA" w:rsidRDefault="00C00DA9" w:rsidP="00D956B2">
            <w:pPr>
              <w:pStyle w:val="TableText"/>
              <w:keepNext w:val="0"/>
              <w:jc w:val="center"/>
              <w:rPr>
                <w:szCs w:val="20"/>
              </w:rPr>
            </w:pPr>
            <w:r w:rsidRPr="002D21EA">
              <w:rPr>
                <w:szCs w:val="20"/>
              </w:rPr>
              <w:t>0</w:t>
            </w:r>
          </w:p>
        </w:tc>
        <w:tc>
          <w:tcPr>
            <w:tcW w:w="858" w:type="pct"/>
            <w:tcBorders>
              <w:top w:val="nil"/>
              <w:bottom w:val="nil"/>
            </w:tcBorders>
            <w:vAlign w:val="center"/>
          </w:tcPr>
          <w:p w14:paraId="6D8040C0" w14:textId="1F33EC19" w:rsidR="00D956B2" w:rsidRPr="002D21EA" w:rsidRDefault="00C00DA9" w:rsidP="00D956B2">
            <w:pPr>
              <w:pStyle w:val="TableText"/>
              <w:keepNext w:val="0"/>
              <w:jc w:val="center"/>
              <w:rPr>
                <w:szCs w:val="20"/>
              </w:rPr>
            </w:pPr>
            <w:r w:rsidRPr="002D21EA">
              <w:rPr>
                <w:szCs w:val="20"/>
              </w:rPr>
              <w:t>1 (0.3%)</w:t>
            </w:r>
          </w:p>
        </w:tc>
        <w:tc>
          <w:tcPr>
            <w:tcW w:w="858" w:type="pct"/>
            <w:tcBorders>
              <w:top w:val="nil"/>
              <w:bottom w:val="nil"/>
            </w:tcBorders>
            <w:vAlign w:val="center"/>
          </w:tcPr>
          <w:p w14:paraId="6C40EA3A" w14:textId="12CBBE69" w:rsidR="00D956B2" w:rsidRPr="002D21EA" w:rsidRDefault="00143524" w:rsidP="00D956B2">
            <w:pPr>
              <w:pStyle w:val="TableText"/>
              <w:keepNext w:val="0"/>
              <w:jc w:val="center"/>
              <w:rPr>
                <w:szCs w:val="20"/>
              </w:rPr>
            </w:pPr>
            <w:r w:rsidRPr="002D21EA">
              <w:rPr>
                <w:szCs w:val="20"/>
              </w:rPr>
              <w:t>2 (0.6%)</w:t>
            </w:r>
          </w:p>
        </w:tc>
        <w:tc>
          <w:tcPr>
            <w:tcW w:w="858" w:type="pct"/>
            <w:tcBorders>
              <w:top w:val="nil"/>
              <w:bottom w:val="nil"/>
            </w:tcBorders>
            <w:vAlign w:val="center"/>
          </w:tcPr>
          <w:p w14:paraId="1166B1A1" w14:textId="199F6371" w:rsidR="00D956B2" w:rsidRPr="002D21EA" w:rsidRDefault="00143524" w:rsidP="00D956B2">
            <w:pPr>
              <w:pStyle w:val="TableText"/>
              <w:keepNext w:val="0"/>
              <w:jc w:val="center"/>
              <w:rPr>
                <w:szCs w:val="20"/>
              </w:rPr>
            </w:pPr>
            <w:r w:rsidRPr="002D21EA">
              <w:rPr>
                <w:szCs w:val="20"/>
              </w:rPr>
              <w:t>0</w:t>
            </w:r>
          </w:p>
        </w:tc>
      </w:tr>
      <w:tr w:rsidR="00D956B2" w:rsidRPr="002D21EA" w14:paraId="288D47B9" w14:textId="77777777" w:rsidTr="00D956B2">
        <w:trPr>
          <w:cantSplit/>
        </w:trPr>
        <w:tc>
          <w:tcPr>
            <w:tcW w:w="1569" w:type="pct"/>
            <w:tcBorders>
              <w:top w:val="nil"/>
              <w:bottom w:val="single" w:sz="4" w:space="0" w:color="auto"/>
            </w:tcBorders>
            <w:vAlign w:val="center"/>
          </w:tcPr>
          <w:p w14:paraId="76FC3637" w14:textId="4F055A86" w:rsidR="00D956B2" w:rsidRPr="002D21EA" w:rsidRDefault="00D956B2" w:rsidP="00D956B2">
            <w:pPr>
              <w:pStyle w:val="TableText"/>
              <w:keepNext w:val="0"/>
              <w:numPr>
                <w:ilvl w:val="0"/>
                <w:numId w:val="14"/>
              </w:numPr>
              <w:ind w:left="170" w:hanging="170"/>
              <w:rPr>
                <w:szCs w:val="20"/>
              </w:rPr>
            </w:pPr>
            <w:r w:rsidRPr="002D21EA">
              <w:rPr>
                <w:szCs w:val="20"/>
              </w:rPr>
              <w:t>Death</w:t>
            </w:r>
          </w:p>
        </w:tc>
        <w:tc>
          <w:tcPr>
            <w:tcW w:w="857" w:type="pct"/>
            <w:tcBorders>
              <w:top w:val="nil"/>
              <w:bottom w:val="single" w:sz="4" w:space="0" w:color="auto"/>
            </w:tcBorders>
            <w:vAlign w:val="center"/>
          </w:tcPr>
          <w:p w14:paraId="44B8CDB9" w14:textId="105971FE" w:rsidR="00D956B2" w:rsidRPr="002D21EA" w:rsidRDefault="00C00DA9" w:rsidP="00D956B2">
            <w:pPr>
              <w:pStyle w:val="TableText"/>
              <w:keepNext w:val="0"/>
              <w:jc w:val="center"/>
              <w:rPr>
                <w:szCs w:val="20"/>
              </w:rPr>
            </w:pPr>
            <w:r w:rsidRPr="002D21EA">
              <w:rPr>
                <w:szCs w:val="20"/>
              </w:rPr>
              <w:t>2 (0.6%)</w:t>
            </w:r>
          </w:p>
        </w:tc>
        <w:tc>
          <w:tcPr>
            <w:tcW w:w="858" w:type="pct"/>
            <w:tcBorders>
              <w:top w:val="nil"/>
              <w:bottom w:val="single" w:sz="4" w:space="0" w:color="auto"/>
            </w:tcBorders>
            <w:vAlign w:val="center"/>
          </w:tcPr>
          <w:p w14:paraId="00B901DC" w14:textId="6B2055C7" w:rsidR="00D956B2" w:rsidRPr="002D21EA" w:rsidRDefault="00C00DA9" w:rsidP="00D956B2">
            <w:pPr>
              <w:pStyle w:val="TableText"/>
              <w:keepNext w:val="0"/>
              <w:jc w:val="center"/>
              <w:rPr>
                <w:szCs w:val="20"/>
              </w:rPr>
            </w:pPr>
            <w:r w:rsidRPr="002D21EA">
              <w:rPr>
                <w:szCs w:val="20"/>
              </w:rPr>
              <w:t>1 (0.3%)</w:t>
            </w:r>
          </w:p>
        </w:tc>
        <w:tc>
          <w:tcPr>
            <w:tcW w:w="858" w:type="pct"/>
            <w:tcBorders>
              <w:top w:val="nil"/>
              <w:bottom w:val="single" w:sz="4" w:space="0" w:color="auto"/>
            </w:tcBorders>
            <w:vAlign w:val="center"/>
          </w:tcPr>
          <w:p w14:paraId="54890B9E" w14:textId="7146F160" w:rsidR="00D956B2" w:rsidRPr="002D21EA" w:rsidRDefault="00143524" w:rsidP="00D956B2">
            <w:pPr>
              <w:pStyle w:val="TableText"/>
              <w:keepNext w:val="0"/>
              <w:jc w:val="center"/>
              <w:rPr>
                <w:szCs w:val="20"/>
              </w:rPr>
            </w:pPr>
            <w:r w:rsidRPr="002D21EA">
              <w:rPr>
                <w:szCs w:val="20"/>
              </w:rPr>
              <w:t>0</w:t>
            </w:r>
          </w:p>
        </w:tc>
        <w:tc>
          <w:tcPr>
            <w:tcW w:w="858" w:type="pct"/>
            <w:tcBorders>
              <w:top w:val="nil"/>
              <w:bottom w:val="single" w:sz="4" w:space="0" w:color="auto"/>
            </w:tcBorders>
            <w:vAlign w:val="center"/>
          </w:tcPr>
          <w:p w14:paraId="288F9D2B" w14:textId="0699EF34" w:rsidR="00D956B2" w:rsidRPr="002D21EA" w:rsidRDefault="00143524" w:rsidP="00D956B2">
            <w:pPr>
              <w:pStyle w:val="TableText"/>
              <w:keepNext w:val="0"/>
              <w:jc w:val="center"/>
              <w:rPr>
                <w:szCs w:val="20"/>
              </w:rPr>
            </w:pPr>
            <w:r w:rsidRPr="002D21EA">
              <w:rPr>
                <w:szCs w:val="20"/>
              </w:rPr>
              <w:t>2 (0.6%)</w:t>
            </w:r>
          </w:p>
        </w:tc>
      </w:tr>
    </w:tbl>
    <w:p w14:paraId="69122B19" w14:textId="40402326" w:rsidR="00393EE6" w:rsidRPr="002D21EA" w:rsidRDefault="00393EE6" w:rsidP="00393EE6">
      <w:pPr>
        <w:pStyle w:val="TableFigureFooter"/>
      </w:pPr>
      <w:r w:rsidRPr="002D21EA">
        <w:t>Source: Table 2.23, p70 of the submission; Table 21, pp135-136 of the TENAYA clinical study report; Table 21, pp136-137 of the LUCERNE clinical study report</w:t>
      </w:r>
    </w:p>
    <w:p w14:paraId="790C49C0" w14:textId="577E03F5" w:rsidR="00393EE6" w:rsidRPr="002D21EA" w:rsidRDefault="00393EE6" w:rsidP="00393EE6">
      <w:pPr>
        <w:pStyle w:val="TableFigureFooter"/>
      </w:pPr>
      <w:r w:rsidRPr="002D21EA">
        <w:t>Abbreviations: AE</w:t>
      </w:r>
      <w:r w:rsidR="008D1B6D" w:rsidRPr="002D21EA">
        <w:t xml:space="preserve"> =</w:t>
      </w:r>
      <w:r w:rsidRPr="002D21EA">
        <w:t xml:space="preserve"> adverse event; </w:t>
      </w:r>
      <w:r w:rsidR="00BB434F" w:rsidRPr="002D21EA">
        <w:t>APTC</w:t>
      </w:r>
      <w:r w:rsidR="008D1B6D" w:rsidRPr="002D21EA">
        <w:t xml:space="preserve"> =</w:t>
      </w:r>
      <w:r w:rsidR="00BB434F" w:rsidRPr="002D21EA">
        <w:t xml:space="preserve"> Antiplatelet Triallists’ Collaboration; </w:t>
      </w:r>
      <w:r w:rsidRPr="002D21EA">
        <w:t>VA</w:t>
      </w:r>
      <w:r w:rsidR="008D1B6D" w:rsidRPr="002D21EA">
        <w:t xml:space="preserve"> =</w:t>
      </w:r>
      <w:r w:rsidRPr="002D21EA">
        <w:t xml:space="preserve"> visual acuity; w/d</w:t>
      </w:r>
      <w:r w:rsidR="008D1B6D" w:rsidRPr="002D21EA">
        <w:t xml:space="preserve"> =</w:t>
      </w:r>
      <w:r w:rsidRPr="002D21EA">
        <w:t xml:space="preserve"> withdrawal</w:t>
      </w:r>
    </w:p>
    <w:p w14:paraId="793E84D9" w14:textId="551A1BCB" w:rsidR="00250D58" w:rsidRPr="002D21EA" w:rsidRDefault="00587413" w:rsidP="00250D58">
      <w:pPr>
        <w:pStyle w:val="ExecSumBodyText"/>
      </w:pPr>
      <w:r w:rsidRPr="002D21EA">
        <w:t xml:space="preserve">The incidence of adverse events was similar between </w:t>
      </w:r>
      <w:r w:rsidR="00065515" w:rsidRPr="002D21EA">
        <w:t xml:space="preserve">the </w:t>
      </w:r>
      <w:r w:rsidRPr="002D21EA">
        <w:t xml:space="preserve">faricimab and aflibercept treatment arms in the TENAYA and LUCERNE trials. </w:t>
      </w:r>
      <w:r w:rsidR="00413E81" w:rsidRPr="002D21EA">
        <w:t>The incidence of serious adverse events was numerically higher in the aflibercept arm compared to the faricimab arm</w:t>
      </w:r>
      <w:r w:rsidR="00A05A72" w:rsidRPr="002D21EA">
        <w:t xml:space="preserve"> of both the TENAYA and LUCERNE trials</w:t>
      </w:r>
      <w:r w:rsidR="00413E81" w:rsidRPr="002D21EA">
        <w:t xml:space="preserve">. </w:t>
      </w:r>
      <w:r w:rsidR="00792927" w:rsidRPr="002D21EA">
        <w:t>The incidence of adverse events leading to</w:t>
      </w:r>
      <w:r w:rsidR="00CF785F" w:rsidRPr="002D21EA">
        <w:t xml:space="preserve"> study or </w:t>
      </w:r>
      <w:r w:rsidR="00792927" w:rsidRPr="002D21EA">
        <w:t>treatment withdrawal was low.</w:t>
      </w:r>
      <w:r w:rsidR="00E456AA" w:rsidRPr="002D21EA">
        <w:t xml:space="preserve"> None of the deaths observed in the TENAYA and LUCERNE trials were </w:t>
      </w:r>
      <w:r w:rsidR="00FD30E4" w:rsidRPr="002D21EA">
        <w:t xml:space="preserve">suspected to be </w:t>
      </w:r>
      <w:r w:rsidR="00E456AA" w:rsidRPr="002D21EA">
        <w:t xml:space="preserve">related to the study </w:t>
      </w:r>
      <w:r w:rsidR="00FD30E4" w:rsidRPr="002D21EA">
        <w:t>treatment</w:t>
      </w:r>
      <w:r w:rsidR="00E456AA" w:rsidRPr="002D21EA">
        <w:t>.</w:t>
      </w:r>
    </w:p>
    <w:p w14:paraId="6C636A08" w14:textId="02EF4996" w:rsidR="00250D58" w:rsidRPr="002D21EA" w:rsidRDefault="00250D58" w:rsidP="00250D58">
      <w:pPr>
        <w:pStyle w:val="ExecSumBodyText"/>
      </w:pPr>
      <w:r w:rsidRPr="002D21EA">
        <w:t>The most common ocular adverse events were conjunctival haemorrhage, worsening of nAMD, dry eye, and vitreous detachment. The incidence of dry eye was numerically higher in the aflibercept arm compared to the faricimab arm (3.3% versus 2.0%</w:t>
      </w:r>
      <w:r w:rsidR="00212A3B" w:rsidRPr="002D21EA">
        <w:t>, respectively</w:t>
      </w:r>
      <w:r w:rsidRPr="002D21EA">
        <w:t xml:space="preserve">). The incidence of vitreous floaters was numerically higher in the </w:t>
      </w:r>
      <w:r w:rsidRPr="002D21EA">
        <w:lastRenderedPageBreak/>
        <w:t>faricimab arm compared to the aflibercept arm (3.0% versus 1.7%), as was the incidence of retinal pigment epithelial tear (2.9% versus 1.4%).</w:t>
      </w:r>
    </w:p>
    <w:p w14:paraId="15EC32D5" w14:textId="2CE69C62" w:rsidR="00F7788D" w:rsidRPr="002D21EA" w:rsidRDefault="00250D58" w:rsidP="00250D58">
      <w:pPr>
        <w:pStyle w:val="ExecSumBodyText"/>
      </w:pPr>
      <w:r w:rsidRPr="002D21EA">
        <w:t>The most common non-ocular adverse events were nasopharyngitis, urinary tract infection, hypertension and upper respiratory tract infection. The incidence of falls was numerically higher in the aflibercept arm compared to the faricimab arm (2.9% versus 1.8%</w:t>
      </w:r>
      <w:r w:rsidR="00212A3B" w:rsidRPr="002D21EA">
        <w:t>, respectively</w:t>
      </w:r>
      <w:r w:rsidRPr="002D21EA">
        <w:t>). The incidence of hypertension was numerically higher in the faricimab arm compared to the aflibercept arm (3.6% versus 2.4%</w:t>
      </w:r>
      <w:r w:rsidR="00C33D5E" w:rsidRPr="002D21EA">
        <w:t>, respectively</w:t>
      </w:r>
      <w:r w:rsidRPr="002D21EA">
        <w:t>), as was the incidence of arthralgia (3.0% versus 1.7%) and bronchitis (2.6% versus 1.4%).</w:t>
      </w:r>
    </w:p>
    <w:p w14:paraId="156A25E5" w14:textId="2FAD0D40" w:rsidR="0001788C" w:rsidRDefault="0001788C" w:rsidP="00C85983">
      <w:pPr>
        <w:pStyle w:val="ExecSumBodyText"/>
      </w:pPr>
      <w:r w:rsidRPr="002D21EA">
        <w:t xml:space="preserve">The incidence of treatment-emergent anti-drug antibodies </w:t>
      </w:r>
      <w:r w:rsidR="002E6A18" w:rsidRPr="002D21EA">
        <w:t xml:space="preserve">in faricimab-treated patients </w:t>
      </w:r>
      <w:r w:rsidRPr="002D21EA">
        <w:t>was 8.8% in the TENAYA trial and 11.9% in the LUCERNE trial. The trial reports note that, based on the available data, there was no apparent influence of anti-drug antibodies on systemic exposure, overall safety or efficacy.</w:t>
      </w:r>
    </w:p>
    <w:p w14:paraId="1CE228AB" w14:textId="08680DD6" w:rsidR="004C0823" w:rsidRDefault="00C82BF0" w:rsidP="004C0823">
      <w:pPr>
        <w:pStyle w:val="ExecSumBodyText"/>
      </w:pPr>
      <w:r>
        <w:t xml:space="preserve">The Pre-PBAC Response provided </w:t>
      </w:r>
      <w:r w:rsidR="004C0823" w:rsidRPr="004C0823">
        <w:t xml:space="preserve">updated </w:t>
      </w:r>
      <w:r>
        <w:t xml:space="preserve">safety </w:t>
      </w:r>
      <w:r w:rsidR="004C0823" w:rsidRPr="004C0823">
        <w:t>results based on an average tre</w:t>
      </w:r>
      <w:r>
        <w:t>atment duration of 97-101 weeks (see table below)</w:t>
      </w:r>
      <w:r w:rsidR="004C0823" w:rsidRPr="004C0823">
        <w:t>.</w:t>
      </w:r>
      <w:r w:rsidR="00786949">
        <w:t xml:space="preserve"> </w:t>
      </w:r>
      <w:r w:rsidR="004C0823" w:rsidRPr="004C0823">
        <w:t xml:space="preserve">The </w:t>
      </w:r>
      <w:r>
        <w:t xml:space="preserve">Pre-PBAC </w:t>
      </w:r>
      <w:r w:rsidR="004C0823" w:rsidRPr="004C0823">
        <w:t>Response stated that no new safety signals were identified, and consistent with the results presented in the submission, the incidence of ocular adverse events and serious ocular adverse events was low and comparable between treatment arms.</w:t>
      </w:r>
    </w:p>
    <w:p w14:paraId="72F24D24" w14:textId="77777777" w:rsidR="00A959F7" w:rsidRDefault="00A959F7">
      <w:pPr>
        <w:jc w:val="left"/>
        <w:rPr>
          <w:rFonts w:ascii="Arial Narrow" w:eastAsiaTheme="majorEastAsia" w:hAnsi="Arial Narrow" w:cs="Times New Roman"/>
          <w:b/>
          <w:sz w:val="20"/>
        </w:rPr>
      </w:pPr>
      <w:r>
        <w:br w:type="page"/>
      </w:r>
    </w:p>
    <w:p w14:paraId="45BCB951" w14:textId="0E0EE254" w:rsidR="004C0823" w:rsidRPr="002D21EA" w:rsidRDefault="00C82BF0" w:rsidP="004C0823">
      <w:pPr>
        <w:pStyle w:val="Tableheadingrow"/>
        <w:keepLines/>
        <w:rPr>
          <w:lang w:val="en-AU"/>
        </w:rPr>
      </w:pPr>
      <w:r w:rsidRPr="002D21EA">
        <w:rPr>
          <w:lang w:val="en-AU"/>
        </w:rPr>
        <w:lastRenderedPageBreak/>
        <w:t xml:space="preserve">Table </w:t>
      </w:r>
      <w:r w:rsidRPr="002D21EA">
        <w:rPr>
          <w:lang w:val="en-AU"/>
        </w:rPr>
        <w:fldChar w:fldCharType="begin"/>
      </w:r>
      <w:r w:rsidRPr="002D21EA">
        <w:rPr>
          <w:lang w:val="en-AU"/>
        </w:rPr>
        <w:instrText xml:space="preserve"> SEQ Table \* ARABIC </w:instrText>
      </w:r>
      <w:r w:rsidRPr="002D21EA">
        <w:rPr>
          <w:lang w:val="en-AU"/>
        </w:rPr>
        <w:fldChar w:fldCharType="separate"/>
      </w:r>
      <w:r w:rsidR="006C2A4B">
        <w:rPr>
          <w:noProof/>
          <w:lang w:val="en-AU"/>
        </w:rPr>
        <w:t>8</w:t>
      </w:r>
      <w:r w:rsidRPr="002D21EA">
        <w:rPr>
          <w:lang w:val="en-AU"/>
        </w:rPr>
        <w:fldChar w:fldCharType="end"/>
      </w:r>
      <w:r w:rsidRPr="002D21EA">
        <w:rPr>
          <w:lang w:val="en-AU"/>
        </w:rPr>
        <w:t xml:space="preserve">: </w:t>
      </w:r>
      <w:r w:rsidR="004C0823" w:rsidRPr="002D21EA">
        <w:rPr>
          <w:lang w:val="en-AU"/>
        </w:rPr>
        <w:t xml:space="preserve">Safety summary through Week </w:t>
      </w:r>
      <w:r w:rsidR="004C0823">
        <w:rPr>
          <w:lang w:val="en-AU"/>
        </w:rPr>
        <w:t>112</w:t>
      </w:r>
      <w:r w:rsidR="004C0823" w:rsidRPr="002D21EA">
        <w:rPr>
          <w:lang w:val="en-AU"/>
        </w:rPr>
        <w:t xml:space="preserve"> in the TENAYA and LUCERNE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Safety summary through Week 112 in the TENAYA and LUCERNE trials"/>
      </w:tblPr>
      <w:tblGrid>
        <w:gridCol w:w="2830"/>
        <w:gridCol w:w="1546"/>
        <w:gridCol w:w="1547"/>
        <w:gridCol w:w="1547"/>
        <w:gridCol w:w="1547"/>
      </w:tblGrid>
      <w:tr w:rsidR="004C0823" w:rsidRPr="002D21EA" w14:paraId="54D02F7B" w14:textId="77777777" w:rsidTr="00115C14">
        <w:trPr>
          <w:cantSplit/>
          <w:tblHeader/>
        </w:trPr>
        <w:tc>
          <w:tcPr>
            <w:tcW w:w="1569" w:type="pct"/>
            <w:vMerge w:val="restart"/>
            <w:vAlign w:val="center"/>
          </w:tcPr>
          <w:p w14:paraId="741E29A5" w14:textId="77777777" w:rsidR="004C0823" w:rsidRPr="002D21EA" w:rsidRDefault="004C0823" w:rsidP="00115C14">
            <w:pPr>
              <w:pStyle w:val="Tableheadingrow"/>
              <w:keepLines/>
              <w:rPr>
                <w:szCs w:val="20"/>
                <w:lang w:val="en-AU"/>
              </w:rPr>
            </w:pPr>
          </w:p>
        </w:tc>
        <w:tc>
          <w:tcPr>
            <w:tcW w:w="1715" w:type="pct"/>
            <w:gridSpan w:val="2"/>
          </w:tcPr>
          <w:p w14:paraId="44309B3F" w14:textId="77777777" w:rsidR="004C0823" w:rsidRPr="002D21EA" w:rsidRDefault="004C0823" w:rsidP="00115C14">
            <w:pPr>
              <w:pStyle w:val="Tableheadingrow"/>
              <w:keepLines/>
              <w:jc w:val="center"/>
              <w:rPr>
                <w:szCs w:val="20"/>
                <w:lang w:val="en-AU"/>
              </w:rPr>
            </w:pPr>
            <w:r w:rsidRPr="002D21EA">
              <w:rPr>
                <w:szCs w:val="20"/>
                <w:lang w:val="en-AU"/>
              </w:rPr>
              <w:t>TENAYA</w:t>
            </w:r>
          </w:p>
        </w:tc>
        <w:tc>
          <w:tcPr>
            <w:tcW w:w="1716" w:type="pct"/>
            <w:gridSpan w:val="2"/>
          </w:tcPr>
          <w:p w14:paraId="17C0A6EA" w14:textId="77777777" w:rsidR="004C0823" w:rsidRPr="002D21EA" w:rsidRDefault="004C0823" w:rsidP="00115C14">
            <w:pPr>
              <w:pStyle w:val="Tableheadingrow"/>
              <w:keepLines/>
              <w:jc w:val="center"/>
              <w:rPr>
                <w:szCs w:val="20"/>
                <w:lang w:val="en-AU"/>
              </w:rPr>
            </w:pPr>
            <w:r w:rsidRPr="002D21EA">
              <w:rPr>
                <w:szCs w:val="20"/>
                <w:lang w:val="en-AU"/>
              </w:rPr>
              <w:t>LUCERNE</w:t>
            </w:r>
          </w:p>
        </w:tc>
      </w:tr>
      <w:tr w:rsidR="004C0823" w:rsidRPr="002D21EA" w14:paraId="02DAE13B" w14:textId="77777777" w:rsidTr="00115C14">
        <w:trPr>
          <w:cantSplit/>
          <w:tblHeader/>
        </w:trPr>
        <w:tc>
          <w:tcPr>
            <w:tcW w:w="1569" w:type="pct"/>
            <w:vMerge/>
            <w:vAlign w:val="center"/>
          </w:tcPr>
          <w:p w14:paraId="51BA5EAB" w14:textId="77777777" w:rsidR="004C0823" w:rsidRPr="002D21EA" w:rsidRDefault="004C0823" w:rsidP="00115C14">
            <w:pPr>
              <w:pStyle w:val="Tableheadingrow"/>
              <w:keepNext w:val="0"/>
              <w:rPr>
                <w:szCs w:val="20"/>
                <w:lang w:val="en-AU"/>
              </w:rPr>
            </w:pPr>
          </w:p>
        </w:tc>
        <w:tc>
          <w:tcPr>
            <w:tcW w:w="857" w:type="pct"/>
            <w:vAlign w:val="center"/>
          </w:tcPr>
          <w:p w14:paraId="75CEAFEB" w14:textId="77777777" w:rsidR="004C0823" w:rsidRPr="002D21EA" w:rsidRDefault="004C0823" w:rsidP="00115C14">
            <w:pPr>
              <w:pStyle w:val="Tableheadingrow"/>
              <w:keepNext w:val="0"/>
              <w:jc w:val="center"/>
              <w:rPr>
                <w:szCs w:val="20"/>
                <w:lang w:val="en-AU"/>
              </w:rPr>
            </w:pPr>
            <w:r w:rsidRPr="002D21EA">
              <w:rPr>
                <w:szCs w:val="20"/>
                <w:lang w:val="en-AU"/>
              </w:rPr>
              <w:t>Faricimab</w:t>
            </w:r>
          </w:p>
          <w:p w14:paraId="153FB67F" w14:textId="77777777" w:rsidR="004C0823" w:rsidRPr="002D21EA" w:rsidRDefault="004C0823" w:rsidP="00115C14">
            <w:pPr>
              <w:pStyle w:val="Tableheadingrow"/>
              <w:keepNext w:val="0"/>
              <w:jc w:val="center"/>
              <w:rPr>
                <w:szCs w:val="20"/>
                <w:lang w:val="en-AU"/>
              </w:rPr>
            </w:pPr>
            <w:r w:rsidRPr="002D21EA">
              <w:rPr>
                <w:szCs w:val="20"/>
                <w:lang w:val="en-AU"/>
              </w:rPr>
              <w:t>N=333</w:t>
            </w:r>
          </w:p>
        </w:tc>
        <w:tc>
          <w:tcPr>
            <w:tcW w:w="858" w:type="pct"/>
            <w:vAlign w:val="center"/>
          </w:tcPr>
          <w:p w14:paraId="4848DDCF" w14:textId="77777777" w:rsidR="004C0823" w:rsidRPr="002D21EA" w:rsidRDefault="004C0823" w:rsidP="00115C14">
            <w:pPr>
              <w:pStyle w:val="Tableheadingrow"/>
              <w:keepNext w:val="0"/>
              <w:jc w:val="center"/>
              <w:rPr>
                <w:szCs w:val="20"/>
                <w:lang w:val="en-AU"/>
              </w:rPr>
            </w:pPr>
            <w:r w:rsidRPr="002D21EA">
              <w:rPr>
                <w:szCs w:val="20"/>
                <w:lang w:val="en-AU"/>
              </w:rPr>
              <w:t>Aflibercept</w:t>
            </w:r>
          </w:p>
          <w:p w14:paraId="2E722677" w14:textId="77777777" w:rsidR="004C0823" w:rsidRPr="002D21EA" w:rsidRDefault="004C0823" w:rsidP="00115C14">
            <w:pPr>
              <w:pStyle w:val="Tableheadingrow"/>
              <w:keepNext w:val="0"/>
              <w:jc w:val="center"/>
              <w:rPr>
                <w:szCs w:val="20"/>
                <w:lang w:val="en-AU"/>
              </w:rPr>
            </w:pPr>
            <w:r w:rsidRPr="002D21EA">
              <w:rPr>
                <w:szCs w:val="20"/>
                <w:lang w:val="en-AU"/>
              </w:rPr>
              <w:t>N=336</w:t>
            </w:r>
          </w:p>
        </w:tc>
        <w:tc>
          <w:tcPr>
            <w:tcW w:w="858" w:type="pct"/>
            <w:vAlign w:val="center"/>
          </w:tcPr>
          <w:p w14:paraId="6C3A7C05" w14:textId="77777777" w:rsidR="004C0823" w:rsidRPr="002D21EA" w:rsidRDefault="004C0823" w:rsidP="00115C14">
            <w:pPr>
              <w:pStyle w:val="Tableheadingrow"/>
              <w:keepNext w:val="0"/>
              <w:jc w:val="center"/>
              <w:rPr>
                <w:szCs w:val="20"/>
                <w:lang w:val="en-AU"/>
              </w:rPr>
            </w:pPr>
            <w:r w:rsidRPr="002D21EA">
              <w:rPr>
                <w:szCs w:val="20"/>
                <w:lang w:val="en-AU"/>
              </w:rPr>
              <w:t>Faricimab</w:t>
            </w:r>
          </w:p>
          <w:p w14:paraId="1AB4AF06" w14:textId="77777777" w:rsidR="004C0823" w:rsidRPr="002D21EA" w:rsidRDefault="004C0823" w:rsidP="00115C14">
            <w:pPr>
              <w:pStyle w:val="Tableheadingrow"/>
              <w:keepNext w:val="0"/>
              <w:jc w:val="center"/>
              <w:rPr>
                <w:szCs w:val="20"/>
                <w:lang w:val="en-AU"/>
              </w:rPr>
            </w:pPr>
            <w:r w:rsidRPr="002D21EA">
              <w:rPr>
                <w:szCs w:val="20"/>
                <w:lang w:val="en-AU"/>
              </w:rPr>
              <w:t>N=331</w:t>
            </w:r>
          </w:p>
        </w:tc>
        <w:tc>
          <w:tcPr>
            <w:tcW w:w="858" w:type="pct"/>
            <w:vAlign w:val="center"/>
          </w:tcPr>
          <w:p w14:paraId="20AB3F8A" w14:textId="77777777" w:rsidR="004C0823" w:rsidRPr="002D21EA" w:rsidRDefault="004C0823" w:rsidP="00115C14">
            <w:pPr>
              <w:pStyle w:val="Tableheadingrow"/>
              <w:keepNext w:val="0"/>
              <w:jc w:val="center"/>
              <w:rPr>
                <w:szCs w:val="20"/>
                <w:lang w:val="en-AU"/>
              </w:rPr>
            </w:pPr>
            <w:r w:rsidRPr="002D21EA">
              <w:rPr>
                <w:szCs w:val="20"/>
                <w:lang w:val="en-AU"/>
              </w:rPr>
              <w:t>Aflibercept</w:t>
            </w:r>
          </w:p>
          <w:p w14:paraId="64B15A1C" w14:textId="77777777" w:rsidR="004C0823" w:rsidRPr="002D21EA" w:rsidRDefault="004C0823" w:rsidP="00115C14">
            <w:pPr>
              <w:pStyle w:val="Tableheadingrow"/>
              <w:keepNext w:val="0"/>
              <w:jc w:val="center"/>
              <w:rPr>
                <w:szCs w:val="20"/>
                <w:lang w:val="en-AU"/>
              </w:rPr>
            </w:pPr>
            <w:r w:rsidRPr="002D21EA">
              <w:rPr>
                <w:szCs w:val="20"/>
                <w:lang w:val="en-AU"/>
              </w:rPr>
              <w:t>N=326</w:t>
            </w:r>
          </w:p>
        </w:tc>
      </w:tr>
      <w:tr w:rsidR="004C0823" w:rsidRPr="002D21EA" w14:paraId="35BDFD62" w14:textId="77777777" w:rsidTr="00115C14">
        <w:trPr>
          <w:cantSplit/>
        </w:trPr>
        <w:tc>
          <w:tcPr>
            <w:tcW w:w="1569" w:type="pct"/>
            <w:vAlign w:val="center"/>
          </w:tcPr>
          <w:p w14:paraId="21FF4DFB" w14:textId="77777777" w:rsidR="004C0823" w:rsidRPr="002D21EA" w:rsidRDefault="004C0823" w:rsidP="00115C14">
            <w:pPr>
              <w:pStyle w:val="TableText"/>
              <w:keepNext w:val="0"/>
              <w:rPr>
                <w:szCs w:val="20"/>
              </w:rPr>
            </w:pPr>
            <w:r w:rsidRPr="002D21EA">
              <w:rPr>
                <w:szCs w:val="20"/>
              </w:rPr>
              <w:t>Any AE, n (%)</w:t>
            </w:r>
          </w:p>
        </w:tc>
        <w:tc>
          <w:tcPr>
            <w:tcW w:w="857" w:type="pct"/>
            <w:vAlign w:val="center"/>
          </w:tcPr>
          <w:p w14:paraId="5A5F5CD8" w14:textId="77777777" w:rsidR="004C0823" w:rsidRPr="002D21EA" w:rsidRDefault="004C0823" w:rsidP="00115C14">
            <w:pPr>
              <w:pStyle w:val="TableText"/>
              <w:keepNext w:val="0"/>
              <w:jc w:val="center"/>
              <w:rPr>
                <w:szCs w:val="20"/>
              </w:rPr>
            </w:pPr>
            <w:r>
              <w:rPr>
                <w:szCs w:val="20"/>
              </w:rPr>
              <w:t>NR</w:t>
            </w:r>
          </w:p>
        </w:tc>
        <w:tc>
          <w:tcPr>
            <w:tcW w:w="858" w:type="pct"/>
            <w:vAlign w:val="center"/>
          </w:tcPr>
          <w:p w14:paraId="17799FF7" w14:textId="77777777" w:rsidR="004C0823" w:rsidRPr="002D21EA" w:rsidRDefault="004C0823" w:rsidP="00115C14">
            <w:pPr>
              <w:pStyle w:val="TableText"/>
              <w:keepNext w:val="0"/>
              <w:jc w:val="center"/>
              <w:rPr>
                <w:szCs w:val="20"/>
              </w:rPr>
            </w:pPr>
            <w:r>
              <w:rPr>
                <w:szCs w:val="20"/>
              </w:rPr>
              <w:t>NR</w:t>
            </w:r>
          </w:p>
        </w:tc>
        <w:tc>
          <w:tcPr>
            <w:tcW w:w="858" w:type="pct"/>
            <w:vAlign w:val="center"/>
          </w:tcPr>
          <w:p w14:paraId="2FFA83E0" w14:textId="77777777" w:rsidR="004C0823" w:rsidRPr="002D21EA" w:rsidRDefault="004C0823" w:rsidP="00115C14">
            <w:pPr>
              <w:pStyle w:val="TableText"/>
              <w:keepNext w:val="0"/>
              <w:jc w:val="center"/>
              <w:rPr>
                <w:szCs w:val="20"/>
              </w:rPr>
            </w:pPr>
            <w:r>
              <w:rPr>
                <w:szCs w:val="20"/>
              </w:rPr>
              <w:t>NR</w:t>
            </w:r>
          </w:p>
        </w:tc>
        <w:tc>
          <w:tcPr>
            <w:tcW w:w="858" w:type="pct"/>
            <w:vAlign w:val="center"/>
          </w:tcPr>
          <w:p w14:paraId="38A1E43E" w14:textId="77777777" w:rsidR="004C0823" w:rsidRPr="002D21EA" w:rsidRDefault="004C0823" w:rsidP="00115C14">
            <w:pPr>
              <w:pStyle w:val="TableText"/>
              <w:keepNext w:val="0"/>
              <w:jc w:val="center"/>
              <w:rPr>
                <w:szCs w:val="20"/>
              </w:rPr>
            </w:pPr>
            <w:r>
              <w:rPr>
                <w:szCs w:val="20"/>
              </w:rPr>
              <w:t>NR</w:t>
            </w:r>
          </w:p>
        </w:tc>
      </w:tr>
      <w:tr w:rsidR="004C0823" w:rsidRPr="002D21EA" w14:paraId="1FEB23AE" w14:textId="77777777" w:rsidTr="00115C14">
        <w:trPr>
          <w:cantSplit/>
        </w:trPr>
        <w:tc>
          <w:tcPr>
            <w:tcW w:w="1569" w:type="pct"/>
            <w:vAlign w:val="center"/>
          </w:tcPr>
          <w:p w14:paraId="54AE70CB" w14:textId="77777777" w:rsidR="004C0823" w:rsidRPr="002D21EA" w:rsidRDefault="004C0823" w:rsidP="00115C14">
            <w:pPr>
              <w:pStyle w:val="TableText"/>
              <w:keepNext w:val="0"/>
              <w:rPr>
                <w:szCs w:val="20"/>
              </w:rPr>
            </w:pPr>
            <w:r w:rsidRPr="002D21EA">
              <w:rPr>
                <w:szCs w:val="20"/>
              </w:rPr>
              <w:t>Total AEs, n</w:t>
            </w:r>
          </w:p>
        </w:tc>
        <w:tc>
          <w:tcPr>
            <w:tcW w:w="857" w:type="pct"/>
            <w:vAlign w:val="center"/>
          </w:tcPr>
          <w:p w14:paraId="4329ED91" w14:textId="77777777" w:rsidR="004C0823" w:rsidRPr="002D21EA" w:rsidRDefault="004C0823" w:rsidP="00115C14">
            <w:pPr>
              <w:pStyle w:val="TableText"/>
              <w:keepNext w:val="0"/>
              <w:jc w:val="center"/>
              <w:rPr>
                <w:szCs w:val="20"/>
              </w:rPr>
            </w:pPr>
            <w:r>
              <w:rPr>
                <w:szCs w:val="20"/>
              </w:rPr>
              <w:t>1690</w:t>
            </w:r>
          </w:p>
        </w:tc>
        <w:tc>
          <w:tcPr>
            <w:tcW w:w="858" w:type="pct"/>
            <w:vAlign w:val="center"/>
          </w:tcPr>
          <w:p w14:paraId="3A8BBB01" w14:textId="77777777" w:rsidR="004C0823" w:rsidRPr="002D21EA" w:rsidRDefault="004C0823" w:rsidP="00115C14">
            <w:pPr>
              <w:pStyle w:val="TableText"/>
              <w:keepNext w:val="0"/>
              <w:jc w:val="center"/>
              <w:rPr>
                <w:szCs w:val="20"/>
              </w:rPr>
            </w:pPr>
            <w:r>
              <w:rPr>
                <w:szCs w:val="20"/>
              </w:rPr>
              <w:t>1702</w:t>
            </w:r>
          </w:p>
        </w:tc>
        <w:tc>
          <w:tcPr>
            <w:tcW w:w="858" w:type="pct"/>
            <w:vAlign w:val="center"/>
          </w:tcPr>
          <w:p w14:paraId="1D91DB59" w14:textId="77777777" w:rsidR="004C0823" w:rsidRPr="002D21EA" w:rsidRDefault="004C0823" w:rsidP="00115C14">
            <w:pPr>
              <w:pStyle w:val="TableText"/>
              <w:keepNext w:val="0"/>
              <w:jc w:val="center"/>
              <w:rPr>
                <w:szCs w:val="20"/>
              </w:rPr>
            </w:pPr>
            <w:r>
              <w:rPr>
                <w:szCs w:val="20"/>
              </w:rPr>
              <w:t>1594</w:t>
            </w:r>
          </w:p>
        </w:tc>
        <w:tc>
          <w:tcPr>
            <w:tcW w:w="858" w:type="pct"/>
            <w:vAlign w:val="center"/>
          </w:tcPr>
          <w:p w14:paraId="7F98B1D5" w14:textId="77777777" w:rsidR="004C0823" w:rsidRPr="002D21EA" w:rsidRDefault="004C0823" w:rsidP="00115C14">
            <w:pPr>
              <w:pStyle w:val="TableText"/>
              <w:keepNext w:val="0"/>
              <w:jc w:val="center"/>
              <w:rPr>
                <w:szCs w:val="20"/>
              </w:rPr>
            </w:pPr>
            <w:r>
              <w:rPr>
                <w:szCs w:val="20"/>
              </w:rPr>
              <w:t>1619</w:t>
            </w:r>
          </w:p>
        </w:tc>
      </w:tr>
      <w:tr w:rsidR="004C0823" w:rsidRPr="002D21EA" w14:paraId="53D69D98" w14:textId="77777777" w:rsidTr="00115C14">
        <w:trPr>
          <w:cantSplit/>
        </w:trPr>
        <w:tc>
          <w:tcPr>
            <w:tcW w:w="1569" w:type="pct"/>
            <w:vAlign w:val="center"/>
          </w:tcPr>
          <w:p w14:paraId="1AC481E3" w14:textId="77777777" w:rsidR="004C0823" w:rsidRPr="002D21EA" w:rsidRDefault="004C0823" w:rsidP="00115C14">
            <w:pPr>
              <w:pStyle w:val="TableText"/>
              <w:keepNext w:val="0"/>
              <w:rPr>
                <w:szCs w:val="20"/>
              </w:rPr>
            </w:pPr>
            <w:r w:rsidRPr="002D21EA">
              <w:rPr>
                <w:szCs w:val="20"/>
              </w:rPr>
              <w:t xml:space="preserve">Serious AEs, n (%) </w:t>
            </w:r>
          </w:p>
        </w:tc>
        <w:tc>
          <w:tcPr>
            <w:tcW w:w="857" w:type="pct"/>
            <w:vAlign w:val="center"/>
          </w:tcPr>
          <w:p w14:paraId="7FB7935D" w14:textId="77777777" w:rsidR="004C0823" w:rsidRPr="002D21EA" w:rsidRDefault="004C0823" w:rsidP="00115C14">
            <w:pPr>
              <w:pStyle w:val="TableText"/>
              <w:keepNext w:val="0"/>
              <w:jc w:val="center"/>
              <w:rPr>
                <w:szCs w:val="20"/>
              </w:rPr>
            </w:pPr>
            <w:r>
              <w:rPr>
                <w:szCs w:val="20"/>
              </w:rPr>
              <w:t>NR</w:t>
            </w:r>
          </w:p>
        </w:tc>
        <w:tc>
          <w:tcPr>
            <w:tcW w:w="858" w:type="pct"/>
            <w:vAlign w:val="center"/>
          </w:tcPr>
          <w:p w14:paraId="409D55F0" w14:textId="77777777" w:rsidR="004C0823" w:rsidRPr="002D21EA" w:rsidRDefault="004C0823" w:rsidP="00115C14">
            <w:pPr>
              <w:pStyle w:val="TableText"/>
              <w:keepNext w:val="0"/>
              <w:jc w:val="center"/>
              <w:rPr>
                <w:szCs w:val="20"/>
              </w:rPr>
            </w:pPr>
            <w:r>
              <w:rPr>
                <w:szCs w:val="20"/>
              </w:rPr>
              <w:t>NR</w:t>
            </w:r>
          </w:p>
        </w:tc>
        <w:tc>
          <w:tcPr>
            <w:tcW w:w="858" w:type="pct"/>
            <w:vAlign w:val="center"/>
          </w:tcPr>
          <w:p w14:paraId="6EF6BB77" w14:textId="77777777" w:rsidR="004C0823" w:rsidRPr="002D21EA" w:rsidRDefault="004C0823" w:rsidP="00115C14">
            <w:pPr>
              <w:pStyle w:val="TableText"/>
              <w:keepNext w:val="0"/>
              <w:jc w:val="center"/>
              <w:rPr>
                <w:szCs w:val="20"/>
              </w:rPr>
            </w:pPr>
            <w:r>
              <w:rPr>
                <w:szCs w:val="20"/>
              </w:rPr>
              <w:t>NR</w:t>
            </w:r>
          </w:p>
        </w:tc>
        <w:tc>
          <w:tcPr>
            <w:tcW w:w="858" w:type="pct"/>
            <w:vAlign w:val="center"/>
          </w:tcPr>
          <w:p w14:paraId="0A82B7EC" w14:textId="77777777" w:rsidR="004C0823" w:rsidRPr="002D21EA" w:rsidRDefault="004C0823" w:rsidP="00115C14">
            <w:pPr>
              <w:pStyle w:val="TableText"/>
              <w:keepNext w:val="0"/>
              <w:jc w:val="center"/>
              <w:rPr>
                <w:szCs w:val="20"/>
              </w:rPr>
            </w:pPr>
            <w:r>
              <w:rPr>
                <w:szCs w:val="20"/>
              </w:rPr>
              <w:t>NR</w:t>
            </w:r>
          </w:p>
        </w:tc>
      </w:tr>
      <w:tr w:rsidR="004C0823" w:rsidRPr="002D21EA" w14:paraId="1BDB0D8F" w14:textId="77777777" w:rsidTr="00115C14">
        <w:trPr>
          <w:cantSplit/>
        </w:trPr>
        <w:tc>
          <w:tcPr>
            <w:tcW w:w="1569" w:type="pct"/>
            <w:vAlign w:val="center"/>
          </w:tcPr>
          <w:p w14:paraId="6B68A748" w14:textId="77777777" w:rsidR="004C0823" w:rsidRPr="002D21EA" w:rsidRDefault="004C0823" w:rsidP="00115C14">
            <w:pPr>
              <w:pStyle w:val="TableText"/>
              <w:keepNext w:val="0"/>
              <w:rPr>
                <w:szCs w:val="20"/>
              </w:rPr>
            </w:pPr>
            <w:r w:rsidRPr="002D21EA">
              <w:rPr>
                <w:szCs w:val="20"/>
              </w:rPr>
              <w:t>Total serious AEs, n</w:t>
            </w:r>
          </w:p>
        </w:tc>
        <w:tc>
          <w:tcPr>
            <w:tcW w:w="857" w:type="pct"/>
            <w:vAlign w:val="center"/>
          </w:tcPr>
          <w:p w14:paraId="28E677E8" w14:textId="77777777" w:rsidR="004C0823" w:rsidRPr="002D21EA" w:rsidRDefault="004C0823" w:rsidP="00115C14">
            <w:pPr>
              <w:pStyle w:val="TableText"/>
              <w:keepNext w:val="0"/>
              <w:jc w:val="center"/>
              <w:rPr>
                <w:szCs w:val="20"/>
              </w:rPr>
            </w:pPr>
            <w:r>
              <w:rPr>
                <w:szCs w:val="20"/>
              </w:rPr>
              <w:t>139</w:t>
            </w:r>
          </w:p>
        </w:tc>
        <w:tc>
          <w:tcPr>
            <w:tcW w:w="858" w:type="pct"/>
            <w:vAlign w:val="center"/>
          </w:tcPr>
          <w:p w14:paraId="2C92D7C6" w14:textId="77777777" w:rsidR="004C0823" w:rsidRPr="002D21EA" w:rsidRDefault="004C0823" w:rsidP="00115C14">
            <w:pPr>
              <w:pStyle w:val="TableText"/>
              <w:keepNext w:val="0"/>
              <w:jc w:val="center"/>
              <w:rPr>
                <w:szCs w:val="20"/>
              </w:rPr>
            </w:pPr>
            <w:r>
              <w:rPr>
                <w:szCs w:val="20"/>
              </w:rPr>
              <w:t>157</w:t>
            </w:r>
          </w:p>
        </w:tc>
        <w:tc>
          <w:tcPr>
            <w:tcW w:w="858" w:type="pct"/>
            <w:vAlign w:val="center"/>
          </w:tcPr>
          <w:p w14:paraId="186C8E44" w14:textId="77777777" w:rsidR="004C0823" w:rsidRPr="002D21EA" w:rsidRDefault="004C0823" w:rsidP="00115C14">
            <w:pPr>
              <w:pStyle w:val="TableText"/>
              <w:keepNext w:val="0"/>
              <w:jc w:val="center"/>
              <w:rPr>
                <w:szCs w:val="20"/>
              </w:rPr>
            </w:pPr>
            <w:r>
              <w:rPr>
                <w:szCs w:val="20"/>
              </w:rPr>
              <w:t>141</w:t>
            </w:r>
          </w:p>
        </w:tc>
        <w:tc>
          <w:tcPr>
            <w:tcW w:w="858" w:type="pct"/>
            <w:vAlign w:val="center"/>
          </w:tcPr>
          <w:p w14:paraId="179A772F" w14:textId="77777777" w:rsidR="004C0823" w:rsidRPr="002D21EA" w:rsidRDefault="004C0823" w:rsidP="00115C14">
            <w:pPr>
              <w:pStyle w:val="TableText"/>
              <w:keepNext w:val="0"/>
              <w:jc w:val="center"/>
              <w:rPr>
                <w:szCs w:val="20"/>
              </w:rPr>
            </w:pPr>
            <w:r>
              <w:rPr>
                <w:szCs w:val="20"/>
              </w:rPr>
              <w:t>223</w:t>
            </w:r>
          </w:p>
        </w:tc>
      </w:tr>
      <w:tr w:rsidR="004C0823" w:rsidRPr="002D21EA" w14:paraId="2FDD6042" w14:textId="77777777" w:rsidTr="00115C14">
        <w:trPr>
          <w:cantSplit/>
        </w:trPr>
        <w:tc>
          <w:tcPr>
            <w:tcW w:w="1569" w:type="pct"/>
            <w:vAlign w:val="center"/>
          </w:tcPr>
          <w:p w14:paraId="3DA3E55D" w14:textId="77777777" w:rsidR="004C0823" w:rsidRPr="002D21EA" w:rsidRDefault="004C0823" w:rsidP="00115C14">
            <w:pPr>
              <w:pStyle w:val="TableText"/>
              <w:keepNext w:val="0"/>
              <w:rPr>
                <w:szCs w:val="20"/>
              </w:rPr>
            </w:pPr>
            <w:r w:rsidRPr="002D21EA">
              <w:rPr>
                <w:szCs w:val="20"/>
              </w:rPr>
              <w:t>Deaths, n (%)</w:t>
            </w:r>
          </w:p>
        </w:tc>
        <w:tc>
          <w:tcPr>
            <w:tcW w:w="857" w:type="pct"/>
            <w:vAlign w:val="center"/>
          </w:tcPr>
          <w:p w14:paraId="53A30663" w14:textId="77777777" w:rsidR="004C0823" w:rsidRPr="002D21EA" w:rsidRDefault="004C0823" w:rsidP="00115C14">
            <w:pPr>
              <w:pStyle w:val="TableText"/>
              <w:keepNext w:val="0"/>
              <w:jc w:val="center"/>
              <w:rPr>
                <w:szCs w:val="20"/>
              </w:rPr>
            </w:pPr>
            <w:r>
              <w:rPr>
                <w:szCs w:val="20"/>
              </w:rPr>
              <w:t>13 (3.9%)</w:t>
            </w:r>
          </w:p>
        </w:tc>
        <w:tc>
          <w:tcPr>
            <w:tcW w:w="858" w:type="pct"/>
            <w:vAlign w:val="center"/>
          </w:tcPr>
          <w:p w14:paraId="3038E97E" w14:textId="77777777" w:rsidR="004C0823" w:rsidRPr="002D21EA" w:rsidRDefault="004C0823" w:rsidP="00115C14">
            <w:pPr>
              <w:pStyle w:val="TableText"/>
              <w:keepNext w:val="0"/>
              <w:jc w:val="center"/>
              <w:rPr>
                <w:szCs w:val="20"/>
              </w:rPr>
            </w:pPr>
            <w:r>
              <w:rPr>
                <w:szCs w:val="20"/>
              </w:rPr>
              <w:t>7 (2.1%)</w:t>
            </w:r>
          </w:p>
        </w:tc>
        <w:tc>
          <w:tcPr>
            <w:tcW w:w="858" w:type="pct"/>
            <w:vAlign w:val="center"/>
          </w:tcPr>
          <w:p w14:paraId="12626556" w14:textId="77777777" w:rsidR="004C0823" w:rsidRPr="002D21EA" w:rsidRDefault="004C0823" w:rsidP="00115C14">
            <w:pPr>
              <w:pStyle w:val="TableText"/>
              <w:keepNext w:val="0"/>
              <w:jc w:val="center"/>
              <w:rPr>
                <w:szCs w:val="20"/>
              </w:rPr>
            </w:pPr>
            <w:r>
              <w:rPr>
                <w:szCs w:val="20"/>
              </w:rPr>
              <w:t>10 (3.0%)</w:t>
            </w:r>
          </w:p>
        </w:tc>
        <w:tc>
          <w:tcPr>
            <w:tcW w:w="858" w:type="pct"/>
            <w:vAlign w:val="center"/>
          </w:tcPr>
          <w:p w14:paraId="63D6508F" w14:textId="77777777" w:rsidR="004C0823" w:rsidRPr="002D21EA" w:rsidRDefault="004C0823" w:rsidP="00115C14">
            <w:pPr>
              <w:pStyle w:val="TableText"/>
              <w:keepNext w:val="0"/>
              <w:jc w:val="center"/>
              <w:rPr>
                <w:szCs w:val="20"/>
              </w:rPr>
            </w:pPr>
            <w:r>
              <w:rPr>
                <w:szCs w:val="20"/>
              </w:rPr>
              <w:t>14 (4.3%)</w:t>
            </w:r>
          </w:p>
        </w:tc>
      </w:tr>
      <w:tr w:rsidR="004C0823" w:rsidRPr="002D21EA" w14:paraId="0628D644" w14:textId="77777777" w:rsidTr="00115C14">
        <w:trPr>
          <w:cantSplit/>
        </w:trPr>
        <w:tc>
          <w:tcPr>
            <w:tcW w:w="1569" w:type="pct"/>
            <w:vAlign w:val="center"/>
          </w:tcPr>
          <w:p w14:paraId="5AC28371" w14:textId="77777777" w:rsidR="004C0823" w:rsidRPr="002D21EA" w:rsidRDefault="004C0823" w:rsidP="00115C14">
            <w:pPr>
              <w:pStyle w:val="TableText"/>
              <w:keepNext w:val="0"/>
              <w:rPr>
                <w:szCs w:val="20"/>
              </w:rPr>
            </w:pPr>
            <w:r w:rsidRPr="002D21EA">
              <w:rPr>
                <w:szCs w:val="20"/>
              </w:rPr>
              <w:t>AE leading to study w/d, n (%)</w:t>
            </w:r>
          </w:p>
        </w:tc>
        <w:tc>
          <w:tcPr>
            <w:tcW w:w="857" w:type="pct"/>
            <w:vAlign w:val="center"/>
          </w:tcPr>
          <w:p w14:paraId="73395A1E" w14:textId="77777777" w:rsidR="004C0823" w:rsidRPr="002D21EA" w:rsidRDefault="004C0823" w:rsidP="00115C14">
            <w:pPr>
              <w:pStyle w:val="TableText"/>
              <w:keepNext w:val="0"/>
              <w:jc w:val="center"/>
              <w:rPr>
                <w:szCs w:val="20"/>
              </w:rPr>
            </w:pPr>
            <w:r>
              <w:rPr>
                <w:szCs w:val="20"/>
              </w:rPr>
              <w:t>20 (6.0%)</w:t>
            </w:r>
          </w:p>
        </w:tc>
        <w:tc>
          <w:tcPr>
            <w:tcW w:w="858" w:type="pct"/>
            <w:vAlign w:val="center"/>
          </w:tcPr>
          <w:p w14:paraId="7A432974" w14:textId="77777777" w:rsidR="004C0823" w:rsidRPr="002D21EA" w:rsidRDefault="004C0823" w:rsidP="00115C14">
            <w:pPr>
              <w:pStyle w:val="TableText"/>
              <w:keepNext w:val="0"/>
              <w:jc w:val="center"/>
              <w:rPr>
                <w:szCs w:val="20"/>
              </w:rPr>
            </w:pPr>
            <w:r>
              <w:rPr>
                <w:szCs w:val="20"/>
              </w:rPr>
              <w:t>15 (4.5%)</w:t>
            </w:r>
          </w:p>
        </w:tc>
        <w:tc>
          <w:tcPr>
            <w:tcW w:w="858" w:type="pct"/>
            <w:vAlign w:val="center"/>
          </w:tcPr>
          <w:p w14:paraId="7D9A5161" w14:textId="77777777" w:rsidR="004C0823" w:rsidRPr="002D21EA" w:rsidRDefault="004C0823" w:rsidP="00115C14">
            <w:pPr>
              <w:pStyle w:val="TableText"/>
              <w:keepNext w:val="0"/>
              <w:jc w:val="center"/>
              <w:rPr>
                <w:szCs w:val="20"/>
              </w:rPr>
            </w:pPr>
            <w:r>
              <w:rPr>
                <w:szCs w:val="20"/>
              </w:rPr>
              <w:t>13 (3.9%)</w:t>
            </w:r>
          </w:p>
        </w:tc>
        <w:tc>
          <w:tcPr>
            <w:tcW w:w="858" w:type="pct"/>
            <w:vAlign w:val="center"/>
          </w:tcPr>
          <w:p w14:paraId="2430FB63" w14:textId="77777777" w:rsidR="004C0823" w:rsidRPr="002D21EA" w:rsidRDefault="004C0823" w:rsidP="00115C14">
            <w:pPr>
              <w:pStyle w:val="TableText"/>
              <w:keepNext w:val="0"/>
              <w:jc w:val="center"/>
              <w:rPr>
                <w:szCs w:val="20"/>
              </w:rPr>
            </w:pPr>
            <w:r>
              <w:rPr>
                <w:szCs w:val="20"/>
              </w:rPr>
              <w:t>20 (6.1%)</w:t>
            </w:r>
          </w:p>
        </w:tc>
      </w:tr>
      <w:tr w:rsidR="004C0823" w:rsidRPr="002D21EA" w14:paraId="712D6C89" w14:textId="77777777" w:rsidTr="00115C14">
        <w:trPr>
          <w:cantSplit/>
        </w:trPr>
        <w:tc>
          <w:tcPr>
            <w:tcW w:w="1569" w:type="pct"/>
            <w:vAlign w:val="center"/>
          </w:tcPr>
          <w:p w14:paraId="67B0A540" w14:textId="77777777" w:rsidR="004C0823" w:rsidRPr="002D21EA" w:rsidRDefault="004C0823" w:rsidP="00115C14">
            <w:pPr>
              <w:pStyle w:val="TableText"/>
              <w:keepNext w:val="0"/>
              <w:rPr>
                <w:szCs w:val="20"/>
              </w:rPr>
            </w:pPr>
            <w:r w:rsidRPr="002D21EA">
              <w:rPr>
                <w:szCs w:val="20"/>
              </w:rPr>
              <w:t>AE leading to treatment w/d, n (%)</w:t>
            </w:r>
          </w:p>
        </w:tc>
        <w:tc>
          <w:tcPr>
            <w:tcW w:w="857" w:type="pct"/>
            <w:vAlign w:val="center"/>
          </w:tcPr>
          <w:p w14:paraId="7EC06B14" w14:textId="77777777" w:rsidR="004C0823" w:rsidRPr="002D21EA" w:rsidRDefault="004C0823" w:rsidP="00115C14">
            <w:pPr>
              <w:pStyle w:val="TableText"/>
              <w:keepNext w:val="0"/>
              <w:jc w:val="center"/>
              <w:rPr>
                <w:szCs w:val="20"/>
              </w:rPr>
            </w:pPr>
            <w:r>
              <w:rPr>
                <w:szCs w:val="20"/>
              </w:rPr>
              <w:t>12 (3.6%)</w:t>
            </w:r>
          </w:p>
        </w:tc>
        <w:tc>
          <w:tcPr>
            <w:tcW w:w="858" w:type="pct"/>
            <w:vAlign w:val="center"/>
          </w:tcPr>
          <w:p w14:paraId="36D8CE82" w14:textId="77777777" w:rsidR="004C0823" w:rsidRPr="002D21EA" w:rsidRDefault="004C0823" w:rsidP="00115C14">
            <w:pPr>
              <w:pStyle w:val="TableText"/>
              <w:keepNext w:val="0"/>
              <w:jc w:val="center"/>
              <w:rPr>
                <w:szCs w:val="20"/>
              </w:rPr>
            </w:pPr>
            <w:r>
              <w:rPr>
                <w:szCs w:val="20"/>
              </w:rPr>
              <w:t>9 (2.7%)</w:t>
            </w:r>
          </w:p>
        </w:tc>
        <w:tc>
          <w:tcPr>
            <w:tcW w:w="858" w:type="pct"/>
            <w:vAlign w:val="center"/>
          </w:tcPr>
          <w:p w14:paraId="36772EF6" w14:textId="77777777" w:rsidR="004C0823" w:rsidRPr="002D21EA" w:rsidRDefault="004C0823" w:rsidP="00115C14">
            <w:pPr>
              <w:pStyle w:val="TableText"/>
              <w:keepNext w:val="0"/>
              <w:jc w:val="center"/>
              <w:rPr>
                <w:szCs w:val="20"/>
              </w:rPr>
            </w:pPr>
            <w:r>
              <w:rPr>
                <w:szCs w:val="20"/>
              </w:rPr>
              <w:t>16 (4.8%)</w:t>
            </w:r>
          </w:p>
        </w:tc>
        <w:tc>
          <w:tcPr>
            <w:tcW w:w="858" w:type="pct"/>
            <w:vAlign w:val="center"/>
          </w:tcPr>
          <w:p w14:paraId="15517620" w14:textId="77777777" w:rsidR="004C0823" w:rsidRPr="002D21EA" w:rsidRDefault="004C0823" w:rsidP="00115C14">
            <w:pPr>
              <w:pStyle w:val="TableText"/>
              <w:keepNext w:val="0"/>
              <w:jc w:val="center"/>
              <w:rPr>
                <w:szCs w:val="20"/>
              </w:rPr>
            </w:pPr>
            <w:r>
              <w:rPr>
                <w:szCs w:val="20"/>
              </w:rPr>
              <w:t>9 (2.8%)</w:t>
            </w:r>
          </w:p>
        </w:tc>
      </w:tr>
      <w:tr w:rsidR="004C0823" w:rsidRPr="002D21EA" w14:paraId="39672FCE" w14:textId="77777777" w:rsidTr="00115C14">
        <w:trPr>
          <w:cantSplit/>
        </w:trPr>
        <w:tc>
          <w:tcPr>
            <w:tcW w:w="1569" w:type="pct"/>
            <w:tcBorders>
              <w:bottom w:val="single" w:sz="4" w:space="0" w:color="auto"/>
            </w:tcBorders>
            <w:vAlign w:val="center"/>
          </w:tcPr>
          <w:p w14:paraId="76A9A579" w14:textId="77777777" w:rsidR="004C0823" w:rsidRPr="002D21EA" w:rsidRDefault="004C0823" w:rsidP="00115C14">
            <w:pPr>
              <w:pStyle w:val="TableText"/>
              <w:keepNext w:val="0"/>
              <w:rPr>
                <w:szCs w:val="20"/>
              </w:rPr>
            </w:pPr>
            <w:r w:rsidRPr="002D21EA">
              <w:rPr>
                <w:szCs w:val="20"/>
              </w:rPr>
              <w:t>AE of special interest, n (%)</w:t>
            </w:r>
          </w:p>
        </w:tc>
        <w:tc>
          <w:tcPr>
            <w:tcW w:w="857" w:type="pct"/>
            <w:tcBorders>
              <w:bottom w:val="single" w:sz="4" w:space="0" w:color="auto"/>
            </w:tcBorders>
            <w:vAlign w:val="center"/>
          </w:tcPr>
          <w:p w14:paraId="653E0DC3" w14:textId="77777777" w:rsidR="004C0823" w:rsidRPr="002D21EA" w:rsidRDefault="004C0823" w:rsidP="00115C14">
            <w:pPr>
              <w:pStyle w:val="TableText"/>
              <w:keepNext w:val="0"/>
              <w:jc w:val="center"/>
              <w:rPr>
                <w:szCs w:val="20"/>
              </w:rPr>
            </w:pPr>
            <w:r>
              <w:rPr>
                <w:szCs w:val="20"/>
              </w:rPr>
              <w:t>16 (4.8%)</w:t>
            </w:r>
          </w:p>
        </w:tc>
        <w:tc>
          <w:tcPr>
            <w:tcW w:w="858" w:type="pct"/>
            <w:tcBorders>
              <w:bottom w:val="single" w:sz="4" w:space="0" w:color="auto"/>
            </w:tcBorders>
            <w:vAlign w:val="center"/>
          </w:tcPr>
          <w:p w14:paraId="18A2E6F5" w14:textId="77777777" w:rsidR="004C0823" w:rsidRPr="002D21EA" w:rsidRDefault="004C0823" w:rsidP="00115C14">
            <w:pPr>
              <w:pStyle w:val="TableText"/>
              <w:keepNext w:val="0"/>
              <w:jc w:val="center"/>
              <w:rPr>
                <w:szCs w:val="20"/>
              </w:rPr>
            </w:pPr>
            <w:r>
              <w:rPr>
                <w:szCs w:val="20"/>
              </w:rPr>
              <w:t>23 (6.8%)</w:t>
            </w:r>
          </w:p>
        </w:tc>
        <w:tc>
          <w:tcPr>
            <w:tcW w:w="858" w:type="pct"/>
            <w:tcBorders>
              <w:bottom w:val="single" w:sz="4" w:space="0" w:color="auto"/>
            </w:tcBorders>
            <w:vAlign w:val="center"/>
          </w:tcPr>
          <w:p w14:paraId="3C82F4CF" w14:textId="77777777" w:rsidR="004C0823" w:rsidRPr="002D21EA" w:rsidRDefault="004C0823" w:rsidP="00115C14">
            <w:pPr>
              <w:pStyle w:val="TableText"/>
              <w:keepNext w:val="0"/>
              <w:jc w:val="center"/>
              <w:rPr>
                <w:szCs w:val="20"/>
              </w:rPr>
            </w:pPr>
            <w:r>
              <w:rPr>
                <w:szCs w:val="20"/>
              </w:rPr>
              <w:t>24 (7.3%)</w:t>
            </w:r>
          </w:p>
        </w:tc>
        <w:tc>
          <w:tcPr>
            <w:tcW w:w="858" w:type="pct"/>
            <w:tcBorders>
              <w:bottom w:val="single" w:sz="4" w:space="0" w:color="auto"/>
            </w:tcBorders>
            <w:vAlign w:val="center"/>
          </w:tcPr>
          <w:p w14:paraId="06F67EB2" w14:textId="77777777" w:rsidR="004C0823" w:rsidRPr="002D21EA" w:rsidRDefault="004C0823" w:rsidP="00115C14">
            <w:pPr>
              <w:pStyle w:val="TableText"/>
              <w:keepNext w:val="0"/>
              <w:jc w:val="center"/>
              <w:rPr>
                <w:szCs w:val="20"/>
              </w:rPr>
            </w:pPr>
            <w:r>
              <w:rPr>
                <w:szCs w:val="20"/>
              </w:rPr>
              <w:t>20 (6.1%)</w:t>
            </w:r>
          </w:p>
        </w:tc>
      </w:tr>
      <w:tr w:rsidR="004C0823" w:rsidRPr="002D21EA" w14:paraId="1C0BD5B0" w14:textId="77777777" w:rsidTr="00115C14">
        <w:trPr>
          <w:cantSplit/>
        </w:trPr>
        <w:tc>
          <w:tcPr>
            <w:tcW w:w="1569" w:type="pct"/>
            <w:tcBorders>
              <w:bottom w:val="nil"/>
            </w:tcBorders>
            <w:vAlign w:val="center"/>
          </w:tcPr>
          <w:p w14:paraId="46A1D411" w14:textId="77777777" w:rsidR="004C0823" w:rsidRPr="002D21EA" w:rsidRDefault="004C0823" w:rsidP="00115C14">
            <w:pPr>
              <w:pStyle w:val="TableText"/>
              <w:keepNext w:val="0"/>
              <w:rPr>
                <w:szCs w:val="20"/>
              </w:rPr>
            </w:pPr>
            <w:r w:rsidRPr="002D21EA">
              <w:rPr>
                <w:szCs w:val="20"/>
              </w:rPr>
              <w:t>Ocular adverse events, n (%)</w:t>
            </w:r>
          </w:p>
        </w:tc>
        <w:tc>
          <w:tcPr>
            <w:tcW w:w="857" w:type="pct"/>
            <w:tcBorders>
              <w:bottom w:val="nil"/>
            </w:tcBorders>
            <w:vAlign w:val="center"/>
          </w:tcPr>
          <w:p w14:paraId="49516F09" w14:textId="77777777" w:rsidR="004C0823" w:rsidRPr="002D21EA" w:rsidRDefault="004C0823" w:rsidP="00115C14">
            <w:pPr>
              <w:pStyle w:val="TableText"/>
              <w:keepNext w:val="0"/>
              <w:jc w:val="center"/>
              <w:rPr>
                <w:b/>
                <w:bCs w:val="0"/>
                <w:szCs w:val="20"/>
              </w:rPr>
            </w:pPr>
          </w:p>
        </w:tc>
        <w:tc>
          <w:tcPr>
            <w:tcW w:w="858" w:type="pct"/>
            <w:tcBorders>
              <w:bottom w:val="nil"/>
            </w:tcBorders>
            <w:vAlign w:val="center"/>
          </w:tcPr>
          <w:p w14:paraId="541D8476" w14:textId="77777777" w:rsidR="004C0823" w:rsidRPr="002D21EA" w:rsidRDefault="004C0823" w:rsidP="00115C14">
            <w:pPr>
              <w:pStyle w:val="TableText"/>
              <w:keepNext w:val="0"/>
              <w:jc w:val="center"/>
              <w:rPr>
                <w:b/>
                <w:bCs w:val="0"/>
                <w:szCs w:val="20"/>
              </w:rPr>
            </w:pPr>
          </w:p>
        </w:tc>
        <w:tc>
          <w:tcPr>
            <w:tcW w:w="858" w:type="pct"/>
            <w:tcBorders>
              <w:bottom w:val="nil"/>
            </w:tcBorders>
            <w:vAlign w:val="center"/>
          </w:tcPr>
          <w:p w14:paraId="0B6F74B1" w14:textId="77777777" w:rsidR="004C0823" w:rsidRPr="002D21EA" w:rsidRDefault="004C0823" w:rsidP="00115C14">
            <w:pPr>
              <w:pStyle w:val="TableText"/>
              <w:keepNext w:val="0"/>
              <w:jc w:val="center"/>
              <w:rPr>
                <w:b/>
                <w:bCs w:val="0"/>
                <w:szCs w:val="20"/>
              </w:rPr>
            </w:pPr>
          </w:p>
        </w:tc>
        <w:tc>
          <w:tcPr>
            <w:tcW w:w="858" w:type="pct"/>
            <w:tcBorders>
              <w:bottom w:val="nil"/>
            </w:tcBorders>
            <w:vAlign w:val="center"/>
          </w:tcPr>
          <w:p w14:paraId="4DDC6B43" w14:textId="77777777" w:rsidR="004C0823" w:rsidRPr="002D21EA" w:rsidRDefault="004C0823" w:rsidP="00115C14">
            <w:pPr>
              <w:pStyle w:val="TableText"/>
              <w:keepNext w:val="0"/>
              <w:jc w:val="center"/>
              <w:rPr>
                <w:b/>
                <w:bCs w:val="0"/>
                <w:szCs w:val="20"/>
              </w:rPr>
            </w:pPr>
          </w:p>
        </w:tc>
      </w:tr>
      <w:tr w:rsidR="004C0823" w:rsidRPr="002D21EA" w14:paraId="35C047EE" w14:textId="77777777" w:rsidTr="00115C14">
        <w:trPr>
          <w:cantSplit/>
        </w:trPr>
        <w:tc>
          <w:tcPr>
            <w:tcW w:w="1569" w:type="pct"/>
            <w:tcBorders>
              <w:top w:val="nil"/>
              <w:bottom w:val="nil"/>
            </w:tcBorders>
            <w:vAlign w:val="center"/>
          </w:tcPr>
          <w:p w14:paraId="0D118D71" w14:textId="77777777" w:rsidR="004C0823" w:rsidRPr="002D21EA" w:rsidRDefault="004C0823" w:rsidP="004C0823">
            <w:pPr>
              <w:pStyle w:val="TableText"/>
              <w:keepNext w:val="0"/>
              <w:numPr>
                <w:ilvl w:val="0"/>
                <w:numId w:val="14"/>
              </w:numPr>
              <w:ind w:left="170" w:hanging="170"/>
              <w:rPr>
                <w:szCs w:val="20"/>
              </w:rPr>
            </w:pPr>
            <w:r w:rsidRPr="002D21EA">
              <w:rPr>
                <w:szCs w:val="20"/>
              </w:rPr>
              <w:t>Any AE</w:t>
            </w:r>
          </w:p>
        </w:tc>
        <w:tc>
          <w:tcPr>
            <w:tcW w:w="857" w:type="pct"/>
            <w:tcBorders>
              <w:top w:val="nil"/>
              <w:bottom w:val="nil"/>
            </w:tcBorders>
            <w:vAlign w:val="center"/>
          </w:tcPr>
          <w:p w14:paraId="756BECFB" w14:textId="77777777" w:rsidR="004C0823" w:rsidRPr="002D21EA" w:rsidRDefault="004C0823" w:rsidP="00115C14">
            <w:pPr>
              <w:pStyle w:val="TableText"/>
              <w:keepNext w:val="0"/>
              <w:jc w:val="center"/>
              <w:rPr>
                <w:szCs w:val="20"/>
              </w:rPr>
            </w:pPr>
            <w:r>
              <w:rPr>
                <w:szCs w:val="20"/>
              </w:rPr>
              <w:t>183 (55.0%)</w:t>
            </w:r>
          </w:p>
        </w:tc>
        <w:tc>
          <w:tcPr>
            <w:tcW w:w="858" w:type="pct"/>
            <w:tcBorders>
              <w:top w:val="nil"/>
              <w:bottom w:val="nil"/>
            </w:tcBorders>
            <w:vAlign w:val="center"/>
          </w:tcPr>
          <w:p w14:paraId="486F5D95" w14:textId="77777777" w:rsidR="004C0823" w:rsidRPr="002D21EA" w:rsidRDefault="004C0823" w:rsidP="00115C14">
            <w:pPr>
              <w:pStyle w:val="TableText"/>
              <w:keepNext w:val="0"/>
              <w:jc w:val="center"/>
              <w:rPr>
                <w:szCs w:val="20"/>
              </w:rPr>
            </w:pPr>
            <w:r>
              <w:rPr>
                <w:szCs w:val="20"/>
              </w:rPr>
              <w:t>190 (56.5%)</w:t>
            </w:r>
          </w:p>
        </w:tc>
        <w:tc>
          <w:tcPr>
            <w:tcW w:w="858" w:type="pct"/>
            <w:tcBorders>
              <w:top w:val="nil"/>
              <w:bottom w:val="nil"/>
            </w:tcBorders>
            <w:vAlign w:val="center"/>
          </w:tcPr>
          <w:p w14:paraId="7365F577" w14:textId="77777777" w:rsidR="004C0823" w:rsidRPr="002D21EA" w:rsidRDefault="004C0823" w:rsidP="00115C14">
            <w:pPr>
              <w:pStyle w:val="TableText"/>
              <w:keepNext w:val="0"/>
              <w:jc w:val="center"/>
              <w:rPr>
                <w:szCs w:val="20"/>
              </w:rPr>
            </w:pPr>
            <w:r>
              <w:rPr>
                <w:szCs w:val="20"/>
              </w:rPr>
              <w:t>175 (52.9%)</w:t>
            </w:r>
          </w:p>
        </w:tc>
        <w:tc>
          <w:tcPr>
            <w:tcW w:w="858" w:type="pct"/>
            <w:tcBorders>
              <w:top w:val="nil"/>
              <w:bottom w:val="nil"/>
            </w:tcBorders>
            <w:vAlign w:val="center"/>
          </w:tcPr>
          <w:p w14:paraId="2986DC5B" w14:textId="77777777" w:rsidR="004C0823" w:rsidRPr="002D21EA" w:rsidRDefault="004C0823" w:rsidP="00115C14">
            <w:pPr>
              <w:pStyle w:val="TableText"/>
              <w:keepNext w:val="0"/>
              <w:jc w:val="center"/>
              <w:rPr>
                <w:szCs w:val="20"/>
              </w:rPr>
            </w:pPr>
            <w:r>
              <w:rPr>
                <w:szCs w:val="20"/>
              </w:rPr>
              <w:t>155 (47.5%)</w:t>
            </w:r>
          </w:p>
        </w:tc>
      </w:tr>
      <w:tr w:rsidR="004C0823" w:rsidRPr="002D21EA" w14:paraId="7CABE2BE" w14:textId="77777777" w:rsidTr="00115C14">
        <w:trPr>
          <w:cantSplit/>
        </w:trPr>
        <w:tc>
          <w:tcPr>
            <w:tcW w:w="1569" w:type="pct"/>
            <w:tcBorders>
              <w:top w:val="nil"/>
              <w:bottom w:val="nil"/>
            </w:tcBorders>
            <w:vAlign w:val="center"/>
          </w:tcPr>
          <w:p w14:paraId="2C944A22" w14:textId="77777777" w:rsidR="004C0823" w:rsidRPr="002D21EA" w:rsidRDefault="004C0823" w:rsidP="004C0823">
            <w:pPr>
              <w:pStyle w:val="TableText"/>
              <w:keepNext w:val="0"/>
              <w:numPr>
                <w:ilvl w:val="0"/>
                <w:numId w:val="14"/>
              </w:numPr>
              <w:ind w:left="170" w:hanging="170"/>
              <w:rPr>
                <w:szCs w:val="20"/>
              </w:rPr>
            </w:pPr>
            <w:r w:rsidRPr="002D21EA">
              <w:rPr>
                <w:szCs w:val="20"/>
              </w:rPr>
              <w:t>Serious AEs</w:t>
            </w:r>
          </w:p>
        </w:tc>
        <w:tc>
          <w:tcPr>
            <w:tcW w:w="857" w:type="pct"/>
            <w:tcBorders>
              <w:top w:val="nil"/>
              <w:bottom w:val="nil"/>
            </w:tcBorders>
            <w:vAlign w:val="center"/>
          </w:tcPr>
          <w:p w14:paraId="4FECB791" w14:textId="77777777" w:rsidR="004C0823" w:rsidRPr="002D21EA" w:rsidRDefault="004C0823" w:rsidP="00115C14">
            <w:pPr>
              <w:pStyle w:val="TableText"/>
              <w:keepNext w:val="0"/>
              <w:jc w:val="center"/>
              <w:rPr>
                <w:szCs w:val="20"/>
              </w:rPr>
            </w:pPr>
            <w:r>
              <w:rPr>
                <w:szCs w:val="20"/>
              </w:rPr>
              <w:t>14 (4.2%)</w:t>
            </w:r>
          </w:p>
        </w:tc>
        <w:tc>
          <w:tcPr>
            <w:tcW w:w="858" w:type="pct"/>
            <w:tcBorders>
              <w:top w:val="nil"/>
              <w:bottom w:val="nil"/>
            </w:tcBorders>
            <w:vAlign w:val="center"/>
          </w:tcPr>
          <w:p w14:paraId="474B1EE0" w14:textId="77777777" w:rsidR="004C0823" w:rsidRPr="002D21EA" w:rsidRDefault="004C0823" w:rsidP="00115C14">
            <w:pPr>
              <w:pStyle w:val="TableText"/>
              <w:keepNext w:val="0"/>
              <w:jc w:val="center"/>
              <w:rPr>
                <w:szCs w:val="20"/>
              </w:rPr>
            </w:pPr>
            <w:r>
              <w:rPr>
                <w:szCs w:val="20"/>
              </w:rPr>
              <w:t>13 (3.9%)</w:t>
            </w:r>
          </w:p>
        </w:tc>
        <w:tc>
          <w:tcPr>
            <w:tcW w:w="858" w:type="pct"/>
            <w:tcBorders>
              <w:top w:val="nil"/>
              <w:bottom w:val="nil"/>
            </w:tcBorders>
            <w:vAlign w:val="center"/>
          </w:tcPr>
          <w:p w14:paraId="27EC521D" w14:textId="77777777" w:rsidR="004C0823" w:rsidRPr="002D21EA" w:rsidRDefault="004C0823" w:rsidP="00115C14">
            <w:pPr>
              <w:pStyle w:val="TableText"/>
              <w:keepNext w:val="0"/>
              <w:jc w:val="center"/>
              <w:rPr>
                <w:szCs w:val="20"/>
              </w:rPr>
            </w:pPr>
            <w:r>
              <w:rPr>
                <w:szCs w:val="20"/>
              </w:rPr>
              <w:t>15 (4.5%)</w:t>
            </w:r>
          </w:p>
        </w:tc>
        <w:tc>
          <w:tcPr>
            <w:tcW w:w="858" w:type="pct"/>
            <w:tcBorders>
              <w:top w:val="nil"/>
              <w:bottom w:val="nil"/>
            </w:tcBorders>
            <w:vAlign w:val="center"/>
          </w:tcPr>
          <w:p w14:paraId="3016FB1A" w14:textId="77777777" w:rsidR="004C0823" w:rsidRPr="002D21EA" w:rsidRDefault="004C0823" w:rsidP="00115C14">
            <w:pPr>
              <w:pStyle w:val="TableText"/>
              <w:keepNext w:val="0"/>
              <w:jc w:val="center"/>
              <w:rPr>
                <w:szCs w:val="20"/>
              </w:rPr>
            </w:pPr>
            <w:r>
              <w:rPr>
                <w:szCs w:val="20"/>
              </w:rPr>
              <w:t>16 (4.9%)</w:t>
            </w:r>
          </w:p>
        </w:tc>
      </w:tr>
      <w:tr w:rsidR="004C0823" w:rsidRPr="002D21EA" w14:paraId="77ACE575" w14:textId="77777777" w:rsidTr="00115C14">
        <w:trPr>
          <w:cantSplit/>
          <w:trHeight w:val="70"/>
        </w:trPr>
        <w:tc>
          <w:tcPr>
            <w:tcW w:w="1569" w:type="pct"/>
            <w:tcBorders>
              <w:top w:val="nil"/>
              <w:bottom w:val="nil"/>
            </w:tcBorders>
            <w:vAlign w:val="center"/>
          </w:tcPr>
          <w:p w14:paraId="69268C1B" w14:textId="77777777" w:rsidR="004C0823" w:rsidRPr="002D21EA" w:rsidRDefault="004C0823" w:rsidP="004C0823">
            <w:pPr>
              <w:pStyle w:val="TableText"/>
              <w:keepNext w:val="0"/>
              <w:numPr>
                <w:ilvl w:val="0"/>
                <w:numId w:val="14"/>
              </w:numPr>
              <w:ind w:left="170" w:hanging="170"/>
              <w:rPr>
                <w:szCs w:val="20"/>
              </w:rPr>
            </w:pPr>
            <w:r w:rsidRPr="002D21EA">
              <w:rPr>
                <w:szCs w:val="20"/>
              </w:rPr>
              <w:t>AE leading to treatment withdrawal</w:t>
            </w:r>
          </w:p>
        </w:tc>
        <w:tc>
          <w:tcPr>
            <w:tcW w:w="857" w:type="pct"/>
            <w:tcBorders>
              <w:top w:val="nil"/>
              <w:bottom w:val="nil"/>
            </w:tcBorders>
            <w:vAlign w:val="center"/>
          </w:tcPr>
          <w:p w14:paraId="06D9D608" w14:textId="77777777" w:rsidR="004C0823" w:rsidRPr="002D21EA" w:rsidRDefault="004C0823" w:rsidP="00115C14">
            <w:pPr>
              <w:pStyle w:val="TableText"/>
              <w:keepNext w:val="0"/>
              <w:jc w:val="center"/>
              <w:rPr>
                <w:szCs w:val="20"/>
              </w:rPr>
            </w:pPr>
          </w:p>
        </w:tc>
        <w:tc>
          <w:tcPr>
            <w:tcW w:w="858" w:type="pct"/>
            <w:tcBorders>
              <w:top w:val="nil"/>
              <w:bottom w:val="nil"/>
            </w:tcBorders>
            <w:vAlign w:val="center"/>
          </w:tcPr>
          <w:p w14:paraId="6DF4ABCC" w14:textId="77777777" w:rsidR="004C0823" w:rsidRPr="002D21EA" w:rsidRDefault="004C0823" w:rsidP="00115C14">
            <w:pPr>
              <w:pStyle w:val="TableText"/>
              <w:keepNext w:val="0"/>
              <w:jc w:val="center"/>
              <w:rPr>
                <w:szCs w:val="20"/>
              </w:rPr>
            </w:pPr>
          </w:p>
        </w:tc>
        <w:tc>
          <w:tcPr>
            <w:tcW w:w="858" w:type="pct"/>
            <w:tcBorders>
              <w:top w:val="nil"/>
              <w:bottom w:val="nil"/>
            </w:tcBorders>
            <w:vAlign w:val="center"/>
          </w:tcPr>
          <w:p w14:paraId="5E6FA878" w14:textId="77777777" w:rsidR="004C0823" w:rsidRPr="002D21EA" w:rsidRDefault="004C0823" w:rsidP="00115C14">
            <w:pPr>
              <w:pStyle w:val="TableText"/>
              <w:keepNext w:val="0"/>
              <w:jc w:val="center"/>
              <w:rPr>
                <w:szCs w:val="20"/>
              </w:rPr>
            </w:pPr>
          </w:p>
        </w:tc>
        <w:tc>
          <w:tcPr>
            <w:tcW w:w="858" w:type="pct"/>
            <w:tcBorders>
              <w:top w:val="nil"/>
              <w:bottom w:val="nil"/>
            </w:tcBorders>
            <w:vAlign w:val="center"/>
          </w:tcPr>
          <w:p w14:paraId="7C9EEB11" w14:textId="77777777" w:rsidR="004C0823" w:rsidRPr="002D21EA" w:rsidRDefault="004C0823" w:rsidP="00115C14">
            <w:pPr>
              <w:pStyle w:val="TableText"/>
              <w:keepNext w:val="0"/>
              <w:jc w:val="center"/>
              <w:rPr>
                <w:szCs w:val="20"/>
              </w:rPr>
            </w:pPr>
          </w:p>
        </w:tc>
      </w:tr>
      <w:tr w:rsidR="004C0823" w:rsidRPr="002D21EA" w14:paraId="582033D1" w14:textId="77777777" w:rsidTr="00115C14">
        <w:trPr>
          <w:cantSplit/>
        </w:trPr>
        <w:tc>
          <w:tcPr>
            <w:tcW w:w="1569" w:type="pct"/>
            <w:tcBorders>
              <w:top w:val="nil"/>
              <w:bottom w:val="nil"/>
            </w:tcBorders>
            <w:vAlign w:val="center"/>
          </w:tcPr>
          <w:p w14:paraId="3EEBA421" w14:textId="77777777" w:rsidR="004C0823" w:rsidRPr="002D21EA" w:rsidRDefault="004C0823" w:rsidP="004C0823">
            <w:pPr>
              <w:pStyle w:val="TableText"/>
              <w:keepNext w:val="0"/>
              <w:numPr>
                <w:ilvl w:val="0"/>
                <w:numId w:val="14"/>
              </w:numPr>
              <w:ind w:left="170" w:hanging="170"/>
              <w:rPr>
                <w:szCs w:val="20"/>
              </w:rPr>
            </w:pPr>
            <w:r w:rsidRPr="002D21EA">
              <w:rPr>
                <w:szCs w:val="20"/>
              </w:rPr>
              <w:t>Treatment-related AEs</w:t>
            </w:r>
          </w:p>
        </w:tc>
        <w:tc>
          <w:tcPr>
            <w:tcW w:w="857" w:type="pct"/>
            <w:tcBorders>
              <w:top w:val="nil"/>
              <w:bottom w:val="nil"/>
            </w:tcBorders>
            <w:vAlign w:val="center"/>
          </w:tcPr>
          <w:p w14:paraId="71044BBE" w14:textId="77777777" w:rsidR="004C0823" w:rsidRPr="002D21EA" w:rsidRDefault="004C0823" w:rsidP="00115C14">
            <w:pPr>
              <w:pStyle w:val="TableText"/>
              <w:keepNext w:val="0"/>
              <w:jc w:val="center"/>
              <w:rPr>
                <w:szCs w:val="20"/>
              </w:rPr>
            </w:pPr>
            <w:r>
              <w:rPr>
                <w:szCs w:val="20"/>
              </w:rPr>
              <w:t>14 (4.2%)</w:t>
            </w:r>
          </w:p>
        </w:tc>
        <w:tc>
          <w:tcPr>
            <w:tcW w:w="858" w:type="pct"/>
            <w:tcBorders>
              <w:top w:val="nil"/>
              <w:bottom w:val="nil"/>
            </w:tcBorders>
            <w:vAlign w:val="center"/>
          </w:tcPr>
          <w:p w14:paraId="4CDABC59" w14:textId="77777777" w:rsidR="004C0823" w:rsidRPr="002D21EA" w:rsidRDefault="004C0823" w:rsidP="00115C14">
            <w:pPr>
              <w:pStyle w:val="TableText"/>
              <w:keepNext w:val="0"/>
              <w:jc w:val="center"/>
              <w:rPr>
                <w:szCs w:val="20"/>
              </w:rPr>
            </w:pPr>
            <w:r>
              <w:rPr>
                <w:szCs w:val="20"/>
              </w:rPr>
              <w:t>9 (2.7%)</w:t>
            </w:r>
          </w:p>
        </w:tc>
        <w:tc>
          <w:tcPr>
            <w:tcW w:w="858" w:type="pct"/>
            <w:tcBorders>
              <w:top w:val="nil"/>
              <w:bottom w:val="nil"/>
            </w:tcBorders>
            <w:vAlign w:val="center"/>
          </w:tcPr>
          <w:p w14:paraId="7E7873C7" w14:textId="77777777" w:rsidR="004C0823" w:rsidRPr="002D21EA" w:rsidRDefault="004C0823" w:rsidP="00115C14">
            <w:pPr>
              <w:pStyle w:val="TableText"/>
              <w:keepNext w:val="0"/>
              <w:jc w:val="center"/>
              <w:rPr>
                <w:szCs w:val="20"/>
              </w:rPr>
            </w:pPr>
            <w:r>
              <w:rPr>
                <w:szCs w:val="20"/>
              </w:rPr>
              <w:t>12 (3.6%)</w:t>
            </w:r>
          </w:p>
        </w:tc>
        <w:tc>
          <w:tcPr>
            <w:tcW w:w="858" w:type="pct"/>
            <w:tcBorders>
              <w:top w:val="nil"/>
              <w:bottom w:val="nil"/>
            </w:tcBorders>
            <w:vAlign w:val="center"/>
          </w:tcPr>
          <w:p w14:paraId="6DFE8423" w14:textId="77777777" w:rsidR="004C0823" w:rsidRPr="002D21EA" w:rsidRDefault="004C0823" w:rsidP="00115C14">
            <w:pPr>
              <w:pStyle w:val="TableText"/>
              <w:keepNext w:val="0"/>
              <w:jc w:val="center"/>
              <w:rPr>
                <w:szCs w:val="20"/>
              </w:rPr>
            </w:pPr>
            <w:r>
              <w:rPr>
                <w:szCs w:val="20"/>
              </w:rPr>
              <w:t>10 (3.1%)</w:t>
            </w:r>
          </w:p>
        </w:tc>
      </w:tr>
      <w:tr w:rsidR="004C0823" w:rsidRPr="002D21EA" w14:paraId="35CD35F5" w14:textId="77777777" w:rsidTr="00115C14">
        <w:trPr>
          <w:cantSplit/>
        </w:trPr>
        <w:tc>
          <w:tcPr>
            <w:tcW w:w="1569" w:type="pct"/>
            <w:tcBorders>
              <w:top w:val="nil"/>
              <w:bottom w:val="single" w:sz="4" w:space="0" w:color="auto"/>
            </w:tcBorders>
            <w:vAlign w:val="center"/>
          </w:tcPr>
          <w:p w14:paraId="6670B190" w14:textId="77777777" w:rsidR="004C0823" w:rsidRPr="002D21EA" w:rsidRDefault="004C0823" w:rsidP="004C0823">
            <w:pPr>
              <w:pStyle w:val="TableText"/>
              <w:keepNext w:val="0"/>
              <w:numPr>
                <w:ilvl w:val="0"/>
                <w:numId w:val="14"/>
              </w:numPr>
              <w:ind w:left="170" w:hanging="170"/>
              <w:rPr>
                <w:szCs w:val="20"/>
              </w:rPr>
            </w:pPr>
            <w:r w:rsidRPr="002D21EA">
              <w:rPr>
                <w:szCs w:val="20"/>
              </w:rPr>
              <w:t>Treatment-related serious AEs</w:t>
            </w:r>
          </w:p>
        </w:tc>
        <w:tc>
          <w:tcPr>
            <w:tcW w:w="857" w:type="pct"/>
            <w:tcBorders>
              <w:top w:val="nil"/>
              <w:bottom w:val="single" w:sz="4" w:space="0" w:color="auto"/>
            </w:tcBorders>
            <w:vAlign w:val="center"/>
          </w:tcPr>
          <w:p w14:paraId="0C58DCF3" w14:textId="77777777" w:rsidR="004C0823" w:rsidRPr="002D21EA" w:rsidRDefault="004C0823" w:rsidP="00115C14">
            <w:pPr>
              <w:pStyle w:val="TableText"/>
              <w:keepNext w:val="0"/>
              <w:jc w:val="center"/>
              <w:rPr>
                <w:szCs w:val="20"/>
              </w:rPr>
            </w:pPr>
            <w:r>
              <w:rPr>
                <w:szCs w:val="20"/>
              </w:rPr>
              <w:t>4 (1.2%)</w:t>
            </w:r>
          </w:p>
        </w:tc>
        <w:tc>
          <w:tcPr>
            <w:tcW w:w="858" w:type="pct"/>
            <w:tcBorders>
              <w:top w:val="nil"/>
              <w:bottom w:val="single" w:sz="4" w:space="0" w:color="auto"/>
            </w:tcBorders>
            <w:vAlign w:val="center"/>
          </w:tcPr>
          <w:p w14:paraId="4820FE83" w14:textId="77777777" w:rsidR="004C0823" w:rsidRPr="002D21EA" w:rsidRDefault="004C0823" w:rsidP="00115C14">
            <w:pPr>
              <w:pStyle w:val="TableText"/>
              <w:keepNext w:val="0"/>
              <w:jc w:val="center"/>
              <w:rPr>
                <w:szCs w:val="20"/>
              </w:rPr>
            </w:pPr>
            <w:r>
              <w:rPr>
                <w:szCs w:val="20"/>
              </w:rPr>
              <w:t>0</w:t>
            </w:r>
          </w:p>
        </w:tc>
        <w:tc>
          <w:tcPr>
            <w:tcW w:w="858" w:type="pct"/>
            <w:tcBorders>
              <w:top w:val="nil"/>
              <w:bottom w:val="single" w:sz="4" w:space="0" w:color="auto"/>
            </w:tcBorders>
            <w:vAlign w:val="center"/>
          </w:tcPr>
          <w:p w14:paraId="34D0D62F" w14:textId="77777777" w:rsidR="004C0823" w:rsidRPr="002D21EA" w:rsidRDefault="004C0823" w:rsidP="00115C14">
            <w:pPr>
              <w:pStyle w:val="TableText"/>
              <w:keepNext w:val="0"/>
              <w:jc w:val="center"/>
              <w:rPr>
                <w:szCs w:val="20"/>
              </w:rPr>
            </w:pPr>
            <w:r>
              <w:rPr>
                <w:szCs w:val="20"/>
              </w:rPr>
              <w:t>6 (1.8%)</w:t>
            </w:r>
          </w:p>
        </w:tc>
        <w:tc>
          <w:tcPr>
            <w:tcW w:w="858" w:type="pct"/>
            <w:tcBorders>
              <w:top w:val="nil"/>
              <w:bottom w:val="single" w:sz="4" w:space="0" w:color="auto"/>
            </w:tcBorders>
            <w:vAlign w:val="center"/>
          </w:tcPr>
          <w:p w14:paraId="4AB5A6CF" w14:textId="77777777" w:rsidR="004C0823" w:rsidRPr="002D21EA" w:rsidRDefault="004C0823" w:rsidP="00115C14">
            <w:pPr>
              <w:pStyle w:val="TableText"/>
              <w:keepNext w:val="0"/>
              <w:jc w:val="center"/>
              <w:rPr>
                <w:szCs w:val="20"/>
              </w:rPr>
            </w:pPr>
            <w:r>
              <w:rPr>
                <w:szCs w:val="20"/>
              </w:rPr>
              <w:t>2 (0.6%)</w:t>
            </w:r>
          </w:p>
        </w:tc>
      </w:tr>
      <w:tr w:rsidR="004C0823" w:rsidRPr="002D21EA" w14:paraId="364BE09A" w14:textId="77777777" w:rsidTr="00115C14">
        <w:trPr>
          <w:cantSplit/>
        </w:trPr>
        <w:tc>
          <w:tcPr>
            <w:tcW w:w="1569" w:type="pct"/>
            <w:tcBorders>
              <w:bottom w:val="nil"/>
            </w:tcBorders>
            <w:vAlign w:val="center"/>
          </w:tcPr>
          <w:p w14:paraId="1C9BBAEB" w14:textId="77777777" w:rsidR="004C0823" w:rsidRPr="002D21EA" w:rsidRDefault="004C0823" w:rsidP="00115C14">
            <w:pPr>
              <w:pStyle w:val="TableText"/>
              <w:keepNext w:val="0"/>
              <w:rPr>
                <w:szCs w:val="20"/>
              </w:rPr>
            </w:pPr>
            <w:r w:rsidRPr="002D21EA">
              <w:rPr>
                <w:szCs w:val="20"/>
              </w:rPr>
              <w:t>Ocular AEs of special interest, n (%)</w:t>
            </w:r>
          </w:p>
        </w:tc>
        <w:tc>
          <w:tcPr>
            <w:tcW w:w="857" w:type="pct"/>
            <w:tcBorders>
              <w:bottom w:val="nil"/>
            </w:tcBorders>
          </w:tcPr>
          <w:p w14:paraId="1D5E84B7" w14:textId="77777777" w:rsidR="004C0823" w:rsidRPr="002D21EA" w:rsidRDefault="004C0823" w:rsidP="00115C14">
            <w:pPr>
              <w:pStyle w:val="TableText"/>
              <w:keepNext w:val="0"/>
              <w:jc w:val="center"/>
              <w:rPr>
                <w:szCs w:val="20"/>
              </w:rPr>
            </w:pPr>
            <w:r>
              <w:rPr>
                <w:szCs w:val="20"/>
              </w:rPr>
              <w:t>12 (3.6%)</w:t>
            </w:r>
          </w:p>
        </w:tc>
        <w:tc>
          <w:tcPr>
            <w:tcW w:w="858" w:type="pct"/>
            <w:tcBorders>
              <w:bottom w:val="nil"/>
            </w:tcBorders>
          </w:tcPr>
          <w:p w14:paraId="4E1634ED" w14:textId="77777777" w:rsidR="004C0823" w:rsidRPr="002D21EA" w:rsidRDefault="004C0823" w:rsidP="00115C14">
            <w:pPr>
              <w:pStyle w:val="TableText"/>
              <w:keepNext w:val="0"/>
              <w:jc w:val="center"/>
              <w:rPr>
                <w:szCs w:val="20"/>
              </w:rPr>
            </w:pPr>
            <w:r>
              <w:rPr>
                <w:szCs w:val="20"/>
              </w:rPr>
              <w:t>13 (3.9%)</w:t>
            </w:r>
          </w:p>
        </w:tc>
        <w:tc>
          <w:tcPr>
            <w:tcW w:w="858" w:type="pct"/>
            <w:tcBorders>
              <w:bottom w:val="nil"/>
            </w:tcBorders>
          </w:tcPr>
          <w:p w14:paraId="44F936C6" w14:textId="77777777" w:rsidR="004C0823" w:rsidRPr="002D21EA" w:rsidRDefault="004C0823" w:rsidP="00115C14">
            <w:pPr>
              <w:pStyle w:val="TableText"/>
              <w:keepNext w:val="0"/>
              <w:jc w:val="center"/>
              <w:rPr>
                <w:szCs w:val="20"/>
              </w:rPr>
            </w:pPr>
            <w:r>
              <w:rPr>
                <w:szCs w:val="20"/>
              </w:rPr>
              <w:t>13 (3.9%)</w:t>
            </w:r>
          </w:p>
        </w:tc>
        <w:tc>
          <w:tcPr>
            <w:tcW w:w="858" w:type="pct"/>
            <w:tcBorders>
              <w:bottom w:val="nil"/>
            </w:tcBorders>
          </w:tcPr>
          <w:p w14:paraId="27B71921" w14:textId="77777777" w:rsidR="004C0823" w:rsidRPr="002D21EA" w:rsidRDefault="004C0823" w:rsidP="00115C14">
            <w:pPr>
              <w:pStyle w:val="TableText"/>
              <w:keepNext w:val="0"/>
              <w:jc w:val="center"/>
              <w:rPr>
                <w:szCs w:val="20"/>
              </w:rPr>
            </w:pPr>
            <w:r>
              <w:rPr>
                <w:szCs w:val="20"/>
              </w:rPr>
              <w:t>14 (4.3%)</w:t>
            </w:r>
          </w:p>
        </w:tc>
      </w:tr>
      <w:tr w:rsidR="004C0823" w:rsidRPr="002D21EA" w14:paraId="6CCDFC7C" w14:textId="77777777" w:rsidTr="00115C14">
        <w:trPr>
          <w:cantSplit/>
        </w:trPr>
        <w:tc>
          <w:tcPr>
            <w:tcW w:w="1569" w:type="pct"/>
            <w:tcBorders>
              <w:top w:val="nil"/>
              <w:bottom w:val="nil"/>
            </w:tcBorders>
            <w:vAlign w:val="center"/>
          </w:tcPr>
          <w:p w14:paraId="17F45714" w14:textId="77777777" w:rsidR="004C0823" w:rsidRPr="002D21EA" w:rsidRDefault="004C0823" w:rsidP="004C0823">
            <w:pPr>
              <w:pStyle w:val="TableText"/>
              <w:keepNext w:val="0"/>
              <w:numPr>
                <w:ilvl w:val="0"/>
                <w:numId w:val="14"/>
              </w:numPr>
              <w:ind w:left="170" w:hanging="170"/>
              <w:rPr>
                <w:szCs w:val="20"/>
              </w:rPr>
            </w:pPr>
            <w:r w:rsidRPr="002D21EA">
              <w:rPr>
                <w:szCs w:val="20"/>
              </w:rPr>
              <w:t>Drop in VA score ≥30</w:t>
            </w:r>
          </w:p>
        </w:tc>
        <w:tc>
          <w:tcPr>
            <w:tcW w:w="857" w:type="pct"/>
            <w:tcBorders>
              <w:top w:val="nil"/>
              <w:bottom w:val="nil"/>
            </w:tcBorders>
          </w:tcPr>
          <w:p w14:paraId="13BD59A8" w14:textId="77777777" w:rsidR="004C0823" w:rsidRPr="002D21EA" w:rsidRDefault="004C0823" w:rsidP="00115C14">
            <w:pPr>
              <w:pStyle w:val="TableText"/>
              <w:keepNext w:val="0"/>
              <w:jc w:val="center"/>
              <w:rPr>
                <w:szCs w:val="20"/>
              </w:rPr>
            </w:pPr>
            <w:r>
              <w:rPr>
                <w:szCs w:val="20"/>
              </w:rPr>
              <w:t>9 (2.7%)</w:t>
            </w:r>
          </w:p>
        </w:tc>
        <w:tc>
          <w:tcPr>
            <w:tcW w:w="858" w:type="pct"/>
            <w:tcBorders>
              <w:top w:val="nil"/>
              <w:bottom w:val="nil"/>
            </w:tcBorders>
          </w:tcPr>
          <w:p w14:paraId="62254F21" w14:textId="77777777" w:rsidR="004C0823" w:rsidRPr="002D21EA" w:rsidRDefault="004C0823" w:rsidP="00115C14">
            <w:pPr>
              <w:pStyle w:val="TableText"/>
              <w:keepNext w:val="0"/>
              <w:jc w:val="center"/>
              <w:rPr>
                <w:szCs w:val="20"/>
              </w:rPr>
            </w:pPr>
            <w:r>
              <w:rPr>
                <w:szCs w:val="20"/>
              </w:rPr>
              <w:t>10 (3.0%)</w:t>
            </w:r>
          </w:p>
        </w:tc>
        <w:tc>
          <w:tcPr>
            <w:tcW w:w="858" w:type="pct"/>
            <w:tcBorders>
              <w:top w:val="nil"/>
              <w:bottom w:val="nil"/>
            </w:tcBorders>
          </w:tcPr>
          <w:p w14:paraId="4C59A1AB" w14:textId="77777777" w:rsidR="004C0823" w:rsidRPr="002D21EA" w:rsidRDefault="004C0823" w:rsidP="00115C14">
            <w:pPr>
              <w:pStyle w:val="TableText"/>
              <w:keepNext w:val="0"/>
              <w:jc w:val="center"/>
              <w:rPr>
                <w:szCs w:val="20"/>
              </w:rPr>
            </w:pPr>
            <w:r>
              <w:rPr>
                <w:szCs w:val="20"/>
              </w:rPr>
              <w:t>9 (2.7%)</w:t>
            </w:r>
          </w:p>
        </w:tc>
        <w:tc>
          <w:tcPr>
            <w:tcW w:w="858" w:type="pct"/>
            <w:tcBorders>
              <w:top w:val="nil"/>
              <w:bottom w:val="nil"/>
            </w:tcBorders>
          </w:tcPr>
          <w:p w14:paraId="259C008E" w14:textId="77777777" w:rsidR="004C0823" w:rsidRPr="002D21EA" w:rsidRDefault="004C0823" w:rsidP="00115C14">
            <w:pPr>
              <w:pStyle w:val="TableText"/>
              <w:keepNext w:val="0"/>
              <w:jc w:val="center"/>
              <w:rPr>
                <w:szCs w:val="20"/>
              </w:rPr>
            </w:pPr>
            <w:r>
              <w:rPr>
                <w:szCs w:val="20"/>
              </w:rPr>
              <w:t>10 (3.1%)</w:t>
            </w:r>
          </w:p>
        </w:tc>
      </w:tr>
      <w:tr w:rsidR="004C0823" w:rsidRPr="002D21EA" w14:paraId="0068A71E" w14:textId="77777777" w:rsidTr="00115C14">
        <w:trPr>
          <w:cantSplit/>
        </w:trPr>
        <w:tc>
          <w:tcPr>
            <w:tcW w:w="1569" w:type="pct"/>
            <w:tcBorders>
              <w:top w:val="nil"/>
              <w:bottom w:val="nil"/>
            </w:tcBorders>
            <w:vAlign w:val="center"/>
          </w:tcPr>
          <w:p w14:paraId="355C0407" w14:textId="77777777" w:rsidR="004C0823" w:rsidRPr="002D21EA" w:rsidRDefault="004C0823" w:rsidP="004C0823">
            <w:pPr>
              <w:pStyle w:val="TableText"/>
              <w:keepNext w:val="0"/>
              <w:numPr>
                <w:ilvl w:val="0"/>
                <w:numId w:val="14"/>
              </w:numPr>
              <w:ind w:left="170" w:hanging="170"/>
              <w:rPr>
                <w:szCs w:val="20"/>
              </w:rPr>
            </w:pPr>
            <w:r w:rsidRPr="002D21EA">
              <w:rPr>
                <w:szCs w:val="20"/>
              </w:rPr>
              <w:t xml:space="preserve">Associated with severe intraocular inflammation </w:t>
            </w:r>
          </w:p>
        </w:tc>
        <w:tc>
          <w:tcPr>
            <w:tcW w:w="857" w:type="pct"/>
            <w:tcBorders>
              <w:top w:val="nil"/>
              <w:bottom w:val="nil"/>
            </w:tcBorders>
          </w:tcPr>
          <w:p w14:paraId="26135870" w14:textId="77777777" w:rsidR="004C0823" w:rsidRPr="002D21EA" w:rsidRDefault="004C0823" w:rsidP="00115C14">
            <w:pPr>
              <w:pStyle w:val="TableText"/>
              <w:keepNext w:val="0"/>
              <w:jc w:val="center"/>
              <w:rPr>
                <w:szCs w:val="20"/>
              </w:rPr>
            </w:pPr>
            <w:r>
              <w:rPr>
                <w:szCs w:val="20"/>
              </w:rPr>
              <w:t>1 (0.3%)</w:t>
            </w:r>
          </w:p>
        </w:tc>
        <w:tc>
          <w:tcPr>
            <w:tcW w:w="858" w:type="pct"/>
            <w:tcBorders>
              <w:top w:val="nil"/>
              <w:bottom w:val="nil"/>
            </w:tcBorders>
          </w:tcPr>
          <w:p w14:paraId="4F3476A3" w14:textId="77777777" w:rsidR="004C0823" w:rsidRPr="002D21EA" w:rsidRDefault="004C0823" w:rsidP="00115C14">
            <w:pPr>
              <w:pStyle w:val="TableText"/>
              <w:keepNext w:val="0"/>
              <w:jc w:val="center"/>
              <w:rPr>
                <w:szCs w:val="20"/>
              </w:rPr>
            </w:pPr>
            <w:r>
              <w:rPr>
                <w:szCs w:val="20"/>
              </w:rPr>
              <w:t>1 (0.3%)</w:t>
            </w:r>
          </w:p>
        </w:tc>
        <w:tc>
          <w:tcPr>
            <w:tcW w:w="858" w:type="pct"/>
            <w:tcBorders>
              <w:top w:val="nil"/>
              <w:bottom w:val="nil"/>
            </w:tcBorders>
          </w:tcPr>
          <w:p w14:paraId="2AB81CAA" w14:textId="77777777" w:rsidR="004C0823" w:rsidRPr="002D21EA" w:rsidRDefault="004C0823" w:rsidP="00115C14">
            <w:pPr>
              <w:pStyle w:val="TableText"/>
              <w:keepNext w:val="0"/>
              <w:jc w:val="center"/>
              <w:rPr>
                <w:szCs w:val="20"/>
              </w:rPr>
            </w:pPr>
            <w:r>
              <w:rPr>
                <w:szCs w:val="20"/>
              </w:rPr>
              <w:t>2 (0.6%)</w:t>
            </w:r>
          </w:p>
        </w:tc>
        <w:tc>
          <w:tcPr>
            <w:tcW w:w="858" w:type="pct"/>
            <w:tcBorders>
              <w:top w:val="nil"/>
              <w:bottom w:val="nil"/>
            </w:tcBorders>
          </w:tcPr>
          <w:p w14:paraId="74306A3D" w14:textId="77777777" w:rsidR="004C0823" w:rsidRPr="002D21EA" w:rsidRDefault="004C0823" w:rsidP="00115C14">
            <w:pPr>
              <w:pStyle w:val="TableText"/>
              <w:keepNext w:val="0"/>
              <w:jc w:val="center"/>
              <w:rPr>
                <w:szCs w:val="20"/>
              </w:rPr>
            </w:pPr>
            <w:r>
              <w:rPr>
                <w:szCs w:val="20"/>
              </w:rPr>
              <w:t>1 (0.3%)</w:t>
            </w:r>
          </w:p>
        </w:tc>
      </w:tr>
      <w:tr w:rsidR="004C0823" w:rsidRPr="002D21EA" w14:paraId="57F9C2B5" w14:textId="77777777" w:rsidTr="00115C14">
        <w:trPr>
          <w:cantSplit/>
        </w:trPr>
        <w:tc>
          <w:tcPr>
            <w:tcW w:w="1569" w:type="pct"/>
            <w:tcBorders>
              <w:top w:val="nil"/>
              <w:bottom w:val="single" w:sz="4" w:space="0" w:color="auto"/>
            </w:tcBorders>
            <w:vAlign w:val="center"/>
          </w:tcPr>
          <w:p w14:paraId="49DFCE3D" w14:textId="77777777" w:rsidR="004C0823" w:rsidRPr="002D21EA" w:rsidRDefault="004C0823" w:rsidP="004C0823">
            <w:pPr>
              <w:pStyle w:val="TableText"/>
              <w:keepNext w:val="0"/>
              <w:numPr>
                <w:ilvl w:val="0"/>
                <w:numId w:val="14"/>
              </w:numPr>
              <w:ind w:left="170" w:hanging="170"/>
              <w:rPr>
                <w:szCs w:val="20"/>
              </w:rPr>
            </w:pPr>
            <w:r w:rsidRPr="002D21EA">
              <w:rPr>
                <w:szCs w:val="20"/>
              </w:rPr>
              <w:t>Intervention required to prevent permanent vision loss</w:t>
            </w:r>
          </w:p>
        </w:tc>
        <w:tc>
          <w:tcPr>
            <w:tcW w:w="857" w:type="pct"/>
            <w:tcBorders>
              <w:top w:val="nil"/>
              <w:bottom w:val="single" w:sz="4" w:space="0" w:color="auto"/>
            </w:tcBorders>
          </w:tcPr>
          <w:p w14:paraId="29F7D7AC" w14:textId="77777777" w:rsidR="004C0823" w:rsidRPr="002D21EA" w:rsidRDefault="004C0823" w:rsidP="00115C14">
            <w:pPr>
              <w:pStyle w:val="TableText"/>
              <w:keepNext w:val="0"/>
              <w:jc w:val="center"/>
              <w:rPr>
                <w:szCs w:val="20"/>
              </w:rPr>
            </w:pPr>
            <w:r>
              <w:rPr>
                <w:szCs w:val="20"/>
              </w:rPr>
              <w:t>2 (0.6%)</w:t>
            </w:r>
          </w:p>
        </w:tc>
        <w:tc>
          <w:tcPr>
            <w:tcW w:w="858" w:type="pct"/>
            <w:tcBorders>
              <w:top w:val="nil"/>
              <w:bottom w:val="single" w:sz="4" w:space="0" w:color="auto"/>
            </w:tcBorders>
          </w:tcPr>
          <w:p w14:paraId="2419BDB9" w14:textId="77777777" w:rsidR="004C0823" w:rsidRPr="002D21EA" w:rsidRDefault="004C0823" w:rsidP="00115C14">
            <w:pPr>
              <w:pStyle w:val="TableText"/>
              <w:keepNext w:val="0"/>
              <w:jc w:val="center"/>
              <w:rPr>
                <w:szCs w:val="20"/>
              </w:rPr>
            </w:pPr>
            <w:r>
              <w:rPr>
                <w:szCs w:val="20"/>
              </w:rPr>
              <w:t>2 (0.6%)</w:t>
            </w:r>
          </w:p>
        </w:tc>
        <w:tc>
          <w:tcPr>
            <w:tcW w:w="858" w:type="pct"/>
            <w:tcBorders>
              <w:top w:val="nil"/>
              <w:bottom w:val="single" w:sz="4" w:space="0" w:color="auto"/>
            </w:tcBorders>
          </w:tcPr>
          <w:p w14:paraId="0A902CB0" w14:textId="77777777" w:rsidR="004C0823" w:rsidRPr="002D21EA" w:rsidRDefault="004C0823" w:rsidP="00115C14">
            <w:pPr>
              <w:pStyle w:val="TableText"/>
              <w:keepNext w:val="0"/>
              <w:jc w:val="center"/>
              <w:rPr>
                <w:szCs w:val="20"/>
              </w:rPr>
            </w:pPr>
            <w:r>
              <w:rPr>
                <w:szCs w:val="20"/>
              </w:rPr>
              <w:t>2 (0.6%)</w:t>
            </w:r>
          </w:p>
        </w:tc>
        <w:tc>
          <w:tcPr>
            <w:tcW w:w="858" w:type="pct"/>
            <w:tcBorders>
              <w:top w:val="nil"/>
              <w:bottom w:val="single" w:sz="4" w:space="0" w:color="auto"/>
            </w:tcBorders>
          </w:tcPr>
          <w:p w14:paraId="580F248B" w14:textId="77777777" w:rsidR="004C0823" w:rsidRPr="002D21EA" w:rsidRDefault="004C0823" w:rsidP="00115C14">
            <w:pPr>
              <w:pStyle w:val="TableText"/>
              <w:keepNext w:val="0"/>
              <w:jc w:val="center"/>
              <w:rPr>
                <w:szCs w:val="20"/>
              </w:rPr>
            </w:pPr>
            <w:r>
              <w:rPr>
                <w:szCs w:val="20"/>
              </w:rPr>
              <w:t>3 (0.9%)</w:t>
            </w:r>
          </w:p>
        </w:tc>
      </w:tr>
      <w:tr w:rsidR="004C0823" w:rsidRPr="002D21EA" w14:paraId="1732A36B" w14:textId="77777777" w:rsidTr="00115C14">
        <w:trPr>
          <w:cantSplit/>
        </w:trPr>
        <w:tc>
          <w:tcPr>
            <w:tcW w:w="1569" w:type="pct"/>
            <w:tcBorders>
              <w:top w:val="single" w:sz="4" w:space="0" w:color="auto"/>
              <w:bottom w:val="nil"/>
            </w:tcBorders>
            <w:vAlign w:val="center"/>
          </w:tcPr>
          <w:p w14:paraId="23AF8E45" w14:textId="77777777" w:rsidR="004C0823" w:rsidRPr="002D21EA" w:rsidRDefault="004C0823" w:rsidP="00115C14">
            <w:pPr>
              <w:pStyle w:val="TableText"/>
              <w:keepNext w:val="0"/>
              <w:rPr>
                <w:szCs w:val="20"/>
              </w:rPr>
            </w:pPr>
            <w:r w:rsidRPr="002D21EA">
              <w:rPr>
                <w:szCs w:val="20"/>
              </w:rPr>
              <w:t>Adjudicated APTC events</w:t>
            </w:r>
          </w:p>
        </w:tc>
        <w:tc>
          <w:tcPr>
            <w:tcW w:w="857" w:type="pct"/>
            <w:tcBorders>
              <w:top w:val="single" w:sz="4" w:space="0" w:color="auto"/>
              <w:bottom w:val="nil"/>
            </w:tcBorders>
            <w:vAlign w:val="center"/>
          </w:tcPr>
          <w:p w14:paraId="20F1B1DA" w14:textId="77777777" w:rsidR="004C0823" w:rsidRPr="002D21EA" w:rsidRDefault="004C0823" w:rsidP="00115C14">
            <w:pPr>
              <w:pStyle w:val="TableText"/>
              <w:keepNext w:val="0"/>
              <w:jc w:val="center"/>
              <w:rPr>
                <w:szCs w:val="20"/>
              </w:rPr>
            </w:pPr>
            <w:r>
              <w:rPr>
                <w:szCs w:val="20"/>
              </w:rPr>
              <w:t>11 (3.3%)</w:t>
            </w:r>
          </w:p>
        </w:tc>
        <w:tc>
          <w:tcPr>
            <w:tcW w:w="858" w:type="pct"/>
            <w:tcBorders>
              <w:top w:val="single" w:sz="4" w:space="0" w:color="auto"/>
              <w:bottom w:val="nil"/>
            </w:tcBorders>
            <w:vAlign w:val="center"/>
          </w:tcPr>
          <w:p w14:paraId="7340C84A" w14:textId="77777777" w:rsidR="004C0823" w:rsidRPr="002D21EA" w:rsidRDefault="004C0823" w:rsidP="00115C14">
            <w:pPr>
              <w:pStyle w:val="TableText"/>
              <w:keepNext w:val="0"/>
              <w:jc w:val="center"/>
              <w:rPr>
                <w:szCs w:val="20"/>
              </w:rPr>
            </w:pPr>
            <w:r>
              <w:rPr>
                <w:szCs w:val="20"/>
              </w:rPr>
              <w:t>9 (2.7%)</w:t>
            </w:r>
          </w:p>
        </w:tc>
        <w:tc>
          <w:tcPr>
            <w:tcW w:w="858" w:type="pct"/>
            <w:tcBorders>
              <w:top w:val="single" w:sz="4" w:space="0" w:color="auto"/>
              <w:bottom w:val="nil"/>
            </w:tcBorders>
            <w:vAlign w:val="center"/>
          </w:tcPr>
          <w:p w14:paraId="1750C5C2" w14:textId="77777777" w:rsidR="004C0823" w:rsidRPr="002D21EA" w:rsidRDefault="004C0823" w:rsidP="00115C14">
            <w:pPr>
              <w:pStyle w:val="TableText"/>
              <w:keepNext w:val="0"/>
              <w:jc w:val="center"/>
              <w:rPr>
                <w:szCs w:val="20"/>
              </w:rPr>
            </w:pPr>
            <w:r>
              <w:rPr>
                <w:szCs w:val="20"/>
              </w:rPr>
              <w:t>11 (3.3%)</w:t>
            </w:r>
          </w:p>
        </w:tc>
        <w:tc>
          <w:tcPr>
            <w:tcW w:w="858" w:type="pct"/>
            <w:tcBorders>
              <w:top w:val="single" w:sz="4" w:space="0" w:color="auto"/>
              <w:bottom w:val="nil"/>
            </w:tcBorders>
            <w:vAlign w:val="center"/>
          </w:tcPr>
          <w:p w14:paraId="10BF5528" w14:textId="77777777" w:rsidR="004C0823" w:rsidRPr="002D21EA" w:rsidRDefault="004C0823" w:rsidP="00115C14">
            <w:pPr>
              <w:pStyle w:val="TableText"/>
              <w:keepNext w:val="0"/>
              <w:jc w:val="center"/>
              <w:rPr>
                <w:szCs w:val="20"/>
              </w:rPr>
            </w:pPr>
            <w:r>
              <w:rPr>
                <w:szCs w:val="20"/>
              </w:rPr>
              <w:t>11 (3.4%)</w:t>
            </w:r>
          </w:p>
        </w:tc>
      </w:tr>
      <w:tr w:rsidR="004C0823" w:rsidRPr="002D21EA" w14:paraId="3845CF29" w14:textId="77777777" w:rsidTr="00115C14">
        <w:trPr>
          <w:cantSplit/>
        </w:trPr>
        <w:tc>
          <w:tcPr>
            <w:tcW w:w="1569" w:type="pct"/>
            <w:tcBorders>
              <w:top w:val="nil"/>
              <w:bottom w:val="nil"/>
            </w:tcBorders>
            <w:vAlign w:val="center"/>
          </w:tcPr>
          <w:p w14:paraId="0CB40914" w14:textId="77777777" w:rsidR="004C0823" w:rsidRPr="002D21EA" w:rsidRDefault="004C0823" w:rsidP="004C0823">
            <w:pPr>
              <w:pStyle w:val="TableText"/>
              <w:keepNext w:val="0"/>
              <w:numPr>
                <w:ilvl w:val="0"/>
                <w:numId w:val="14"/>
              </w:numPr>
              <w:ind w:left="170" w:hanging="170"/>
              <w:rPr>
                <w:szCs w:val="20"/>
              </w:rPr>
            </w:pPr>
            <w:r w:rsidRPr="002D21EA">
              <w:rPr>
                <w:szCs w:val="20"/>
              </w:rPr>
              <w:t>Non-fatal MI</w:t>
            </w:r>
          </w:p>
        </w:tc>
        <w:tc>
          <w:tcPr>
            <w:tcW w:w="857" w:type="pct"/>
            <w:tcBorders>
              <w:top w:val="nil"/>
              <w:bottom w:val="nil"/>
            </w:tcBorders>
            <w:vAlign w:val="center"/>
          </w:tcPr>
          <w:p w14:paraId="71CD097F" w14:textId="77777777" w:rsidR="004C0823" w:rsidRPr="002D21EA" w:rsidRDefault="004C0823" w:rsidP="00115C14">
            <w:pPr>
              <w:pStyle w:val="TableText"/>
              <w:keepNext w:val="0"/>
              <w:jc w:val="center"/>
              <w:rPr>
                <w:szCs w:val="20"/>
              </w:rPr>
            </w:pPr>
            <w:r>
              <w:rPr>
                <w:szCs w:val="20"/>
              </w:rPr>
              <w:t>1 (0.3%)</w:t>
            </w:r>
          </w:p>
        </w:tc>
        <w:tc>
          <w:tcPr>
            <w:tcW w:w="858" w:type="pct"/>
            <w:tcBorders>
              <w:top w:val="nil"/>
              <w:bottom w:val="nil"/>
            </w:tcBorders>
            <w:vAlign w:val="center"/>
          </w:tcPr>
          <w:p w14:paraId="61F2470B" w14:textId="77777777" w:rsidR="004C0823" w:rsidRPr="002D21EA" w:rsidRDefault="004C0823" w:rsidP="00115C14">
            <w:pPr>
              <w:pStyle w:val="TableText"/>
              <w:keepNext w:val="0"/>
              <w:jc w:val="center"/>
              <w:rPr>
                <w:szCs w:val="20"/>
              </w:rPr>
            </w:pPr>
            <w:r>
              <w:rPr>
                <w:szCs w:val="20"/>
              </w:rPr>
              <w:t>2 (0.6%)</w:t>
            </w:r>
          </w:p>
        </w:tc>
        <w:tc>
          <w:tcPr>
            <w:tcW w:w="858" w:type="pct"/>
            <w:tcBorders>
              <w:top w:val="nil"/>
              <w:bottom w:val="nil"/>
            </w:tcBorders>
            <w:vAlign w:val="center"/>
          </w:tcPr>
          <w:p w14:paraId="269C5F38" w14:textId="77777777" w:rsidR="004C0823" w:rsidRPr="002D21EA" w:rsidRDefault="004C0823" w:rsidP="00115C14">
            <w:pPr>
              <w:pStyle w:val="TableText"/>
              <w:keepNext w:val="0"/>
              <w:jc w:val="center"/>
              <w:rPr>
                <w:szCs w:val="20"/>
              </w:rPr>
            </w:pPr>
            <w:r>
              <w:rPr>
                <w:szCs w:val="20"/>
              </w:rPr>
              <w:t>2 (0.6%)</w:t>
            </w:r>
          </w:p>
        </w:tc>
        <w:tc>
          <w:tcPr>
            <w:tcW w:w="858" w:type="pct"/>
            <w:tcBorders>
              <w:top w:val="nil"/>
              <w:bottom w:val="nil"/>
            </w:tcBorders>
            <w:vAlign w:val="center"/>
          </w:tcPr>
          <w:p w14:paraId="57FDA23C" w14:textId="77777777" w:rsidR="004C0823" w:rsidRPr="002D21EA" w:rsidRDefault="004C0823" w:rsidP="00115C14">
            <w:pPr>
              <w:pStyle w:val="TableText"/>
              <w:keepNext w:val="0"/>
              <w:jc w:val="center"/>
              <w:rPr>
                <w:szCs w:val="20"/>
              </w:rPr>
            </w:pPr>
            <w:r>
              <w:rPr>
                <w:szCs w:val="20"/>
              </w:rPr>
              <w:t>1 (0.3%)</w:t>
            </w:r>
          </w:p>
        </w:tc>
      </w:tr>
      <w:tr w:rsidR="004C0823" w:rsidRPr="002D21EA" w14:paraId="6694A505" w14:textId="77777777" w:rsidTr="00115C14">
        <w:trPr>
          <w:cantSplit/>
        </w:trPr>
        <w:tc>
          <w:tcPr>
            <w:tcW w:w="1569" w:type="pct"/>
            <w:tcBorders>
              <w:top w:val="nil"/>
              <w:bottom w:val="nil"/>
            </w:tcBorders>
            <w:vAlign w:val="center"/>
          </w:tcPr>
          <w:p w14:paraId="692918EE" w14:textId="77777777" w:rsidR="004C0823" w:rsidRPr="002D21EA" w:rsidRDefault="004C0823" w:rsidP="004C0823">
            <w:pPr>
              <w:pStyle w:val="TableText"/>
              <w:keepNext w:val="0"/>
              <w:numPr>
                <w:ilvl w:val="0"/>
                <w:numId w:val="14"/>
              </w:numPr>
              <w:ind w:left="170" w:hanging="170"/>
              <w:rPr>
                <w:szCs w:val="20"/>
              </w:rPr>
            </w:pPr>
            <w:r w:rsidRPr="002D21EA">
              <w:rPr>
                <w:szCs w:val="20"/>
              </w:rPr>
              <w:t>Non-fatal stroke</w:t>
            </w:r>
          </w:p>
        </w:tc>
        <w:tc>
          <w:tcPr>
            <w:tcW w:w="857" w:type="pct"/>
            <w:tcBorders>
              <w:top w:val="nil"/>
              <w:bottom w:val="nil"/>
            </w:tcBorders>
            <w:vAlign w:val="center"/>
          </w:tcPr>
          <w:p w14:paraId="68AE55C6" w14:textId="77777777" w:rsidR="004C0823" w:rsidRPr="002D21EA" w:rsidRDefault="004C0823" w:rsidP="00115C14">
            <w:pPr>
              <w:pStyle w:val="TableText"/>
              <w:keepNext w:val="0"/>
              <w:jc w:val="center"/>
              <w:rPr>
                <w:szCs w:val="20"/>
              </w:rPr>
            </w:pPr>
            <w:r>
              <w:rPr>
                <w:szCs w:val="20"/>
              </w:rPr>
              <w:t>1 (0.3%)</w:t>
            </w:r>
          </w:p>
        </w:tc>
        <w:tc>
          <w:tcPr>
            <w:tcW w:w="858" w:type="pct"/>
            <w:tcBorders>
              <w:top w:val="nil"/>
              <w:bottom w:val="nil"/>
            </w:tcBorders>
            <w:vAlign w:val="center"/>
          </w:tcPr>
          <w:p w14:paraId="031D7BAE" w14:textId="77777777" w:rsidR="004C0823" w:rsidRPr="002D21EA" w:rsidRDefault="004C0823" w:rsidP="00115C14">
            <w:pPr>
              <w:pStyle w:val="TableText"/>
              <w:keepNext w:val="0"/>
              <w:jc w:val="center"/>
              <w:rPr>
                <w:szCs w:val="20"/>
              </w:rPr>
            </w:pPr>
            <w:r>
              <w:rPr>
                <w:szCs w:val="20"/>
              </w:rPr>
              <w:t>4 (1.2%)</w:t>
            </w:r>
          </w:p>
        </w:tc>
        <w:tc>
          <w:tcPr>
            <w:tcW w:w="858" w:type="pct"/>
            <w:tcBorders>
              <w:top w:val="nil"/>
              <w:bottom w:val="nil"/>
            </w:tcBorders>
            <w:vAlign w:val="center"/>
          </w:tcPr>
          <w:p w14:paraId="1D1E6129" w14:textId="77777777" w:rsidR="004C0823" w:rsidRPr="002D21EA" w:rsidRDefault="004C0823" w:rsidP="00115C14">
            <w:pPr>
              <w:pStyle w:val="TableText"/>
              <w:keepNext w:val="0"/>
              <w:jc w:val="center"/>
              <w:rPr>
                <w:szCs w:val="20"/>
              </w:rPr>
            </w:pPr>
            <w:r>
              <w:rPr>
                <w:szCs w:val="20"/>
              </w:rPr>
              <w:t>3 (0.9%)</w:t>
            </w:r>
          </w:p>
        </w:tc>
        <w:tc>
          <w:tcPr>
            <w:tcW w:w="858" w:type="pct"/>
            <w:tcBorders>
              <w:top w:val="nil"/>
              <w:bottom w:val="nil"/>
            </w:tcBorders>
            <w:vAlign w:val="center"/>
          </w:tcPr>
          <w:p w14:paraId="3182160C" w14:textId="77777777" w:rsidR="004C0823" w:rsidRPr="002D21EA" w:rsidRDefault="004C0823" w:rsidP="00115C14">
            <w:pPr>
              <w:pStyle w:val="TableText"/>
              <w:keepNext w:val="0"/>
              <w:jc w:val="center"/>
              <w:rPr>
                <w:szCs w:val="20"/>
              </w:rPr>
            </w:pPr>
            <w:r>
              <w:rPr>
                <w:szCs w:val="20"/>
              </w:rPr>
              <w:t>2 (0.6%)</w:t>
            </w:r>
          </w:p>
        </w:tc>
      </w:tr>
      <w:tr w:rsidR="004C0823" w:rsidRPr="002D21EA" w14:paraId="3223C2ED" w14:textId="77777777" w:rsidTr="00115C14">
        <w:trPr>
          <w:cantSplit/>
        </w:trPr>
        <w:tc>
          <w:tcPr>
            <w:tcW w:w="1569" w:type="pct"/>
            <w:tcBorders>
              <w:top w:val="nil"/>
              <w:bottom w:val="single" w:sz="4" w:space="0" w:color="auto"/>
            </w:tcBorders>
            <w:vAlign w:val="center"/>
          </w:tcPr>
          <w:p w14:paraId="6F8BA8C6" w14:textId="77777777" w:rsidR="004C0823" w:rsidRPr="002D21EA" w:rsidRDefault="004C0823" w:rsidP="004C0823">
            <w:pPr>
              <w:pStyle w:val="TableText"/>
              <w:keepNext w:val="0"/>
              <w:numPr>
                <w:ilvl w:val="0"/>
                <w:numId w:val="14"/>
              </w:numPr>
              <w:ind w:left="170" w:hanging="170"/>
              <w:rPr>
                <w:szCs w:val="20"/>
              </w:rPr>
            </w:pPr>
            <w:r w:rsidRPr="002D21EA">
              <w:rPr>
                <w:szCs w:val="20"/>
              </w:rPr>
              <w:t>Death</w:t>
            </w:r>
          </w:p>
        </w:tc>
        <w:tc>
          <w:tcPr>
            <w:tcW w:w="857" w:type="pct"/>
            <w:tcBorders>
              <w:top w:val="nil"/>
              <w:bottom w:val="single" w:sz="4" w:space="0" w:color="auto"/>
            </w:tcBorders>
            <w:vAlign w:val="center"/>
          </w:tcPr>
          <w:p w14:paraId="5BD6ACB6" w14:textId="77777777" w:rsidR="004C0823" w:rsidRPr="002D21EA" w:rsidRDefault="004C0823" w:rsidP="00115C14">
            <w:pPr>
              <w:pStyle w:val="TableText"/>
              <w:keepNext w:val="0"/>
              <w:jc w:val="center"/>
              <w:rPr>
                <w:szCs w:val="20"/>
              </w:rPr>
            </w:pPr>
            <w:r>
              <w:rPr>
                <w:szCs w:val="20"/>
              </w:rPr>
              <w:t>9 (2.7%)</w:t>
            </w:r>
          </w:p>
        </w:tc>
        <w:tc>
          <w:tcPr>
            <w:tcW w:w="858" w:type="pct"/>
            <w:tcBorders>
              <w:top w:val="nil"/>
              <w:bottom w:val="single" w:sz="4" w:space="0" w:color="auto"/>
            </w:tcBorders>
            <w:vAlign w:val="center"/>
          </w:tcPr>
          <w:p w14:paraId="55ACBAD3" w14:textId="77777777" w:rsidR="004C0823" w:rsidRPr="002D21EA" w:rsidRDefault="004C0823" w:rsidP="00115C14">
            <w:pPr>
              <w:pStyle w:val="TableText"/>
              <w:keepNext w:val="0"/>
              <w:jc w:val="center"/>
              <w:rPr>
                <w:szCs w:val="20"/>
              </w:rPr>
            </w:pPr>
            <w:r>
              <w:rPr>
                <w:szCs w:val="20"/>
              </w:rPr>
              <w:t>3 (0.9%)</w:t>
            </w:r>
          </w:p>
        </w:tc>
        <w:tc>
          <w:tcPr>
            <w:tcW w:w="858" w:type="pct"/>
            <w:tcBorders>
              <w:top w:val="nil"/>
              <w:bottom w:val="single" w:sz="4" w:space="0" w:color="auto"/>
            </w:tcBorders>
            <w:vAlign w:val="center"/>
          </w:tcPr>
          <w:p w14:paraId="5E882264" w14:textId="77777777" w:rsidR="004C0823" w:rsidRPr="002D21EA" w:rsidRDefault="004C0823" w:rsidP="00115C14">
            <w:pPr>
              <w:pStyle w:val="TableText"/>
              <w:keepNext w:val="0"/>
              <w:jc w:val="center"/>
              <w:rPr>
                <w:szCs w:val="20"/>
              </w:rPr>
            </w:pPr>
            <w:r>
              <w:rPr>
                <w:szCs w:val="20"/>
              </w:rPr>
              <w:t>7 (2.1%)</w:t>
            </w:r>
          </w:p>
        </w:tc>
        <w:tc>
          <w:tcPr>
            <w:tcW w:w="858" w:type="pct"/>
            <w:tcBorders>
              <w:top w:val="nil"/>
              <w:bottom w:val="single" w:sz="4" w:space="0" w:color="auto"/>
            </w:tcBorders>
            <w:vAlign w:val="center"/>
          </w:tcPr>
          <w:p w14:paraId="279C4C31" w14:textId="77777777" w:rsidR="004C0823" w:rsidRPr="002D21EA" w:rsidRDefault="004C0823" w:rsidP="00115C14">
            <w:pPr>
              <w:pStyle w:val="TableText"/>
              <w:keepNext w:val="0"/>
              <w:jc w:val="center"/>
              <w:rPr>
                <w:szCs w:val="20"/>
              </w:rPr>
            </w:pPr>
            <w:r>
              <w:rPr>
                <w:szCs w:val="20"/>
              </w:rPr>
              <w:t>8 (2.5%)</w:t>
            </w:r>
          </w:p>
        </w:tc>
      </w:tr>
    </w:tbl>
    <w:p w14:paraId="20F9D0BF" w14:textId="77777777" w:rsidR="004C0823" w:rsidRDefault="004C0823" w:rsidP="004C0823">
      <w:pPr>
        <w:pStyle w:val="TableFigureFooter"/>
        <w:rPr>
          <w:szCs w:val="18"/>
        </w:rPr>
      </w:pPr>
      <w:r w:rsidRPr="002D21EA">
        <w:t>Source:</w:t>
      </w:r>
      <w:r w:rsidRPr="009426AA">
        <w:rPr>
          <w:szCs w:val="18"/>
        </w:rPr>
        <w:t xml:space="preserve"> Faricimab in nAMD TENAYA and LUCERNE Year 2 topline results</w:t>
      </w:r>
    </w:p>
    <w:p w14:paraId="2AC9F047" w14:textId="77777777" w:rsidR="004C0823" w:rsidRPr="002D21EA" w:rsidRDefault="004C0823" w:rsidP="004C0823">
      <w:pPr>
        <w:pStyle w:val="TableFigureFooter"/>
      </w:pPr>
      <w:r w:rsidRPr="002D21EA">
        <w:t>Abbreviations: AE</w:t>
      </w:r>
      <w:r>
        <w:t>,</w:t>
      </w:r>
      <w:r w:rsidRPr="002D21EA">
        <w:t xml:space="preserve"> adverse event; APTC</w:t>
      </w:r>
      <w:r>
        <w:t>,</w:t>
      </w:r>
      <w:r w:rsidRPr="002D21EA">
        <w:t xml:space="preserve"> Antiplatelet Triallists’ Collaboration; VA</w:t>
      </w:r>
      <w:r>
        <w:t>,</w:t>
      </w:r>
      <w:r w:rsidRPr="002D21EA">
        <w:t xml:space="preserve"> visual acuity; w/d</w:t>
      </w:r>
      <w:r>
        <w:t>,</w:t>
      </w:r>
      <w:r w:rsidRPr="002D21EA">
        <w:t xml:space="preserve"> withdrawal</w:t>
      </w:r>
    </w:p>
    <w:p w14:paraId="00431759" w14:textId="5BAACD9F" w:rsidR="005B6AEC" w:rsidRPr="002D21EA" w:rsidRDefault="005B6AEC" w:rsidP="005B6AEC">
      <w:pPr>
        <w:pStyle w:val="ExecSumBodyText"/>
      </w:pPr>
      <w:r w:rsidRPr="002D21EA">
        <w:t xml:space="preserve">Safety data from the STAIRWAY and AVENUE trials comparing faricimab with </w:t>
      </w:r>
      <w:r w:rsidR="00D804A6" w:rsidRPr="002D21EA">
        <w:t>ranibizumab</w:t>
      </w:r>
      <w:r w:rsidRPr="002D21EA">
        <w:t xml:space="preserve"> were presented in the submission.</w:t>
      </w:r>
      <w:r w:rsidR="001A679F" w:rsidRPr="002D21EA">
        <w:t xml:space="preserve"> The safety profile observed in the AVENUE and STAIRWAY trials was consistent with that observed in the TENAYA and LUCERNE trials</w:t>
      </w:r>
      <w:r w:rsidR="0077034E" w:rsidRPr="002D21EA">
        <w:t>, with no new or unexpected safety signals observed</w:t>
      </w:r>
      <w:r w:rsidR="001A679F" w:rsidRPr="002D21EA">
        <w:t>.</w:t>
      </w:r>
    </w:p>
    <w:p w14:paraId="04908C7F" w14:textId="415B9B7D" w:rsidR="007F1017" w:rsidRPr="00BF2B95" w:rsidRDefault="007F1017" w:rsidP="00D86231">
      <w:pPr>
        <w:pStyle w:val="3-SubsectionHeading"/>
      </w:pPr>
      <w:bookmarkStart w:id="21" w:name="_Toc22897643"/>
      <w:bookmarkStart w:id="22" w:name="_Toc101107810"/>
      <w:r w:rsidRPr="00BF2B95">
        <w:t>Benefits/harms</w:t>
      </w:r>
      <w:bookmarkEnd w:id="21"/>
      <w:bookmarkEnd w:id="22"/>
    </w:p>
    <w:p w14:paraId="4C45430E" w14:textId="138E1B26" w:rsidR="001615A4" w:rsidRPr="00BF2B95" w:rsidRDefault="001615A4" w:rsidP="001615A4">
      <w:pPr>
        <w:pStyle w:val="ExecSumBodyText"/>
      </w:pPr>
      <w:r w:rsidRPr="00BF2B95">
        <w:rPr>
          <w:snapToGrid/>
        </w:rPr>
        <w:t xml:space="preserve">A benefits/harms summary was not presented for </w:t>
      </w:r>
      <w:r w:rsidR="009D4F97" w:rsidRPr="00BF2B95">
        <w:rPr>
          <w:snapToGrid/>
        </w:rPr>
        <w:t>faricimab</w:t>
      </w:r>
      <w:r w:rsidRPr="00BF2B95">
        <w:rPr>
          <w:snapToGrid/>
        </w:rPr>
        <w:t xml:space="preserve"> versus </w:t>
      </w:r>
      <w:r w:rsidR="009D4F97" w:rsidRPr="00BF2B95">
        <w:rPr>
          <w:snapToGrid/>
        </w:rPr>
        <w:t>aflibercept</w:t>
      </w:r>
      <w:r w:rsidRPr="00BF2B95">
        <w:rPr>
          <w:snapToGrid/>
        </w:rPr>
        <w:t xml:space="preserve"> due to the claim of non</w:t>
      </w:r>
      <w:r w:rsidR="004A14BD">
        <w:rPr>
          <w:snapToGrid/>
        </w:rPr>
        <w:t>-</w:t>
      </w:r>
      <w:r w:rsidRPr="00BF2B95">
        <w:rPr>
          <w:snapToGrid/>
        </w:rPr>
        <w:t>inferiority.</w:t>
      </w:r>
    </w:p>
    <w:p w14:paraId="7A1772B6" w14:textId="23BB3145" w:rsidR="00B60939" w:rsidRPr="00BF2B95" w:rsidRDefault="00B60939" w:rsidP="00E9094A">
      <w:pPr>
        <w:pStyle w:val="3-SubsectionHeading"/>
      </w:pPr>
      <w:bookmarkStart w:id="23" w:name="_Toc22897644"/>
      <w:bookmarkStart w:id="24" w:name="_Toc101107811"/>
      <w:r w:rsidRPr="00BF2B95">
        <w:t>Clinical claim</w:t>
      </w:r>
      <w:bookmarkEnd w:id="23"/>
      <w:bookmarkEnd w:id="24"/>
    </w:p>
    <w:p w14:paraId="2E63D4B7" w14:textId="77777777" w:rsidR="00C138E9" w:rsidRDefault="008A6D0C" w:rsidP="007862D2">
      <w:pPr>
        <w:pStyle w:val="ExecSumBodyText"/>
        <w:rPr>
          <w:rFonts w:eastAsia="Calibri"/>
        </w:rPr>
      </w:pPr>
      <w:r w:rsidRPr="002D21EA">
        <w:t xml:space="preserve">The submission described faricimab (6 mg administered up to 16-weekly) as non-inferior to aflibercept (2 mg administered 8-weekly) in terms of effectiveness and </w:t>
      </w:r>
      <w:r w:rsidR="003F7C4D" w:rsidRPr="002D21EA">
        <w:t>safety</w:t>
      </w:r>
      <w:r w:rsidRPr="002D21EA">
        <w:t xml:space="preserve"> in patients with nAMD.</w:t>
      </w:r>
      <w:r w:rsidR="007862D2" w:rsidRPr="002D21EA">
        <w:rPr>
          <w:rFonts w:eastAsia="Calibri"/>
        </w:rPr>
        <w:t xml:space="preserve"> </w:t>
      </w:r>
    </w:p>
    <w:p w14:paraId="61AB1155" w14:textId="58D0384C" w:rsidR="007862D2" w:rsidRPr="002D21EA" w:rsidRDefault="00CB53BC" w:rsidP="007862D2">
      <w:pPr>
        <w:pStyle w:val="ExecSumBodyText"/>
        <w:rPr>
          <w:rFonts w:eastAsia="Calibri"/>
        </w:rPr>
      </w:pPr>
      <w:r w:rsidRPr="002D21EA">
        <w:rPr>
          <w:rFonts w:eastAsia="Calibri"/>
        </w:rPr>
        <w:t xml:space="preserve">While the clinical claim may be reasonable, </w:t>
      </w:r>
      <w:r w:rsidR="00C138E9">
        <w:rPr>
          <w:rFonts w:eastAsia="Calibri"/>
        </w:rPr>
        <w:t xml:space="preserve">the evaluation noted </w:t>
      </w:r>
      <w:r w:rsidRPr="002D21EA">
        <w:rPr>
          <w:rFonts w:eastAsia="Calibri"/>
        </w:rPr>
        <w:t>there are applicability issues associated with the TENAYA and LUCERNE trials indicating that trial results may not be generalisable to Australian patients</w:t>
      </w:r>
      <w:r w:rsidR="00833A76" w:rsidRPr="002D21EA">
        <w:rPr>
          <w:rFonts w:eastAsia="Calibri"/>
        </w:rPr>
        <w:t xml:space="preserve"> (due to differences in dosing, </w:t>
      </w:r>
      <w:r w:rsidR="00D2483D" w:rsidRPr="002D21EA">
        <w:rPr>
          <w:rFonts w:eastAsia="Calibri"/>
        </w:rPr>
        <w:t>monitoring,</w:t>
      </w:r>
      <w:r w:rsidR="006D4152" w:rsidRPr="002D21EA">
        <w:rPr>
          <w:rFonts w:eastAsia="Calibri"/>
        </w:rPr>
        <w:t xml:space="preserve"> and patient population; see paragraph </w:t>
      </w:r>
      <w:r w:rsidR="00420AA9" w:rsidRPr="002D21EA">
        <w:rPr>
          <w:rFonts w:eastAsia="Calibri"/>
        </w:rPr>
        <w:fldChar w:fldCharType="begin"/>
      </w:r>
      <w:r w:rsidR="00420AA9" w:rsidRPr="002D21EA">
        <w:rPr>
          <w:rFonts w:eastAsia="Calibri"/>
        </w:rPr>
        <w:instrText xml:space="preserve"> REF _Ref96509213 \r \h </w:instrText>
      </w:r>
      <w:r w:rsidR="00527E42" w:rsidRPr="002D21EA">
        <w:rPr>
          <w:rFonts w:eastAsia="Calibri"/>
        </w:rPr>
        <w:instrText xml:space="preserve"> \* MERGEFORMAT </w:instrText>
      </w:r>
      <w:r w:rsidR="00420AA9" w:rsidRPr="002D21EA">
        <w:rPr>
          <w:rFonts w:eastAsia="Calibri"/>
        </w:rPr>
      </w:r>
      <w:r w:rsidR="00420AA9" w:rsidRPr="002D21EA">
        <w:rPr>
          <w:rFonts w:eastAsia="Calibri"/>
        </w:rPr>
        <w:fldChar w:fldCharType="separate"/>
      </w:r>
      <w:r w:rsidR="006C2A4B">
        <w:rPr>
          <w:rFonts w:eastAsia="Calibri"/>
        </w:rPr>
        <w:t>6.11</w:t>
      </w:r>
      <w:r w:rsidR="00420AA9" w:rsidRPr="002D21EA">
        <w:rPr>
          <w:rFonts w:eastAsia="Calibri"/>
        </w:rPr>
        <w:fldChar w:fldCharType="end"/>
      </w:r>
      <w:r w:rsidR="006D4152" w:rsidRPr="002D21EA">
        <w:rPr>
          <w:rFonts w:eastAsia="Calibri"/>
        </w:rPr>
        <w:t>)</w:t>
      </w:r>
      <w:r w:rsidR="007862D2" w:rsidRPr="002D21EA">
        <w:rPr>
          <w:rFonts w:eastAsia="Calibri"/>
        </w:rPr>
        <w:t>.</w:t>
      </w:r>
    </w:p>
    <w:p w14:paraId="12563229" w14:textId="0BBF1F8F" w:rsidR="008A6D0C" w:rsidRPr="006D23AF" w:rsidRDefault="00FC3C36" w:rsidP="00B958C0">
      <w:pPr>
        <w:pStyle w:val="ExecSumBodyText"/>
      </w:pPr>
      <w:r w:rsidRPr="002D21EA">
        <w:lastRenderedPageBreak/>
        <w:t xml:space="preserve">In addition, </w:t>
      </w:r>
      <w:r w:rsidR="00BB4712" w:rsidRPr="002D21EA">
        <w:t>the submission claimed that w</w:t>
      </w:r>
      <w:r w:rsidRPr="002D21EA">
        <w:t xml:space="preserve">hile maintaining similar efficacy outcomes, extended treatment intervals </w:t>
      </w:r>
      <w:r w:rsidR="00BB4712" w:rsidRPr="002D21EA">
        <w:t xml:space="preserve">of faricimab </w:t>
      </w:r>
      <w:r w:rsidRPr="002D21EA">
        <w:t>(up to 16 week</w:t>
      </w:r>
      <w:r w:rsidR="00BB4712" w:rsidRPr="002D21EA">
        <w:t>ly</w:t>
      </w:r>
      <w:r w:rsidRPr="002D21EA">
        <w:t>) provide a meaningful reduction in the frequency of treatment administration and therefore potentially reduced treatment burden in patients with nAMD compared to aflibercept.</w:t>
      </w:r>
      <w:r w:rsidR="0062553F" w:rsidRPr="002D21EA">
        <w:t xml:space="preserve"> This claim was considered uncertain </w:t>
      </w:r>
      <w:r w:rsidR="00C138E9">
        <w:t xml:space="preserve">in the evaluation </w:t>
      </w:r>
      <w:r w:rsidR="0062553F" w:rsidRPr="002D21EA">
        <w:t>due to the lack of clinical evidence presented comparing faricimab</w:t>
      </w:r>
      <w:r w:rsidR="003B383C" w:rsidRPr="002D21EA">
        <w:t xml:space="preserve"> administered according to a</w:t>
      </w:r>
      <w:r w:rsidR="00133BA0" w:rsidRPr="002D21EA">
        <w:t xml:space="preserve"> personalised treatment interval</w:t>
      </w:r>
      <w:r w:rsidR="0062553F" w:rsidRPr="002D21EA">
        <w:t xml:space="preserve"> to </w:t>
      </w:r>
      <w:r w:rsidR="0062553F" w:rsidRPr="006D23AF">
        <w:t xml:space="preserve">aflibercept or ranibizumab </w:t>
      </w:r>
      <w:r w:rsidR="003B383C" w:rsidRPr="006D23AF">
        <w:t xml:space="preserve">administered using a </w:t>
      </w:r>
      <w:r w:rsidR="0062553F" w:rsidRPr="006D23AF">
        <w:t>treat</w:t>
      </w:r>
      <w:r w:rsidR="003B383C" w:rsidRPr="006D23AF">
        <w:t>-</w:t>
      </w:r>
      <w:r w:rsidR="0062553F" w:rsidRPr="006D23AF">
        <w:t>and</w:t>
      </w:r>
      <w:r w:rsidR="003B383C" w:rsidRPr="006D23AF">
        <w:t>-</w:t>
      </w:r>
      <w:r w:rsidR="0062553F" w:rsidRPr="006D23AF">
        <w:t xml:space="preserve">extend regimen. </w:t>
      </w:r>
    </w:p>
    <w:p w14:paraId="6D41193C" w14:textId="6D7A3DD2" w:rsidR="00704529" w:rsidRDefault="00704529" w:rsidP="00704529">
      <w:pPr>
        <w:pStyle w:val="ExecSumBodyText"/>
      </w:pPr>
      <w:bookmarkStart w:id="25" w:name="_Hlk76376200"/>
      <w:bookmarkStart w:id="26" w:name="_Hlk103239442"/>
      <w:r w:rsidRPr="006D23AF">
        <w:rPr>
          <w:iCs/>
        </w:rPr>
        <w:t>The</w:t>
      </w:r>
      <w:r w:rsidRPr="006D23AF">
        <w:t xml:space="preserve"> PBAC considered that the claim of non-inferior comparative effectiveness was reasonable</w:t>
      </w:r>
      <w:r w:rsidR="00C138E9" w:rsidRPr="00C138E9">
        <w:t xml:space="preserve"> </w:t>
      </w:r>
      <w:r w:rsidR="00C138E9">
        <w:t>and was adequately supported by the data</w:t>
      </w:r>
      <w:r w:rsidRPr="006D23AF">
        <w:t>.</w:t>
      </w:r>
    </w:p>
    <w:p w14:paraId="05A29FFF" w14:textId="7EBB1DBA" w:rsidR="00C138E9" w:rsidRPr="002901A6" w:rsidRDefault="00D2483D" w:rsidP="00C138E9">
      <w:pPr>
        <w:pStyle w:val="ExecSumBodyText"/>
      </w:pPr>
      <w:r>
        <w:t>In regard to</w:t>
      </w:r>
      <w:r w:rsidR="00C576CA">
        <w:t xml:space="preserve"> comparative safety, t</w:t>
      </w:r>
      <w:r w:rsidR="00C138E9" w:rsidRPr="002901A6">
        <w:t xml:space="preserve">he PBAC noted the incidence of serious adverse events </w:t>
      </w:r>
      <w:r w:rsidR="002901A6" w:rsidRPr="002901A6">
        <w:t>was numerically higher in the aflibercept arm compared to the faricimab arm of both the TENAYA and LUCERNE trials</w:t>
      </w:r>
      <w:r w:rsidR="00C138E9" w:rsidRPr="002901A6">
        <w:t xml:space="preserve">. While the incidence of adverse events in the faricimab and aflibercept </w:t>
      </w:r>
      <w:r w:rsidR="002901A6" w:rsidRPr="002901A6">
        <w:t xml:space="preserve">treatment </w:t>
      </w:r>
      <w:r w:rsidR="00C138E9" w:rsidRPr="002901A6">
        <w:t xml:space="preserve">arms was numerically similar, adverse events for VEGF inhibitors in clinical practice are likely to depend on the frequency of administration. </w:t>
      </w:r>
      <w:r w:rsidR="00D063E1">
        <w:t xml:space="preserve">The PBAC acknowledged that the risk of adverse events with faricimab was low, generally comparable to aflibercept and ranibizumab and was consistent with the established adverse event profile of VEGF inhibitors. The PBAC </w:t>
      </w:r>
      <w:r w:rsidR="008C28C6">
        <w:t>considered</w:t>
      </w:r>
      <w:r w:rsidR="00D063E1">
        <w:t xml:space="preserve"> that, on balance, the claim of non</w:t>
      </w:r>
      <w:r w:rsidR="00E36EFB">
        <w:t>-</w:t>
      </w:r>
      <w:r w:rsidR="00D063E1">
        <w:t>inferior safety was reasonable.</w:t>
      </w:r>
    </w:p>
    <w:p w14:paraId="74A1172E" w14:textId="128C170E" w:rsidR="00B60939" w:rsidRPr="00BF2B95" w:rsidRDefault="00B60939" w:rsidP="00E9094A">
      <w:pPr>
        <w:pStyle w:val="3-SubsectionHeading"/>
      </w:pPr>
      <w:bookmarkStart w:id="27" w:name="_Toc22897645"/>
      <w:bookmarkStart w:id="28" w:name="_Toc101107812"/>
      <w:bookmarkEnd w:id="25"/>
      <w:bookmarkEnd w:id="26"/>
      <w:r w:rsidRPr="00BF2B95">
        <w:t>Economic analysis</w:t>
      </w:r>
      <w:bookmarkEnd w:id="27"/>
      <w:bookmarkEnd w:id="28"/>
      <w:r w:rsidR="00491B3A" w:rsidRPr="00BF2B95">
        <w:t xml:space="preserve"> </w:t>
      </w:r>
    </w:p>
    <w:p w14:paraId="6041185A" w14:textId="259022D5" w:rsidR="004C099B" w:rsidRPr="002D21EA" w:rsidRDefault="004C099B" w:rsidP="004C099B">
      <w:pPr>
        <w:pStyle w:val="ExecSumBodyText"/>
        <w:numPr>
          <w:ilvl w:val="1"/>
          <w:numId w:val="1"/>
        </w:numPr>
        <w:rPr>
          <w:b/>
          <w:bCs/>
        </w:rPr>
      </w:pPr>
      <w:r w:rsidRPr="002D21EA">
        <w:t>The submission stated that a cost-minimisation analysis was presented, based on the claim of non</w:t>
      </w:r>
      <w:r w:rsidR="004A14BD" w:rsidRPr="002D21EA">
        <w:t>-</w:t>
      </w:r>
      <w:r w:rsidRPr="002D21EA">
        <w:t xml:space="preserve">inferior efficacy and safety of faricimab compared with aflibercept. The </w:t>
      </w:r>
      <w:r w:rsidR="00705BEB" w:rsidRPr="002D21EA">
        <w:t xml:space="preserve">evaluation noted the </w:t>
      </w:r>
      <w:r w:rsidRPr="002D21EA">
        <w:t>analysis would more correctly be described as a cost analysis as the cost-offsets for reduced frequency of treatment administration were not included in the proposed price of faricimab.</w:t>
      </w:r>
    </w:p>
    <w:p w14:paraId="081B7F05" w14:textId="5705ABB1" w:rsidR="00771811" w:rsidRPr="002D21EA" w:rsidRDefault="00771811" w:rsidP="00771811">
      <w:pPr>
        <w:pStyle w:val="ExecSumBodyText"/>
        <w:numPr>
          <w:ilvl w:val="1"/>
          <w:numId w:val="1"/>
        </w:numPr>
      </w:pPr>
      <w:r w:rsidRPr="002D21EA">
        <w:t>The economic analysis presented in the submission was based on published prices.</w:t>
      </w:r>
    </w:p>
    <w:p w14:paraId="3C5012BB" w14:textId="16FD2FFB" w:rsidR="004C099B" w:rsidRPr="002D21EA" w:rsidRDefault="004C099B" w:rsidP="004C099B">
      <w:pPr>
        <w:pStyle w:val="ExecSumBodyText"/>
        <w:numPr>
          <w:ilvl w:val="1"/>
          <w:numId w:val="1"/>
        </w:numPr>
      </w:pPr>
      <w:r w:rsidRPr="002D21EA">
        <w:t>The</w:t>
      </w:r>
      <w:r w:rsidR="00AB5CDB" w:rsidRPr="002D21EA">
        <w:t xml:space="preserve"> (steady state)</w:t>
      </w:r>
      <w:r w:rsidR="00C3423B" w:rsidRPr="002D21EA">
        <w:t xml:space="preserve"> </w:t>
      </w:r>
      <w:r w:rsidRPr="002D21EA">
        <w:t>equi-effective doses pr</w:t>
      </w:r>
      <w:r w:rsidR="00C3423B" w:rsidRPr="002D21EA">
        <w:t>opos</w:t>
      </w:r>
      <w:r w:rsidRPr="002D21EA">
        <w:t>ed in the submission were:</w:t>
      </w:r>
    </w:p>
    <w:p w14:paraId="66EB6832" w14:textId="3BB6D0DF" w:rsidR="004C099B" w:rsidRPr="002D21EA" w:rsidRDefault="004C099B" w:rsidP="00566216">
      <w:pPr>
        <w:pStyle w:val="ExecSumBodyText"/>
        <w:numPr>
          <w:ilvl w:val="0"/>
          <w:numId w:val="17"/>
        </w:numPr>
        <w:ind w:left="1077" w:hanging="357"/>
      </w:pPr>
      <w:r w:rsidRPr="002D21EA">
        <w:t>4.30 doses of faricimab</w:t>
      </w:r>
      <w:r w:rsidR="00543059" w:rsidRPr="002D21EA">
        <w:t xml:space="preserve"> 6 mg</w:t>
      </w:r>
      <w:r w:rsidRPr="002D21EA">
        <w:t xml:space="preserve"> annually is equi-effective to 7.09 doses of aflibercept </w:t>
      </w:r>
      <w:r w:rsidR="00543059" w:rsidRPr="002D21EA">
        <w:t xml:space="preserve">2 mg </w:t>
      </w:r>
      <w:r w:rsidRPr="002D21EA">
        <w:t>annually.</w:t>
      </w:r>
    </w:p>
    <w:p w14:paraId="0D617FBA" w14:textId="0CE9667B" w:rsidR="00A12878" w:rsidRPr="002D21EA" w:rsidRDefault="00A12878" w:rsidP="004C099B">
      <w:pPr>
        <w:pStyle w:val="ExecSumBodyText"/>
        <w:numPr>
          <w:ilvl w:val="1"/>
          <w:numId w:val="1"/>
        </w:numPr>
      </w:pPr>
      <w:r w:rsidRPr="002D21EA">
        <w:t xml:space="preserve">The cost analysis was conducted over a </w:t>
      </w:r>
      <w:r w:rsidR="003F45DC" w:rsidRPr="002D21EA">
        <w:t>two-year</w:t>
      </w:r>
      <w:r w:rsidRPr="002D21EA">
        <w:t xml:space="preserve"> time horizon to account for differences in costs in the first and subsequent years, due to loading doses.</w:t>
      </w:r>
    </w:p>
    <w:p w14:paraId="009536CB" w14:textId="20D5B0AC" w:rsidR="00C648E5" w:rsidRPr="002D21EA" w:rsidRDefault="004C099B" w:rsidP="00EB1E58">
      <w:pPr>
        <w:pStyle w:val="ExecSumBodyText"/>
      </w:pPr>
      <w:r w:rsidRPr="002D21EA">
        <w:t>The submission stated that the average number of faricimab doses in the first year of treatment (6.93) was derived from the average doses in the first 48 weeks of treatment in the TENAYA and LUCERNE trials (6.4 mean administrations through to Week 48, average treatment duration 46.2 weeks), apportioned to a 52</w:t>
      </w:r>
      <w:r w:rsidR="004A14BD" w:rsidRPr="002D21EA">
        <w:noBreakHyphen/>
      </w:r>
      <w:r w:rsidRPr="002D21EA">
        <w:t>week estimate. The submission’s cost minimisation analysis spreadsheet calculate</w:t>
      </w:r>
      <w:r w:rsidR="00A54E22" w:rsidRPr="002D21EA">
        <w:t>d</w:t>
      </w:r>
      <w:r w:rsidRPr="002D21EA">
        <w:t xml:space="preserve"> the</w:t>
      </w:r>
      <w:r w:rsidR="00B93E39" w:rsidRPr="002D21EA">
        <w:t xml:space="preserve"> number of </w:t>
      </w:r>
      <w:r w:rsidRPr="002D21EA">
        <w:t>faricimab doses</w:t>
      </w:r>
      <w:r w:rsidR="00B93E39" w:rsidRPr="002D21EA">
        <w:t xml:space="preserve"> in the first year</w:t>
      </w:r>
      <w:r w:rsidRPr="002D21EA">
        <w:t xml:space="preserve"> as 7.20 (6.4 administrations/46.2 weeks average treatment duration × 52 weeks = 7.20) but this value </w:t>
      </w:r>
      <w:r w:rsidR="000A5F5E" w:rsidRPr="002D21EA">
        <w:t>wa</w:t>
      </w:r>
      <w:r w:rsidRPr="002D21EA">
        <w:t xml:space="preserve">s not used in the cost analysis. The value used in the submission’s analysis (6.93) </w:t>
      </w:r>
      <w:r w:rsidR="000A5F5E" w:rsidRPr="002D21EA">
        <w:t>wa</w:t>
      </w:r>
      <w:r w:rsidRPr="002D21EA">
        <w:t>s calculated as: 6.4</w:t>
      </w:r>
      <w:r w:rsidR="004A14BD" w:rsidRPr="002D21EA">
        <w:t> </w:t>
      </w:r>
      <w:r w:rsidRPr="002D21EA">
        <w:t>administrations/48</w:t>
      </w:r>
      <w:r w:rsidR="004A14BD" w:rsidRPr="002D21EA">
        <w:noBreakHyphen/>
      </w:r>
      <w:r w:rsidRPr="002D21EA">
        <w:t xml:space="preserve">week trial duration × 52 weeks. </w:t>
      </w:r>
    </w:p>
    <w:p w14:paraId="2EB517A2" w14:textId="7D71A219" w:rsidR="004C099B" w:rsidRPr="002D21EA" w:rsidRDefault="004C099B" w:rsidP="004C099B">
      <w:pPr>
        <w:pStyle w:val="ExecSumBodyText"/>
        <w:numPr>
          <w:ilvl w:val="1"/>
          <w:numId w:val="1"/>
        </w:numPr>
      </w:pPr>
      <w:r w:rsidRPr="002D21EA">
        <w:lastRenderedPageBreak/>
        <w:t>The submission estimated ongoing (second year of treatment onwards) doses for faricimab based on the trial-based proportion of patients on each treatment</w:t>
      </w:r>
      <w:r w:rsidR="001700BC" w:rsidRPr="002D21EA">
        <w:t xml:space="preserve"> dosing</w:t>
      </w:r>
      <w:r w:rsidRPr="002D21EA">
        <w:t xml:space="preserve"> interval </w:t>
      </w:r>
      <w:r w:rsidR="007F5E98" w:rsidRPr="002D21EA">
        <w:t>at Week 48</w:t>
      </w:r>
      <w:r w:rsidRPr="002D21EA">
        <w:t xml:space="preserve"> and the average annual number of doses for that treatment interval (see </w:t>
      </w:r>
      <w:r w:rsidR="00523DCF" w:rsidRPr="002D21EA">
        <w:t>the t</w:t>
      </w:r>
      <w:r w:rsidRPr="002D21EA">
        <w:t>able below).</w:t>
      </w:r>
    </w:p>
    <w:p w14:paraId="543BDAE0" w14:textId="1D1FADE4" w:rsidR="00107A4F" w:rsidRPr="002D21EA" w:rsidRDefault="00107A4F" w:rsidP="00107A4F">
      <w:pPr>
        <w:pStyle w:val="Tableheadingrow"/>
        <w:rPr>
          <w:lang w:val="en-AU"/>
        </w:rPr>
      </w:pPr>
      <w:r w:rsidRPr="002D21EA">
        <w:rPr>
          <w:lang w:val="en-AU"/>
        </w:rPr>
        <w:t xml:space="preserve">Table </w:t>
      </w:r>
      <w:r w:rsidRPr="002D21EA">
        <w:rPr>
          <w:lang w:val="en-AU"/>
        </w:rPr>
        <w:fldChar w:fldCharType="begin"/>
      </w:r>
      <w:r w:rsidRPr="002D21EA">
        <w:rPr>
          <w:lang w:val="en-AU"/>
        </w:rPr>
        <w:instrText xml:space="preserve"> SEQ Table \* ARABIC </w:instrText>
      </w:r>
      <w:r w:rsidRPr="002D21EA">
        <w:rPr>
          <w:lang w:val="en-AU"/>
        </w:rPr>
        <w:fldChar w:fldCharType="separate"/>
      </w:r>
      <w:r w:rsidR="006C2A4B">
        <w:rPr>
          <w:noProof/>
          <w:lang w:val="en-AU"/>
        </w:rPr>
        <w:t>9</w:t>
      </w:r>
      <w:r w:rsidRPr="002D21EA">
        <w:rPr>
          <w:noProof/>
          <w:lang w:val="en-AU"/>
        </w:rPr>
        <w:fldChar w:fldCharType="end"/>
      </w:r>
      <w:r w:rsidRPr="002D21EA">
        <w:rPr>
          <w:lang w:val="en-AU"/>
        </w:rPr>
        <w:t>: Participant weighted trial based average number of doses to inform long term dosing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9: Participant weighted trial based average number of doses to inform long term dosing"/>
      </w:tblPr>
      <w:tblGrid>
        <w:gridCol w:w="2405"/>
        <w:gridCol w:w="2552"/>
        <w:gridCol w:w="2031"/>
        <w:gridCol w:w="2029"/>
      </w:tblGrid>
      <w:tr w:rsidR="00107A4F" w:rsidRPr="002D21EA" w14:paraId="3AC64DD3" w14:textId="77777777" w:rsidTr="00174A07">
        <w:trPr>
          <w:trHeight w:val="270"/>
        </w:trPr>
        <w:tc>
          <w:tcPr>
            <w:tcW w:w="1334" w:type="pct"/>
            <w:vMerge w:val="restart"/>
            <w:shd w:val="clear" w:color="auto" w:fill="auto"/>
            <w:noWrap/>
            <w:vAlign w:val="center"/>
            <w:hideMark/>
          </w:tcPr>
          <w:p w14:paraId="1748AC0D" w14:textId="77777777" w:rsidR="00107A4F" w:rsidRPr="002D21EA" w:rsidRDefault="00107A4F" w:rsidP="00174A07">
            <w:pPr>
              <w:pStyle w:val="Tableheadingrow"/>
              <w:jc w:val="center"/>
              <w:rPr>
                <w:lang w:val="en-AU"/>
              </w:rPr>
            </w:pPr>
            <w:r w:rsidRPr="002D21EA">
              <w:rPr>
                <w:lang w:val="en-AU"/>
              </w:rPr>
              <w:t>Interval between doses after loading dose phase</w:t>
            </w:r>
          </w:p>
        </w:tc>
        <w:tc>
          <w:tcPr>
            <w:tcW w:w="1415" w:type="pct"/>
            <w:vMerge w:val="restart"/>
            <w:shd w:val="clear" w:color="auto" w:fill="auto"/>
            <w:noWrap/>
            <w:vAlign w:val="center"/>
          </w:tcPr>
          <w:p w14:paraId="59FD3F0B" w14:textId="77777777" w:rsidR="00107A4F" w:rsidRPr="002D21EA" w:rsidRDefault="00107A4F" w:rsidP="00174A07">
            <w:pPr>
              <w:pStyle w:val="Tableheadingrow"/>
              <w:jc w:val="center"/>
              <w:rPr>
                <w:lang w:val="en-AU"/>
              </w:rPr>
            </w:pPr>
            <w:r w:rsidRPr="002D21EA">
              <w:rPr>
                <w:lang w:val="en-AU"/>
              </w:rPr>
              <w:t>Doses</w:t>
            </w:r>
          </w:p>
        </w:tc>
        <w:tc>
          <w:tcPr>
            <w:tcW w:w="2251" w:type="pct"/>
            <w:gridSpan w:val="2"/>
            <w:shd w:val="clear" w:color="auto" w:fill="auto"/>
            <w:noWrap/>
            <w:vAlign w:val="center"/>
          </w:tcPr>
          <w:p w14:paraId="63687E68" w14:textId="77777777" w:rsidR="00107A4F" w:rsidRPr="002D21EA" w:rsidRDefault="00107A4F" w:rsidP="00174A07">
            <w:pPr>
              <w:pStyle w:val="Tableheadingrow"/>
              <w:jc w:val="center"/>
              <w:rPr>
                <w:lang w:val="en-AU"/>
              </w:rPr>
            </w:pPr>
            <w:r w:rsidRPr="002D21EA">
              <w:rPr>
                <w:lang w:val="en-AU"/>
              </w:rPr>
              <w:t>Proportion of patients on each dose interval</w:t>
            </w:r>
          </w:p>
        </w:tc>
      </w:tr>
      <w:tr w:rsidR="00107A4F" w:rsidRPr="002D21EA" w14:paraId="0054C7FD" w14:textId="77777777" w:rsidTr="00174A07">
        <w:trPr>
          <w:trHeight w:val="270"/>
        </w:trPr>
        <w:tc>
          <w:tcPr>
            <w:tcW w:w="1334" w:type="pct"/>
            <w:vMerge/>
            <w:shd w:val="clear" w:color="auto" w:fill="auto"/>
            <w:noWrap/>
            <w:vAlign w:val="center"/>
          </w:tcPr>
          <w:p w14:paraId="64A45CA9" w14:textId="77777777" w:rsidR="00107A4F" w:rsidRPr="002D21EA" w:rsidRDefault="00107A4F" w:rsidP="00174A07">
            <w:pPr>
              <w:pStyle w:val="Tableheadingrow"/>
              <w:jc w:val="center"/>
              <w:rPr>
                <w:lang w:val="en-AU"/>
              </w:rPr>
            </w:pPr>
          </w:p>
        </w:tc>
        <w:tc>
          <w:tcPr>
            <w:tcW w:w="1415" w:type="pct"/>
            <w:vMerge/>
            <w:shd w:val="clear" w:color="auto" w:fill="auto"/>
            <w:noWrap/>
            <w:vAlign w:val="center"/>
          </w:tcPr>
          <w:p w14:paraId="1083A467" w14:textId="77777777" w:rsidR="00107A4F" w:rsidRPr="002D21EA" w:rsidRDefault="00107A4F" w:rsidP="00174A07">
            <w:pPr>
              <w:pStyle w:val="Tableheadingrow"/>
              <w:jc w:val="center"/>
              <w:rPr>
                <w:lang w:val="en-AU"/>
              </w:rPr>
            </w:pPr>
          </w:p>
        </w:tc>
        <w:tc>
          <w:tcPr>
            <w:tcW w:w="1126" w:type="pct"/>
            <w:shd w:val="clear" w:color="auto" w:fill="auto"/>
            <w:noWrap/>
            <w:vAlign w:val="center"/>
          </w:tcPr>
          <w:p w14:paraId="2546B133" w14:textId="77777777" w:rsidR="00107A4F" w:rsidRPr="002D21EA" w:rsidRDefault="00107A4F" w:rsidP="00174A07">
            <w:pPr>
              <w:pStyle w:val="Tableheadingrow"/>
              <w:jc w:val="center"/>
              <w:rPr>
                <w:lang w:val="en-AU"/>
              </w:rPr>
            </w:pPr>
            <w:r w:rsidRPr="002D21EA">
              <w:rPr>
                <w:lang w:val="en-AU"/>
              </w:rPr>
              <w:t>TENAYA (N=315)</w:t>
            </w:r>
          </w:p>
        </w:tc>
        <w:tc>
          <w:tcPr>
            <w:tcW w:w="1125" w:type="pct"/>
            <w:shd w:val="clear" w:color="auto" w:fill="auto"/>
            <w:noWrap/>
            <w:vAlign w:val="center"/>
          </w:tcPr>
          <w:p w14:paraId="2408CAB2" w14:textId="77777777" w:rsidR="00107A4F" w:rsidRPr="002D21EA" w:rsidRDefault="00107A4F" w:rsidP="00174A07">
            <w:pPr>
              <w:pStyle w:val="Tableheadingrow"/>
              <w:jc w:val="center"/>
              <w:rPr>
                <w:lang w:val="en-AU"/>
              </w:rPr>
            </w:pPr>
            <w:r w:rsidRPr="002D21EA">
              <w:rPr>
                <w:lang w:val="en-AU"/>
              </w:rPr>
              <w:t>LUCERNE (N=316)</w:t>
            </w:r>
          </w:p>
        </w:tc>
      </w:tr>
      <w:tr w:rsidR="00107A4F" w:rsidRPr="002D21EA" w14:paraId="46D5EE0B" w14:textId="77777777" w:rsidTr="00174A07">
        <w:trPr>
          <w:trHeight w:val="270"/>
        </w:trPr>
        <w:tc>
          <w:tcPr>
            <w:tcW w:w="1334" w:type="pct"/>
            <w:shd w:val="clear" w:color="auto" w:fill="auto"/>
            <w:noWrap/>
            <w:vAlign w:val="bottom"/>
            <w:hideMark/>
          </w:tcPr>
          <w:p w14:paraId="4F88E6A9" w14:textId="77777777" w:rsidR="00107A4F" w:rsidRPr="002D21EA" w:rsidRDefault="00107A4F" w:rsidP="00174A07">
            <w:pPr>
              <w:pStyle w:val="TableText"/>
            </w:pPr>
            <w:r w:rsidRPr="002D21EA">
              <w:t>8 weeks</w:t>
            </w:r>
          </w:p>
        </w:tc>
        <w:tc>
          <w:tcPr>
            <w:tcW w:w="1415" w:type="pct"/>
            <w:shd w:val="clear" w:color="auto" w:fill="auto"/>
            <w:noWrap/>
            <w:vAlign w:val="bottom"/>
            <w:hideMark/>
          </w:tcPr>
          <w:p w14:paraId="5205D29D" w14:textId="77777777" w:rsidR="00107A4F" w:rsidRPr="002D21EA" w:rsidRDefault="00107A4F" w:rsidP="00174A07">
            <w:pPr>
              <w:pStyle w:val="TableText"/>
              <w:jc w:val="center"/>
            </w:pPr>
            <w:r w:rsidRPr="002D21EA">
              <w:t>6.5</w:t>
            </w:r>
          </w:p>
        </w:tc>
        <w:tc>
          <w:tcPr>
            <w:tcW w:w="1126" w:type="pct"/>
            <w:shd w:val="clear" w:color="auto" w:fill="auto"/>
            <w:noWrap/>
            <w:vAlign w:val="bottom"/>
            <w:hideMark/>
          </w:tcPr>
          <w:p w14:paraId="446DA481" w14:textId="77777777" w:rsidR="00107A4F" w:rsidRPr="002D21EA" w:rsidRDefault="00107A4F" w:rsidP="00174A07">
            <w:pPr>
              <w:pStyle w:val="TableText"/>
              <w:jc w:val="center"/>
            </w:pPr>
            <w:r w:rsidRPr="002D21EA">
              <w:t>20%</w:t>
            </w:r>
          </w:p>
        </w:tc>
        <w:tc>
          <w:tcPr>
            <w:tcW w:w="1125" w:type="pct"/>
            <w:shd w:val="clear" w:color="auto" w:fill="auto"/>
            <w:noWrap/>
            <w:vAlign w:val="bottom"/>
            <w:hideMark/>
          </w:tcPr>
          <w:p w14:paraId="3D4CD00A" w14:textId="77777777" w:rsidR="00107A4F" w:rsidRPr="002D21EA" w:rsidRDefault="00107A4F" w:rsidP="00174A07">
            <w:pPr>
              <w:pStyle w:val="TableText"/>
              <w:jc w:val="center"/>
            </w:pPr>
            <w:r w:rsidRPr="002D21EA">
              <w:t>22%</w:t>
            </w:r>
          </w:p>
        </w:tc>
      </w:tr>
      <w:tr w:rsidR="00107A4F" w:rsidRPr="002D21EA" w14:paraId="3275E751" w14:textId="77777777" w:rsidTr="00174A07">
        <w:trPr>
          <w:trHeight w:val="270"/>
        </w:trPr>
        <w:tc>
          <w:tcPr>
            <w:tcW w:w="1334" w:type="pct"/>
            <w:shd w:val="clear" w:color="auto" w:fill="auto"/>
            <w:noWrap/>
            <w:vAlign w:val="bottom"/>
            <w:hideMark/>
          </w:tcPr>
          <w:p w14:paraId="1819F0BE" w14:textId="77777777" w:rsidR="00107A4F" w:rsidRPr="002D21EA" w:rsidRDefault="00107A4F" w:rsidP="00174A07">
            <w:pPr>
              <w:pStyle w:val="TableText"/>
            </w:pPr>
            <w:r w:rsidRPr="002D21EA">
              <w:t>12 weeks</w:t>
            </w:r>
          </w:p>
        </w:tc>
        <w:tc>
          <w:tcPr>
            <w:tcW w:w="1415" w:type="pct"/>
            <w:shd w:val="clear" w:color="auto" w:fill="auto"/>
            <w:noWrap/>
            <w:vAlign w:val="bottom"/>
            <w:hideMark/>
          </w:tcPr>
          <w:p w14:paraId="36356D36" w14:textId="77777777" w:rsidR="00107A4F" w:rsidRPr="002D21EA" w:rsidRDefault="00107A4F" w:rsidP="00174A07">
            <w:pPr>
              <w:pStyle w:val="TableText"/>
              <w:jc w:val="center"/>
            </w:pPr>
            <w:r w:rsidRPr="002D21EA">
              <w:t>4.3</w:t>
            </w:r>
          </w:p>
        </w:tc>
        <w:tc>
          <w:tcPr>
            <w:tcW w:w="1126" w:type="pct"/>
            <w:shd w:val="clear" w:color="auto" w:fill="auto"/>
            <w:noWrap/>
            <w:vAlign w:val="bottom"/>
            <w:hideMark/>
          </w:tcPr>
          <w:p w14:paraId="3AAB6F55" w14:textId="77777777" w:rsidR="00107A4F" w:rsidRPr="002D21EA" w:rsidRDefault="00107A4F" w:rsidP="00174A07">
            <w:pPr>
              <w:pStyle w:val="TableText"/>
              <w:jc w:val="center"/>
            </w:pPr>
            <w:r w:rsidRPr="002D21EA">
              <w:t>34%</w:t>
            </w:r>
          </w:p>
        </w:tc>
        <w:tc>
          <w:tcPr>
            <w:tcW w:w="1125" w:type="pct"/>
            <w:shd w:val="clear" w:color="auto" w:fill="auto"/>
            <w:noWrap/>
            <w:vAlign w:val="bottom"/>
            <w:hideMark/>
          </w:tcPr>
          <w:p w14:paraId="5DDAEAFD" w14:textId="77777777" w:rsidR="00107A4F" w:rsidRPr="002D21EA" w:rsidRDefault="00107A4F" w:rsidP="00174A07">
            <w:pPr>
              <w:pStyle w:val="TableText"/>
              <w:jc w:val="center"/>
            </w:pPr>
            <w:r w:rsidRPr="002D21EA">
              <w:t>33%</w:t>
            </w:r>
          </w:p>
        </w:tc>
      </w:tr>
      <w:tr w:rsidR="00107A4F" w:rsidRPr="002D21EA" w14:paraId="5B5887BB" w14:textId="77777777" w:rsidTr="00174A07">
        <w:trPr>
          <w:trHeight w:val="270"/>
        </w:trPr>
        <w:tc>
          <w:tcPr>
            <w:tcW w:w="1334" w:type="pct"/>
            <w:shd w:val="clear" w:color="auto" w:fill="auto"/>
            <w:noWrap/>
            <w:vAlign w:val="bottom"/>
            <w:hideMark/>
          </w:tcPr>
          <w:p w14:paraId="7037EE7B" w14:textId="77777777" w:rsidR="00107A4F" w:rsidRPr="002D21EA" w:rsidRDefault="00107A4F" w:rsidP="00174A07">
            <w:pPr>
              <w:pStyle w:val="TableText"/>
            </w:pPr>
            <w:r w:rsidRPr="002D21EA">
              <w:t>16 weeks</w:t>
            </w:r>
          </w:p>
        </w:tc>
        <w:tc>
          <w:tcPr>
            <w:tcW w:w="1415" w:type="pct"/>
            <w:shd w:val="clear" w:color="auto" w:fill="auto"/>
            <w:noWrap/>
            <w:vAlign w:val="bottom"/>
            <w:hideMark/>
          </w:tcPr>
          <w:p w14:paraId="2CC4DFA4" w14:textId="77777777" w:rsidR="00107A4F" w:rsidRPr="002D21EA" w:rsidRDefault="00107A4F" w:rsidP="00174A07">
            <w:pPr>
              <w:pStyle w:val="TableText"/>
              <w:jc w:val="center"/>
            </w:pPr>
            <w:r w:rsidRPr="002D21EA">
              <w:t>3.3</w:t>
            </w:r>
          </w:p>
        </w:tc>
        <w:tc>
          <w:tcPr>
            <w:tcW w:w="1126" w:type="pct"/>
            <w:shd w:val="clear" w:color="auto" w:fill="auto"/>
            <w:noWrap/>
            <w:vAlign w:val="bottom"/>
            <w:hideMark/>
          </w:tcPr>
          <w:p w14:paraId="17C47344" w14:textId="77777777" w:rsidR="00107A4F" w:rsidRPr="002D21EA" w:rsidRDefault="00107A4F" w:rsidP="00174A07">
            <w:pPr>
              <w:pStyle w:val="TableText"/>
              <w:jc w:val="center"/>
            </w:pPr>
            <w:r w:rsidRPr="002D21EA">
              <w:t>46%</w:t>
            </w:r>
          </w:p>
        </w:tc>
        <w:tc>
          <w:tcPr>
            <w:tcW w:w="1125" w:type="pct"/>
            <w:shd w:val="clear" w:color="auto" w:fill="auto"/>
            <w:noWrap/>
            <w:vAlign w:val="bottom"/>
            <w:hideMark/>
          </w:tcPr>
          <w:p w14:paraId="6686C5A0" w14:textId="77777777" w:rsidR="00107A4F" w:rsidRPr="002D21EA" w:rsidRDefault="00107A4F" w:rsidP="00174A07">
            <w:pPr>
              <w:pStyle w:val="TableText"/>
              <w:jc w:val="center"/>
            </w:pPr>
            <w:r w:rsidRPr="002D21EA">
              <w:t>45%</w:t>
            </w:r>
          </w:p>
        </w:tc>
      </w:tr>
      <w:tr w:rsidR="00107A4F" w:rsidRPr="002D21EA" w14:paraId="0A075870" w14:textId="77777777" w:rsidTr="00174A07">
        <w:trPr>
          <w:trHeight w:val="270"/>
        </w:trPr>
        <w:tc>
          <w:tcPr>
            <w:tcW w:w="2749" w:type="pct"/>
            <w:gridSpan w:val="2"/>
            <w:shd w:val="clear" w:color="auto" w:fill="auto"/>
            <w:noWrap/>
            <w:hideMark/>
          </w:tcPr>
          <w:p w14:paraId="6E5BED65" w14:textId="77777777" w:rsidR="00107A4F" w:rsidRPr="002D21EA" w:rsidRDefault="00107A4F" w:rsidP="00174A07">
            <w:pPr>
              <w:pStyle w:val="TableText"/>
            </w:pPr>
            <w:r w:rsidRPr="002D21EA">
              <w:t>Trial based average number of doses</w:t>
            </w:r>
          </w:p>
        </w:tc>
        <w:tc>
          <w:tcPr>
            <w:tcW w:w="1126" w:type="pct"/>
            <w:shd w:val="clear" w:color="auto" w:fill="auto"/>
            <w:noWrap/>
            <w:vAlign w:val="bottom"/>
            <w:hideMark/>
          </w:tcPr>
          <w:p w14:paraId="57AF1B13" w14:textId="77777777" w:rsidR="00107A4F" w:rsidRPr="002D21EA" w:rsidRDefault="00107A4F" w:rsidP="00174A07">
            <w:pPr>
              <w:pStyle w:val="TableText"/>
              <w:jc w:val="center"/>
            </w:pPr>
            <w:r w:rsidRPr="002D21EA">
              <w:t>4.28</w:t>
            </w:r>
          </w:p>
        </w:tc>
        <w:tc>
          <w:tcPr>
            <w:tcW w:w="1125" w:type="pct"/>
            <w:shd w:val="clear" w:color="auto" w:fill="auto"/>
            <w:noWrap/>
            <w:vAlign w:val="bottom"/>
            <w:hideMark/>
          </w:tcPr>
          <w:p w14:paraId="73AE8A94" w14:textId="77777777" w:rsidR="00107A4F" w:rsidRPr="002D21EA" w:rsidRDefault="00107A4F" w:rsidP="00174A07">
            <w:pPr>
              <w:pStyle w:val="TableText"/>
              <w:jc w:val="center"/>
            </w:pPr>
            <w:r w:rsidRPr="002D21EA">
              <w:t>4.33</w:t>
            </w:r>
          </w:p>
        </w:tc>
      </w:tr>
      <w:tr w:rsidR="00107A4F" w:rsidRPr="002D21EA" w14:paraId="3CE2F25B" w14:textId="77777777" w:rsidTr="00174A07">
        <w:trPr>
          <w:trHeight w:val="270"/>
        </w:trPr>
        <w:tc>
          <w:tcPr>
            <w:tcW w:w="2749" w:type="pct"/>
            <w:gridSpan w:val="2"/>
            <w:shd w:val="clear" w:color="auto" w:fill="auto"/>
            <w:noWrap/>
            <w:hideMark/>
          </w:tcPr>
          <w:p w14:paraId="56D88027" w14:textId="77777777" w:rsidR="00107A4F" w:rsidRPr="002D21EA" w:rsidRDefault="00107A4F" w:rsidP="00174A07">
            <w:pPr>
              <w:pStyle w:val="TableText"/>
            </w:pPr>
            <w:r w:rsidRPr="002D21EA">
              <w:t>Participant weighted trial based average number of yearly doses</w:t>
            </w:r>
          </w:p>
        </w:tc>
        <w:tc>
          <w:tcPr>
            <w:tcW w:w="2251" w:type="pct"/>
            <w:gridSpan w:val="2"/>
            <w:shd w:val="clear" w:color="auto" w:fill="auto"/>
            <w:noWrap/>
            <w:vAlign w:val="bottom"/>
            <w:hideMark/>
          </w:tcPr>
          <w:p w14:paraId="4AB92C3D" w14:textId="77777777" w:rsidR="00107A4F" w:rsidRPr="002D21EA" w:rsidRDefault="00107A4F" w:rsidP="00174A07">
            <w:pPr>
              <w:pStyle w:val="TableText"/>
              <w:jc w:val="center"/>
            </w:pPr>
            <w:r w:rsidRPr="002D21EA">
              <w:t>4.30</w:t>
            </w:r>
          </w:p>
        </w:tc>
      </w:tr>
    </w:tbl>
    <w:p w14:paraId="697870DC" w14:textId="77777777" w:rsidR="00107A4F" w:rsidRPr="002D21EA" w:rsidRDefault="00107A4F" w:rsidP="00107A4F">
      <w:pPr>
        <w:pStyle w:val="TableFigureFooter"/>
      </w:pPr>
      <w:r w:rsidRPr="002D21EA">
        <w:t>Source: Table 3.2, p110 of the submission.</w:t>
      </w:r>
    </w:p>
    <w:p w14:paraId="2D085542" w14:textId="44B8CD15" w:rsidR="00572974" w:rsidRPr="002D21EA" w:rsidRDefault="00572974" w:rsidP="004F1F88">
      <w:pPr>
        <w:pStyle w:val="ExecSumBodyText"/>
      </w:pPr>
      <w:r w:rsidRPr="002D21EA">
        <w:t xml:space="preserve">The submission noted that the trial-based dosing did not represent a treat-and-extend regimen, the most commonly used dosing strategy in clinical practice, but the results of the trials did not give any signals that the faricimab patients were undertreated with the trial-based doses. Further, at a population level, the proportion of patients at each interval was considered appropriate to determine the equi-effective dose, and the annual average number of faricimab doses derived using this method was within the recommended doses in the faricimab </w:t>
      </w:r>
      <w:r w:rsidR="00D95B18" w:rsidRPr="002D21EA">
        <w:t>p</w:t>
      </w:r>
      <w:r w:rsidRPr="002D21EA">
        <w:t xml:space="preserve">roduct </w:t>
      </w:r>
      <w:r w:rsidR="00D95B18" w:rsidRPr="002D21EA">
        <w:t>i</w:t>
      </w:r>
      <w:r w:rsidRPr="002D21EA">
        <w:t>nformation. The trial-based dosing intervals were set at Weeks 20/24 of the trial, determined by the presence/absence of active disease for each patient at that time point</w:t>
      </w:r>
      <w:r w:rsidR="0051172C" w:rsidRPr="002D21EA">
        <w:t>; t</w:t>
      </w:r>
      <w:r w:rsidRPr="002D21EA">
        <w:t xml:space="preserve">his may not reflect use in clinical practice, where ongoing treatment intervals may be varied based on the patient’s ongoing response to treatment. </w:t>
      </w:r>
      <w:r w:rsidR="00A70DD3" w:rsidRPr="002D21EA">
        <w:t>Although dosing based on personalised treatment intervals was included in the TENAYA and LUCERNE trials between Week 60 and Week 108, results beyond Week 60 were not provided in the submission.</w:t>
      </w:r>
    </w:p>
    <w:p w14:paraId="33BB8E98" w14:textId="3F3F9F75" w:rsidR="00572974" w:rsidRPr="002D21EA" w:rsidRDefault="00572974" w:rsidP="008711DB">
      <w:pPr>
        <w:pStyle w:val="ExecSumBodyText"/>
      </w:pPr>
      <w:r w:rsidRPr="002D21EA">
        <w:t>The estimated number of doses per year for aflibercept (8.52 doses per year in year 1, and 7.09 doses per year in year 2) was based on the 2018 DUSC analysis of ranibizumab and aflibercept utilisation</w:t>
      </w:r>
      <w:r w:rsidR="00946947" w:rsidRPr="002D21EA">
        <w:t xml:space="preserve"> (‘Ranibizumab and aflibercept: analysis of use for AMD, DMO, BRVO and CRVO’, May 2018 DUSC public release document)</w:t>
      </w:r>
      <w:r w:rsidRPr="002D21EA">
        <w:t>. The submission noted that the average aflibercept doses per year in the included trials (8 doses in year 1 and 7 doses in year 2) were similar to the DUSC analysis.</w:t>
      </w:r>
      <w:r w:rsidR="008711DB" w:rsidRPr="002D21EA">
        <w:t xml:space="preserve"> The 2018 DUSC analysis was based on patients initiating therapy in 2015 and may overestimate the number of doses of VEGF inhibitors </w:t>
      </w:r>
      <w:r w:rsidR="00FD51B6" w:rsidRPr="002D21EA">
        <w:t xml:space="preserve">in current practice </w:t>
      </w:r>
      <w:r w:rsidR="008711DB" w:rsidRPr="002D21EA">
        <w:t>given the increasing use of treat and extend regimens in Australia since the analysis was conducted.</w:t>
      </w:r>
    </w:p>
    <w:p w14:paraId="2C1115E9" w14:textId="243D1A21" w:rsidR="00F76705" w:rsidRPr="002D21EA" w:rsidRDefault="00572974" w:rsidP="00F76705">
      <w:pPr>
        <w:pStyle w:val="ExecSumBodyText"/>
      </w:pPr>
      <w:r w:rsidRPr="002D21EA">
        <w:t>An update to the analysis in the 2018 DUSC report, based on patients who received aflibercept and ranibizumab under AMD authority codes and initiated treatment in 2018</w:t>
      </w:r>
      <w:r w:rsidR="003862B2">
        <w:t xml:space="preserve"> from PBS data</w:t>
      </w:r>
      <w:r w:rsidRPr="002D21EA">
        <w:t xml:space="preserve"> was conducted </w:t>
      </w:r>
      <w:r w:rsidR="003862B2">
        <w:t>during the evaluation</w:t>
      </w:r>
      <w:r w:rsidRPr="002D21EA">
        <w:t>. The mean and median number of aflibercept/ranibizumab doses in the first and second years of treatment (counted from initiation date) is summarised in the table below.</w:t>
      </w:r>
      <w:r w:rsidR="00880120" w:rsidRPr="002D21EA">
        <w:t xml:space="preserve"> The updated analysis suggests that the average number of scripts per patient in the first year and second year of treatment has decreased for patients initiating treatment in 2015 versus 2018.</w:t>
      </w:r>
    </w:p>
    <w:p w14:paraId="39A88D71" w14:textId="3ACBA300" w:rsidR="004C3F1F" w:rsidRPr="002D21EA" w:rsidRDefault="004C3F1F" w:rsidP="004C3F1F">
      <w:pPr>
        <w:pStyle w:val="Tableheadingrow"/>
        <w:jc w:val="both"/>
        <w:rPr>
          <w:lang w:val="en-AU"/>
        </w:rPr>
      </w:pPr>
      <w:r w:rsidRPr="002D21EA">
        <w:rPr>
          <w:lang w:val="en-AU"/>
        </w:rPr>
        <w:lastRenderedPageBreak/>
        <w:t xml:space="preserve">Table </w:t>
      </w:r>
      <w:r w:rsidRPr="002D21EA">
        <w:rPr>
          <w:lang w:val="en-AU"/>
        </w:rPr>
        <w:fldChar w:fldCharType="begin"/>
      </w:r>
      <w:r w:rsidRPr="002D21EA">
        <w:rPr>
          <w:lang w:val="en-AU"/>
        </w:rPr>
        <w:instrText xml:space="preserve"> SEQ Table \* ARABIC </w:instrText>
      </w:r>
      <w:r w:rsidRPr="002D21EA">
        <w:rPr>
          <w:lang w:val="en-AU"/>
        </w:rPr>
        <w:fldChar w:fldCharType="separate"/>
      </w:r>
      <w:r w:rsidR="006C2A4B">
        <w:rPr>
          <w:noProof/>
          <w:lang w:val="en-AU"/>
        </w:rPr>
        <w:t>10</w:t>
      </w:r>
      <w:r w:rsidRPr="002D21EA">
        <w:rPr>
          <w:lang w:val="en-AU"/>
        </w:rPr>
        <w:fldChar w:fldCharType="end"/>
      </w:r>
      <w:r w:rsidRPr="002D21EA">
        <w:rPr>
          <w:lang w:val="en-AU"/>
        </w:rPr>
        <w:t xml:space="preserve">: Average number of intravitreal aflibercept/ranibizumab PBS scripts per year: Patients initiating treatment in </w:t>
      </w:r>
      <w:r w:rsidR="000259D4" w:rsidRPr="002D21EA">
        <w:rPr>
          <w:lang w:val="en-AU"/>
        </w:rPr>
        <w:t xml:space="preserve">2015 versus </w:t>
      </w:r>
      <w:r w:rsidRPr="002D21EA">
        <w:rPr>
          <w:lang w:val="en-AU"/>
        </w:rPr>
        <w:t>2018</w:t>
      </w: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10: Average number of intravitreal aflibercept/ranibizumab PBS scripts per year: Patients initiating treatment in 2015 versus 2018"/>
      </w:tblPr>
      <w:tblGrid>
        <w:gridCol w:w="1984"/>
        <w:gridCol w:w="1758"/>
        <w:gridCol w:w="1758"/>
        <w:gridCol w:w="1758"/>
        <w:gridCol w:w="1759"/>
      </w:tblGrid>
      <w:tr w:rsidR="000259D4" w:rsidRPr="002D21EA" w14:paraId="6C01F883" w14:textId="77777777" w:rsidTr="00C4528F">
        <w:tc>
          <w:tcPr>
            <w:tcW w:w="1984" w:type="dxa"/>
            <w:vMerge w:val="restart"/>
            <w:noWrap/>
            <w:tcMar>
              <w:top w:w="0" w:type="dxa"/>
              <w:left w:w="108" w:type="dxa"/>
              <w:bottom w:w="0" w:type="dxa"/>
              <w:right w:w="108" w:type="dxa"/>
            </w:tcMar>
            <w:vAlign w:val="bottom"/>
          </w:tcPr>
          <w:p w14:paraId="0E0F0CC5" w14:textId="77777777" w:rsidR="000259D4" w:rsidRPr="002D21EA" w:rsidRDefault="000259D4" w:rsidP="004F1F88">
            <w:pPr>
              <w:rPr>
                <w:rFonts w:ascii="Arial Narrow" w:hAnsi="Arial Narrow"/>
                <w:color w:val="000000"/>
                <w:sz w:val="20"/>
                <w:szCs w:val="20"/>
              </w:rPr>
            </w:pPr>
          </w:p>
        </w:tc>
        <w:tc>
          <w:tcPr>
            <w:tcW w:w="3516" w:type="dxa"/>
            <w:gridSpan w:val="2"/>
          </w:tcPr>
          <w:p w14:paraId="7269A4D9" w14:textId="77777777" w:rsidR="000259D4" w:rsidRPr="002D21EA" w:rsidRDefault="000259D4" w:rsidP="004F1F88">
            <w:pPr>
              <w:jc w:val="center"/>
              <w:rPr>
                <w:rFonts w:ascii="Arial Narrow" w:hAnsi="Arial Narrow"/>
                <w:b/>
                <w:bCs/>
                <w:color w:val="000000"/>
                <w:sz w:val="20"/>
                <w:szCs w:val="20"/>
              </w:rPr>
            </w:pPr>
            <w:r w:rsidRPr="002D21EA">
              <w:rPr>
                <w:rFonts w:ascii="Arial Narrow" w:hAnsi="Arial Narrow"/>
                <w:b/>
                <w:bCs/>
                <w:color w:val="000000"/>
                <w:sz w:val="20"/>
                <w:szCs w:val="20"/>
              </w:rPr>
              <w:t>Patients initiating treatment in 2015</w:t>
            </w:r>
          </w:p>
        </w:tc>
        <w:tc>
          <w:tcPr>
            <w:tcW w:w="3517" w:type="dxa"/>
            <w:gridSpan w:val="2"/>
            <w:noWrap/>
            <w:tcMar>
              <w:top w:w="0" w:type="dxa"/>
              <w:left w:w="108" w:type="dxa"/>
              <w:bottom w:w="0" w:type="dxa"/>
              <w:right w:w="108" w:type="dxa"/>
            </w:tcMar>
            <w:vAlign w:val="center"/>
          </w:tcPr>
          <w:p w14:paraId="59E61D61" w14:textId="77777777" w:rsidR="000259D4" w:rsidRPr="002D21EA" w:rsidRDefault="000259D4" w:rsidP="004F1F88">
            <w:pPr>
              <w:jc w:val="center"/>
              <w:rPr>
                <w:rFonts w:ascii="Arial Narrow" w:hAnsi="Arial Narrow"/>
                <w:b/>
                <w:bCs/>
                <w:color w:val="000000"/>
                <w:sz w:val="20"/>
                <w:szCs w:val="20"/>
              </w:rPr>
            </w:pPr>
            <w:r w:rsidRPr="002D21EA">
              <w:rPr>
                <w:rFonts w:ascii="Arial Narrow" w:hAnsi="Arial Narrow"/>
                <w:b/>
                <w:bCs/>
                <w:color w:val="000000"/>
                <w:sz w:val="20"/>
                <w:szCs w:val="20"/>
              </w:rPr>
              <w:t>Patients initiating treatment in 2018</w:t>
            </w:r>
          </w:p>
        </w:tc>
      </w:tr>
      <w:tr w:rsidR="000259D4" w:rsidRPr="002D21EA" w14:paraId="2DABEFD7" w14:textId="77777777" w:rsidTr="00C4528F">
        <w:tc>
          <w:tcPr>
            <w:tcW w:w="1984" w:type="dxa"/>
            <w:vMerge/>
            <w:noWrap/>
            <w:tcMar>
              <w:top w:w="0" w:type="dxa"/>
              <w:left w:w="108" w:type="dxa"/>
              <w:bottom w:w="0" w:type="dxa"/>
              <w:right w:w="108" w:type="dxa"/>
            </w:tcMar>
            <w:vAlign w:val="bottom"/>
          </w:tcPr>
          <w:p w14:paraId="22A7B779" w14:textId="77777777" w:rsidR="000259D4" w:rsidRPr="002D21EA" w:rsidRDefault="000259D4" w:rsidP="004F1F88">
            <w:pPr>
              <w:rPr>
                <w:rFonts w:ascii="Arial Narrow" w:hAnsi="Arial Narrow"/>
                <w:color w:val="000000"/>
                <w:sz w:val="20"/>
                <w:szCs w:val="20"/>
              </w:rPr>
            </w:pPr>
          </w:p>
        </w:tc>
        <w:tc>
          <w:tcPr>
            <w:tcW w:w="1758" w:type="dxa"/>
            <w:vAlign w:val="center"/>
          </w:tcPr>
          <w:p w14:paraId="1736566E" w14:textId="77777777" w:rsidR="000259D4" w:rsidRPr="002D21EA" w:rsidRDefault="000259D4" w:rsidP="004F1F88">
            <w:pPr>
              <w:jc w:val="center"/>
              <w:rPr>
                <w:rFonts w:ascii="Arial Narrow" w:hAnsi="Arial Narrow"/>
                <w:b/>
                <w:bCs/>
                <w:color w:val="000000"/>
                <w:sz w:val="20"/>
                <w:szCs w:val="20"/>
              </w:rPr>
            </w:pPr>
            <w:r w:rsidRPr="002D21EA">
              <w:rPr>
                <w:rFonts w:ascii="Arial Narrow" w:hAnsi="Arial Narrow"/>
                <w:b/>
                <w:bCs/>
                <w:color w:val="000000"/>
                <w:sz w:val="20"/>
                <w:szCs w:val="20"/>
              </w:rPr>
              <w:t>No. patients</w:t>
            </w:r>
          </w:p>
        </w:tc>
        <w:tc>
          <w:tcPr>
            <w:tcW w:w="1758" w:type="dxa"/>
            <w:vAlign w:val="center"/>
          </w:tcPr>
          <w:p w14:paraId="1A9E79A7" w14:textId="77777777" w:rsidR="000259D4" w:rsidRPr="002D21EA" w:rsidRDefault="000259D4" w:rsidP="004F1F88">
            <w:pPr>
              <w:jc w:val="center"/>
              <w:rPr>
                <w:rFonts w:ascii="Arial Narrow" w:hAnsi="Arial Narrow"/>
                <w:b/>
                <w:bCs/>
                <w:color w:val="000000"/>
                <w:sz w:val="20"/>
                <w:szCs w:val="20"/>
              </w:rPr>
            </w:pPr>
            <w:r w:rsidRPr="002D21EA">
              <w:rPr>
                <w:rFonts w:ascii="Arial Narrow" w:hAnsi="Arial Narrow"/>
                <w:b/>
                <w:bCs/>
                <w:color w:val="000000"/>
                <w:sz w:val="20"/>
                <w:szCs w:val="20"/>
              </w:rPr>
              <w:t>Scripts per year (mean)</w:t>
            </w:r>
          </w:p>
        </w:tc>
        <w:tc>
          <w:tcPr>
            <w:tcW w:w="1758" w:type="dxa"/>
            <w:noWrap/>
            <w:tcMar>
              <w:top w:w="0" w:type="dxa"/>
              <w:left w:w="108" w:type="dxa"/>
              <w:bottom w:w="0" w:type="dxa"/>
              <w:right w:w="108" w:type="dxa"/>
            </w:tcMar>
            <w:vAlign w:val="center"/>
          </w:tcPr>
          <w:p w14:paraId="4CADBE47" w14:textId="77777777" w:rsidR="000259D4" w:rsidRPr="002D21EA" w:rsidRDefault="000259D4" w:rsidP="004F1F88">
            <w:pPr>
              <w:jc w:val="center"/>
              <w:rPr>
                <w:rFonts w:ascii="Arial Narrow" w:hAnsi="Arial Narrow"/>
                <w:b/>
                <w:bCs/>
                <w:color w:val="000000"/>
                <w:sz w:val="20"/>
                <w:szCs w:val="20"/>
              </w:rPr>
            </w:pPr>
            <w:r w:rsidRPr="002D21EA">
              <w:rPr>
                <w:rFonts w:ascii="Arial Narrow" w:hAnsi="Arial Narrow"/>
                <w:b/>
                <w:bCs/>
                <w:color w:val="000000"/>
                <w:sz w:val="20"/>
                <w:szCs w:val="20"/>
              </w:rPr>
              <w:t>No. patients</w:t>
            </w:r>
          </w:p>
        </w:tc>
        <w:tc>
          <w:tcPr>
            <w:tcW w:w="1759" w:type="dxa"/>
            <w:noWrap/>
            <w:tcMar>
              <w:top w:w="0" w:type="dxa"/>
              <w:left w:w="108" w:type="dxa"/>
              <w:bottom w:w="0" w:type="dxa"/>
              <w:right w:w="108" w:type="dxa"/>
            </w:tcMar>
            <w:vAlign w:val="center"/>
          </w:tcPr>
          <w:p w14:paraId="406995FD" w14:textId="77777777" w:rsidR="000259D4" w:rsidRPr="002D21EA" w:rsidRDefault="000259D4" w:rsidP="004F1F88">
            <w:pPr>
              <w:jc w:val="center"/>
              <w:rPr>
                <w:rFonts w:ascii="Arial Narrow" w:hAnsi="Arial Narrow"/>
                <w:b/>
                <w:bCs/>
                <w:color w:val="000000"/>
                <w:sz w:val="20"/>
                <w:szCs w:val="20"/>
              </w:rPr>
            </w:pPr>
            <w:r w:rsidRPr="002D21EA">
              <w:rPr>
                <w:rFonts w:ascii="Arial Narrow" w:hAnsi="Arial Narrow"/>
                <w:b/>
                <w:bCs/>
                <w:color w:val="000000"/>
                <w:sz w:val="20"/>
                <w:szCs w:val="20"/>
              </w:rPr>
              <w:t>Scripts per year (mean)</w:t>
            </w:r>
          </w:p>
        </w:tc>
      </w:tr>
      <w:tr w:rsidR="000259D4" w:rsidRPr="002D21EA" w14:paraId="4656D19F" w14:textId="77777777" w:rsidTr="00C4528F">
        <w:tc>
          <w:tcPr>
            <w:tcW w:w="1984" w:type="dxa"/>
            <w:noWrap/>
            <w:tcMar>
              <w:top w:w="0" w:type="dxa"/>
              <w:left w:w="108" w:type="dxa"/>
              <w:bottom w:w="0" w:type="dxa"/>
              <w:right w:w="108" w:type="dxa"/>
            </w:tcMar>
            <w:vAlign w:val="bottom"/>
            <w:hideMark/>
          </w:tcPr>
          <w:p w14:paraId="381CD848" w14:textId="77777777" w:rsidR="000259D4" w:rsidRPr="002D21EA" w:rsidRDefault="000259D4" w:rsidP="004F1F88">
            <w:pPr>
              <w:rPr>
                <w:rFonts w:ascii="Arial Narrow" w:hAnsi="Arial Narrow"/>
                <w:color w:val="000000"/>
                <w:sz w:val="20"/>
                <w:szCs w:val="20"/>
              </w:rPr>
            </w:pPr>
            <w:r w:rsidRPr="002D21EA">
              <w:rPr>
                <w:rFonts w:ascii="Arial Narrow" w:hAnsi="Arial Narrow"/>
                <w:color w:val="000000"/>
                <w:sz w:val="20"/>
                <w:szCs w:val="20"/>
              </w:rPr>
              <w:t>Year 1</w:t>
            </w:r>
          </w:p>
        </w:tc>
        <w:tc>
          <w:tcPr>
            <w:tcW w:w="1758" w:type="dxa"/>
          </w:tcPr>
          <w:p w14:paraId="45A21F71" w14:textId="77777777" w:rsidR="000259D4" w:rsidRPr="002D21EA" w:rsidRDefault="000259D4" w:rsidP="004F1F88">
            <w:pPr>
              <w:jc w:val="center"/>
              <w:rPr>
                <w:rFonts w:ascii="Arial Narrow" w:hAnsi="Arial Narrow"/>
                <w:color w:val="000000"/>
                <w:sz w:val="20"/>
                <w:szCs w:val="20"/>
              </w:rPr>
            </w:pPr>
            <w:r w:rsidRPr="002D21EA">
              <w:rPr>
                <w:rFonts w:ascii="Arial Narrow" w:hAnsi="Arial Narrow"/>
                <w:color w:val="000000"/>
                <w:sz w:val="20"/>
                <w:szCs w:val="20"/>
              </w:rPr>
              <w:t>7,850</w:t>
            </w:r>
          </w:p>
        </w:tc>
        <w:tc>
          <w:tcPr>
            <w:tcW w:w="1758" w:type="dxa"/>
          </w:tcPr>
          <w:p w14:paraId="779D115B" w14:textId="77777777" w:rsidR="000259D4" w:rsidRPr="002D21EA" w:rsidRDefault="000259D4" w:rsidP="004F1F88">
            <w:pPr>
              <w:jc w:val="center"/>
              <w:rPr>
                <w:rFonts w:ascii="Arial Narrow" w:hAnsi="Arial Narrow"/>
                <w:color w:val="000000"/>
                <w:sz w:val="20"/>
                <w:szCs w:val="20"/>
              </w:rPr>
            </w:pPr>
            <w:r w:rsidRPr="002D21EA">
              <w:rPr>
                <w:rFonts w:ascii="Arial Narrow" w:hAnsi="Arial Narrow"/>
                <w:color w:val="000000"/>
                <w:sz w:val="20"/>
                <w:szCs w:val="20"/>
              </w:rPr>
              <w:t>8.52</w:t>
            </w:r>
          </w:p>
        </w:tc>
        <w:tc>
          <w:tcPr>
            <w:tcW w:w="1758" w:type="dxa"/>
            <w:noWrap/>
            <w:tcMar>
              <w:top w:w="0" w:type="dxa"/>
              <w:left w:w="108" w:type="dxa"/>
              <w:bottom w:w="0" w:type="dxa"/>
              <w:right w:w="108" w:type="dxa"/>
            </w:tcMar>
            <w:vAlign w:val="center"/>
            <w:hideMark/>
          </w:tcPr>
          <w:p w14:paraId="5FAFD20F" w14:textId="77777777" w:rsidR="000259D4" w:rsidRPr="002D21EA" w:rsidRDefault="000259D4" w:rsidP="004F1F88">
            <w:pPr>
              <w:jc w:val="center"/>
              <w:rPr>
                <w:rFonts w:ascii="Arial Narrow" w:hAnsi="Arial Narrow"/>
                <w:color w:val="000000"/>
                <w:sz w:val="20"/>
                <w:szCs w:val="20"/>
              </w:rPr>
            </w:pPr>
            <w:r w:rsidRPr="002D21EA">
              <w:rPr>
                <w:rFonts w:ascii="Arial Narrow" w:hAnsi="Arial Narrow"/>
                <w:color w:val="000000"/>
                <w:sz w:val="20"/>
                <w:szCs w:val="20"/>
              </w:rPr>
              <w:t>9,913</w:t>
            </w:r>
          </w:p>
        </w:tc>
        <w:tc>
          <w:tcPr>
            <w:tcW w:w="1759" w:type="dxa"/>
            <w:noWrap/>
            <w:tcMar>
              <w:top w:w="0" w:type="dxa"/>
              <w:left w:w="108" w:type="dxa"/>
              <w:bottom w:w="0" w:type="dxa"/>
              <w:right w:w="108" w:type="dxa"/>
            </w:tcMar>
            <w:vAlign w:val="center"/>
            <w:hideMark/>
          </w:tcPr>
          <w:p w14:paraId="771A68FB" w14:textId="77777777" w:rsidR="000259D4" w:rsidRPr="002D21EA" w:rsidRDefault="000259D4" w:rsidP="004F1F88">
            <w:pPr>
              <w:jc w:val="center"/>
              <w:rPr>
                <w:rFonts w:ascii="Arial Narrow" w:hAnsi="Arial Narrow"/>
                <w:color w:val="000000"/>
                <w:sz w:val="20"/>
                <w:szCs w:val="20"/>
              </w:rPr>
            </w:pPr>
            <w:r w:rsidRPr="002D21EA">
              <w:rPr>
                <w:rFonts w:ascii="Arial Narrow" w:hAnsi="Arial Narrow"/>
                <w:color w:val="000000"/>
                <w:sz w:val="20"/>
                <w:szCs w:val="20"/>
              </w:rPr>
              <w:t>7.69</w:t>
            </w:r>
          </w:p>
        </w:tc>
      </w:tr>
      <w:tr w:rsidR="000259D4" w:rsidRPr="002D21EA" w14:paraId="2D32B6FF" w14:textId="77777777" w:rsidTr="00C4528F">
        <w:tc>
          <w:tcPr>
            <w:tcW w:w="1984" w:type="dxa"/>
            <w:noWrap/>
            <w:tcMar>
              <w:top w:w="0" w:type="dxa"/>
              <w:left w:w="108" w:type="dxa"/>
              <w:bottom w:w="0" w:type="dxa"/>
              <w:right w:w="108" w:type="dxa"/>
            </w:tcMar>
            <w:vAlign w:val="bottom"/>
            <w:hideMark/>
          </w:tcPr>
          <w:p w14:paraId="17F793D2" w14:textId="77777777" w:rsidR="000259D4" w:rsidRPr="002D21EA" w:rsidRDefault="000259D4" w:rsidP="004F1F88">
            <w:pPr>
              <w:rPr>
                <w:rFonts w:ascii="Arial Narrow" w:hAnsi="Arial Narrow"/>
                <w:color w:val="000000"/>
                <w:sz w:val="20"/>
                <w:szCs w:val="20"/>
              </w:rPr>
            </w:pPr>
            <w:r w:rsidRPr="002D21EA">
              <w:rPr>
                <w:rFonts w:ascii="Arial Narrow" w:hAnsi="Arial Narrow"/>
                <w:color w:val="000000"/>
                <w:sz w:val="20"/>
                <w:szCs w:val="20"/>
              </w:rPr>
              <w:t>Year 2</w:t>
            </w:r>
          </w:p>
        </w:tc>
        <w:tc>
          <w:tcPr>
            <w:tcW w:w="1758" w:type="dxa"/>
          </w:tcPr>
          <w:p w14:paraId="0FEE8B33" w14:textId="77777777" w:rsidR="000259D4" w:rsidRPr="002D21EA" w:rsidRDefault="000259D4" w:rsidP="004F1F88">
            <w:pPr>
              <w:jc w:val="center"/>
              <w:rPr>
                <w:rFonts w:ascii="Arial Narrow" w:hAnsi="Arial Narrow"/>
                <w:color w:val="000000"/>
                <w:sz w:val="20"/>
                <w:szCs w:val="20"/>
              </w:rPr>
            </w:pPr>
            <w:r w:rsidRPr="002D21EA">
              <w:rPr>
                <w:rFonts w:ascii="Arial Narrow" w:hAnsi="Arial Narrow"/>
                <w:color w:val="000000"/>
                <w:sz w:val="20"/>
                <w:szCs w:val="20"/>
              </w:rPr>
              <w:t>6,096</w:t>
            </w:r>
          </w:p>
        </w:tc>
        <w:tc>
          <w:tcPr>
            <w:tcW w:w="1758" w:type="dxa"/>
          </w:tcPr>
          <w:p w14:paraId="4D5EE7F0" w14:textId="77777777" w:rsidR="000259D4" w:rsidRPr="002D21EA" w:rsidRDefault="000259D4" w:rsidP="004F1F88">
            <w:pPr>
              <w:jc w:val="center"/>
              <w:rPr>
                <w:rFonts w:ascii="Arial Narrow" w:hAnsi="Arial Narrow"/>
                <w:color w:val="000000"/>
                <w:sz w:val="20"/>
                <w:szCs w:val="20"/>
              </w:rPr>
            </w:pPr>
            <w:r w:rsidRPr="002D21EA">
              <w:rPr>
                <w:rFonts w:ascii="Arial Narrow" w:hAnsi="Arial Narrow"/>
                <w:color w:val="000000"/>
                <w:sz w:val="20"/>
                <w:szCs w:val="20"/>
              </w:rPr>
              <w:t>7.09</w:t>
            </w:r>
          </w:p>
        </w:tc>
        <w:tc>
          <w:tcPr>
            <w:tcW w:w="1758" w:type="dxa"/>
            <w:noWrap/>
            <w:tcMar>
              <w:top w:w="0" w:type="dxa"/>
              <w:left w:w="108" w:type="dxa"/>
              <w:bottom w:w="0" w:type="dxa"/>
              <w:right w:w="108" w:type="dxa"/>
            </w:tcMar>
            <w:vAlign w:val="center"/>
            <w:hideMark/>
          </w:tcPr>
          <w:p w14:paraId="4CF4B5CF" w14:textId="77777777" w:rsidR="000259D4" w:rsidRPr="002D21EA" w:rsidRDefault="000259D4" w:rsidP="004F1F88">
            <w:pPr>
              <w:jc w:val="center"/>
              <w:rPr>
                <w:rFonts w:ascii="Arial Narrow" w:hAnsi="Arial Narrow"/>
                <w:color w:val="000000"/>
                <w:sz w:val="20"/>
                <w:szCs w:val="20"/>
              </w:rPr>
            </w:pPr>
            <w:r w:rsidRPr="002D21EA">
              <w:rPr>
                <w:rFonts w:ascii="Arial Narrow" w:hAnsi="Arial Narrow"/>
                <w:color w:val="000000"/>
                <w:sz w:val="20"/>
                <w:szCs w:val="20"/>
              </w:rPr>
              <w:t>7,435</w:t>
            </w:r>
          </w:p>
        </w:tc>
        <w:tc>
          <w:tcPr>
            <w:tcW w:w="1759" w:type="dxa"/>
            <w:noWrap/>
            <w:tcMar>
              <w:top w:w="0" w:type="dxa"/>
              <w:left w:w="108" w:type="dxa"/>
              <w:bottom w:w="0" w:type="dxa"/>
              <w:right w:w="108" w:type="dxa"/>
            </w:tcMar>
            <w:vAlign w:val="center"/>
            <w:hideMark/>
          </w:tcPr>
          <w:p w14:paraId="62EF94F2" w14:textId="77777777" w:rsidR="000259D4" w:rsidRPr="002D21EA" w:rsidRDefault="000259D4" w:rsidP="004F1F88">
            <w:pPr>
              <w:jc w:val="center"/>
              <w:rPr>
                <w:rFonts w:ascii="Arial Narrow" w:hAnsi="Arial Narrow"/>
                <w:color w:val="000000"/>
                <w:sz w:val="20"/>
                <w:szCs w:val="20"/>
              </w:rPr>
            </w:pPr>
            <w:r w:rsidRPr="002D21EA">
              <w:rPr>
                <w:rFonts w:ascii="Arial Narrow" w:hAnsi="Arial Narrow"/>
                <w:color w:val="000000"/>
                <w:sz w:val="20"/>
                <w:szCs w:val="20"/>
              </w:rPr>
              <w:t>6.31</w:t>
            </w:r>
          </w:p>
        </w:tc>
      </w:tr>
    </w:tbl>
    <w:p w14:paraId="45E15EE8" w14:textId="77777777" w:rsidR="000259D4" w:rsidRPr="002D21EA" w:rsidRDefault="000259D4" w:rsidP="000259D4">
      <w:pPr>
        <w:pStyle w:val="TableFigureFooter"/>
      </w:pPr>
      <w:r w:rsidRPr="002D21EA">
        <w:t>Source: Table 10, p25 DUSC 2018 analysis; Updated analysis provided by the DUSC Secretariat</w:t>
      </w:r>
    </w:p>
    <w:p w14:paraId="0E6F7739" w14:textId="62DF3C7F" w:rsidR="003303B6" w:rsidRPr="002D21EA" w:rsidRDefault="003303B6" w:rsidP="003303B6">
      <w:pPr>
        <w:pStyle w:val="ExecSumBodyText"/>
      </w:pPr>
      <w:r w:rsidRPr="002D21EA">
        <w:t xml:space="preserve">The submission requested that the price of each faricimab 6 mg vial would be the same as for aflibercept 2 mg. The following table presents the results of the submission’s cost analysis, based on published DPMQ for aflibercept, and including administration costs for both treatments. A revised cost analysis based on the updated </w:t>
      </w:r>
      <w:r w:rsidR="003862B2">
        <w:t>number of scripts per patient from PBS data</w:t>
      </w:r>
      <w:r w:rsidR="003862B2" w:rsidRPr="002D21EA">
        <w:t xml:space="preserve"> </w:t>
      </w:r>
      <w:r w:rsidRPr="002D21EA">
        <w:t xml:space="preserve">of aflibercept use conducted during the evaluation is also presented (based on the published AEMP). </w:t>
      </w:r>
    </w:p>
    <w:p w14:paraId="75F92DB0" w14:textId="4ECE77A7" w:rsidR="00423BAA" w:rsidRPr="002D21EA" w:rsidRDefault="00423BAA" w:rsidP="00423BAA">
      <w:pPr>
        <w:pStyle w:val="Caption"/>
        <w:rPr>
          <w:lang w:val="en-AU"/>
        </w:rPr>
      </w:pPr>
      <w:r w:rsidRPr="002D21EA">
        <w:rPr>
          <w:lang w:val="en-AU"/>
        </w:rPr>
        <w:t xml:space="preserve">Table </w:t>
      </w:r>
      <w:r w:rsidRPr="002D21EA">
        <w:rPr>
          <w:lang w:val="en-AU"/>
        </w:rPr>
        <w:fldChar w:fldCharType="begin"/>
      </w:r>
      <w:r w:rsidRPr="002D21EA">
        <w:rPr>
          <w:lang w:val="en-AU"/>
        </w:rPr>
        <w:instrText xml:space="preserve"> SEQ Table \* ARABIC </w:instrText>
      </w:r>
      <w:r w:rsidRPr="002D21EA">
        <w:rPr>
          <w:lang w:val="en-AU"/>
        </w:rPr>
        <w:fldChar w:fldCharType="separate"/>
      </w:r>
      <w:r w:rsidR="006C2A4B">
        <w:rPr>
          <w:noProof/>
          <w:lang w:val="en-AU"/>
        </w:rPr>
        <w:t>11</w:t>
      </w:r>
      <w:r w:rsidRPr="002D21EA">
        <w:rPr>
          <w:lang w:val="en-AU"/>
        </w:rPr>
        <w:fldChar w:fldCharType="end"/>
      </w:r>
      <w:r w:rsidRPr="002D21EA">
        <w:rPr>
          <w:lang w:val="en-AU"/>
        </w:rPr>
        <w:t xml:space="preserve">: Results of the cost </w:t>
      </w:r>
      <w:r w:rsidRPr="002D21EA" w:rsidDel="00414B9C">
        <w:rPr>
          <w:lang w:val="en-AU"/>
        </w:rPr>
        <w:t>analysis</w:t>
      </w:r>
      <w:r w:rsidRPr="002D21EA">
        <w:rPr>
          <w:lang w:val="en-AU"/>
        </w:rPr>
        <w:t xml:space="preserve"> conducted over a two-year time horizon</w:t>
      </w:r>
      <w:r w:rsidRPr="002D21EA" w:rsidDel="00BA0802">
        <w:rPr>
          <w:lang w:val="en-AU"/>
        </w:rPr>
        <w:t xml:space="preserve"> </w:t>
      </w:r>
    </w:p>
    <w:tbl>
      <w:tblPr>
        <w:tblStyle w:val="TableGrid"/>
        <w:tblW w:w="0" w:type="auto"/>
        <w:tblLayout w:type="fixed"/>
        <w:tblCellMar>
          <w:left w:w="57" w:type="dxa"/>
          <w:right w:w="57" w:type="dxa"/>
        </w:tblCellMar>
        <w:tblLook w:val="04A0" w:firstRow="1" w:lastRow="0" w:firstColumn="1" w:lastColumn="0" w:noHBand="0" w:noVBand="1"/>
      </w:tblPr>
      <w:tblGrid>
        <w:gridCol w:w="2547"/>
        <w:gridCol w:w="1617"/>
        <w:gridCol w:w="1618"/>
        <w:gridCol w:w="1617"/>
        <w:gridCol w:w="1618"/>
      </w:tblGrid>
      <w:tr w:rsidR="00423BAA" w:rsidRPr="002D21EA" w14:paraId="0AE508D2" w14:textId="77777777" w:rsidTr="00174A07">
        <w:trPr>
          <w:trHeight w:val="70"/>
          <w:tblHeader/>
        </w:trPr>
        <w:tc>
          <w:tcPr>
            <w:tcW w:w="2547" w:type="dxa"/>
            <w:vMerge w:val="restart"/>
          </w:tcPr>
          <w:p w14:paraId="735ABB3C" w14:textId="77777777" w:rsidR="00423BAA" w:rsidRPr="002D21EA" w:rsidRDefault="00423BAA" w:rsidP="00174A07">
            <w:pPr>
              <w:keepNext/>
              <w:keepLines/>
              <w:jc w:val="left"/>
              <w:rPr>
                <w:rFonts w:ascii="Arial Narrow" w:hAnsi="Arial Narrow"/>
                <w:sz w:val="20"/>
                <w:szCs w:val="20"/>
              </w:rPr>
            </w:pPr>
          </w:p>
        </w:tc>
        <w:tc>
          <w:tcPr>
            <w:tcW w:w="3235" w:type="dxa"/>
            <w:gridSpan w:val="2"/>
            <w:vAlign w:val="center"/>
          </w:tcPr>
          <w:p w14:paraId="7ACDE833"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Submission’s approach</w:t>
            </w:r>
          </w:p>
        </w:tc>
        <w:tc>
          <w:tcPr>
            <w:tcW w:w="3235" w:type="dxa"/>
            <w:gridSpan w:val="2"/>
          </w:tcPr>
          <w:p w14:paraId="4851F306"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Evaluation approach</w:t>
            </w:r>
          </w:p>
        </w:tc>
      </w:tr>
      <w:tr w:rsidR="00423BAA" w:rsidRPr="002D21EA" w14:paraId="7D6FCB70" w14:textId="77777777" w:rsidTr="00174A07">
        <w:trPr>
          <w:trHeight w:val="70"/>
          <w:tblHeader/>
        </w:trPr>
        <w:tc>
          <w:tcPr>
            <w:tcW w:w="2547" w:type="dxa"/>
            <w:vMerge/>
          </w:tcPr>
          <w:p w14:paraId="0F901963" w14:textId="77777777" w:rsidR="00423BAA" w:rsidRPr="002D21EA" w:rsidRDefault="00423BAA" w:rsidP="00174A07">
            <w:pPr>
              <w:keepNext/>
              <w:keepLines/>
              <w:jc w:val="left"/>
              <w:rPr>
                <w:rFonts w:ascii="Arial Narrow" w:hAnsi="Arial Narrow"/>
                <w:sz w:val="20"/>
                <w:szCs w:val="20"/>
              </w:rPr>
            </w:pPr>
          </w:p>
        </w:tc>
        <w:tc>
          <w:tcPr>
            <w:tcW w:w="1617" w:type="dxa"/>
            <w:vAlign w:val="center"/>
          </w:tcPr>
          <w:p w14:paraId="262AAE2D"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Faricimab</w:t>
            </w:r>
          </w:p>
        </w:tc>
        <w:tc>
          <w:tcPr>
            <w:tcW w:w="1618" w:type="dxa"/>
            <w:vAlign w:val="center"/>
          </w:tcPr>
          <w:p w14:paraId="4E68CB90"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Aflibercept</w:t>
            </w:r>
          </w:p>
        </w:tc>
        <w:tc>
          <w:tcPr>
            <w:tcW w:w="1617" w:type="dxa"/>
            <w:vAlign w:val="center"/>
          </w:tcPr>
          <w:p w14:paraId="25563DA3"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Faricimab</w:t>
            </w:r>
          </w:p>
        </w:tc>
        <w:tc>
          <w:tcPr>
            <w:tcW w:w="1618" w:type="dxa"/>
            <w:vAlign w:val="center"/>
          </w:tcPr>
          <w:p w14:paraId="78876663"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Aflibercept</w:t>
            </w:r>
          </w:p>
        </w:tc>
      </w:tr>
      <w:tr w:rsidR="00423BAA" w:rsidRPr="002D21EA" w14:paraId="1697FD22" w14:textId="77777777" w:rsidTr="00174A07">
        <w:trPr>
          <w:tblHeader/>
        </w:trPr>
        <w:tc>
          <w:tcPr>
            <w:tcW w:w="2547" w:type="dxa"/>
            <w:vMerge/>
          </w:tcPr>
          <w:p w14:paraId="44DC820C" w14:textId="77777777" w:rsidR="00423BAA" w:rsidRPr="002D21EA" w:rsidRDefault="00423BAA" w:rsidP="00174A07">
            <w:pPr>
              <w:keepNext/>
              <w:keepLines/>
              <w:jc w:val="left"/>
              <w:rPr>
                <w:rFonts w:ascii="Arial Narrow" w:hAnsi="Arial Narrow"/>
                <w:sz w:val="20"/>
                <w:szCs w:val="20"/>
              </w:rPr>
            </w:pPr>
          </w:p>
        </w:tc>
        <w:tc>
          <w:tcPr>
            <w:tcW w:w="3235" w:type="dxa"/>
            <w:gridSpan w:val="2"/>
            <w:vAlign w:val="center"/>
          </w:tcPr>
          <w:p w14:paraId="5A75D1A9"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DPMQ $1,042.95</w:t>
            </w:r>
          </w:p>
        </w:tc>
        <w:tc>
          <w:tcPr>
            <w:tcW w:w="3235" w:type="dxa"/>
            <w:gridSpan w:val="2"/>
            <w:vAlign w:val="center"/>
          </w:tcPr>
          <w:p w14:paraId="74F92F49"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AEMP $932.40</w:t>
            </w:r>
          </w:p>
        </w:tc>
      </w:tr>
      <w:tr w:rsidR="00423BAA" w:rsidRPr="002D21EA" w14:paraId="49C4879F" w14:textId="77777777" w:rsidTr="00174A07">
        <w:tc>
          <w:tcPr>
            <w:tcW w:w="9017" w:type="dxa"/>
            <w:gridSpan w:val="5"/>
          </w:tcPr>
          <w:p w14:paraId="5FD6AD55" w14:textId="77777777" w:rsidR="00423BAA" w:rsidRPr="002D21EA" w:rsidRDefault="00423BAA" w:rsidP="00174A07">
            <w:pPr>
              <w:keepNext/>
              <w:keepLines/>
              <w:jc w:val="left"/>
              <w:rPr>
                <w:rFonts w:ascii="Arial Narrow" w:hAnsi="Arial Narrow"/>
                <w:b/>
                <w:bCs/>
                <w:sz w:val="20"/>
                <w:szCs w:val="20"/>
              </w:rPr>
            </w:pPr>
            <w:r w:rsidRPr="002D21EA">
              <w:rPr>
                <w:rFonts w:ascii="Arial Narrow" w:hAnsi="Arial Narrow"/>
                <w:b/>
                <w:bCs/>
                <w:sz w:val="20"/>
                <w:szCs w:val="20"/>
              </w:rPr>
              <w:t>Year 1</w:t>
            </w:r>
          </w:p>
        </w:tc>
      </w:tr>
      <w:tr w:rsidR="00423BAA" w:rsidRPr="002D21EA" w14:paraId="043AE27D" w14:textId="77777777" w:rsidTr="00174A07">
        <w:tc>
          <w:tcPr>
            <w:tcW w:w="2547" w:type="dxa"/>
            <w:vAlign w:val="center"/>
          </w:tcPr>
          <w:p w14:paraId="1393AE44" w14:textId="77777777" w:rsidR="00423BAA" w:rsidRPr="002D21EA" w:rsidRDefault="00423BAA" w:rsidP="00174A07">
            <w:pPr>
              <w:keepNext/>
              <w:keepLines/>
              <w:jc w:val="left"/>
              <w:rPr>
                <w:rFonts w:ascii="Arial Narrow" w:hAnsi="Arial Narrow"/>
                <w:sz w:val="20"/>
                <w:szCs w:val="20"/>
              </w:rPr>
            </w:pPr>
            <w:r w:rsidRPr="002D21EA">
              <w:rPr>
                <w:rFonts w:ascii="Arial Narrow" w:hAnsi="Arial Narrow"/>
                <w:sz w:val="20"/>
                <w:szCs w:val="20"/>
              </w:rPr>
              <w:t>Administration frequency</w:t>
            </w:r>
          </w:p>
        </w:tc>
        <w:tc>
          <w:tcPr>
            <w:tcW w:w="1617" w:type="dxa"/>
            <w:vAlign w:val="center"/>
          </w:tcPr>
          <w:p w14:paraId="23910F77"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6.93</w:t>
            </w:r>
          </w:p>
        </w:tc>
        <w:tc>
          <w:tcPr>
            <w:tcW w:w="1618" w:type="dxa"/>
            <w:vAlign w:val="center"/>
          </w:tcPr>
          <w:p w14:paraId="0F0B1AE1"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8.52</w:t>
            </w:r>
          </w:p>
        </w:tc>
        <w:tc>
          <w:tcPr>
            <w:tcW w:w="1617" w:type="dxa"/>
            <w:vAlign w:val="center"/>
          </w:tcPr>
          <w:p w14:paraId="3812EAA1"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6.93</w:t>
            </w:r>
          </w:p>
        </w:tc>
        <w:tc>
          <w:tcPr>
            <w:tcW w:w="1618" w:type="dxa"/>
            <w:vAlign w:val="center"/>
          </w:tcPr>
          <w:p w14:paraId="48BFE181"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7.69</w:t>
            </w:r>
          </w:p>
        </w:tc>
      </w:tr>
      <w:tr w:rsidR="00423BAA" w:rsidRPr="002D21EA" w14:paraId="36A1F9D4" w14:textId="77777777" w:rsidTr="00174A07">
        <w:tc>
          <w:tcPr>
            <w:tcW w:w="2547" w:type="dxa"/>
            <w:vAlign w:val="center"/>
          </w:tcPr>
          <w:p w14:paraId="620F99F8" w14:textId="77777777" w:rsidR="00423BAA" w:rsidRPr="002D21EA" w:rsidRDefault="00423BAA" w:rsidP="00174A07">
            <w:pPr>
              <w:keepNext/>
              <w:keepLines/>
              <w:jc w:val="left"/>
              <w:rPr>
                <w:rFonts w:ascii="Arial Narrow" w:hAnsi="Arial Narrow"/>
                <w:sz w:val="20"/>
                <w:szCs w:val="20"/>
              </w:rPr>
            </w:pPr>
            <w:r w:rsidRPr="002D21EA">
              <w:rPr>
                <w:rFonts w:ascii="Arial Narrow" w:hAnsi="Arial Narrow"/>
                <w:sz w:val="20"/>
                <w:szCs w:val="20"/>
              </w:rPr>
              <w:t>Drug cost (DPMQ/AEMP × administration frequency)</w:t>
            </w:r>
          </w:p>
        </w:tc>
        <w:tc>
          <w:tcPr>
            <w:tcW w:w="1617" w:type="dxa"/>
            <w:vAlign w:val="center"/>
          </w:tcPr>
          <w:p w14:paraId="0B92A0A7"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$7,231</w:t>
            </w:r>
          </w:p>
        </w:tc>
        <w:tc>
          <w:tcPr>
            <w:tcW w:w="1618" w:type="dxa"/>
            <w:vAlign w:val="center"/>
          </w:tcPr>
          <w:p w14:paraId="1329ED2E"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$8,886</w:t>
            </w:r>
          </w:p>
        </w:tc>
        <w:tc>
          <w:tcPr>
            <w:tcW w:w="1617" w:type="dxa"/>
            <w:vAlign w:val="center"/>
          </w:tcPr>
          <w:p w14:paraId="4A7CAE44"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$6,465</w:t>
            </w:r>
          </w:p>
        </w:tc>
        <w:tc>
          <w:tcPr>
            <w:tcW w:w="1618" w:type="dxa"/>
            <w:vAlign w:val="center"/>
          </w:tcPr>
          <w:p w14:paraId="2C363528"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$7,170</w:t>
            </w:r>
          </w:p>
        </w:tc>
      </w:tr>
      <w:tr w:rsidR="00423BAA" w:rsidRPr="002D21EA" w14:paraId="2F85713D" w14:textId="77777777" w:rsidTr="00174A07">
        <w:tc>
          <w:tcPr>
            <w:tcW w:w="2547" w:type="dxa"/>
            <w:vAlign w:val="center"/>
          </w:tcPr>
          <w:p w14:paraId="7EF9F9A0" w14:textId="77777777" w:rsidR="00423BAA" w:rsidRPr="002D21EA" w:rsidRDefault="00423BAA" w:rsidP="00174A07">
            <w:pPr>
              <w:keepNext/>
              <w:keepLines/>
              <w:jc w:val="left"/>
              <w:rPr>
                <w:rFonts w:ascii="Arial Narrow" w:hAnsi="Arial Narrow"/>
                <w:sz w:val="20"/>
                <w:szCs w:val="20"/>
              </w:rPr>
            </w:pPr>
            <w:r w:rsidRPr="002D21EA">
              <w:rPr>
                <w:rFonts w:ascii="Arial Narrow" w:hAnsi="Arial Narrow"/>
                <w:sz w:val="20"/>
                <w:szCs w:val="20"/>
              </w:rPr>
              <w:t xml:space="preserve">Administration cost ($312.95 </w:t>
            </w:r>
            <w:r w:rsidRPr="002D21EA">
              <w:rPr>
                <w:rFonts w:ascii="Arial Narrow" w:hAnsi="Arial Narrow"/>
                <w:sz w:val="20"/>
                <w:szCs w:val="20"/>
                <w:vertAlign w:val="superscript"/>
              </w:rPr>
              <w:t>1</w:t>
            </w:r>
            <w:r w:rsidRPr="002D21EA">
              <w:rPr>
                <w:rFonts w:ascii="Arial Narrow" w:hAnsi="Arial Narrow"/>
                <w:sz w:val="20"/>
                <w:szCs w:val="20"/>
              </w:rPr>
              <w:t xml:space="preserve"> × administration frequency)</w:t>
            </w:r>
          </w:p>
        </w:tc>
        <w:tc>
          <w:tcPr>
            <w:tcW w:w="1617" w:type="dxa"/>
            <w:vAlign w:val="center"/>
          </w:tcPr>
          <w:p w14:paraId="56EA777E"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$2,170</w:t>
            </w:r>
          </w:p>
        </w:tc>
        <w:tc>
          <w:tcPr>
            <w:tcW w:w="1618" w:type="dxa"/>
            <w:vAlign w:val="center"/>
          </w:tcPr>
          <w:p w14:paraId="7BF70D16"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$2,666</w:t>
            </w:r>
          </w:p>
        </w:tc>
        <w:tc>
          <w:tcPr>
            <w:tcW w:w="1617" w:type="dxa"/>
            <w:vAlign w:val="center"/>
          </w:tcPr>
          <w:p w14:paraId="4FBE0FE9" w14:textId="77777777" w:rsidR="00423BAA" w:rsidRPr="002D21EA" w:rsidRDefault="00423BAA" w:rsidP="00174A07">
            <w:pPr>
              <w:keepNext/>
              <w:keepLines/>
              <w:jc w:val="center"/>
              <w:rPr>
                <w:rFonts w:ascii="Arial Narrow" w:eastAsia="Arial Narrow" w:hAnsi="Arial Narrow" w:cs="Arial Narrow"/>
                <w:sz w:val="20"/>
                <w:szCs w:val="20"/>
              </w:rPr>
            </w:pPr>
            <w:r w:rsidRPr="002D21EA">
              <w:rPr>
                <w:rFonts w:ascii="Arial Narrow" w:hAnsi="Arial Narrow"/>
                <w:sz w:val="20"/>
                <w:szCs w:val="20"/>
              </w:rPr>
              <w:t>$2,170</w:t>
            </w:r>
          </w:p>
        </w:tc>
        <w:tc>
          <w:tcPr>
            <w:tcW w:w="1618" w:type="dxa"/>
            <w:vAlign w:val="center"/>
          </w:tcPr>
          <w:p w14:paraId="49752E7E" w14:textId="77777777" w:rsidR="00423BAA" w:rsidRPr="002D21EA" w:rsidRDefault="00423BAA" w:rsidP="00174A07">
            <w:pPr>
              <w:keepNext/>
              <w:keepLines/>
              <w:jc w:val="center"/>
              <w:rPr>
                <w:rFonts w:ascii="Arial Narrow" w:eastAsia="Arial Narrow" w:hAnsi="Arial Narrow" w:cs="Arial Narrow"/>
                <w:sz w:val="20"/>
                <w:szCs w:val="20"/>
              </w:rPr>
            </w:pPr>
            <w:r w:rsidRPr="002D21EA">
              <w:rPr>
                <w:rFonts w:ascii="Arial Narrow" w:hAnsi="Arial Narrow"/>
                <w:sz w:val="20"/>
                <w:szCs w:val="20"/>
              </w:rPr>
              <w:t>$2,407</w:t>
            </w:r>
          </w:p>
        </w:tc>
      </w:tr>
      <w:tr w:rsidR="00423BAA" w:rsidRPr="002D21EA" w14:paraId="7759AF8B" w14:textId="77777777" w:rsidTr="00174A07">
        <w:tc>
          <w:tcPr>
            <w:tcW w:w="2547" w:type="dxa"/>
            <w:vAlign w:val="center"/>
          </w:tcPr>
          <w:p w14:paraId="2D56065B" w14:textId="77777777" w:rsidR="00423BAA" w:rsidRPr="002D21EA" w:rsidRDefault="00423BAA" w:rsidP="00174A07">
            <w:pPr>
              <w:keepNext/>
              <w:keepLines/>
              <w:jc w:val="left"/>
              <w:rPr>
                <w:rFonts w:ascii="Arial Narrow" w:hAnsi="Arial Narrow"/>
                <w:sz w:val="20"/>
                <w:szCs w:val="20"/>
              </w:rPr>
            </w:pPr>
            <w:r w:rsidRPr="002D21EA">
              <w:rPr>
                <w:rFonts w:ascii="Arial Narrow" w:hAnsi="Arial Narrow" w:cs="Calibri"/>
                <w:sz w:val="20"/>
                <w:szCs w:val="20"/>
                <w:lang w:eastAsia="en-US"/>
              </w:rPr>
              <w:t>Total cost Year 1</w:t>
            </w:r>
          </w:p>
        </w:tc>
        <w:tc>
          <w:tcPr>
            <w:tcW w:w="1617" w:type="dxa"/>
            <w:vAlign w:val="center"/>
          </w:tcPr>
          <w:p w14:paraId="583E98B0"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$9,401</w:t>
            </w:r>
          </w:p>
        </w:tc>
        <w:tc>
          <w:tcPr>
            <w:tcW w:w="1618" w:type="dxa"/>
            <w:vAlign w:val="center"/>
          </w:tcPr>
          <w:p w14:paraId="74748AA6"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$11,552</w:t>
            </w:r>
          </w:p>
        </w:tc>
        <w:tc>
          <w:tcPr>
            <w:tcW w:w="1617" w:type="dxa"/>
            <w:vAlign w:val="center"/>
          </w:tcPr>
          <w:p w14:paraId="35F80608"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$8,634</w:t>
            </w:r>
          </w:p>
        </w:tc>
        <w:tc>
          <w:tcPr>
            <w:tcW w:w="1618" w:type="dxa"/>
            <w:vAlign w:val="center"/>
          </w:tcPr>
          <w:p w14:paraId="070C20F9"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$9,577</w:t>
            </w:r>
          </w:p>
        </w:tc>
      </w:tr>
      <w:tr w:rsidR="00423BAA" w:rsidRPr="002D21EA" w14:paraId="70811DE7" w14:textId="77777777" w:rsidTr="00174A07">
        <w:tc>
          <w:tcPr>
            <w:tcW w:w="2547" w:type="dxa"/>
            <w:vAlign w:val="center"/>
          </w:tcPr>
          <w:p w14:paraId="46B06573" w14:textId="77777777" w:rsidR="00423BAA" w:rsidRPr="002D21EA" w:rsidRDefault="00423BAA" w:rsidP="00174A07">
            <w:pPr>
              <w:keepNext/>
              <w:keepLines/>
              <w:jc w:val="left"/>
              <w:rPr>
                <w:rFonts w:ascii="Arial Narrow" w:hAnsi="Arial Narrow" w:cs="Calibri"/>
                <w:sz w:val="20"/>
                <w:szCs w:val="20"/>
                <w:lang w:eastAsia="en-US"/>
              </w:rPr>
            </w:pPr>
            <w:r w:rsidRPr="002D21EA">
              <w:rPr>
                <w:rFonts w:ascii="Arial Narrow" w:hAnsi="Arial Narrow" w:cs="Calibri"/>
                <w:sz w:val="20"/>
                <w:szCs w:val="20"/>
                <w:lang w:eastAsia="en-US"/>
              </w:rPr>
              <w:t>Incremental cost Year 1</w:t>
            </w:r>
          </w:p>
        </w:tc>
        <w:tc>
          <w:tcPr>
            <w:tcW w:w="3235" w:type="dxa"/>
            <w:gridSpan w:val="2"/>
            <w:vAlign w:val="center"/>
          </w:tcPr>
          <w:p w14:paraId="7830D3A7"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-$2,151</w:t>
            </w:r>
          </w:p>
        </w:tc>
        <w:tc>
          <w:tcPr>
            <w:tcW w:w="3235" w:type="dxa"/>
            <w:gridSpan w:val="2"/>
            <w:vAlign w:val="center"/>
          </w:tcPr>
          <w:p w14:paraId="04349692"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-$942</w:t>
            </w:r>
          </w:p>
        </w:tc>
      </w:tr>
      <w:tr w:rsidR="00423BAA" w:rsidRPr="002D21EA" w14:paraId="54226A0B" w14:textId="77777777" w:rsidTr="00174A07">
        <w:tc>
          <w:tcPr>
            <w:tcW w:w="9017" w:type="dxa"/>
            <w:gridSpan w:val="5"/>
          </w:tcPr>
          <w:p w14:paraId="24650FF8" w14:textId="77777777" w:rsidR="00423BAA" w:rsidRPr="002D21EA" w:rsidRDefault="00423BAA" w:rsidP="00174A07">
            <w:pPr>
              <w:keepNext/>
              <w:keepLines/>
              <w:jc w:val="left"/>
              <w:rPr>
                <w:rFonts w:ascii="Arial Narrow" w:hAnsi="Arial Narrow"/>
                <w:b/>
                <w:bCs/>
                <w:sz w:val="20"/>
                <w:szCs w:val="20"/>
              </w:rPr>
            </w:pPr>
            <w:r w:rsidRPr="002D21EA">
              <w:rPr>
                <w:rFonts w:ascii="Arial Narrow" w:hAnsi="Arial Narrow"/>
                <w:b/>
                <w:bCs/>
                <w:sz w:val="20"/>
                <w:szCs w:val="20"/>
              </w:rPr>
              <w:t>Year 2</w:t>
            </w:r>
          </w:p>
        </w:tc>
      </w:tr>
      <w:tr w:rsidR="00423BAA" w:rsidRPr="002D21EA" w14:paraId="700F9AF6" w14:textId="77777777" w:rsidTr="00174A07">
        <w:tc>
          <w:tcPr>
            <w:tcW w:w="2547" w:type="dxa"/>
            <w:vAlign w:val="center"/>
          </w:tcPr>
          <w:p w14:paraId="474B16BD" w14:textId="77777777" w:rsidR="00423BAA" w:rsidRPr="002D21EA" w:rsidRDefault="00423BAA" w:rsidP="00174A07">
            <w:pPr>
              <w:keepNext/>
              <w:keepLines/>
              <w:jc w:val="left"/>
              <w:rPr>
                <w:rFonts w:ascii="Arial Narrow" w:hAnsi="Arial Narrow"/>
                <w:sz w:val="20"/>
                <w:szCs w:val="20"/>
              </w:rPr>
            </w:pPr>
            <w:r w:rsidRPr="002D21EA">
              <w:rPr>
                <w:rFonts w:ascii="Arial Narrow" w:hAnsi="Arial Narrow"/>
                <w:sz w:val="20"/>
                <w:szCs w:val="20"/>
              </w:rPr>
              <w:t>Administration frequency</w:t>
            </w:r>
          </w:p>
        </w:tc>
        <w:tc>
          <w:tcPr>
            <w:tcW w:w="1617" w:type="dxa"/>
            <w:vAlign w:val="center"/>
          </w:tcPr>
          <w:p w14:paraId="26B43C55"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4.30</w:t>
            </w:r>
          </w:p>
        </w:tc>
        <w:tc>
          <w:tcPr>
            <w:tcW w:w="1618" w:type="dxa"/>
            <w:vAlign w:val="center"/>
          </w:tcPr>
          <w:p w14:paraId="6B7B6364"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7.09</w:t>
            </w:r>
          </w:p>
        </w:tc>
        <w:tc>
          <w:tcPr>
            <w:tcW w:w="1617" w:type="dxa"/>
            <w:vAlign w:val="center"/>
          </w:tcPr>
          <w:p w14:paraId="77A0DD59"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4.30</w:t>
            </w:r>
          </w:p>
        </w:tc>
        <w:tc>
          <w:tcPr>
            <w:tcW w:w="1618" w:type="dxa"/>
            <w:vAlign w:val="center"/>
          </w:tcPr>
          <w:p w14:paraId="7158A06E"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6.31</w:t>
            </w:r>
          </w:p>
        </w:tc>
      </w:tr>
      <w:tr w:rsidR="00423BAA" w:rsidRPr="002D21EA" w14:paraId="03C88028" w14:textId="77777777" w:rsidTr="00174A07">
        <w:tc>
          <w:tcPr>
            <w:tcW w:w="2547" w:type="dxa"/>
            <w:vAlign w:val="center"/>
          </w:tcPr>
          <w:p w14:paraId="21B8CB13" w14:textId="77777777" w:rsidR="00423BAA" w:rsidRPr="002D21EA" w:rsidRDefault="00423BAA" w:rsidP="00174A07">
            <w:pPr>
              <w:keepNext/>
              <w:keepLines/>
              <w:jc w:val="left"/>
              <w:rPr>
                <w:rFonts w:ascii="Arial Narrow" w:hAnsi="Arial Narrow"/>
                <w:sz w:val="20"/>
                <w:szCs w:val="20"/>
              </w:rPr>
            </w:pPr>
            <w:r w:rsidRPr="002D21EA">
              <w:rPr>
                <w:rFonts w:ascii="Arial Narrow" w:hAnsi="Arial Narrow"/>
                <w:sz w:val="20"/>
                <w:szCs w:val="20"/>
              </w:rPr>
              <w:t>Drug cost (DPMQ/AEMP × administration frequency)</w:t>
            </w:r>
          </w:p>
        </w:tc>
        <w:tc>
          <w:tcPr>
            <w:tcW w:w="1617" w:type="dxa"/>
            <w:vAlign w:val="center"/>
          </w:tcPr>
          <w:p w14:paraId="49536D8C"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$4,488</w:t>
            </w:r>
          </w:p>
        </w:tc>
        <w:tc>
          <w:tcPr>
            <w:tcW w:w="1618" w:type="dxa"/>
            <w:vAlign w:val="center"/>
          </w:tcPr>
          <w:p w14:paraId="209E5EF1"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$7,395</w:t>
            </w:r>
          </w:p>
        </w:tc>
        <w:tc>
          <w:tcPr>
            <w:tcW w:w="1617" w:type="dxa"/>
            <w:vAlign w:val="center"/>
          </w:tcPr>
          <w:p w14:paraId="76ACF72C"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$4,012</w:t>
            </w:r>
          </w:p>
        </w:tc>
        <w:tc>
          <w:tcPr>
            <w:tcW w:w="1618" w:type="dxa"/>
            <w:vAlign w:val="center"/>
          </w:tcPr>
          <w:p w14:paraId="649358F4"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$5,883</w:t>
            </w:r>
          </w:p>
        </w:tc>
      </w:tr>
      <w:tr w:rsidR="00423BAA" w:rsidRPr="002D21EA" w14:paraId="6C6BB34A" w14:textId="77777777" w:rsidTr="00174A07">
        <w:tc>
          <w:tcPr>
            <w:tcW w:w="2547" w:type="dxa"/>
            <w:vAlign w:val="center"/>
          </w:tcPr>
          <w:p w14:paraId="3DE92725" w14:textId="77777777" w:rsidR="00423BAA" w:rsidRPr="002D21EA" w:rsidRDefault="00423BAA" w:rsidP="00174A07">
            <w:pPr>
              <w:keepNext/>
              <w:keepLines/>
              <w:jc w:val="left"/>
              <w:rPr>
                <w:rFonts w:ascii="Arial Narrow" w:hAnsi="Arial Narrow" w:cs="Calibri"/>
                <w:sz w:val="20"/>
                <w:szCs w:val="20"/>
                <w:lang w:eastAsia="en-US"/>
              </w:rPr>
            </w:pPr>
            <w:r w:rsidRPr="002D21EA">
              <w:rPr>
                <w:rFonts w:ascii="Arial Narrow" w:hAnsi="Arial Narrow"/>
                <w:sz w:val="20"/>
                <w:szCs w:val="20"/>
              </w:rPr>
              <w:t xml:space="preserve">Administration cost ($312.95 </w:t>
            </w:r>
            <w:r w:rsidRPr="002D21EA">
              <w:rPr>
                <w:rFonts w:ascii="Arial Narrow" w:hAnsi="Arial Narrow"/>
                <w:sz w:val="20"/>
                <w:szCs w:val="20"/>
                <w:vertAlign w:val="superscript"/>
              </w:rPr>
              <w:t>1</w:t>
            </w:r>
            <w:r w:rsidRPr="002D21EA">
              <w:rPr>
                <w:rFonts w:ascii="Arial Narrow" w:hAnsi="Arial Narrow"/>
                <w:sz w:val="20"/>
                <w:szCs w:val="20"/>
              </w:rPr>
              <w:t xml:space="preserve"> × administration frequency)</w:t>
            </w:r>
          </w:p>
        </w:tc>
        <w:tc>
          <w:tcPr>
            <w:tcW w:w="1617" w:type="dxa"/>
            <w:vAlign w:val="center"/>
          </w:tcPr>
          <w:p w14:paraId="348F7B27"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$1,347</w:t>
            </w:r>
          </w:p>
        </w:tc>
        <w:tc>
          <w:tcPr>
            <w:tcW w:w="1618" w:type="dxa"/>
            <w:vAlign w:val="center"/>
          </w:tcPr>
          <w:p w14:paraId="7F74504B"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$2,219</w:t>
            </w:r>
          </w:p>
        </w:tc>
        <w:tc>
          <w:tcPr>
            <w:tcW w:w="1617" w:type="dxa"/>
            <w:vAlign w:val="center"/>
          </w:tcPr>
          <w:p w14:paraId="2C39583D"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$1,347</w:t>
            </w:r>
          </w:p>
        </w:tc>
        <w:tc>
          <w:tcPr>
            <w:tcW w:w="1618" w:type="dxa"/>
            <w:vAlign w:val="center"/>
          </w:tcPr>
          <w:p w14:paraId="2EFAF3E7"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$1,975</w:t>
            </w:r>
          </w:p>
        </w:tc>
      </w:tr>
      <w:tr w:rsidR="00423BAA" w:rsidRPr="002D21EA" w14:paraId="7AA69921" w14:textId="77777777" w:rsidTr="00174A07">
        <w:tc>
          <w:tcPr>
            <w:tcW w:w="2547" w:type="dxa"/>
            <w:vAlign w:val="center"/>
          </w:tcPr>
          <w:p w14:paraId="7ACA1DEF" w14:textId="77777777" w:rsidR="00423BAA" w:rsidRPr="002D21EA" w:rsidRDefault="00423BAA" w:rsidP="00174A07">
            <w:pPr>
              <w:keepNext/>
              <w:keepLines/>
              <w:jc w:val="left"/>
              <w:rPr>
                <w:rFonts w:ascii="Arial Narrow" w:hAnsi="Arial Narrow" w:cs="Calibri"/>
                <w:sz w:val="20"/>
                <w:szCs w:val="20"/>
                <w:lang w:eastAsia="en-US"/>
              </w:rPr>
            </w:pPr>
            <w:r w:rsidRPr="002D21EA">
              <w:rPr>
                <w:rFonts w:ascii="Arial Narrow" w:hAnsi="Arial Narrow" w:cs="Calibri"/>
                <w:sz w:val="20"/>
                <w:szCs w:val="20"/>
                <w:lang w:eastAsia="en-US"/>
              </w:rPr>
              <w:t>Total cost Year 2</w:t>
            </w:r>
          </w:p>
        </w:tc>
        <w:tc>
          <w:tcPr>
            <w:tcW w:w="1617" w:type="dxa"/>
            <w:vAlign w:val="center"/>
          </w:tcPr>
          <w:p w14:paraId="36EB4400"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$5,834</w:t>
            </w:r>
          </w:p>
        </w:tc>
        <w:tc>
          <w:tcPr>
            <w:tcW w:w="1618" w:type="dxa"/>
            <w:vAlign w:val="center"/>
          </w:tcPr>
          <w:p w14:paraId="7A9C764F"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$9,613</w:t>
            </w:r>
          </w:p>
        </w:tc>
        <w:tc>
          <w:tcPr>
            <w:tcW w:w="1617" w:type="dxa"/>
            <w:vAlign w:val="center"/>
          </w:tcPr>
          <w:p w14:paraId="5F73AB62"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$5,359</w:t>
            </w:r>
          </w:p>
        </w:tc>
        <w:tc>
          <w:tcPr>
            <w:tcW w:w="1618" w:type="dxa"/>
            <w:vAlign w:val="center"/>
          </w:tcPr>
          <w:p w14:paraId="7382C403"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$7,858</w:t>
            </w:r>
          </w:p>
        </w:tc>
      </w:tr>
      <w:tr w:rsidR="00423BAA" w:rsidRPr="002D21EA" w14:paraId="76B2197B" w14:textId="77777777" w:rsidTr="00174A07">
        <w:tc>
          <w:tcPr>
            <w:tcW w:w="2547" w:type="dxa"/>
            <w:vAlign w:val="center"/>
          </w:tcPr>
          <w:p w14:paraId="644D7282" w14:textId="77777777" w:rsidR="00423BAA" w:rsidRPr="002D21EA" w:rsidRDefault="00423BAA" w:rsidP="00174A07">
            <w:pPr>
              <w:keepNext/>
              <w:keepLines/>
              <w:jc w:val="left"/>
              <w:rPr>
                <w:rFonts w:ascii="Arial Narrow" w:hAnsi="Arial Narrow" w:cs="Calibri"/>
                <w:sz w:val="20"/>
                <w:szCs w:val="20"/>
                <w:lang w:eastAsia="en-US"/>
              </w:rPr>
            </w:pPr>
            <w:r w:rsidRPr="002D21EA">
              <w:rPr>
                <w:rFonts w:ascii="Arial Narrow" w:hAnsi="Arial Narrow" w:cs="Calibri"/>
                <w:sz w:val="20"/>
                <w:szCs w:val="20"/>
                <w:lang w:eastAsia="en-US"/>
              </w:rPr>
              <w:t>Incremental cost Year 2</w:t>
            </w:r>
          </w:p>
        </w:tc>
        <w:tc>
          <w:tcPr>
            <w:tcW w:w="3235" w:type="dxa"/>
            <w:gridSpan w:val="2"/>
            <w:vAlign w:val="center"/>
          </w:tcPr>
          <w:p w14:paraId="0A2ED83F"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-$3,779</w:t>
            </w:r>
          </w:p>
        </w:tc>
        <w:tc>
          <w:tcPr>
            <w:tcW w:w="3235" w:type="dxa"/>
            <w:gridSpan w:val="2"/>
            <w:vAlign w:val="center"/>
          </w:tcPr>
          <w:p w14:paraId="422A9565" w14:textId="77777777" w:rsidR="00423BAA" w:rsidRPr="002D21EA" w:rsidRDefault="00423BAA" w:rsidP="00174A07">
            <w:pPr>
              <w:keepNext/>
              <w:keepLines/>
              <w:jc w:val="center"/>
              <w:rPr>
                <w:rFonts w:ascii="Arial Narrow" w:hAnsi="Arial Narrow"/>
                <w:sz w:val="20"/>
                <w:szCs w:val="20"/>
              </w:rPr>
            </w:pPr>
            <w:r w:rsidRPr="002D21EA">
              <w:rPr>
                <w:rFonts w:ascii="Arial Narrow" w:hAnsi="Arial Narrow"/>
                <w:sz w:val="20"/>
                <w:szCs w:val="20"/>
              </w:rPr>
              <w:t>-$2,499</w:t>
            </w:r>
          </w:p>
        </w:tc>
      </w:tr>
      <w:tr w:rsidR="00423BAA" w:rsidRPr="002D21EA" w14:paraId="190AB5F9" w14:textId="77777777" w:rsidTr="00174A07">
        <w:tc>
          <w:tcPr>
            <w:tcW w:w="2547" w:type="dxa"/>
            <w:vAlign w:val="center"/>
          </w:tcPr>
          <w:p w14:paraId="29888310" w14:textId="77777777" w:rsidR="00423BAA" w:rsidRPr="002D21EA" w:rsidRDefault="00423BAA" w:rsidP="00174A07">
            <w:pPr>
              <w:keepNext/>
              <w:keepLines/>
              <w:jc w:val="left"/>
              <w:rPr>
                <w:rFonts w:ascii="Arial Narrow" w:hAnsi="Arial Narrow" w:cs="Calibri"/>
                <w:b/>
                <w:bCs/>
                <w:sz w:val="20"/>
                <w:szCs w:val="20"/>
                <w:lang w:eastAsia="en-US"/>
              </w:rPr>
            </w:pPr>
            <w:r w:rsidRPr="002D21EA">
              <w:rPr>
                <w:rFonts w:ascii="Arial Narrow" w:hAnsi="Arial Narrow" w:cs="Calibri"/>
                <w:b/>
                <w:bCs/>
                <w:sz w:val="20"/>
                <w:szCs w:val="20"/>
                <w:lang w:eastAsia="en-US"/>
              </w:rPr>
              <w:t>Total cost over 2 years</w:t>
            </w:r>
          </w:p>
        </w:tc>
        <w:tc>
          <w:tcPr>
            <w:tcW w:w="1617" w:type="dxa"/>
            <w:vAlign w:val="center"/>
          </w:tcPr>
          <w:p w14:paraId="7518CE8E"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$15,235</w:t>
            </w:r>
          </w:p>
        </w:tc>
        <w:tc>
          <w:tcPr>
            <w:tcW w:w="1618" w:type="dxa"/>
            <w:vAlign w:val="center"/>
          </w:tcPr>
          <w:p w14:paraId="53B9244E"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$21,166</w:t>
            </w:r>
          </w:p>
        </w:tc>
        <w:tc>
          <w:tcPr>
            <w:tcW w:w="1617" w:type="dxa"/>
            <w:vAlign w:val="center"/>
          </w:tcPr>
          <w:p w14:paraId="00B2B4F5"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$13,993</w:t>
            </w:r>
          </w:p>
        </w:tc>
        <w:tc>
          <w:tcPr>
            <w:tcW w:w="1618" w:type="dxa"/>
            <w:vAlign w:val="center"/>
          </w:tcPr>
          <w:p w14:paraId="62D4CEB4"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$17,435</w:t>
            </w:r>
          </w:p>
        </w:tc>
      </w:tr>
      <w:tr w:rsidR="00423BAA" w:rsidRPr="002D21EA" w14:paraId="086A289F" w14:textId="77777777" w:rsidTr="00174A07">
        <w:tc>
          <w:tcPr>
            <w:tcW w:w="2547" w:type="dxa"/>
            <w:vAlign w:val="center"/>
          </w:tcPr>
          <w:p w14:paraId="4AF3C395" w14:textId="77777777" w:rsidR="00423BAA" w:rsidRPr="002D21EA" w:rsidRDefault="00423BAA" w:rsidP="00174A07">
            <w:pPr>
              <w:keepNext/>
              <w:keepLines/>
              <w:jc w:val="left"/>
              <w:rPr>
                <w:rFonts w:ascii="Arial Narrow" w:hAnsi="Arial Narrow" w:cs="Calibri"/>
                <w:b/>
                <w:bCs/>
                <w:sz w:val="20"/>
                <w:szCs w:val="20"/>
                <w:lang w:eastAsia="en-US"/>
              </w:rPr>
            </w:pPr>
            <w:r w:rsidRPr="002D21EA">
              <w:rPr>
                <w:rFonts w:ascii="Arial Narrow" w:hAnsi="Arial Narrow" w:cs="Calibri"/>
                <w:b/>
                <w:bCs/>
                <w:sz w:val="20"/>
                <w:szCs w:val="20"/>
                <w:lang w:eastAsia="en-US"/>
              </w:rPr>
              <w:t>Incremental cost over 2 years</w:t>
            </w:r>
          </w:p>
        </w:tc>
        <w:tc>
          <w:tcPr>
            <w:tcW w:w="3235" w:type="dxa"/>
            <w:gridSpan w:val="2"/>
            <w:vAlign w:val="center"/>
          </w:tcPr>
          <w:p w14:paraId="04A318D4"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-$5,930</w:t>
            </w:r>
          </w:p>
        </w:tc>
        <w:tc>
          <w:tcPr>
            <w:tcW w:w="3235" w:type="dxa"/>
            <w:gridSpan w:val="2"/>
            <w:vAlign w:val="center"/>
          </w:tcPr>
          <w:p w14:paraId="7FFC2D7E" w14:textId="77777777" w:rsidR="00423BAA" w:rsidRPr="002D21EA" w:rsidRDefault="00423BAA" w:rsidP="00174A07">
            <w:pPr>
              <w:keepNext/>
              <w:keepLines/>
              <w:jc w:val="center"/>
              <w:rPr>
                <w:rFonts w:ascii="Arial Narrow" w:hAnsi="Arial Narrow"/>
                <w:b/>
                <w:bCs/>
                <w:sz w:val="20"/>
                <w:szCs w:val="20"/>
              </w:rPr>
            </w:pPr>
            <w:r w:rsidRPr="002D21EA">
              <w:rPr>
                <w:rFonts w:ascii="Arial Narrow" w:hAnsi="Arial Narrow"/>
                <w:b/>
                <w:bCs/>
                <w:sz w:val="20"/>
                <w:szCs w:val="20"/>
              </w:rPr>
              <w:t>-$3,442</w:t>
            </w:r>
          </w:p>
        </w:tc>
      </w:tr>
    </w:tbl>
    <w:p w14:paraId="6BA51A53" w14:textId="77777777" w:rsidR="00423BAA" w:rsidRPr="002D21EA" w:rsidRDefault="00423BAA" w:rsidP="00423BAA">
      <w:pPr>
        <w:pStyle w:val="TableFigureFooter"/>
      </w:pPr>
      <w:r w:rsidRPr="002D21EA">
        <w:t>Source: Cost minimisation analysis spreadsheet; Table 3.7, p.96 of the submission</w:t>
      </w:r>
    </w:p>
    <w:p w14:paraId="37EFD5B1" w14:textId="3C1524B7" w:rsidR="00423BAA" w:rsidRPr="002D21EA" w:rsidRDefault="00423BAA" w:rsidP="00423BAA">
      <w:pPr>
        <w:pStyle w:val="TableFigureFooter"/>
      </w:pPr>
      <w:r w:rsidRPr="002D21EA">
        <w:t>Abbreviations: AEMP</w:t>
      </w:r>
      <w:r w:rsidR="008D1B6D" w:rsidRPr="002D21EA">
        <w:t xml:space="preserve"> =</w:t>
      </w:r>
      <w:r w:rsidRPr="002D21EA">
        <w:t xml:space="preserve"> approved ex-manufacturer price; DPMQ</w:t>
      </w:r>
      <w:r w:rsidR="008D1B6D" w:rsidRPr="002D21EA">
        <w:t xml:space="preserve"> =</w:t>
      </w:r>
      <w:r w:rsidRPr="002D21EA">
        <w:t xml:space="preserve"> dispensed price for maximum quantity</w:t>
      </w:r>
    </w:p>
    <w:p w14:paraId="06E5C4BD" w14:textId="596D10C7" w:rsidR="00423BAA" w:rsidRDefault="00423BAA" w:rsidP="00423BAA">
      <w:pPr>
        <w:pStyle w:val="TableFigureFooter"/>
      </w:pPr>
      <w:r w:rsidRPr="002D21EA">
        <w:rPr>
          <w:vertAlign w:val="superscript"/>
        </w:rPr>
        <w:t>1</w:t>
      </w:r>
      <w:r w:rsidRPr="002D21EA">
        <w:t>Administration costs based on MBS items 42738, 42739, 42740: intravitreal injection of therapeutic substances</w:t>
      </w:r>
    </w:p>
    <w:p w14:paraId="36561D99" w14:textId="021306E2" w:rsidR="00C81FA6" w:rsidRPr="002D21EA" w:rsidRDefault="00C81FA6" w:rsidP="00DE7321">
      <w:pPr>
        <w:pStyle w:val="ExecSumBodyText"/>
        <w:numPr>
          <w:ilvl w:val="1"/>
          <w:numId w:val="1"/>
        </w:numPr>
        <w:contextualSpacing/>
      </w:pPr>
      <w:r w:rsidRPr="002D21EA">
        <w:t>The submission estimated a net saving of $5,930 for faricimab compared to aflibercept over a two</w:t>
      </w:r>
      <w:r w:rsidR="00115B6F" w:rsidRPr="002D21EA">
        <w:noBreakHyphen/>
      </w:r>
      <w:r w:rsidRPr="002D21EA">
        <w:t>year time horizon ($15,235 versus $21,166). It is likely that the net cost savings attributed to faricimab have been overestimated, as the analysis is highly dependent on the use of</w:t>
      </w:r>
      <w:r w:rsidR="00C3423B" w:rsidRPr="002D21EA">
        <w:t xml:space="preserve"> faricimab and aflibercept </w:t>
      </w:r>
      <w:r w:rsidRPr="002D21EA">
        <w:t xml:space="preserve">in practice: </w:t>
      </w:r>
    </w:p>
    <w:p w14:paraId="03095492" w14:textId="2859D337" w:rsidR="00196FF1" w:rsidRPr="002D21EA" w:rsidRDefault="00196FF1" w:rsidP="00DE7321">
      <w:pPr>
        <w:pStyle w:val="ExecSumBodyText"/>
        <w:numPr>
          <w:ilvl w:val="0"/>
          <w:numId w:val="17"/>
        </w:numPr>
        <w:ind w:left="1077" w:hanging="357"/>
        <w:contextualSpacing/>
      </w:pPr>
      <w:r w:rsidRPr="002D21EA">
        <w:t xml:space="preserve">Average doses of aflibercept per year may vary from the submission’s estimates, particularly if the proportion of patients maintained on treat-and-extend regimens has increased in recent years. This was reflected in the updated </w:t>
      </w:r>
      <w:r w:rsidR="003862B2">
        <w:t xml:space="preserve">PBS data </w:t>
      </w:r>
      <w:r w:rsidRPr="002D21EA">
        <w:t xml:space="preserve">in which the average number of intravitreal aflibercept and ranibizumab injections in the first and second years of treatment decreased. Using the updated </w:t>
      </w:r>
      <w:r w:rsidR="003862B2">
        <w:t>data</w:t>
      </w:r>
      <w:r w:rsidRPr="002D21EA">
        <w:t xml:space="preserve">, the </w:t>
      </w:r>
      <w:r w:rsidRPr="002D21EA">
        <w:lastRenderedPageBreak/>
        <w:t>incremental cost savings over two years reduced from $5,930 (base case) to $3,442.</w:t>
      </w:r>
    </w:p>
    <w:p w14:paraId="20BA3E5E" w14:textId="35C5349D" w:rsidR="00C81FA6" w:rsidRPr="002D21EA" w:rsidRDefault="00C81FA6" w:rsidP="00DE7321">
      <w:pPr>
        <w:pStyle w:val="ExecSumBodyText"/>
        <w:numPr>
          <w:ilvl w:val="0"/>
          <w:numId w:val="17"/>
        </w:numPr>
        <w:ind w:left="1077" w:hanging="357"/>
        <w:contextualSpacing/>
      </w:pPr>
      <w:r w:rsidRPr="002D21EA">
        <w:t xml:space="preserve">Trial-based dose intervals </w:t>
      </w:r>
      <w:r w:rsidR="00196FF1" w:rsidRPr="002D21EA">
        <w:t xml:space="preserve">for faricimab </w:t>
      </w:r>
      <w:r w:rsidRPr="002D21EA">
        <w:t>were determined based on patients’ active disease status at Week 20/24 only. It is unclear whether this would be representative of use in clinical practice.</w:t>
      </w:r>
    </w:p>
    <w:p w14:paraId="3408836E" w14:textId="77777777" w:rsidR="00196FF1" w:rsidRPr="002D21EA" w:rsidRDefault="00196FF1" w:rsidP="00DE7321">
      <w:pPr>
        <w:pStyle w:val="ExecSumBodyText"/>
        <w:numPr>
          <w:ilvl w:val="0"/>
          <w:numId w:val="17"/>
        </w:numPr>
        <w:ind w:left="1077" w:hanging="357"/>
        <w:contextualSpacing/>
      </w:pPr>
      <w:r w:rsidRPr="002D21EA">
        <w:t xml:space="preserve">There were limited clinical trial data available beyond one year of therapy. </w:t>
      </w:r>
    </w:p>
    <w:p w14:paraId="46D1ACD8" w14:textId="2D76A969" w:rsidR="00C81FA6" w:rsidRPr="002D21EA" w:rsidRDefault="00C81FA6" w:rsidP="00C81FA6">
      <w:pPr>
        <w:pStyle w:val="ExecSumBodyText"/>
        <w:numPr>
          <w:ilvl w:val="0"/>
          <w:numId w:val="17"/>
        </w:numPr>
        <w:ind w:left="1077" w:hanging="357"/>
      </w:pPr>
      <w:r w:rsidRPr="002D21EA">
        <w:t xml:space="preserve">The draft </w:t>
      </w:r>
      <w:r w:rsidR="00B55B77" w:rsidRPr="002D21EA">
        <w:t>product information</w:t>
      </w:r>
      <w:r w:rsidRPr="002D21EA">
        <w:t xml:space="preserve"> for faricimab states that monitoring between dosing visits should be scheduled based on the patient’s status and at the physician’s discretion. No additional monitoring costs were included in the submission’s cost analysis.</w:t>
      </w:r>
    </w:p>
    <w:p w14:paraId="416F1A9E" w14:textId="4B488F59" w:rsidR="00EB1E58" w:rsidRPr="00C648E5" w:rsidRDefault="00EB1E58" w:rsidP="00F0587F">
      <w:pPr>
        <w:pStyle w:val="ExecSumBodyText"/>
      </w:pPr>
      <w:r w:rsidRPr="00936634">
        <w:t>The</w:t>
      </w:r>
      <w:r>
        <w:t xml:space="preserve"> ESC requested the sponsor provide the results of the cost analysis using 7.20 doses of faricimab in the first year. The Pre-PBAC Response stated that a</w:t>
      </w:r>
      <w:r w:rsidRPr="00A85F49">
        <w:t xml:space="preserve"> sensitivity analysis was provided within the cost-minimisation analysis based on 7.20 faricimab doses in the first year which shows consistent outcomes and a comparable level of savings with the initial analysis (based on 6.93 doses)</w:t>
      </w:r>
      <w:r>
        <w:t>, however, the results were not reported</w:t>
      </w:r>
      <w:r w:rsidR="00F0587F">
        <w:t xml:space="preserve"> in the Pre-PBAC Response</w:t>
      </w:r>
      <w:r w:rsidRPr="00A85F49">
        <w:t>.</w:t>
      </w:r>
      <w:r w:rsidR="00F0587F">
        <w:t xml:space="preserve"> </w:t>
      </w:r>
      <w:r w:rsidR="00F0587F" w:rsidRPr="00F0587F">
        <w:t xml:space="preserve">A revised cost analysis </w:t>
      </w:r>
      <w:r w:rsidR="00F0587F">
        <w:t>using 7.20 doses of faricimab in the first year</w:t>
      </w:r>
      <w:r w:rsidR="00F0587F" w:rsidRPr="00F0587F">
        <w:t xml:space="preserve"> </w:t>
      </w:r>
      <w:r w:rsidR="00F0587F">
        <w:t xml:space="preserve">and </w:t>
      </w:r>
      <w:r w:rsidR="00F0587F" w:rsidRPr="00F0587F">
        <w:t xml:space="preserve">the updated </w:t>
      </w:r>
      <w:r w:rsidR="00BD71FB">
        <w:t xml:space="preserve">PBS data </w:t>
      </w:r>
      <w:r w:rsidR="00F0587F" w:rsidRPr="00F0587F">
        <w:t xml:space="preserve">of aflibercept use </w:t>
      </w:r>
      <w:r w:rsidR="00F0587F">
        <w:t xml:space="preserve">is shown below </w:t>
      </w:r>
      <w:r w:rsidR="00F0587F" w:rsidRPr="002D21EA">
        <w:t>(based on the published AEMP)</w:t>
      </w:r>
      <w:r w:rsidR="00F0587F">
        <w:t xml:space="preserve">. </w:t>
      </w:r>
    </w:p>
    <w:p w14:paraId="5E5CF5A4" w14:textId="6C0BB590" w:rsidR="00EB1E58" w:rsidRPr="002D21EA" w:rsidRDefault="00F0587F" w:rsidP="00EB1E58">
      <w:pPr>
        <w:pStyle w:val="Caption"/>
        <w:rPr>
          <w:lang w:val="en-AU"/>
        </w:rPr>
      </w:pPr>
      <w:r w:rsidRPr="002D21EA">
        <w:rPr>
          <w:lang w:val="en-AU"/>
        </w:rPr>
        <w:t xml:space="preserve">Table </w:t>
      </w:r>
      <w:r w:rsidRPr="002D21EA">
        <w:rPr>
          <w:lang w:val="en-AU"/>
        </w:rPr>
        <w:fldChar w:fldCharType="begin"/>
      </w:r>
      <w:r w:rsidRPr="002D21EA">
        <w:rPr>
          <w:lang w:val="en-AU"/>
        </w:rPr>
        <w:instrText xml:space="preserve"> SEQ Table \* ARABIC </w:instrText>
      </w:r>
      <w:r w:rsidRPr="002D21EA">
        <w:rPr>
          <w:lang w:val="en-AU"/>
        </w:rPr>
        <w:fldChar w:fldCharType="separate"/>
      </w:r>
      <w:r w:rsidR="006C2A4B">
        <w:rPr>
          <w:noProof/>
          <w:lang w:val="en-AU"/>
        </w:rPr>
        <w:t>12</w:t>
      </w:r>
      <w:r w:rsidRPr="002D21EA">
        <w:rPr>
          <w:lang w:val="en-AU"/>
        </w:rPr>
        <w:fldChar w:fldCharType="end"/>
      </w:r>
      <w:r w:rsidR="00EB1E58">
        <w:rPr>
          <w:lang w:val="en-AU"/>
        </w:rPr>
        <w:t xml:space="preserve">: </w:t>
      </w:r>
      <w:r>
        <w:rPr>
          <w:lang w:val="en-AU"/>
        </w:rPr>
        <w:t>Updated r</w:t>
      </w:r>
      <w:r w:rsidR="00EB1E58" w:rsidRPr="002D21EA">
        <w:rPr>
          <w:lang w:val="en-AU"/>
        </w:rPr>
        <w:t xml:space="preserve">esults of the cost </w:t>
      </w:r>
      <w:r w:rsidR="00EB1E58" w:rsidRPr="002D21EA" w:rsidDel="00414B9C">
        <w:rPr>
          <w:lang w:val="en-AU"/>
        </w:rPr>
        <w:t>analysis</w:t>
      </w:r>
      <w:r w:rsidR="00EB1E58" w:rsidRPr="002D21EA">
        <w:rPr>
          <w:lang w:val="en-AU"/>
        </w:rPr>
        <w:t xml:space="preserve"> conducted over a two-year time horizon</w:t>
      </w:r>
      <w:r>
        <w:rPr>
          <w:lang w:val="en-AU"/>
        </w:rPr>
        <w:t xml:space="preserve"> </w:t>
      </w:r>
      <w:r>
        <w:t>using 7.20 doses of faricimab in the first year</w:t>
      </w:r>
      <w:r w:rsidRPr="00F0587F">
        <w:t xml:space="preserve"> </w:t>
      </w:r>
      <w:r>
        <w:t xml:space="preserve">and </w:t>
      </w:r>
      <w:r w:rsidRPr="00F0587F">
        <w:t xml:space="preserve">the updated </w:t>
      </w:r>
      <w:r w:rsidR="00420C97">
        <w:t xml:space="preserve">PBS data </w:t>
      </w:r>
      <w:r w:rsidRPr="00F0587F">
        <w:t>of aflibercept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12: Updated results of the cost analysis conducted over a two-year time horizon using 7.20 doses of faricimab in the first year and the updated PBS data of aflibercept use"/>
      </w:tblPr>
      <w:tblGrid>
        <w:gridCol w:w="2547"/>
        <w:gridCol w:w="1617"/>
        <w:gridCol w:w="1618"/>
        <w:gridCol w:w="1617"/>
        <w:gridCol w:w="1618"/>
      </w:tblGrid>
      <w:tr w:rsidR="00EB1E58" w:rsidRPr="002D21EA" w14:paraId="527AF2C9" w14:textId="77777777" w:rsidTr="00115C14">
        <w:trPr>
          <w:trHeight w:val="70"/>
          <w:tblHeader/>
        </w:trPr>
        <w:tc>
          <w:tcPr>
            <w:tcW w:w="2547" w:type="dxa"/>
            <w:vMerge w:val="restart"/>
            <w:shd w:val="clear" w:color="auto" w:fill="auto"/>
          </w:tcPr>
          <w:p w14:paraId="2F48710A" w14:textId="77777777" w:rsidR="00EB1E58" w:rsidRPr="00CE65B8" w:rsidRDefault="00EB1E58" w:rsidP="00115C14">
            <w:pPr>
              <w:keepNext/>
              <w:keepLines/>
              <w:rPr>
                <w:rFonts w:ascii="Arial Narrow" w:hAnsi="Arial Narrow"/>
                <w:sz w:val="20"/>
              </w:rPr>
            </w:pPr>
          </w:p>
        </w:tc>
        <w:tc>
          <w:tcPr>
            <w:tcW w:w="3235" w:type="dxa"/>
            <w:gridSpan w:val="2"/>
            <w:shd w:val="clear" w:color="auto" w:fill="auto"/>
            <w:vAlign w:val="center"/>
          </w:tcPr>
          <w:p w14:paraId="09256C05"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Submission’s approach</w:t>
            </w:r>
          </w:p>
        </w:tc>
        <w:tc>
          <w:tcPr>
            <w:tcW w:w="3235" w:type="dxa"/>
            <w:gridSpan w:val="2"/>
            <w:shd w:val="clear" w:color="auto" w:fill="auto"/>
          </w:tcPr>
          <w:p w14:paraId="7BADB80E"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Evaluation approach</w:t>
            </w:r>
          </w:p>
        </w:tc>
      </w:tr>
      <w:tr w:rsidR="00EB1E58" w:rsidRPr="002D21EA" w14:paraId="459E685C" w14:textId="77777777" w:rsidTr="00115C14">
        <w:trPr>
          <w:trHeight w:val="70"/>
          <w:tblHeader/>
        </w:trPr>
        <w:tc>
          <w:tcPr>
            <w:tcW w:w="2547" w:type="dxa"/>
            <w:vMerge/>
            <w:shd w:val="clear" w:color="auto" w:fill="auto"/>
          </w:tcPr>
          <w:p w14:paraId="51C0F30B" w14:textId="77777777" w:rsidR="00EB1E58" w:rsidRPr="00CE65B8" w:rsidRDefault="00EB1E58" w:rsidP="00115C14">
            <w:pPr>
              <w:keepNext/>
              <w:keepLines/>
              <w:rPr>
                <w:rFonts w:ascii="Arial Narrow" w:hAnsi="Arial Narrow"/>
                <w:sz w:val="20"/>
              </w:rPr>
            </w:pPr>
          </w:p>
        </w:tc>
        <w:tc>
          <w:tcPr>
            <w:tcW w:w="1617" w:type="dxa"/>
            <w:shd w:val="clear" w:color="auto" w:fill="auto"/>
            <w:vAlign w:val="center"/>
          </w:tcPr>
          <w:p w14:paraId="7238C7A8"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Faricimab</w:t>
            </w:r>
          </w:p>
        </w:tc>
        <w:tc>
          <w:tcPr>
            <w:tcW w:w="1618" w:type="dxa"/>
            <w:shd w:val="clear" w:color="auto" w:fill="auto"/>
            <w:vAlign w:val="center"/>
          </w:tcPr>
          <w:p w14:paraId="07506FFF"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Aflibercept</w:t>
            </w:r>
          </w:p>
        </w:tc>
        <w:tc>
          <w:tcPr>
            <w:tcW w:w="1617" w:type="dxa"/>
            <w:shd w:val="clear" w:color="auto" w:fill="auto"/>
            <w:vAlign w:val="center"/>
          </w:tcPr>
          <w:p w14:paraId="33E535C5"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Faricimab</w:t>
            </w:r>
          </w:p>
        </w:tc>
        <w:tc>
          <w:tcPr>
            <w:tcW w:w="1618" w:type="dxa"/>
            <w:shd w:val="clear" w:color="auto" w:fill="auto"/>
            <w:vAlign w:val="center"/>
          </w:tcPr>
          <w:p w14:paraId="7B4C9FE1"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Aflibercept</w:t>
            </w:r>
          </w:p>
        </w:tc>
      </w:tr>
      <w:tr w:rsidR="00EB1E58" w:rsidRPr="002D21EA" w14:paraId="40495125" w14:textId="77777777" w:rsidTr="00115C14">
        <w:trPr>
          <w:tblHeader/>
        </w:trPr>
        <w:tc>
          <w:tcPr>
            <w:tcW w:w="2547" w:type="dxa"/>
            <w:vMerge/>
            <w:shd w:val="clear" w:color="auto" w:fill="auto"/>
          </w:tcPr>
          <w:p w14:paraId="6916615E" w14:textId="77777777" w:rsidR="00EB1E58" w:rsidRPr="00CE65B8" w:rsidRDefault="00EB1E58" w:rsidP="00115C14">
            <w:pPr>
              <w:keepNext/>
              <w:keepLines/>
              <w:rPr>
                <w:rFonts w:ascii="Arial Narrow" w:hAnsi="Arial Narrow"/>
                <w:sz w:val="20"/>
              </w:rPr>
            </w:pPr>
          </w:p>
        </w:tc>
        <w:tc>
          <w:tcPr>
            <w:tcW w:w="3235" w:type="dxa"/>
            <w:gridSpan w:val="2"/>
            <w:shd w:val="clear" w:color="auto" w:fill="auto"/>
            <w:vAlign w:val="center"/>
          </w:tcPr>
          <w:p w14:paraId="1AA24C16"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DPMQ $1,042.95</w:t>
            </w:r>
          </w:p>
        </w:tc>
        <w:tc>
          <w:tcPr>
            <w:tcW w:w="3235" w:type="dxa"/>
            <w:gridSpan w:val="2"/>
            <w:shd w:val="clear" w:color="auto" w:fill="auto"/>
            <w:vAlign w:val="center"/>
          </w:tcPr>
          <w:p w14:paraId="5F4DA1E9"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AEMP $932.40</w:t>
            </w:r>
          </w:p>
        </w:tc>
      </w:tr>
      <w:tr w:rsidR="00EB1E58" w:rsidRPr="002D21EA" w14:paraId="33B1F662" w14:textId="77777777" w:rsidTr="00115C14">
        <w:tc>
          <w:tcPr>
            <w:tcW w:w="9017" w:type="dxa"/>
            <w:gridSpan w:val="5"/>
            <w:shd w:val="clear" w:color="auto" w:fill="auto"/>
          </w:tcPr>
          <w:p w14:paraId="57BAC8B0" w14:textId="77777777" w:rsidR="00EB1E58" w:rsidRPr="00CE65B8" w:rsidRDefault="00EB1E58" w:rsidP="00115C14">
            <w:pPr>
              <w:keepNext/>
              <w:keepLines/>
              <w:rPr>
                <w:rFonts w:ascii="Arial Narrow" w:hAnsi="Arial Narrow"/>
                <w:b/>
                <w:bCs/>
                <w:sz w:val="20"/>
              </w:rPr>
            </w:pPr>
            <w:r w:rsidRPr="00CE65B8">
              <w:rPr>
                <w:rFonts w:ascii="Arial Narrow" w:hAnsi="Arial Narrow"/>
                <w:b/>
                <w:bCs/>
                <w:sz w:val="20"/>
              </w:rPr>
              <w:t>Year 1</w:t>
            </w:r>
          </w:p>
        </w:tc>
      </w:tr>
      <w:tr w:rsidR="00EB1E58" w:rsidRPr="002D21EA" w14:paraId="57512F27" w14:textId="77777777" w:rsidTr="00115C14">
        <w:tc>
          <w:tcPr>
            <w:tcW w:w="2547" w:type="dxa"/>
            <w:shd w:val="clear" w:color="auto" w:fill="auto"/>
            <w:vAlign w:val="center"/>
          </w:tcPr>
          <w:p w14:paraId="4D45DD66" w14:textId="77777777" w:rsidR="00EB1E58" w:rsidRPr="00CE65B8" w:rsidRDefault="00EB1E58" w:rsidP="00115C14">
            <w:pPr>
              <w:keepNext/>
              <w:keepLines/>
              <w:rPr>
                <w:rFonts w:ascii="Arial Narrow" w:hAnsi="Arial Narrow"/>
                <w:sz w:val="20"/>
              </w:rPr>
            </w:pPr>
            <w:r w:rsidRPr="00CE65B8">
              <w:rPr>
                <w:rFonts w:ascii="Arial Narrow" w:hAnsi="Arial Narrow"/>
                <w:sz w:val="20"/>
              </w:rPr>
              <w:t>Administration frequency</w:t>
            </w:r>
          </w:p>
        </w:tc>
        <w:tc>
          <w:tcPr>
            <w:tcW w:w="1617" w:type="dxa"/>
            <w:shd w:val="clear" w:color="auto" w:fill="auto"/>
            <w:vAlign w:val="center"/>
          </w:tcPr>
          <w:p w14:paraId="0C4B7D0E"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7.20</w:t>
            </w:r>
          </w:p>
        </w:tc>
        <w:tc>
          <w:tcPr>
            <w:tcW w:w="1618" w:type="dxa"/>
            <w:shd w:val="clear" w:color="auto" w:fill="auto"/>
            <w:vAlign w:val="center"/>
          </w:tcPr>
          <w:p w14:paraId="4709443F"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8.52</w:t>
            </w:r>
          </w:p>
        </w:tc>
        <w:tc>
          <w:tcPr>
            <w:tcW w:w="1617" w:type="dxa"/>
            <w:shd w:val="clear" w:color="auto" w:fill="auto"/>
            <w:vAlign w:val="center"/>
          </w:tcPr>
          <w:p w14:paraId="498C0DA3"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7.20</w:t>
            </w:r>
          </w:p>
        </w:tc>
        <w:tc>
          <w:tcPr>
            <w:tcW w:w="1618" w:type="dxa"/>
            <w:shd w:val="clear" w:color="auto" w:fill="auto"/>
            <w:vAlign w:val="center"/>
          </w:tcPr>
          <w:p w14:paraId="1CF3FD82"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7.69</w:t>
            </w:r>
          </w:p>
        </w:tc>
      </w:tr>
      <w:tr w:rsidR="00EB1E58" w:rsidRPr="002D21EA" w14:paraId="52E3892B" w14:textId="77777777" w:rsidTr="00115C14">
        <w:tc>
          <w:tcPr>
            <w:tcW w:w="2547" w:type="dxa"/>
            <w:shd w:val="clear" w:color="auto" w:fill="auto"/>
            <w:vAlign w:val="center"/>
          </w:tcPr>
          <w:p w14:paraId="608ADD95" w14:textId="77777777" w:rsidR="00EB1E58" w:rsidRPr="00CE65B8" w:rsidRDefault="00EB1E58" w:rsidP="00115C14">
            <w:pPr>
              <w:keepNext/>
              <w:keepLines/>
              <w:rPr>
                <w:rFonts w:ascii="Arial Narrow" w:hAnsi="Arial Narrow"/>
                <w:sz w:val="20"/>
              </w:rPr>
            </w:pPr>
            <w:r w:rsidRPr="00CE65B8">
              <w:rPr>
                <w:rFonts w:ascii="Arial Narrow" w:hAnsi="Arial Narrow"/>
                <w:sz w:val="20"/>
              </w:rPr>
              <w:t>Drug cost (DPMQ/AEMP × administration frequency)</w:t>
            </w:r>
          </w:p>
        </w:tc>
        <w:tc>
          <w:tcPr>
            <w:tcW w:w="1617" w:type="dxa"/>
            <w:shd w:val="clear" w:color="auto" w:fill="auto"/>
            <w:vAlign w:val="center"/>
          </w:tcPr>
          <w:p w14:paraId="4A6384FB"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$7,513</w:t>
            </w:r>
          </w:p>
        </w:tc>
        <w:tc>
          <w:tcPr>
            <w:tcW w:w="1618" w:type="dxa"/>
            <w:shd w:val="clear" w:color="auto" w:fill="auto"/>
            <w:vAlign w:val="center"/>
          </w:tcPr>
          <w:p w14:paraId="66F16194"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$8,886</w:t>
            </w:r>
          </w:p>
        </w:tc>
        <w:tc>
          <w:tcPr>
            <w:tcW w:w="1617" w:type="dxa"/>
            <w:shd w:val="clear" w:color="auto" w:fill="auto"/>
            <w:vAlign w:val="center"/>
          </w:tcPr>
          <w:p w14:paraId="55396725"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$6,717</w:t>
            </w:r>
          </w:p>
        </w:tc>
        <w:tc>
          <w:tcPr>
            <w:tcW w:w="1618" w:type="dxa"/>
            <w:shd w:val="clear" w:color="auto" w:fill="auto"/>
            <w:vAlign w:val="center"/>
          </w:tcPr>
          <w:p w14:paraId="1636E45D"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$7,170</w:t>
            </w:r>
          </w:p>
        </w:tc>
      </w:tr>
      <w:tr w:rsidR="00EB1E58" w:rsidRPr="002D21EA" w14:paraId="571E82B4" w14:textId="77777777" w:rsidTr="00115C14">
        <w:tc>
          <w:tcPr>
            <w:tcW w:w="2547" w:type="dxa"/>
            <w:shd w:val="clear" w:color="auto" w:fill="auto"/>
            <w:vAlign w:val="center"/>
          </w:tcPr>
          <w:p w14:paraId="7E121819" w14:textId="77777777" w:rsidR="00EB1E58" w:rsidRPr="00CE65B8" w:rsidRDefault="00EB1E58" w:rsidP="00115C14">
            <w:pPr>
              <w:keepNext/>
              <w:keepLines/>
              <w:rPr>
                <w:rFonts w:ascii="Arial Narrow" w:hAnsi="Arial Narrow"/>
                <w:sz w:val="20"/>
              </w:rPr>
            </w:pPr>
            <w:r w:rsidRPr="00CE65B8">
              <w:rPr>
                <w:rFonts w:ascii="Arial Narrow" w:hAnsi="Arial Narrow"/>
                <w:sz w:val="20"/>
              </w:rPr>
              <w:t xml:space="preserve">Administration cost ($312.95 </w:t>
            </w:r>
            <w:r w:rsidRPr="00CE65B8">
              <w:rPr>
                <w:rFonts w:ascii="Arial Narrow" w:hAnsi="Arial Narrow"/>
                <w:sz w:val="20"/>
                <w:vertAlign w:val="superscript"/>
              </w:rPr>
              <w:t>1</w:t>
            </w:r>
            <w:r w:rsidRPr="00CE65B8">
              <w:rPr>
                <w:rFonts w:ascii="Arial Narrow" w:hAnsi="Arial Narrow"/>
                <w:sz w:val="20"/>
              </w:rPr>
              <w:t xml:space="preserve"> × administration frequency)</w:t>
            </w:r>
          </w:p>
        </w:tc>
        <w:tc>
          <w:tcPr>
            <w:tcW w:w="1617" w:type="dxa"/>
            <w:shd w:val="clear" w:color="auto" w:fill="auto"/>
            <w:vAlign w:val="center"/>
          </w:tcPr>
          <w:p w14:paraId="1733835A"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$2,254</w:t>
            </w:r>
          </w:p>
        </w:tc>
        <w:tc>
          <w:tcPr>
            <w:tcW w:w="1618" w:type="dxa"/>
            <w:shd w:val="clear" w:color="auto" w:fill="auto"/>
            <w:vAlign w:val="center"/>
          </w:tcPr>
          <w:p w14:paraId="2E42C85F"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$2,666</w:t>
            </w:r>
          </w:p>
        </w:tc>
        <w:tc>
          <w:tcPr>
            <w:tcW w:w="1617" w:type="dxa"/>
            <w:shd w:val="clear" w:color="auto" w:fill="auto"/>
            <w:vAlign w:val="center"/>
          </w:tcPr>
          <w:p w14:paraId="530DB296" w14:textId="77777777" w:rsidR="00EB1E58" w:rsidRPr="00CE65B8" w:rsidRDefault="00EB1E58" w:rsidP="00115C14">
            <w:pPr>
              <w:keepNext/>
              <w:keepLines/>
              <w:jc w:val="center"/>
              <w:rPr>
                <w:rFonts w:ascii="Arial Narrow" w:eastAsia="Arial Narrow" w:hAnsi="Arial Narrow" w:cs="Arial Narrow"/>
                <w:sz w:val="20"/>
              </w:rPr>
            </w:pPr>
            <w:r w:rsidRPr="00CE65B8">
              <w:rPr>
                <w:rFonts w:ascii="Arial Narrow" w:hAnsi="Arial Narrow"/>
                <w:sz w:val="20"/>
              </w:rPr>
              <w:t>$2,254</w:t>
            </w:r>
          </w:p>
        </w:tc>
        <w:tc>
          <w:tcPr>
            <w:tcW w:w="1618" w:type="dxa"/>
            <w:shd w:val="clear" w:color="auto" w:fill="auto"/>
            <w:vAlign w:val="center"/>
          </w:tcPr>
          <w:p w14:paraId="4F8908AC" w14:textId="77777777" w:rsidR="00EB1E58" w:rsidRPr="00CE65B8" w:rsidRDefault="00EB1E58" w:rsidP="00115C14">
            <w:pPr>
              <w:keepNext/>
              <w:keepLines/>
              <w:jc w:val="center"/>
              <w:rPr>
                <w:rFonts w:ascii="Arial Narrow" w:eastAsia="Arial Narrow" w:hAnsi="Arial Narrow" w:cs="Arial Narrow"/>
                <w:sz w:val="20"/>
              </w:rPr>
            </w:pPr>
            <w:r w:rsidRPr="00CE65B8">
              <w:rPr>
                <w:rFonts w:ascii="Arial Narrow" w:hAnsi="Arial Narrow"/>
                <w:sz w:val="20"/>
              </w:rPr>
              <w:t>$2,407</w:t>
            </w:r>
          </w:p>
        </w:tc>
      </w:tr>
      <w:tr w:rsidR="00EB1E58" w:rsidRPr="002D21EA" w14:paraId="649C7CC4" w14:textId="77777777" w:rsidTr="00115C14">
        <w:tc>
          <w:tcPr>
            <w:tcW w:w="2547" w:type="dxa"/>
            <w:shd w:val="clear" w:color="auto" w:fill="auto"/>
            <w:vAlign w:val="center"/>
          </w:tcPr>
          <w:p w14:paraId="48891386" w14:textId="77777777" w:rsidR="00EB1E58" w:rsidRPr="00CE65B8" w:rsidRDefault="00EB1E58" w:rsidP="00115C14">
            <w:pPr>
              <w:keepNext/>
              <w:keepLines/>
              <w:rPr>
                <w:rFonts w:ascii="Arial Narrow" w:hAnsi="Arial Narrow"/>
                <w:sz w:val="20"/>
              </w:rPr>
            </w:pPr>
            <w:r w:rsidRPr="00CE65B8">
              <w:rPr>
                <w:rFonts w:ascii="Arial Narrow" w:hAnsi="Arial Narrow" w:cs="Calibri"/>
                <w:sz w:val="20"/>
                <w:lang w:eastAsia="en-US"/>
              </w:rPr>
              <w:t>Total cost Year 1</w:t>
            </w:r>
          </w:p>
        </w:tc>
        <w:tc>
          <w:tcPr>
            <w:tcW w:w="1617" w:type="dxa"/>
            <w:shd w:val="clear" w:color="auto" w:fill="auto"/>
            <w:vAlign w:val="center"/>
          </w:tcPr>
          <w:p w14:paraId="4DBED73E"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$9,767</w:t>
            </w:r>
          </w:p>
        </w:tc>
        <w:tc>
          <w:tcPr>
            <w:tcW w:w="1618" w:type="dxa"/>
            <w:shd w:val="clear" w:color="auto" w:fill="auto"/>
            <w:vAlign w:val="center"/>
          </w:tcPr>
          <w:p w14:paraId="2D543E04"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$11,552</w:t>
            </w:r>
          </w:p>
        </w:tc>
        <w:tc>
          <w:tcPr>
            <w:tcW w:w="1617" w:type="dxa"/>
            <w:shd w:val="clear" w:color="auto" w:fill="auto"/>
            <w:vAlign w:val="center"/>
          </w:tcPr>
          <w:p w14:paraId="13DBE6CA"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$8,971</w:t>
            </w:r>
          </w:p>
        </w:tc>
        <w:tc>
          <w:tcPr>
            <w:tcW w:w="1618" w:type="dxa"/>
            <w:shd w:val="clear" w:color="auto" w:fill="auto"/>
            <w:vAlign w:val="center"/>
          </w:tcPr>
          <w:p w14:paraId="763183DC"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$9,577</w:t>
            </w:r>
          </w:p>
        </w:tc>
      </w:tr>
      <w:tr w:rsidR="00EB1E58" w:rsidRPr="002D21EA" w14:paraId="64658AD3" w14:textId="77777777" w:rsidTr="00115C14">
        <w:tc>
          <w:tcPr>
            <w:tcW w:w="2547" w:type="dxa"/>
            <w:shd w:val="clear" w:color="auto" w:fill="auto"/>
            <w:vAlign w:val="center"/>
          </w:tcPr>
          <w:p w14:paraId="626B5021" w14:textId="77777777" w:rsidR="00EB1E58" w:rsidRPr="00CE65B8" w:rsidRDefault="00EB1E58" w:rsidP="00115C14">
            <w:pPr>
              <w:keepNext/>
              <w:keepLines/>
              <w:rPr>
                <w:rFonts w:ascii="Arial Narrow" w:hAnsi="Arial Narrow" w:cs="Calibri"/>
                <w:sz w:val="20"/>
                <w:lang w:eastAsia="en-US"/>
              </w:rPr>
            </w:pPr>
            <w:r w:rsidRPr="00CE65B8">
              <w:rPr>
                <w:rFonts w:ascii="Arial Narrow" w:hAnsi="Arial Narrow" w:cs="Calibri"/>
                <w:sz w:val="20"/>
                <w:lang w:eastAsia="en-US"/>
              </w:rPr>
              <w:t>Incremental cost Year 1</w:t>
            </w:r>
          </w:p>
        </w:tc>
        <w:tc>
          <w:tcPr>
            <w:tcW w:w="3235" w:type="dxa"/>
            <w:gridSpan w:val="2"/>
            <w:shd w:val="clear" w:color="auto" w:fill="auto"/>
            <w:vAlign w:val="center"/>
          </w:tcPr>
          <w:p w14:paraId="49EDF587"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-$1,785</w:t>
            </w:r>
          </w:p>
        </w:tc>
        <w:tc>
          <w:tcPr>
            <w:tcW w:w="3235" w:type="dxa"/>
            <w:gridSpan w:val="2"/>
            <w:shd w:val="clear" w:color="auto" w:fill="auto"/>
            <w:vAlign w:val="center"/>
          </w:tcPr>
          <w:p w14:paraId="48F11954"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-$606</w:t>
            </w:r>
          </w:p>
        </w:tc>
      </w:tr>
      <w:tr w:rsidR="00EB1E58" w:rsidRPr="002D21EA" w14:paraId="54F7A257" w14:textId="77777777" w:rsidTr="00115C14">
        <w:tc>
          <w:tcPr>
            <w:tcW w:w="9017" w:type="dxa"/>
            <w:gridSpan w:val="5"/>
            <w:shd w:val="clear" w:color="auto" w:fill="auto"/>
          </w:tcPr>
          <w:p w14:paraId="268B9C4B" w14:textId="77777777" w:rsidR="00EB1E58" w:rsidRPr="00CE65B8" w:rsidRDefault="00EB1E58" w:rsidP="00115C14">
            <w:pPr>
              <w:keepNext/>
              <w:keepLines/>
              <w:rPr>
                <w:rFonts w:ascii="Arial Narrow" w:hAnsi="Arial Narrow"/>
                <w:b/>
                <w:bCs/>
                <w:sz w:val="20"/>
              </w:rPr>
            </w:pPr>
            <w:r w:rsidRPr="00CE65B8">
              <w:rPr>
                <w:rFonts w:ascii="Arial Narrow" w:hAnsi="Arial Narrow"/>
                <w:b/>
                <w:bCs/>
                <w:sz w:val="20"/>
              </w:rPr>
              <w:t>Year 2</w:t>
            </w:r>
          </w:p>
        </w:tc>
      </w:tr>
      <w:tr w:rsidR="00EB1E58" w:rsidRPr="002D21EA" w14:paraId="0E88F1E6" w14:textId="77777777" w:rsidTr="00115C14">
        <w:tc>
          <w:tcPr>
            <w:tcW w:w="2547" w:type="dxa"/>
            <w:shd w:val="clear" w:color="auto" w:fill="auto"/>
            <w:vAlign w:val="center"/>
          </w:tcPr>
          <w:p w14:paraId="3B1BCD2E" w14:textId="77777777" w:rsidR="00EB1E58" w:rsidRPr="00CE65B8" w:rsidRDefault="00EB1E58" w:rsidP="00115C14">
            <w:pPr>
              <w:keepNext/>
              <w:keepLines/>
              <w:rPr>
                <w:rFonts w:ascii="Arial Narrow" w:hAnsi="Arial Narrow"/>
                <w:sz w:val="20"/>
              </w:rPr>
            </w:pPr>
            <w:r w:rsidRPr="00CE65B8">
              <w:rPr>
                <w:rFonts w:ascii="Arial Narrow" w:hAnsi="Arial Narrow"/>
                <w:sz w:val="20"/>
              </w:rPr>
              <w:t>Administration frequency</w:t>
            </w:r>
          </w:p>
        </w:tc>
        <w:tc>
          <w:tcPr>
            <w:tcW w:w="1617" w:type="dxa"/>
            <w:shd w:val="clear" w:color="auto" w:fill="auto"/>
            <w:vAlign w:val="center"/>
          </w:tcPr>
          <w:p w14:paraId="349B34EE"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4.30</w:t>
            </w:r>
          </w:p>
        </w:tc>
        <w:tc>
          <w:tcPr>
            <w:tcW w:w="1618" w:type="dxa"/>
            <w:shd w:val="clear" w:color="auto" w:fill="auto"/>
            <w:vAlign w:val="center"/>
          </w:tcPr>
          <w:p w14:paraId="414A526C"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7.09</w:t>
            </w:r>
          </w:p>
        </w:tc>
        <w:tc>
          <w:tcPr>
            <w:tcW w:w="1617" w:type="dxa"/>
            <w:shd w:val="clear" w:color="auto" w:fill="auto"/>
            <w:vAlign w:val="center"/>
          </w:tcPr>
          <w:p w14:paraId="5B48C968"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4.30</w:t>
            </w:r>
          </w:p>
        </w:tc>
        <w:tc>
          <w:tcPr>
            <w:tcW w:w="1618" w:type="dxa"/>
            <w:shd w:val="clear" w:color="auto" w:fill="auto"/>
            <w:vAlign w:val="center"/>
          </w:tcPr>
          <w:p w14:paraId="12638243"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6.31</w:t>
            </w:r>
          </w:p>
        </w:tc>
      </w:tr>
      <w:tr w:rsidR="00EB1E58" w:rsidRPr="002D21EA" w14:paraId="30BABF74" w14:textId="77777777" w:rsidTr="00115C14">
        <w:tc>
          <w:tcPr>
            <w:tcW w:w="2547" w:type="dxa"/>
            <w:shd w:val="clear" w:color="auto" w:fill="auto"/>
            <w:vAlign w:val="center"/>
          </w:tcPr>
          <w:p w14:paraId="36B4C8D1" w14:textId="77777777" w:rsidR="00EB1E58" w:rsidRPr="00CE65B8" w:rsidRDefault="00EB1E58" w:rsidP="00115C14">
            <w:pPr>
              <w:keepNext/>
              <w:keepLines/>
              <w:rPr>
                <w:rFonts w:ascii="Arial Narrow" w:hAnsi="Arial Narrow"/>
                <w:sz w:val="20"/>
              </w:rPr>
            </w:pPr>
            <w:r w:rsidRPr="00CE65B8">
              <w:rPr>
                <w:rFonts w:ascii="Arial Narrow" w:hAnsi="Arial Narrow"/>
                <w:sz w:val="20"/>
              </w:rPr>
              <w:t>Drug cost (DPMQ/AEMP × administration frequency)</w:t>
            </w:r>
          </w:p>
        </w:tc>
        <w:tc>
          <w:tcPr>
            <w:tcW w:w="1617" w:type="dxa"/>
            <w:shd w:val="clear" w:color="auto" w:fill="auto"/>
            <w:vAlign w:val="center"/>
          </w:tcPr>
          <w:p w14:paraId="5088BF9C"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$4,488</w:t>
            </w:r>
          </w:p>
        </w:tc>
        <w:tc>
          <w:tcPr>
            <w:tcW w:w="1618" w:type="dxa"/>
            <w:shd w:val="clear" w:color="auto" w:fill="auto"/>
            <w:vAlign w:val="center"/>
          </w:tcPr>
          <w:p w14:paraId="292B9AAA"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$7,395</w:t>
            </w:r>
          </w:p>
        </w:tc>
        <w:tc>
          <w:tcPr>
            <w:tcW w:w="1617" w:type="dxa"/>
            <w:shd w:val="clear" w:color="auto" w:fill="auto"/>
            <w:vAlign w:val="center"/>
          </w:tcPr>
          <w:p w14:paraId="08D9412E"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$4,012</w:t>
            </w:r>
          </w:p>
        </w:tc>
        <w:tc>
          <w:tcPr>
            <w:tcW w:w="1618" w:type="dxa"/>
            <w:shd w:val="clear" w:color="auto" w:fill="auto"/>
            <w:vAlign w:val="center"/>
          </w:tcPr>
          <w:p w14:paraId="11A637E3"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$5,883</w:t>
            </w:r>
          </w:p>
        </w:tc>
      </w:tr>
      <w:tr w:rsidR="00EB1E58" w:rsidRPr="002D21EA" w14:paraId="6D30AB93" w14:textId="77777777" w:rsidTr="00115C14">
        <w:tc>
          <w:tcPr>
            <w:tcW w:w="2547" w:type="dxa"/>
            <w:shd w:val="clear" w:color="auto" w:fill="auto"/>
            <w:vAlign w:val="center"/>
          </w:tcPr>
          <w:p w14:paraId="074FA3A1" w14:textId="77777777" w:rsidR="00EB1E58" w:rsidRPr="00CE65B8" w:rsidRDefault="00EB1E58" w:rsidP="00115C14">
            <w:pPr>
              <w:keepNext/>
              <w:keepLines/>
              <w:rPr>
                <w:rFonts w:ascii="Arial Narrow" w:hAnsi="Arial Narrow" w:cs="Calibri"/>
                <w:sz w:val="20"/>
                <w:lang w:eastAsia="en-US"/>
              </w:rPr>
            </w:pPr>
            <w:r w:rsidRPr="00CE65B8">
              <w:rPr>
                <w:rFonts w:ascii="Arial Narrow" w:hAnsi="Arial Narrow"/>
                <w:sz w:val="20"/>
              </w:rPr>
              <w:t xml:space="preserve">Administration cost ($312.95 </w:t>
            </w:r>
            <w:r w:rsidRPr="00CE65B8">
              <w:rPr>
                <w:rFonts w:ascii="Arial Narrow" w:hAnsi="Arial Narrow"/>
                <w:sz w:val="20"/>
                <w:vertAlign w:val="superscript"/>
              </w:rPr>
              <w:t>1</w:t>
            </w:r>
            <w:r w:rsidRPr="00CE65B8">
              <w:rPr>
                <w:rFonts w:ascii="Arial Narrow" w:hAnsi="Arial Narrow"/>
                <w:sz w:val="20"/>
              </w:rPr>
              <w:t xml:space="preserve"> × administration frequency)</w:t>
            </w:r>
          </w:p>
        </w:tc>
        <w:tc>
          <w:tcPr>
            <w:tcW w:w="1617" w:type="dxa"/>
            <w:shd w:val="clear" w:color="auto" w:fill="auto"/>
            <w:vAlign w:val="center"/>
          </w:tcPr>
          <w:p w14:paraId="15450CD7"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$1,347</w:t>
            </w:r>
          </w:p>
        </w:tc>
        <w:tc>
          <w:tcPr>
            <w:tcW w:w="1618" w:type="dxa"/>
            <w:shd w:val="clear" w:color="auto" w:fill="auto"/>
            <w:vAlign w:val="center"/>
          </w:tcPr>
          <w:p w14:paraId="150A542C"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$2,219</w:t>
            </w:r>
          </w:p>
        </w:tc>
        <w:tc>
          <w:tcPr>
            <w:tcW w:w="1617" w:type="dxa"/>
            <w:shd w:val="clear" w:color="auto" w:fill="auto"/>
            <w:vAlign w:val="center"/>
          </w:tcPr>
          <w:p w14:paraId="484BDB13"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$1,347</w:t>
            </w:r>
          </w:p>
        </w:tc>
        <w:tc>
          <w:tcPr>
            <w:tcW w:w="1618" w:type="dxa"/>
            <w:shd w:val="clear" w:color="auto" w:fill="auto"/>
            <w:vAlign w:val="center"/>
          </w:tcPr>
          <w:p w14:paraId="21203F7F"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$1,975</w:t>
            </w:r>
          </w:p>
        </w:tc>
      </w:tr>
      <w:tr w:rsidR="00EB1E58" w:rsidRPr="002D21EA" w14:paraId="10F617E0" w14:textId="77777777" w:rsidTr="00115C14">
        <w:tc>
          <w:tcPr>
            <w:tcW w:w="2547" w:type="dxa"/>
            <w:shd w:val="clear" w:color="auto" w:fill="auto"/>
            <w:vAlign w:val="center"/>
          </w:tcPr>
          <w:p w14:paraId="7F330855" w14:textId="77777777" w:rsidR="00EB1E58" w:rsidRPr="00CE65B8" w:rsidRDefault="00EB1E58" w:rsidP="00115C14">
            <w:pPr>
              <w:keepNext/>
              <w:keepLines/>
              <w:rPr>
                <w:rFonts w:ascii="Arial Narrow" w:hAnsi="Arial Narrow" w:cs="Calibri"/>
                <w:sz w:val="20"/>
                <w:lang w:eastAsia="en-US"/>
              </w:rPr>
            </w:pPr>
            <w:r w:rsidRPr="00CE65B8">
              <w:rPr>
                <w:rFonts w:ascii="Arial Narrow" w:hAnsi="Arial Narrow" w:cs="Calibri"/>
                <w:sz w:val="20"/>
                <w:lang w:eastAsia="en-US"/>
              </w:rPr>
              <w:t>Total cost Year 2</w:t>
            </w:r>
          </w:p>
        </w:tc>
        <w:tc>
          <w:tcPr>
            <w:tcW w:w="1617" w:type="dxa"/>
            <w:shd w:val="clear" w:color="auto" w:fill="auto"/>
            <w:vAlign w:val="center"/>
          </w:tcPr>
          <w:p w14:paraId="63D38E4D"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$5,834</w:t>
            </w:r>
          </w:p>
        </w:tc>
        <w:tc>
          <w:tcPr>
            <w:tcW w:w="1618" w:type="dxa"/>
            <w:shd w:val="clear" w:color="auto" w:fill="auto"/>
            <w:vAlign w:val="center"/>
          </w:tcPr>
          <w:p w14:paraId="46070FB1"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$9,613</w:t>
            </w:r>
          </w:p>
        </w:tc>
        <w:tc>
          <w:tcPr>
            <w:tcW w:w="1617" w:type="dxa"/>
            <w:shd w:val="clear" w:color="auto" w:fill="auto"/>
            <w:vAlign w:val="center"/>
          </w:tcPr>
          <w:p w14:paraId="17F1CC79"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$5,359</w:t>
            </w:r>
          </w:p>
        </w:tc>
        <w:tc>
          <w:tcPr>
            <w:tcW w:w="1618" w:type="dxa"/>
            <w:shd w:val="clear" w:color="auto" w:fill="auto"/>
            <w:vAlign w:val="center"/>
          </w:tcPr>
          <w:p w14:paraId="323E0943"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$7,858</w:t>
            </w:r>
          </w:p>
        </w:tc>
      </w:tr>
      <w:tr w:rsidR="00EB1E58" w:rsidRPr="002D21EA" w14:paraId="157B1905" w14:textId="77777777" w:rsidTr="00115C14">
        <w:tc>
          <w:tcPr>
            <w:tcW w:w="2547" w:type="dxa"/>
            <w:shd w:val="clear" w:color="auto" w:fill="auto"/>
            <w:vAlign w:val="center"/>
          </w:tcPr>
          <w:p w14:paraId="4BFE9942" w14:textId="77777777" w:rsidR="00EB1E58" w:rsidRPr="00CE65B8" w:rsidRDefault="00EB1E58" w:rsidP="00115C14">
            <w:pPr>
              <w:keepNext/>
              <w:keepLines/>
              <w:rPr>
                <w:rFonts w:ascii="Arial Narrow" w:hAnsi="Arial Narrow" w:cs="Calibri"/>
                <w:sz w:val="20"/>
                <w:lang w:eastAsia="en-US"/>
              </w:rPr>
            </w:pPr>
            <w:r w:rsidRPr="00CE65B8">
              <w:rPr>
                <w:rFonts w:ascii="Arial Narrow" w:hAnsi="Arial Narrow" w:cs="Calibri"/>
                <w:sz w:val="20"/>
                <w:lang w:eastAsia="en-US"/>
              </w:rPr>
              <w:t>Incremental cost Year 2</w:t>
            </w:r>
          </w:p>
        </w:tc>
        <w:tc>
          <w:tcPr>
            <w:tcW w:w="3235" w:type="dxa"/>
            <w:gridSpan w:val="2"/>
            <w:shd w:val="clear" w:color="auto" w:fill="auto"/>
            <w:vAlign w:val="center"/>
          </w:tcPr>
          <w:p w14:paraId="014A4B41"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-$3,779</w:t>
            </w:r>
          </w:p>
        </w:tc>
        <w:tc>
          <w:tcPr>
            <w:tcW w:w="3235" w:type="dxa"/>
            <w:gridSpan w:val="2"/>
            <w:shd w:val="clear" w:color="auto" w:fill="auto"/>
            <w:vAlign w:val="center"/>
          </w:tcPr>
          <w:p w14:paraId="1A359AAA" w14:textId="77777777" w:rsidR="00EB1E58" w:rsidRPr="00CE65B8" w:rsidRDefault="00EB1E58" w:rsidP="00115C14">
            <w:pPr>
              <w:keepNext/>
              <w:keepLines/>
              <w:jc w:val="center"/>
              <w:rPr>
                <w:rFonts w:ascii="Arial Narrow" w:hAnsi="Arial Narrow"/>
                <w:sz w:val="20"/>
              </w:rPr>
            </w:pPr>
            <w:r w:rsidRPr="00CE65B8">
              <w:rPr>
                <w:rFonts w:ascii="Arial Narrow" w:hAnsi="Arial Narrow"/>
                <w:sz w:val="20"/>
              </w:rPr>
              <w:t>-$2,499</w:t>
            </w:r>
          </w:p>
        </w:tc>
      </w:tr>
      <w:tr w:rsidR="00EB1E58" w:rsidRPr="002D21EA" w14:paraId="111FDB72" w14:textId="77777777" w:rsidTr="00115C14">
        <w:tc>
          <w:tcPr>
            <w:tcW w:w="2547" w:type="dxa"/>
            <w:shd w:val="clear" w:color="auto" w:fill="auto"/>
            <w:vAlign w:val="center"/>
          </w:tcPr>
          <w:p w14:paraId="2E7B88B5" w14:textId="77777777" w:rsidR="00EB1E58" w:rsidRPr="00CE65B8" w:rsidRDefault="00EB1E58" w:rsidP="00115C14">
            <w:pPr>
              <w:keepNext/>
              <w:keepLines/>
              <w:rPr>
                <w:rFonts w:ascii="Arial Narrow" w:hAnsi="Arial Narrow" w:cs="Calibri"/>
                <w:b/>
                <w:bCs/>
                <w:sz w:val="20"/>
                <w:lang w:eastAsia="en-US"/>
              </w:rPr>
            </w:pPr>
            <w:r w:rsidRPr="00CE65B8">
              <w:rPr>
                <w:rFonts w:ascii="Arial Narrow" w:hAnsi="Arial Narrow" w:cs="Calibri"/>
                <w:b/>
                <w:bCs/>
                <w:sz w:val="20"/>
                <w:lang w:eastAsia="en-US"/>
              </w:rPr>
              <w:t>Total cost over 2 years</w:t>
            </w:r>
          </w:p>
        </w:tc>
        <w:tc>
          <w:tcPr>
            <w:tcW w:w="1617" w:type="dxa"/>
            <w:shd w:val="clear" w:color="auto" w:fill="auto"/>
            <w:vAlign w:val="center"/>
          </w:tcPr>
          <w:p w14:paraId="54384635"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$15,602</w:t>
            </w:r>
          </w:p>
        </w:tc>
        <w:tc>
          <w:tcPr>
            <w:tcW w:w="1618" w:type="dxa"/>
            <w:shd w:val="clear" w:color="auto" w:fill="auto"/>
            <w:vAlign w:val="center"/>
          </w:tcPr>
          <w:p w14:paraId="0DEA352A"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$21,166</w:t>
            </w:r>
          </w:p>
        </w:tc>
        <w:tc>
          <w:tcPr>
            <w:tcW w:w="1617" w:type="dxa"/>
            <w:shd w:val="clear" w:color="auto" w:fill="auto"/>
            <w:vAlign w:val="center"/>
          </w:tcPr>
          <w:p w14:paraId="6D063637"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$14,330</w:t>
            </w:r>
          </w:p>
        </w:tc>
        <w:tc>
          <w:tcPr>
            <w:tcW w:w="1618" w:type="dxa"/>
            <w:shd w:val="clear" w:color="auto" w:fill="auto"/>
            <w:vAlign w:val="center"/>
          </w:tcPr>
          <w:p w14:paraId="225AD165"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$17,435</w:t>
            </w:r>
          </w:p>
        </w:tc>
      </w:tr>
      <w:tr w:rsidR="00EB1E58" w:rsidRPr="002D21EA" w14:paraId="4939855C" w14:textId="77777777" w:rsidTr="00115C14">
        <w:tc>
          <w:tcPr>
            <w:tcW w:w="2547" w:type="dxa"/>
            <w:shd w:val="clear" w:color="auto" w:fill="auto"/>
            <w:vAlign w:val="center"/>
          </w:tcPr>
          <w:p w14:paraId="0E327065" w14:textId="77777777" w:rsidR="00EB1E58" w:rsidRPr="00CE65B8" w:rsidRDefault="00EB1E58" w:rsidP="00115C14">
            <w:pPr>
              <w:keepNext/>
              <w:keepLines/>
              <w:rPr>
                <w:rFonts w:ascii="Arial Narrow" w:hAnsi="Arial Narrow" w:cs="Calibri"/>
                <w:b/>
                <w:bCs/>
                <w:sz w:val="20"/>
                <w:lang w:eastAsia="en-US"/>
              </w:rPr>
            </w:pPr>
            <w:r w:rsidRPr="00CE65B8">
              <w:rPr>
                <w:rFonts w:ascii="Arial Narrow" w:hAnsi="Arial Narrow" w:cs="Calibri"/>
                <w:b/>
                <w:bCs/>
                <w:sz w:val="20"/>
                <w:lang w:eastAsia="en-US"/>
              </w:rPr>
              <w:t>Incremental cost over 2 years</w:t>
            </w:r>
          </w:p>
        </w:tc>
        <w:tc>
          <w:tcPr>
            <w:tcW w:w="3235" w:type="dxa"/>
            <w:gridSpan w:val="2"/>
            <w:shd w:val="clear" w:color="auto" w:fill="auto"/>
            <w:vAlign w:val="center"/>
          </w:tcPr>
          <w:p w14:paraId="400E8D36"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-$5,564</w:t>
            </w:r>
          </w:p>
        </w:tc>
        <w:tc>
          <w:tcPr>
            <w:tcW w:w="3235" w:type="dxa"/>
            <w:gridSpan w:val="2"/>
            <w:shd w:val="clear" w:color="auto" w:fill="auto"/>
            <w:vAlign w:val="center"/>
          </w:tcPr>
          <w:p w14:paraId="094C2524" w14:textId="77777777" w:rsidR="00EB1E58" w:rsidRPr="00CE65B8" w:rsidRDefault="00EB1E58" w:rsidP="00115C14">
            <w:pPr>
              <w:keepNext/>
              <w:keepLines/>
              <w:jc w:val="center"/>
              <w:rPr>
                <w:rFonts w:ascii="Arial Narrow" w:hAnsi="Arial Narrow"/>
                <w:b/>
                <w:bCs/>
                <w:sz w:val="20"/>
              </w:rPr>
            </w:pPr>
            <w:r w:rsidRPr="00CE65B8">
              <w:rPr>
                <w:rFonts w:ascii="Arial Narrow" w:hAnsi="Arial Narrow"/>
                <w:b/>
                <w:bCs/>
                <w:sz w:val="20"/>
              </w:rPr>
              <w:t>-$3,105</w:t>
            </w:r>
          </w:p>
        </w:tc>
      </w:tr>
    </w:tbl>
    <w:p w14:paraId="3EBDE580" w14:textId="77777777" w:rsidR="00EB1E58" w:rsidRPr="002D21EA" w:rsidRDefault="00EB1E58" w:rsidP="00EB1E58">
      <w:pPr>
        <w:pStyle w:val="TableFigureFooter"/>
      </w:pPr>
      <w:r w:rsidRPr="002D21EA">
        <w:t>Source: Cost minimisation analysis spreadsheet</w:t>
      </w:r>
    </w:p>
    <w:p w14:paraId="161A397E" w14:textId="77777777" w:rsidR="00EB1E58" w:rsidRPr="002D21EA" w:rsidRDefault="00EB1E58" w:rsidP="00EB1E58">
      <w:pPr>
        <w:pStyle w:val="TableFigureFooter"/>
      </w:pPr>
      <w:r w:rsidRPr="002D21EA">
        <w:t>Abbreviations: AEMP = approved ex-manufacturer price; DPMQ = dispensed price for maximum quantity</w:t>
      </w:r>
    </w:p>
    <w:p w14:paraId="071C5006" w14:textId="77777777" w:rsidR="00EB1E58" w:rsidRPr="002D21EA" w:rsidRDefault="00EB1E58" w:rsidP="00EB1E58">
      <w:pPr>
        <w:pStyle w:val="TableFigureFooter"/>
      </w:pPr>
      <w:r w:rsidRPr="002D21EA">
        <w:rPr>
          <w:vertAlign w:val="superscript"/>
        </w:rPr>
        <w:t>1</w:t>
      </w:r>
      <w:r w:rsidRPr="002D21EA">
        <w:t>Administration costs based on MBS items 42738, 42739, 42740: intravitreal injection of therapeutic substances</w:t>
      </w:r>
    </w:p>
    <w:p w14:paraId="6436A0F6" w14:textId="1E9354EB" w:rsidR="00EB1E58" w:rsidRDefault="00EB1E58" w:rsidP="00EB1E58">
      <w:pPr>
        <w:pStyle w:val="ExecSumBodyText"/>
      </w:pPr>
      <w:r>
        <w:t>Using 7.20 doses in the first year instead of 6.93 reduces the incremental savings associated with faricimab versus aflibercept from -$5,930 to -$5,564</w:t>
      </w:r>
      <w:r w:rsidRPr="004877A0">
        <w:t xml:space="preserve"> </w:t>
      </w:r>
      <w:r>
        <w:t>in the submission’s base case; and from -$3,442 to -$3,105 using the evaluation approach.</w:t>
      </w:r>
      <w:r w:rsidR="002B18E0">
        <w:t xml:space="preserve"> </w:t>
      </w:r>
      <w:r w:rsidR="002B18E0">
        <w:lastRenderedPageBreak/>
        <w:t>The PBAC considered</w:t>
      </w:r>
      <w:r w:rsidR="00641403">
        <w:t xml:space="preserve"> using 7.20 doses in the first year instead of 6.93 was the </w:t>
      </w:r>
      <w:r w:rsidR="002B18E0">
        <w:t>more reasonable approach.</w:t>
      </w:r>
    </w:p>
    <w:p w14:paraId="74E0AAF0" w14:textId="582CD9E9" w:rsidR="00C81FA6" w:rsidRPr="002D21EA" w:rsidRDefault="00C81FA6" w:rsidP="00C81FA6">
      <w:pPr>
        <w:pStyle w:val="ExecSumBodyText"/>
        <w:numPr>
          <w:ilvl w:val="1"/>
          <w:numId w:val="1"/>
        </w:numPr>
      </w:pPr>
      <w:r w:rsidRPr="002D21EA">
        <w:t>A patient perspective analysis, incorporating out-of-pocket costs to patients including PBS patient co-payments and average gap fees paid after MBS benefits was presented in Section 3.3.2 of the submission. The submission noted that 70% of patients typically pay $224 out-of-pocket (gap fee for specialist visit after MBS benefit applied) per administration for intravitreal injections (Department of Health Medical Cost Finder, 2021), and the average PBS patient co-payment is $12.92 per script. Based on the patient perspective analysis, faricimab was expected to save patients approximately $742 over the two</w:t>
      </w:r>
      <w:r w:rsidR="00115B6F" w:rsidRPr="002D21EA">
        <w:noBreakHyphen/>
      </w:r>
      <w:r w:rsidRPr="002D21EA">
        <w:t>year time horizon, compared to aflibercept.</w:t>
      </w:r>
    </w:p>
    <w:p w14:paraId="6A0ABC89" w14:textId="2890A89F" w:rsidR="00C81FA6" w:rsidRDefault="00C81FA6" w:rsidP="00C81FA6">
      <w:pPr>
        <w:pStyle w:val="ExecSumBodyText"/>
        <w:numPr>
          <w:ilvl w:val="1"/>
          <w:numId w:val="1"/>
        </w:numPr>
      </w:pPr>
      <w:r w:rsidRPr="002D21EA">
        <w:t xml:space="preserve">The </w:t>
      </w:r>
      <w:r w:rsidR="00D34771" w:rsidRPr="002D21EA">
        <w:t xml:space="preserve">submission presented the </w:t>
      </w:r>
      <w:r w:rsidRPr="002D21EA">
        <w:t xml:space="preserve">results of sensitivity analyses </w:t>
      </w:r>
      <w:r w:rsidR="00D34771" w:rsidRPr="002D21EA">
        <w:t>based on alternative time horizons (5 and 10 years), dose relativities (25%/50% higher doses,</w:t>
      </w:r>
      <w:r w:rsidR="00E029B3" w:rsidRPr="002D21EA">
        <w:t xml:space="preserve"> no difference in doses), and trial-based dosing</w:t>
      </w:r>
      <w:r w:rsidRPr="002D21EA">
        <w:t xml:space="preserve">. </w:t>
      </w:r>
      <w:r w:rsidR="00B260D1" w:rsidRPr="002D21EA">
        <w:t xml:space="preserve">The submission noted that the results were cost-saving in all scenarios, apart from the scenario assuming no difference in faricimab and aflibercept dose frequency, which was cost neutral. </w:t>
      </w:r>
      <w:r w:rsidRPr="002D21EA">
        <w:t>The estimated savings in the submission may not be realised in clinical practice if the average annual number of injections for faricimab is similar to aflibercept or ranibizumab.</w:t>
      </w:r>
    </w:p>
    <w:p w14:paraId="6B9A7ED3" w14:textId="1EAAA8CB" w:rsidR="00867250" w:rsidRPr="002D21EA" w:rsidRDefault="00867250" w:rsidP="00867250">
      <w:pPr>
        <w:pStyle w:val="ExecSumBodyText"/>
      </w:pPr>
      <w:r w:rsidRPr="007C2E8D">
        <w:t xml:space="preserve">In response to concerns regarding uncertainty in equi-effective doses, the </w:t>
      </w:r>
      <w:r>
        <w:t xml:space="preserve">Pre-PBAC </w:t>
      </w:r>
      <w:r w:rsidRPr="007C2E8D">
        <w:t xml:space="preserve">Response noted that further follow-up data from the clinical trials indicate a higher proportion of patients on a 16-weekly dose at Week 112 (63%) than at Week 48 (45%), and suggested that the weighted trial-based average number of yearly doses would likely be lower than that used in the submission. The </w:t>
      </w:r>
      <w:r w:rsidR="0072788E">
        <w:t xml:space="preserve">Pre-PBAC </w:t>
      </w:r>
      <w:r w:rsidRPr="007C2E8D">
        <w:t>Response noted that, while uncertainty in equi-effective doses exists, all economic scenario analyses presented in the submission and commentary were cost saving; and out of pocket implications for patients were also cost saving.</w:t>
      </w:r>
    </w:p>
    <w:p w14:paraId="472842D7" w14:textId="736C99D8" w:rsidR="00C25D9C" w:rsidRPr="00BF2B95" w:rsidRDefault="00C25D9C" w:rsidP="00BB732D">
      <w:pPr>
        <w:pStyle w:val="3-SubsectionHeading"/>
      </w:pPr>
      <w:bookmarkStart w:id="29" w:name="_Toc22897646"/>
      <w:bookmarkStart w:id="30" w:name="_Toc101107813"/>
      <w:r w:rsidRPr="00BF2B95">
        <w:t>Drug cost/patient/year</w:t>
      </w:r>
      <w:bookmarkEnd w:id="29"/>
      <w:bookmarkEnd w:id="30"/>
    </w:p>
    <w:p w14:paraId="5F121077" w14:textId="1C01FC2D" w:rsidR="006103B8" w:rsidRPr="002D21EA" w:rsidRDefault="006103B8" w:rsidP="006103B8">
      <w:pPr>
        <w:pStyle w:val="ExecSumBodyText"/>
        <w:rPr>
          <w:snapToGrid/>
        </w:rPr>
      </w:pPr>
      <w:r w:rsidRPr="002D21EA">
        <w:t>The drug cost per patient for faricimab is $7,231 in the initial year of treatment (based on the proposed published DPMQ of $1,042.95 × 6.93 administrations), and $4,488 in each subsequent year (based on the proposed published DPMQ of $1,042.95 × 4.30 administrations).</w:t>
      </w:r>
      <w:r w:rsidR="00C84490">
        <w:t xml:space="preserve"> Based on the u</w:t>
      </w:r>
      <w:r w:rsidR="00C84490" w:rsidRPr="008579FA">
        <w:t>pdated cost analysis for faricimab versus aflibercept</w:t>
      </w:r>
      <w:r w:rsidR="00C84490">
        <w:t xml:space="preserve"> using 7.20 doses for faricimab, t</w:t>
      </w:r>
      <w:r w:rsidR="00C84490" w:rsidRPr="00F4192A">
        <w:t xml:space="preserve">he drug cost per patient for faricimab </w:t>
      </w:r>
      <w:r w:rsidR="00C84490" w:rsidRPr="002D21EA">
        <w:t>is $</w:t>
      </w:r>
      <w:r w:rsidR="00C84490">
        <w:t>7,509.24</w:t>
      </w:r>
      <w:r w:rsidR="00C84490" w:rsidRPr="002D21EA">
        <w:t xml:space="preserve"> in the initial year of treatment (based on the proposed published DPMQ of $1</w:t>
      </w:r>
      <w:r w:rsidR="00C84490">
        <w:t>,042.95 × 7.20 administrations), and</w:t>
      </w:r>
      <w:r w:rsidR="00C84490" w:rsidRPr="00F4192A">
        <w:t xml:space="preserve"> $</w:t>
      </w:r>
      <w:r w:rsidR="00607FF5">
        <w:t>4,484.69</w:t>
      </w:r>
      <w:r w:rsidR="00C84490" w:rsidRPr="00F4192A">
        <w:t xml:space="preserve"> in each subsequent year (based on the proposed published DPMQ of $1,042.95 x </w:t>
      </w:r>
      <w:r w:rsidR="00C84490">
        <w:t>4.30</w:t>
      </w:r>
      <w:r w:rsidR="00C84490" w:rsidRPr="00F4192A">
        <w:t xml:space="preserve"> administrations)</w:t>
      </w:r>
      <w:r w:rsidR="00C84490">
        <w:t>.</w:t>
      </w:r>
    </w:p>
    <w:p w14:paraId="530E9B77" w14:textId="77777777" w:rsidR="006103B8" w:rsidRPr="002D21EA" w:rsidRDefault="006103B8" w:rsidP="006103B8">
      <w:pPr>
        <w:pStyle w:val="ExecSumBodyText"/>
        <w:rPr>
          <w:snapToGrid/>
        </w:rPr>
      </w:pPr>
      <w:r w:rsidRPr="002D21EA">
        <w:t>The drug cost per patient for aflibercept is $8,886 in the initial year of treatment (based on the published DPMQ of $1,042.95 × 8.52 administrations), and $7,395 in each subsequent year (based on the published DPMQ of $1,042.95 × 7.09 administrations).  Based on the updated DUSC Secretariat analysis, the drug cost per patient for aflibercept is $8,020 in the initial year of treatment (based on the published DPMQ of $1,042.95 × 7.69 administrations) and $6,581 in each subsequent year (based on the published DPMQ of $1,042.95 × 6.31 administrations).</w:t>
      </w:r>
    </w:p>
    <w:p w14:paraId="268768EF" w14:textId="3626F292" w:rsidR="00B60939" w:rsidRPr="00BF2B95" w:rsidRDefault="00B60939" w:rsidP="002B05A1">
      <w:pPr>
        <w:pStyle w:val="3-SubsectionHeading"/>
      </w:pPr>
      <w:bookmarkStart w:id="31" w:name="_Toc22897647"/>
      <w:bookmarkStart w:id="32" w:name="_Toc101107814"/>
      <w:r w:rsidRPr="00BF2B95">
        <w:lastRenderedPageBreak/>
        <w:t>Estimated PBS usage &amp; financial implications</w:t>
      </w:r>
      <w:bookmarkEnd w:id="31"/>
      <w:bookmarkEnd w:id="32"/>
    </w:p>
    <w:p w14:paraId="35B56CD8" w14:textId="0879F84F" w:rsidR="006316B8" w:rsidRPr="00BF2B95" w:rsidRDefault="006316B8" w:rsidP="006316B8">
      <w:pPr>
        <w:pStyle w:val="ExecSumBodyText"/>
      </w:pPr>
      <w:r w:rsidRPr="002D21EA">
        <w:t xml:space="preserve">This submission </w:t>
      </w:r>
      <w:r w:rsidR="002D21EA" w:rsidRPr="002D21EA">
        <w:t>was not</w:t>
      </w:r>
      <w:r w:rsidR="001E2E17" w:rsidRPr="002D21EA">
        <w:t xml:space="preserve"> </w:t>
      </w:r>
      <w:r w:rsidRPr="002D21EA">
        <w:t>considered by DUSC. The</w:t>
      </w:r>
      <w:r w:rsidRPr="00BF2B95">
        <w:t xml:space="preserve"> submission used a market share approach to estimate the utilisation and financial implications of a PBS listing for faricimab. The financial implications presented in the submission were based on published prices. Key inputs are summarised below.</w:t>
      </w:r>
    </w:p>
    <w:p w14:paraId="503B6072" w14:textId="2C1CFDF0" w:rsidR="004A5940" w:rsidRPr="00BF2B95" w:rsidRDefault="004A5940" w:rsidP="00A50078">
      <w:pPr>
        <w:pStyle w:val="Tableheadingrow"/>
        <w:rPr>
          <w:lang w:val="en-AU"/>
        </w:rPr>
      </w:pPr>
      <w:r w:rsidRPr="00BF2B95">
        <w:rPr>
          <w:lang w:val="en-AU"/>
        </w:rPr>
        <w:t xml:space="preserve">Table </w:t>
      </w:r>
      <w:r w:rsidRPr="00BF2B95">
        <w:rPr>
          <w:lang w:val="en-AU"/>
        </w:rPr>
        <w:fldChar w:fldCharType="begin"/>
      </w:r>
      <w:r w:rsidRPr="00BF2B95">
        <w:rPr>
          <w:lang w:val="en-AU"/>
        </w:rPr>
        <w:instrText xml:space="preserve"> SEQ Table \* ARABIC </w:instrText>
      </w:r>
      <w:r w:rsidRPr="00BF2B95">
        <w:rPr>
          <w:lang w:val="en-AU"/>
        </w:rPr>
        <w:fldChar w:fldCharType="separate"/>
      </w:r>
      <w:r w:rsidR="006C2A4B">
        <w:rPr>
          <w:noProof/>
          <w:lang w:val="en-AU"/>
        </w:rPr>
        <w:t>13</w:t>
      </w:r>
      <w:r w:rsidRPr="00BF2B95">
        <w:rPr>
          <w:lang w:val="en-AU"/>
        </w:rPr>
        <w:fldChar w:fldCharType="end"/>
      </w:r>
      <w:r w:rsidRPr="00BF2B95">
        <w:rPr>
          <w:lang w:val="en-AU"/>
        </w:rPr>
        <w:t>: Data sources and parameter values 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Data sources and parameter values applied in the utilisation and financial estimates"/>
      </w:tblPr>
      <w:tblGrid>
        <w:gridCol w:w="1526"/>
        <w:gridCol w:w="1459"/>
        <w:gridCol w:w="3219"/>
        <w:gridCol w:w="2976"/>
      </w:tblGrid>
      <w:tr w:rsidR="004A5940" w:rsidRPr="00BF2B95" w14:paraId="41959156" w14:textId="77777777" w:rsidTr="00174A07">
        <w:trPr>
          <w:tblHeader/>
        </w:trPr>
        <w:tc>
          <w:tcPr>
            <w:tcW w:w="1526" w:type="dxa"/>
            <w:vAlign w:val="center"/>
          </w:tcPr>
          <w:p w14:paraId="10EFCE5B" w14:textId="77777777" w:rsidR="004A5940" w:rsidRPr="00BF2B95" w:rsidRDefault="004A5940" w:rsidP="00A50078">
            <w:pPr>
              <w:pStyle w:val="Tableheadingrow"/>
              <w:jc w:val="center"/>
              <w:rPr>
                <w:lang w:val="en-AU"/>
              </w:rPr>
            </w:pPr>
            <w:r w:rsidRPr="00BF2B95">
              <w:rPr>
                <w:lang w:val="en-AU"/>
              </w:rPr>
              <w:t>Data</w:t>
            </w:r>
          </w:p>
        </w:tc>
        <w:tc>
          <w:tcPr>
            <w:tcW w:w="1459" w:type="dxa"/>
            <w:vAlign w:val="center"/>
          </w:tcPr>
          <w:p w14:paraId="5ACC43D6" w14:textId="77777777" w:rsidR="004A5940" w:rsidRPr="00BF2B95" w:rsidRDefault="004A5940" w:rsidP="00A50078">
            <w:pPr>
              <w:pStyle w:val="Tableheadingrow"/>
              <w:jc w:val="center"/>
              <w:rPr>
                <w:lang w:val="en-AU"/>
              </w:rPr>
            </w:pPr>
            <w:r w:rsidRPr="00BF2B95">
              <w:rPr>
                <w:lang w:val="en-AU"/>
              </w:rPr>
              <w:t>Value</w:t>
            </w:r>
          </w:p>
        </w:tc>
        <w:tc>
          <w:tcPr>
            <w:tcW w:w="3219" w:type="dxa"/>
            <w:vAlign w:val="center"/>
          </w:tcPr>
          <w:p w14:paraId="69534D38" w14:textId="77777777" w:rsidR="004A5940" w:rsidRPr="00BF2B95" w:rsidRDefault="004A5940" w:rsidP="00A50078">
            <w:pPr>
              <w:pStyle w:val="Tableheadingrow"/>
              <w:jc w:val="center"/>
              <w:rPr>
                <w:lang w:val="en-AU"/>
              </w:rPr>
            </w:pPr>
            <w:r w:rsidRPr="00BF2B95">
              <w:rPr>
                <w:lang w:val="en-AU"/>
              </w:rPr>
              <w:t>Source</w:t>
            </w:r>
          </w:p>
        </w:tc>
        <w:tc>
          <w:tcPr>
            <w:tcW w:w="2976" w:type="dxa"/>
            <w:vAlign w:val="center"/>
          </w:tcPr>
          <w:p w14:paraId="3BC64D70" w14:textId="77777777" w:rsidR="004A5940" w:rsidRPr="00BF2B95" w:rsidRDefault="004A5940" w:rsidP="00A50078">
            <w:pPr>
              <w:pStyle w:val="Tableheadingrow"/>
              <w:jc w:val="center"/>
              <w:rPr>
                <w:lang w:val="en-AU"/>
              </w:rPr>
            </w:pPr>
            <w:r w:rsidRPr="00BF2B95">
              <w:rPr>
                <w:lang w:val="en-AU"/>
              </w:rPr>
              <w:t>Comment</w:t>
            </w:r>
          </w:p>
        </w:tc>
      </w:tr>
      <w:tr w:rsidR="004A5940" w:rsidRPr="00BF2B95" w14:paraId="5F6F13BD" w14:textId="77777777" w:rsidTr="00174A07">
        <w:tc>
          <w:tcPr>
            <w:tcW w:w="9180" w:type="dxa"/>
            <w:gridSpan w:val="4"/>
            <w:vAlign w:val="center"/>
          </w:tcPr>
          <w:p w14:paraId="21F56D4E" w14:textId="77777777" w:rsidR="004A5940" w:rsidRPr="00BF2B95" w:rsidRDefault="004A5940" w:rsidP="00A50078">
            <w:pPr>
              <w:pStyle w:val="Tableheadingrow"/>
              <w:rPr>
                <w:lang w:val="en-AU"/>
              </w:rPr>
            </w:pPr>
            <w:r w:rsidRPr="00BF2B95">
              <w:rPr>
                <w:lang w:val="en-AU"/>
              </w:rPr>
              <w:t>Current market</w:t>
            </w:r>
          </w:p>
        </w:tc>
      </w:tr>
      <w:tr w:rsidR="004A5940" w:rsidRPr="00BF2B95" w14:paraId="6860BB03" w14:textId="77777777" w:rsidTr="00174A07">
        <w:tc>
          <w:tcPr>
            <w:tcW w:w="1526" w:type="dxa"/>
            <w:vAlign w:val="center"/>
          </w:tcPr>
          <w:p w14:paraId="435521A9" w14:textId="77777777" w:rsidR="004A5940" w:rsidRPr="00BF2B95" w:rsidRDefault="004A5940" w:rsidP="00A50078">
            <w:pPr>
              <w:pStyle w:val="TableText"/>
            </w:pPr>
            <w:r w:rsidRPr="00BF2B95">
              <w:t>Total aflibercept and ranibizumab scripts 2020</w:t>
            </w:r>
          </w:p>
        </w:tc>
        <w:tc>
          <w:tcPr>
            <w:tcW w:w="1459" w:type="dxa"/>
            <w:vAlign w:val="center"/>
          </w:tcPr>
          <w:p w14:paraId="33F92EBB" w14:textId="77777777" w:rsidR="004A5940" w:rsidRPr="00BF2B95" w:rsidRDefault="004A5940" w:rsidP="00A50078">
            <w:pPr>
              <w:pStyle w:val="TableText"/>
            </w:pPr>
            <w:r w:rsidRPr="00BF2B95">
              <w:t>415,059</w:t>
            </w:r>
          </w:p>
        </w:tc>
        <w:tc>
          <w:tcPr>
            <w:tcW w:w="3219" w:type="dxa"/>
            <w:vAlign w:val="center"/>
          </w:tcPr>
          <w:p w14:paraId="798289B5" w14:textId="77777777" w:rsidR="004A5940" w:rsidRPr="00BF2B95" w:rsidRDefault="004A5940" w:rsidP="00A50078">
            <w:pPr>
              <w:pStyle w:val="TableText"/>
            </w:pPr>
            <w:r w:rsidRPr="00BF2B95">
              <w:t>PBS utilisation data from 2020 calendar year (ranibizumab 10 mg/mL PBS item numbers 1382R and 10138N and aflibercept PBS item numbers 2168D and 12152N)</w:t>
            </w:r>
          </w:p>
        </w:tc>
        <w:tc>
          <w:tcPr>
            <w:tcW w:w="2976" w:type="dxa"/>
            <w:vAlign w:val="center"/>
          </w:tcPr>
          <w:p w14:paraId="1FE9D36D" w14:textId="478B8302" w:rsidR="004A5940" w:rsidRPr="00704529" w:rsidRDefault="00CF3A84" w:rsidP="00A50078">
            <w:pPr>
              <w:pStyle w:val="TableText"/>
            </w:pPr>
            <w:r w:rsidRPr="00704529">
              <w:t xml:space="preserve">This was </w:t>
            </w:r>
            <w:r w:rsidR="005F549C" w:rsidRPr="00704529">
              <w:t>reasonable</w:t>
            </w:r>
            <w:r w:rsidRPr="00704529">
              <w:t>.</w:t>
            </w:r>
          </w:p>
        </w:tc>
      </w:tr>
      <w:tr w:rsidR="004A5940" w:rsidRPr="00BF2B95" w14:paraId="5B4B335D" w14:textId="77777777" w:rsidTr="00174A07">
        <w:tc>
          <w:tcPr>
            <w:tcW w:w="1526" w:type="dxa"/>
            <w:vAlign w:val="center"/>
          </w:tcPr>
          <w:p w14:paraId="61F347B1" w14:textId="77777777" w:rsidR="004A5940" w:rsidRPr="00BF2B95" w:rsidRDefault="004A5940" w:rsidP="00174A07">
            <w:pPr>
              <w:pStyle w:val="TableText"/>
              <w:keepNext w:val="0"/>
            </w:pPr>
            <w:r w:rsidRPr="00BF2B95">
              <w:t>% AMD that is nAMD</w:t>
            </w:r>
          </w:p>
        </w:tc>
        <w:tc>
          <w:tcPr>
            <w:tcW w:w="1459" w:type="dxa"/>
            <w:vAlign w:val="center"/>
          </w:tcPr>
          <w:p w14:paraId="4D1236D4" w14:textId="77777777" w:rsidR="004A5940" w:rsidRPr="00BF2B95" w:rsidRDefault="004A5940" w:rsidP="00174A07">
            <w:pPr>
              <w:pStyle w:val="TableText"/>
              <w:keepNext w:val="0"/>
            </w:pPr>
            <w:r w:rsidRPr="00BF2B95">
              <w:t xml:space="preserve">87% </w:t>
            </w:r>
          </w:p>
          <w:p w14:paraId="4ECE4193" w14:textId="77777777" w:rsidR="004A5940" w:rsidRPr="00BF2B95" w:rsidRDefault="004A5940" w:rsidP="00174A07">
            <w:pPr>
              <w:pStyle w:val="TableText"/>
              <w:keepNext w:val="0"/>
            </w:pPr>
            <w:r w:rsidRPr="00BF2B95">
              <w:t>Aflibercept and ranibizumab scripts for AMD in 2017 divided by the sum of AMD and RVO scripts.</w:t>
            </w:r>
          </w:p>
          <w:p w14:paraId="59B68715" w14:textId="77777777" w:rsidR="004A5940" w:rsidRPr="00BF2B95" w:rsidRDefault="004A5940" w:rsidP="00174A07">
            <w:pPr>
              <w:pStyle w:val="TableText"/>
              <w:keepNext w:val="0"/>
            </w:pPr>
          </w:p>
        </w:tc>
        <w:tc>
          <w:tcPr>
            <w:tcW w:w="3219" w:type="dxa"/>
            <w:vAlign w:val="center"/>
          </w:tcPr>
          <w:p w14:paraId="4A6912EF" w14:textId="77777777" w:rsidR="004A5940" w:rsidRPr="00BF2B95" w:rsidRDefault="004A5940" w:rsidP="00174A07">
            <w:pPr>
              <w:pStyle w:val="TableText"/>
              <w:keepNext w:val="0"/>
            </w:pPr>
            <w:r w:rsidRPr="00BF2B95">
              <w:t xml:space="preserve">DUSC report: Ranibizumab and aflibercept: analysis of use for AMD, DMO, BRVO and CRVO: DUSC, May 2018. </w:t>
            </w:r>
          </w:p>
          <w:p w14:paraId="3C0840A7" w14:textId="77777777" w:rsidR="004A5940" w:rsidRPr="00BF2B95" w:rsidRDefault="004A5940" w:rsidP="00174A07">
            <w:pPr>
              <w:pStyle w:val="TableText"/>
              <w:keepNext w:val="0"/>
            </w:pPr>
          </w:p>
          <w:p w14:paraId="23A51ABD" w14:textId="77777777" w:rsidR="004A5940" w:rsidRPr="00BF2B95" w:rsidRDefault="004A5940" w:rsidP="00174A07">
            <w:pPr>
              <w:pStyle w:val="TableText"/>
              <w:keepNext w:val="0"/>
            </w:pPr>
            <w:r w:rsidRPr="00BF2B95">
              <w:t>Proportion applied to PBS utilisation data from 1 July 2015 for ranibizumab and 1 October 2015 for aflibercept, to 1 May 2020 (when macular oedema secondary to retinal vein occlusion was split to separate item numbers) to derive the PBS market for nAMD from 2015 to 2020.</w:t>
            </w:r>
          </w:p>
        </w:tc>
        <w:tc>
          <w:tcPr>
            <w:tcW w:w="2976" w:type="dxa"/>
            <w:vAlign w:val="center"/>
          </w:tcPr>
          <w:p w14:paraId="0FFF96DC" w14:textId="77777777" w:rsidR="004A5940" w:rsidRPr="00704529" w:rsidRDefault="004A5940" w:rsidP="00174A07">
            <w:pPr>
              <w:pStyle w:val="TableText"/>
              <w:keepNext w:val="0"/>
            </w:pPr>
            <w:r w:rsidRPr="00704529">
              <w:t>The proportion used by the submission would more accurately be described as the proportion of total aflibercept and ranibizumab prescriptions that were for the treatment of AMD (excluding prescriptions for treatment of RVO).</w:t>
            </w:r>
          </w:p>
        </w:tc>
      </w:tr>
      <w:tr w:rsidR="000E4133" w:rsidRPr="00BF2B95" w14:paraId="29EC3526" w14:textId="77777777" w:rsidTr="00174A07">
        <w:tc>
          <w:tcPr>
            <w:tcW w:w="1526" w:type="dxa"/>
            <w:vAlign w:val="center"/>
          </w:tcPr>
          <w:p w14:paraId="6EFE4E86" w14:textId="77777777" w:rsidR="000E4133" w:rsidRPr="00BF2B95" w:rsidRDefault="000E4133" w:rsidP="000E4133">
            <w:pPr>
              <w:pStyle w:val="TableText"/>
              <w:keepNext w:val="0"/>
            </w:pPr>
            <w:r w:rsidRPr="00BF2B95">
              <w:t>Projected growth in PBS scripts for nAMD</w:t>
            </w:r>
          </w:p>
        </w:tc>
        <w:tc>
          <w:tcPr>
            <w:tcW w:w="1459" w:type="dxa"/>
            <w:vAlign w:val="center"/>
          </w:tcPr>
          <w:p w14:paraId="2D175F6B" w14:textId="77777777" w:rsidR="000E4133" w:rsidRPr="00BF2B95" w:rsidRDefault="000E4133" w:rsidP="000E4133">
            <w:pPr>
              <w:pStyle w:val="TableText"/>
              <w:keepNext w:val="0"/>
            </w:pPr>
            <w:r w:rsidRPr="00BF2B95">
              <w:t>Yr 1: 7.78%</w:t>
            </w:r>
          </w:p>
          <w:p w14:paraId="74B465B5" w14:textId="77777777" w:rsidR="000E4133" w:rsidRPr="00BF2B95" w:rsidRDefault="000E4133" w:rsidP="000E4133">
            <w:pPr>
              <w:pStyle w:val="TableText"/>
              <w:keepNext w:val="0"/>
            </w:pPr>
            <w:r w:rsidRPr="00BF2B95">
              <w:t>Yr 2: 6.79%</w:t>
            </w:r>
          </w:p>
          <w:p w14:paraId="47AEC8CA" w14:textId="77777777" w:rsidR="000E4133" w:rsidRPr="00BF2B95" w:rsidRDefault="000E4133" w:rsidP="000E4133">
            <w:pPr>
              <w:pStyle w:val="TableText"/>
              <w:keepNext w:val="0"/>
            </w:pPr>
            <w:r w:rsidRPr="00BF2B95">
              <w:t>Yr 3: 6.56%</w:t>
            </w:r>
          </w:p>
          <w:p w14:paraId="1759C6ED" w14:textId="77777777" w:rsidR="000E4133" w:rsidRPr="00BF2B95" w:rsidRDefault="000E4133" w:rsidP="000E4133">
            <w:pPr>
              <w:pStyle w:val="TableText"/>
              <w:keepNext w:val="0"/>
            </w:pPr>
            <w:r w:rsidRPr="00BF2B95">
              <w:t>Yr 4: 5.45%</w:t>
            </w:r>
          </w:p>
          <w:p w14:paraId="6A3127E5" w14:textId="77777777" w:rsidR="000E4133" w:rsidRPr="00BF2B95" w:rsidRDefault="000E4133" w:rsidP="000E4133">
            <w:pPr>
              <w:pStyle w:val="TableText"/>
              <w:keepNext w:val="0"/>
            </w:pPr>
            <w:r w:rsidRPr="00BF2B95">
              <w:t>Yr 5: 5.20%</w:t>
            </w:r>
          </w:p>
          <w:p w14:paraId="7AD46610" w14:textId="77777777" w:rsidR="000E4133" w:rsidRPr="00BF2B95" w:rsidRDefault="000E4133" w:rsidP="000E4133">
            <w:pPr>
              <w:pStyle w:val="TableText"/>
              <w:keepNext w:val="0"/>
            </w:pPr>
            <w:r w:rsidRPr="00BF2B95">
              <w:t>Yr 6: 5.64%</w:t>
            </w:r>
          </w:p>
        </w:tc>
        <w:tc>
          <w:tcPr>
            <w:tcW w:w="3219" w:type="dxa"/>
            <w:vAlign w:val="center"/>
          </w:tcPr>
          <w:p w14:paraId="415C66E7" w14:textId="77777777" w:rsidR="000E4133" w:rsidRPr="00BF2B95" w:rsidRDefault="000E4133" w:rsidP="000E4133">
            <w:pPr>
              <w:pStyle w:val="TableText"/>
              <w:keepNext w:val="0"/>
            </w:pPr>
            <w:r w:rsidRPr="00BF2B95">
              <w:t>PBS data for ranibizumab 10 mg/mL (PBS item numbers 1382R and 10138N) and aflibercept (PBS item numbers 2168D and 12152N) from January 2015 to December 2020. Projected utilisation based on PBS scripts for ranibizumab and aflibercept for nAMD from 2020, extrapolated with linear trend using least squares method</w:t>
            </w:r>
          </w:p>
        </w:tc>
        <w:tc>
          <w:tcPr>
            <w:tcW w:w="2976" w:type="dxa"/>
            <w:vAlign w:val="center"/>
          </w:tcPr>
          <w:p w14:paraId="10E485C3" w14:textId="370D1D08" w:rsidR="000E4133" w:rsidRPr="00704529" w:rsidRDefault="003903DB" w:rsidP="000E4133">
            <w:pPr>
              <w:pStyle w:val="TableText"/>
              <w:keepNext w:val="0"/>
            </w:pPr>
            <w:r w:rsidRPr="00704529">
              <w:t>The submission assumed that PBS listing of faricimab will not increase the eligible market size. This assumption was considered uncertain.</w:t>
            </w:r>
          </w:p>
        </w:tc>
      </w:tr>
      <w:tr w:rsidR="000E4133" w:rsidRPr="00BF2B95" w14:paraId="0A096865" w14:textId="77777777" w:rsidTr="00174A07">
        <w:tc>
          <w:tcPr>
            <w:tcW w:w="9180" w:type="dxa"/>
            <w:gridSpan w:val="4"/>
            <w:vAlign w:val="center"/>
          </w:tcPr>
          <w:p w14:paraId="65BFCC31" w14:textId="77777777" w:rsidR="000E4133" w:rsidRPr="00704529" w:rsidRDefault="000E4133" w:rsidP="000E4133">
            <w:pPr>
              <w:pStyle w:val="TableText"/>
              <w:keepNext w:val="0"/>
              <w:rPr>
                <w:b/>
              </w:rPr>
            </w:pPr>
            <w:r w:rsidRPr="00704529">
              <w:rPr>
                <w:b/>
              </w:rPr>
              <w:t>Treatment utilisation</w:t>
            </w:r>
          </w:p>
        </w:tc>
      </w:tr>
      <w:tr w:rsidR="00C64B77" w:rsidRPr="00BF2B95" w14:paraId="4A36AE73" w14:textId="77777777" w:rsidTr="00174A07">
        <w:tc>
          <w:tcPr>
            <w:tcW w:w="1526" w:type="dxa"/>
            <w:vAlign w:val="center"/>
          </w:tcPr>
          <w:p w14:paraId="25F69015" w14:textId="77777777" w:rsidR="00C64B77" w:rsidRPr="00BF2B95" w:rsidRDefault="00C64B77" w:rsidP="00C64B77">
            <w:pPr>
              <w:pStyle w:val="TableText"/>
              <w:keepNext w:val="0"/>
            </w:pPr>
            <w:r w:rsidRPr="00BF2B95">
              <w:t>Faricimab uptake rate</w:t>
            </w:r>
          </w:p>
        </w:tc>
        <w:tc>
          <w:tcPr>
            <w:tcW w:w="1459" w:type="dxa"/>
            <w:vAlign w:val="center"/>
          </w:tcPr>
          <w:p w14:paraId="7F02419A" w14:textId="77777777" w:rsidR="00C64B77" w:rsidRPr="00BF2B95" w:rsidRDefault="00C64B77" w:rsidP="00C64B77">
            <w:pPr>
              <w:pStyle w:val="TableText"/>
              <w:keepNext w:val="0"/>
            </w:pPr>
            <w:r w:rsidRPr="00BF2B95">
              <w:t>Yr 1: 45%</w:t>
            </w:r>
          </w:p>
          <w:p w14:paraId="149BB832" w14:textId="77777777" w:rsidR="00C64B77" w:rsidRPr="00BF2B95" w:rsidRDefault="00C64B77" w:rsidP="00C64B77">
            <w:pPr>
              <w:pStyle w:val="TableText"/>
              <w:keepNext w:val="0"/>
            </w:pPr>
            <w:r w:rsidRPr="00BF2B95">
              <w:t>Yr 2: 50%</w:t>
            </w:r>
          </w:p>
          <w:p w14:paraId="34F60465" w14:textId="77777777" w:rsidR="00C64B77" w:rsidRPr="00BF2B95" w:rsidRDefault="00C64B77" w:rsidP="00C64B77">
            <w:pPr>
              <w:pStyle w:val="TableText"/>
              <w:keepNext w:val="0"/>
            </w:pPr>
            <w:r w:rsidRPr="00BF2B95">
              <w:t>Yr 3: 55%</w:t>
            </w:r>
          </w:p>
          <w:p w14:paraId="5D13734D" w14:textId="77777777" w:rsidR="00C64B77" w:rsidRPr="00BF2B95" w:rsidRDefault="00C64B77" w:rsidP="00C64B77">
            <w:pPr>
              <w:pStyle w:val="TableText"/>
              <w:keepNext w:val="0"/>
            </w:pPr>
            <w:r w:rsidRPr="00BF2B95">
              <w:t>Yr 4: 60%</w:t>
            </w:r>
          </w:p>
          <w:p w14:paraId="4E3B3E4B" w14:textId="77777777" w:rsidR="00C64B77" w:rsidRPr="00BF2B95" w:rsidRDefault="00C64B77" w:rsidP="00C64B77">
            <w:pPr>
              <w:pStyle w:val="TableText"/>
              <w:keepNext w:val="0"/>
            </w:pPr>
            <w:r w:rsidRPr="00BF2B95">
              <w:t>Yr 5: 60%</w:t>
            </w:r>
          </w:p>
          <w:p w14:paraId="51D19D9C" w14:textId="77777777" w:rsidR="00C64B77" w:rsidRPr="00BF2B95" w:rsidRDefault="00C64B77" w:rsidP="00C64B77">
            <w:pPr>
              <w:pStyle w:val="TableText"/>
              <w:keepNext w:val="0"/>
            </w:pPr>
            <w:r w:rsidRPr="00BF2B95">
              <w:t>Yr 6: 60%</w:t>
            </w:r>
          </w:p>
        </w:tc>
        <w:tc>
          <w:tcPr>
            <w:tcW w:w="3219" w:type="dxa"/>
            <w:vAlign w:val="center"/>
          </w:tcPr>
          <w:p w14:paraId="719845C2" w14:textId="2E1ABEFA" w:rsidR="00C64B77" w:rsidRPr="00BF2B95" w:rsidRDefault="00C64B77" w:rsidP="00C64B77">
            <w:pPr>
              <w:pStyle w:val="TableText"/>
              <w:keepNext w:val="0"/>
            </w:pPr>
            <w:r>
              <w:t>Assumption, based on the s</w:t>
            </w:r>
            <w:r w:rsidRPr="00BF2B95">
              <w:t>ponsor</w:t>
            </w:r>
            <w:r>
              <w:t>’s</w:t>
            </w:r>
            <w:r w:rsidRPr="00BF2B95">
              <w:t xml:space="preserve"> internal estimates.</w:t>
            </w:r>
          </w:p>
        </w:tc>
        <w:tc>
          <w:tcPr>
            <w:tcW w:w="2976" w:type="dxa"/>
            <w:vAlign w:val="center"/>
          </w:tcPr>
          <w:p w14:paraId="79B90661" w14:textId="54F290D3" w:rsidR="00C64B77" w:rsidRPr="00704529" w:rsidRDefault="00C64B77" w:rsidP="00C64B77">
            <w:pPr>
              <w:pStyle w:val="TableText"/>
              <w:keepNext w:val="0"/>
            </w:pPr>
            <w:r w:rsidRPr="00704529">
              <w:t xml:space="preserve">Estimated uptake is highly uncertain </w:t>
            </w:r>
            <w:r w:rsidR="00CB0088">
              <w:t xml:space="preserve">and likely overestimated </w:t>
            </w:r>
            <w:r w:rsidRPr="00704529">
              <w:t>and may differ in clinical practice.</w:t>
            </w:r>
          </w:p>
        </w:tc>
      </w:tr>
      <w:tr w:rsidR="000E4133" w:rsidRPr="00BF2B95" w14:paraId="29175D77" w14:textId="77777777" w:rsidTr="00174A07">
        <w:tc>
          <w:tcPr>
            <w:tcW w:w="1526" w:type="dxa"/>
            <w:vAlign w:val="center"/>
          </w:tcPr>
          <w:p w14:paraId="2AAC0C03" w14:textId="6233411D" w:rsidR="000E4133" w:rsidRPr="00BF2B95" w:rsidRDefault="000E4133" w:rsidP="000E4133">
            <w:pPr>
              <w:pStyle w:val="TableText"/>
              <w:keepNext w:val="0"/>
            </w:pPr>
            <w:r>
              <w:t>Number of scripts per year (aflibercept and ranibizumab)</w:t>
            </w:r>
          </w:p>
        </w:tc>
        <w:tc>
          <w:tcPr>
            <w:tcW w:w="1459" w:type="dxa"/>
            <w:vAlign w:val="center"/>
          </w:tcPr>
          <w:p w14:paraId="2555991F" w14:textId="5CDE077A" w:rsidR="000E4133" w:rsidRPr="00BF2B95" w:rsidRDefault="000E4133" w:rsidP="000E4133">
            <w:pPr>
              <w:pStyle w:val="TableText"/>
              <w:keepNext w:val="0"/>
            </w:pPr>
            <w:r>
              <w:t>7.09</w:t>
            </w:r>
          </w:p>
        </w:tc>
        <w:tc>
          <w:tcPr>
            <w:tcW w:w="3219" w:type="dxa"/>
            <w:vAlign w:val="center"/>
          </w:tcPr>
          <w:p w14:paraId="5FDFFF6B" w14:textId="3293A707" w:rsidR="000E4133" w:rsidRPr="00BF2B95" w:rsidRDefault="000E4133" w:rsidP="000E4133">
            <w:pPr>
              <w:pStyle w:val="TableText"/>
              <w:keepNext w:val="0"/>
            </w:pPr>
            <w:r>
              <w:t>DUSC 2018 report on ranibizumab and aflibercept utilisation; average number of injections in Year 2 of therapy for patients initiating treatment in 2015.</w:t>
            </w:r>
          </w:p>
        </w:tc>
        <w:tc>
          <w:tcPr>
            <w:tcW w:w="2976" w:type="dxa"/>
            <w:vAlign w:val="center"/>
          </w:tcPr>
          <w:p w14:paraId="2F569ED0" w14:textId="2D675B7E" w:rsidR="000E4133" w:rsidRPr="00704529" w:rsidRDefault="000E4133" w:rsidP="003862B2">
            <w:pPr>
              <w:pStyle w:val="TableText"/>
              <w:keepNext w:val="0"/>
            </w:pPr>
            <w:r w:rsidRPr="00704529">
              <w:t xml:space="preserve">The updated </w:t>
            </w:r>
            <w:r w:rsidR="003862B2">
              <w:t xml:space="preserve">PBS data </w:t>
            </w:r>
            <w:r w:rsidRPr="00704529">
              <w:t xml:space="preserve">(see Economic analysis section) </w:t>
            </w:r>
            <w:r w:rsidR="003862B2">
              <w:t xml:space="preserve">demonstrates </w:t>
            </w:r>
            <w:r w:rsidRPr="00704529">
              <w:t>that the number of scripts/year for ranibizumab and aflibercept has decreased over time from the estimates used in the submission.</w:t>
            </w:r>
          </w:p>
        </w:tc>
      </w:tr>
      <w:tr w:rsidR="000E4133" w:rsidRPr="00BF2B95" w14:paraId="06EAD6D6" w14:textId="77777777" w:rsidTr="00174A07">
        <w:tc>
          <w:tcPr>
            <w:tcW w:w="1526" w:type="dxa"/>
            <w:vAlign w:val="center"/>
          </w:tcPr>
          <w:p w14:paraId="5D0C2D19" w14:textId="1D7B6519" w:rsidR="000E4133" w:rsidRPr="00BF2B95" w:rsidRDefault="000E4133" w:rsidP="000E4133">
            <w:pPr>
              <w:pStyle w:val="TableText"/>
              <w:keepNext w:val="0"/>
            </w:pPr>
            <w:r>
              <w:t>Number of scripts per year (faricimab)</w:t>
            </w:r>
          </w:p>
        </w:tc>
        <w:tc>
          <w:tcPr>
            <w:tcW w:w="1459" w:type="dxa"/>
            <w:vAlign w:val="center"/>
          </w:tcPr>
          <w:p w14:paraId="372AF285" w14:textId="05161126" w:rsidR="000E4133" w:rsidRPr="00BF2B95" w:rsidRDefault="000E4133" w:rsidP="000E4133">
            <w:pPr>
              <w:pStyle w:val="TableText"/>
              <w:keepNext w:val="0"/>
            </w:pPr>
            <w:r>
              <w:t>4.30</w:t>
            </w:r>
          </w:p>
        </w:tc>
        <w:tc>
          <w:tcPr>
            <w:tcW w:w="3219" w:type="dxa"/>
            <w:vAlign w:val="center"/>
          </w:tcPr>
          <w:p w14:paraId="05A6BB60" w14:textId="4ADFF4DA" w:rsidR="000E4133" w:rsidRPr="00BF2B95" w:rsidRDefault="000E4133" w:rsidP="000E4133">
            <w:pPr>
              <w:pStyle w:val="TableText"/>
              <w:keepNext w:val="0"/>
            </w:pPr>
            <w:r>
              <w:t>Derived from the distribution of patients between Q8W, Q12W and Q16W dosing intervals at Week 48 in the TENAYA and LUCERNE trials.</w:t>
            </w:r>
          </w:p>
        </w:tc>
        <w:tc>
          <w:tcPr>
            <w:tcW w:w="2976" w:type="dxa"/>
            <w:vAlign w:val="center"/>
          </w:tcPr>
          <w:p w14:paraId="686F0A4B" w14:textId="61FAEEBF" w:rsidR="000E4133" w:rsidRPr="00704529" w:rsidRDefault="000E4133" w:rsidP="000E4133">
            <w:pPr>
              <w:pStyle w:val="TableText"/>
              <w:keepNext w:val="0"/>
            </w:pPr>
            <w:r w:rsidRPr="00704529">
              <w:t>Trial based estimates were based on the presence/absence of active disease at Weeks 20/24, which may not reflect use in the Australian setting.</w:t>
            </w:r>
          </w:p>
        </w:tc>
      </w:tr>
      <w:tr w:rsidR="000E4133" w:rsidRPr="00BF2B95" w14:paraId="50B10B99" w14:textId="77777777" w:rsidTr="00FF300F">
        <w:trPr>
          <w:trHeight w:val="857"/>
        </w:trPr>
        <w:tc>
          <w:tcPr>
            <w:tcW w:w="1526" w:type="dxa"/>
            <w:vAlign w:val="center"/>
          </w:tcPr>
          <w:p w14:paraId="2ECF4B51" w14:textId="12977E02" w:rsidR="000E4133" w:rsidRPr="00BF2B95" w:rsidRDefault="000E4133" w:rsidP="000E4133">
            <w:pPr>
              <w:pStyle w:val="TableText"/>
              <w:keepNext w:val="0"/>
            </w:pPr>
            <w:r w:rsidRPr="00BF2B95">
              <w:lastRenderedPageBreak/>
              <w:t>Script</w:t>
            </w:r>
            <w:r>
              <w:t xml:space="preserve"> </w:t>
            </w:r>
            <w:r w:rsidRPr="00BF2B95">
              <w:t>substitution rate</w:t>
            </w:r>
          </w:p>
        </w:tc>
        <w:tc>
          <w:tcPr>
            <w:tcW w:w="1459" w:type="dxa"/>
            <w:vAlign w:val="center"/>
          </w:tcPr>
          <w:p w14:paraId="6155E4E0" w14:textId="2D25699E" w:rsidR="000E4133" w:rsidRPr="00BF2B95" w:rsidRDefault="000E4133" w:rsidP="000E4133">
            <w:pPr>
              <w:pStyle w:val="TableText"/>
              <w:keepNext w:val="0"/>
            </w:pPr>
            <w:r w:rsidRPr="00BF2B95">
              <w:t>0.61 (=4.30/7.09)</w:t>
            </w:r>
          </w:p>
        </w:tc>
        <w:tc>
          <w:tcPr>
            <w:tcW w:w="3219" w:type="dxa"/>
            <w:vAlign w:val="center"/>
          </w:tcPr>
          <w:p w14:paraId="373A3F37" w14:textId="4967D275" w:rsidR="000E4133" w:rsidRPr="00BF2B95" w:rsidRDefault="00774268" w:rsidP="000E4133">
            <w:pPr>
              <w:pStyle w:val="TableText"/>
              <w:keepNext w:val="0"/>
            </w:pPr>
            <w:r w:rsidRPr="005441A3">
              <w:t xml:space="preserve">Based on the equi-effective doses proposed in the submission for Year 2 onward. Calculated as </w:t>
            </w:r>
            <w:r>
              <w:t>4.3</w:t>
            </w:r>
            <w:r w:rsidRPr="005441A3">
              <w:t>0 faricimab administrations / 7.</w:t>
            </w:r>
            <w:r>
              <w:t>09</w:t>
            </w:r>
            <w:r w:rsidRPr="005441A3">
              <w:t xml:space="preserve"> aflibercept/ranibizumab administrations.</w:t>
            </w:r>
          </w:p>
        </w:tc>
        <w:tc>
          <w:tcPr>
            <w:tcW w:w="2976" w:type="dxa"/>
            <w:vAlign w:val="center"/>
          </w:tcPr>
          <w:p w14:paraId="1A086FAD" w14:textId="77777777" w:rsidR="000E4133" w:rsidRPr="00704529" w:rsidRDefault="000E4133" w:rsidP="000E4133">
            <w:pPr>
              <w:pStyle w:val="TableText"/>
            </w:pPr>
            <w:r w:rsidRPr="00704529">
              <w:t xml:space="preserve">The scripts per year used in the financial estimates were based on use in second and subsequent years. The substitution rate will be different for the initial year of therapy. </w:t>
            </w:r>
          </w:p>
        </w:tc>
      </w:tr>
      <w:tr w:rsidR="000E4133" w:rsidRPr="00BF2B95" w14:paraId="0F72E49F" w14:textId="77777777" w:rsidTr="00174A07">
        <w:tc>
          <w:tcPr>
            <w:tcW w:w="9180" w:type="dxa"/>
            <w:gridSpan w:val="4"/>
            <w:vAlign w:val="center"/>
          </w:tcPr>
          <w:p w14:paraId="3316DEEC" w14:textId="77777777" w:rsidR="000E4133" w:rsidRPr="00BF2B95" w:rsidRDefault="000E4133" w:rsidP="000E4133">
            <w:pPr>
              <w:pStyle w:val="TableText"/>
              <w:rPr>
                <w:b/>
              </w:rPr>
            </w:pPr>
            <w:r w:rsidRPr="00BF2B95">
              <w:rPr>
                <w:b/>
              </w:rPr>
              <w:t>Costs</w:t>
            </w:r>
          </w:p>
        </w:tc>
      </w:tr>
      <w:tr w:rsidR="000E4133" w:rsidRPr="00BF2B95" w14:paraId="07E75B0C" w14:textId="77777777" w:rsidTr="00174A07">
        <w:tc>
          <w:tcPr>
            <w:tcW w:w="1526" w:type="dxa"/>
            <w:vAlign w:val="center"/>
          </w:tcPr>
          <w:p w14:paraId="45B955EB" w14:textId="77777777" w:rsidR="000E4133" w:rsidRPr="00BF2B95" w:rsidRDefault="000E4133" w:rsidP="000E4133">
            <w:pPr>
              <w:pStyle w:val="TableText"/>
            </w:pPr>
            <w:r w:rsidRPr="00BF2B95">
              <w:t>Faricimab</w:t>
            </w:r>
          </w:p>
        </w:tc>
        <w:tc>
          <w:tcPr>
            <w:tcW w:w="1459" w:type="dxa"/>
            <w:vAlign w:val="center"/>
          </w:tcPr>
          <w:p w14:paraId="7221EE03" w14:textId="77777777" w:rsidR="000E4133" w:rsidRPr="00BF2B95" w:rsidRDefault="000E4133" w:rsidP="000E4133">
            <w:pPr>
              <w:pStyle w:val="TableText"/>
            </w:pPr>
            <w:r w:rsidRPr="00BF2B95">
              <w:t>$1,042.95</w:t>
            </w:r>
          </w:p>
        </w:tc>
        <w:tc>
          <w:tcPr>
            <w:tcW w:w="3219" w:type="dxa"/>
            <w:vAlign w:val="center"/>
          </w:tcPr>
          <w:p w14:paraId="1AB4DA89" w14:textId="77777777" w:rsidR="000E4133" w:rsidRPr="00BF2B95" w:rsidRDefault="000E4133" w:rsidP="000E4133">
            <w:pPr>
              <w:pStyle w:val="TableText"/>
            </w:pPr>
            <w:r w:rsidRPr="00BF2B95">
              <w:t>Requested price (published)</w:t>
            </w:r>
          </w:p>
        </w:tc>
        <w:tc>
          <w:tcPr>
            <w:tcW w:w="2976" w:type="dxa"/>
            <w:vAlign w:val="center"/>
          </w:tcPr>
          <w:p w14:paraId="27306D8C" w14:textId="77777777" w:rsidR="000E4133" w:rsidRPr="00BF2B95" w:rsidRDefault="000E4133" w:rsidP="000E4133">
            <w:pPr>
              <w:pStyle w:val="TableText"/>
            </w:pPr>
            <w:r w:rsidRPr="00BF2B95">
              <w:t>-</w:t>
            </w:r>
          </w:p>
        </w:tc>
      </w:tr>
      <w:tr w:rsidR="000E4133" w:rsidRPr="00BF2B95" w14:paraId="53A4B228" w14:textId="77777777" w:rsidTr="00174A07">
        <w:tc>
          <w:tcPr>
            <w:tcW w:w="1526" w:type="dxa"/>
            <w:vAlign w:val="center"/>
          </w:tcPr>
          <w:p w14:paraId="519C7DE7" w14:textId="77777777" w:rsidR="000E4133" w:rsidRPr="00BF2B95" w:rsidRDefault="000E4133" w:rsidP="000E4133">
            <w:pPr>
              <w:pStyle w:val="TableText"/>
            </w:pPr>
            <w:r w:rsidRPr="00BF2B95">
              <w:t>Aflibercept,</w:t>
            </w:r>
          </w:p>
          <w:p w14:paraId="7B96D6A3" w14:textId="500CDE4D" w:rsidR="000E4133" w:rsidRPr="00BF2B95" w:rsidRDefault="000E4133" w:rsidP="000E4133">
            <w:pPr>
              <w:pStyle w:val="TableText"/>
            </w:pPr>
            <w:r>
              <w:t>r</w:t>
            </w:r>
            <w:r w:rsidRPr="00BF2B95">
              <w:t>anibizumab</w:t>
            </w:r>
          </w:p>
        </w:tc>
        <w:tc>
          <w:tcPr>
            <w:tcW w:w="1459" w:type="dxa"/>
            <w:vAlign w:val="center"/>
          </w:tcPr>
          <w:p w14:paraId="64B5359B" w14:textId="77777777" w:rsidR="000E4133" w:rsidRPr="00BF2B95" w:rsidRDefault="000E4133" w:rsidP="000E4133">
            <w:pPr>
              <w:pStyle w:val="TableText"/>
            </w:pPr>
            <w:r w:rsidRPr="00BF2B95">
              <w:t>$1,042.95</w:t>
            </w:r>
          </w:p>
        </w:tc>
        <w:tc>
          <w:tcPr>
            <w:tcW w:w="3219" w:type="dxa"/>
            <w:vAlign w:val="center"/>
          </w:tcPr>
          <w:p w14:paraId="16D66808" w14:textId="494330EA" w:rsidR="000E4133" w:rsidRPr="00BF2B95" w:rsidRDefault="000E4133" w:rsidP="000E4133">
            <w:pPr>
              <w:pStyle w:val="TableText"/>
            </w:pPr>
            <w:r>
              <w:t>Published DPMQ</w:t>
            </w:r>
          </w:p>
        </w:tc>
        <w:tc>
          <w:tcPr>
            <w:tcW w:w="2976" w:type="dxa"/>
            <w:vAlign w:val="center"/>
          </w:tcPr>
          <w:p w14:paraId="3A61C3E3" w14:textId="59D4BE95" w:rsidR="000E4133" w:rsidRPr="00EF5884" w:rsidRDefault="000E4133" w:rsidP="000E4133">
            <w:pPr>
              <w:pStyle w:val="TableText"/>
            </w:pPr>
            <w:r w:rsidRPr="00EF5884">
              <w:t>-</w:t>
            </w:r>
          </w:p>
        </w:tc>
      </w:tr>
      <w:tr w:rsidR="000E4133" w:rsidRPr="00BF2B95" w14:paraId="58808609" w14:textId="77777777" w:rsidTr="00174A07">
        <w:tc>
          <w:tcPr>
            <w:tcW w:w="1526" w:type="dxa"/>
            <w:vAlign w:val="center"/>
          </w:tcPr>
          <w:p w14:paraId="70538870" w14:textId="3D422B54" w:rsidR="000E4133" w:rsidRPr="00BF2B95" w:rsidRDefault="000E4133" w:rsidP="000E4133">
            <w:pPr>
              <w:pStyle w:val="TableText"/>
            </w:pPr>
            <w:r w:rsidRPr="00BF2B95">
              <w:t xml:space="preserve">Patient </w:t>
            </w:r>
            <w:r w:rsidR="00D2483D" w:rsidRPr="00BF2B95">
              <w:t>co-payment</w:t>
            </w:r>
          </w:p>
        </w:tc>
        <w:tc>
          <w:tcPr>
            <w:tcW w:w="1459" w:type="dxa"/>
            <w:vAlign w:val="center"/>
          </w:tcPr>
          <w:p w14:paraId="4FA61DB5" w14:textId="77777777" w:rsidR="000E4133" w:rsidRPr="00BF2B95" w:rsidRDefault="000E4133" w:rsidP="000E4133">
            <w:pPr>
              <w:pStyle w:val="TableText"/>
            </w:pPr>
            <w:r w:rsidRPr="00BF2B95">
              <w:t>$12.92</w:t>
            </w:r>
          </w:p>
        </w:tc>
        <w:tc>
          <w:tcPr>
            <w:tcW w:w="3219" w:type="dxa"/>
            <w:vAlign w:val="center"/>
          </w:tcPr>
          <w:p w14:paraId="32CE8DAF" w14:textId="77777777" w:rsidR="000E4133" w:rsidRPr="00BF2B95" w:rsidRDefault="000E4133" w:rsidP="000E4133">
            <w:pPr>
              <w:pStyle w:val="TableText"/>
            </w:pPr>
            <w:r w:rsidRPr="00BF2B95">
              <w:t>2020 calendar year PBS utilisation data for ranibizumab and aflibercept was used to calculate the proportional PBS/RPBS co-payments.</w:t>
            </w:r>
          </w:p>
        </w:tc>
        <w:tc>
          <w:tcPr>
            <w:tcW w:w="2976" w:type="dxa"/>
            <w:vAlign w:val="center"/>
          </w:tcPr>
          <w:p w14:paraId="391E3FC0" w14:textId="77777777" w:rsidR="000E4133" w:rsidRPr="00704529" w:rsidRDefault="000E4133" w:rsidP="000E4133">
            <w:pPr>
              <w:pStyle w:val="TableText"/>
            </w:pPr>
            <w:r w:rsidRPr="00704529">
              <w:t>This was reasonable. Weighted average co-payment calculated during the evaluation based on the PBS/RPBS split (94.31% versus 5.69%, respectively) and co-payment amounts ($13.31 PBS and $6.45 RPBS).</w:t>
            </w:r>
          </w:p>
        </w:tc>
      </w:tr>
      <w:tr w:rsidR="000E4133" w:rsidRPr="00BF2B95" w14:paraId="483DC47E" w14:textId="77777777" w:rsidTr="00174A07">
        <w:tc>
          <w:tcPr>
            <w:tcW w:w="1526" w:type="dxa"/>
            <w:vAlign w:val="center"/>
          </w:tcPr>
          <w:p w14:paraId="55A2E694" w14:textId="77777777" w:rsidR="000E4133" w:rsidRPr="00FF66B2" w:rsidRDefault="000E4133" w:rsidP="000E4133">
            <w:pPr>
              <w:pStyle w:val="TableText"/>
            </w:pPr>
            <w:r w:rsidRPr="00FF66B2">
              <w:t>MBS costs</w:t>
            </w:r>
          </w:p>
        </w:tc>
        <w:tc>
          <w:tcPr>
            <w:tcW w:w="1459" w:type="dxa"/>
            <w:vAlign w:val="center"/>
          </w:tcPr>
          <w:p w14:paraId="2E92436F" w14:textId="77777777" w:rsidR="000E4133" w:rsidRPr="00FF66B2" w:rsidRDefault="000E4133" w:rsidP="000E4133">
            <w:pPr>
              <w:pStyle w:val="TableText"/>
            </w:pPr>
            <w:r w:rsidRPr="00FF66B2">
              <w:t>Fee: $312.95</w:t>
            </w:r>
          </w:p>
          <w:p w14:paraId="65749767" w14:textId="1A44A4ED" w:rsidR="000E4133" w:rsidRPr="00FF66B2" w:rsidRDefault="000E4133" w:rsidP="000E4133">
            <w:pPr>
              <w:pStyle w:val="TableText"/>
            </w:pPr>
            <w:r>
              <w:t>80% b</w:t>
            </w:r>
            <w:r w:rsidRPr="00FF66B2">
              <w:t>enefit: $250.36</w:t>
            </w:r>
          </w:p>
        </w:tc>
        <w:tc>
          <w:tcPr>
            <w:tcW w:w="3219" w:type="dxa"/>
            <w:vAlign w:val="center"/>
          </w:tcPr>
          <w:p w14:paraId="44E129E0" w14:textId="77777777" w:rsidR="000E4133" w:rsidRPr="00BF2B95" w:rsidRDefault="000E4133" w:rsidP="000E4133">
            <w:pPr>
              <w:pStyle w:val="TableText"/>
            </w:pPr>
            <w:r w:rsidRPr="00BF2B95">
              <w:t>MBS items 42738/42739 (paracentesis of anterior chamber or vitreous cavity or both); item 42740 (intravitreal injection of therapeutic substances when performed in conjunction with other intraocular surgery).</w:t>
            </w:r>
          </w:p>
        </w:tc>
        <w:tc>
          <w:tcPr>
            <w:tcW w:w="2976" w:type="dxa"/>
            <w:vAlign w:val="center"/>
          </w:tcPr>
          <w:p w14:paraId="0D105FF4" w14:textId="23D4C63A" w:rsidR="000E4133" w:rsidRPr="00704529" w:rsidRDefault="000E4133" w:rsidP="000E4133">
            <w:pPr>
              <w:pStyle w:val="TableText"/>
            </w:pPr>
            <w:r w:rsidRPr="00704529">
              <w:t>This was reasonable.</w:t>
            </w:r>
          </w:p>
        </w:tc>
      </w:tr>
    </w:tbl>
    <w:p w14:paraId="04A8001A" w14:textId="77777777" w:rsidR="004A5940" w:rsidRPr="002D21EA" w:rsidRDefault="004A5940" w:rsidP="004A5940">
      <w:pPr>
        <w:pStyle w:val="TableFigureFooter"/>
      </w:pPr>
      <w:r w:rsidRPr="002D21EA">
        <w:t>Source: Table 4.3, p120 of the submission.</w:t>
      </w:r>
    </w:p>
    <w:p w14:paraId="3C188F42" w14:textId="2B035DA2" w:rsidR="004A5940" w:rsidRPr="002D21EA" w:rsidRDefault="004A5940" w:rsidP="004A5940">
      <w:pPr>
        <w:pStyle w:val="TableFigureFooter"/>
      </w:pPr>
      <w:r w:rsidRPr="002D21EA">
        <w:t>Abbreviations: AMD</w:t>
      </w:r>
      <w:r w:rsidR="008D1B6D" w:rsidRPr="002D21EA">
        <w:t xml:space="preserve"> =</w:t>
      </w:r>
      <w:r w:rsidRPr="002D21EA">
        <w:t xml:space="preserve"> age-related macular degeneration; DPMQ</w:t>
      </w:r>
      <w:r w:rsidR="008D1B6D" w:rsidRPr="002D21EA">
        <w:t xml:space="preserve"> =</w:t>
      </w:r>
      <w:r w:rsidRPr="002D21EA">
        <w:t xml:space="preserve"> dispensed price for maximum quantity; nAMD</w:t>
      </w:r>
      <w:r w:rsidR="008D1B6D" w:rsidRPr="002D21EA">
        <w:t xml:space="preserve"> =</w:t>
      </w:r>
      <w:r w:rsidRPr="002D21EA">
        <w:t xml:space="preserve"> neovascular age-related macular degeneration; RVO</w:t>
      </w:r>
      <w:r w:rsidR="008D1B6D" w:rsidRPr="002D21EA">
        <w:t xml:space="preserve"> =</w:t>
      </w:r>
      <w:r w:rsidRPr="002D21EA">
        <w:t xml:space="preserve"> retinal vein occlusion</w:t>
      </w:r>
      <w:r w:rsidR="009C0813" w:rsidRPr="002D21EA">
        <w:t>; Q8W</w:t>
      </w:r>
      <w:r w:rsidR="008D1B6D" w:rsidRPr="002D21EA">
        <w:t xml:space="preserve"> =</w:t>
      </w:r>
      <w:r w:rsidR="009C0813" w:rsidRPr="002D21EA">
        <w:t xml:space="preserve"> every 8 weeks; Q12W</w:t>
      </w:r>
      <w:r w:rsidR="008D1B6D" w:rsidRPr="002D21EA">
        <w:t xml:space="preserve"> =</w:t>
      </w:r>
      <w:r w:rsidR="009C0813" w:rsidRPr="002D21EA">
        <w:t xml:space="preserve"> every 12 weeks; Q16W</w:t>
      </w:r>
      <w:r w:rsidR="008D1B6D" w:rsidRPr="002D21EA">
        <w:t xml:space="preserve"> =</w:t>
      </w:r>
      <w:r w:rsidR="009C0813" w:rsidRPr="002D21EA">
        <w:t xml:space="preserve"> every 16 weeks</w:t>
      </w:r>
      <w:r w:rsidRPr="002D21EA">
        <w:t>.</w:t>
      </w:r>
    </w:p>
    <w:p w14:paraId="6759A17C" w14:textId="51428259" w:rsidR="00BC124B" w:rsidRPr="002D21EA" w:rsidRDefault="00BC124B" w:rsidP="00BC124B">
      <w:pPr>
        <w:pStyle w:val="ExecSumBodyText"/>
      </w:pPr>
      <w:r w:rsidRPr="002D21EA">
        <w:t>The estimated utilisation and financial impact of listing faricimab</w:t>
      </w:r>
      <w:r w:rsidR="004247CA" w:rsidRPr="002D21EA">
        <w:t xml:space="preserve"> presented in the submission</w:t>
      </w:r>
      <w:r w:rsidRPr="002D21EA">
        <w:t xml:space="preserve"> are summarised below.</w:t>
      </w:r>
    </w:p>
    <w:p w14:paraId="65B22196" w14:textId="2AAC9ACA" w:rsidR="00850C56" w:rsidRPr="002D21EA" w:rsidRDefault="00850C56" w:rsidP="00850C56">
      <w:pPr>
        <w:pStyle w:val="Tableheadingrow"/>
        <w:rPr>
          <w:lang w:val="en-AU"/>
        </w:rPr>
      </w:pPr>
      <w:r w:rsidRPr="002D21EA">
        <w:rPr>
          <w:lang w:val="en-AU"/>
        </w:rPr>
        <w:t xml:space="preserve">Table </w:t>
      </w:r>
      <w:r w:rsidRPr="002D21EA">
        <w:rPr>
          <w:lang w:val="en-AU"/>
        </w:rPr>
        <w:fldChar w:fldCharType="begin"/>
      </w:r>
      <w:r w:rsidRPr="002D21EA">
        <w:rPr>
          <w:lang w:val="en-AU"/>
        </w:rPr>
        <w:instrText xml:space="preserve"> SEQ Table \* ARABIC </w:instrText>
      </w:r>
      <w:r w:rsidRPr="002D21EA">
        <w:rPr>
          <w:lang w:val="en-AU"/>
        </w:rPr>
        <w:fldChar w:fldCharType="separate"/>
      </w:r>
      <w:r w:rsidR="006C2A4B">
        <w:rPr>
          <w:noProof/>
          <w:lang w:val="en-AU"/>
        </w:rPr>
        <w:t>14</w:t>
      </w:r>
      <w:r w:rsidRPr="002D21EA">
        <w:rPr>
          <w:noProof/>
          <w:lang w:val="en-AU"/>
        </w:rPr>
        <w:fldChar w:fldCharType="end"/>
      </w:r>
      <w:r w:rsidRPr="002D21EA">
        <w:rPr>
          <w:lang w:val="en-AU"/>
        </w:rPr>
        <w:t>: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Estimated use and financial implications"/>
      </w:tblPr>
      <w:tblGrid>
        <w:gridCol w:w="2263"/>
        <w:gridCol w:w="1134"/>
        <w:gridCol w:w="1134"/>
        <w:gridCol w:w="1134"/>
        <w:gridCol w:w="1134"/>
        <w:gridCol w:w="1134"/>
        <w:gridCol w:w="1134"/>
      </w:tblGrid>
      <w:tr w:rsidR="00850C56" w:rsidRPr="002D21EA" w14:paraId="15774FE7" w14:textId="77777777" w:rsidTr="00174A07">
        <w:trPr>
          <w:tblHeader/>
        </w:trPr>
        <w:tc>
          <w:tcPr>
            <w:tcW w:w="2263" w:type="dxa"/>
            <w:shd w:val="clear" w:color="auto" w:fill="auto"/>
            <w:vAlign w:val="center"/>
          </w:tcPr>
          <w:p w14:paraId="7DBF74C5" w14:textId="77777777" w:rsidR="00850C56" w:rsidRPr="002D21EA" w:rsidRDefault="00850C56" w:rsidP="00174A07">
            <w:pPr>
              <w:pStyle w:val="TableText"/>
              <w:keepNext w:val="0"/>
              <w:widowControl w:val="0"/>
              <w:rPr>
                <w:b/>
                <w:lang w:eastAsia="en-US"/>
              </w:rPr>
            </w:pPr>
          </w:p>
        </w:tc>
        <w:tc>
          <w:tcPr>
            <w:tcW w:w="1134" w:type="dxa"/>
            <w:shd w:val="clear" w:color="auto" w:fill="auto"/>
            <w:vAlign w:val="center"/>
          </w:tcPr>
          <w:p w14:paraId="34EF9E61" w14:textId="77777777" w:rsidR="00850C56" w:rsidRPr="002D21EA" w:rsidRDefault="00850C56" w:rsidP="00174A07">
            <w:pPr>
              <w:pStyle w:val="TableText"/>
              <w:keepNext w:val="0"/>
              <w:widowControl w:val="0"/>
              <w:jc w:val="center"/>
              <w:rPr>
                <w:b/>
                <w:lang w:eastAsia="en-US"/>
              </w:rPr>
            </w:pPr>
            <w:r w:rsidRPr="002D21EA">
              <w:rPr>
                <w:b/>
                <w:lang w:eastAsia="en-US"/>
              </w:rPr>
              <w:t xml:space="preserve">Year 1 </w:t>
            </w:r>
          </w:p>
          <w:p w14:paraId="679BCFF8" w14:textId="77777777" w:rsidR="00850C56" w:rsidRPr="002D21EA" w:rsidRDefault="00850C56" w:rsidP="00174A07">
            <w:pPr>
              <w:pStyle w:val="TableText"/>
              <w:keepNext w:val="0"/>
              <w:widowControl w:val="0"/>
              <w:jc w:val="center"/>
              <w:rPr>
                <w:b/>
                <w:lang w:eastAsia="en-US"/>
              </w:rPr>
            </w:pPr>
            <w:r w:rsidRPr="002D21EA">
              <w:rPr>
                <w:b/>
                <w:lang w:eastAsia="en-US"/>
              </w:rPr>
              <w:t>(2022)</w:t>
            </w:r>
          </w:p>
        </w:tc>
        <w:tc>
          <w:tcPr>
            <w:tcW w:w="1134" w:type="dxa"/>
            <w:shd w:val="clear" w:color="auto" w:fill="auto"/>
            <w:vAlign w:val="center"/>
          </w:tcPr>
          <w:p w14:paraId="5F864A0A" w14:textId="77777777" w:rsidR="00850C56" w:rsidRPr="002D21EA" w:rsidRDefault="00850C56" w:rsidP="00174A07">
            <w:pPr>
              <w:pStyle w:val="TableText"/>
              <w:keepNext w:val="0"/>
              <w:widowControl w:val="0"/>
              <w:jc w:val="center"/>
              <w:rPr>
                <w:b/>
                <w:lang w:eastAsia="en-US"/>
              </w:rPr>
            </w:pPr>
            <w:r w:rsidRPr="002D21EA">
              <w:rPr>
                <w:b/>
                <w:lang w:eastAsia="en-US"/>
              </w:rPr>
              <w:t xml:space="preserve">Year 2 </w:t>
            </w:r>
          </w:p>
          <w:p w14:paraId="3DD33F85" w14:textId="77777777" w:rsidR="00850C56" w:rsidRPr="002D21EA" w:rsidRDefault="00850C56" w:rsidP="00174A07">
            <w:pPr>
              <w:pStyle w:val="TableText"/>
              <w:keepNext w:val="0"/>
              <w:widowControl w:val="0"/>
              <w:jc w:val="center"/>
              <w:rPr>
                <w:b/>
                <w:lang w:eastAsia="en-US"/>
              </w:rPr>
            </w:pPr>
            <w:r w:rsidRPr="002D21EA">
              <w:rPr>
                <w:b/>
                <w:lang w:eastAsia="en-US"/>
              </w:rPr>
              <w:t>(2023)</w:t>
            </w:r>
          </w:p>
        </w:tc>
        <w:tc>
          <w:tcPr>
            <w:tcW w:w="1134" w:type="dxa"/>
            <w:shd w:val="clear" w:color="auto" w:fill="auto"/>
            <w:vAlign w:val="center"/>
          </w:tcPr>
          <w:p w14:paraId="6C389BA5" w14:textId="77777777" w:rsidR="00850C56" w:rsidRPr="002D21EA" w:rsidRDefault="00850C56" w:rsidP="00174A07">
            <w:pPr>
              <w:pStyle w:val="TableText"/>
              <w:keepNext w:val="0"/>
              <w:widowControl w:val="0"/>
              <w:jc w:val="center"/>
              <w:rPr>
                <w:b/>
                <w:lang w:eastAsia="en-US"/>
              </w:rPr>
            </w:pPr>
            <w:r w:rsidRPr="002D21EA">
              <w:rPr>
                <w:b/>
                <w:lang w:eastAsia="en-US"/>
              </w:rPr>
              <w:t xml:space="preserve">Year 3 </w:t>
            </w:r>
          </w:p>
          <w:p w14:paraId="52B7E9F9" w14:textId="77777777" w:rsidR="00850C56" w:rsidRPr="002D21EA" w:rsidRDefault="00850C56" w:rsidP="00174A07">
            <w:pPr>
              <w:pStyle w:val="TableText"/>
              <w:keepNext w:val="0"/>
              <w:widowControl w:val="0"/>
              <w:jc w:val="center"/>
              <w:rPr>
                <w:b/>
                <w:lang w:eastAsia="en-US"/>
              </w:rPr>
            </w:pPr>
            <w:r w:rsidRPr="002D21EA">
              <w:rPr>
                <w:b/>
                <w:lang w:eastAsia="en-US"/>
              </w:rPr>
              <w:t>(2024)</w:t>
            </w:r>
          </w:p>
        </w:tc>
        <w:tc>
          <w:tcPr>
            <w:tcW w:w="1134" w:type="dxa"/>
            <w:shd w:val="clear" w:color="auto" w:fill="auto"/>
            <w:vAlign w:val="center"/>
          </w:tcPr>
          <w:p w14:paraId="7497D7FC" w14:textId="77777777" w:rsidR="00850C56" w:rsidRPr="002D21EA" w:rsidRDefault="00850C56" w:rsidP="00174A07">
            <w:pPr>
              <w:pStyle w:val="TableText"/>
              <w:keepNext w:val="0"/>
              <w:widowControl w:val="0"/>
              <w:jc w:val="center"/>
              <w:rPr>
                <w:b/>
                <w:lang w:eastAsia="en-US"/>
              </w:rPr>
            </w:pPr>
            <w:r w:rsidRPr="002D21EA">
              <w:rPr>
                <w:b/>
                <w:lang w:eastAsia="en-US"/>
              </w:rPr>
              <w:t xml:space="preserve">Year 4 </w:t>
            </w:r>
          </w:p>
          <w:p w14:paraId="0045D949" w14:textId="77777777" w:rsidR="00850C56" w:rsidRPr="002D21EA" w:rsidRDefault="00850C56" w:rsidP="00174A07">
            <w:pPr>
              <w:pStyle w:val="TableText"/>
              <w:keepNext w:val="0"/>
              <w:widowControl w:val="0"/>
              <w:jc w:val="center"/>
              <w:rPr>
                <w:b/>
                <w:lang w:eastAsia="en-US"/>
              </w:rPr>
            </w:pPr>
            <w:r w:rsidRPr="002D21EA">
              <w:rPr>
                <w:b/>
                <w:lang w:eastAsia="en-US"/>
              </w:rPr>
              <w:t>(2025)</w:t>
            </w:r>
          </w:p>
        </w:tc>
        <w:tc>
          <w:tcPr>
            <w:tcW w:w="1134" w:type="dxa"/>
            <w:shd w:val="clear" w:color="auto" w:fill="auto"/>
            <w:vAlign w:val="center"/>
          </w:tcPr>
          <w:p w14:paraId="12AD6704" w14:textId="77777777" w:rsidR="00850C56" w:rsidRPr="002D21EA" w:rsidRDefault="00850C56" w:rsidP="00174A07">
            <w:pPr>
              <w:pStyle w:val="TableText"/>
              <w:keepNext w:val="0"/>
              <w:widowControl w:val="0"/>
              <w:jc w:val="center"/>
              <w:rPr>
                <w:b/>
                <w:lang w:eastAsia="en-US"/>
              </w:rPr>
            </w:pPr>
            <w:r w:rsidRPr="002D21EA">
              <w:rPr>
                <w:b/>
                <w:lang w:eastAsia="en-US"/>
              </w:rPr>
              <w:t xml:space="preserve">Year 5 </w:t>
            </w:r>
          </w:p>
          <w:p w14:paraId="2155BF5A" w14:textId="77777777" w:rsidR="00850C56" w:rsidRPr="002D21EA" w:rsidRDefault="00850C56" w:rsidP="00174A07">
            <w:pPr>
              <w:pStyle w:val="TableText"/>
              <w:keepNext w:val="0"/>
              <w:widowControl w:val="0"/>
              <w:jc w:val="center"/>
              <w:rPr>
                <w:b/>
                <w:lang w:eastAsia="en-US"/>
              </w:rPr>
            </w:pPr>
            <w:r w:rsidRPr="002D21EA">
              <w:rPr>
                <w:b/>
                <w:lang w:eastAsia="en-US"/>
              </w:rPr>
              <w:t>(2026)</w:t>
            </w:r>
          </w:p>
        </w:tc>
        <w:tc>
          <w:tcPr>
            <w:tcW w:w="1134" w:type="dxa"/>
            <w:shd w:val="clear" w:color="auto" w:fill="auto"/>
            <w:vAlign w:val="center"/>
          </w:tcPr>
          <w:p w14:paraId="719A98B2" w14:textId="77777777" w:rsidR="00850C56" w:rsidRPr="002D21EA" w:rsidRDefault="00850C56" w:rsidP="00174A07">
            <w:pPr>
              <w:pStyle w:val="TableText"/>
              <w:keepNext w:val="0"/>
              <w:widowControl w:val="0"/>
              <w:jc w:val="center"/>
              <w:rPr>
                <w:b/>
                <w:lang w:eastAsia="en-US"/>
              </w:rPr>
            </w:pPr>
            <w:r w:rsidRPr="002D21EA">
              <w:rPr>
                <w:b/>
                <w:lang w:eastAsia="en-US"/>
              </w:rPr>
              <w:t xml:space="preserve">Year 6 </w:t>
            </w:r>
          </w:p>
          <w:p w14:paraId="52E0CF23" w14:textId="77777777" w:rsidR="00850C56" w:rsidRPr="002D21EA" w:rsidRDefault="00850C56" w:rsidP="00174A07">
            <w:pPr>
              <w:pStyle w:val="TableText"/>
              <w:keepNext w:val="0"/>
              <w:widowControl w:val="0"/>
              <w:jc w:val="center"/>
              <w:rPr>
                <w:b/>
                <w:lang w:eastAsia="en-US"/>
              </w:rPr>
            </w:pPr>
            <w:r w:rsidRPr="002D21EA">
              <w:rPr>
                <w:b/>
                <w:lang w:eastAsia="en-US"/>
              </w:rPr>
              <w:t>(2027)</w:t>
            </w:r>
          </w:p>
        </w:tc>
      </w:tr>
      <w:tr w:rsidR="00850C56" w:rsidRPr="002D21EA" w14:paraId="113B2928" w14:textId="77777777" w:rsidTr="00174A07">
        <w:tc>
          <w:tcPr>
            <w:tcW w:w="2263" w:type="dxa"/>
            <w:vAlign w:val="center"/>
          </w:tcPr>
          <w:p w14:paraId="1D4110C2" w14:textId="7269B06B" w:rsidR="00850C56" w:rsidRPr="002D21EA" w:rsidRDefault="000953EE" w:rsidP="00174A07">
            <w:pPr>
              <w:pStyle w:val="TableText"/>
              <w:keepNext w:val="0"/>
              <w:widowControl w:val="0"/>
              <w:rPr>
                <w:lang w:eastAsia="en-US"/>
              </w:rPr>
            </w:pPr>
            <w:r w:rsidRPr="002D21EA">
              <w:t>Estimated</w:t>
            </w:r>
            <w:r w:rsidR="00850C56" w:rsidRPr="002D21EA">
              <w:t xml:space="preserve"> ranibizumab scripts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CB306" w14:textId="7BDBD07C"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1DCD123" w14:textId="13FFC2D0"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F4FEB08" w14:textId="7B25C59F"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7F8580A" w14:textId="73C83A8F"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D565211" w14:textId="78DAFD89"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3975F97" w14:textId="65773FD3"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2</w:t>
            </w:r>
          </w:p>
        </w:tc>
      </w:tr>
      <w:tr w:rsidR="00850C56" w:rsidRPr="002D21EA" w14:paraId="489CD108" w14:textId="77777777" w:rsidTr="00174A07">
        <w:tc>
          <w:tcPr>
            <w:tcW w:w="2263" w:type="dxa"/>
            <w:vAlign w:val="center"/>
          </w:tcPr>
          <w:p w14:paraId="25A69C67" w14:textId="6A2E9045" w:rsidR="00850C56" w:rsidRPr="002D21EA" w:rsidRDefault="000953EE" w:rsidP="00174A07">
            <w:pPr>
              <w:pStyle w:val="TableText"/>
              <w:keepNext w:val="0"/>
              <w:widowControl w:val="0"/>
              <w:rPr>
                <w:lang w:eastAsia="en-US"/>
              </w:rPr>
            </w:pPr>
            <w:r w:rsidRPr="002D21EA">
              <w:t xml:space="preserve">Estimated </w:t>
            </w:r>
            <w:r w:rsidR="00850C56" w:rsidRPr="002D21EA">
              <w:t>aflibercept scripts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AF017" w14:textId="0E5C9BAC"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B695F93" w14:textId="275FBFE7"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4844D3D" w14:textId="6CC115D9"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293F7E6" w14:textId="253F5413"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19A0B20" w14:textId="55CCC253"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DA9728F" w14:textId="2C177EE7" w:rsidR="00850C56" w:rsidRPr="00B90C76" w:rsidRDefault="00755BDA" w:rsidP="00174A07">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B90C76">
              <w:rPr>
                <w:vertAlign w:val="superscript"/>
                <w:lang w:eastAsia="en-US"/>
              </w:rPr>
              <w:t>3</w:t>
            </w:r>
          </w:p>
        </w:tc>
      </w:tr>
      <w:tr w:rsidR="00850C56" w:rsidRPr="002D21EA" w14:paraId="43255628" w14:textId="77777777" w:rsidTr="00174A07">
        <w:tc>
          <w:tcPr>
            <w:tcW w:w="2263" w:type="dxa"/>
            <w:shd w:val="clear" w:color="auto" w:fill="auto"/>
            <w:vAlign w:val="center"/>
          </w:tcPr>
          <w:p w14:paraId="430C0E20" w14:textId="2A997BC9" w:rsidR="00850C56" w:rsidRPr="002D21EA" w:rsidRDefault="000953EE" w:rsidP="00174A07">
            <w:pPr>
              <w:pStyle w:val="TableText"/>
              <w:keepNext w:val="0"/>
              <w:widowControl w:val="0"/>
              <w:rPr>
                <w:lang w:eastAsia="en-US"/>
              </w:rPr>
            </w:pPr>
            <w:r w:rsidRPr="002D21EA">
              <w:t>Estimated</w:t>
            </w:r>
            <w:r w:rsidRPr="002D21EA">
              <w:rPr>
                <w:lang w:eastAsia="en-US"/>
              </w:rPr>
              <w:t xml:space="preserve"> </w:t>
            </w:r>
            <w:r w:rsidR="00850C56" w:rsidRPr="002D21EA">
              <w:rPr>
                <w:lang w:eastAsia="en-US"/>
              </w:rPr>
              <w:t>total scripts</w:t>
            </w:r>
          </w:p>
        </w:tc>
        <w:tc>
          <w:tcPr>
            <w:tcW w:w="1134" w:type="dxa"/>
            <w:shd w:val="clear" w:color="auto" w:fill="FFFFFF" w:themeFill="background1"/>
            <w:vAlign w:val="center"/>
          </w:tcPr>
          <w:p w14:paraId="4086C2E2" w14:textId="2D10C95F" w:rsidR="00850C56" w:rsidRPr="002D21EA" w:rsidRDefault="00755BDA" w:rsidP="00174A07">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B90C76">
              <w:rPr>
                <w:bCs w:val="0"/>
                <w:vertAlign w:val="superscript"/>
              </w:rPr>
              <w:t>4</w:t>
            </w:r>
            <w:r w:rsidR="00850C56" w:rsidRPr="002D21EA">
              <w:rPr>
                <w:bCs w:val="0"/>
              </w:rPr>
              <w:t xml:space="preserve"> </w:t>
            </w:r>
          </w:p>
        </w:tc>
        <w:tc>
          <w:tcPr>
            <w:tcW w:w="1134" w:type="dxa"/>
            <w:shd w:val="clear" w:color="auto" w:fill="FFFFFF" w:themeFill="background1"/>
            <w:vAlign w:val="center"/>
          </w:tcPr>
          <w:p w14:paraId="0CEF291A" w14:textId="7716E20B" w:rsidR="00850C56" w:rsidRPr="002D21EA" w:rsidRDefault="00755BDA" w:rsidP="00174A07">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B90C76">
              <w:rPr>
                <w:bCs w:val="0"/>
                <w:vertAlign w:val="superscript"/>
              </w:rPr>
              <w:t>4</w:t>
            </w:r>
            <w:r w:rsidR="00850C56" w:rsidRPr="002D21EA">
              <w:rPr>
                <w:bCs w:val="0"/>
              </w:rPr>
              <w:t xml:space="preserve"> </w:t>
            </w:r>
          </w:p>
        </w:tc>
        <w:tc>
          <w:tcPr>
            <w:tcW w:w="1134" w:type="dxa"/>
            <w:shd w:val="clear" w:color="auto" w:fill="FFFFFF" w:themeFill="background1"/>
            <w:vAlign w:val="center"/>
          </w:tcPr>
          <w:p w14:paraId="4E088B7C" w14:textId="0B42D8FB" w:rsidR="00850C56" w:rsidRPr="002D21EA" w:rsidRDefault="00755BDA" w:rsidP="00174A07">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B90C76">
              <w:rPr>
                <w:bCs w:val="0"/>
                <w:vertAlign w:val="superscript"/>
              </w:rPr>
              <w:t>5</w:t>
            </w:r>
            <w:r w:rsidR="00850C56" w:rsidRPr="002D21EA">
              <w:rPr>
                <w:bCs w:val="0"/>
              </w:rPr>
              <w:t xml:space="preserve"> </w:t>
            </w:r>
          </w:p>
        </w:tc>
        <w:tc>
          <w:tcPr>
            <w:tcW w:w="1134" w:type="dxa"/>
            <w:shd w:val="clear" w:color="auto" w:fill="FFFFFF" w:themeFill="background1"/>
            <w:vAlign w:val="center"/>
          </w:tcPr>
          <w:p w14:paraId="38DBE100" w14:textId="4558E651" w:rsidR="00850C56" w:rsidRPr="002D21EA" w:rsidRDefault="00755BDA" w:rsidP="00174A07">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B90C76">
              <w:rPr>
                <w:bCs w:val="0"/>
                <w:vertAlign w:val="superscript"/>
              </w:rPr>
              <w:t>5</w:t>
            </w:r>
            <w:r w:rsidR="00850C56" w:rsidRPr="002D21EA">
              <w:rPr>
                <w:bCs w:val="0"/>
              </w:rPr>
              <w:t xml:space="preserve"> </w:t>
            </w:r>
          </w:p>
        </w:tc>
        <w:tc>
          <w:tcPr>
            <w:tcW w:w="1134" w:type="dxa"/>
            <w:shd w:val="clear" w:color="auto" w:fill="FFFFFF" w:themeFill="background1"/>
            <w:vAlign w:val="center"/>
          </w:tcPr>
          <w:p w14:paraId="66538561" w14:textId="572EAEF6" w:rsidR="00850C56" w:rsidRPr="002D21EA" w:rsidRDefault="00755BDA" w:rsidP="00174A07">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B90C76">
              <w:rPr>
                <w:bCs w:val="0"/>
                <w:vertAlign w:val="superscript"/>
              </w:rPr>
              <w:t>5</w:t>
            </w:r>
            <w:r w:rsidR="00850C56" w:rsidRPr="002D21EA">
              <w:rPr>
                <w:bCs w:val="0"/>
              </w:rPr>
              <w:t xml:space="preserve"> </w:t>
            </w:r>
          </w:p>
        </w:tc>
        <w:tc>
          <w:tcPr>
            <w:tcW w:w="1134" w:type="dxa"/>
            <w:shd w:val="clear" w:color="auto" w:fill="FFFFFF" w:themeFill="background1"/>
            <w:vAlign w:val="center"/>
          </w:tcPr>
          <w:p w14:paraId="2D30C5E9" w14:textId="177FDD14" w:rsidR="00850C56" w:rsidRPr="002D21EA" w:rsidRDefault="00755BDA" w:rsidP="00174A07">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B90C76">
              <w:rPr>
                <w:bCs w:val="0"/>
                <w:vertAlign w:val="superscript"/>
              </w:rPr>
              <w:t>5</w:t>
            </w:r>
            <w:r w:rsidR="00850C56" w:rsidRPr="002D21EA">
              <w:rPr>
                <w:bCs w:val="0"/>
              </w:rPr>
              <w:t xml:space="preserve"> </w:t>
            </w:r>
          </w:p>
        </w:tc>
      </w:tr>
      <w:tr w:rsidR="00850C56" w:rsidRPr="002D21EA" w14:paraId="40063B97" w14:textId="77777777" w:rsidTr="00174A07">
        <w:tc>
          <w:tcPr>
            <w:tcW w:w="2263" w:type="dxa"/>
            <w:tcBorders>
              <w:bottom w:val="single" w:sz="4" w:space="0" w:color="auto"/>
            </w:tcBorders>
            <w:shd w:val="clear" w:color="auto" w:fill="auto"/>
            <w:vAlign w:val="center"/>
          </w:tcPr>
          <w:p w14:paraId="0A67268F" w14:textId="77777777" w:rsidR="00850C56" w:rsidRPr="002D21EA" w:rsidRDefault="00850C56" w:rsidP="00174A07">
            <w:pPr>
              <w:pStyle w:val="TableText"/>
              <w:keepNext w:val="0"/>
              <w:widowControl w:val="0"/>
              <w:rPr>
                <w:lang w:eastAsia="en-US"/>
              </w:rPr>
            </w:pPr>
            <w:r w:rsidRPr="002D21EA">
              <w:rPr>
                <w:lang w:eastAsia="en-US"/>
              </w:rPr>
              <w:t>Faricimab uptake rate</w:t>
            </w:r>
          </w:p>
        </w:tc>
        <w:tc>
          <w:tcPr>
            <w:tcW w:w="1134" w:type="dxa"/>
            <w:tcBorders>
              <w:bottom w:val="single" w:sz="4" w:space="0" w:color="auto"/>
            </w:tcBorders>
            <w:shd w:val="clear" w:color="auto" w:fill="auto"/>
            <w:vAlign w:val="center"/>
          </w:tcPr>
          <w:p w14:paraId="323EF040" w14:textId="77777777" w:rsidR="00850C56" w:rsidRPr="002D21EA" w:rsidRDefault="00850C56" w:rsidP="00174A07">
            <w:pPr>
              <w:pStyle w:val="TableText"/>
              <w:keepNext w:val="0"/>
              <w:widowControl w:val="0"/>
              <w:jc w:val="center"/>
              <w:rPr>
                <w:bCs w:val="0"/>
                <w:lang w:eastAsia="en-US"/>
              </w:rPr>
            </w:pPr>
            <w:r w:rsidRPr="002D21EA">
              <w:rPr>
                <w:bCs w:val="0"/>
                <w:lang w:eastAsia="en-US"/>
              </w:rPr>
              <w:t>45%</w:t>
            </w:r>
          </w:p>
        </w:tc>
        <w:tc>
          <w:tcPr>
            <w:tcW w:w="1134" w:type="dxa"/>
            <w:tcBorders>
              <w:bottom w:val="single" w:sz="4" w:space="0" w:color="auto"/>
            </w:tcBorders>
            <w:shd w:val="clear" w:color="auto" w:fill="auto"/>
            <w:vAlign w:val="center"/>
          </w:tcPr>
          <w:p w14:paraId="339398D9" w14:textId="77777777" w:rsidR="00850C56" w:rsidRPr="002D21EA" w:rsidRDefault="00850C56" w:rsidP="00174A07">
            <w:pPr>
              <w:pStyle w:val="TableText"/>
              <w:keepNext w:val="0"/>
              <w:widowControl w:val="0"/>
              <w:jc w:val="center"/>
              <w:rPr>
                <w:bCs w:val="0"/>
                <w:lang w:eastAsia="en-US"/>
              </w:rPr>
            </w:pPr>
            <w:r w:rsidRPr="002D21EA">
              <w:rPr>
                <w:bCs w:val="0"/>
                <w:lang w:eastAsia="en-US"/>
              </w:rPr>
              <w:t>50%</w:t>
            </w:r>
          </w:p>
        </w:tc>
        <w:tc>
          <w:tcPr>
            <w:tcW w:w="1134" w:type="dxa"/>
            <w:tcBorders>
              <w:bottom w:val="single" w:sz="4" w:space="0" w:color="auto"/>
            </w:tcBorders>
            <w:shd w:val="clear" w:color="auto" w:fill="auto"/>
            <w:vAlign w:val="center"/>
          </w:tcPr>
          <w:p w14:paraId="405B8F41" w14:textId="77777777" w:rsidR="00850C56" w:rsidRPr="002D21EA" w:rsidRDefault="00850C56" w:rsidP="00174A07">
            <w:pPr>
              <w:pStyle w:val="TableText"/>
              <w:keepNext w:val="0"/>
              <w:widowControl w:val="0"/>
              <w:jc w:val="center"/>
              <w:rPr>
                <w:bCs w:val="0"/>
                <w:lang w:eastAsia="en-US"/>
              </w:rPr>
            </w:pPr>
            <w:r w:rsidRPr="002D21EA">
              <w:rPr>
                <w:bCs w:val="0"/>
                <w:lang w:eastAsia="en-US"/>
              </w:rPr>
              <w:t>55%</w:t>
            </w:r>
          </w:p>
        </w:tc>
        <w:tc>
          <w:tcPr>
            <w:tcW w:w="1134" w:type="dxa"/>
            <w:tcBorders>
              <w:bottom w:val="single" w:sz="4" w:space="0" w:color="auto"/>
            </w:tcBorders>
            <w:shd w:val="clear" w:color="auto" w:fill="auto"/>
            <w:vAlign w:val="center"/>
          </w:tcPr>
          <w:p w14:paraId="139382F6" w14:textId="77777777" w:rsidR="00850C56" w:rsidRPr="002D21EA" w:rsidRDefault="00850C56" w:rsidP="00174A07">
            <w:pPr>
              <w:pStyle w:val="TableText"/>
              <w:keepNext w:val="0"/>
              <w:widowControl w:val="0"/>
              <w:jc w:val="center"/>
              <w:rPr>
                <w:bCs w:val="0"/>
                <w:lang w:eastAsia="en-US"/>
              </w:rPr>
            </w:pPr>
            <w:r w:rsidRPr="002D21EA">
              <w:rPr>
                <w:bCs w:val="0"/>
                <w:lang w:eastAsia="en-US"/>
              </w:rPr>
              <w:t>60%</w:t>
            </w:r>
          </w:p>
        </w:tc>
        <w:tc>
          <w:tcPr>
            <w:tcW w:w="1134" w:type="dxa"/>
            <w:tcBorders>
              <w:bottom w:val="single" w:sz="4" w:space="0" w:color="auto"/>
            </w:tcBorders>
            <w:shd w:val="clear" w:color="auto" w:fill="auto"/>
            <w:vAlign w:val="center"/>
          </w:tcPr>
          <w:p w14:paraId="1D13E2BF" w14:textId="77777777" w:rsidR="00850C56" w:rsidRPr="002D21EA" w:rsidRDefault="00850C56" w:rsidP="00174A07">
            <w:pPr>
              <w:pStyle w:val="TableText"/>
              <w:keepNext w:val="0"/>
              <w:widowControl w:val="0"/>
              <w:jc w:val="center"/>
              <w:rPr>
                <w:bCs w:val="0"/>
                <w:lang w:eastAsia="en-US"/>
              </w:rPr>
            </w:pPr>
            <w:r w:rsidRPr="002D21EA">
              <w:rPr>
                <w:bCs w:val="0"/>
                <w:lang w:eastAsia="en-US"/>
              </w:rPr>
              <w:t>60%</w:t>
            </w:r>
          </w:p>
        </w:tc>
        <w:tc>
          <w:tcPr>
            <w:tcW w:w="1134" w:type="dxa"/>
            <w:tcBorders>
              <w:bottom w:val="single" w:sz="4" w:space="0" w:color="auto"/>
            </w:tcBorders>
            <w:shd w:val="clear" w:color="auto" w:fill="auto"/>
            <w:vAlign w:val="center"/>
          </w:tcPr>
          <w:p w14:paraId="1EEE88E3" w14:textId="77777777" w:rsidR="00850C56" w:rsidRPr="002D21EA" w:rsidRDefault="00850C56" w:rsidP="00174A07">
            <w:pPr>
              <w:pStyle w:val="TableText"/>
              <w:keepNext w:val="0"/>
              <w:widowControl w:val="0"/>
              <w:jc w:val="center"/>
              <w:rPr>
                <w:bCs w:val="0"/>
                <w:lang w:eastAsia="en-US"/>
              </w:rPr>
            </w:pPr>
            <w:r w:rsidRPr="002D21EA">
              <w:rPr>
                <w:bCs w:val="0"/>
                <w:lang w:eastAsia="en-US"/>
              </w:rPr>
              <w:t>60%</w:t>
            </w:r>
          </w:p>
        </w:tc>
      </w:tr>
      <w:tr w:rsidR="00850C56" w:rsidRPr="002D21EA" w14:paraId="32CED86E" w14:textId="77777777" w:rsidTr="00174A07">
        <w:tc>
          <w:tcPr>
            <w:tcW w:w="2263" w:type="dxa"/>
            <w:tcBorders>
              <w:top w:val="single" w:sz="4" w:space="0" w:color="auto"/>
              <w:bottom w:val="single" w:sz="4" w:space="0" w:color="auto"/>
              <w:right w:val="single" w:sz="4" w:space="0" w:color="auto"/>
            </w:tcBorders>
            <w:shd w:val="clear" w:color="auto" w:fill="auto"/>
            <w:vAlign w:val="center"/>
          </w:tcPr>
          <w:p w14:paraId="4A28E280" w14:textId="77777777" w:rsidR="00850C56" w:rsidRPr="002D21EA" w:rsidRDefault="00850C56" w:rsidP="00174A07">
            <w:pPr>
              <w:pStyle w:val="TableText"/>
              <w:keepNext w:val="0"/>
              <w:widowControl w:val="0"/>
              <w:rPr>
                <w:highlight w:val="yellow"/>
                <w:lang w:eastAsia="en-US"/>
              </w:rPr>
            </w:pPr>
            <w:r w:rsidRPr="002D21EA">
              <w:rPr>
                <w:lang w:eastAsia="en-US"/>
              </w:rPr>
              <w:t>Faricimab scripts (substituted scripts x 0.61)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862FC1" w14:textId="3788C4B0" w:rsidR="00850C56" w:rsidRPr="00B90C76" w:rsidRDefault="00755BDA" w:rsidP="00174A07">
            <w:pPr>
              <w:pStyle w:val="TableText"/>
              <w:jc w:val="center"/>
              <w:rPr>
                <w:vertAlign w:val="superscript"/>
              </w:rPr>
            </w:pPr>
            <w:r w:rsidRPr="00755BDA">
              <w:rPr>
                <w:color w:val="000000"/>
                <w:shd w:val="solid" w:color="000000" w:fill="000000"/>
                <w14:textFill>
                  <w14:solidFill>
                    <w14:srgbClr w14:val="000000">
                      <w14:alpha w14:val="100000"/>
                    </w14:srgbClr>
                  </w14:solidFill>
                </w14:textFill>
              </w:rPr>
              <w:t>|</w:t>
            </w:r>
            <w:r w:rsidR="00B90C76">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2BE21" w14:textId="3F121203" w:rsidR="00850C56" w:rsidRPr="00B90C76" w:rsidRDefault="00755BDA" w:rsidP="00174A07">
            <w:pPr>
              <w:pStyle w:val="TableText"/>
              <w:jc w:val="center"/>
              <w:rPr>
                <w:vertAlign w:val="superscript"/>
              </w:rPr>
            </w:pPr>
            <w:r w:rsidRPr="00755BDA">
              <w:rPr>
                <w:color w:val="000000"/>
                <w:shd w:val="solid" w:color="000000" w:fill="000000"/>
                <w14:textFill>
                  <w14:solidFill>
                    <w14:srgbClr w14:val="000000">
                      <w14:alpha w14:val="100000"/>
                    </w14:srgbClr>
                  </w14:solidFill>
                </w14:textFill>
              </w:rPr>
              <w:t>|</w:t>
            </w:r>
            <w:r w:rsidR="00B90C76">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4C89C" w14:textId="03262BD6" w:rsidR="00850C56" w:rsidRPr="00B90C76" w:rsidRDefault="00755BDA" w:rsidP="00174A07">
            <w:pPr>
              <w:pStyle w:val="TableText"/>
              <w:jc w:val="center"/>
              <w:rPr>
                <w:vertAlign w:val="superscript"/>
              </w:rPr>
            </w:pPr>
            <w:r w:rsidRPr="00755BDA">
              <w:rPr>
                <w:color w:val="000000"/>
                <w:shd w:val="solid" w:color="000000" w:fill="000000"/>
                <w14:textFill>
                  <w14:solidFill>
                    <w14:srgbClr w14:val="000000">
                      <w14:alpha w14:val="100000"/>
                    </w14:srgbClr>
                  </w14:solidFill>
                </w14:textFill>
              </w:rPr>
              <w:t>|</w:t>
            </w:r>
            <w:r w:rsidR="00B90C76">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0F398" w14:textId="17237CA5" w:rsidR="00850C56" w:rsidRPr="00B90C76" w:rsidRDefault="00755BDA" w:rsidP="00174A07">
            <w:pPr>
              <w:pStyle w:val="TableText"/>
              <w:jc w:val="center"/>
              <w:rPr>
                <w:vertAlign w:val="superscript"/>
              </w:rPr>
            </w:pPr>
            <w:r w:rsidRPr="00755BDA">
              <w:rPr>
                <w:color w:val="000000"/>
                <w:shd w:val="solid" w:color="000000" w:fill="000000"/>
                <w14:textFill>
                  <w14:solidFill>
                    <w14:srgbClr w14:val="000000">
                      <w14:alpha w14:val="100000"/>
                    </w14:srgbClr>
                  </w14:solidFill>
                </w14:textFill>
              </w:rPr>
              <w:t>|</w:t>
            </w:r>
            <w:r w:rsidR="00B90C76">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7DEFD9" w14:textId="31EF4E4E" w:rsidR="00850C56" w:rsidRPr="00B90C76" w:rsidRDefault="00755BDA" w:rsidP="00174A07">
            <w:pPr>
              <w:pStyle w:val="TableText"/>
              <w:jc w:val="center"/>
              <w:rPr>
                <w:vertAlign w:val="superscript"/>
              </w:rPr>
            </w:pPr>
            <w:r w:rsidRPr="00755BDA">
              <w:rPr>
                <w:color w:val="000000"/>
                <w:shd w:val="solid" w:color="000000" w:fill="000000"/>
                <w14:textFill>
                  <w14:solidFill>
                    <w14:srgbClr w14:val="000000">
                      <w14:alpha w14:val="100000"/>
                    </w14:srgbClr>
                  </w14:solidFill>
                </w14:textFill>
              </w:rPr>
              <w:t>|</w:t>
            </w:r>
            <w:r w:rsidR="00B90C76">
              <w:rPr>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674BAC" w14:textId="654196CA" w:rsidR="00850C56" w:rsidRPr="00B90C76" w:rsidRDefault="00755BDA" w:rsidP="00174A07">
            <w:pPr>
              <w:pStyle w:val="TableText"/>
              <w:jc w:val="center"/>
              <w:rPr>
                <w:vertAlign w:val="superscript"/>
              </w:rPr>
            </w:pPr>
            <w:r w:rsidRPr="00755BDA">
              <w:rPr>
                <w:color w:val="000000"/>
                <w:shd w:val="solid" w:color="000000" w:fill="000000"/>
                <w14:textFill>
                  <w14:solidFill>
                    <w14:srgbClr w14:val="000000">
                      <w14:alpha w14:val="100000"/>
                    </w14:srgbClr>
                  </w14:solidFill>
                </w14:textFill>
              </w:rPr>
              <w:t>|</w:t>
            </w:r>
            <w:r w:rsidR="00B90C76">
              <w:rPr>
                <w:vertAlign w:val="superscript"/>
              </w:rPr>
              <w:t>2</w:t>
            </w:r>
          </w:p>
        </w:tc>
      </w:tr>
      <w:tr w:rsidR="00850C56" w:rsidRPr="002D21EA" w14:paraId="5E0BAA39" w14:textId="77777777" w:rsidTr="00174A07">
        <w:tc>
          <w:tcPr>
            <w:tcW w:w="2263" w:type="dxa"/>
            <w:tcBorders>
              <w:top w:val="single" w:sz="4" w:space="0" w:color="auto"/>
              <w:bottom w:val="single" w:sz="4" w:space="0" w:color="auto"/>
              <w:right w:val="single" w:sz="4" w:space="0" w:color="auto"/>
            </w:tcBorders>
            <w:vAlign w:val="center"/>
          </w:tcPr>
          <w:p w14:paraId="4451D0B9" w14:textId="77777777" w:rsidR="00850C56" w:rsidRPr="002D21EA" w:rsidRDefault="00850C56" w:rsidP="00174A07">
            <w:pPr>
              <w:pStyle w:val="TableText"/>
              <w:keepNext w:val="0"/>
              <w:widowControl w:val="0"/>
              <w:rPr>
                <w:highlight w:val="yellow"/>
                <w:lang w:eastAsia="en-US"/>
              </w:rPr>
            </w:pPr>
            <w:r w:rsidRPr="002D21EA">
              <w:t>Cost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C11E1B" w14:textId="54FA073B" w:rsidR="00850C56" w:rsidRPr="00B90C76"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B90C76" w:rsidRPr="00B90C76">
              <w:rPr>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AC9D91" w14:textId="78DD1DF2" w:rsidR="00850C56" w:rsidRPr="00B90C76"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B90C76" w:rsidRPr="00B90C76">
              <w:rPr>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5A083" w14:textId="797CE1A2" w:rsidR="00850C56" w:rsidRPr="00B90C76"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B90C76" w:rsidRPr="00B90C76">
              <w:rPr>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B9D74" w14:textId="6FC0EEB6" w:rsidR="00850C56" w:rsidRPr="00B90C76"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B90C76" w:rsidRPr="00B90C76">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243925" w14:textId="0301689E" w:rsidR="00850C56" w:rsidRPr="00B90C76"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B90C76" w:rsidRPr="00B90C76">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B0F74A" w14:textId="4798F1F8" w:rsidR="00850C56" w:rsidRPr="00B90C76"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B90C76" w:rsidRPr="00B90C76">
              <w:rPr>
                <w:vertAlign w:val="superscript"/>
              </w:rPr>
              <w:t>7</w:t>
            </w:r>
          </w:p>
        </w:tc>
      </w:tr>
      <w:tr w:rsidR="00850C56" w:rsidRPr="002D21EA" w14:paraId="15759F46" w14:textId="77777777" w:rsidTr="00174A07">
        <w:tc>
          <w:tcPr>
            <w:tcW w:w="2263" w:type="dxa"/>
            <w:tcBorders>
              <w:top w:val="single" w:sz="4" w:space="0" w:color="auto"/>
              <w:bottom w:val="single" w:sz="4" w:space="0" w:color="auto"/>
              <w:right w:val="single" w:sz="4" w:space="0" w:color="auto"/>
            </w:tcBorders>
            <w:vAlign w:val="center"/>
          </w:tcPr>
          <w:p w14:paraId="008E2C78" w14:textId="77777777" w:rsidR="00850C56" w:rsidRPr="002D21EA" w:rsidRDefault="00850C56" w:rsidP="00174A07">
            <w:pPr>
              <w:pStyle w:val="TableText"/>
              <w:keepNext w:val="0"/>
              <w:widowControl w:val="0"/>
              <w:rPr>
                <w:highlight w:val="yellow"/>
                <w:lang w:eastAsia="en-US"/>
              </w:rPr>
            </w:pPr>
            <w:r w:rsidRPr="002D21EA">
              <w:t>Less patient co-payments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4CB050" w14:textId="6B0160BE" w:rsidR="00850C56" w:rsidRPr="000065AD"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14DA29" w14:textId="44A4D6BB" w:rsidR="00850C56" w:rsidRPr="000065AD"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227D1" w14:textId="18DBDBEE" w:rsidR="00850C56" w:rsidRPr="000065AD"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BE5D5D" w14:textId="039211D8" w:rsidR="00850C56" w:rsidRPr="000065AD"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10637F" w14:textId="4F645E86" w:rsidR="00850C56" w:rsidRPr="000065AD"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C5C725" w14:textId="6A2B6164" w:rsidR="00850C56" w:rsidRPr="000065AD" w:rsidRDefault="00850C56" w:rsidP="00174A07">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r>
      <w:tr w:rsidR="00850C56" w:rsidRPr="002D21EA" w14:paraId="20739D9A" w14:textId="77777777" w:rsidTr="00174A07">
        <w:tc>
          <w:tcPr>
            <w:tcW w:w="2263" w:type="dxa"/>
            <w:tcBorders>
              <w:top w:val="single" w:sz="4" w:space="0" w:color="auto"/>
            </w:tcBorders>
          </w:tcPr>
          <w:p w14:paraId="5C6C092F" w14:textId="77777777" w:rsidR="00850C56" w:rsidRPr="002D21EA" w:rsidRDefault="00850C56" w:rsidP="00174A07">
            <w:pPr>
              <w:pStyle w:val="TableText"/>
              <w:keepNext w:val="0"/>
              <w:widowControl w:val="0"/>
              <w:rPr>
                <w:lang w:eastAsia="en-US"/>
              </w:rPr>
            </w:pPr>
            <w:r w:rsidRPr="002D21EA">
              <w:rPr>
                <w:b/>
              </w:rPr>
              <w:t>Total net cost to PBS/RPBS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9383A" w14:textId="76552F6D" w:rsidR="00850C56" w:rsidRPr="000065AD" w:rsidRDefault="00850C56" w:rsidP="00174A07">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0065AD">
              <w:rPr>
                <w:vertAlign w:val="superscript"/>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1DECEFA" w14:textId="67E212F0" w:rsidR="00850C56" w:rsidRPr="000065AD" w:rsidRDefault="00850C56" w:rsidP="00174A07">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0065AD">
              <w:rPr>
                <w:vertAlign w:val="superscript"/>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BB738B8" w14:textId="510F08DB" w:rsidR="00850C56" w:rsidRPr="000065AD" w:rsidRDefault="00850C56" w:rsidP="00174A07">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0065AD">
              <w:rPr>
                <w:vertAlign w:val="superscript"/>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F07B3E7" w14:textId="77DFD4D9" w:rsidR="00850C56" w:rsidRPr="000065AD" w:rsidRDefault="00850C56" w:rsidP="00174A07">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0065AD">
              <w:rPr>
                <w:vertAlign w:val="superscript"/>
              </w:rPr>
              <w:t>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58D5C37" w14:textId="4B74521B" w:rsidR="00850C56" w:rsidRPr="000065AD" w:rsidRDefault="00850C56" w:rsidP="00174A07">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0065AD">
              <w:rPr>
                <w:vertAlign w:val="superscript"/>
              </w:rPr>
              <w:t>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B1785C5" w14:textId="2AC73F17" w:rsidR="00850C56" w:rsidRPr="000065AD" w:rsidRDefault="00850C56" w:rsidP="00174A07">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0065AD">
              <w:rPr>
                <w:vertAlign w:val="superscript"/>
              </w:rPr>
              <w:t>7</w:t>
            </w:r>
          </w:p>
        </w:tc>
      </w:tr>
      <w:tr w:rsidR="007871E1" w:rsidRPr="002D21EA" w14:paraId="7CB72692" w14:textId="77777777" w:rsidTr="00174A07">
        <w:tc>
          <w:tcPr>
            <w:tcW w:w="2263" w:type="dxa"/>
            <w:shd w:val="clear" w:color="auto" w:fill="auto"/>
            <w:vAlign w:val="center"/>
          </w:tcPr>
          <w:p w14:paraId="0E71D7EB" w14:textId="77777777" w:rsidR="007871E1" w:rsidRPr="002D21EA" w:rsidRDefault="007871E1" w:rsidP="007871E1">
            <w:pPr>
              <w:pStyle w:val="TableText"/>
              <w:keepLines/>
              <w:widowControl w:val="0"/>
              <w:rPr>
                <w:b/>
                <w:bCs w:val="0"/>
                <w:szCs w:val="20"/>
                <w:highlight w:val="yellow"/>
                <w:lang w:eastAsia="en-US"/>
              </w:rPr>
            </w:pPr>
            <w:r w:rsidRPr="002D21EA">
              <w:t>Displaced ranibizumab scripts</w:t>
            </w:r>
          </w:p>
        </w:tc>
        <w:tc>
          <w:tcPr>
            <w:tcW w:w="1134" w:type="dxa"/>
            <w:shd w:val="clear" w:color="auto" w:fill="auto"/>
          </w:tcPr>
          <w:p w14:paraId="407503F9" w14:textId="524F7594"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9</w:t>
            </w:r>
            <w:r w:rsidRPr="002D21EA">
              <w:t xml:space="preserve"> </w:t>
            </w:r>
          </w:p>
        </w:tc>
        <w:tc>
          <w:tcPr>
            <w:tcW w:w="1134" w:type="dxa"/>
            <w:shd w:val="clear" w:color="auto" w:fill="auto"/>
          </w:tcPr>
          <w:p w14:paraId="64264ABC" w14:textId="6C26AF22"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10</w:t>
            </w:r>
            <w:r w:rsidRPr="002D21EA">
              <w:t xml:space="preserve"> </w:t>
            </w:r>
          </w:p>
        </w:tc>
        <w:tc>
          <w:tcPr>
            <w:tcW w:w="1134" w:type="dxa"/>
            <w:shd w:val="clear" w:color="auto" w:fill="auto"/>
          </w:tcPr>
          <w:p w14:paraId="2C0E01FD" w14:textId="5567BB01"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1</w:t>
            </w:r>
            <w:r w:rsidRPr="002D21EA">
              <w:t xml:space="preserve"> </w:t>
            </w:r>
          </w:p>
        </w:tc>
        <w:tc>
          <w:tcPr>
            <w:tcW w:w="1134" w:type="dxa"/>
            <w:shd w:val="clear" w:color="auto" w:fill="auto"/>
          </w:tcPr>
          <w:p w14:paraId="306F0BC5" w14:textId="27F5499D"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1</w:t>
            </w:r>
            <w:r w:rsidRPr="002D21EA">
              <w:t xml:space="preserve"> </w:t>
            </w:r>
          </w:p>
        </w:tc>
        <w:tc>
          <w:tcPr>
            <w:tcW w:w="1134" w:type="dxa"/>
            <w:shd w:val="clear" w:color="auto" w:fill="auto"/>
          </w:tcPr>
          <w:p w14:paraId="2F235BA2" w14:textId="48502B48"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1</w:t>
            </w:r>
            <w:r w:rsidRPr="002D21EA">
              <w:t xml:space="preserve"> </w:t>
            </w:r>
          </w:p>
        </w:tc>
        <w:tc>
          <w:tcPr>
            <w:tcW w:w="1134" w:type="dxa"/>
            <w:shd w:val="clear" w:color="auto" w:fill="auto"/>
          </w:tcPr>
          <w:p w14:paraId="7A7F323C" w14:textId="4342140A"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1</w:t>
            </w:r>
            <w:r w:rsidRPr="002D21EA">
              <w:t xml:space="preserve"> </w:t>
            </w:r>
          </w:p>
        </w:tc>
      </w:tr>
      <w:tr w:rsidR="007871E1" w:rsidRPr="002D21EA" w14:paraId="7B2A9E6B" w14:textId="77777777" w:rsidTr="00174A07">
        <w:tc>
          <w:tcPr>
            <w:tcW w:w="2263" w:type="dxa"/>
            <w:shd w:val="clear" w:color="auto" w:fill="auto"/>
            <w:vAlign w:val="center"/>
          </w:tcPr>
          <w:p w14:paraId="194FBC22" w14:textId="77777777" w:rsidR="007871E1" w:rsidRPr="002D21EA" w:rsidRDefault="007871E1" w:rsidP="007871E1">
            <w:pPr>
              <w:pStyle w:val="TableText"/>
              <w:keepLines/>
              <w:widowControl w:val="0"/>
              <w:rPr>
                <w:b/>
                <w:bCs w:val="0"/>
                <w:szCs w:val="20"/>
                <w:highlight w:val="yellow"/>
                <w:lang w:eastAsia="en-US"/>
              </w:rPr>
            </w:pPr>
            <w:r w:rsidRPr="002D21EA">
              <w:t>Displaced aflibercept scripts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F11907" w14:textId="569D110C"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1</w:t>
            </w:r>
            <w:r w:rsidRPr="002D21EA">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1659EF9F" w14:textId="6569380E"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1</w:t>
            </w:r>
            <w:r w:rsidRPr="002D21EA">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134A6495" w14:textId="789BACB6"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1</w:t>
            </w:r>
            <w:r w:rsidRPr="002D21EA">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280155FD" w14:textId="7EEAC7B7"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1</w:t>
            </w:r>
            <w:r w:rsidRPr="002D21EA">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564C84AE" w14:textId="644DDF8D"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2</w:t>
            </w:r>
            <w:r w:rsidRPr="002D21EA">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508AE2C6" w14:textId="52B1A048" w:rsidR="007871E1" w:rsidRPr="002D21EA" w:rsidRDefault="007871E1" w:rsidP="007871E1">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0065AD">
              <w:rPr>
                <w:vertAlign w:val="superscript"/>
              </w:rPr>
              <w:t>2</w:t>
            </w:r>
            <w:r w:rsidRPr="002D21EA">
              <w:t xml:space="preserve"> </w:t>
            </w:r>
          </w:p>
        </w:tc>
      </w:tr>
      <w:tr w:rsidR="00850C56" w:rsidRPr="002D21EA" w14:paraId="0A9C4EF6" w14:textId="77777777" w:rsidTr="00174A07">
        <w:tc>
          <w:tcPr>
            <w:tcW w:w="2263" w:type="dxa"/>
            <w:shd w:val="clear" w:color="auto" w:fill="auto"/>
            <w:vAlign w:val="center"/>
          </w:tcPr>
          <w:p w14:paraId="2D0C5C91" w14:textId="77777777" w:rsidR="00850C56" w:rsidRPr="002D21EA" w:rsidRDefault="00850C56" w:rsidP="00174A07">
            <w:pPr>
              <w:pStyle w:val="TableText"/>
              <w:keepLines/>
              <w:widowControl w:val="0"/>
              <w:rPr>
                <w:b/>
                <w:bCs w:val="0"/>
                <w:szCs w:val="20"/>
                <w:highlight w:val="yellow"/>
                <w:lang w:eastAsia="en-US"/>
              </w:rPr>
            </w:pPr>
            <w:r w:rsidRPr="002D21EA">
              <w:rPr>
                <w:lang w:eastAsia="en-US"/>
              </w:rPr>
              <w:t>Total displaced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47FD84" w14:textId="11EFBD61"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D59ECC" w14:textId="2E12F791"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39DCE4" w14:textId="107EDA74"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DBD612" w14:textId="157FBBB8"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B02FB5" w14:textId="151572E7"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22EAF3" w14:textId="50708FDA"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3</w:t>
            </w:r>
          </w:p>
        </w:tc>
      </w:tr>
      <w:tr w:rsidR="00850C56" w:rsidRPr="002D21EA" w14:paraId="32BC1970" w14:textId="77777777" w:rsidTr="00174A07">
        <w:tc>
          <w:tcPr>
            <w:tcW w:w="2263" w:type="dxa"/>
            <w:shd w:val="clear" w:color="auto" w:fill="auto"/>
            <w:vAlign w:val="center"/>
          </w:tcPr>
          <w:p w14:paraId="298DEF50" w14:textId="77777777" w:rsidR="00850C56" w:rsidRPr="002D21EA" w:rsidRDefault="00850C56" w:rsidP="00174A07">
            <w:pPr>
              <w:pStyle w:val="TableText"/>
              <w:keepLines/>
              <w:widowControl w:val="0"/>
              <w:rPr>
                <w:b/>
                <w:bCs w:val="0"/>
                <w:szCs w:val="20"/>
                <w:highlight w:val="yellow"/>
                <w:lang w:eastAsia="en-US"/>
              </w:rPr>
            </w:pPr>
            <w:r w:rsidRPr="002D21EA">
              <w:rPr>
                <w:lang w:eastAsia="en-US"/>
              </w:rPr>
              <w:t>Offsets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228F87" w14:textId="5C2CEA90"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tcPr>
          <w:p w14:paraId="59E9021C" w14:textId="66EF5AB2"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tcPr>
          <w:p w14:paraId="5B02E4BB" w14:textId="18677FD3"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tcPr>
          <w:p w14:paraId="190DBDBE" w14:textId="32FBD7BD"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11</w:t>
            </w:r>
          </w:p>
        </w:tc>
        <w:tc>
          <w:tcPr>
            <w:tcW w:w="1134" w:type="dxa"/>
            <w:tcBorders>
              <w:top w:val="single" w:sz="4" w:space="0" w:color="auto"/>
              <w:left w:val="nil"/>
              <w:bottom w:val="single" w:sz="4" w:space="0" w:color="auto"/>
              <w:right w:val="single" w:sz="4" w:space="0" w:color="auto"/>
            </w:tcBorders>
            <w:shd w:val="clear" w:color="auto" w:fill="auto"/>
          </w:tcPr>
          <w:p w14:paraId="3F34D367" w14:textId="78578FAD"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11</w:t>
            </w:r>
          </w:p>
        </w:tc>
        <w:tc>
          <w:tcPr>
            <w:tcW w:w="1134" w:type="dxa"/>
            <w:tcBorders>
              <w:top w:val="single" w:sz="4" w:space="0" w:color="auto"/>
              <w:left w:val="nil"/>
              <w:bottom w:val="single" w:sz="4" w:space="0" w:color="auto"/>
              <w:right w:val="single" w:sz="4" w:space="0" w:color="auto"/>
            </w:tcBorders>
            <w:shd w:val="clear" w:color="auto" w:fill="auto"/>
          </w:tcPr>
          <w:p w14:paraId="689EE4CA" w14:textId="6DDB10BF" w:rsidR="00850C56" w:rsidRPr="000065AD" w:rsidRDefault="00850C56" w:rsidP="00174A07">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11</w:t>
            </w:r>
          </w:p>
        </w:tc>
      </w:tr>
      <w:tr w:rsidR="00850C56" w:rsidRPr="002D21EA" w14:paraId="32BFE312" w14:textId="77777777" w:rsidTr="00174A07">
        <w:tc>
          <w:tcPr>
            <w:tcW w:w="2263" w:type="dxa"/>
            <w:shd w:val="clear" w:color="auto" w:fill="auto"/>
            <w:vAlign w:val="center"/>
          </w:tcPr>
          <w:p w14:paraId="7528A16B" w14:textId="77777777" w:rsidR="00850C56" w:rsidRPr="002D21EA" w:rsidRDefault="00850C56" w:rsidP="00174A07">
            <w:pPr>
              <w:pStyle w:val="TableText"/>
              <w:keepLines/>
              <w:widowControl w:val="0"/>
              <w:rPr>
                <w:b/>
                <w:bCs w:val="0"/>
                <w:szCs w:val="20"/>
                <w:highlight w:val="yellow"/>
                <w:lang w:eastAsia="en-US"/>
              </w:rPr>
            </w:pPr>
            <w:r w:rsidRPr="002D21EA">
              <w:rPr>
                <w:lang w:eastAsia="en-US"/>
              </w:rPr>
              <w:t>Less patient co-payments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58DDE" w14:textId="64F6A229" w:rsidR="00850C56" w:rsidRPr="000065AD"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E04B33" w14:textId="53AEE82D" w:rsidR="00850C56" w:rsidRPr="000065AD"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B1BD4B" w14:textId="62FC93AD" w:rsidR="00850C56" w:rsidRPr="000065AD"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B7B0F3" w14:textId="3AD37AC8" w:rsidR="00850C56" w:rsidRPr="000065AD"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0C37C9" w14:textId="5BD04908" w:rsidR="00850C56" w:rsidRPr="000065AD"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C50E3C" w14:textId="6311E05F" w:rsidR="00850C56" w:rsidRPr="000065AD"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0065AD" w:rsidRPr="000065AD">
              <w:rPr>
                <w:vertAlign w:val="superscript"/>
              </w:rPr>
              <w:t>8</w:t>
            </w:r>
          </w:p>
        </w:tc>
      </w:tr>
      <w:tr w:rsidR="00850C56" w:rsidRPr="002D21EA" w14:paraId="2DA038BD" w14:textId="77777777" w:rsidTr="00174A07">
        <w:tc>
          <w:tcPr>
            <w:tcW w:w="2263" w:type="dxa"/>
            <w:shd w:val="clear" w:color="auto" w:fill="auto"/>
            <w:vAlign w:val="center"/>
          </w:tcPr>
          <w:p w14:paraId="06770A20" w14:textId="77777777" w:rsidR="00850C56" w:rsidRPr="002D21EA" w:rsidRDefault="00850C56" w:rsidP="00174A07">
            <w:pPr>
              <w:pStyle w:val="TableText"/>
              <w:keepLines/>
              <w:widowControl w:val="0"/>
              <w:rPr>
                <w:b/>
                <w:bCs w:val="0"/>
                <w:szCs w:val="20"/>
                <w:highlight w:val="yellow"/>
                <w:lang w:eastAsia="en-US"/>
              </w:rPr>
            </w:pPr>
            <w:r w:rsidRPr="002D21EA">
              <w:rPr>
                <w:b/>
                <w:lang w:eastAsia="en-US"/>
              </w:rPr>
              <w:t>Net offsets to PBS/RPBS</w:t>
            </w:r>
          </w:p>
        </w:tc>
        <w:tc>
          <w:tcPr>
            <w:tcW w:w="1134" w:type="dxa"/>
            <w:tcBorders>
              <w:top w:val="single" w:sz="4" w:space="0" w:color="auto"/>
              <w:left w:val="nil"/>
              <w:bottom w:val="single" w:sz="4" w:space="0" w:color="auto"/>
              <w:right w:val="single" w:sz="4" w:space="0" w:color="auto"/>
            </w:tcBorders>
            <w:shd w:val="clear" w:color="auto" w:fill="auto"/>
          </w:tcPr>
          <w:p w14:paraId="1FCC2646" w14:textId="20515D1A" w:rsidR="00850C56" w:rsidRPr="000065AD" w:rsidRDefault="00850C56" w:rsidP="00174A07">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0065AD" w:rsidRPr="000065AD">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E50B31" w14:textId="0B54DD58" w:rsidR="00850C56" w:rsidRPr="000065AD" w:rsidRDefault="00850C56" w:rsidP="00174A07">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0065AD" w:rsidRPr="000065AD">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EB46BE" w14:textId="32230BF9" w:rsidR="00850C56" w:rsidRPr="000065AD" w:rsidRDefault="00850C56" w:rsidP="00174A07">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0065AD" w:rsidRPr="000065AD">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05CF3F" w14:textId="5D43CBEE" w:rsidR="00850C56" w:rsidRPr="000065AD" w:rsidRDefault="00850C56" w:rsidP="00174A07">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0065AD" w:rsidRPr="000065AD">
              <w:rPr>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EC9734" w14:textId="5646DB79" w:rsidR="00850C56" w:rsidRPr="00E02862" w:rsidRDefault="00850C56" w:rsidP="00174A07">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E02862" w:rsidRPr="00E02862">
              <w:rPr>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716E46" w14:textId="766C5C29" w:rsidR="00850C56" w:rsidRPr="00E02862" w:rsidRDefault="00850C56" w:rsidP="00174A07">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E02862" w:rsidRPr="00E02862">
              <w:rPr>
                <w:vertAlign w:val="superscript"/>
              </w:rPr>
              <w:t>11</w:t>
            </w:r>
          </w:p>
        </w:tc>
      </w:tr>
      <w:tr w:rsidR="00850C56" w:rsidRPr="002D21EA" w14:paraId="54A3BA7D" w14:textId="77777777" w:rsidTr="00174A07">
        <w:tc>
          <w:tcPr>
            <w:tcW w:w="2263" w:type="dxa"/>
            <w:shd w:val="clear" w:color="auto" w:fill="auto"/>
            <w:vAlign w:val="center"/>
          </w:tcPr>
          <w:p w14:paraId="76AD852C" w14:textId="77777777" w:rsidR="00850C56" w:rsidRPr="002D21EA" w:rsidRDefault="00850C56" w:rsidP="00174A07">
            <w:pPr>
              <w:pStyle w:val="TableText"/>
              <w:keepLines/>
              <w:widowControl w:val="0"/>
              <w:rPr>
                <w:b/>
                <w:bCs w:val="0"/>
                <w:szCs w:val="20"/>
                <w:highlight w:val="yellow"/>
                <w:lang w:eastAsia="en-US"/>
              </w:rPr>
            </w:pPr>
            <w:r w:rsidRPr="002D21EA">
              <w:rPr>
                <w:b/>
                <w:lang w:eastAsia="en-US"/>
              </w:rPr>
              <w:t>Net cost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DAD301" w14:textId="2CE611EA"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12</w:t>
            </w:r>
          </w:p>
        </w:tc>
        <w:tc>
          <w:tcPr>
            <w:tcW w:w="1134" w:type="dxa"/>
            <w:tcBorders>
              <w:top w:val="single" w:sz="4" w:space="0" w:color="auto"/>
              <w:left w:val="nil"/>
              <w:bottom w:val="single" w:sz="4" w:space="0" w:color="auto"/>
              <w:right w:val="single" w:sz="4" w:space="0" w:color="auto"/>
            </w:tcBorders>
            <w:shd w:val="clear" w:color="auto" w:fill="auto"/>
          </w:tcPr>
          <w:p w14:paraId="5ADDCE77" w14:textId="34FE67FB"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tcPr>
          <w:p w14:paraId="0A4683E0" w14:textId="5417EB17"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CA6A8B">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4E3DD748" w14:textId="0B2466CF"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3578B3C2" w14:textId="694E780F"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7294E1B4" w14:textId="29CD8A8B"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6</w:t>
            </w:r>
          </w:p>
        </w:tc>
      </w:tr>
      <w:tr w:rsidR="00850C56" w:rsidRPr="002D21EA" w14:paraId="6BD7346D" w14:textId="77777777" w:rsidTr="00174A07">
        <w:tc>
          <w:tcPr>
            <w:tcW w:w="2263" w:type="dxa"/>
            <w:shd w:val="clear" w:color="auto" w:fill="auto"/>
            <w:vAlign w:val="center"/>
          </w:tcPr>
          <w:p w14:paraId="2836303E" w14:textId="77777777" w:rsidR="00850C56" w:rsidRPr="002D21EA" w:rsidRDefault="00850C56" w:rsidP="00174A07">
            <w:pPr>
              <w:pStyle w:val="TableText"/>
              <w:keepLines/>
              <w:widowControl w:val="0"/>
              <w:rPr>
                <w:szCs w:val="20"/>
                <w:lang w:eastAsia="en-US"/>
              </w:rPr>
            </w:pPr>
            <w:r w:rsidRPr="002D21EA">
              <w:rPr>
                <w:szCs w:val="20"/>
                <w:lang w:eastAsia="en-US"/>
              </w:rPr>
              <w:t>MBS costs faricimab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E58467" w14:textId="6A63E12A"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154102" w14:textId="0818A0E4"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6B982E" w14:textId="5BB17A19"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BA0E3A" w14:textId="2CF81421"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C0A807" w14:textId="24BEE6DF"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FAF008" w14:textId="69270729"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6</w:t>
            </w:r>
          </w:p>
        </w:tc>
      </w:tr>
      <w:tr w:rsidR="00850C56" w:rsidRPr="002D21EA" w14:paraId="05DD3D25" w14:textId="77777777" w:rsidTr="00174A07">
        <w:tc>
          <w:tcPr>
            <w:tcW w:w="2263" w:type="dxa"/>
            <w:shd w:val="clear" w:color="auto" w:fill="auto"/>
            <w:vAlign w:val="center"/>
          </w:tcPr>
          <w:p w14:paraId="3A032B6A" w14:textId="77777777" w:rsidR="00850C56" w:rsidRPr="002D21EA" w:rsidRDefault="00850C56" w:rsidP="00174A07">
            <w:pPr>
              <w:pStyle w:val="TableText"/>
              <w:keepLines/>
              <w:widowControl w:val="0"/>
              <w:rPr>
                <w:szCs w:val="20"/>
                <w:lang w:eastAsia="en-US"/>
              </w:rPr>
            </w:pPr>
            <w:r w:rsidRPr="002D21EA">
              <w:rPr>
                <w:szCs w:val="20"/>
                <w:lang w:eastAsia="en-US"/>
              </w:rPr>
              <w:t>MBS cost offsets ranibizumab/aflibercept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5580D" w14:textId="2BB998C0"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2FBCB2" w14:textId="166EED4D"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66C791" w14:textId="3F50C526"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02C36B" w14:textId="0C68DA18"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0FAD20" w14:textId="0FE09263"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716284" w14:textId="582AFC5D" w:rsidR="00850C56" w:rsidRPr="00E02862" w:rsidRDefault="00850C56" w:rsidP="00174A07">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02862" w:rsidRPr="00E02862">
              <w:rPr>
                <w:vertAlign w:val="superscript"/>
              </w:rPr>
              <w:t>7</w:t>
            </w:r>
          </w:p>
        </w:tc>
      </w:tr>
      <w:tr w:rsidR="00850C56" w:rsidRPr="002D21EA" w14:paraId="3A1A28B0" w14:textId="77777777" w:rsidTr="00174A07">
        <w:tc>
          <w:tcPr>
            <w:tcW w:w="2263" w:type="dxa"/>
            <w:shd w:val="clear" w:color="auto" w:fill="auto"/>
            <w:vAlign w:val="center"/>
          </w:tcPr>
          <w:p w14:paraId="137F758F" w14:textId="77777777" w:rsidR="00850C56" w:rsidRPr="002D21EA" w:rsidRDefault="00850C56" w:rsidP="00174A07">
            <w:pPr>
              <w:pStyle w:val="TableText"/>
              <w:keepLines/>
              <w:widowControl w:val="0"/>
              <w:rPr>
                <w:b/>
                <w:bCs w:val="0"/>
                <w:szCs w:val="20"/>
                <w:lang w:eastAsia="en-US"/>
              </w:rPr>
            </w:pPr>
            <w:r w:rsidRPr="002D21EA">
              <w:rPr>
                <w:b/>
                <w:bCs w:val="0"/>
                <w:szCs w:val="20"/>
                <w:lang w:eastAsia="en-US"/>
              </w:rPr>
              <w:t>Net cost to MBS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CD9C82" w14:textId="262EDD24"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F9EB7D" w14:textId="04C3FE35"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CBE018" w14:textId="2E39C884"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60CFB5" w14:textId="1DEB64F0"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0D4E89" w14:textId="51E861A0"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8ABA4E" w14:textId="3ED6AD5A"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6</w:t>
            </w:r>
          </w:p>
        </w:tc>
      </w:tr>
      <w:tr w:rsidR="00850C56" w:rsidRPr="002D21EA" w14:paraId="237B5CF7" w14:textId="77777777" w:rsidTr="00174A07">
        <w:tc>
          <w:tcPr>
            <w:tcW w:w="2263" w:type="dxa"/>
            <w:shd w:val="clear" w:color="auto" w:fill="auto"/>
            <w:vAlign w:val="center"/>
          </w:tcPr>
          <w:p w14:paraId="1897C66D" w14:textId="77777777" w:rsidR="00850C56" w:rsidRPr="002D21EA" w:rsidRDefault="00850C56" w:rsidP="00174A07">
            <w:pPr>
              <w:pStyle w:val="TableText"/>
              <w:keepLines/>
              <w:widowControl w:val="0"/>
              <w:rPr>
                <w:b/>
                <w:bCs w:val="0"/>
                <w:szCs w:val="20"/>
                <w:lang w:eastAsia="en-US"/>
              </w:rPr>
            </w:pPr>
            <w:r w:rsidRPr="002D21EA">
              <w:rPr>
                <w:b/>
                <w:bCs w:val="0"/>
                <w:szCs w:val="20"/>
                <w:lang w:eastAsia="en-US"/>
              </w:rPr>
              <w:t>Overall Net cost to Gov’t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A3F8F3" w14:textId="21B5DB71"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5A924257" w14:textId="7405CED7"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3807E90F" w14:textId="2C2A6F31" w:rsidR="00850C56" w:rsidRPr="00E02862"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02862" w:rsidRPr="00E02862">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2284BC0B" w14:textId="7916F50C" w:rsidR="00850C56" w:rsidRPr="00485200"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485200" w:rsidRPr="00485200">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tcPr>
          <w:p w14:paraId="592EB26F" w14:textId="676B1C73" w:rsidR="00850C56" w:rsidRPr="00485200"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485200" w:rsidRPr="00485200">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tcPr>
          <w:p w14:paraId="6F802E41" w14:textId="40BFF59B" w:rsidR="00850C56" w:rsidRPr="00485200" w:rsidRDefault="00850C56" w:rsidP="00174A07">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485200" w:rsidRPr="00485200">
              <w:rPr>
                <w:vertAlign w:val="superscript"/>
              </w:rPr>
              <w:t>7</w:t>
            </w:r>
          </w:p>
        </w:tc>
      </w:tr>
    </w:tbl>
    <w:p w14:paraId="4EAA3231" w14:textId="61DD06BD" w:rsidR="00850C56" w:rsidRDefault="00850C56" w:rsidP="00850C56">
      <w:pPr>
        <w:pStyle w:val="TableFigureFooter"/>
      </w:pPr>
      <w:r w:rsidRPr="002D21EA">
        <w:t>Source: Table 4.5, p122; Table 4.6, p122; Table 4.7, p122; Table 4.10, p124; Table 4.13, p126; Table 4.14, p127; Table 4.17, p129 of the submission; Section 4 workbook</w:t>
      </w:r>
    </w:p>
    <w:p w14:paraId="77587CAA" w14:textId="4EA27B81" w:rsidR="00396165" w:rsidRDefault="00396165" w:rsidP="00850C56">
      <w:pPr>
        <w:pStyle w:val="TableFigureFooter"/>
      </w:pPr>
      <w:r w:rsidRPr="00396165">
        <w:t>The redacted values correspond to the following ranges:</w:t>
      </w:r>
    </w:p>
    <w:p w14:paraId="4A68DB28" w14:textId="162AC7BC" w:rsidR="00B90C76" w:rsidRDefault="00B90C76" w:rsidP="00850C56">
      <w:pPr>
        <w:pStyle w:val="TableFigureFooter"/>
      </w:pPr>
      <w:r>
        <w:rPr>
          <w:vertAlign w:val="superscript"/>
        </w:rPr>
        <w:lastRenderedPageBreak/>
        <w:t>1</w:t>
      </w:r>
      <w:r w:rsidRPr="00B90C76">
        <w:t>100,000 to &lt; 200,000</w:t>
      </w:r>
    </w:p>
    <w:p w14:paraId="4BD232CC" w14:textId="7DE51E12" w:rsidR="00396165" w:rsidRDefault="00B90C76" w:rsidP="00850C56">
      <w:pPr>
        <w:pStyle w:val="TableFigureFooter"/>
      </w:pPr>
      <w:r>
        <w:rPr>
          <w:vertAlign w:val="superscript"/>
        </w:rPr>
        <w:t>2</w:t>
      </w:r>
      <w:r w:rsidRPr="00B90C76">
        <w:t>200,000 to &lt; 300,000</w:t>
      </w:r>
    </w:p>
    <w:p w14:paraId="59BF87BC" w14:textId="5E96E57D" w:rsidR="00B90C76" w:rsidRDefault="00B90C76" w:rsidP="00850C56">
      <w:pPr>
        <w:pStyle w:val="TableFigureFooter"/>
      </w:pPr>
      <w:r>
        <w:rPr>
          <w:vertAlign w:val="superscript"/>
        </w:rPr>
        <w:t>3</w:t>
      </w:r>
      <w:r w:rsidRPr="00B90C76">
        <w:t>300,000 to &lt; 400,000</w:t>
      </w:r>
    </w:p>
    <w:p w14:paraId="5DEEE4E5" w14:textId="4A180EEF" w:rsidR="00B90C76" w:rsidRDefault="00B90C76" w:rsidP="00850C56">
      <w:pPr>
        <w:pStyle w:val="TableFigureFooter"/>
      </w:pPr>
      <w:r>
        <w:rPr>
          <w:vertAlign w:val="superscript"/>
        </w:rPr>
        <w:t>4</w:t>
      </w:r>
      <w:r w:rsidRPr="00B90C76">
        <w:t>400,000 to &lt; 500,000</w:t>
      </w:r>
    </w:p>
    <w:p w14:paraId="1801D486" w14:textId="3C68B626" w:rsidR="00B90C76" w:rsidRDefault="00B90C76" w:rsidP="00850C56">
      <w:pPr>
        <w:pStyle w:val="TableFigureFooter"/>
      </w:pPr>
      <w:r>
        <w:rPr>
          <w:vertAlign w:val="superscript"/>
        </w:rPr>
        <w:t>5</w:t>
      </w:r>
      <w:r w:rsidRPr="00B90C76">
        <w:t>500,000 to &lt; 600,000</w:t>
      </w:r>
    </w:p>
    <w:p w14:paraId="18209843" w14:textId="41ADB7DD" w:rsidR="00B90C76" w:rsidRDefault="00B90C76" w:rsidP="00850C56">
      <w:pPr>
        <w:pStyle w:val="TableFigureFooter"/>
      </w:pPr>
      <w:r>
        <w:rPr>
          <w:vertAlign w:val="superscript"/>
        </w:rPr>
        <w:t>6</w:t>
      </w:r>
      <w:r w:rsidRPr="00B90C76">
        <w:t>$100 million to &lt; $200 million</w:t>
      </w:r>
    </w:p>
    <w:p w14:paraId="407374FF" w14:textId="62BA0230" w:rsidR="00B90C76" w:rsidRDefault="00B90C76" w:rsidP="00850C56">
      <w:pPr>
        <w:pStyle w:val="TableFigureFooter"/>
      </w:pPr>
      <w:r>
        <w:rPr>
          <w:vertAlign w:val="superscript"/>
        </w:rPr>
        <w:t>7</w:t>
      </w:r>
      <w:r w:rsidRPr="00B90C76">
        <w:t>$200 million to &lt; $300 million</w:t>
      </w:r>
    </w:p>
    <w:p w14:paraId="14F2C3EE" w14:textId="63CB8015" w:rsidR="000065AD" w:rsidRDefault="000065AD" w:rsidP="00850C56">
      <w:pPr>
        <w:pStyle w:val="TableFigureFooter"/>
      </w:pPr>
      <w:r>
        <w:rPr>
          <w:vertAlign w:val="superscript"/>
        </w:rPr>
        <w:t>8</w:t>
      </w:r>
      <w:r w:rsidRPr="000065AD">
        <w:t>$0 to &lt; $10 million</w:t>
      </w:r>
    </w:p>
    <w:p w14:paraId="10FD89F6" w14:textId="34D06695" w:rsidR="000065AD" w:rsidRDefault="000065AD" w:rsidP="00850C56">
      <w:pPr>
        <w:pStyle w:val="TableFigureFooter"/>
      </w:pPr>
      <w:r>
        <w:rPr>
          <w:vertAlign w:val="superscript"/>
        </w:rPr>
        <w:t>9</w:t>
      </w:r>
      <w:r w:rsidRPr="000065AD">
        <w:t>70,000 to &lt; 80,000</w:t>
      </w:r>
    </w:p>
    <w:p w14:paraId="39FC33BA" w14:textId="1902FECB" w:rsidR="000065AD" w:rsidRDefault="000065AD" w:rsidP="00850C56">
      <w:pPr>
        <w:pStyle w:val="TableFigureFooter"/>
      </w:pPr>
      <w:r>
        <w:rPr>
          <w:vertAlign w:val="superscript"/>
        </w:rPr>
        <w:t>10</w:t>
      </w:r>
      <w:r w:rsidRPr="000065AD">
        <w:t>90,000 to &lt; 100,000</w:t>
      </w:r>
    </w:p>
    <w:p w14:paraId="22F56406" w14:textId="5F46AA5D" w:rsidR="000065AD" w:rsidRDefault="000065AD" w:rsidP="00850C56">
      <w:pPr>
        <w:pStyle w:val="TableFigureFooter"/>
      </w:pPr>
      <w:r>
        <w:rPr>
          <w:vertAlign w:val="superscript"/>
        </w:rPr>
        <w:t>11</w:t>
      </w:r>
      <w:r w:rsidRPr="000065AD">
        <w:t>$300 million to &lt; $400 million</w:t>
      </w:r>
    </w:p>
    <w:p w14:paraId="3502887A" w14:textId="481D919B" w:rsidR="00E02862" w:rsidRDefault="00E02862" w:rsidP="00850C56">
      <w:pPr>
        <w:pStyle w:val="TableFigureFooter"/>
      </w:pPr>
      <w:r>
        <w:rPr>
          <w:vertAlign w:val="superscript"/>
        </w:rPr>
        <w:t>12</w:t>
      </w:r>
      <w:r w:rsidRPr="00E02862">
        <w:t>$80 million to &lt; $90 million</w:t>
      </w:r>
    </w:p>
    <w:p w14:paraId="3167B0BE" w14:textId="30B56C3E" w:rsidR="00E02862" w:rsidRDefault="00E02862" w:rsidP="00850C56">
      <w:pPr>
        <w:pStyle w:val="TableFigureFooter"/>
      </w:pPr>
      <w:r>
        <w:rPr>
          <w:vertAlign w:val="superscript"/>
        </w:rPr>
        <w:t>13</w:t>
      </w:r>
      <w:r w:rsidRPr="00E02862">
        <w:t>$90 million to &lt; $100 million</w:t>
      </w:r>
    </w:p>
    <w:p w14:paraId="3B065486" w14:textId="2C484AC3" w:rsidR="00E02862" w:rsidRDefault="00E02862" w:rsidP="00850C56">
      <w:pPr>
        <w:pStyle w:val="TableFigureFooter"/>
      </w:pPr>
      <w:r>
        <w:rPr>
          <w:vertAlign w:val="superscript"/>
        </w:rPr>
        <w:t>14</w:t>
      </w:r>
      <w:r w:rsidRPr="00E02862">
        <w:t>$50 million to &lt; $60 million</w:t>
      </w:r>
    </w:p>
    <w:p w14:paraId="6C68EFF5" w14:textId="46C392DB" w:rsidR="00E02862" w:rsidRPr="002D21EA" w:rsidRDefault="00E02862" w:rsidP="00850C56">
      <w:pPr>
        <w:pStyle w:val="TableFigureFooter"/>
      </w:pPr>
      <w:r>
        <w:rPr>
          <w:vertAlign w:val="superscript"/>
        </w:rPr>
        <w:t>15</w:t>
      </w:r>
      <w:r w:rsidRPr="00E02862">
        <w:t>$60 million to &lt; $70 million</w:t>
      </w:r>
    </w:p>
    <w:p w14:paraId="718C02C7" w14:textId="7D333897" w:rsidR="00DB0177" w:rsidRPr="002D21EA" w:rsidRDefault="00DB0177" w:rsidP="00DB0177">
      <w:pPr>
        <w:pStyle w:val="ExecSumBodyText"/>
      </w:pPr>
      <w:r w:rsidRPr="002D21EA">
        <w:t xml:space="preserve">Based on the published prices of aflibercept and ranibizumab, the net cost savings of </w:t>
      </w:r>
      <w:r w:rsidR="006569A0" w:rsidRPr="002D21EA">
        <w:t xml:space="preserve">listing </w:t>
      </w:r>
      <w:r w:rsidRPr="002D21EA">
        <w:t xml:space="preserve">faricimab </w:t>
      </w:r>
      <w:r w:rsidR="00E11352" w:rsidRPr="002D21EA">
        <w:t>for nAMD on</w:t>
      </w:r>
      <w:r w:rsidRPr="002D21EA">
        <w:t xml:space="preserve"> the PBS/RPBS was estimated to be </w:t>
      </w:r>
      <w:r w:rsidR="00485200" w:rsidRPr="00485200">
        <w:t>$80 million to &lt; $90 million</w:t>
      </w:r>
      <w:r w:rsidR="00485200">
        <w:t xml:space="preserve"> </w:t>
      </w:r>
      <w:r w:rsidRPr="002D21EA">
        <w:t>in Year</w:t>
      </w:r>
      <w:r w:rsidR="00813C16" w:rsidRPr="002D21EA">
        <w:t> </w:t>
      </w:r>
      <w:r w:rsidRPr="002D21EA">
        <w:t xml:space="preserve">1, increasing to savings of </w:t>
      </w:r>
      <w:r w:rsidR="00485200" w:rsidRPr="00485200">
        <w:t>$100 million to &lt; $200 million</w:t>
      </w:r>
      <w:r w:rsidR="00485200">
        <w:t xml:space="preserve"> </w:t>
      </w:r>
      <w:r w:rsidRPr="002D21EA">
        <w:t xml:space="preserve">in Year 6, a cumulative savings of </w:t>
      </w:r>
      <w:r w:rsidR="00485200" w:rsidRPr="00485200">
        <w:t>$600 million to &lt; $700 million</w:t>
      </w:r>
      <w:r w:rsidR="00485200">
        <w:t xml:space="preserve"> </w:t>
      </w:r>
      <w:r w:rsidRPr="002D21EA">
        <w:t xml:space="preserve">over the first 6 years of listing. When additional savings from reduced MBS administration costs were added, the net cost savings to Government were estimated </w:t>
      </w:r>
      <w:r w:rsidR="0016096B" w:rsidRPr="002D21EA">
        <w:t>to be</w:t>
      </w:r>
      <w:r w:rsidRPr="002D21EA">
        <w:t xml:space="preserve"> </w:t>
      </w:r>
      <w:r w:rsidR="00485200" w:rsidRPr="00485200">
        <w:t>$100 million to &lt; $200 million</w:t>
      </w:r>
      <w:r w:rsidR="00485200">
        <w:t xml:space="preserve"> </w:t>
      </w:r>
      <w:r w:rsidRPr="002D21EA">
        <w:t xml:space="preserve">in Year 1, increasing to savings of </w:t>
      </w:r>
      <w:r w:rsidR="00485200" w:rsidRPr="00485200">
        <w:t>$200 million to &lt; $300 million</w:t>
      </w:r>
      <w:r w:rsidR="00485200">
        <w:t xml:space="preserve"> </w:t>
      </w:r>
      <w:r w:rsidRPr="002D21EA">
        <w:t>in Year</w:t>
      </w:r>
      <w:r w:rsidR="00813C16" w:rsidRPr="002D21EA">
        <w:t> </w:t>
      </w:r>
      <w:r w:rsidRPr="002D21EA">
        <w:t xml:space="preserve">6, a cumulative savings of </w:t>
      </w:r>
      <w:r w:rsidR="00485200" w:rsidRPr="00485200">
        <w:t>&gt; $1 billion</w:t>
      </w:r>
      <w:r w:rsidR="00485200">
        <w:t xml:space="preserve"> </w:t>
      </w:r>
      <w:r w:rsidRPr="002D21EA">
        <w:t>over the first 6 years of listing.</w:t>
      </w:r>
    </w:p>
    <w:p w14:paraId="23537426" w14:textId="3659833C" w:rsidR="00DB0177" w:rsidRPr="002D21EA" w:rsidRDefault="0098327B" w:rsidP="00DB0177">
      <w:pPr>
        <w:pStyle w:val="ExecSumBodyText"/>
      </w:pPr>
      <w:r w:rsidRPr="002D21EA">
        <w:t xml:space="preserve">The </w:t>
      </w:r>
      <w:r w:rsidR="00C10FDF">
        <w:t xml:space="preserve">evaluation </w:t>
      </w:r>
      <w:r w:rsidR="00E5449B">
        <w:t xml:space="preserve">noted the </w:t>
      </w:r>
      <w:r w:rsidRPr="002D21EA">
        <w:t xml:space="preserve">estimated cost savings are dependent on the assumed administration frequencies and may not be realised if the </w:t>
      </w:r>
      <w:r w:rsidR="00EB058A" w:rsidRPr="002D21EA">
        <w:t>administration</w:t>
      </w:r>
      <w:r w:rsidRPr="002D21EA">
        <w:t xml:space="preserve"> frequencies differ in clinical practice. </w:t>
      </w:r>
      <w:r w:rsidR="00DB0177" w:rsidRPr="002D21EA">
        <w:t xml:space="preserve">Adjusted estimates derived during the evaluation based on the updated </w:t>
      </w:r>
      <w:r w:rsidR="00420C97">
        <w:t xml:space="preserve">PBS data </w:t>
      </w:r>
      <w:r w:rsidR="00DB0177" w:rsidRPr="002D21EA">
        <w:t>(6.31 scripts per patient for aflibercept and ranibizumab</w:t>
      </w:r>
      <w:r w:rsidR="001F0828" w:rsidRPr="002D21EA">
        <w:t>) are summarised below.</w:t>
      </w:r>
      <w:r w:rsidR="00DB0177" w:rsidRPr="002D21EA">
        <w:t xml:space="preserve"> </w:t>
      </w:r>
      <w:r w:rsidR="001F0828" w:rsidRPr="002D21EA">
        <w:t xml:space="preserve">The adjustment </w:t>
      </w:r>
      <w:r w:rsidR="00DB0177" w:rsidRPr="002D21EA">
        <w:t xml:space="preserve">resulted in lower estimated cost savings to PBS/RPBS of </w:t>
      </w:r>
      <w:r w:rsidR="00485200" w:rsidRPr="00485200">
        <w:t>$60 million to &lt; $70 million</w:t>
      </w:r>
      <w:r w:rsidR="00485200">
        <w:t xml:space="preserve"> </w:t>
      </w:r>
      <w:r w:rsidR="00DB0177" w:rsidRPr="002D21EA">
        <w:t xml:space="preserve">in Year 1, increasing to savings of </w:t>
      </w:r>
      <w:r w:rsidR="00485200" w:rsidRPr="00485200">
        <w:t>$100 million to &lt; $200 million</w:t>
      </w:r>
      <w:r w:rsidR="00485200">
        <w:t xml:space="preserve"> </w:t>
      </w:r>
      <w:r w:rsidR="00DB0177" w:rsidRPr="002D21EA">
        <w:t xml:space="preserve">in Year 6, a cumulative savings of </w:t>
      </w:r>
      <w:r w:rsidR="00485200" w:rsidRPr="00485200">
        <w:t>$500 million to &lt; $600 million</w:t>
      </w:r>
      <w:r w:rsidR="00485200">
        <w:t xml:space="preserve"> </w:t>
      </w:r>
      <w:r w:rsidR="00DB0177" w:rsidRPr="002D21EA">
        <w:t xml:space="preserve">over the first 6 years of listing. Incorporation of reduced costs to MBS resulted in an overall net cost savings to Government of </w:t>
      </w:r>
      <w:r w:rsidR="00485200" w:rsidRPr="00485200">
        <w:t>$900 million to &lt; $1 billion</w:t>
      </w:r>
      <w:r w:rsidR="00485200">
        <w:t xml:space="preserve"> </w:t>
      </w:r>
      <w:r w:rsidR="00DB0177" w:rsidRPr="002D21EA">
        <w:t xml:space="preserve">over 6 years. </w:t>
      </w:r>
    </w:p>
    <w:p w14:paraId="3407E35F" w14:textId="7BF7C982" w:rsidR="009726AC" w:rsidRPr="002D21EA" w:rsidRDefault="001F0828" w:rsidP="009726AC">
      <w:pPr>
        <w:pStyle w:val="Tableheadingrow"/>
        <w:rPr>
          <w:lang w:val="en-AU"/>
        </w:rPr>
      </w:pPr>
      <w:r w:rsidRPr="002D21EA">
        <w:rPr>
          <w:lang w:val="en-AU"/>
        </w:rPr>
        <w:t xml:space="preserve">Table </w:t>
      </w:r>
      <w:r w:rsidRPr="002D21EA">
        <w:rPr>
          <w:lang w:val="en-AU"/>
        </w:rPr>
        <w:fldChar w:fldCharType="begin"/>
      </w:r>
      <w:r w:rsidRPr="002D21EA">
        <w:rPr>
          <w:lang w:val="en-AU"/>
        </w:rPr>
        <w:instrText xml:space="preserve"> SEQ Table \* ARABIC </w:instrText>
      </w:r>
      <w:r w:rsidRPr="002D21EA">
        <w:rPr>
          <w:lang w:val="en-AU"/>
        </w:rPr>
        <w:fldChar w:fldCharType="separate"/>
      </w:r>
      <w:r w:rsidR="006C2A4B">
        <w:rPr>
          <w:noProof/>
          <w:lang w:val="en-AU"/>
        </w:rPr>
        <w:t>15</w:t>
      </w:r>
      <w:r w:rsidRPr="002D21EA">
        <w:rPr>
          <w:noProof/>
          <w:lang w:val="en-AU"/>
        </w:rPr>
        <w:fldChar w:fldCharType="end"/>
      </w:r>
      <w:r w:rsidR="009726AC" w:rsidRPr="002D21EA">
        <w:rPr>
          <w:lang w:val="en-AU"/>
        </w:rPr>
        <w:t xml:space="preserve">: Adjusted estimated use and financial impact of a PBS/RPBS listing for faricimab (published DPMQ) using updated </w:t>
      </w:r>
      <w:r w:rsidR="00420C97">
        <w:rPr>
          <w:lang w:val="en-AU"/>
        </w:rPr>
        <w:t xml:space="preserve">PBS data </w:t>
      </w:r>
      <w:r w:rsidR="009726AC" w:rsidRPr="002D21EA">
        <w:rPr>
          <w:lang w:val="en-AU"/>
        </w:rPr>
        <w:t>of aflibercept scripts/year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Adjusted estimated use and financial impact of a PBS/RPBS listing for faricimab (published DPMQ) using updated PBS data of aflibercept scripts/year"/>
      </w:tblPr>
      <w:tblGrid>
        <w:gridCol w:w="2263"/>
        <w:gridCol w:w="1134"/>
        <w:gridCol w:w="1134"/>
        <w:gridCol w:w="1134"/>
        <w:gridCol w:w="1134"/>
        <w:gridCol w:w="1134"/>
        <w:gridCol w:w="1134"/>
      </w:tblGrid>
      <w:tr w:rsidR="009726AC" w:rsidRPr="002D21EA" w14:paraId="48B17BA3" w14:textId="77777777" w:rsidTr="00221DF3">
        <w:trPr>
          <w:tblHeader/>
        </w:trPr>
        <w:tc>
          <w:tcPr>
            <w:tcW w:w="2263" w:type="dxa"/>
            <w:shd w:val="clear" w:color="auto" w:fill="auto"/>
            <w:vAlign w:val="center"/>
          </w:tcPr>
          <w:p w14:paraId="2DAA72C1" w14:textId="77777777" w:rsidR="009726AC" w:rsidRPr="002D21EA" w:rsidRDefault="009726AC" w:rsidP="00221DF3">
            <w:pPr>
              <w:pStyle w:val="TableText"/>
              <w:keepNext w:val="0"/>
              <w:widowControl w:val="0"/>
              <w:rPr>
                <w:b/>
                <w:lang w:eastAsia="en-US"/>
              </w:rPr>
            </w:pPr>
          </w:p>
        </w:tc>
        <w:tc>
          <w:tcPr>
            <w:tcW w:w="1134" w:type="dxa"/>
            <w:shd w:val="clear" w:color="auto" w:fill="auto"/>
            <w:vAlign w:val="center"/>
          </w:tcPr>
          <w:p w14:paraId="7F011546" w14:textId="77777777" w:rsidR="009726AC" w:rsidRPr="002D21EA" w:rsidRDefault="009726AC" w:rsidP="00221DF3">
            <w:pPr>
              <w:pStyle w:val="TableText"/>
              <w:keepNext w:val="0"/>
              <w:widowControl w:val="0"/>
              <w:jc w:val="center"/>
              <w:rPr>
                <w:b/>
                <w:lang w:eastAsia="en-US"/>
              </w:rPr>
            </w:pPr>
            <w:r w:rsidRPr="002D21EA">
              <w:rPr>
                <w:b/>
                <w:lang w:eastAsia="en-US"/>
              </w:rPr>
              <w:t xml:space="preserve">Year 1 </w:t>
            </w:r>
          </w:p>
          <w:p w14:paraId="679A235A" w14:textId="77777777" w:rsidR="009726AC" w:rsidRPr="002D21EA" w:rsidRDefault="009726AC" w:rsidP="00221DF3">
            <w:pPr>
              <w:pStyle w:val="TableText"/>
              <w:keepNext w:val="0"/>
              <w:widowControl w:val="0"/>
              <w:jc w:val="center"/>
              <w:rPr>
                <w:b/>
                <w:lang w:eastAsia="en-US"/>
              </w:rPr>
            </w:pPr>
            <w:r w:rsidRPr="002D21EA">
              <w:rPr>
                <w:b/>
                <w:lang w:eastAsia="en-US"/>
              </w:rPr>
              <w:t>(2022)</w:t>
            </w:r>
          </w:p>
        </w:tc>
        <w:tc>
          <w:tcPr>
            <w:tcW w:w="1134" w:type="dxa"/>
            <w:shd w:val="clear" w:color="auto" w:fill="auto"/>
            <w:vAlign w:val="center"/>
          </w:tcPr>
          <w:p w14:paraId="1F4B1687" w14:textId="77777777" w:rsidR="009726AC" w:rsidRPr="002D21EA" w:rsidRDefault="009726AC" w:rsidP="00221DF3">
            <w:pPr>
              <w:pStyle w:val="TableText"/>
              <w:keepNext w:val="0"/>
              <w:widowControl w:val="0"/>
              <w:jc w:val="center"/>
              <w:rPr>
                <w:b/>
                <w:lang w:eastAsia="en-US"/>
              </w:rPr>
            </w:pPr>
            <w:r w:rsidRPr="002D21EA">
              <w:rPr>
                <w:b/>
                <w:lang w:eastAsia="en-US"/>
              </w:rPr>
              <w:t xml:space="preserve">Year 2 </w:t>
            </w:r>
          </w:p>
          <w:p w14:paraId="1EAC02ED" w14:textId="77777777" w:rsidR="009726AC" w:rsidRPr="002D21EA" w:rsidRDefault="009726AC" w:rsidP="00221DF3">
            <w:pPr>
              <w:pStyle w:val="TableText"/>
              <w:keepNext w:val="0"/>
              <w:widowControl w:val="0"/>
              <w:jc w:val="center"/>
              <w:rPr>
                <w:b/>
                <w:lang w:eastAsia="en-US"/>
              </w:rPr>
            </w:pPr>
            <w:r w:rsidRPr="002D21EA">
              <w:rPr>
                <w:b/>
                <w:lang w:eastAsia="en-US"/>
              </w:rPr>
              <w:t>(2023)</w:t>
            </w:r>
          </w:p>
        </w:tc>
        <w:tc>
          <w:tcPr>
            <w:tcW w:w="1134" w:type="dxa"/>
            <w:shd w:val="clear" w:color="auto" w:fill="auto"/>
            <w:vAlign w:val="center"/>
          </w:tcPr>
          <w:p w14:paraId="47F8F552" w14:textId="77777777" w:rsidR="009726AC" w:rsidRPr="002D21EA" w:rsidRDefault="009726AC" w:rsidP="00221DF3">
            <w:pPr>
              <w:pStyle w:val="TableText"/>
              <w:keepNext w:val="0"/>
              <w:widowControl w:val="0"/>
              <w:jc w:val="center"/>
              <w:rPr>
                <w:b/>
                <w:lang w:eastAsia="en-US"/>
              </w:rPr>
            </w:pPr>
            <w:r w:rsidRPr="002D21EA">
              <w:rPr>
                <w:b/>
                <w:lang w:eastAsia="en-US"/>
              </w:rPr>
              <w:t xml:space="preserve">Year 3 </w:t>
            </w:r>
          </w:p>
          <w:p w14:paraId="34E81F9C" w14:textId="77777777" w:rsidR="009726AC" w:rsidRPr="002D21EA" w:rsidRDefault="009726AC" w:rsidP="00221DF3">
            <w:pPr>
              <w:pStyle w:val="TableText"/>
              <w:keepNext w:val="0"/>
              <w:widowControl w:val="0"/>
              <w:jc w:val="center"/>
              <w:rPr>
                <w:b/>
                <w:lang w:eastAsia="en-US"/>
              </w:rPr>
            </w:pPr>
            <w:r w:rsidRPr="002D21EA">
              <w:rPr>
                <w:b/>
                <w:lang w:eastAsia="en-US"/>
              </w:rPr>
              <w:t>(2024)</w:t>
            </w:r>
          </w:p>
        </w:tc>
        <w:tc>
          <w:tcPr>
            <w:tcW w:w="1134" w:type="dxa"/>
            <w:shd w:val="clear" w:color="auto" w:fill="auto"/>
            <w:vAlign w:val="center"/>
          </w:tcPr>
          <w:p w14:paraId="48116ED3" w14:textId="77777777" w:rsidR="009726AC" w:rsidRPr="002D21EA" w:rsidRDefault="009726AC" w:rsidP="00221DF3">
            <w:pPr>
              <w:pStyle w:val="TableText"/>
              <w:keepNext w:val="0"/>
              <w:widowControl w:val="0"/>
              <w:jc w:val="center"/>
              <w:rPr>
                <w:b/>
                <w:lang w:eastAsia="en-US"/>
              </w:rPr>
            </w:pPr>
            <w:r w:rsidRPr="002D21EA">
              <w:rPr>
                <w:b/>
                <w:lang w:eastAsia="en-US"/>
              </w:rPr>
              <w:t xml:space="preserve">Year 4 </w:t>
            </w:r>
          </w:p>
          <w:p w14:paraId="5FD5759C" w14:textId="77777777" w:rsidR="009726AC" w:rsidRPr="002D21EA" w:rsidRDefault="009726AC" w:rsidP="00221DF3">
            <w:pPr>
              <w:pStyle w:val="TableText"/>
              <w:keepNext w:val="0"/>
              <w:widowControl w:val="0"/>
              <w:jc w:val="center"/>
              <w:rPr>
                <w:b/>
                <w:lang w:eastAsia="en-US"/>
              </w:rPr>
            </w:pPr>
            <w:r w:rsidRPr="002D21EA">
              <w:rPr>
                <w:b/>
                <w:lang w:eastAsia="en-US"/>
              </w:rPr>
              <w:t>(2025)</w:t>
            </w:r>
          </w:p>
        </w:tc>
        <w:tc>
          <w:tcPr>
            <w:tcW w:w="1134" w:type="dxa"/>
            <w:shd w:val="clear" w:color="auto" w:fill="auto"/>
            <w:vAlign w:val="center"/>
          </w:tcPr>
          <w:p w14:paraId="1B0DBD29" w14:textId="77777777" w:rsidR="009726AC" w:rsidRPr="002D21EA" w:rsidRDefault="009726AC" w:rsidP="00221DF3">
            <w:pPr>
              <w:pStyle w:val="TableText"/>
              <w:keepNext w:val="0"/>
              <w:widowControl w:val="0"/>
              <w:jc w:val="center"/>
              <w:rPr>
                <w:b/>
                <w:lang w:eastAsia="en-US"/>
              </w:rPr>
            </w:pPr>
            <w:r w:rsidRPr="002D21EA">
              <w:rPr>
                <w:b/>
                <w:lang w:eastAsia="en-US"/>
              </w:rPr>
              <w:t xml:space="preserve">Year 5 </w:t>
            </w:r>
          </w:p>
          <w:p w14:paraId="791E9F6A" w14:textId="77777777" w:rsidR="009726AC" w:rsidRPr="002D21EA" w:rsidRDefault="009726AC" w:rsidP="00221DF3">
            <w:pPr>
              <w:pStyle w:val="TableText"/>
              <w:keepNext w:val="0"/>
              <w:widowControl w:val="0"/>
              <w:jc w:val="center"/>
              <w:rPr>
                <w:b/>
                <w:lang w:eastAsia="en-US"/>
              </w:rPr>
            </w:pPr>
            <w:r w:rsidRPr="002D21EA">
              <w:rPr>
                <w:b/>
                <w:lang w:eastAsia="en-US"/>
              </w:rPr>
              <w:t>(2026)</w:t>
            </w:r>
          </w:p>
        </w:tc>
        <w:tc>
          <w:tcPr>
            <w:tcW w:w="1134" w:type="dxa"/>
            <w:shd w:val="clear" w:color="auto" w:fill="auto"/>
            <w:vAlign w:val="center"/>
          </w:tcPr>
          <w:p w14:paraId="26D69753" w14:textId="77777777" w:rsidR="009726AC" w:rsidRPr="002D21EA" w:rsidRDefault="009726AC" w:rsidP="00221DF3">
            <w:pPr>
              <w:pStyle w:val="TableText"/>
              <w:keepNext w:val="0"/>
              <w:widowControl w:val="0"/>
              <w:jc w:val="center"/>
              <w:rPr>
                <w:b/>
                <w:lang w:eastAsia="en-US"/>
              </w:rPr>
            </w:pPr>
            <w:r w:rsidRPr="002D21EA">
              <w:rPr>
                <w:b/>
                <w:lang w:eastAsia="en-US"/>
              </w:rPr>
              <w:t xml:space="preserve">Year 6 </w:t>
            </w:r>
          </w:p>
          <w:p w14:paraId="117821B3" w14:textId="77777777" w:rsidR="009726AC" w:rsidRPr="002D21EA" w:rsidRDefault="009726AC" w:rsidP="00221DF3">
            <w:pPr>
              <w:pStyle w:val="TableText"/>
              <w:keepNext w:val="0"/>
              <w:widowControl w:val="0"/>
              <w:jc w:val="center"/>
              <w:rPr>
                <w:b/>
                <w:lang w:eastAsia="en-US"/>
              </w:rPr>
            </w:pPr>
            <w:r w:rsidRPr="002D21EA">
              <w:rPr>
                <w:b/>
                <w:lang w:eastAsia="en-US"/>
              </w:rPr>
              <w:t>(2027)</w:t>
            </w:r>
          </w:p>
        </w:tc>
      </w:tr>
      <w:tr w:rsidR="009726AC" w:rsidRPr="002D21EA" w14:paraId="33AB598B" w14:textId="77777777" w:rsidTr="00221DF3">
        <w:tc>
          <w:tcPr>
            <w:tcW w:w="2263" w:type="dxa"/>
            <w:vAlign w:val="center"/>
          </w:tcPr>
          <w:p w14:paraId="5BE0EB1D" w14:textId="77777777" w:rsidR="009726AC" w:rsidRPr="002D21EA" w:rsidRDefault="009726AC" w:rsidP="00221DF3">
            <w:pPr>
              <w:pStyle w:val="TableText"/>
              <w:keepNext w:val="0"/>
              <w:widowControl w:val="0"/>
              <w:rPr>
                <w:lang w:eastAsia="en-US"/>
              </w:rPr>
            </w:pPr>
            <w:r w:rsidRPr="002D21EA">
              <w:t>Projected ranibizumab scripts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89BA3" w14:textId="3A47CDBA" w:rsidR="009726AC" w:rsidRPr="002B355A" w:rsidRDefault="00755BDA" w:rsidP="00221DF3">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2B355A">
              <w:rPr>
                <w:vertAlign w:val="superscript"/>
                <w:lang w:eastAsia="en-US"/>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567AFD5" w14:textId="0A2565D7" w:rsidR="009726AC" w:rsidRPr="002B355A" w:rsidRDefault="00755BDA" w:rsidP="00221DF3">
            <w:pPr>
              <w:pStyle w:val="TableText"/>
              <w:keepNext w:val="0"/>
              <w:widowControl w:val="0"/>
              <w:jc w:val="center"/>
              <w:rPr>
                <w:lang w:eastAsia="en-US"/>
              </w:rPr>
            </w:pPr>
            <w:r w:rsidRPr="00755BDA">
              <w:rPr>
                <w:color w:val="000000"/>
                <w:shd w:val="solid" w:color="000000" w:fill="000000"/>
                <w:lang w:eastAsia="en-US"/>
                <w14:textFill>
                  <w14:solidFill>
                    <w14:srgbClr w14:val="000000">
                      <w14:alpha w14:val="100000"/>
                    </w14:srgbClr>
                  </w14:solidFill>
                </w14:textFill>
              </w:rPr>
              <w:t>|</w:t>
            </w:r>
            <w:r w:rsidR="002B355A" w:rsidRPr="002B355A">
              <w:rPr>
                <w:vertAlign w:val="superscript"/>
                <w:lang w:eastAsia="en-US"/>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5D13C44" w14:textId="6E6D7A5D" w:rsidR="009726AC" w:rsidRPr="002B355A" w:rsidRDefault="00755BDA" w:rsidP="00221DF3">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2B355A">
              <w:rPr>
                <w:vertAlign w:val="superscript"/>
                <w:lang w:eastAsia="en-US"/>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701FE40" w14:textId="29B944D7" w:rsidR="009726AC" w:rsidRPr="002B355A" w:rsidRDefault="00755BDA" w:rsidP="00221DF3">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2B355A">
              <w:rPr>
                <w:vertAlign w:val="superscript"/>
                <w:lang w:eastAsia="en-US"/>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283DFB4" w14:textId="2F0FAA7A" w:rsidR="009726AC" w:rsidRPr="002B355A" w:rsidRDefault="00755BDA" w:rsidP="00221DF3">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2B355A">
              <w:rPr>
                <w:vertAlign w:val="superscript"/>
                <w:lang w:eastAsia="en-US"/>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3829B902" w14:textId="219EF4D2" w:rsidR="009726AC" w:rsidRPr="002B355A" w:rsidRDefault="00755BDA" w:rsidP="00221DF3">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2B355A">
              <w:rPr>
                <w:vertAlign w:val="superscript"/>
                <w:lang w:eastAsia="en-US"/>
              </w:rPr>
              <w:t>2</w:t>
            </w:r>
          </w:p>
        </w:tc>
      </w:tr>
      <w:tr w:rsidR="009726AC" w:rsidRPr="002D21EA" w14:paraId="5B522D50" w14:textId="77777777" w:rsidTr="00221DF3">
        <w:tc>
          <w:tcPr>
            <w:tcW w:w="2263" w:type="dxa"/>
            <w:vAlign w:val="center"/>
          </w:tcPr>
          <w:p w14:paraId="4F96FED7" w14:textId="77777777" w:rsidR="009726AC" w:rsidRPr="002D21EA" w:rsidRDefault="009726AC" w:rsidP="00221DF3">
            <w:pPr>
              <w:pStyle w:val="TableText"/>
              <w:keepNext w:val="0"/>
              <w:widowControl w:val="0"/>
              <w:rPr>
                <w:lang w:eastAsia="en-US"/>
              </w:rPr>
            </w:pPr>
            <w:r w:rsidRPr="002D21EA">
              <w:t>Projected aflibercept scripts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B53AC" w14:textId="19AD771F" w:rsidR="009726AC" w:rsidRPr="002B355A" w:rsidRDefault="00755BDA" w:rsidP="00221DF3">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2B355A">
              <w:rPr>
                <w:vertAlign w:val="superscript"/>
                <w:lang w:eastAsia="en-US"/>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385D7F6" w14:textId="66DD68DD" w:rsidR="009726AC" w:rsidRPr="002B355A" w:rsidRDefault="00755BDA" w:rsidP="00221DF3">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2B355A">
              <w:rPr>
                <w:vertAlign w:val="superscript"/>
                <w:lang w:eastAsia="en-US"/>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0BAB030" w14:textId="0D658123" w:rsidR="009726AC" w:rsidRPr="002B355A" w:rsidRDefault="00755BDA" w:rsidP="00221DF3">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2B355A">
              <w:rPr>
                <w:vertAlign w:val="superscript"/>
                <w:lang w:eastAsia="en-US"/>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50607A3" w14:textId="5EAC0D20" w:rsidR="009726AC" w:rsidRPr="002B355A" w:rsidRDefault="00755BDA" w:rsidP="00221DF3">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2B355A">
              <w:rPr>
                <w:vertAlign w:val="superscript"/>
                <w:lang w:eastAsia="en-US"/>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35FEF21" w14:textId="45EBE0E0" w:rsidR="009726AC" w:rsidRPr="002B355A" w:rsidRDefault="00755BDA" w:rsidP="00221DF3">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2B355A">
              <w:rPr>
                <w:vertAlign w:val="superscript"/>
                <w:lang w:eastAsia="en-US"/>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26582A8" w14:textId="4C64378D" w:rsidR="009726AC" w:rsidRPr="002B355A" w:rsidRDefault="00755BDA" w:rsidP="00221DF3">
            <w:pPr>
              <w:pStyle w:val="TableText"/>
              <w:keepNext w:val="0"/>
              <w:widowControl w:val="0"/>
              <w:jc w:val="center"/>
              <w:rPr>
                <w:vertAlign w:val="superscript"/>
                <w:lang w:eastAsia="en-US"/>
              </w:rPr>
            </w:pPr>
            <w:r w:rsidRPr="00755BDA">
              <w:rPr>
                <w:color w:val="000000"/>
                <w:shd w:val="solid" w:color="000000" w:fill="000000"/>
                <w:lang w:eastAsia="en-US"/>
                <w14:textFill>
                  <w14:solidFill>
                    <w14:srgbClr w14:val="000000">
                      <w14:alpha w14:val="100000"/>
                    </w14:srgbClr>
                  </w14:solidFill>
                </w14:textFill>
              </w:rPr>
              <w:t>|</w:t>
            </w:r>
            <w:r w:rsidR="002B355A">
              <w:rPr>
                <w:vertAlign w:val="superscript"/>
                <w:lang w:eastAsia="en-US"/>
              </w:rPr>
              <w:t>3</w:t>
            </w:r>
          </w:p>
        </w:tc>
      </w:tr>
      <w:tr w:rsidR="009726AC" w:rsidRPr="002D21EA" w14:paraId="703179BB" w14:textId="77777777" w:rsidTr="00221DF3">
        <w:tc>
          <w:tcPr>
            <w:tcW w:w="2263" w:type="dxa"/>
            <w:shd w:val="clear" w:color="auto" w:fill="auto"/>
            <w:vAlign w:val="center"/>
          </w:tcPr>
          <w:p w14:paraId="7AA13E6F" w14:textId="77777777" w:rsidR="009726AC" w:rsidRPr="002D21EA" w:rsidRDefault="009726AC" w:rsidP="00221DF3">
            <w:pPr>
              <w:pStyle w:val="TableText"/>
              <w:keepNext w:val="0"/>
              <w:widowControl w:val="0"/>
              <w:rPr>
                <w:lang w:eastAsia="en-US"/>
              </w:rPr>
            </w:pPr>
            <w:r w:rsidRPr="002D21EA">
              <w:rPr>
                <w:lang w:eastAsia="en-US"/>
              </w:rPr>
              <w:t>Projected total scripts</w:t>
            </w:r>
          </w:p>
        </w:tc>
        <w:tc>
          <w:tcPr>
            <w:tcW w:w="1134" w:type="dxa"/>
            <w:shd w:val="clear" w:color="auto" w:fill="FFFFFF" w:themeFill="background1"/>
            <w:vAlign w:val="center"/>
          </w:tcPr>
          <w:p w14:paraId="16E52981" w14:textId="4D2B5D0B" w:rsidR="009726AC" w:rsidRPr="002D21EA" w:rsidRDefault="00755BDA" w:rsidP="00221DF3">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2B355A">
              <w:rPr>
                <w:bCs w:val="0"/>
                <w:vertAlign w:val="superscript"/>
              </w:rPr>
              <w:t>4</w:t>
            </w:r>
            <w:r w:rsidR="009726AC" w:rsidRPr="002D21EA">
              <w:rPr>
                <w:bCs w:val="0"/>
              </w:rPr>
              <w:t xml:space="preserve"> </w:t>
            </w:r>
          </w:p>
        </w:tc>
        <w:tc>
          <w:tcPr>
            <w:tcW w:w="1134" w:type="dxa"/>
            <w:shd w:val="clear" w:color="auto" w:fill="FFFFFF" w:themeFill="background1"/>
            <w:vAlign w:val="center"/>
          </w:tcPr>
          <w:p w14:paraId="7075F308" w14:textId="3EF4A29B" w:rsidR="009726AC" w:rsidRPr="002D21EA" w:rsidRDefault="00755BDA" w:rsidP="00221DF3">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2B355A">
              <w:rPr>
                <w:bCs w:val="0"/>
                <w:vertAlign w:val="superscript"/>
              </w:rPr>
              <w:t>4</w:t>
            </w:r>
            <w:r w:rsidR="009726AC" w:rsidRPr="002D21EA">
              <w:rPr>
                <w:bCs w:val="0"/>
              </w:rPr>
              <w:t xml:space="preserve"> </w:t>
            </w:r>
          </w:p>
        </w:tc>
        <w:tc>
          <w:tcPr>
            <w:tcW w:w="1134" w:type="dxa"/>
            <w:shd w:val="clear" w:color="auto" w:fill="FFFFFF" w:themeFill="background1"/>
            <w:vAlign w:val="center"/>
          </w:tcPr>
          <w:p w14:paraId="77F96A72" w14:textId="216BF8B7" w:rsidR="009726AC" w:rsidRPr="002D21EA" w:rsidRDefault="00755BDA" w:rsidP="00221DF3">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2B355A">
              <w:rPr>
                <w:bCs w:val="0"/>
                <w:vertAlign w:val="superscript"/>
              </w:rPr>
              <w:t>5</w:t>
            </w:r>
            <w:r w:rsidR="009726AC" w:rsidRPr="002D21EA">
              <w:rPr>
                <w:bCs w:val="0"/>
              </w:rPr>
              <w:t xml:space="preserve"> </w:t>
            </w:r>
          </w:p>
        </w:tc>
        <w:tc>
          <w:tcPr>
            <w:tcW w:w="1134" w:type="dxa"/>
            <w:shd w:val="clear" w:color="auto" w:fill="FFFFFF" w:themeFill="background1"/>
            <w:vAlign w:val="center"/>
          </w:tcPr>
          <w:p w14:paraId="36759106" w14:textId="577B6E87" w:rsidR="009726AC" w:rsidRPr="002D21EA" w:rsidRDefault="00755BDA" w:rsidP="00221DF3">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2B355A">
              <w:rPr>
                <w:bCs w:val="0"/>
                <w:vertAlign w:val="superscript"/>
              </w:rPr>
              <w:t>5</w:t>
            </w:r>
            <w:r w:rsidR="009726AC" w:rsidRPr="002D21EA">
              <w:rPr>
                <w:bCs w:val="0"/>
              </w:rPr>
              <w:t xml:space="preserve"> </w:t>
            </w:r>
          </w:p>
        </w:tc>
        <w:tc>
          <w:tcPr>
            <w:tcW w:w="1134" w:type="dxa"/>
            <w:shd w:val="clear" w:color="auto" w:fill="FFFFFF" w:themeFill="background1"/>
            <w:vAlign w:val="center"/>
          </w:tcPr>
          <w:p w14:paraId="57496586" w14:textId="25CE39AA" w:rsidR="009726AC" w:rsidRPr="002D21EA" w:rsidRDefault="00755BDA" w:rsidP="00221DF3">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2B355A">
              <w:rPr>
                <w:bCs w:val="0"/>
                <w:vertAlign w:val="superscript"/>
              </w:rPr>
              <w:t>5</w:t>
            </w:r>
            <w:r w:rsidR="009726AC" w:rsidRPr="002D21EA">
              <w:rPr>
                <w:bCs w:val="0"/>
              </w:rPr>
              <w:t xml:space="preserve"> </w:t>
            </w:r>
          </w:p>
        </w:tc>
        <w:tc>
          <w:tcPr>
            <w:tcW w:w="1134" w:type="dxa"/>
            <w:shd w:val="clear" w:color="auto" w:fill="FFFFFF" w:themeFill="background1"/>
            <w:vAlign w:val="center"/>
          </w:tcPr>
          <w:p w14:paraId="35C8B76C" w14:textId="1078CE9A" w:rsidR="009726AC" w:rsidRPr="002D21EA" w:rsidRDefault="00755BDA" w:rsidP="00221DF3">
            <w:pPr>
              <w:pStyle w:val="TableText"/>
              <w:keepNext w:val="0"/>
              <w:widowControl w:val="0"/>
              <w:jc w:val="center"/>
              <w:rPr>
                <w:bCs w:val="0"/>
                <w:lang w:eastAsia="en-US"/>
              </w:rPr>
            </w:pPr>
            <w:r w:rsidRPr="00755BDA">
              <w:rPr>
                <w:bCs w:val="0"/>
                <w:color w:val="000000"/>
                <w:shd w:val="solid" w:color="000000" w:fill="000000"/>
                <w14:textFill>
                  <w14:solidFill>
                    <w14:srgbClr w14:val="000000">
                      <w14:alpha w14:val="100000"/>
                    </w14:srgbClr>
                  </w14:solidFill>
                </w14:textFill>
              </w:rPr>
              <w:t>|</w:t>
            </w:r>
            <w:r w:rsidR="002B355A">
              <w:rPr>
                <w:bCs w:val="0"/>
                <w:vertAlign w:val="superscript"/>
              </w:rPr>
              <w:t>5</w:t>
            </w:r>
            <w:r w:rsidR="009726AC" w:rsidRPr="002D21EA">
              <w:rPr>
                <w:bCs w:val="0"/>
              </w:rPr>
              <w:t xml:space="preserve"> </w:t>
            </w:r>
          </w:p>
        </w:tc>
      </w:tr>
      <w:tr w:rsidR="009726AC" w:rsidRPr="002D21EA" w14:paraId="6767AB02" w14:textId="77777777" w:rsidTr="00221DF3">
        <w:tc>
          <w:tcPr>
            <w:tcW w:w="2263" w:type="dxa"/>
            <w:tcBorders>
              <w:bottom w:val="single" w:sz="4" w:space="0" w:color="auto"/>
            </w:tcBorders>
            <w:shd w:val="clear" w:color="auto" w:fill="auto"/>
            <w:vAlign w:val="center"/>
          </w:tcPr>
          <w:p w14:paraId="3517F06C" w14:textId="77777777" w:rsidR="009726AC" w:rsidRPr="002D21EA" w:rsidRDefault="009726AC" w:rsidP="00221DF3">
            <w:pPr>
              <w:pStyle w:val="TableText"/>
              <w:keepNext w:val="0"/>
              <w:widowControl w:val="0"/>
              <w:rPr>
                <w:lang w:eastAsia="en-US"/>
              </w:rPr>
            </w:pPr>
            <w:r w:rsidRPr="002D21EA">
              <w:rPr>
                <w:lang w:eastAsia="en-US"/>
              </w:rPr>
              <w:t>Faricimab uptake rate</w:t>
            </w:r>
          </w:p>
        </w:tc>
        <w:tc>
          <w:tcPr>
            <w:tcW w:w="1134" w:type="dxa"/>
            <w:tcBorders>
              <w:bottom w:val="single" w:sz="4" w:space="0" w:color="auto"/>
            </w:tcBorders>
            <w:shd w:val="clear" w:color="auto" w:fill="auto"/>
            <w:vAlign w:val="center"/>
          </w:tcPr>
          <w:p w14:paraId="726F31E1" w14:textId="77777777" w:rsidR="009726AC" w:rsidRPr="002D21EA" w:rsidRDefault="009726AC" w:rsidP="00221DF3">
            <w:pPr>
              <w:pStyle w:val="TableText"/>
              <w:keepNext w:val="0"/>
              <w:widowControl w:val="0"/>
              <w:jc w:val="center"/>
              <w:rPr>
                <w:bCs w:val="0"/>
                <w:lang w:eastAsia="en-US"/>
              </w:rPr>
            </w:pPr>
            <w:r w:rsidRPr="002D21EA">
              <w:rPr>
                <w:bCs w:val="0"/>
                <w:lang w:eastAsia="en-US"/>
              </w:rPr>
              <w:t>45%</w:t>
            </w:r>
          </w:p>
        </w:tc>
        <w:tc>
          <w:tcPr>
            <w:tcW w:w="1134" w:type="dxa"/>
            <w:tcBorders>
              <w:bottom w:val="single" w:sz="4" w:space="0" w:color="auto"/>
            </w:tcBorders>
            <w:shd w:val="clear" w:color="auto" w:fill="auto"/>
            <w:vAlign w:val="center"/>
          </w:tcPr>
          <w:p w14:paraId="2ED96BFE" w14:textId="77777777" w:rsidR="009726AC" w:rsidRPr="002D21EA" w:rsidRDefault="009726AC" w:rsidP="00221DF3">
            <w:pPr>
              <w:pStyle w:val="TableText"/>
              <w:keepNext w:val="0"/>
              <w:widowControl w:val="0"/>
              <w:jc w:val="center"/>
              <w:rPr>
                <w:bCs w:val="0"/>
                <w:lang w:eastAsia="en-US"/>
              </w:rPr>
            </w:pPr>
            <w:r w:rsidRPr="002D21EA">
              <w:rPr>
                <w:bCs w:val="0"/>
                <w:lang w:eastAsia="en-US"/>
              </w:rPr>
              <w:t>50%</w:t>
            </w:r>
          </w:p>
        </w:tc>
        <w:tc>
          <w:tcPr>
            <w:tcW w:w="1134" w:type="dxa"/>
            <w:tcBorders>
              <w:bottom w:val="single" w:sz="4" w:space="0" w:color="auto"/>
            </w:tcBorders>
            <w:shd w:val="clear" w:color="auto" w:fill="auto"/>
            <w:vAlign w:val="center"/>
          </w:tcPr>
          <w:p w14:paraId="6610AE70" w14:textId="77777777" w:rsidR="009726AC" w:rsidRPr="002D21EA" w:rsidRDefault="009726AC" w:rsidP="00221DF3">
            <w:pPr>
              <w:pStyle w:val="TableText"/>
              <w:keepNext w:val="0"/>
              <w:widowControl w:val="0"/>
              <w:jc w:val="center"/>
              <w:rPr>
                <w:bCs w:val="0"/>
                <w:lang w:eastAsia="en-US"/>
              </w:rPr>
            </w:pPr>
            <w:r w:rsidRPr="002D21EA">
              <w:rPr>
                <w:bCs w:val="0"/>
                <w:lang w:eastAsia="en-US"/>
              </w:rPr>
              <w:t>55%</w:t>
            </w:r>
          </w:p>
        </w:tc>
        <w:tc>
          <w:tcPr>
            <w:tcW w:w="1134" w:type="dxa"/>
            <w:tcBorders>
              <w:bottom w:val="single" w:sz="4" w:space="0" w:color="auto"/>
            </w:tcBorders>
            <w:shd w:val="clear" w:color="auto" w:fill="auto"/>
            <w:vAlign w:val="center"/>
          </w:tcPr>
          <w:p w14:paraId="2900DD40" w14:textId="77777777" w:rsidR="009726AC" w:rsidRPr="002D21EA" w:rsidRDefault="009726AC" w:rsidP="00221DF3">
            <w:pPr>
              <w:pStyle w:val="TableText"/>
              <w:keepNext w:val="0"/>
              <w:widowControl w:val="0"/>
              <w:jc w:val="center"/>
              <w:rPr>
                <w:bCs w:val="0"/>
                <w:lang w:eastAsia="en-US"/>
              </w:rPr>
            </w:pPr>
            <w:r w:rsidRPr="002D21EA">
              <w:rPr>
                <w:bCs w:val="0"/>
                <w:lang w:eastAsia="en-US"/>
              </w:rPr>
              <w:t>60%</w:t>
            </w:r>
          </w:p>
        </w:tc>
        <w:tc>
          <w:tcPr>
            <w:tcW w:w="1134" w:type="dxa"/>
            <w:tcBorders>
              <w:bottom w:val="single" w:sz="4" w:space="0" w:color="auto"/>
            </w:tcBorders>
            <w:shd w:val="clear" w:color="auto" w:fill="auto"/>
            <w:vAlign w:val="center"/>
          </w:tcPr>
          <w:p w14:paraId="21349C92" w14:textId="77777777" w:rsidR="009726AC" w:rsidRPr="002D21EA" w:rsidRDefault="009726AC" w:rsidP="00221DF3">
            <w:pPr>
              <w:pStyle w:val="TableText"/>
              <w:keepNext w:val="0"/>
              <w:widowControl w:val="0"/>
              <w:jc w:val="center"/>
              <w:rPr>
                <w:bCs w:val="0"/>
                <w:lang w:eastAsia="en-US"/>
              </w:rPr>
            </w:pPr>
            <w:r w:rsidRPr="002D21EA">
              <w:rPr>
                <w:bCs w:val="0"/>
                <w:lang w:eastAsia="en-US"/>
              </w:rPr>
              <w:t>60%</w:t>
            </w:r>
          </w:p>
        </w:tc>
        <w:tc>
          <w:tcPr>
            <w:tcW w:w="1134" w:type="dxa"/>
            <w:tcBorders>
              <w:bottom w:val="single" w:sz="4" w:space="0" w:color="auto"/>
            </w:tcBorders>
            <w:shd w:val="clear" w:color="auto" w:fill="auto"/>
            <w:vAlign w:val="center"/>
          </w:tcPr>
          <w:p w14:paraId="7A6748FA" w14:textId="77777777" w:rsidR="009726AC" w:rsidRPr="002D21EA" w:rsidRDefault="009726AC" w:rsidP="00221DF3">
            <w:pPr>
              <w:pStyle w:val="TableText"/>
              <w:keepNext w:val="0"/>
              <w:widowControl w:val="0"/>
              <w:jc w:val="center"/>
              <w:rPr>
                <w:bCs w:val="0"/>
                <w:lang w:eastAsia="en-US"/>
              </w:rPr>
            </w:pPr>
            <w:r w:rsidRPr="002D21EA">
              <w:rPr>
                <w:bCs w:val="0"/>
                <w:lang w:eastAsia="en-US"/>
              </w:rPr>
              <w:t>60%</w:t>
            </w:r>
          </w:p>
        </w:tc>
      </w:tr>
      <w:tr w:rsidR="009726AC" w:rsidRPr="002D21EA" w14:paraId="6C9823C5" w14:textId="77777777" w:rsidTr="00221DF3">
        <w:tc>
          <w:tcPr>
            <w:tcW w:w="2263" w:type="dxa"/>
            <w:tcBorders>
              <w:top w:val="single" w:sz="4" w:space="0" w:color="auto"/>
              <w:bottom w:val="single" w:sz="4" w:space="0" w:color="auto"/>
              <w:right w:val="single" w:sz="4" w:space="0" w:color="auto"/>
            </w:tcBorders>
            <w:shd w:val="clear" w:color="auto" w:fill="auto"/>
            <w:vAlign w:val="center"/>
          </w:tcPr>
          <w:p w14:paraId="0F18663D" w14:textId="77777777" w:rsidR="009726AC" w:rsidRPr="002D21EA" w:rsidRDefault="009726AC" w:rsidP="00221DF3">
            <w:pPr>
              <w:pStyle w:val="TableText"/>
              <w:keepNext w:val="0"/>
              <w:widowControl w:val="0"/>
              <w:rPr>
                <w:highlight w:val="yellow"/>
                <w:lang w:eastAsia="en-US"/>
              </w:rPr>
            </w:pPr>
            <w:r w:rsidRPr="002D21EA">
              <w:rPr>
                <w:lang w:eastAsia="en-US"/>
              </w:rPr>
              <w:t>Faricimab scripts (substituted scripts x 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16E4F6" w14:textId="6C6A0D25" w:rsidR="009726AC" w:rsidRPr="002D21EA" w:rsidRDefault="00755BDA" w:rsidP="00221DF3">
            <w:pPr>
              <w:pStyle w:val="TableText"/>
              <w:jc w:val="center"/>
            </w:pPr>
            <w:r w:rsidRPr="00755BDA">
              <w:rPr>
                <w:rFonts w:cs="Arial"/>
                <w:color w:val="000000"/>
                <w:szCs w:val="20"/>
                <w:shd w:val="solid" w:color="000000" w:fill="000000"/>
                <w14:textFill>
                  <w14:solidFill>
                    <w14:srgbClr w14:val="000000">
                      <w14:alpha w14:val="100000"/>
                    </w14:srgbClr>
                  </w14:solidFill>
                </w14:textFill>
              </w:rPr>
              <w:t>|</w:t>
            </w:r>
            <w:r w:rsidR="002B355A">
              <w:rPr>
                <w:rFonts w:cs="Arial"/>
                <w:color w:val="000000"/>
                <w:szCs w:val="20"/>
                <w:vertAlign w:val="superscript"/>
              </w:rPr>
              <w:t>1</w:t>
            </w:r>
            <w:r w:rsidR="009726AC" w:rsidRPr="002D21EA">
              <w:rPr>
                <w:rFonts w:cs="Arial"/>
                <w:color w:val="00000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5A910D" w14:textId="6E2EDC6F" w:rsidR="009726AC" w:rsidRPr="002D21EA" w:rsidRDefault="00755BDA" w:rsidP="00221DF3">
            <w:pPr>
              <w:pStyle w:val="TableText"/>
              <w:jc w:val="center"/>
            </w:pPr>
            <w:r w:rsidRPr="00755BDA">
              <w:rPr>
                <w:rFonts w:cs="Arial"/>
                <w:color w:val="000000"/>
                <w:szCs w:val="20"/>
                <w:shd w:val="solid" w:color="000000" w:fill="000000"/>
                <w14:textFill>
                  <w14:solidFill>
                    <w14:srgbClr w14:val="000000">
                      <w14:alpha w14:val="100000"/>
                    </w14:srgbClr>
                  </w14:solidFill>
                </w14:textFill>
              </w:rPr>
              <w:t>|</w:t>
            </w:r>
            <w:r w:rsidR="002B355A">
              <w:rPr>
                <w:rFonts w:cs="Arial"/>
                <w:color w:val="000000"/>
                <w:szCs w:val="20"/>
                <w:vertAlign w:val="superscript"/>
              </w:rPr>
              <w:t>1</w:t>
            </w:r>
            <w:r w:rsidR="009726AC" w:rsidRPr="002D21EA">
              <w:rPr>
                <w:rFonts w:cs="Arial"/>
                <w:color w:val="00000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7B77D6" w14:textId="3BA514C3" w:rsidR="009726AC" w:rsidRPr="002D21EA" w:rsidRDefault="00755BDA" w:rsidP="00221DF3">
            <w:pPr>
              <w:pStyle w:val="TableText"/>
              <w:jc w:val="center"/>
            </w:pPr>
            <w:r w:rsidRPr="00755BDA">
              <w:rPr>
                <w:rFonts w:cs="Arial"/>
                <w:color w:val="000000"/>
                <w:szCs w:val="20"/>
                <w:shd w:val="solid" w:color="000000" w:fill="000000"/>
                <w14:textFill>
                  <w14:solidFill>
                    <w14:srgbClr w14:val="000000">
                      <w14:alpha w14:val="100000"/>
                    </w14:srgbClr>
                  </w14:solidFill>
                </w14:textFill>
              </w:rPr>
              <w:t>|</w:t>
            </w:r>
            <w:r w:rsidR="002B355A">
              <w:rPr>
                <w:rFonts w:cs="Arial"/>
                <w:color w:val="000000"/>
                <w:szCs w:val="20"/>
                <w:vertAlign w:val="superscript"/>
              </w:rPr>
              <w:t>1</w:t>
            </w:r>
            <w:r w:rsidR="009726AC" w:rsidRPr="002D21EA">
              <w:rPr>
                <w:rFonts w:cs="Arial"/>
                <w:color w:val="00000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B13DF6" w14:textId="2CFE38D6" w:rsidR="009726AC" w:rsidRPr="002D21EA" w:rsidRDefault="00755BDA" w:rsidP="00221DF3">
            <w:pPr>
              <w:pStyle w:val="TableText"/>
              <w:jc w:val="center"/>
            </w:pPr>
            <w:r w:rsidRPr="00755BDA">
              <w:rPr>
                <w:rFonts w:cs="Arial"/>
                <w:color w:val="000000"/>
                <w:szCs w:val="20"/>
                <w:shd w:val="solid" w:color="000000" w:fill="000000"/>
                <w14:textFill>
                  <w14:solidFill>
                    <w14:srgbClr w14:val="000000">
                      <w14:alpha w14:val="100000"/>
                    </w14:srgbClr>
                  </w14:solidFill>
                </w14:textFill>
              </w:rPr>
              <w:t>|</w:t>
            </w:r>
            <w:r w:rsidR="002B355A">
              <w:rPr>
                <w:rFonts w:cs="Arial"/>
                <w:color w:val="000000"/>
                <w:szCs w:val="20"/>
                <w:vertAlign w:val="superscript"/>
              </w:rPr>
              <w:t>2</w:t>
            </w:r>
            <w:r w:rsidR="009726AC" w:rsidRPr="002D21EA">
              <w:rPr>
                <w:rFonts w:cs="Arial"/>
                <w:color w:val="00000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A2CB74" w14:textId="103794D9" w:rsidR="009726AC" w:rsidRPr="002D21EA" w:rsidRDefault="00755BDA" w:rsidP="00221DF3">
            <w:pPr>
              <w:pStyle w:val="TableText"/>
              <w:jc w:val="center"/>
            </w:pPr>
            <w:r w:rsidRPr="00755BDA">
              <w:rPr>
                <w:rFonts w:cs="Arial"/>
                <w:color w:val="000000"/>
                <w:szCs w:val="20"/>
                <w:shd w:val="solid" w:color="000000" w:fill="000000"/>
                <w14:textFill>
                  <w14:solidFill>
                    <w14:srgbClr w14:val="000000">
                      <w14:alpha w14:val="100000"/>
                    </w14:srgbClr>
                  </w14:solidFill>
                </w14:textFill>
              </w:rPr>
              <w:t>|</w:t>
            </w:r>
            <w:r w:rsidR="002B355A">
              <w:rPr>
                <w:rFonts w:cs="Arial"/>
                <w:color w:val="000000"/>
                <w:szCs w:val="20"/>
                <w:vertAlign w:val="superscript"/>
              </w:rPr>
              <w:t>2</w:t>
            </w:r>
            <w:r w:rsidR="009726AC" w:rsidRPr="002D21EA">
              <w:rPr>
                <w:rFonts w:cs="Arial"/>
                <w:color w:val="00000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63E6C0" w14:textId="46075A40" w:rsidR="009726AC" w:rsidRPr="002D21EA" w:rsidRDefault="00755BDA" w:rsidP="00221DF3">
            <w:pPr>
              <w:pStyle w:val="TableText"/>
              <w:jc w:val="center"/>
            </w:pPr>
            <w:r w:rsidRPr="00755BDA">
              <w:rPr>
                <w:rFonts w:cs="Arial"/>
                <w:color w:val="000000"/>
                <w:szCs w:val="20"/>
                <w:shd w:val="solid" w:color="000000" w:fill="000000"/>
                <w14:textFill>
                  <w14:solidFill>
                    <w14:srgbClr w14:val="000000">
                      <w14:alpha w14:val="100000"/>
                    </w14:srgbClr>
                  </w14:solidFill>
                </w14:textFill>
              </w:rPr>
              <w:t>|</w:t>
            </w:r>
            <w:r w:rsidR="002B355A">
              <w:rPr>
                <w:rFonts w:cs="Arial"/>
                <w:color w:val="000000"/>
                <w:szCs w:val="20"/>
                <w:vertAlign w:val="superscript"/>
              </w:rPr>
              <w:t>2</w:t>
            </w:r>
            <w:r w:rsidR="009726AC" w:rsidRPr="002D21EA">
              <w:rPr>
                <w:rFonts w:cs="Arial"/>
                <w:color w:val="000000"/>
                <w:szCs w:val="20"/>
              </w:rPr>
              <w:t xml:space="preserve"> </w:t>
            </w:r>
          </w:p>
        </w:tc>
      </w:tr>
      <w:tr w:rsidR="009726AC" w:rsidRPr="002D21EA" w14:paraId="53858FA3" w14:textId="77777777" w:rsidTr="00221DF3">
        <w:tc>
          <w:tcPr>
            <w:tcW w:w="2263" w:type="dxa"/>
            <w:tcBorders>
              <w:top w:val="single" w:sz="4" w:space="0" w:color="auto"/>
              <w:bottom w:val="single" w:sz="4" w:space="0" w:color="auto"/>
              <w:right w:val="single" w:sz="4" w:space="0" w:color="auto"/>
            </w:tcBorders>
            <w:vAlign w:val="center"/>
          </w:tcPr>
          <w:p w14:paraId="23A13C79" w14:textId="77777777" w:rsidR="009726AC" w:rsidRPr="002D21EA" w:rsidRDefault="009726AC" w:rsidP="00221DF3">
            <w:pPr>
              <w:pStyle w:val="TableText"/>
              <w:keepNext w:val="0"/>
              <w:widowControl w:val="0"/>
              <w:rPr>
                <w:highlight w:val="yellow"/>
                <w:lang w:eastAsia="en-US"/>
              </w:rPr>
            </w:pPr>
            <w:r w:rsidRPr="002D21EA">
              <w:t>Cost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9A3D4" w14:textId="230CD256"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EECDB" w14:textId="1B6CF636"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417CAE" w14:textId="6819DFD0"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8E0FF" w14:textId="069B76C2"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BC82E8" w14:textId="3FB8599C"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F6EA41" w14:textId="00162E54"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7</w:t>
            </w:r>
          </w:p>
        </w:tc>
      </w:tr>
      <w:tr w:rsidR="009726AC" w:rsidRPr="002D21EA" w14:paraId="0A9B0442" w14:textId="77777777" w:rsidTr="00221DF3">
        <w:tc>
          <w:tcPr>
            <w:tcW w:w="2263" w:type="dxa"/>
            <w:tcBorders>
              <w:top w:val="single" w:sz="4" w:space="0" w:color="auto"/>
              <w:bottom w:val="single" w:sz="4" w:space="0" w:color="auto"/>
              <w:right w:val="single" w:sz="4" w:space="0" w:color="auto"/>
            </w:tcBorders>
            <w:vAlign w:val="center"/>
          </w:tcPr>
          <w:p w14:paraId="45E439C1" w14:textId="77777777" w:rsidR="009726AC" w:rsidRPr="002D21EA" w:rsidRDefault="009726AC" w:rsidP="00221DF3">
            <w:pPr>
              <w:pStyle w:val="TableText"/>
              <w:keepNext w:val="0"/>
              <w:widowControl w:val="0"/>
              <w:rPr>
                <w:highlight w:val="yellow"/>
                <w:lang w:eastAsia="en-US"/>
              </w:rPr>
            </w:pPr>
            <w:r w:rsidRPr="002D21EA">
              <w:t>Less patient co-payments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887D46" w14:textId="532D2E0C"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3AD04E" w14:textId="09AAA46D"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60D0F" w14:textId="74B65A7E"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3FF8A8" w14:textId="0D6591CB"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2F06B" w14:textId="00BD8A9A"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3DF2DE" w14:textId="73C29F0C" w:rsidR="009726AC" w:rsidRPr="002B355A" w:rsidRDefault="009726AC" w:rsidP="00221DF3">
            <w:pPr>
              <w:pStyle w:val="TableText"/>
              <w:jc w:val="center"/>
              <w:rPr>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2B355A" w:rsidRPr="002B355A">
              <w:rPr>
                <w:vertAlign w:val="superscript"/>
              </w:rPr>
              <w:t>8</w:t>
            </w:r>
          </w:p>
        </w:tc>
      </w:tr>
      <w:tr w:rsidR="009726AC" w:rsidRPr="002D21EA" w14:paraId="3ADD75B9" w14:textId="77777777" w:rsidTr="00221DF3">
        <w:tc>
          <w:tcPr>
            <w:tcW w:w="2263" w:type="dxa"/>
            <w:tcBorders>
              <w:top w:val="single" w:sz="4" w:space="0" w:color="auto"/>
            </w:tcBorders>
          </w:tcPr>
          <w:p w14:paraId="77FF0C6C" w14:textId="77777777" w:rsidR="009726AC" w:rsidRPr="002D21EA" w:rsidRDefault="009726AC" w:rsidP="00221DF3">
            <w:pPr>
              <w:pStyle w:val="TableText"/>
              <w:keepNext w:val="0"/>
              <w:widowControl w:val="0"/>
              <w:rPr>
                <w:lang w:eastAsia="en-US"/>
              </w:rPr>
            </w:pPr>
            <w:r w:rsidRPr="002D21EA">
              <w:rPr>
                <w:b/>
              </w:rPr>
              <w:t>Total net cost to PBS/RPBS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8C9122" w14:textId="3EF4A002" w:rsidR="009726AC" w:rsidRPr="00C06BB8" w:rsidRDefault="009726AC" w:rsidP="00221DF3">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C06BB8">
              <w:rPr>
                <w:vertAlign w:val="superscript"/>
              </w:rPr>
              <w:t>6</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1A88F9B" w14:textId="5A654B95" w:rsidR="009726AC" w:rsidRPr="00C06BB8" w:rsidRDefault="009726AC" w:rsidP="00221DF3">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C06BB8">
              <w:rPr>
                <w:vertAlign w:val="superscript"/>
              </w:rPr>
              <w:t>6</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A9A075F" w14:textId="5121964E" w:rsidR="009726AC" w:rsidRPr="00C06BB8" w:rsidRDefault="009726AC" w:rsidP="00221DF3">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C06BB8">
              <w:rPr>
                <w:vertAlign w:val="superscript"/>
              </w:rPr>
              <w:t>6</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0219AE18" w14:textId="0C3259CC" w:rsidR="009726AC" w:rsidRPr="00C06BB8" w:rsidRDefault="009726AC" w:rsidP="00221DF3">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C06BB8">
              <w:rPr>
                <w:vertAlign w:val="superscript"/>
              </w:rPr>
              <w:t>7</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E387575" w14:textId="006AE461" w:rsidR="009726AC" w:rsidRPr="00C06BB8" w:rsidRDefault="009726AC" w:rsidP="00221DF3">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C06BB8">
              <w:rPr>
                <w:vertAlign w:val="superscript"/>
              </w:rPr>
              <w:t>7</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6FEDFD3" w14:textId="7255DA53" w:rsidR="009726AC" w:rsidRPr="00C06BB8" w:rsidRDefault="009726AC" w:rsidP="00221DF3">
            <w:pPr>
              <w:pStyle w:val="TableText"/>
              <w:keepNext w:val="0"/>
              <w:widowControl w:val="0"/>
              <w:jc w:val="center"/>
              <w:rPr>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C06BB8">
              <w:rPr>
                <w:vertAlign w:val="superscript"/>
              </w:rPr>
              <w:t>7</w:t>
            </w:r>
          </w:p>
        </w:tc>
      </w:tr>
      <w:tr w:rsidR="009726AC" w:rsidRPr="002D21EA" w14:paraId="3705779B" w14:textId="77777777" w:rsidTr="00221DF3">
        <w:tc>
          <w:tcPr>
            <w:tcW w:w="2263" w:type="dxa"/>
            <w:shd w:val="clear" w:color="auto" w:fill="auto"/>
            <w:vAlign w:val="center"/>
          </w:tcPr>
          <w:p w14:paraId="5CFA0C67" w14:textId="77777777" w:rsidR="009726AC" w:rsidRPr="002D21EA" w:rsidRDefault="009726AC" w:rsidP="00221DF3">
            <w:pPr>
              <w:pStyle w:val="TableText"/>
              <w:keepLines/>
              <w:widowControl w:val="0"/>
              <w:rPr>
                <w:b/>
                <w:bCs w:val="0"/>
                <w:szCs w:val="20"/>
                <w:highlight w:val="yellow"/>
                <w:lang w:eastAsia="en-US"/>
              </w:rPr>
            </w:pPr>
            <w:r w:rsidRPr="002D21EA">
              <w:lastRenderedPageBreak/>
              <w:t>Displaced ranibizumab scripts</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BAAF38" w14:textId="65DDC059" w:rsidR="009726AC" w:rsidRPr="00C06BB8" w:rsidRDefault="009726AC" w:rsidP="00221DF3">
            <w:pPr>
              <w:pStyle w:val="TableText"/>
              <w:keepLines/>
              <w:widowControl w:val="0"/>
              <w:jc w:val="center"/>
              <w:rPr>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E0F573" w14:textId="44C8AB83" w:rsidR="009726AC" w:rsidRPr="00C06BB8" w:rsidRDefault="009726AC" w:rsidP="00221DF3">
            <w:pPr>
              <w:pStyle w:val="TableText"/>
              <w:keepLines/>
              <w:widowControl w:val="0"/>
              <w:jc w:val="center"/>
              <w:rPr>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50B3A" w14:textId="19AD1CFC" w:rsidR="009726AC" w:rsidRPr="00C06BB8" w:rsidRDefault="009726AC" w:rsidP="00221DF3">
            <w:pPr>
              <w:pStyle w:val="TableText"/>
              <w:keepLines/>
              <w:widowControl w:val="0"/>
              <w:jc w:val="center"/>
              <w:rPr>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FC90BB" w14:textId="31FFF519" w:rsidR="009726AC" w:rsidRPr="00C06BB8" w:rsidRDefault="009726AC" w:rsidP="00221DF3">
            <w:pPr>
              <w:pStyle w:val="TableText"/>
              <w:keepLines/>
              <w:widowControl w:val="0"/>
              <w:jc w:val="center"/>
              <w:rPr>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9158C" w14:textId="672B22C0" w:rsidR="009726AC" w:rsidRPr="002D21EA" w:rsidRDefault="009726AC" w:rsidP="00221DF3">
            <w:pPr>
              <w:pStyle w:val="TableText"/>
              <w:keepLines/>
              <w:widowControl w:val="0"/>
              <w:jc w:val="cente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CC7DDD" w14:textId="33FBC731" w:rsidR="009726AC" w:rsidRPr="00C06BB8" w:rsidRDefault="009726AC" w:rsidP="00221DF3">
            <w:pPr>
              <w:pStyle w:val="TableText"/>
              <w:keepLines/>
              <w:widowControl w:val="0"/>
              <w:jc w:val="center"/>
              <w:rPr>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1</w:t>
            </w:r>
          </w:p>
        </w:tc>
      </w:tr>
      <w:tr w:rsidR="009726AC" w:rsidRPr="002D21EA" w14:paraId="435D24E6" w14:textId="77777777" w:rsidTr="00221DF3">
        <w:tc>
          <w:tcPr>
            <w:tcW w:w="2263" w:type="dxa"/>
            <w:shd w:val="clear" w:color="auto" w:fill="auto"/>
            <w:vAlign w:val="center"/>
          </w:tcPr>
          <w:p w14:paraId="67CA337F" w14:textId="77777777" w:rsidR="009726AC" w:rsidRPr="002D21EA" w:rsidRDefault="009726AC" w:rsidP="00221DF3">
            <w:pPr>
              <w:pStyle w:val="TableText"/>
              <w:keepLines/>
              <w:widowControl w:val="0"/>
              <w:rPr>
                <w:b/>
                <w:bCs w:val="0"/>
                <w:szCs w:val="20"/>
                <w:highlight w:val="yellow"/>
                <w:lang w:eastAsia="en-US"/>
              </w:rPr>
            </w:pPr>
            <w:r w:rsidRPr="002D21EA">
              <w:t>Displaced aflibercept scripts</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268632" w14:textId="66104884" w:rsidR="009726AC" w:rsidRPr="00C06BB8" w:rsidRDefault="009726AC" w:rsidP="00221DF3">
            <w:pPr>
              <w:pStyle w:val="TableText"/>
              <w:keepLines/>
              <w:widowControl w:val="0"/>
              <w:jc w:val="center"/>
              <w:rPr>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F71E0F" w14:textId="4743599F" w:rsidR="009726AC" w:rsidRPr="00C06BB8" w:rsidRDefault="009726AC" w:rsidP="00221DF3">
            <w:pPr>
              <w:pStyle w:val="TableText"/>
              <w:keepLines/>
              <w:widowControl w:val="0"/>
              <w:jc w:val="center"/>
              <w:rPr>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8DC86" w14:textId="0E9C35E5" w:rsidR="009726AC" w:rsidRPr="00C06BB8" w:rsidRDefault="009726AC" w:rsidP="00221DF3">
            <w:pPr>
              <w:pStyle w:val="TableText"/>
              <w:keepLines/>
              <w:widowControl w:val="0"/>
              <w:jc w:val="center"/>
              <w:rPr>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40C790" w14:textId="09C7EDC0" w:rsidR="009726AC" w:rsidRPr="00C06BB8" w:rsidRDefault="009726AC" w:rsidP="00221DF3">
            <w:pPr>
              <w:pStyle w:val="TableText"/>
              <w:keepLines/>
              <w:widowControl w:val="0"/>
              <w:jc w:val="center"/>
              <w:rPr>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4B2B6" w14:textId="4B373512" w:rsidR="009726AC" w:rsidRPr="00C06BB8" w:rsidRDefault="009726AC" w:rsidP="00221DF3">
            <w:pPr>
              <w:pStyle w:val="TableText"/>
              <w:keepLines/>
              <w:widowControl w:val="0"/>
              <w:jc w:val="center"/>
              <w:rPr>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B8A9F7" w14:textId="174D2570" w:rsidR="009726AC" w:rsidRPr="00C06BB8" w:rsidRDefault="009726AC" w:rsidP="00221DF3">
            <w:pPr>
              <w:pStyle w:val="TableText"/>
              <w:keepLines/>
              <w:widowControl w:val="0"/>
              <w:jc w:val="center"/>
              <w:rPr>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2</w:t>
            </w:r>
          </w:p>
        </w:tc>
      </w:tr>
      <w:tr w:rsidR="009726AC" w:rsidRPr="002D21EA" w14:paraId="1EEB5A4F" w14:textId="77777777" w:rsidTr="00221DF3">
        <w:tc>
          <w:tcPr>
            <w:tcW w:w="2263" w:type="dxa"/>
            <w:shd w:val="clear" w:color="auto" w:fill="auto"/>
            <w:vAlign w:val="center"/>
          </w:tcPr>
          <w:p w14:paraId="675D5FEC" w14:textId="77777777" w:rsidR="009726AC" w:rsidRPr="002D21EA" w:rsidRDefault="009726AC" w:rsidP="00221DF3">
            <w:pPr>
              <w:pStyle w:val="TableText"/>
              <w:keepLines/>
              <w:widowControl w:val="0"/>
              <w:rPr>
                <w:b/>
                <w:bCs w:val="0"/>
                <w:szCs w:val="20"/>
                <w:highlight w:val="yellow"/>
                <w:lang w:eastAsia="en-US"/>
              </w:rPr>
            </w:pPr>
            <w:r w:rsidRPr="002D21EA">
              <w:rPr>
                <w:lang w:eastAsia="en-US"/>
              </w:rPr>
              <w:t>Total displaced scripts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5CECF" w14:textId="19410AE3" w:rsidR="009726AC" w:rsidRPr="002D21EA" w:rsidRDefault="009726AC" w:rsidP="00221DF3">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2</w:t>
            </w:r>
            <w:r w:rsidRPr="002D21EA">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1F4B8829" w14:textId="73809FA7" w:rsidR="009726AC" w:rsidRPr="002D21EA" w:rsidRDefault="009726AC" w:rsidP="00221DF3">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2</w:t>
            </w:r>
            <w:r w:rsidRPr="002D21EA">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2FB33FC6" w14:textId="04260606" w:rsidR="009726AC" w:rsidRPr="002D21EA" w:rsidRDefault="009726AC" w:rsidP="00221DF3">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2</w:t>
            </w:r>
            <w:r w:rsidRPr="002D21EA">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0AA24F39" w14:textId="4F4833D9" w:rsidR="009726AC" w:rsidRPr="002D21EA" w:rsidRDefault="009726AC" w:rsidP="00221DF3">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3</w:t>
            </w:r>
            <w:r w:rsidRPr="002D21EA">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0FC5EB57" w14:textId="7C88A54F" w:rsidR="009726AC" w:rsidRPr="002D21EA" w:rsidRDefault="009726AC" w:rsidP="00221DF3">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3</w:t>
            </w:r>
            <w:r w:rsidRPr="002D21EA">
              <w:t xml:space="preserve"> </w:t>
            </w:r>
          </w:p>
        </w:tc>
        <w:tc>
          <w:tcPr>
            <w:tcW w:w="1134" w:type="dxa"/>
            <w:tcBorders>
              <w:top w:val="single" w:sz="4" w:space="0" w:color="auto"/>
              <w:left w:val="nil"/>
              <w:bottom w:val="single" w:sz="4" w:space="0" w:color="auto"/>
              <w:right w:val="single" w:sz="4" w:space="0" w:color="auto"/>
            </w:tcBorders>
            <w:shd w:val="clear" w:color="auto" w:fill="auto"/>
          </w:tcPr>
          <w:p w14:paraId="36E233D6" w14:textId="39BA5DE3" w:rsidR="009726AC" w:rsidRPr="002D21EA" w:rsidRDefault="009726AC" w:rsidP="00221DF3">
            <w:pPr>
              <w:pStyle w:val="TableText"/>
              <w:keepLines/>
              <w:widowControl w:val="0"/>
              <w:jc w:val="center"/>
              <w:rPr>
                <w:rFonts w:cs="Arial"/>
                <w:b/>
                <w:bCs w:val="0"/>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C06BB8">
              <w:rPr>
                <w:vertAlign w:val="superscript"/>
              </w:rPr>
              <w:t>3</w:t>
            </w:r>
            <w:r w:rsidRPr="002D21EA">
              <w:t xml:space="preserve"> </w:t>
            </w:r>
          </w:p>
        </w:tc>
      </w:tr>
      <w:tr w:rsidR="009726AC" w:rsidRPr="002D21EA" w14:paraId="14089595" w14:textId="77777777" w:rsidTr="00221DF3">
        <w:tc>
          <w:tcPr>
            <w:tcW w:w="2263" w:type="dxa"/>
            <w:shd w:val="clear" w:color="auto" w:fill="auto"/>
            <w:vAlign w:val="center"/>
          </w:tcPr>
          <w:p w14:paraId="45F439B4" w14:textId="77777777" w:rsidR="009726AC" w:rsidRPr="002D21EA" w:rsidRDefault="009726AC" w:rsidP="00221DF3">
            <w:pPr>
              <w:pStyle w:val="TableText"/>
              <w:keepLines/>
              <w:widowControl w:val="0"/>
              <w:rPr>
                <w:b/>
                <w:bCs w:val="0"/>
                <w:szCs w:val="20"/>
                <w:highlight w:val="yellow"/>
                <w:lang w:eastAsia="en-US"/>
              </w:rPr>
            </w:pPr>
            <w:r w:rsidRPr="002D21EA">
              <w:rPr>
                <w:lang w:eastAsia="en-US"/>
              </w:rPr>
              <w:t>Offsets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56804A" w14:textId="2B13DDC7" w:rsidR="009726AC" w:rsidRPr="00C06BB8" w:rsidRDefault="009726AC" w:rsidP="00221DF3">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tcPr>
          <w:p w14:paraId="22845ED1" w14:textId="2F037278" w:rsidR="009726AC" w:rsidRPr="00C06BB8" w:rsidRDefault="009726AC" w:rsidP="00221DF3">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tcPr>
          <w:p w14:paraId="4B3639CA" w14:textId="588841B5" w:rsidR="009726AC" w:rsidRPr="00C06BB8" w:rsidRDefault="009726AC" w:rsidP="00221DF3">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tcPr>
          <w:p w14:paraId="7A53C742" w14:textId="7355D389" w:rsidR="009726AC" w:rsidRPr="00C06BB8" w:rsidRDefault="009726AC" w:rsidP="00221DF3">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11</w:t>
            </w:r>
          </w:p>
        </w:tc>
        <w:tc>
          <w:tcPr>
            <w:tcW w:w="1134" w:type="dxa"/>
            <w:tcBorders>
              <w:top w:val="single" w:sz="4" w:space="0" w:color="auto"/>
              <w:left w:val="nil"/>
              <w:bottom w:val="single" w:sz="4" w:space="0" w:color="auto"/>
              <w:right w:val="single" w:sz="4" w:space="0" w:color="auto"/>
            </w:tcBorders>
            <w:shd w:val="clear" w:color="auto" w:fill="auto"/>
          </w:tcPr>
          <w:p w14:paraId="7B1016C0" w14:textId="62B1D71E" w:rsidR="009726AC" w:rsidRPr="00C06BB8" w:rsidRDefault="009726AC" w:rsidP="00221DF3">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11</w:t>
            </w:r>
          </w:p>
        </w:tc>
        <w:tc>
          <w:tcPr>
            <w:tcW w:w="1134" w:type="dxa"/>
            <w:tcBorders>
              <w:top w:val="single" w:sz="4" w:space="0" w:color="auto"/>
              <w:left w:val="nil"/>
              <w:bottom w:val="single" w:sz="4" w:space="0" w:color="auto"/>
              <w:right w:val="single" w:sz="4" w:space="0" w:color="auto"/>
            </w:tcBorders>
            <w:shd w:val="clear" w:color="auto" w:fill="auto"/>
          </w:tcPr>
          <w:p w14:paraId="3345B39E" w14:textId="3070E998" w:rsidR="009726AC" w:rsidRPr="00C06BB8" w:rsidRDefault="009726AC" w:rsidP="00221DF3">
            <w:pPr>
              <w:pStyle w:val="TableText"/>
              <w:keepLines/>
              <w:widowControl w:val="0"/>
              <w:jc w:val="center"/>
              <w:rPr>
                <w:rFonts w:cs="Arial"/>
                <w:b/>
                <w:bCs w:val="0"/>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11</w:t>
            </w:r>
          </w:p>
        </w:tc>
      </w:tr>
      <w:tr w:rsidR="009726AC" w:rsidRPr="002D21EA" w14:paraId="6934A8F9" w14:textId="77777777" w:rsidTr="00221DF3">
        <w:tc>
          <w:tcPr>
            <w:tcW w:w="2263" w:type="dxa"/>
            <w:shd w:val="clear" w:color="auto" w:fill="auto"/>
            <w:vAlign w:val="center"/>
          </w:tcPr>
          <w:p w14:paraId="285F3F29" w14:textId="77777777" w:rsidR="009726AC" w:rsidRPr="002D21EA" w:rsidRDefault="009726AC" w:rsidP="00221DF3">
            <w:pPr>
              <w:pStyle w:val="TableText"/>
              <w:keepLines/>
              <w:widowControl w:val="0"/>
              <w:rPr>
                <w:b/>
                <w:bCs w:val="0"/>
                <w:szCs w:val="20"/>
                <w:highlight w:val="yellow"/>
                <w:lang w:eastAsia="en-US"/>
              </w:rPr>
            </w:pPr>
            <w:r w:rsidRPr="002D21EA">
              <w:rPr>
                <w:lang w:eastAsia="en-US"/>
              </w:rPr>
              <w:t>Less patient co-payments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06CD0D" w14:textId="7CA380F9" w:rsidR="009726AC" w:rsidRPr="00C06BB8"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8</w:t>
            </w:r>
          </w:p>
        </w:tc>
        <w:tc>
          <w:tcPr>
            <w:tcW w:w="1134" w:type="dxa"/>
            <w:tcBorders>
              <w:top w:val="single" w:sz="4" w:space="0" w:color="auto"/>
              <w:left w:val="nil"/>
              <w:bottom w:val="single" w:sz="4" w:space="0" w:color="auto"/>
              <w:right w:val="single" w:sz="4" w:space="0" w:color="auto"/>
            </w:tcBorders>
            <w:shd w:val="clear" w:color="auto" w:fill="auto"/>
          </w:tcPr>
          <w:p w14:paraId="44F55EAA" w14:textId="7BC8B1A9" w:rsidR="009726AC" w:rsidRPr="00C06BB8"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8</w:t>
            </w:r>
          </w:p>
        </w:tc>
        <w:tc>
          <w:tcPr>
            <w:tcW w:w="1134" w:type="dxa"/>
            <w:tcBorders>
              <w:top w:val="single" w:sz="4" w:space="0" w:color="auto"/>
              <w:left w:val="nil"/>
              <w:bottom w:val="single" w:sz="4" w:space="0" w:color="auto"/>
              <w:right w:val="single" w:sz="4" w:space="0" w:color="auto"/>
            </w:tcBorders>
            <w:shd w:val="clear" w:color="auto" w:fill="auto"/>
          </w:tcPr>
          <w:p w14:paraId="143D6BAA" w14:textId="1F64F0E1" w:rsidR="009726AC" w:rsidRPr="00C06BB8"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8</w:t>
            </w:r>
          </w:p>
        </w:tc>
        <w:tc>
          <w:tcPr>
            <w:tcW w:w="1134" w:type="dxa"/>
            <w:tcBorders>
              <w:top w:val="single" w:sz="4" w:space="0" w:color="auto"/>
              <w:left w:val="nil"/>
              <w:bottom w:val="single" w:sz="4" w:space="0" w:color="auto"/>
              <w:right w:val="single" w:sz="4" w:space="0" w:color="auto"/>
            </w:tcBorders>
            <w:shd w:val="clear" w:color="auto" w:fill="auto"/>
          </w:tcPr>
          <w:p w14:paraId="13580C50" w14:textId="0E69F558" w:rsidR="009726AC" w:rsidRPr="00C06BB8"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8</w:t>
            </w:r>
          </w:p>
        </w:tc>
        <w:tc>
          <w:tcPr>
            <w:tcW w:w="1134" w:type="dxa"/>
            <w:tcBorders>
              <w:top w:val="single" w:sz="4" w:space="0" w:color="auto"/>
              <w:left w:val="nil"/>
              <w:bottom w:val="single" w:sz="4" w:space="0" w:color="auto"/>
              <w:right w:val="single" w:sz="4" w:space="0" w:color="auto"/>
            </w:tcBorders>
            <w:shd w:val="clear" w:color="auto" w:fill="auto"/>
          </w:tcPr>
          <w:p w14:paraId="33DD0B57" w14:textId="76BF1277" w:rsidR="009726AC" w:rsidRPr="00C06BB8"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8</w:t>
            </w:r>
          </w:p>
        </w:tc>
        <w:tc>
          <w:tcPr>
            <w:tcW w:w="1134" w:type="dxa"/>
            <w:tcBorders>
              <w:top w:val="single" w:sz="4" w:space="0" w:color="auto"/>
              <w:left w:val="nil"/>
              <w:bottom w:val="single" w:sz="4" w:space="0" w:color="auto"/>
              <w:right w:val="single" w:sz="4" w:space="0" w:color="auto"/>
            </w:tcBorders>
            <w:shd w:val="clear" w:color="auto" w:fill="auto"/>
          </w:tcPr>
          <w:p w14:paraId="4208DDE0" w14:textId="3DF2CACF" w:rsidR="009726AC" w:rsidRPr="00C06BB8"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C06BB8" w:rsidRPr="00C06BB8">
              <w:rPr>
                <w:vertAlign w:val="superscript"/>
              </w:rPr>
              <w:t>8</w:t>
            </w:r>
          </w:p>
        </w:tc>
      </w:tr>
      <w:tr w:rsidR="009726AC" w:rsidRPr="002D21EA" w14:paraId="19F1BD37" w14:textId="77777777" w:rsidTr="00221DF3">
        <w:tc>
          <w:tcPr>
            <w:tcW w:w="2263" w:type="dxa"/>
            <w:shd w:val="clear" w:color="auto" w:fill="auto"/>
            <w:vAlign w:val="center"/>
          </w:tcPr>
          <w:p w14:paraId="2443470E" w14:textId="77777777" w:rsidR="009726AC" w:rsidRPr="002D21EA" w:rsidRDefault="009726AC" w:rsidP="00221DF3">
            <w:pPr>
              <w:pStyle w:val="TableText"/>
              <w:keepLines/>
              <w:widowControl w:val="0"/>
              <w:rPr>
                <w:b/>
                <w:bCs w:val="0"/>
                <w:szCs w:val="20"/>
                <w:highlight w:val="yellow"/>
                <w:lang w:eastAsia="en-US"/>
              </w:rPr>
            </w:pPr>
            <w:r w:rsidRPr="002D21EA">
              <w:rPr>
                <w:b/>
                <w:lang w:eastAsia="en-US"/>
              </w:rPr>
              <w:t>Net offsets to PBS/RPBS</w:t>
            </w:r>
          </w:p>
        </w:tc>
        <w:tc>
          <w:tcPr>
            <w:tcW w:w="1134" w:type="dxa"/>
            <w:tcBorders>
              <w:top w:val="single" w:sz="4" w:space="0" w:color="auto"/>
              <w:left w:val="nil"/>
              <w:bottom w:val="single" w:sz="4" w:space="0" w:color="auto"/>
              <w:right w:val="single" w:sz="4" w:space="0" w:color="auto"/>
            </w:tcBorders>
            <w:shd w:val="clear" w:color="auto" w:fill="auto"/>
          </w:tcPr>
          <w:p w14:paraId="44099B75" w14:textId="36EF6F8F" w:rsidR="009726AC" w:rsidRPr="00C06BB8" w:rsidRDefault="009726AC" w:rsidP="00221DF3">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C06BB8" w:rsidRPr="00C06BB8">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9DBA42" w14:textId="7DDFFFCB" w:rsidR="009726AC" w:rsidRPr="00C06BB8" w:rsidRDefault="009726AC" w:rsidP="00221DF3">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C06BB8" w:rsidRPr="00C06BB8">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FF5F41" w14:textId="7F2AA068" w:rsidR="009726AC" w:rsidRPr="00C06BB8" w:rsidRDefault="009726AC" w:rsidP="00221DF3">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C06BB8" w:rsidRPr="00C06BB8">
              <w:rPr>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F5FBF4" w14:textId="5E2BB71F" w:rsidR="009726AC" w:rsidRPr="00C06BB8" w:rsidRDefault="009726AC" w:rsidP="00221DF3">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C06BB8" w:rsidRPr="00C06BB8">
              <w:rPr>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CFBA73" w14:textId="708138E6" w:rsidR="009726AC" w:rsidRPr="00C06BB8" w:rsidRDefault="009726AC" w:rsidP="00221DF3">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C06BB8" w:rsidRPr="00C06BB8">
              <w:rPr>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309C87" w14:textId="6A7097CB" w:rsidR="009726AC" w:rsidRPr="00C06BB8" w:rsidRDefault="009726AC" w:rsidP="00221DF3">
            <w:pPr>
              <w:pStyle w:val="Tabletext1"/>
              <w:jc w:val="center"/>
              <w:rPr>
                <w:highlight w:val="yellow"/>
                <w:vertAlign w:val="superscript"/>
              </w:rPr>
            </w:pPr>
            <w:r w:rsidRPr="002D21EA">
              <w:rPr>
                <w:b/>
                <w:bCs/>
              </w:rPr>
              <w:t>-$</w:t>
            </w:r>
            <w:r w:rsidR="00755BDA" w:rsidRPr="00755BDA">
              <w:rPr>
                <w:b/>
                <w:bCs/>
                <w:color w:val="000000"/>
                <w:shd w:val="solid" w:color="000000" w:fill="000000"/>
                <w14:textFill>
                  <w14:solidFill>
                    <w14:srgbClr w14:val="000000">
                      <w14:alpha w14:val="100000"/>
                    </w14:srgbClr>
                  </w14:solidFill>
                </w14:textFill>
              </w:rPr>
              <w:t>|</w:t>
            </w:r>
            <w:r w:rsidR="00C06BB8" w:rsidRPr="00C06BB8">
              <w:rPr>
                <w:vertAlign w:val="superscript"/>
              </w:rPr>
              <w:t>11</w:t>
            </w:r>
          </w:p>
        </w:tc>
      </w:tr>
      <w:tr w:rsidR="009726AC" w:rsidRPr="002D21EA" w14:paraId="7C9DC676" w14:textId="77777777" w:rsidTr="00221DF3">
        <w:tc>
          <w:tcPr>
            <w:tcW w:w="2263" w:type="dxa"/>
            <w:shd w:val="clear" w:color="auto" w:fill="auto"/>
            <w:vAlign w:val="center"/>
          </w:tcPr>
          <w:p w14:paraId="69F4961C" w14:textId="77777777" w:rsidR="009726AC" w:rsidRPr="002D21EA" w:rsidRDefault="009726AC" w:rsidP="00221DF3">
            <w:pPr>
              <w:pStyle w:val="TableText"/>
              <w:keepLines/>
              <w:widowControl w:val="0"/>
              <w:rPr>
                <w:b/>
                <w:bCs w:val="0"/>
                <w:szCs w:val="20"/>
                <w:highlight w:val="yellow"/>
                <w:lang w:eastAsia="en-US"/>
              </w:rPr>
            </w:pPr>
            <w:r w:rsidRPr="002D21EA">
              <w:rPr>
                <w:b/>
                <w:lang w:eastAsia="en-US"/>
              </w:rPr>
              <w:t>Net cost to PBS/RPBS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2F93AD" w14:textId="0B80F3AC" w:rsidR="009726AC" w:rsidRPr="00C06BB8"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C06BB8" w:rsidRPr="00C06BB8">
              <w:rPr>
                <w:vertAlign w:val="superscript"/>
              </w:rPr>
              <w:t>12</w:t>
            </w:r>
          </w:p>
        </w:tc>
        <w:tc>
          <w:tcPr>
            <w:tcW w:w="1134" w:type="dxa"/>
            <w:tcBorders>
              <w:top w:val="single" w:sz="4" w:space="0" w:color="auto"/>
              <w:left w:val="nil"/>
              <w:bottom w:val="single" w:sz="4" w:space="0" w:color="auto"/>
              <w:right w:val="single" w:sz="4" w:space="0" w:color="auto"/>
            </w:tcBorders>
            <w:shd w:val="clear" w:color="auto" w:fill="auto"/>
          </w:tcPr>
          <w:p w14:paraId="27413615" w14:textId="0C09BD94" w:rsidR="009726AC" w:rsidRPr="00C06BB8"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C06BB8" w:rsidRPr="00C06BB8">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tcPr>
          <w:p w14:paraId="0BC47C21" w14:textId="5CA69DF4" w:rsidR="009726AC" w:rsidRPr="00C06BB8"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C06BB8" w:rsidRPr="00C06BB8">
              <w:rPr>
                <w:vertAlign w:val="superscript"/>
              </w:rPr>
              <w:t>14</w:t>
            </w:r>
          </w:p>
        </w:tc>
        <w:tc>
          <w:tcPr>
            <w:tcW w:w="1134" w:type="dxa"/>
            <w:tcBorders>
              <w:top w:val="single" w:sz="4" w:space="0" w:color="auto"/>
              <w:left w:val="nil"/>
              <w:bottom w:val="single" w:sz="4" w:space="0" w:color="auto"/>
              <w:right w:val="single" w:sz="4" w:space="0" w:color="auto"/>
            </w:tcBorders>
            <w:shd w:val="clear" w:color="auto" w:fill="auto"/>
          </w:tcPr>
          <w:p w14:paraId="0BDAAFD2" w14:textId="2E0708AE" w:rsidR="009726AC" w:rsidRPr="00E54D34"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54D34" w:rsidRPr="00E54D34">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5F97B6BF" w14:textId="3A0FE78C" w:rsidR="009726AC" w:rsidRPr="00E54D34"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54D34" w:rsidRPr="00E54D34">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5A4AA4B6" w14:textId="0FA1E1F5" w:rsidR="009726AC" w:rsidRPr="00E54D34"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E54D34" w:rsidRPr="00E54D34">
              <w:rPr>
                <w:vertAlign w:val="superscript"/>
              </w:rPr>
              <w:t>6</w:t>
            </w:r>
          </w:p>
        </w:tc>
      </w:tr>
      <w:tr w:rsidR="009726AC" w:rsidRPr="002D21EA" w14:paraId="184531BF" w14:textId="77777777" w:rsidTr="00221DF3">
        <w:tc>
          <w:tcPr>
            <w:tcW w:w="2263" w:type="dxa"/>
            <w:shd w:val="clear" w:color="auto" w:fill="auto"/>
            <w:vAlign w:val="center"/>
          </w:tcPr>
          <w:p w14:paraId="4BD38FBB" w14:textId="77777777" w:rsidR="009726AC" w:rsidRPr="002D21EA" w:rsidRDefault="009726AC" w:rsidP="00221DF3">
            <w:pPr>
              <w:pStyle w:val="TableText"/>
              <w:keepLines/>
              <w:widowControl w:val="0"/>
              <w:rPr>
                <w:szCs w:val="20"/>
                <w:lang w:eastAsia="en-US"/>
              </w:rPr>
            </w:pPr>
            <w:r w:rsidRPr="002D21EA">
              <w:rPr>
                <w:szCs w:val="20"/>
                <w:lang w:eastAsia="en-US"/>
              </w:rPr>
              <w:t>MBS costs faricimab</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DE44F" w14:textId="68A21731" w:rsidR="009726AC" w:rsidRPr="00E54D34"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776C6956" w14:textId="30F1C64F" w:rsidR="009726AC" w:rsidRPr="00E54D34"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151202C1" w14:textId="1EF4E259" w:rsidR="009726AC" w:rsidRPr="00E54D34"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6F0058FD" w14:textId="7FAD683E" w:rsidR="009726AC" w:rsidRPr="002D21EA" w:rsidRDefault="009726AC" w:rsidP="00221DF3">
            <w:pPr>
              <w:pStyle w:val="TableText"/>
              <w:keepLines/>
              <w:widowControl w:val="0"/>
              <w:jc w:val="center"/>
              <w:rPr>
                <w:rFonts w:cs="Arial"/>
                <w:szCs w:val="20"/>
                <w:highlight w:val="yellow"/>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7B62C88F" w14:textId="36131B2E" w:rsidR="009726AC" w:rsidRPr="00E54D34"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17B51076" w14:textId="4A2C2686" w:rsidR="009726AC" w:rsidRPr="00E54D34"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6</w:t>
            </w:r>
          </w:p>
        </w:tc>
      </w:tr>
      <w:tr w:rsidR="009726AC" w:rsidRPr="002D21EA" w14:paraId="79BD5F41" w14:textId="77777777" w:rsidTr="00221DF3">
        <w:tc>
          <w:tcPr>
            <w:tcW w:w="2263" w:type="dxa"/>
            <w:shd w:val="clear" w:color="auto" w:fill="auto"/>
            <w:vAlign w:val="center"/>
          </w:tcPr>
          <w:p w14:paraId="31922CAD" w14:textId="77777777" w:rsidR="009726AC" w:rsidRPr="002D21EA" w:rsidRDefault="009726AC" w:rsidP="00221DF3">
            <w:pPr>
              <w:pStyle w:val="TableText"/>
              <w:keepLines/>
              <w:widowControl w:val="0"/>
              <w:rPr>
                <w:szCs w:val="20"/>
                <w:lang w:eastAsia="en-US"/>
              </w:rPr>
            </w:pPr>
            <w:r w:rsidRPr="002D21EA">
              <w:rPr>
                <w:szCs w:val="20"/>
                <w:lang w:eastAsia="en-US"/>
              </w:rPr>
              <w:t>MBS cost offsets ranibizumab/aflibercept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C8BCD7" w14:textId="11098287" w:rsidR="009726AC" w:rsidRPr="00E54D34"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630175B2" w14:textId="7E120C6A" w:rsidR="009726AC" w:rsidRPr="00E54D34"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4A0D1597" w14:textId="6A01723E" w:rsidR="009726AC" w:rsidRPr="00E54D34"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tcPr>
          <w:p w14:paraId="73021938" w14:textId="50DA210A" w:rsidR="009726AC" w:rsidRPr="00E54D34"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tcPr>
          <w:p w14:paraId="328E719B" w14:textId="0B4B24C8" w:rsidR="009726AC" w:rsidRPr="00E54D34"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7</w:t>
            </w:r>
          </w:p>
        </w:tc>
        <w:tc>
          <w:tcPr>
            <w:tcW w:w="1134" w:type="dxa"/>
            <w:tcBorders>
              <w:top w:val="single" w:sz="4" w:space="0" w:color="auto"/>
              <w:left w:val="nil"/>
              <w:bottom w:val="single" w:sz="4" w:space="0" w:color="auto"/>
              <w:right w:val="single" w:sz="4" w:space="0" w:color="auto"/>
            </w:tcBorders>
            <w:shd w:val="clear" w:color="auto" w:fill="auto"/>
          </w:tcPr>
          <w:p w14:paraId="1DA90F51" w14:textId="4FAC5D87" w:rsidR="009726AC" w:rsidRPr="00E54D34" w:rsidRDefault="009726AC" w:rsidP="00221DF3">
            <w:pPr>
              <w:pStyle w:val="TableText"/>
              <w:keepLines/>
              <w:widowControl w:val="0"/>
              <w:jc w:val="center"/>
              <w:rPr>
                <w:rFonts w:cs="Arial"/>
                <w:szCs w:val="20"/>
                <w:highlight w:val="yellow"/>
                <w:vertAlign w:val="superscript"/>
              </w:rPr>
            </w:pPr>
            <w:r w:rsidRPr="002D21EA">
              <w:t>-$</w:t>
            </w:r>
            <w:r w:rsidR="00755BDA" w:rsidRPr="00755BDA">
              <w:rPr>
                <w:color w:val="000000"/>
                <w:shd w:val="solid" w:color="000000" w:fill="000000"/>
                <w14:textFill>
                  <w14:solidFill>
                    <w14:srgbClr w14:val="000000">
                      <w14:alpha w14:val="100000"/>
                    </w14:srgbClr>
                  </w14:solidFill>
                </w14:textFill>
              </w:rPr>
              <w:t>|</w:t>
            </w:r>
            <w:r w:rsidR="00E54D34" w:rsidRPr="00E54D34">
              <w:rPr>
                <w:vertAlign w:val="superscript"/>
              </w:rPr>
              <w:t>7</w:t>
            </w:r>
          </w:p>
        </w:tc>
      </w:tr>
      <w:tr w:rsidR="009726AC" w:rsidRPr="002D21EA" w14:paraId="0018060C" w14:textId="77777777" w:rsidTr="00221DF3">
        <w:tc>
          <w:tcPr>
            <w:tcW w:w="2263" w:type="dxa"/>
            <w:shd w:val="clear" w:color="auto" w:fill="auto"/>
            <w:vAlign w:val="center"/>
          </w:tcPr>
          <w:p w14:paraId="70FC2FBB" w14:textId="77777777" w:rsidR="009726AC" w:rsidRPr="002D21EA" w:rsidRDefault="009726AC" w:rsidP="00221DF3">
            <w:pPr>
              <w:pStyle w:val="TableText"/>
              <w:keepLines/>
              <w:widowControl w:val="0"/>
              <w:rPr>
                <w:b/>
                <w:bCs w:val="0"/>
                <w:szCs w:val="20"/>
                <w:lang w:eastAsia="en-US"/>
              </w:rPr>
            </w:pPr>
            <w:r w:rsidRPr="002D21EA">
              <w:rPr>
                <w:b/>
                <w:bCs w:val="0"/>
                <w:szCs w:val="20"/>
                <w:lang w:eastAsia="en-US"/>
              </w:rPr>
              <w:t>Net cost to MBS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00129" w14:textId="79DDEE08" w:rsidR="009726AC" w:rsidRPr="00153225" w:rsidRDefault="009726AC" w:rsidP="00221DF3">
            <w:pPr>
              <w:pStyle w:val="TableText"/>
              <w:keepLines/>
              <w:widowControl w:val="0"/>
              <w:jc w:val="center"/>
              <w:rPr>
                <w:rFonts w:cs="Arial"/>
                <w:b/>
                <w:bCs w:val="0"/>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Pr>
                <w:vertAlign w:val="superscript"/>
              </w:rPr>
              <w:t>15</w:t>
            </w:r>
          </w:p>
        </w:tc>
        <w:tc>
          <w:tcPr>
            <w:tcW w:w="1134" w:type="dxa"/>
            <w:tcBorders>
              <w:top w:val="single" w:sz="4" w:space="0" w:color="auto"/>
              <w:left w:val="nil"/>
              <w:bottom w:val="single" w:sz="4" w:space="0" w:color="auto"/>
              <w:right w:val="single" w:sz="4" w:space="0" w:color="auto"/>
            </w:tcBorders>
            <w:shd w:val="clear" w:color="auto" w:fill="auto"/>
          </w:tcPr>
          <w:p w14:paraId="01F94EDA" w14:textId="14EB493D" w:rsidR="009726AC" w:rsidRPr="00153225"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Pr>
                <w:vertAlign w:val="superscript"/>
              </w:rPr>
              <w:t>16</w:t>
            </w:r>
          </w:p>
        </w:tc>
        <w:tc>
          <w:tcPr>
            <w:tcW w:w="1134" w:type="dxa"/>
            <w:tcBorders>
              <w:top w:val="single" w:sz="4" w:space="0" w:color="auto"/>
              <w:left w:val="nil"/>
              <w:bottom w:val="single" w:sz="4" w:space="0" w:color="auto"/>
              <w:right w:val="single" w:sz="4" w:space="0" w:color="auto"/>
            </w:tcBorders>
            <w:shd w:val="clear" w:color="auto" w:fill="auto"/>
          </w:tcPr>
          <w:p w14:paraId="5452A336" w14:textId="2E6C2BC0" w:rsidR="009726AC" w:rsidRPr="00153225"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sidRPr="00153225">
              <w:rPr>
                <w:vertAlign w:val="superscript"/>
              </w:rPr>
              <w:t>12</w:t>
            </w:r>
          </w:p>
        </w:tc>
        <w:tc>
          <w:tcPr>
            <w:tcW w:w="1134" w:type="dxa"/>
            <w:tcBorders>
              <w:top w:val="single" w:sz="4" w:space="0" w:color="auto"/>
              <w:left w:val="nil"/>
              <w:bottom w:val="single" w:sz="4" w:space="0" w:color="auto"/>
              <w:right w:val="single" w:sz="4" w:space="0" w:color="auto"/>
            </w:tcBorders>
            <w:shd w:val="clear" w:color="auto" w:fill="auto"/>
          </w:tcPr>
          <w:p w14:paraId="014C3A4C" w14:textId="2727CB11" w:rsidR="009726AC" w:rsidRPr="00153225"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sidRPr="00153225">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tcPr>
          <w:p w14:paraId="64651A66" w14:textId="04DE1F18" w:rsidR="009726AC" w:rsidRPr="00153225" w:rsidRDefault="009726AC" w:rsidP="00221DF3">
            <w:pPr>
              <w:pStyle w:val="TableText"/>
              <w:keepLines/>
              <w:widowControl w:val="0"/>
              <w:jc w:val="center"/>
              <w:rPr>
                <w:rFonts w:cs="Arial"/>
                <w:szCs w:val="20"/>
                <w:highlight w:val="yellow"/>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sidRPr="00153225">
              <w:rPr>
                <w:vertAlign w:val="superscript"/>
              </w:rPr>
              <w:t>17</w:t>
            </w:r>
          </w:p>
        </w:tc>
        <w:tc>
          <w:tcPr>
            <w:tcW w:w="1134" w:type="dxa"/>
            <w:tcBorders>
              <w:top w:val="single" w:sz="4" w:space="0" w:color="auto"/>
              <w:left w:val="nil"/>
              <w:bottom w:val="single" w:sz="4" w:space="0" w:color="auto"/>
              <w:right w:val="single" w:sz="4" w:space="0" w:color="auto"/>
            </w:tcBorders>
            <w:shd w:val="clear" w:color="auto" w:fill="auto"/>
          </w:tcPr>
          <w:p w14:paraId="15B29C04" w14:textId="61ABE422" w:rsidR="009726AC" w:rsidRPr="00153225"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sidRPr="00153225">
              <w:rPr>
                <w:vertAlign w:val="superscript"/>
              </w:rPr>
              <w:t>17</w:t>
            </w:r>
          </w:p>
        </w:tc>
      </w:tr>
      <w:tr w:rsidR="009726AC" w:rsidRPr="002D21EA" w14:paraId="3419C9B2" w14:textId="77777777" w:rsidTr="00221DF3">
        <w:tc>
          <w:tcPr>
            <w:tcW w:w="2263" w:type="dxa"/>
            <w:shd w:val="clear" w:color="auto" w:fill="auto"/>
            <w:vAlign w:val="center"/>
          </w:tcPr>
          <w:p w14:paraId="34AC9D80" w14:textId="77777777" w:rsidR="009726AC" w:rsidRPr="002D21EA" w:rsidRDefault="009726AC" w:rsidP="00221DF3">
            <w:pPr>
              <w:pStyle w:val="TableText"/>
              <w:keepLines/>
              <w:widowControl w:val="0"/>
              <w:rPr>
                <w:b/>
                <w:bCs w:val="0"/>
                <w:szCs w:val="20"/>
                <w:lang w:eastAsia="en-US"/>
              </w:rPr>
            </w:pPr>
            <w:r w:rsidRPr="002D21EA">
              <w:rPr>
                <w:b/>
                <w:bCs w:val="0"/>
                <w:szCs w:val="20"/>
                <w:lang w:eastAsia="en-US"/>
              </w:rPr>
              <w:t>Overall Net cost to Gov’t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23189B" w14:textId="105DFFBA" w:rsidR="009726AC" w:rsidRPr="00153225"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sidRPr="00153225">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2673E95F" w14:textId="42400479" w:rsidR="009726AC" w:rsidRPr="00153225"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sidRPr="00153225">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47CCAD0A" w14:textId="1CD03B73" w:rsidR="009726AC" w:rsidRPr="00153225"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sidRPr="00153225">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12173612" w14:textId="5AA705F0" w:rsidR="009726AC" w:rsidRPr="00153225"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sidRPr="00153225">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1F82176C" w14:textId="0EB6EC87" w:rsidR="009726AC" w:rsidRPr="00153225"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sidRPr="00153225">
              <w:rPr>
                <w:vertAlign w:val="superscript"/>
              </w:rPr>
              <w:t>6</w:t>
            </w:r>
          </w:p>
        </w:tc>
        <w:tc>
          <w:tcPr>
            <w:tcW w:w="1134" w:type="dxa"/>
            <w:tcBorders>
              <w:top w:val="single" w:sz="4" w:space="0" w:color="auto"/>
              <w:left w:val="nil"/>
              <w:bottom w:val="single" w:sz="4" w:space="0" w:color="auto"/>
              <w:right w:val="single" w:sz="4" w:space="0" w:color="auto"/>
            </w:tcBorders>
            <w:shd w:val="clear" w:color="auto" w:fill="auto"/>
          </w:tcPr>
          <w:p w14:paraId="5CC95DA1" w14:textId="4DA9CED0" w:rsidR="009726AC" w:rsidRPr="00153225" w:rsidRDefault="009726AC" w:rsidP="00221DF3">
            <w:pPr>
              <w:pStyle w:val="TableText"/>
              <w:keepLines/>
              <w:widowControl w:val="0"/>
              <w:jc w:val="center"/>
              <w:rPr>
                <w:rFonts w:cs="Arial"/>
                <w:szCs w:val="20"/>
                <w:highlight w:val="yellow"/>
                <w:vertAlign w:val="superscript"/>
              </w:rPr>
            </w:pPr>
            <w:r w:rsidRPr="002D21EA">
              <w:rPr>
                <w:b/>
                <w:bCs w:val="0"/>
              </w:rPr>
              <w:t>-$</w:t>
            </w:r>
            <w:r w:rsidR="00755BDA" w:rsidRPr="00755BDA">
              <w:rPr>
                <w:b/>
                <w:bCs w:val="0"/>
                <w:color w:val="000000"/>
                <w:shd w:val="solid" w:color="000000" w:fill="000000"/>
                <w14:textFill>
                  <w14:solidFill>
                    <w14:srgbClr w14:val="000000">
                      <w14:alpha w14:val="100000"/>
                    </w14:srgbClr>
                  </w14:solidFill>
                </w14:textFill>
              </w:rPr>
              <w:t>|</w:t>
            </w:r>
            <w:r w:rsidR="00153225" w:rsidRPr="00153225">
              <w:rPr>
                <w:vertAlign w:val="superscript"/>
              </w:rPr>
              <w:t>7</w:t>
            </w:r>
          </w:p>
        </w:tc>
      </w:tr>
    </w:tbl>
    <w:p w14:paraId="5C5B9432" w14:textId="725EE7B1" w:rsidR="009726AC" w:rsidRDefault="009726AC" w:rsidP="004024C8">
      <w:pPr>
        <w:pStyle w:val="Tableheadingrow"/>
        <w:rPr>
          <w:b w:val="0"/>
          <w:lang w:val="en-AU"/>
        </w:rPr>
      </w:pPr>
      <w:r w:rsidRPr="002D21EA">
        <w:rPr>
          <w:b w:val="0"/>
          <w:lang w:val="en-AU"/>
        </w:rPr>
        <w:t xml:space="preserve">Source: Calculated during the evaluation using </w:t>
      </w:r>
      <w:r w:rsidR="00420C97">
        <w:rPr>
          <w:b w:val="0"/>
          <w:lang w:val="en-AU"/>
        </w:rPr>
        <w:t xml:space="preserve">updated PBS data </w:t>
      </w:r>
      <w:r w:rsidRPr="002D21EA">
        <w:rPr>
          <w:b w:val="0"/>
          <w:lang w:val="en-AU"/>
        </w:rPr>
        <w:t>of average scripts/year for aflibercept and ranibizumab.</w:t>
      </w:r>
    </w:p>
    <w:p w14:paraId="3DEB570E" w14:textId="55D7116E" w:rsidR="00485200" w:rsidRDefault="00485200" w:rsidP="004024C8">
      <w:pPr>
        <w:pStyle w:val="Tableheadingrow"/>
        <w:rPr>
          <w:b w:val="0"/>
          <w:lang w:val="en-AU"/>
        </w:rPr>
      </w:pPr>
      <w:r w:rsidRPr="00485200">
        <w:rPr>
          <w:b w:val="0"/>
          <w:lang w:val="en-AU"/>
        </w:rPr>
        <w:t>The redacted values correspond to the following ranges:</w:t>
      </w:r>
    </w:p>
    <w:p w14:paraId="36C47DA1" w14:textId="73A8D0C2" w:rsidR="004024C8" w:rsidRDefault="002B355A" w:rsidP="002B355A">
      <w:pPr>
        <w:pStyle w:val="Tableheadingrow"/>
        <w:rPr>
          <w:b w:val="0"/>
          <w:lang w:val="en-AU"/>
        </w:rPr>
      </w:pPr>
      <w:r>
        <w:rPr>
          <w:b w:val="0"/>
          <w:vertAlign w:val="superscript"/>
          <w:lang w:val="en-AU"/>
        </w:rPr>
        <w:t>1</w:t>
      </w:r>
      <w:r w:rsidRPr="002B355A">
        <w:rPr>
          <w:b w:val="0"/>
          <w:lang w:val="en-AU"/>
        </w:rPr>
        <w:t>100,000 to &lt; 200,000</w:t>
      </w:r>
    </w:p>
    <w:p w14:paraId="2E5D884E" w14:textId="20F718AD" w:rsidR="002B355A" w:rsidRDefault="002B355A" w:rsidP="002B355A">
      <w:pPr>
        <w:pStyle w:val="Tableheadingrow"/>
        <w:rPr>
          <w:b w:val="0"/>
          <w:lang w:val="en-AU"/>
        </w:rPr>
      </w:pPr>
      <w:r>
        <w:rPr>
          <w:b w:val="0"/>
          <w:vertAlign w:val="superscript"/>
          <w:lang w:val="en-AU"/>
        </w:rPr>
        <w:t>2</w:t>
      </w:r>
      <w:r w:rsidRPr="002B355A">
        <w:rPr>
          <w:b w:val="0"/>
          <w:lang w:val="en-AU"/>
        </w:rPr>
        <w:t>200,000 to &lt; 300,000</w:t>
      </w:r>
    </w:p>
    <w:p w14:paraId="427A71F3" w14:textId="303CB6EA" w:rsidR="002B355A" w:rsidRDefault="002B355A" w:rsidP="002B355A">
      <w:pPr>
        <w:pStyle w:val="Tableheadingrow"/>
        <w:rPr>
          <w:b w:val="0"/>
          <w:lang w:val="en-AU"/>
        </w:rPr>
      </w:pPr>
      <w:r>
        <w:rPr>
          <w:b w:val="0"/>
          <w:vertAlign w:val="superscript"/>
          <w:lang w:val="en-AU"/>
        </w:rPr>
        <w:t>3</w:t>
      </w:r>
      <w:r w:rsidRPr="002B355A">
        <w:rPr>
          <w:b w:val="0"/>
          <w:lang w:val="en-AU"/>
        </w:rPr>
        <w:t>300,000 to &lt; 400,000</w:t>
      </w:r>
    </w:p>
    <w:p w14:paraId="2442088D" w14:textId="4A780CDE" w:rsidR="002B355A" w:rsidRDefault="002B355A" w:rsidP="002B355A">
      <w:pPr>
        <w:pStyle w:val="Tableheadingrow"/>
        <w:rPr>
          <w:b w:val="0"/>
          <w:lang w:val="en-AU"/>
        </w:rPr>
      </w:pPr>
      <w:r>
        <w:rPr>
          <w:b w:val="0"/>
          <w:vertAlign w:val="superscript"/>
          <w:lang w:val="en-AU"/>
        </w:rPr>
        <w:t>4</w:t>
      </w:r>
      <w:r w:rsidRPr="002B355A">
        <w:rPr>
          <w:b w:val="0"/>
          <w:lang w:val="en-AU"/>
        </w:rPr>
        <w:t>400,000 to &lt; 500,000</w:t>
      </w:r>
    </w:p>
    <w:p w14:paraId="7A928F17" w14:textId="0BC99AAA" w:rsidR="002B355A" w:rsidRDefault="002B355A" w:rsidP="002B355A">
      <w:pPr>
        <w:pStyle w:val="Tableheadingrow"/>
        <w:rPr>
          <w:b w:val="0"/>
          <w:lang w:val="en-AU"/>
        </w:rPr>
      </w:pPr>
      <w:r>
        <w:rPr>
          <w:b w:val="0"/>
          <w:vertAlign w:val="superscript"/>
          <w:lang w:val="en-AU"/>
        </w:rPr>
        <w:t>5</w:t>
      </w:r>
      <w:r w:rsidRPr="002B355A">
        <w:rPr>
          <w:b w:val="0"/>
          <w:lang w:val="en-AU"/>
        </w:rPr>
        <w:t>500,000 to &lt; 600,000</w:t>
      </w:r>
    </w:p>
    <w:p w14:paraId="503F133F" w14:textId="728F63D4" w:rsidR="002B355A" w:rsidRDefault="002B355A" w:rsidP="002B355A">
      <w:pPr>
        <w:pStyle w:val="Tableheadingrow"/>
        <w:rPr>
          <w:b w:val="0"/>
          <w:lang w:val="en-AU"/>
        </w:rPr>
      </w:pPr>
      <w:r>
        <w:rPr>
          <w:b w:val="0"/>
          <w:vertAlign w:val="superscript"/>
          <w:lang w:val="en-AU"/>
        </w:rPr>
        <w:t>6</w:t>
      </w:r>
      <w:r w:rsidRPr="002B355A">
        <w:rPr>
          <w:b w:val="0"/>
          <w:lang w:val="en-AU"/>
        </w:rPr>
        <w:t>$100 million to &lt; $200 million</w:t>
      </w:r>
    </w:p>
    <w:p w14:paraId="01F5A645" w14:textId="469E30E4" w:rsidR="002B355A" w:rsidRDefault="002B355A" w:rsidP="002B355A">
      <w:pPr>
        <w:pStyle w:val="Tableheadingrow"/>
        <w:rPr>
          <w:b w:val="0"/>
          <w:lang w:val="en-AU"/>
        </w:rPr>
      </w:pPr>
      <w:r>
        <w:rPr>
          <w:b w:val="0"/>
          <w:vertAlign w:val="superscript"/>
          <w:lang w:val="en-AU"/>
        </w:rPr>
        <w:t>7</w:t>
      </w:r>
      <w:r w:rsidRPr="002B355A">
        <w:rPr>
          <w:b w:val="0"/>
          <w:lang w:val="en-AU"/>
        </w:rPr>
        <w:t>$200 million to &lt; $300 million</w:t>
      </w:r>
    </w:p>
    <w:p w14:paraId="3DC662AF" w14:textId="15766DE3" w:rsidR="002B355A" w:rsidRDefault="002B355A" w:rsidP="002B355A">
      <w:pPr>
        <w:pStyle w:val="Tableheadingrow"/>
        <w:rPr>
          <w:b w:val="0"/>
          <w:lang w:val="en-AU"/>
        </w:rPr>
      </w:pPr>
      <w:r>
        <w:rPr>
          <w:b w:val="0"/>
          <w:vertAlign w:val="superscript"/>
          <w:lang w:val="en-AU"/>
        </w:rPr>
        <w:t>8</w:t>
      </w:r>
      <w:r w:rsidRPr="002B355A">
        <w:rPr>
          <w:b w:val="0"/>
          <w:lang w:val="en-AU"/>
        </w:rPr>
        <w:t>$0 to &lt; $10 million</w:t>
      </w:r>
    </w:p>
    <w:p w14:paraId="7B625ECD" w14:textId="4437E317" w:rsidR="00C06BB8" w:rsidRDefault="00C06BB8" w:rsidP="002B355A">
      <w:pPr>
        <w:pStyle w:val="Tableheadingrow"/>
        <w:rPr>
          <w:b w:val="0"/>
          <w:lang w:val="en-AU"/>
        </w:rPr>
      </w:pPr>
      <w:r>
        <w:rPr>
          <w:b w:val="0"/>
          <w:vertAlign w:val="superscript"/>
          <w:lang w:val="en-AU"/>
        </w:rPr>
        <w:t>9</w:t>
      </w:r>
      <w:r w:rsidRPr="00C06BB8">
        <w:rPr>
          <w:b w:val="0"/>
          <w:lang w:val="en-AU"/>
        </w:rPr>
        <w:t>70,000 to &lt; 80,000</w:t>
      </w:r>
    </w:p>
    <w:p w14:paraId="2F0FB51C" w14:textId="3DFA9015" w:rsidR="00C06BB8" w:rsidRDefault="00C06BB8" w:rsidP="002B355A">
      <w:pPr>
        <w:pStyle w:val="Tableheadingrow"/>
        <w:rPr>
          <w:b w:val="0"/>
          <w:lang w:val="en-AU"/>
        </w:rPr>
      </w:pPr>
      <w:r>
        <w:rPr>
          <w:b w:val="0"/>
          <w:vertAlign w:val="superscript"/>
          <w:lang w:val="en-AU"/>
        </w:rPr>
        <w:t>10</w:t>
      </w:r>
      <w:r w:rsidRPr="00C06BB8">
        <w:rPr>
          <w:b w:val="0"/>
          <w:lang w:val="en-AU"/>
        </w:rPr>
        <w:t>90,000 to &lt; 100,000</w:t>
      </w:r>
    </w:p>
    <w:p w14:paraId="507648CC" w14:textId="5B5976F1" w:rsidR="00C06BB8" w:rsidRDefault="00C06BB8" w:rsidP="002B355A">
      <w:pPr>
        <w:pStyle w:val="Tableheadingrow"/>
        <w:rPr>
          <w:b w:val="0"/>
          <w:lang w:val="en-AU"/>
        </w:rPr>
      </w:pPr>
      <w:r>
        <w:rPr>
          <w:b w:val="0"/>
          <w:vertAlign w:val="superscript"/>
          <w:lang w:val="en-AU"/>
        </w:rPr>
        <w:t>11</w:t>
      </w:r>
      <w:r w:rsidRPr="00C06BB8">
        <w:rPr>
          <w:b w:val="0"/>
          <w:lang w:val="en-AU"/>
        </w:rPr>
        <w:t>$300 million to &lt; $400 million</w:t>
      </w:r>
    </w:p>
    <w:p w14:paraId="1234D0D3" w14:textId="1AFA143A" w:rsidR="00C06BB8" w:rsidRDefault="00C06BB8" w:rsidP="002B355A">
      <w:pPr>
        <w:pStyle w:val="Tableheadingrow"/>
        <w:rPr>
          <w:b w:val="0"/>
          <w:lang w:val="en-AU"/>
        </w:rPr>
      </w:pPr>
      <w:r>
        <w:rPr>
          <w:b w:val="0"/>
          <w:vertAlign w:val="superscript"/>
          <w:lang w:val="en-AU"/>
        </w:rPr>
        <w:t>12</w:t>
      </w:r>
      <w:r w:rsidRPr="00C06BB8">
        <w:rPr>
          <w:b w:val="0"/>
          <w:lang w:val="en-AU"/>
        </w:rPr>
        <w:t>$60 million to &lt; $70 million</w:t>
      </w:r>
    </w:p>
    <w:p w14:paraId="06E6BAC2" w14:textId="0BB7613A" w:rsidR="00C06BB8" w:rsidRDefault="00C06BB8" w:rsidP="002B355A">
      <w:pPr>
        <w:pStyle w:val="Tableheadingrow"/>
        <w:rPr>
          <w:b w:val="0"/>
          <w:lang w:val="en-AU"/>
        </w:rPr>
      </w:pPr>
      <w:r>
        <w:rPr>
          <w:b w:val="0"/>
          <w:vertAlign w:val="superscript"/>
          <w:lang w:val="en-AU"/>
        </w:rPr>
        <w:t>13</w:t>
      </w:r>
      <w:r w:rsidRPr="00C06BB8">
        <w:rPr>
          <w:b w:val="0"/>
          <w:lang w:val="en-AU"/>
        </w:rPr>
        <w:t>$70 million to &lt; $80 million</w:t>
      </w:r>
    </w:p>
    <w:p w14:paraId="15199962" w14:textId="588D1605" w:rsidR="00E54D34" w:rsidRDefault="00E54D34" w:rsidP="002B355A">
      <w:pPr>
        <w:pStyle w:val="Tableheadingrow"/>
        <w:rPr>
          <w:b w:val="0"/>
          <w:lang w:val="en-AU"/>
        </w:rPr>
      </w:pPr>
      <w:r>
        <w:rPr>
          <w:b w:val="0"/>
          <w:vertAlign w:val="superscript"/>
          <w:lang w:val="en-AU"/>
        </w:rPr>
        <w:t>14</w:t>
      </w:r>
      <w:r w:rsidRPr="00E54D34">
        <w:rPr>
          <w:b w:val="0"/>
          <w:lang w:val="en-AU"/>
        </w:rPr>
        <w:t>$90 million to &lt; $100 million</w:t>
      </w:r>
    </w:p>
    <w:p w14:paraId="3792AB83" w14:textId="7442F968" w:rsidR="00153225" w:rsidRDefault="00153225" w:rsidP="002B355A">
      <w:pPr>
        <w:pStyle w:val="Tableheadingrow"/>
        <w:rPr>
          <w:b w:val="0"/>
          <w:lang w:val="en-AU"/>
        </w:rPr>
      </w:pPr>
      <w:r>
        <w:rPr>
          <w:b w:val="0"/>
          <w:vertAlign w:val="superscript"/>
          <w:lang w:val="en-AU"/>
        </w:rPr>
        <w:t>15</w:t>
      </w:r>
      <w:r w:rsidRPr="00153225">
        <w:rPr>
          <w:b w:val="0"/>
          <w:lang w:val="en-AU"/>
        </w:rPr>
        <w:t>$40 million to &lt; $50 million</w:t>
      </w:r>
    </w:p>
    <w:p w14:paraId="4866F0C2" w14:textId="27F79F65" w:rsidR="00153225" w:rsidRDefault="00153225" w:rsidP="002B355A">
      <w:pPr>
        <w:pStyle w:val="Tableheadingrow"/>
        <w:rPr>
          <w:b w:val="0"/>
          <w:lang w:val="en-AU"/>
        </w:rPr>
      </w:pPr>
      <w:r>
        <w:rPr>
          <w:b w:val="0"/>
          <w:vertAlign w:val="superscript"/>
          <w:lang w:val="en-AU"/>
        </w:rPr>
        <w:t>16</w:t>
      </w:r>
      <w:r w:rsidRPr="00153225">
        <w:rPr>
          <w:b w:val="0"/>
          <w:lang w:val="en-AU"/>
        </w:rPr>
        <w:t>$50 million to &lt; $60 million</w:t>
      </w:r>
    </w:p>
    <w:p w14:paraId="61AAABD3" w14:textId="393A1B78" w:rsidR="00153225" w:rsidRDefault="00153225" w:rsidP="002B355A">
      <w:pPr>
        <w:pStyle w:val="Tableheadingrow"/>
        <w:rPr>
          <w:b w:val="0"/>
          <w:lang w:val="en-AU"/>
        </w:rPr>
      </w:pPr>
      <w:r>
        <w:rPr>
          <w:b w:val="0"/>
          <w:vertAlign w:val="superscript"/>
          <w:lang w:val="en-AU"/>
        </w:rPr>
        <w:t>17</w:t>
      </w:r>
      <w:r w:rsidRPr="00153225">
        <w:rPr>
          <w:b w:val="0"/>
          <w:lang w:val="en-AU"/>
        </w:rPr>
        <w:t>$80 million to &lt; $90 million</w:t>
      </w:r>
    </w:p>
    <w:p w14:paraId="4C8AFE32" w14:textId="77777777" w:rsidR="002B355A" w:rsidRPr="002D21EA" w:rsidRDefault="002B355A" w:rsidP="002B355A">
      <w:pPr>
        <w:pStyle w:val="Tableheadingrow"/>
        <w:rPr>
          <w:b w:val="0"/>
          <w:lang w:val="en-AU"/>
        </w:rPr>
      </w:pPr>
    </w:p>
    <w:p w14:paraId="539B8B61" w14:textId="2BF19836" w:rsidR="00DB0177" w:rsidRPr="002D21EA" w:rsidRDefault="000048F7" w:rsidP="00DB0177">
      <w:pPr>
        <w:pStyle w:val="ExecSumBodyText"/>
        <w:rPr>
          <w:color w:val="0066FF"/>
        </w:rPr>
      </w:pPr>
      <w:r>
        <w:t xml:space="preserve">The PBAC </w:t>
      </w:r>
      <w:r w:rsidRPr="004F445C">
        <w:t>considered the</w:t>
      </w:r>
      <w:r>
        <w:t xml:space="preserve"> submission’s</w:t>
      </w:r>
      <w:r w:rsidRPr="004F445C">
        <w:t xml:space="preserve"> assumption of </w:t>
      </w:r>
      <w:r w:rsidRPr="001827BD">
        <w:t xml:space="preserve">45% uptake of faricimab in Year 1 </w:t>
      </w:r>
      <w:r w:rsidRPr="004F445C">
        <w:t xml:space="preserve">was </w:t>
      </w:r>
      <w:r w:rsidRPr="001827BD">
        <w:t>overestimated</w:t>
      </w:r>
      <w:r>
        <w:t>. Based on market growth of 8-10%, and assuming that all new patients would begin treatment on faricimab, an uptake of 45% would require approximately one-third of patients already on VEGF</w:t>
      </w:r>
      <w:r w:rsidR="00415EF4">
        <w:t xml:space="preserve"> inhibitor</w:t>
      </w:r>
      <w:r>
        <w:t xml:space="preserve"> therapy to switch to faricimab.  The PBAC</w:t>
      </w:r>
      <w:r w:rsidRPr="001827BD">
        <w:t xml:space="preserve"> </w:t>
      </w:r>
      <w:r>
        <w:t>noted that w</w:t>
      </w:r>
      <w:r w:rsidRPr="00F4192A">
        <w:t xml:space="preserve">hile faricimab has a theoretical advantage of targeting two pathways involved in the pathogenesis of </w:t>
      </w:r>
      <w:r w:rsidR="008C28C6">
        <w:t>nAMD</w:t>
      </w:r>
      <w:r w:rsidRPr="00F4192A">
        <w:t xml:space="preserve">, </w:t>
      </w:r>
      <w:r>
        <w:t xml:space="preserve">it has a higher dose frequency and </w:t>
      </w:r>
      <w:r w:rsidRPr="00F4192A">
        <w:t>clinical trial evidence was suggestive of similar effectiveness for faricimab and aflibercept</w:t>
      </w:r>
      <w:r>
        <w:t>. Given this, the PBAC considered that</w:t>
      </w:r>
      <w:r w:rsidRPr="00F4192A">
        <w:t xml:space="preserve"> it is unclear whether patients who are currently receiving treatment with aflibercept/ranibizumab would switch to faricimab. </w:t>
      </w:r>
      <w:r>
        <w:t xml:space="preserve">The PBAC considered that a market uptake rate of approximately 20% would be a reasonable assumption for Year 1. </w:t>
      </w:r>
      <w:r w:rsidR="00E5449B">
        <w:t xml:space="preserve">The PBAC considered the proposed cost savings with listing faricimab to be highly speculative and may not be realised in practice. </w:t>
      </w:r>
      <w:r w:rsidR="00690D72" w:rsidRPr="002D21EA">
        <w:t>Additionally, the financial impacts did not account for loading dose requirements in the initial year of treatment</w:t>
      </w:r>
      <w:r w:rsidR="00E5449B">
        <w:t xml:space="preserve"> with faricimab which would further reduce the assumed cost savings to Government</w:t>
      </w:r>
      <w:r w:rsidR="00690D72" w:rsidRPr="002D21EA">
        <w:t>.</w:t>
      </w:r>
      <w:r w:rsidR="00DB0177" w:rsidRPr="002D21EA">
        <w:rPr>
          <w:color w:val="0066FF"/>
        </w:rPr>
        <w:t xml:space="preserve"> </w:t>
      </w:r>
      <w:r w:rsidR="003B7216" w:rsidRPr="00704529">
        <w:t xml:space="preserve">The ESC noted the uptake of </w:t>
      </w:r>
      <w:r w:rsidR="003B7216" w:rsidRPr="00704529">
        <w:lastRenderedPageBreak/>
        <w:t>faricimab could also be potentially impacted if the ranibizumab P</w:t>
      </w:r>
      <w:r w:rsidR="00741CB8" w:rsidRPr="00704529">
        <w:t xml:space="preserve">DS was </w:t>
      </w:r>
      <w:r w:rsidR="00741CB8" w:rsidRPr="00420C97">
        <w:t>available (see paragraph 5.4).</w:t>
      </w:r>
    </w:p>
    <w:p w14:paraId="6F4F4875" w14:textId="6471117F" w:rsidR="00DB0177" w:rsidRPr="002D21EA" w:rsidRDefault="00DB0177" w:rsidP="00DB0177">
      <w:pPr>
        <w:pStyle w:val="ExecSumBodyText"/>
      </w:pPr>
      <w:r w:rsidRPr="002D21EA">
        <w:t>The submission provided a range of sensitivity analyses based on the equi-effective doses and the annuali</w:t>
      </w:r>
      <w:r w:rsidR="00891B56" w:rsidRPr="002D21EA">
        <w:t>s</w:t>
      </w:r>
      <w:r w:rsidRPr="002D21EA">
        <w:t>ed growth rate. The submission noted that the primary source of uncertainty in the financial estimates is the script equivalence for existing standard of care, but that cost savings to Government were maintained in all scenarios except when the equi-effective dose of faricimab was equivalent to aflibercept, which results in a neutral budget impact.</w:t>
      </w:r>
    </w:p>
    <w:p w14:paraId="2238DEE9" w14:textId="3E6A228B" w:rsidR="00576972" w:rsidRPr="00D7446D" w:rsidRDefault="00576972" w:rsidP="00606FBA">
      <w:pPr>
        <w:pStyle w:val="3-SubsectionHeading"/>
      </w:pPr>
      <w:bookmarkStart w:id="33" w:name="_Toc22897648"/>
      <w:bookmarkStart w:id="34" w:name="_Toc101107815"/>
      <w:r w:rsidRPr="00D7446D">
        <w:t>Quality Use of Medicines</w:t>
      </w:r>
      <w:bookmarkEnd w:id="33"/>
      <w:bookmarkEnd w:id="34"/>
    </w:p>
    <w:p w14:paraId="38BD0AEF" w14:textId="746279CB" w:rsidR="00576972" w:rsidRPr="00D7446D" w:rsidRDefault="00F4694E" w:rsidP="00F4694E">
      <w:pPr>
        <w:pStyle w:val="ExecSumBodyText"/>
      </w:pPr>
      <w:r w:rsidRPr="00D7446D">
        <w:t>No quality use of medicines issues were raised in the submission.</w:t>
      </w:r>
    </w:p>
    <w:p w14:paraId="6015A395" w14:textId="2EDB6A4E" w:rsidR="00576972" w:rsidRPr="00BF2B95" w:rsidRDefault="00576972" w:rsidP="00606FBA">
      <w:pPr>
        <w:pStyle w:val="3-SubsectionHeading"/>
      </w:pPr>
      <w:bookmarkStart w:id="35" w:name="_Toc22897649"/>
      <w:bookmarkStart w:id="36" w:name="_Toc101107816"/>
      <w:r w:rsidRPr="00BF2B95">
        <w:t>Financial Management – Risk Sharing Arrangements</w:t>
      </w:r>
      <w:bookmarkEnd w:id="35"/>
      <w:bookmarkEnd w:id="36"/>
    </w:p>
    <w:p w14:paraId="4A6930F3" w14:textId="60B92B5F" w:rsidR="004533B1" w:rsidRPr="00BF2B95" w:rsidRDefault="004533B1" w:rsidP="004533B1">
      <w:pPr>
        <w:pStyle w:val="ExecSumBodyText"/>
      </w:pPr>
      <w:r w:rsidRPr="00BF2B95">
        <w:t>A risk sharing arrangement (RSA) was not proposed. The submission noted that a</w:t>
      </w:r>
      <w:r w:rsidR="00AE6185">
        <w:t xml:space="preserve">n </w:t>
      </w:r>
      <w:r w:rsidRPr="00BF2B95">
        <w:t>RSA currently exists that represents a shared expenditure cap across ranibizumab, aflibercept and brolucizumab intravitreal injections.</w:t>
      </w:r>
      <w:r w:rsidR="00907072">
        <w:t xml:space="preserve"> The PBAC considered that </w:t>
      </w:r>
      <w:r w:rsidR="003B3D8A">
        <w:t>given the uncertainty of the estimates and</w:t>
      </w:r>
      <w:r w:rsidR="003B3D8A" w:rsidRPr="00A034B3">
        <w:t xml:space="preserve"> that the anti-</w:t>
      </w:r>
      <w:r w:rsidR="00415EF4" w:rsidRPr="00A034B3">
        <w:t>VE</w:t>
      </w:r>
      <w:r w:rsidR="00415EF4">
        <w:t>GF</w:t>
      </w:r>
      <w:r w:rsidR="00415EF4" w:rsidRPr="00A034B3">
        <w:t xml:space="preserve"> </w:t>
      </w:r>
      <w:r w:rsidR="003B3D8A" w:rsidRPr="00A034B3">
        <w:t xml:space="preserve">therapies on the PBS are managed via a </w:t>
      </w:r>
      <w:r w:rsidR="003B3D8A">
        <w:t>RSA,</w:t>
      </w:r>
      <w:r w:rsidR="003B3D8A" w:rsidRPr="00A034B3">
        <w:t xml:space="preserve"> </w:t>
      </w:r>
      <w:r w:rsidR="00420C97" w:rsidRPr="00A034B3">
        <w:t xml:space="preserve">it would be appropriate </w:t>
      </w:r>
      <w:r w:rsidR="003B3D8A">
        <w:t xml:space="preserve">to apply the same arrangements to </w:t>
      </w:r>
      <w:r w:rsidR="00420C97">
        <w:t>faricimab</w:t>
      </w:r>
      <w:r w:rsidR="003B3D8A">
        <w:t xml:space="preserve"> were it to </w:t>
      </w:r>
      <w:r w:rsidR="005D06C6">
        <w:t>list</w:t>
      </w:r>
      <w:r w:rsidR="003B3D8A">
        <w:t xml:space="preserve"> as well.</w:t>
      </w:r>
    </w:p>
    <w:p w14:paraId="26542B7E" w14:textId="77777777" w:rsidR="000D17EF" w:rsidRPr="000D17EF" w:rsidRDefault="000D17EF" w:rsidP="000D17EF">
      <w:pPr>
        <w:jc w:val="left"/>
        <w:rPr>
          <w:i/>
        </w:rPr>
      </w:pPr>
      <w:r w:rsidRPr="000D17EF">
        <w:rPr>
          <w:i/>
        </w:rPr>
        <w:t>For more detail on PBAC’s view, see section 7 PBAC outcome.</w:t>
      </w:r>
    </w:p>
    <w:p w14:paraId="493BB7EA" w14:textId="77777777" w:rsidR="00704529" w:rsidRPr="00D5438C" w:rsidRDefault="00704529" w:rsidP="00D5438C">
      <w:pPr>
        <w:pStyle w:val="2-SectionHeading"/>
        <w:numPr>
          <w:ilvl w:val="0"/>
          <w:numId w:val="1"/>
        </w:numPr>
      </w:pPr>
      <w:bookmarkStart w:id="37" w:name="_Hlk76381249"/>
      <w:bookmarkStart w:id="38" w:name="_Hlk76377955"/>
      <w:bookmarkStart w:id="39" w:name="_Hlk103239693"/>
      <w:r w:rsidRPr="00D5438C">
        <w:t>PBAC Outcome</w:t>
      </w:r>
    </w:p>
    <w:bookmarkEnd w:id="37"/>
    <w:p w14:paraId="2121ED03" w14:textId="0E4F2CDE" w:rsidR="00D5438C" w:rsidRPr="004F445C" w:rsidRDefault="00D5438C" w:rsidP="00D5438C">
      <w:pPr>
        <w:widowControl w:val="0"/>
        <w:numPr>
          <w:ilvl w:val="1"/>
          <w:numId w:val="1"/>
        </w:numPr>
        <w:spacing w:after="120"/>
      </w:pPr>
      <w:r w:rsidRPr="004F445C">
        <w:rPr>
          <w:rFonts w:asciiTheme="minorHAnsi" w:hAnsiTheme="minorHAnsi"/>
          <w:snapToGrid w:val="0"/>
          <w:lang w:val="en-GB"/>
        </w:rPr>
        <w:t xml:space="preserve">The PBAC recommended the </w:t>
      </w:r>
      <w:r w:rsidRPr="00F26881">
        <w:t>Authority Required</w:t>
      </w:r>
      <w:r>
        <w:t xml:space="preserve"> </w:t>
      </w:r>
      <w:r w:rsidRPr="00F26881">
        <w:t xml:space="preserve">listing of faricimab for the treatment of </w:t>
      </w:r>
      <w:r w:rsidR="008B0B4E" w:rsidRPr="00BF2B95">
        <w:t>neovascular age-related macular degeneration (nAMD)</w:t>
      </w:r>
      <w:r w:rsidRPr="00F26881">
        <w:t>.</w:t>
      </w:r>
      <w:r>
        <w:t xml:space="preserve"> The </w:t>
      </w:r>
      <w:r w:rsidRPr="00DD7F9B">
        <w:rPr>
          <w:snapToGrid w:val="0"/>
          <w:lang w:val="en-GB"/>
        </w:rPr>
        <w:t xml:space="preserve">PBAC’s recommendation for listing was based on, among other matters, its assessment that the cost-effectiveness of </w:t>
      </w:r>
      <w:r>
        <w:rPr>
          <w:snapToGrid w:val="0"/>
          <w:lang w:val="en-GB"/>
        </w:rPr>
        <w:t>faricimab</w:t>
      </w:r>
      <w:r w:rsidRPr="00DD7F9B">
        <w:rPr>
          <w:snapToGrid w:val="0"/>
          <w:lang w:val="en-GB"/>
        </w:rPr>
        <w:t xml:space="preserve"> would be acceptable if it were cost-minimised to</w:t>
      </w:r>
      <w:r w:rsidRPr="004F445C">
        <w:rPr>
          <w:rFonts w:asciiTheme="minorHAnsi" w:hAnsiTheme="minorHAnsi"/>
          <w:snapToGrid w:val="0"/>
          <w:lang w:val="en-GB"/>
        </w:rPr>
        <w:t xml:space="preserve"> </w:t>
      </w:r>
      <w:r w:rsidR="00CD6691">
        <w:t xml:space="preserve">PBS-listed anti-VEGF treatments such as </w:t>
      </w:r>
      <w:r w:rsidRPr="004F445C">
        <w:rPr>
          <w:rFonts w:asciiTheme="minorHAnsi" w:hAnsiTheme="minorHAnsi"/>
          <w:snapToGrid w:val="0"/>
          <w:lang w:val="en-GB"/>
        </w:rPr>
        <w:t>aflibercept</w:t>
      </w:r>
      <w:r w:rsidR="00F63304">
        <w:rPr>
          <w:rFonts w:asciiTheme="minorHAnsi" w:hAnsiTheme="minorHAnsi"/>
          <w:snapToGrid w:val="0"/>
          <w:lang w:val="en-GB"/>
        </w:rPr>
        <w:t xml:space="preserve"> and ranibizumab</w:t>
      </w:r>
      <w:r>
        <w:rPr>
          <w:rFonts w:asciiTheme="minorHAnsi" w:hAnsiTheme="minorHAnsi"/>
          <w:snapToGrid w:val="0"/>
          <w:lang w:val="en-GB"/>
        </w:rPr>
        <w:t xml:space="preserve"> for the same indication</w:t>
      </w:r>
      <w:r w:rsidR="008B0B4E">
        <w:rPr>
          <w:rFonts w:asciiTheme="minorHAnsi" w:hAnsiTheme="minorHAnsi"/>
          <w:snapToGrid w:val="0"/>
          <w:lang w:val="en-GB"/>
        </w:rPr>
        <w:t>.</w:t>
      </w:r>
    </w:p>
    <w:p w14:paraId="1903A867" w14:textId="353EEF60" w:rsidR="008B0B4E" w:rsidRPr="00EE370F" w:rsidRDefault="008B0B4E" w:rsidP="008B0B4E">
      <w:pPr>
        <w:pStyle w:val="ExecSumBodyText"/>
        <w:numPr>
          <w:ilvl w:val="1"/>
          <w:numId w:val="1"/>
        </w:numPr>
        <w:ind w:left="709" w:hanging="709"/>
        <w:rPr>
          <w:b/>
          <w:bCs/>
          <w:lang w:val="en-US"/>
        </w:rPr>
      </w:pPr>
      <w:r w:rsidRPr="00DD7F9B">
        <w:rPr>
          <w:lang w:val="en-GB"/>
        </w:rPr>
        <w:t xml:space="preserve">The PBAC </w:t>
      </w:r>
      <w:bookmarkStart w:id="40" w:name="_Hlk104474453"/>
      <w:r w:rsidR="00777860">
        <w:rPr>
          <w:lang w:val="en-GB"/>
        </w:rPr>
        <w:t xml:space="preserve">supported a 2-year time horizon for the cost-minimisation calculation, and </w:t>
      </w:r>
      <w:bookmarkEnd w:id="40"/>
      <w:r>
        <w:rPr>
          <w:lang w:val="en-GB"/>
        </w:rPr>
        <w:t xml:space="preserve">considered </w:t>
      </w:r>
      <w:r w:rsidRPr="00DD7F9B">
        <w:rPr>
          <w:lang w:val="en-GB"/>
        </w:rPr>
        <w:t>the</w:t>
      </w:r>
      <w:r w:rsidRPr="006A5966">
        <w:rPr>
          <w:lang w:val="en-GB"/>
        </w:rPr>
        <w:t xml:space="preserve"> equi-effective doses</w:t>
      </w:r>
      <w:r>
        <w:rPr>
          <w:lang w:val="en-GB"/>
        </w:rPr>
        <w:t xml:space="preserve"> to be: </w:t>
      </w:r>
    </w:p>
    <w:p w14:paraId="3C6033A9" w14:textId="0400CC5E" w:rsidR="008B0B4E" w:rsidRPr="00EE370F" w:rsidRDefault="008B0B4E" w:rsidP="008B0B4E">
      <w:pPr>
        <w:pStyle w:val="ExecSumBodyText"/>
        <w:numPr>
          <w:ilvl w:val="0"/>
          <w:numId w:val="44"/>
        </w:numPr>
        <w:rPr>
          <w:b/>
          <w:bCs/>
          <w:lang w:val="en-US"/>
        </w:rPr>
      </w:pPr>
      <w:r>
        <w:rPr>
          <w:lang w:val="en-GB"/>
        </w:rPr>
        <w:t xml:space="preserve">Year 1: </w:t>
      </w:r>
      <w:r>
        <w:t>7.20</w:t>
      </w:r>
      <w:r w:rsidRPr="00F4192A">
        <w:t xml:space="preserve"> doses of faricimab annually to </w:t>
      </w:r>
      <w:r>
        <w:t xml:space="preserve">7.69 </w:t>
      </w:r>
      <w:r w:rsidRPr="00F4192A">
        <w:t>dose</w:t>
      </w:r>
      <w:r>
        <w:t>s of aflibercept 2 mg annually</w:t>
      </w:r>
    </w:p>
    <w:p w14:paraId="51AAB5BB" w14:textId="75EFEB3C" w:rsidR="008B0B4E" w:rsidRPr="00EE370F" w:rsidRDefault="008B0B4E" w:rsidP="008B0B4E">
      <w:pPr>
        <w:pStyle w:val="ExecSumBodyText"/>
        <w:numPr>
          <w:ilvl w:val="0"/>
          <w:numId w:val="44"/>
        </w:numPr>
        <w:rPr>
          <w:b/>
          <w:bCs/>
          <w:lang w:val="en-US"/>
        </w:rPr>
      </w:pPr>
      <w:r>
        <w:t>Year 2: 4.30</w:t>
      </w:r>
      <w:r w:rsidRPr="00F4192A">
        <w:t xml:space="preserve"> doses of faricimab annually to </w:t>
      </w:r>
      <w:r>
        <w:t>6.31</w:t>
      </w:r>
      <w:r w:rsidRPr="00F4192A">
        <w:t xml:space="preserve"> doses of aflibercept 2 mg annually. </w:t>
      </w:r>
    </w:p>
    <w:p w14:paraId="1D0AB0E2" w14:textId="675EA114" w:rsidR="008B0B4E" w:rsidRPr="00D05617" w:rsidRDefault="008B0B4E" w:rsidP="008B0B4E">
      <w:pPr>
        <w:pStyle w:val="ExecSumBodyText"/>
        <w:numPr>
          <w:ilvl w:val="0"/>
          <w:numId w:val="0"/>
        </w:numPr>
        <w:ind w:left="709"/>
        <w:rPr>
          <w:b/>
          <w:bCs/>
          <w:lang w:val="en-US"/>
        </w:rPr>
      </w:pPr>
      <w:r>
        <w:t xml:space="preserve">The PBAC accepted the </w:t>
      </w:r>
      <w:r w:rsidRPr="00390D5F">
        <w:t xml:space="preserve">faricimab administration frequency based on an analysis of faricimab administration frequency </w:t>
      </w:r>
      <w:r w:rsidR="00A33710">
        <w:t xml:space="preserve">from the </w:t>
      </w:r>
      <w:r w:rsidR="00A33710" w:rsidRPr="002D21EA">
        <w:t>TENAYA and LUCERNE trials</w:t>
      </w:r>
      <w:r w:rsidR="00A33710">
        <w:t>, where</w:t>
      </w:r>
      <w:r w:rsidR="00A33710" w:rsidRPr="002D21EA">
        <w:t xml:space="preserve"> </w:t>
      </w:r>
      <w:r w:rsidR="001463B1">
        <w:t xml:space="preserve">the first year of treatment </w:t>
      </w:r>
      <w:r w:rsidR="00A33710">
        <w:t xml:space="preserve">was </w:t>
      </w:r>
      <w:r w:rsidR="001463B1" w:rsidRPr="002D21EA">
        <w:t xml:space="preserve">derived from the average doses in the first 48 weeks of treatment in the TENAYA and LUCERNE trials </w:t>
      </w:r>
      <w:r w:rsidR="00C7790A" w:rsidRPr="002D21EA">
        <w:t>(6.4 mean administrations through to Week 48, average treatment duration 46.2 weeks), apportioned to a 52</w:t>
      </w:r>
      <w:r w:rsidR="00C7790A" w:rsidRPr="002D21EA">
        <w:noBreakHyphen/>
        <w:t>week estimate</w:t>
      </w:r>
      <w:r w:rsidR="00A33710">
        <w:t xml:space="preserve"> </w:t>
      </w:r>
      <w:r w:rsidR="008030F4">
        <w:t xml:space="preserve">while </w:t>
      </w:r>
      <w:r w:rsidR="00A33710">
        <w:t xml:space="preserve">ongoing treatment was based on </w:t>
      </w:r>
      <w:r w:rsidR="008030F4">
        <w:t xml:space="preserve">the trial-based </w:t>
      </w:r>
      <w:r w:rsidR="00A33710">
        <w:t xml:space="preserve">average number of </w:t>
      </w:r>
      <w:r w:rsidR="008030F4">
        <w:t xml:space="preserve">yearly </w:t>
      </w:r>
      <w:r w:rsidR="00A33710">
        <w:t xml:space="preserve">doses </w:t>
      </w:r>
      <w:r w:rsidR="00A33710">
        <w:lastRenderedPageBreak/>
        <w:t xml:space="preserve">for </w:t>
      </w:r>
      <w:r w:rsidR="008030F4">
        <w:t xml:space="preserve">faricimab across </w:t>
      </w:r>
      <w:r w:rsidR="00A33710">
        <w:t>different treatment intervals at Week 48</w:t>
      </w:r>
      <w:r w:rsidR="00C7790A">
        <w:t xml:space="preserve">; </w:t>
      </w:r>
      <w:r>
        <w:t xml:space="preserve">and the aflibercept </w:t>
      </w:r>
      <w:r w:rsidRPr="00390D5F">
        <w:t xml:space="preserve">administration frequency was based on </w:t>
      </w:r>
      <w:r w:rsidR="00F802DF">
        <w:t>PBS data</w:t>
      </w:r>
      <w:r w:rsidRPr="00390D5F">
        <w:t>.</w:t>
      </w:r>
    </w:p>
    <w:p w14:paraId="46D5BC14" w14:textId="3EBF895B" w:rsidR="00D5438C" w:rsidRPr="004F445C" w:rsidRDefault="00D5438C" w:rsidP="00D5438C">
      <w:pPr>
        <w:widowControl w:val="0"/>
        <w:numPr>
          <w:ilvl w:val="1"/>
          <w:numId w:val="1"/>
        </w:numPr>
        <w:spacing w:after="120"/>
        <w:rPr>
          <w:rFonts w:asciiTheme="minorHAnsi" w:hAnsiTheme="minorHAnsi"/>
          <w:snapToGrid w:val="0"/>
          <w:lang w:val="en-GB"/>
        </w:rPr>
      </w:pPr>
      <w:r>
        <w:rPr>
          <w:iCs/>
        </w:rPr>
        <w:t>The PBAC considered aflibercept to be the appropriate main comparator.</w:t>
      </w:r>
      <w:r w:rsidR="00D76ED2">
        <w:rPr>
          <w:iCs/>
        </w:rPr>
        <w:t xml:space="preserve"> </w:t>
      </w:r>
      <w:r w:rsidR="008D7BF5" w:rsidRPr="00F6122B">
        <w:t xml:space="preserve">The PBAC </w:t>
      </w:r>
      <w:r w:rsidR="008D7BF5">
        <w:t xml:space="preserve">considered that aflibercept </w:t>
      </w:r>
      <w:r w:rsidR="008D7BF5" w:rsidRPr="00F6122B">
        <w:t xml:space="preserve">could be considered representative of either aflibercept </w:t>
      </w:r>
      <w:r w:rsidR="008D7BF5">
        <w:t xml:space="preserve">or </w:t>
      </w:r>
      <w:r w:rsidR="008D7BF5" w:rsidRPr="00F6122B">
        <w:t xml:space="preserve">intravitreal ranibizumab for the clinical and economic comparisons, as the PBAC has previously accepted noninferiority between the two agents and they are priced on </w:t>
      </w:r>
      <w:r w:rsidR="00D2483D" w:rsidRPr="00F6122B">
        <w:t>a</w:t>
      </w:r>
      <w:r w:rsidR="008D7BF5" w:rsidRPr="00F6122B">
        <w:t xml:space="preserve"> </w:t>
      </w:r>
      <w:r w:rsidR="00CB0088">
        <w:t>1:1 injection</w:t>
      </w:r>
      <w:r w:rsidR="008D7BF5" w:rsidRPr="00F6122B">
        <w:t xml:space="preserve"> basis.</w:t>
      </w:r>
    </w:p>
    <w:p w14:paraId="109D246F" w14:textId="54118094" w:rsidR="00D5438C" w:rsidRPr="00410864" w:rsidRDefault="006B5568" w:rsidP="00D5438C">
      <w:pPr>
        <w:widowControl w:val="0"/>
        <w:numPr>
          <w:ilvl w:val="1"/>
          <w:numId w:val="1"/>
        </w:numPr>
        <w:spacing w:after="120"/>
        <w:rPr>
          <w:rFonts w:asciiTheme="minorHAnsi" w:hAnsiTheme="minorHAnsi"/>
          <w:snapToGrid w:val="0"/>
          <w:lang w:val="en-GB"/>
        </w:rPr>
      </w:pPr>
      <w:r w:rsidRPr="0069726E">
        <w:rPr>
          <w:lang w:val="en-GB"/>
        </w:rPr>
        <w:t xml:space="preserve">The PBAC noted the differences between the proposed PBS population and the </w:t>
      </w:r>
      <w:r w:rsidRPr="00ED7C1F">
        <w:rPr>
          <w:lang w:val="en-GB"/>
        </w:rPr>
        <w:t xml:space="preserve">TENAYA and LUCERNE </w:t>
      </w:r>
      <w:r w:rsidRPr="0069726E">
        <w:rPr>
          <w:lang w:val="en-GB"/>
        </w:rPr>
        <w:t>trials in terms of eligibility criteria, dosing regimens, monitoring frequency and the proportion of patients with prior anti-VEGF treatment, but considered that these differences were unlikely to materially affect the applicability of the trial results to the proposed PBS population.</w:t>
      </w:r>
      <w:r w:rsidR="00D5438C" w:rsidRPr="00410864">
        <w:rPr>
          <w:rFonts w:asciiTheme="minorHAnsi" w:hAnsiTheme="minorHAnsi"/>
          <w:snapToGrid w:val="0"/>
          <w:lang w:val="en-GB"/>
        </w:rPr>
        <w:t xml:space="preserve"> </w:t>
      </w:r>
    </w:p>
    <w:p w14:paraId="778B6FA4" w14:textId="78E66418" w:rsidR="00D5438C" w:rsidRPr="004F445C" w:rsidRDefault="00D5438C" w:rsidP="00D5438C">
      <w:pPr>
        <w:widowControl w:val="0"/>
        <w:numPr>
          <w:ilvl w:val="1"/>
          <w:numId w:val="1"/>
        </w:numPr>
        <w:spacing w:after="120"/>
        <w:rPr>
          <w:rFonts w:asciiTheme="minorHAnsi" w:hAnsiTheme="minorHAnsi"/>
          <w:snapToGrid w:val="0"/>
          <w:lang w:val="en-GB"/>
        </w:rPr>
      </w:pPr>
      <w:r w:rsidRPr="004F445C">
        <w:rPr>
          <w:snapToGrid w:val="0"/>
        </w:rPr>
        <w:t>The PBAC considered that the non</w:t>
      </w:r>
      <w:r>
        <w:rPr>
          <w:snapToGrid w:val="0"/>
        </w:rPr>
        <w:t>-</w:t>
      </w:r>
      <w:r w:rsidRPr="004F445C">
        <w:rPr>
          <w:snapToGrid w:val="0"/>
        </w:rPr>
        <w:t xml:space="preserve">inferior efficacy of faricimab compared to aflibercept was established. The PBAC noted that there was no statistically significant difference in the primary or secondary endpoints between the faricimab and aflibercept arms in either the </w:t>
      </w:r>
      <w:r w:rsidR="002A29E3" w:rsidRPr="002D21EA">
        <w:t xml:space="preserve">TENAYA and LUCERNE </w:t>
      </w:r>
      <w:r w:rsidRPr="004F445C">
        <w:rPr>
          <w:snapToGrid w:val="0"/>
        </w:rPr>
        <w:t>trials. The PBAC also noted that the nominated non-inferiority margin of 4 letters</w:t>
      </w:r>
      <w:r>
        <w:rPr>
          <w:snapToGrid w:val="0"/>
        </w:rPr>
        <w:t xml:space="preserve"> was met</w:t>
      </w:r>
      <w:r w:rsidRPr="004F445C">
        <w:rPr>
          <w:snapToGrid w:val="0"/>
        </w:rPr>
        <w:t>,</w:t>
      </w:r>
      <w:r>
        <w:rPr>
          <w:snapToGrid w:val="0"/>
        </w:rPr>
        <w:t xml:space="preserve"> and that this margin</w:t>
      </w:r>
      <w:r w:rsidRPr="004F445C">
        <w:rPr>
          <w:snapToGrid w:val="0"/>
        </w:rPr>
        <w:t xml:space="preserve"> had previously been accepted by the PBAC in the treatment of patients with subfoveal choroidal neovascularisation (paragraph 6.11, brolucizumab PSD, November 2019), was met.</w:t>
      </w:r>
    </w:p>
    <w:p w14:paraId="29CE3B4E" w14:textId="226EC655" w:rsidR="00D5438C" w:rsidRPr="00176834" w:rsidRDefault="00D5438C" w:rsidP="008C28C6">
      <w:pPr>
        <w:widowControl w:val="0"/>
        <w:numPr>
          <w:ilvl w:val="1"/>
          <w:numId w:val="1"/>
        </w:numPr>
        <w:spacing w:after="120"/>
      </w:pPr>
      <w:r w:rsidRPr="008C28C6">
        <w:rPr>
          <w:rFonts w:asciiTheme="minorHAnsi" w:hAnsiTheme="minorHAnsi"/>
          <w:snapToGrid w:val="0"/>
          <w:lang w:val="en-GB"/>
        </w:rPr>
        <w:t xml:space="preserve">The PBAC noted that </w:t>
      </w:r>
      <w:r w:rsidR="000B6142" w:rsidRPr="008C28C6">
        <w:rPr>
          <w:rFonts w:asciiTheme="minorHAnsi" w:hAnsiTheme="minorHAnsi"/>
          <w:snapToGrid w:val="0"/>
          <w:lang w:val="en-GB"/>
        </w:rPr>
        <w:t>t</w:t>
      </w:r>
      <w:r w:rsidR="000B6142" w:rsidRPr="002D21EA">
        <w:t xml:space="preserve">he incidence of serious adverse events </w:t>
      </w:r>
      <w:r w:rsidR="00A959F7" w:rsidRPr="008C28C6">
        <w:rPr>
          <w:rFonts w:asciiTheme="minorHAnsi" w:hAnsiTheme="minorHAnsi"/>
          <w:snapToGrid w:val="0"/>
          <w:lang w:val="en-GB"/>
        </w:rPr>
        <w:t>was</w:t>
      </w:r>
      <w:r w:rsidRPr="008C28C6">
        <w:rPr>
          <w:rFonts w:asciiTheme="minorHAnsi" w:hAnsiTheme="minorHAnsi"/>
          <w:snapToGrid w:val="0"/>
          <w:lang w:val="en-GB"/>
        </w:rPr>
        <w:t xml:space="preserve"> numerically higher </w:t>
      </w:r>
      <w:r w:rsidR="000B6142" w:rsidRPr="002D21EA">
        <w:t>in the aflibercept arm compared to the faricimab arm of both the TENAYA and LUCERNE trials</w:t>
      </w:r>
      <w:r w:rsidR="000B6142" w:rsidRPr="008C28C6">
        <w:rPr>
          <w:rFonts w:asciiTheme="minorHAnsi" w:hAnsiTheme="minorHAnsi"/>
          <w:snapToGrid w:val="0"/>
          <w:lang w:val="en-GB"/>
        </w:rPr>
        <w:t xml:space="preserve">, however </w:t>
      </w:r>
      <w:r w:rsidR="000B6142">
        <w:t>t</w:t>
      </w:r>
      <w:r w:rsidR="000B6142" w:rsidRPr="002D21EA">
        <w:t>he incidence of adverse events was similar between the faricimab and aflibercept treatment arms in the TENAYA and LUCERNE trials</w:t>
      </w:r>
      <w:r w:rsidRPr="008C28C6">
        <w:rPr>
          <w:rFonts w:asciiTheme="minorHAnsi" w:hAnsiTheme="minorHAnsi"/>
          <w:snapToGrid w:val="0"/>
          <w:lang w:val="en-GB"/>
        </w:rPr>
        <w:t xml:space="preserve">. </w:t>
      </w:r>
      <w:r w:rsidRPr="008C28C6">
        <w:rPr>
          <w:rFonts w:asciiTheme="minorHAnsi" w:hAnsiTheme="minorHAnsi"/>
          <w:snapToGrid w:val="0"/>
          <w:lang w:val="en-US"/>
        </w:rPr>
        <w:t xml:space="preserve">The PBAC noted that adverse events for VEGF inhibitors in clinical practice are likely to be dependent on the frequency of administration. </w:t>
      </w:r>
      <w:r w:rsidR="000B6142" w:rsidRPr="004C0823">
        <w:t xml:space="preserve">The </w:t>
      </w:r>
      <w:r w:rsidR="000B6142">
        <w:t xml:space="preserve">Pre-PBAC </w:t>
      </w:r>
      <w:r w:rsidR="000B6142" w:rsidRPr="004C0823">
        <w:t>Response stated that no new safety signals were identified, and consistent with the results presented in the submission, the incidence of ocular adverse events and serious ocular adverse events was low and comparable between treatment arms.</w:t>
      </w:r>
      <w:r w:rsidR="000B6142">
        <w:t xml:space="preserve"> </w:t>
      </w:r>
      <w:r w:rsidR="008C28C6">
        <w:t xml:space="preserve">The PBAC acknowledged that the risk of adverse events with faricimab was low, generally comparable to aflibercept and ranibizumab and was consistent with the established adverse event profile of VEGF inhibitors.  The PBAC considered that, on balance, the claim of noninferior safety was </w:t>
      </w:r>
      <w:r w:rsidR="00A959F7">
        <w:t>reasonable.</w:t>
      </w:r>
      <w:r w:rsidR="00A959F7" w:rsidRPr="008C28C6">
        <w:rPr>
          <w:lang w:val="en-US"/>
        </w:rPr>
        <w:t xml:space="preserve"> The</w:t>
      </w:r>
      <w:r w:rsidRPr="008C28C6">
        <w:rPr>
          <w:lang w:val="en-US"/>
        </w:rPr>
        <w:t xml:space="preserve"> Pre-PBAC Response provided</w:t>
      </w:r>
      <w:r w:rsidR="00BF7E6D" w:rsidRPr="008C28C6">
        <w:rPr>
          <w:lang w:val="en-US"/>
        </w:rPr>
        <w:t xml:space="preserve"> </w:t>
      </w:r>
      <w:r w:rsidR="00BF7E6D" w:rsidRPr="007C2E8D">
        <w:t>follow-up data from the TENAYA and LUCERNE trials</w:t>
      </w:r>
      <w:r w:rsidR="00BF7E6D">
        <w:t xml:space="preserve"> up to Week 112</w:t>
      </w:r>
      <w:r w:rsidR="00BF7E6D" w:rsidRPr="007C2E8D">
        <w:t xml:space="preserve"> to address concerns regarding the limited long-term efficacy and follow-up data. Data were provided from a presentation reporting Year 2 topline results (April 5, 2022). </w:t>
      </w:r>
      <w:r w:rsidR="00BF7E6D">
        <w:t xml:space="preserve">The updated results were not evaluated. </w:t>
      </w:r>
      <w:r w:rsidRPr="008C28C6">
        <w:rPr>
          <w:lang w:val="en-US"/>
        </w:rPr>
        <w:t xml:space="preserve">Overall, the PBAC considered that the results in terms of overall efficacy and safety were consistent with the primary analysis for the </w:t>
      </w:r>
      <w:r w:rsidR="00534B76" w:rsidRPr="008C28C6">
        <w:rPr>
          <w:lang w:val="en-US"/>
        </w:rPr>
        <w:t xml:space="preserve">TENAYA and LUCERNE </w:t>
      </w:r>
      <w:r w:rsidRPr="008C28C6">
        <w:rPr>
          <w:lang w:val="en-US"/>
        </w:rPr>
        <w:t xml:space="preserve">trials provided in the original submission. </w:t>
      </w:r>
    </w:p>
    <w:p w14:paraId="67C5E46B" w14:textId="37F4A5BA" w:rsidR="00D5438C" w:rsidRPr="004F445C" w:rsidRDefault="00D5438C" w:rsidP="00D5438C">
      <w:pPr>
        <w:widowControl w:val="0"/>
        <w:numPr>
          <w:ilvl w:val="1"/>
          <w:numId w:val="1"/>
        </w:numPr>
        <w:spacing w:after="120"/>
        <w:rPr>
          <w:rFonts w:asciiTheme="minorHAnsi" w:hAnsiTheme="minorHAnsi"/>
          <w:snapToGrid w:val="0"/>
          <w:lang w:val="en-GB"/>
        </w:rPr>
      </w:pPr>
      <w:r w:rsidRPr="004F445C">
        <w:rPr>
          <w:rFonts w:asciiTheme="minorHAnsi" w:hAnsiTheme="minorHAnsi"/>
          <w:snapToGrid w:val="0"/>
          <w:lang w:val="en-GB"/>
        </w:rPr>
        <w:t xml:space="preserve">The PBAC </w:t>
      </w:r>
      <w:r>
        <w:rPr>
          <w:rFonts w:asciiTheme="minorHAnsi" w:hAnsiTheme="minorHAnsi"/>
          <w:snapToGrid w:val="0"/>
          <w:lang w:val="en-GB"/>
        </w:rPr>
        <w:t xml:space="preserve">accepted the </w:t>
      </w:r>
      <w:r w:rsidRPr="004F445C">
        <w:rPr>
          <w:rFonts w:asciiTheme="minorHAnsi" w:hAnsiTheme="minorHAnsi"/>
          <w:snapToGrid w:val="0"/>
          <w:lang w:val="en-GB"/>
        </w:rPr>
        <w:t xml:space="preserve">market share approach to estimate the financial impact of listing faricimab on the PBS for </w:t>
      </w:r>
      <w:r w:rsidR="009438B4">
        <w:rPr>
          <w:rFonts w:asciiTheme="minorHAnsi" w:hAnsiTheme="minorHAnsi"/>
          <w:snapToGrid w:val="0"/>
          <w:lang w:val="en-GB"/>
        </w:rPr>
        <w:t>nAMD</w:t>
      </w:r>
      <w:r>
        <w:rPr>
          <w:rFonts w:asciiTheme="minorHAnsi" w:hAnsiTheme="minorHAnsi"/>
          <w:snapToGrid w:val="0"/>
          <w:lang w:val="en-GB"/>
        </w:rPr>
        <w:t xml:space="preserve">. However, the PBAC </w:t>
      </w:r>
      <w:r w:rsidRPr="004F445C">
        <w:rPr>
          <w:rFonts w:asciiTheme="minorHAnsi" w:hAnsiTheme="minorHAnsi"/>
          <w:snapToGrid w:val="0"/>
          <w:lang w:val="en-GB"/>
        </w:rPr>
        <w:t xml:space="preserve">considered the assumption </w:t>
      </w:r>
      <w:r w:rsidRPr="004F445C">
        <w:rPr>
          <w:rFonts w:asciiTheme="minorHAnsi" w:hAnsiTheme="minorHAnsi"/>
          <w:snapToGrid w:val="0"/>
          <w:lang w:val="en-GB"/>
        </w:rPr>
        <w:lastRenderedPageBreak/>
        <w:t>that faricimab would account for 45% of the market share in Year 1 of listing was unrealistically high, as it is unclear whether patients currently receiving treatment with aflibercept/ranibizumab would switch to faricimab.</w:t>
      </w:r>
      <w:r w:rsidR="004F115F">
        <w:rPr>
          <w:rFonts w:asciiTheme="minorHAnsi" w:hAnsiTheme="minorHAnsi"/>
          <w:snapToGrid w:val="0"/>
          <w:lang w:val="en-GB"/>
        </w:rPr>
        <w:t xml:space="preserve"> The PBAC considered </w:t>
      </w:r>
      <w:r w:rsidR="000048F7">
        <w:rPr>
          <w:rFonts w:asciiTheme="minorHAnsi" w:hAnsiTheme="minorHAnsi"/>
          <w:snapToGrid w:val="0"/>
          <w:lang w:val="en-GB"/>
        </w:rPr>
        <w:t>20</w:t>
      </w:r>
      <w:r w:rsidR="004F115F">
        <w:rPr>
          <w:rFonts w:asciiTheme="minorHAnsi" w:hAnsiTheme="minorHAnsi"/>
          <w:snapToGrid w:val="0"/>
          <w:lang w:val="en-GB"/>
        </w:rPr>
        <w:t xml:space="preserve">% of market share in Year 1 to be </w:t>
      </w:r>
      <w:r w:rsidR="000048F7">
        <w:rPr>
          <w:rFonts w:asciiTheme="minorHAnsi" w:hAnsiTheme="minorHAnsi"/>
          <w:snapToGrid w:val="0"/>
          <w:lang w:val="en-GB"/>
        </w:rPr>
        <w:t xml:space="preserve">a </w:t>
      </w:r>
      <w:r w:rsidR="004F115F">
        <w:rPr>
          <w:rFonts w:asciiTheme="minorHAnsi" w:hAnsiTheme="minorHAnsi"/>
          <w:snapToGrid w:val="0"/>
          <w:lang w:val="en-GB"/>
        </w:rPr>
        <w:t>more reasonable</w:t>
      </w:r>
      <w:r w:rsidR="000048F7">
        <w:rPr>
          <w:rFonts w:asciiTheme="minorHAnsi" w:hAnsiTheme="minorHAnsi"/>
          <w:snapToGrid w:val="0"/>
          <w:lang w:val="en-GB"/>
        </w:rPr>
        <w:t xml:space="preserve"> assumption</w:t>
      </w:r>
      <w:r w:rsidR="004F115F">
        <w:rPr>
          <w:rFonts w:asciiTheme="minorHAnsi" w:hAnsiTheme="minorHAnsi"/>
          <w:snapToGrid w:val="0"/>
          <w:lang w:val="en-GB"/>
        </w:rPr>
        <w:t>.</w:t>
      </w:r>
      <w:r w:rsidRPr="004F445C">
        <w:rPr>
          <w:rFonts w:asciiTheme="minorHAnsi" w:hAnsiTheme="minorHAnsi"/>
          <w:snapToGrid w:val="0"/>
          <w:lang w:val="en-GB"/>
        </w:rPr>
        <w:t xml:space="preserve"> The PBAC also noted that the Sponsor had assumed there would be no growth in the market resulting from the listing of faricimab on the PBS, and that no allowance was made for loading doses in </w:t>
      </w:r>
      <w:r>
        <w:rPr>
          <w:rFonts w:asciiTheme="minorHAnsi" w:hAnsiTheme="minorHAnsi"/>
          <w:snapToGrid w:val="0"/>
          <w:lang w:val="en-GB"/>
        </w:rPr>
        <w:t xml:space="preserve">the initial year of treatment in </w:t>
      </w:r>
      <w:r w:rsidRPr="004F445C">
        <w:rPr>
          <w:rFonts w:asciiTheme="minorHAnsi" w:hAnsiTheme="minorHAnsi"/>
          <w:snapToGrid w:val="0"/>
          <w:lang w:val="en-GB"/>
        </w:rPr>
        <w:t>patients who have switched from aflibercept to faricimab.</w:t>
      </w:r>
    </w:p>
    <w:p w14:paraId="2DD8C8D8" w14:textId="1C3A06D5" w:rsidR="00D5438C" w:rsidRPr="00254404" w:rsidRDefault="00332346" w:rsidP="00D5438C">
      <w:pPr>
        <w:pStyle w:val="ExecSumBodyText"/>
        <w:numPr>
          <w:ilvl w:val="1"/>
          <w:numId w:val="1"/>
        </w:numPr>
        <w:ind w:left="709" w:hanging="709"/>
        <w:rPr>
          <w:b/>
          <w:bCs/>
          <w:lang w:val="en-US"/>
        </w:rPr>
      </w:pPr>
      <w:r>
        <w:t xml:space="preserve">The PBAC considered the proposed cost savings with listing faricimab to be highly speculative, in particular noting that </w:t>
      </w:r>
      <w:r w:rsidRPr="006A5966">
        <w:rPr>
          <w:lang w:val="en-GB"/>
        </w:rPr>
        <w:t xml:space="preserve">the cost savings </w:t>
      </w:r>
      <w:r>
        <w:rPr>
          <w:lang w:val="en-GB"/>
        </w:rPr>
        <w:t xml:space="preserve">estimated in the submission </w:t>
      </w:r>
      <w:r w:rsidRPr="006A5966">
        <w:rPr>
          <w:lang w:val="en-GB"/>
        </w:rPr>
        <w:t>depend on the assumed dose frequencies</w:t>
      </w:r>
      <w:r>
        <w:rPr>
          <w:lang w:val="en-GB"/>
        </w:rPr>
        <w:t>,</w:t>
      </w:r>
      <w:r w:rsidRPr="006A5966">
        <w:rPr>
          <w:lang w:val="en-GB"/>
        </w:rPr>
        <w:t xml:space="preserve"> </w:t>
      </w:r>
      <w:r w:rsidRPr="004258FA">
        <w:rPr>
          <w:lang w:val="en-GB"/>
        </w:rPr>
        <w:t xml:space="preserve">which </w:t>
      </w:r>
      <w:r w:rsidRPr="006A5966">
        <w:rPr>
          <w:lang w:val="en-GB"/>
        </w:rPr>
        <w:t>may not be realised if dose frequencies differ in clinical practice.</w:t>
      </w:r>
      <w:r w:rsidR="00D5438C" w:rsidRPr="004F445C">
        <w:rPr>
          <w:lang w:val="en-GB"/>
        </w:rPr>
        <w:t xml:space="preserve"> </w:t>
      </w:r>
      <w:r w:rsidR="00D5438C">
        <w:rPr>
          <w:lang w:val="en-GB"/>
        </w:rPr>
        <w:t>T</w:t>
      </w:r>
      <w:r w:rsidR="00D5438C" w:rsidRPr="004258FA">
        <w:rPr>
          <w:lang w:val="en-GB"/>
        </w:rPr>
        <w:t xml:space="preserve">he PBAC </w:t>
      </w:r>
      <w:r w:rsidR="00D5438C">
        <w:rPr>
          <w:lang w:val="en-GB"/>
        </w:rPr>
        <w:t xml:space="preserve">also noted </w:t>
      </w:r>
      <w:r w:rsidR="00D5438C" w:rsidRPr="004F445C">
        <w:rPr>
          <w:lang w:val="en-GB"/>
        </w:rPr>
        <w:t xml:space="preserve">that additional costs </w:t>
      </w:r>
      <w:r w:rsidR="00D5438C" w:rsidRPr="004258FA">
        <w:rPr>
          <w:lang w:val="en-GB"/>
        </w:rPr>
        <w:t xml:space="preserve">to Government </w:t>
      </w:r>
      <w:r w:rsidR="00D5438C" w:rsidRPr="004F445C">
        <w:rPr>
          <w:lang w:val="en-GB"/>
        </w:rPr>
        <w:t>may be incurred if the dose frequency for faricimab is higher than aflibercept</w:t>
      </w:r>
      <w:r w:rsidR="00D5438C" w:rsidRPr="004258FA">
        <w:rPr>
          <w:lang w:val="en-GB"/>
        </w:rPr>
        <w:t xml:space="preserve">, particularly in the first 2 years of listing due the </w:t>
      </w:r>
      <w:r w:rsidR="00D5438C">
        <w:rPr>
          <w:lang w:val="en-GB"/>
        </w:rPr>
        <w:t xml:space="preserve">faricimab </w:t>
      </w:r>
      <w:r w:rsidR="00D5438C" w:rsidRPr="004258FA">
        <w:rPr>
          <w:lang w:val="en-GB"/>
        </w:rPr>
        <w:t xml:space="preserve">loading doses in patients who </w:t>
      </w:r>
      <w:r w:rsidR="00D5438C" w:rsidRPr="00713CA4">
        <w:rPr>
          <w:lang w:val="en-GB"/>
        </w:rPr>
        <w:t xml:space="preserve">switching from aflibercept to faricimab. The PBAC considered that there should be no extra cost to Government given the PBAC’s acceptance of the </w:t>
      </w:r>
      <w:r w:rsidR="00D5438C" w:rsidRPr="00713CA4">
        <w:t xml:space="preserve">faricimab administration frequency based on </w:t>
      </w:r>
      <w:r w:rsidR="00713CA4" w:rsidRPr="00713CA4">
        <w:t>average doses in the first 48 weeks of treatment in the TENAYA and LUCERNE trials (6.4 mean administrations through to Week 48, average treatment duration 46.2 weeks), apportioned to a 52</w:t>
      </w:r>
      <w:r w:rsidR="00713CA4" w:rsidRPr="00713CA4">
        <w:noBreakHyphen/>
        <w:t xml:space="preserve">week estimate, </w:t>
      </w:r>
      <w:r w:rsidR="00D5438C" w:rsidRPr="00713CA4">
        <w:t xml:space="preserve">and the aflibercept administration frequency was based on the </w:t>
      </w:r>
      <w:r w:rsidR="00822489">
        <w:t>PBS data</w:t>
      </w:r>
      <w:r w:rsidR="00945ECA">
        <w:t xml:space="preserve"> </w:t>
      </w:r>
      <w:r w:rsidR="00D5438C" w:rsidRPr="00713CA4">
        <w:t>for aflibercept.</w:t>
      </w:r>
    </w:p>
    <w:p w14:paraId="2D96ABEC" w14:textId="77777777" w:rsidR="00D46FFE" w:rsidRPr="00D46FFE" w:rsidRDefault="005E183E" w:rsidP="00D5438C">
      <w:pPr>
        <w:widowControl w:val="0"/>
        <w:numPr>
          <w:ilvl w:val="1"/>
          <w:numId w:val="1"/>
        </w:numPr>
        <w:spacing w:after="120"/>
        <w:rPr>
          <w:rFonts w:asciiTheme="minorHAnsi" w:hAnsiTheme="minorHAnsi"/>
          <w:snapToGrid w:val="0"/>
          <w:lang w:val="en-GB"/>
        </w:rPr>
      </w:pPr>
      <w:r>
        <w:t xml:space="preserve">The PBAC considered that </w:t>
      </w:r>
      <w:r w:rsidRPr="00A034B3">
        <w:t xml:space="preserve">it would be appropriate </w:t>
      </w:r>
      <w:r>
        <w:t xml:space="preserve">for faricimab join the Deed arrangements in place for </w:t>
      </w:r>
      <w:r w:rsidRPr="00BF2B95">
        <w:t>ranibizumab, aflibercept and brolucizumab intravitreal injections</w:t>
      </w:r>
      <w:r>
        <w:t xml:space="preserve"> in CNV due to AMD with no increase in expenditure caps to ensure the listing resulted in no additional cost.</w:t>
      </w:r>
    </w:p>
    <w:p w14:paraId="709DD67D" w14:textId="55796F0B" w:rsidR="00D5438C" w:rsidRDefault="00D5438C" w:rsidP="00D5438C">
      <w:pPr>
        <w:widowControl w:val="0"/>
        <w:numPr>
          <w:ilvl w:val="1"/>
          <w:numId w:val="1"/>
        </w:numPr>
        <w:spacing w:after="120"/>
        <w:rPr>
          <w:rFonts w:asciiTheme="minorHAnsi" w:hAnsiTheme="minorHAnsi"/>
          <w:snapToGrid w:val="0"/>
          <w:lang w:val="en-GB"/>
        </w:rPr>
      </w:pPr>
      <w:r w:rsidRPr="004F445C">
        <w:rPr>
          <w:rFonts w:asciiTheme="minorHAnsi" w:hAnsiTheme="minorHAnsi"/>
          <w:snapToGrid w:val="0"/>
          <w:lang w:val="en-GB"/>
        </w:rPr>
        <w:t>The PBAC noted the requested l</w:t>
      </w:r>
      <w:r w:rsidR="00343748">
        <w:rPr>
          <w:rFonts w:asciiTheme="minorHAnsi" w:hAnsiTheme="minorHAnsi"/>
          <w:snapToGrid w:val="0"/>
          <w:lang w:val="en-GB"/>
        </w:rPr>
        <w:t>isting and considered that 2</w:t>
      </w:r>
      <w:r w:rsidRPr="004F445C">
        <w:rPr>
          <w:rFonts w:asciiTheme="minorHAnsi" w:hAnsiTheme="minorHAnsi"/>
          <w:snapToGrid w:val="0"/>
          <w:lang w:val="en-GB"/>
        </w:rPr>
        <w:t xml:space="preserve"> repeats w</w:t>
      </w:r>
      <w:r>
        <w:rPr>
          <w:rFonts w:asciiTheme="minorHAnsi" w:hAnsiTheme="minorHAnsi"/>
          <w:snapToGrid w:val="0"/>
          <w:lang w:val="en-GB"/>
        </w:rPr>
        <w:t>ould be</w:t>
      </w:r>
      <w:r w:rsidRPr="004F445C">
        <w:rPr>
          <w:rFonts w:asciiTheme="minorHAnsi" w:hAnsiTheme="minorHAnsi"/>
          <w:snapToGrid w:val="0"/>
          <w:lang w:val="en-GB"/>
        </w:rPr>
        <w:t xml:space="preserve"> appropriate</w:t>
      </w:r>
      <w:r>
        <w:rPr>
          <w:rFonts w:asciiTheme="minorHAnsi" w:hAnsiTheme="minorHAnsi"/>
          <w:snapToGrid w:val="0"/>
          <w:lang w:val="en-GB"/>
        </w:rPr>
        <w:t xml:space="preserve"> for faricimab for all treatment phases. The PBAC noted that this was</w:t>
      </w:r>
      <w:r w:rsidRPr="004F445C">
        <w:rPr>
          <w:rFonts w:asciiTheme="minorHAnsi" w:hAnsiTheme="minorHAnsi"/>
          <w:snapToGrid w:val="0"/>
          <w:lang w:val="en-GB"/>
        </w:rPr>
        <w:t xml:space="preserve"> consistent with aflibercept and ranibizumab, which are used under treat</w:t>
      </w:r>
      <w:r>
        <w:rPr>
          <w:rFonts w:asciiTheme="minorHAnsi" w:hAnsiTheme="minorHAnsi"/>
          <w:snapToGrid w:val="0"/>
          <w:lang w:val="en-GB"/>
        </w:rPr>
        <w:t>-</w:t>
      </w:r>
      <w:r w:rsidRPr="004F445C">
        <w:rPr>
          <w:rFonts w:asciiTheme="minorHAnsi" w:hAnsiTheme="minorHAnsi"/>
          <w:snapToGrid w:val="0"/>
          <w:lang w:val="en-GB"/>
        </w:rPr>
        <w:t>and</w:t>
      </w:r>
      <w:r>
        <w:rPr>
          <w:rFonts w:asciiTheme="minorHAnsi" w:hAnsiTheme="minorHAnsi"/>
          <w:snapToGrid w:val="0"/>
          <w:lang w:val="en-GB"/>
        </w:rPr>
        <w:t>-</w:t>
      </w:r>
      <w:r w:rsidR="00343748">
        <w:rPr>
          <w:rFonts w:asciiTheme="minorHAnsi" w:hAnsiTheme="minorHAnsi"/>
          <w:snapToGrid w:val="0"/>
          <w:lang w:val="en-GB"/>
        </w:rPr>
        <w:t>extend regimens.</w:t>
      </w:r>
    </w:p>
    <w:p w14:paraId="2983EE26" w14:textId="0F4A9D0A" w:rsidR="003D23A2" w:rsidRDefault="003D23A2" w:rsidP="003D23A2">
      <w:pPr>
        <w:pStyle w:val="ExecSumBodyText"/>
        <w:numPr>
          <w:ilvl w:val="1"/>
          <w:numId w:val="1"/>
        </w:numPr>
        <w:ind w:left="709" w:hanging="709"/>
        <w:rPr>
          <w:lang w:val="en-GB"/>
        </w:rPr>
      </w:pPr>
      <w:r w:rsidRPr="006A3838">
        <w:rPr>
          <w:lang w:val="en-GB"/>
        </w:rPr>
        <w:t xml:space="preserve">The </w:t>
      </w:r>
      <w:r>
        <w:rPr>
          <w:lang w:val="en-GB"/>
        </w:rPr>
        <w:t>PBAC considered that a grandfather restriction should be in operation</w:t>
      </w:r>
      <w:r w:rsidRPr="006A3838">
        <w:rPr>
          <w:lang w:val="en-GB"/>
        </w:rPr>
        <w:t xml:space="preserve"> for a maximum of 12 months from listing</w:t>
      </w:r>
      <w:r>
        <w:rPr>
          <w:lang w:val="en-GB"/>
        </w:rPr>
        <w:t xml:space="preserve"> and that the following</w:t>
      </w:r>
      <w:r w:rsidRPr="006A3838">
        <w:rPr>
          <w:lang w:val="en-GB"/>
        </w:rPr>
        <w:t xml:space="preserve"> administrative note should be added “Patients may qualify for PBS-subsidised treatment under this restriction once only per eye. For continuing PBS-subsidised treatment, a 'Grandfathered' patient must qualify under the 'Continuing treatment' criteria.”</w:t>
      </w:r>
    </w:p>
    <w:p w14:paraId="3C7752BD" w14:textId="63B16A25" w:rsidR="00A916A4" w:rsidRPr="00A916A4" w:rsidRDefault="00A916A4" w:rsidP="00A916A4">
      <w:pPr>
        <w:pStyle w:val="ExecSumBodyText"/>
        <w:numPr>
          <w:ilvl w:val="1"/>
          <w:numId w:val="1"/>
        </w:numPr>
        <w:ind w:left="709" w:hanging="709"/>
        <w:rPr>
          <w:bCs/>
          <w:lang w:val="en-GB"/>
        </w:rPr>
      </w:pPr>
      <w:r w:rsidRPr="00720A95">
        <w:rPr>
          <w:bCs/>
          <w:lang w:val="en-GB"/>
        </w:rPr>
        <w:t xml:space="preserve">The PBAC advised that faricimab should be included as a prior treatment in the initial and grandfather restriction of brolucizumab for subfoveal choroidal neovascularisation (CNV). The PBAC noted that this change would make brolucizumab a second-, third-, or fourth-line treatment in this indication. The PBAC recalled that brolucizumab was previously accepted as a subsequent therapy after aflibercept or ranibizumab and considered that this would also apply to faricimab (paragraph 7.4, brolucizumab PSD, March 2021 PBAC meeting). The PBAC considered that upon listing of faricimab for nAMD, the restriction flow-on change should apply to the following </w:t>
      </w:r>
      <w:r w:rsidRPr="00720A95">
        <w:rPr>
          <w:bCs/>
          <w:lang w:val="en-GB"/>
        </w:rPr>
        <w:lastRenderedPageBreak/>
        <w:t>brolucizumab initial and grandfather restriction: “Patient must have persistent macular exudation, as determined clinically and/or by optical coherence tomography or fluorescein angiography, despite at least 6 months of treatment with: 1. Aflibercept and/or 2. Ranibizumab and/or 3. Faricimab.</w:t>
      </w:r>
      <w:r>
        <w:rPr>
          <w:bCs/>
          <w:lang w:val="en-GB"/>
        </w:rPr>
        <w:t>”</w:t>
      </w:r>
    </w:p>
    <w:p w14:paraId="484CCE4D" w14:textId="77777777" w:rsidR="00D5438C" w:rsidRPr="004F445C" w:rsidRDefault="00D5438C" w:rsidP="00D5438C">
      <w:pPr>
        <w:pStyle w:val="ExecSumBodyText"/>
        <w:numPr>
          <w:ilvl w:val="1"/>
          <w:numId w:val="1"/>
        </w:numPr>
        <w:ind w:left="709" w:hanging="709"/>
        <w:rPr>
          <w:bCs/>
          <w:lang w:val="en-GB"/>
        </w:rPr>
      </w:pPr>
      <w:r w:rsidRPr="00301084">
        <w:rPr>
          <w:bCs/>
          <w:lang w:val="en-GB"/>
        </w:rPr>
        <w:t xml:space="preserve">The PBAC advised, under Section 101 (4AACD) of the </w:t>
      </w:r>
      <w:r w:rsidRPr="00301084">
        <w:rPr>
          <w:bCs/>
          <w:i/>
          <w:iCs/>
          <w:lang w:val="en-GB"/>
        </w:rPr>
        <w:t>National Health Act</w:t>
      </w:r>
      <w:r w:rsidRPr="00301084">
        <w:rPr>
          <w:bCs/>
          <w:lang w:val="en-GB"/>
        </w:rPr>
        <w:t xml:space="preserve">, that </w:t>
      </w:r>
      <w:r>
        <w:rPr>
          <w:bCs/>
          <w:lang w:val="en-GB"/>
        </w:rPr>
        <w:t>faricimab 0.24 mL injection vial and faricimab 0.2 mL injection syringe</w:t>
      </w:r>
      <w:r w:rsidRPr="00301084">
        <w:rPr>
          <w:bCs/>
          <w:lang w:val="en-GB"/>
        </w:rPr>
        <w:t xml:space="preserve"> should be considered equivalent for the purposes of substitution (i.e., ‘a’ flagged in the Schedule with a NOTE stating PBS of one form and PBS of another form are equivalent for the purposes of substitution)</w:t>
      </w:r>
      <w:r>
        <w:rPr>
          <w:bCs/>
          <w:lang w:val="en-GB"/>
        </w:rPr>
        <w:t>.</w:t>
      </w:r>
    </w:p>
    <w:p w14:paraId="45932A87" w14:textId="77777777" w:rsidR="00D5438C" w:rsidRPr="004F445C" w:rsidRDefault="00D5438C" w:rsidP="00D5438C">
      <w:pPr>
        <w:widowControl w:val="0"/>
        <w:numPr>
          <w:ilvl w:val="1"/>
          <w:numId w:val="1"/>
        </w:numPr>
        <w:spacing w:after="120"/>
        <w:rPr>
          <w:rFonts w:asciiTheme="minorHAnsi" w:hAnsiTheme="minorHAnsi"/>
          <w:bCs/>
          <w:snapToGrid w:val="0"/>
          <w:lang w:val="en-GB"/>
        </w:rPr>
      </w:pPr>
      <w:r w:rsidRPr="004F445C">
        <w:rPr>
          <w:rFonts w:asciiTheme="minorHAnsi" w:hAnsiTheme="minorHAnsi"/>
          <w:bCs/>
          <w:snapToGrid w:val="0"/>
          <w:lang w:val="en-GB"/>
        </w:rPr>
        <w:t xml:space="preserve">The PBAC advised, under Section 101(3BA) of the </w:t>
      </w:r>
      <w:r w:rsidRPr="004F445C">
        <w:rPr>
          <w:rFonts w:asciiTheme="minorHAnsi" w:hAnsiTheme="minorHAnsi"/>
          <w:bCs/>
          <w:i/>
          <w:iCs/>
          <w:snapToGrid w:val="0"/>
          <w:lang w:val="en-GB"/>
        </w:rPr>
        <w:t>National Health Act</w:t>
      </w:r>
      <w:r w:rsidRPr="004F445C">
        <w:rPr>
          <w:rFonts w:asciiTheme="minorHAnsi" w:hAnsiTheme="minorHAnsi"/>
          <w:bCs/>
          <w:snapToGrid w:val="0"/>
          <w:lang w:val="en-GB"/>
        </w:rPr>
        <w:t>,</w:t>
      </w:r>
      <w:r>
        <w:rPr>
          <w:rFonts w:asciiTheme="minorHAnsi" w:hAnsiTheme="minorHAnsi"/>
          <w:bCs/>
          <w:snapToGrid w:val="0"/>
          <w:lang w:val="en-GB"/>
        </w:rPr>
        <w:t xml:space="preserve"> </w:t>
      </w:r>
      <w:r w:rsidRPr="004F445C">
        <w:rPr>
          <w:rFonts w:asciiTheme="minorHAnsi" w:hAnsiTheme="minorHAnsi"/>
          <w:bCs/>
          <w:snapToGrid w:val="0"/>
          <w:lang w:val="en-GB"/>
        </w:rPr>
        <w:t>that faricimab should not be treated as interchangeable</w:t>
      </w:r>
      <w:r>
        <w:rPr>
          <w:rFonts w:asciiTheme="minorHAnsi" w:hAnsiTheme="minorHAnsi"/>
          <w:bCs/>
          <w:snapToGrid w:val="0"/>
          <w:lang w:val="en-GB"/>
        </w:rPr>
        <w:t xml:space="preserve"> on an individual patient basis</w:t>
      </w:r>
      <w:r w:rsidRPr="004F445C">
        <w:rPr>
          <w:rFonts w:asciiTheme="minorHAnsi" w:hAnsiTheme="minorHAnsi"/>
          <w:bCs/>
          <w:snapToGrid w:val="0"/>
          <w:lang w:val="en-GB"/>
        </w:rPr>
        <w:t xml:space="preserve"> with any other drugs.</w:t>
      </w:r>
    </w:p>
    <w:p w14:paraId="39D34C9E" w14:textId="77777777" w:rsidR="00D5438C" w:rsidRPr="004F445C" w:rsidRDefault="00D5438C" w:rsidP="00D5438C">
      <w:pPr>
        <w:widowControl w:val="0"/>
        <w:numPr>
          <w:ilvl w:val="1"/>
          <w:numId w:val="1"/>
        </w:numPr>
        <w:spacing w:after="120"/>
        <w:rPr>
          <w:rFonts w:asciiTheme="minorHAnsi" w:hAnsiTheme="minorHAnsi"/>
          <w:bCs/>
          <w:snapToGrid w:val="0"/>
          <w:lang w:val="en-GB"/>
        </w:rPr>
      </w:pPr>
      <w:r w:rsidRPr="004F445C">
        <w:rPr>
          <w:rFonts w:asciiTheme="minorHAnsi" w:hAnsiTheme="minorHAnsi"/>
          <w:bCs/>
          <w:snapToGrid w:val="0"/>
          <w:lang w:val="en-GB"/>
        </w:rPr>
        <w:t xml:space="preserve">The PBAC advised that faricimab is not suitable for prescribing by nurse practitioners. </w:t>
      </w:r>
    </w:p>
    <w:p w14:paraId="7A2F1F7D" w14:textId="77777777" w:rsidR="00D5438C" w:rsidRPr="004F445C" w:rsidRDefault="00D5438C" w:rsidP="00D5438C">
      <w:pPr>
        <w:widowControl w:val="0"/>
        <w:numPr>
          <w:ilvl w:val="1"/>
          <w:numId w:val="1"/>
        </w:numPr>
        <w:spacing w:after="120"/>
        <w:rPr>
          <w:rFonts w:asciiTheme="minorHAnsi" w:hAnsiTheme="minorHAnsi"/>
          <w:bCs/>
          <w:snapToGrid w:val="0"/>
          <w:lang w:val="en-GB"/>
        </w:rPr>
      </w:pPr>
      <w:r w:rsidRPr="004F445C">
        <w:rPr>
          <w:rFonts w:asciiTheme="minorHAnsi" w:hAnsiTheme="minorHAnsi"/>
          <w:bCs/>
          <w:snapToGrid w:val="0"/>
          <w:lang w:val="en-GB"/>
        </w:rPr>
        <w:t xml:space="preserve">The PBAC recommended that the Early Supply Rule should not apply. </w:t>
      </w:r>
    </w:p>
    <w:p w14:paraId="7CD7F34B" w14:textId="77777777" w:rsidR="00D5438C" w:rsidRPr="004F445C" w:rsidRDefault="00D5438C" w:rsidP="00343748">
      <w:pPr>
        <w:widowControl w:val="0"/>
        <w:numPr>
          <w:ilvl w:val="1"/>
          <w:numId w:val="1"/>
        </w:numPr>
        <w:spacing w:after="120"/>
        <w:rPr>
          <w:rFonts w:asciiTheme="minorHAnsi" w:hAnsiTheme="minorHAnsi"/>
          <w:b/>
          <w:bCs/>
          <w:lang w:val="en-GB"/>
        </w:rPr>
      </w:pPr>
      <w:r w:rsidRPr="004F445C">
        <w:rPr>
          <w:rFonts w:asciiTheme="minorHAnsi" w:hAnsiTheme="minorHAnsi" w:cstheme="minorHAnsi"/>
          <w:lang w:val="en-GB"/>
        </w:rPr>
        <w:t>The PBAC noted that its recommendation was on a cost-minimisation basis and advised that, because faricimab is not expected to provide a substantial</w:t>
      </w:r>
      <w:r w:rsidRPr="004F445C">
        <w:rPr>
          <w:rFonts w:asciiTheme="minorHAnsi" w:hAnsiTheme="minorHAnsi"/>
          <w:bCs/>
          <w:lang w:val="en-GB"/>
        </w:rPr>
        <w:t xml:space="preserve"> and clinically relevant improvement in efficacy, or reduction of toxicity, over aflibercept, or not expected to address a high and urgent unmet clinical need given the presence of an alternative therapy, the criteria prescribed by the </w:t>
      </w:r>
      <w:r w:rsidRPr="004F445C">
        <w:rPr>
          <w:rFonts w:asciiTheme="minorHAnsi" w:hAnsiTheme="minorHAnsi"/>
          <w:bCs/>
          <w:i/>
          <w:lang w:val="en-GB"/>
        </w:rPr>
        <w:t>National Health (Pharmaceuticals and Vaccines – Cost Recovery) Regulations 2009</w:t>
      </w:r>
      <w:r w:rsidRPr="004F445C">
        <w:rPr>
          <w:rFonts w:asciiTheme="minorHAnsi" w:hAnsiTheme="minorHAnsi"/>
          <w:bCs/>
          <w:lang w:val="en-GB"/>
        </w:rPr>
        <w:t xml:space="preserve"> for Pricing Pathway A were not met.</w:t>
      </w:r>
    </w:p>
    <w:p w14:paraId="4EFFE9BA" w14:textId="77777777" w:rsidR="00D5438C" w:rsidRPr="004F445C" w:rsidRDefault="00D5438C" w:rsidP="00D5438C">
      <w:pPr>
        <w:widowControl w:val="0"/>
        <w:numPr>
          <w:ilvl w:val="1"/>
          <w:numId w:val="1"/>
        </w:numPr>
        <w:spacing w:after="120"/>
        <w:rPr>
          <w:rFonts w:asciiTheme="minorHAnsi" w:hAnsiTheme="minorHAnsi"/>
          <w:bCs/>
          <w:snapToGrid w:val="0"/>
          <w:lang w:val="en-GB"/>
        </w:rPr>
      </w:pPr>
      <w:r w:rsidRPr="004F445C">
        <w:rPr>
          <w:rFonts w:asciiTheme="minorHAnsi" w:hAnsiTheme="minorHAnsi"/>
          <w:bCs/>
          <w:snapToGrid w:val="0"/>
          <w:lang w:val="en-GB"/>
        </w:rPr>
        <w:t xml:space="preserve">The PBAC noted that this submission is not eligible for an Independent Review as it received a positive recommendation. </w:t>
      </w:r>
    </w:p>
    <w:p w14:paraId="4AB66DEB" w14:textId="77777777" w:rsidR="00D5438C" w:rsidRPr="004F445C" w:rsidRDefault="00D5438C" w:rsidP="00D5438C">
      <w:pPr>
        <w:spacing w:before="240"/>
        <w:rPr>
          <w:rFonts w:asciiTheme="minorHAnsi" w:hAnsiTheme="minorHAnsi"/>
          <w:b/>
          <w:bCs/>
          <w:snapToGrid w:val="0"/>
          <w:lang w:val="en-GB"/>
        </w:rPr>
      </w:pPr>
      <w:r w:rsidRPr="004F445C">
        <w:rPr>
          <w:rFonts w:asciiTheme="minorHAnsi" w:hAnsiTheme="minorHAnsi"/>
          <w:b/>
          <w:bCs/>
          <w:snapToGrid w:val="0"/>
          <w:lang w:val="en-GB"/>
        </w:rPr>
        <w:t>Outcome:</w:t>
      </w:r>
    </w:p>
    <w:p w14:paraId="7E515E3C" w14:textId="77777777" w:rsidR="00755BDA" w:rsidRPr="00755BDA" w:rsidRDefault="00D5438C" w:rsidP="009D74E3">
      <w:pPr>
        <w:rPr>
          <w:rFonts w:asciiTheme="minorHAnsi" w:hAnsiTheme="minorHAnsi"/>
          <w:bCs/>
          <w:snapToGrid w:val="0"/>
          <w:lang w:val="en-GB"/>
        </w:rPr>
      </w:pPr>
      <w:r w:rsidRPr="004F445C">
        <w:rPr>
          <w:rFonts w:asciiTheme="minorHAnsi" w:hAnsiTheme="minorHAnsi"/>
          <w:bCs/>
          <w:snapToGrid w:val="0"/>
          <w:lang w:val="en-GB"/>
        </w:rPr>
        <w:t>Recommended</w:t>
      </w:r>
    </w:p>
    <w:p w14:paraId="202C94BB" w14:textId="383C59E4" w:rsidR="00704529" w:rsidRPr="00D5438C" w:rsidRDefault="00704529" w:rsidP="00D5438C">
      <w:pPr>
        <w:pStyle w:val="2-SectionHeading"/>
        <w:numPr>
          <w:ilvl w:val="0"/>
          <w:numId w:val="1"/>
        </w:numPr>
        <w:rPr>
          <w:b w:val="0"/>
          <w:bCs/>
          <w:iCs/>
          <w:lang w:val="en-GB"/>
        </w:rPr>
      </w:pPr>
      <w:r w:rsidRPr="00D5438C">
        <w:t>Recommended listing</w:t>
      </w:r>
    </w:p>
    <w:p w14:paraId="69527EC1" w14:textId="3C1847DB" w:rsidR="00704529" w:rsidRPr="00D5438C" w:rsidRDefault="00D5438C" w:rsidP="00704529">
      <w:pPr>
        <w:widowControl w:val="0"/>
        <w:numPr>
          <w:ilvl w:val="1"/>
          <w:numId w:val="1"/>
        </w:numPr>
        <w:spacing w:after="120"/>
        <w:contextualSpacing/>
        <w:rPr>
          <w:rFonts w:asciiTheme="minorHAnsi" w:hAnsiTheme="minorHAnsi"/>
          <w:b/>
          <w:bCs/>
          <w:snapToGrid w:val="0"/>
        </w:rPr>
      </w:pPr>
      <w:r w:rsidRPr="00D5438C">
        <w:rPr>
          <w:rFonts w:asciiTheme="minorHAnsi" w:hAnsiTheme="minorHAnsi"/>
          <w:bCs/>
          <w:snapToGrid w:val="0"/>
        </w:rPr>
        <w:t>Add new item:</w:t>
      </w:r>
    </w:p>
    <w:bookmarkEnd w:id="38"/>
    <w:p w14:paraId="3D954A3F" w14:textId="40D8C27B" w:rsidR="00704529" w:rsidRDefault="00704529" w:rsidP="00704529">
      <w:pPr>
        <w:widowControl w:val="0"/>
        <w:pBdr>
          <w:bottom w:val="single" w:sz="4" w:space="1" w:color="auto"/>
        </w:pBdr>
        <w:rPr>
          <w:rFonts w:asciiTheme="minorHAnsi" w:hAnsiTheme="minorHAnsi"/>
          <w:bCs/>
          <w:snapToGrid w:val="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2668"/>
        <w:gridCol w:w="811"/>
        <w:gridCol w:w="812"/>
        <w:gridCol w:w="811"/>
        <w:gridCol w:w="812"/>
        <w:gridCol w:w="1831"/>
      </w:tblGrid>
      <w:tr w:rsidR="00D5438C" w:rsidRPr="009A63E2" w14:paraId="39ABA1EA" w14:textId="77777777" w:rsidTr="00115C14">
        <w:trPr>
          <w:cantSplit/>
          <w:trHeight w:val="20"/>
        </w:trPr>
        <w:tc>
          <w:tcPr>
            <w:tcW w:w="3939" w:type="dxa"/>
            <w:gridSpan w:val="3"/>
            <w:tcBorders>
              <w:top w:val="single" w:sz="4" w:space="0" w:color="auto"/>
              <w:left w:val="single" w:sz="4" w:space="0" w:color="auto"/>
              <w:bottom w:val="single" w:sz="4" w:space="0" w:color="auto"/>
              <w:right w:val="single" w:sz="4" w:space="0" w:color="auto"/>
            </w:tcBorders>
            <w:vAlign w:val="center"/>
            <w:hideMark/>
          </w:tcPr>
          <w:p w14:paraId="257037A2" w14:textId="77777777" w:rsidR="00D5438C" w:rsidRPr="009A63E2" w:rsidRDefault="00D5438C" w:rsidP="00115C14">
            <w:pPr>
              <w:keepLines/>
              <w:rPr>
                <w:rFonts w:ascii="Arial Narrow" w:hAnsi="Arial Narrow"/>
                <w:b/>
                <w:bCs/>
                <w:sz w:val="18"/>
                <w:szCs w:val="18"/>
              </w:rPr>
            </w:pPr>
            <w:r w:rsidRPr="009A63E2">
              <w:rPr>
                <w:rFonts w:ascii="Arial Narrow" w:hAnsi="Arial Narrow"/>
                <w:b/>
                <w:bCs/>
                <w:sz w:val="18"/>
                <w:szCs w:val="18"/>
              </w:rPr>
              <w:t>MEDICINAL PRODUCT</w:t>
            </w:r>
          </w:p>
          <w:p w14:paraId="5D12FE78" w14:textId="77777777" w:rsidR="00D5438C" w:rsidRPr="009A63E2" w:rsidRDefault="00D5438C" w:rsidP="00115C14">
            <w:pPr>
              <w:keepLines/>
              <w:rPr>
                <w:rFonts w:ascii="Arial Narrow" w:hAnsi="Arial Narrow"/>
                <w:b/>
                <w:sz w:val="18"/>
                <w:szCs w:val="18"/>
              </w:rPr>
            </w:pPr>
            <w:r w:rsidRPr="009A63E2">
              <w:rPr>
                <w:rFonts w:ascii="Arial Narrow" w:hAnsi="Arial Narrow"/>
                <w:b/>
                <w:bCs/>
                <w:sz w:val="18"/>
                <w:szCs w:val="18"/>
              </w:rPr>
              <w:t>medicinal product pack</w:t>
            </w:r>
          </w:p>
        </w:tc>
        <w:tc>
          <w:tcPr>
            <w:tcW w:w="811" w:type="dxa"/>
            <w:tcBorders>
              <w:top w:val="single" w:sz="4" w:space="0" w:color="auto"/>
              <w:left w:val="single" w:sz="4" w:space="0" w:color="auto"/>
              <w:bottom w:val="single" w:sz="4" w:space="0" w:color="auto"/>
              <w:right w:val="single" w:sz="4" w:space="0" w:color="auto"/>
            </w:tcBorders>
            <w:vAlign w:val="center"/>
            <w:hideMark/>
          </w:tcPr>
          <w:p w14:paraId="3CB91969" w14:textId="77777777" w:rsidR="00D5438C" w:rsidRPr="009A63E2" w:rsidRDefault="00D5438C" w:rsidP="00115C14">
            <w:pPr>
              <w:keepLines/>
              <w:jc w:val="center"/>
              <w:rPr>
                <w:rFonts w:ascii="Arial Narrow" w:hAnsi="Arial Narrow"/>
                <w:b/>
                <w:sz w:val="18"/>
                <w:szCs w:val="18"/>
              </w:rPr>
            </w:pPr>
            <w:r w:rsidRPr="009A63E2">
              <w:rPr>
                <w:rFonts w:ascii="Arial Narrow" w:hAnsi="Arial Narrow"/>
                <w:b/>
                <w:sz w:val="18"/>
                <w:szCs w:val="18"/>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2410A67D" w14:textId="77777777" w:rsidR="00D5438C" w:rsidRPr="009A63E2" w:rsidRDefault="00D5438C" w:rsidP="00115C14">
            <w:pPr>
              <w:keepLines/>
              <w:jc w:val="center"/>
              <w:rPr>
                <w:rFonts w:ascii="Arial Narrow" w:hAnsi="Arial Narrow"/>
                <w:b/>
                <w:sz w:val="18"/>
                <w:szCs w:val="18"/>
              </w:rPr>
            </w:pPr>
            <w:r w:rsidRPr="009A63E2">
              <w:rPr>
                <w:rFonts w:ascii="Arial Narrow" w:hAnsi="Arial Narrow"/>
                <w:b/>
                <w:sz w:val="18"/>
                <w:szCs w:val="18"/>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2DCFDEFB" w14:textId="77777777" w:rsidR="00D5438C" w:rsidRPr="009A63E2" w:rsidRDefault="00D5438C" w:rsidP="00115C14">
            <w:pPr>
              <w:keepLines/>
              <w:jc w:val="center"/>
              <w:rPr>
                <w:rFonts w:ascii="Arial Narrow" w:hAnsi="Arial Narrow"/>
                <w:b/>
                <w:sz w:val="18"/>
                <w:szCs w:val="18"/>
              </w:rPr>
            </w:pPr>
            <w:r w:rsidRPr="009A63E2">
              <w:rPr>
                <w:rFonts w:ascii="Arial Narrow" w:hAnsi="Arial Narrow"/>
                <w:b/>
                <w:sz w:val="18"/>
                <w:szCs w:val="18"/>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1AAA074C" w14:textId="77777777" w:rsidR="00D5438C" w:rsidRPr="009A63E2" w:rsidRDefault="00D5438C" w:rsidP="00115C14">
            <w:pPr>
              <w:keepLines/>
              <w:jc w:val="center"/>
              <w:rPr>
                <w:rFonts w:ascii="Arial Narrow" w:hAnsi="Arial Narrow"/>
                <w:b/>
                <w:sz w:val="18"/>
                <w:szCs w:val="18"/>
              </w:rPr>
            </w:pPr>
            <w:r w:rsidRPr="009A63E2">
              <w:rPr>
                <w:rFonts w:ascii="Arial Narrow" w:hAnsi="Arial Narrow"/>
                <w:b/>
                <w:sz w:val="18"/>
                <w:szCs w:val="18"/>
              </w:rPr>
              <w:t>№.of</w:t>
            </w:r>
          </w:p>
          <w:p w14:paraId="07E6A65C" w14:textId="77777777" w:rsidR="00D5438C" w:rsidRPr="009A63E2" w:rsidRDefault="00D5438C" w:rsidP="00115C14">
            <w:pPr>
              <w:keepLines/>
              <w:jc w:val="center"/>
              <w:rPr>
                <w:rFonts w:ascii="Arial Narrow" w:hAnsi="Arial Narrow"/>
                <w:b/>
                <w:sz w:val="18"/>
                <w:szCs w:val="18"/>
              </w:rPr>
            </w:pPr>
            <w:r w:rsidRPr="009A63E2">
              <w:rPr>
                <w:rFonts w:ascii="Arial Narrow" w:hAnsi="Arial Narrow"/>
                <w:b/>
                <w:sz w:val="18"/>
                <w:szCs w:val="18"/>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3688D04B" w14:textId="77777777" w:rsidR="00D5438C" w:rsidRPr="009A63E2" w:rsidRDefault="00D5438C" w:rsidP="00115C14">
            <w:pPr>
              <w:keepLines/>
              <w:rPr>
                <w:rFonts w:ascii="Arial Narrow" w:hAnsi="Arial Narrow"/>
                <w:b/>
                <w:sz w:val="18"/>
                <w:szCs w:val="18"/>
                <w:lang w:val="fr-FR"/>
              </w:rPr>
            </w:pPr>
            <w:r w:rsidRPr="009A63E2">
              <w:rPr>
                <w:rFonts w:ascii="Arial Narrow" w:hAnsi="Arial Narrow"/>
                <w:b/>
                <w:sz w:val="18"/>
                <w:szCs w:val="18"/>
              </w:rPr>
              <w:t>Available brands</w:t>
            </w:r>
          </w:p>
        </w:tc>
      </w:tr>
      <w:tr w:rsidR="00D5438C" w:rsidRPr="009A63E2" w14:paraId="366570B1" w14:textId="77777777" w:rsidTr="00115C14">
        <w:trPr>
          <w:cantSplit/>
          <w:trHeight w:val="20"/>
        </w:trPr>
        <w:tc>
          <w:tcPr>
            <w:tcW w:w="9016" w:type="dxa"/>
            <w:gridSpan w:val="8"/>
            <w:tcBorders>
              <w:top w:val="single" w:sz="4" w:space="0" w:color="auto"/>
              <w:left w:val="single" w:sz="4" w:space="0" w:color="auto"/>
              <w:bottom w:val="single" w:sz="4" w:space="0" w:color="auto"/>
              <w:right w:val="single" w:sz="4" w:space="0" w:color="auto"/>
            </w:tcBorders>
            <w:vAlign w:val="center"/>
            <w:hideMark/>
          </w:tcPr>
          <w:p w14:paraId="086F7197" w14:textId="77777777" w:rsidR="00D5438C" w:rsidRPr="009A63E2" w:rsidRDefault="00D5438C" w:rsidP="00115C14">
            <w:pPr>
              <w:pStyle w:val="TableText"/>
              <w:keepNext w:val="0"/>
              <w:spacing w:line="256" w:lineRule="auto"/>
              <w:rPr>
                <w:rFonts w:cs="Times New Roman"/>
                <w:sz w:val="18"/>
                <w:szCs w:val="18"/>
                <w:lang w:eastAsia="en-US"/>
              </w:rPr>
            </w:pPr>
            <w:r w:rsidRPr="009A63E2">
              <w:rPr>
                <w:smallCaps/>
                <w:sz w:val="18"/>
                <w:szCs w:val="18"/>
                <w:lang w:eastAsia="en-US"/>
              </w:rPr>
              <w:t>FARICIMAB</w:t>
            </w:r>
          </w:p>
        </w:tc>
      </w:tr>
      <w:tr w:rsidR="00D5438C" w:rsidRPr="009A63E2" w14:paraId="5ADDCEB6" w14:textId="77777777" w:rsidTr="00115C14">
        <w:trPr>
          <w:cantSplit/>
          <w:trHeight w:val="20"/>
        </w:trPr>
        <w:tc>
          <w:tcPr>
            <w:tcW w:w="3939" w:type="dxa"/>
            <w:gridSpan w:val="3"/>
            <w:tcBorders>
              <w:top w:val="single" w:sz="4" w:space="0" w:color="auto"/>
              <w:left w:val="single" w:sz="4" w:space="0" w:color="auto"/>
              <w:bottom w:val="single" w:sz="4" w:space="0" w:color="auto"/>
              <w:right w:val="single" w:sz="4" w:space="0" w:color="auto"/>
            </w:tcBorders>
            <w:vAlign w:val="center"/>
          </w:tcPr>
          <w:p w14:paraId="6CA11109" w14:textId="77777777" w:rsidR="00D5438C" w:rsidRPr="009A63E2" w:rsidRDefault="00D5438C" w:rsidP="00115C14">
            <w:pPr>
              <w:pStyle w:val="TableText"/>
              <w:keepNext w:val="0"/>
              <w:spacing w:line="256" w:lineRule="auto"/>
              <w:rPr>
                <w:sz w:val="18"/>
                <w:szCs w:val="18"/>
                <w:lang w:eastAsia="en-US"/>
              </w:rPr>
            </w:pPr>
            <w:r w:rsidRPr="009A63E2">
              <w:rPr>
                <w:i/>
                <w:iCs/>
                <w:sz w:val="18"/>
                <w:szCs w:val="18"/>
                <w:lang w:eastAsia="en-US"/>
              </w:rPr>
              <w:t>faricimab</w:t>
            </w:r>
            <w:r w:rsidRPr="009A63E2">
              <w:rPr>
                <w:sz w:val="18"/>
                <w:szCs w:val="18"/>
                <w:lang w:eastAsia="en-US"/>
              </w:rPr>
              <w:t xml:space="preserve"> 28.8 mg / 0.24 mL solution for injection, vial</w:t>
            </w:r>
          </w:p>
          <w:p w14:paraId="7A178532" w14:textId="77777777" w:rsidR="00D5438C" w:rsidRPr="009A63E2" w:rsidRDefault="00D5438C" w:rsidP="00115C14">
            <w:pPr>
              <w:keepLines/>
              <w:rPr>
                <w:rFonts w:ascii="Arial Narrow" w:hAnsi="Arial Narrow"/>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735DC3F9" w14:textId="77777777" w:rsidR="00D5438C" w:rsidRPr="009A63E2" w:rsidRDefault="00D5438C" w:rsidP="00115C14">
            <w:pPr>
              <w:keepLines/>
              <w:jc w:val="center"/>
              <w:rPr>
                <w:rFonts w:ascii="Arial Narrow" w:hAnsi="Arial Narrow"/>
                <w:sz w:val="18"/>
                <w:szCs w:val="18"/>
              </w:rPr>
            </w:pPr>
            <w:r w:rsidRPr="009A63E2">
              <w:rPr>
                <w:rFonts w:ascii="Arial Narrow" w:hAnsi="Arial Narrow"/>
                <w:sz w:val="18"/>
                <w:szCs w:val="18"/>
              </w:rPr>
              <w:t>NEW</w:t>
            </w:r>
          </w:p>
        </w:tc>
        <w:tc>
          <w:tcPr>
            <w:tcW w:w="812" w:type="dxa"/>
            <w:tcBorders>
              <w:top w:val="single" w:sz="4" w:space="0" w:color="auto"/>
              <w:left w:val="single" w:sz="4" w:space="0" w:color="auto"/>
              <w:bottom w:val="single" w:sz="4" w:space="0" w:color="auto"/>
              <w:right w:val="single" w:sz="4" w:space="0" w:color="auto"/>
            </w:tcBorders>
            <w:vAlign w:val="center"/>
            <w:hideMark/>
          </w:tcPr>
          <w:p w14:paraId="6F342E8D" w14:textId="77777777" w:rsidR="00D5438C" w:rsidRPr="009A63E2" w:rsidRDefault="00D5438C" w:rsidP="00115C14">
            <w:pPr>
              <w:keepLines/>
              <w:jc w:val="center"/>
              <w:rPr>
                <w:rFonts w:ascii="Arial Narrow" w:hAnsi="Arial Narrow"/>
                <w:sz w:val="18"/>
                <w:szCs w:val="18"/>
              </w:rPr>
            </w:pPr>
            <w:r w:rsidRPr="009A63E2">
              <w:rPr>
                <w:rFonts w:ascii="Arial Narrow" w:hAnsi="Arial Narrow"/>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FEAC43E" w14:textId="77777777" w:rsidR="00D5438C" w:rsidRPr="009A63E2" w:rsidRDefault="00D5438C" w:rsidP="00115C14">
            <w:pPr>
              <w:keepLines/>
              <w:jc w:val="center"/>
              <w:rPr>
                <w:rFonts w:ascii="Arial Narrow" w:hAnsi="Arial Narrow"/>
                <w:sz w:val="18"/>
                <w:szCs w:val="18"/>
              </w:rPr>
            </w:pPr>
            <w:r w:rsidRPr="009A63E2">
              <w:rPr>
                <w:rFonts w:ascii="Arial Narrow" w:hAnsi="Arial Narrow"/>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2C776374" w14:textId="423012B5" w:rsidR="00D5438C" w:rsidRPr="001711AA" w:rsidRDefault="001711AA" w:rsidP="00115C14">
            <w:pPr>
              <w:keepLines/>
              <w:jc w:val="center"/>
              <w:rPr>
                <w:rFonts w:ascii="Arial Narrow" w:hAnsi="Arial Narrow"/>
                <w:sz w:val="18"/>
                <w:szCs w:val="18"/>
              </w:rPr>
            </w:pPr>
            <w:r w:rsidRPr="001711AA">
              <w:rPr>
                <w:rFonts w:ascii="Arial Narrow" w:hAnsi="Arial Narrow"/>
                <w:iCs/>
                <w:sz w:val="18"/>
                <w:szCs w:val="18"/>
              </w:rPr>
              <w:t>2</w:t>
            </w:r>
          </w:p>
        </w:tc>
        <w:tc>
          <w:tcPr>
            <w:tcW w:w="1831" w:type="dxa"/>
            <w:tcBorders>
              <w:top w:val="single" w:sz="4" w:space="0" w:color="auto"/>
              <w:left w:val="single" w:sz="4" w:space="0" w:color="auto"/>
              <w:bottom w:val="single" w:sz="4" w:space="0" w:color="auto"/>
              <w:right w:val="single" w:sz="4" w:space="0" w:color="auto"/>
            </w:tcBorders>
            <w:vAlign w:val="center"/>
            <w:hideMark/>
          </w:tcPr>
          <w:p w14:paraId="7B2F2650" w14:textId="77777777" w:rsidR="00D5438C" w:rsidRPr="009A63E2" w:rsidRDefault="00D5438C" w:rsidP="00115C14">
            <w:pPr>
              <w:keepLines/>
              <w:jc w:val="center"/>
              <w:rPr>
                <w:rFonts w:ascii="Arial Narrow" w:eastAsiaTheme="majorEastAsia" w:hAnsi="Arial Narrow" w:cstheme="majorBidi"/>
                <w:bCs/>
                <w:sz w:val="18"/>
                <w:szCs w:val="18"/>
              </w:rPr>
            </w:pPr>
            <w:r w:rsidRPr="009A63E2">
              <w:rPr>
                <w:rFonts w:ascii="Arial Narrow" w:eastAsiaTheme="majorEastAsia" w:hAnsi="Arial Narrow" w:cstheme="majorBidi"/>
                <w:bCs/>
                <w:sz w:val="18"/>
                <w:szCs w:val="18"/>
              </w:rPr>
              <w:t>Vabysmo</w:t>
            </w:r>
          </w:p>
        </w:tc>
      </w:tr>
      <w:tr w:rsidR="00D5438C" w:rsidRPr="009A63E2" w14:paraId="3DC1A89A" w14:textId="77777777" w:rsidTr="00115C14">
        <w:trPr>
          <w:cantSplit/>
          <w:trHeight w:val="20"/>
        </w:trPr>
        <w:tc>
          <w:tcPr>
            <w:tcW w:w="3939" w:type="dxa"/>
            <w:gridSpan w:val="3"/>
            <w:tcBorders>
              <w:top w:val="single" w:sz="4" w:space="0" w:color="auto"/>
              <w:left w:val="single" w:sz="4" w:space="0" w:color="auto"/>
              <w:bottom w:val="single" w:sz="4" w:space="0" w:color="auto"/>
              <w:right w:val="single" w:sz="4" w:space="0" w:color="auto"/>
            </w:tcBorders>
            <w:vAlign w:val="center"/>
            <w:hideMark/>
          </w:tcPr>
          <w:p w14:paraId="0A4FFB81" w14:textId="77777777" w:rsidR="00D5438C" w:rsidRPr="009A63E2" w:rsidRDefault="00D5438C" w:rsidP="00115C14">
            <w:pPr>
              <w:keepLines/>
              <w:rPr>
                <w:rFonts w:ascii="Arial Narrow" w:hAnsi="Arial Narrow"/>
                <w:sz w:val="18"/>
                <w:szCs w:val="18"/>
              </w:rPr>
            </w:pPr>
            <w:r w:rsidRPr="009A63E2">
              <w:rPr>
                <w:rFonts w:ascii="Arial Narrow" w:hAnsi="Arial Narrow"/>
                <w:i/>
                <w:iCs/>
                <w:sz w:val="18"/>
                <w:szCs w:val="18"/>
              </w:rPr>
              <w:t>faricimab</w:t>
            </w:r>
            <w:r w:rsidRPr="009A63E2">
              <w:rPr>
                <w:rFonts w:ascii="Arial Narrow" w:hAnsi="Arial Narrow"/>
                <w:sz w:val="18"/>
                <w:szCs w:val="18"/>
              </w:rPr>
              <w:t xml:space="preserve"> 24.0 mg / 0.2 mL solution for injection, pre-filled syringe</w:t>
            </w:r>
          </w:p>
        </w:tc>
        <w:tc>
          <w:tcPr>
            <w:tcW w:w="811" w:type="dxa"/>
            <w:tcBorders>
              <w:top w:val="single" w:sz="4" w:space="0" w:color="auto"/>
              <w:left w:val="single" w:sz="4" w:space="0" w:color="auto"/>
              <w:bottom w:val="single" w:sz="4" w:space="0" w:color="auto"/>
              <w:right w:val="single" w:sz="4" w:space="0" w:color="auto"/>
            </w:tcBorders>
            <w:vAlign w:val="center"/>
            <w:hideMark/>
          </w:tcPr>
          <w:p w14:paraId="3970401B" w14:textId="77777777" w:rsidR="00D5438C" w:rsidRPr="009A63E2" w:rsidRDefault="00D5438C" w:rsidP="00115C14">
            <w:pPr>
              <w:keepLines/>
              <w:jc w:val="center"/>
              <w:rPr>
                <w:rFonts w:ascii="Arial Narrow" w:hAnsi="Arial Narrow"/>
                <w:sz w:val="18"/>
                <w:szCs w:val="18"/>
              </w:rPr>
            </w:pPr>
            <w:r w:rsidRPr="009A63E2">
              <w:rPr>
                <w:rFonts w:ascii="Arial Narrow" w:hAnsi="Arial Narrow"/>
                <w:sz w:val="18"/>
                <w:szCs w:val="18"/>
              </w:rPr>
              <w:t>NEW</w:t>
            </w:r>
          </w:p>
        </w:tc>
        <w:tc>
          <w:tcPr>
            <w:tcW w:w="812" w:type="dxa"/>
            <w:tcBorders>
              <w:top w:val="single" w:sz="4" w:space="0" w:color="auto"/>
              <w:left w:val="single" w:sz="4" w:space="0" w:color="auto"/>
              <w:bottom w:val="single" w:sz="4" w:space="0" w:color="auto"/>
              <w:right w:val="single" w:sz="4" w:space="0" w:color="auto"/>
            </w:tcBorders>
            <w:vAlign w:val="center"/>
            <w:hideMark/>
          </w:tcPr>
          <w:p w14:paraId="22582726" w14:textId="77777777" w:rsidR="00D5438C" w:rsidRPr="009A63E2" w:rsidRDefault="00D5438C" w:rsidP="00115C14">
            <w:pPr>
              <w:keepLines/>
              <w:jc w:val="center"/>
              <w:rPr>
                <w:rFonts w:ascii="Arial Narrow" w:hAnsi="Arial Narrow"/>
                <w:sz w:val="18"/>
                <w:szCs w:val="18"/>
              </w:rPr>
            </w:pPr>
            <w:r w:rsidRPr="009A63E2">
              <w:rPr>
                <w:rFonts w:ascii="Arial Narrow" w:hAnsi="Arial Narrow"/>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2AE2A064" w14:textId="77777777" w:rsidR="00D5438C" w:rsidRPr="009A63E2" w:rsidRDefault="00D5438C" w:rsidP="00115C14">
            <w:pPr>
              <w:keepLines/>
              <w:jc w:val="center"/>
              <w:rPr>
                <w:rFonts w:ascii="Arial Narrow" w:hAnsi="Arial Narrow"/>
                <w:sz w:val="18"/>
                <w:szCs w:val="18"/>
              </w:rPr>
            </w:pPr>
            <w:r w:rsidRPr="009A63E2">
              <w:rPr>
                <w:rFonts w:ascii="Arial Narrow" w:hAnsi="Arial Narrow"/>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532FF006" w14:textId="6D9C9F3E" w:rsidR="00D5438C" w:rsidRPr="001711AA" w:rsidRDefault="001711AA" w:rsidP="00115C14">
            <w:pPr>
              <w:keepLines/>
              <w:jc w:val="center"/>
              <w:rPr>
                <w:rFonts w:ascii="Arial Narrow" w:hAnsi="Arial Narrow"/>
                <w:sz w:val="18"/>
                <w:szCs w:val="18"/>
              </w:rPr>
            </w:pPr>
            <w:r w:rsidRPr="001711AA">
              <w:rPr>
                <w:rFonts w:ascii="Arial Narrow" w:hAnsi="Arial Narrow"/>
                <w:iCs/>
                <w:sz w:val="18"/>
                <w:szCs w:val="18"/>
              </w:rPr>
              <w:t>2</w:t>
            </w:r>
          </w:p>
        </w:tc>
        <w:tc>
          <w:tcPr>
            <w:tcW w:w="1831" w:type="dxa"/>
            <w:tcBorders>
              <w:top w:val="single" w:sz="4" w:space="0" w:color="auto"/>
              <w:left w:val="single" w:sz="4" w:space="0" w:color="auto"/>
              <w:bottom w:val="single" w:sz="4" w:space="0" w:color="auto"/>
              <w:right w:val="single" w:sz="4" w:space="0" w:color="auto"/>
            </w:tcBorders>
            <w:vAlign w:val="center"/>
            <w:hideMark/>
          </w:tcPr>
          <w:p w14:paraId="7117EBE5" w14:textId="77777777" w:rsidR="00D5438C" w:rsidRPr="009A63E2" w:rsidRDefault="00D5438C" w:rsidP="00115C14">
            <w:pPr>
              <w:keepLines/>
              <w:jc w:val="center"/>
              <w:rPr>
                <w:rFonts w:ascii="Arial Narrow" w:eastAsiaTheme="majorEastAsia" w:hAnsi="Arial Narrow" w:cstheme="majorBidi"/>
                <w:bCs/>
                <w:sz w:val="18"/>
                <w:szCs w:val="18"/>
              </w:rPr>
            </w:pPr>
            <w:r w:rsidRPr="009A63E2">
              <w:rPr>
                <w:rFonts w:ascii="Arial Narrow" w:eastAsiaTheme="majorEastAsia" w:hAnsi="Arial Narrow" w:cstheme="majorBidi"/>
                <w:bCs/>
                <w:sz w:val="18"/>
                <w:szCs w:val="18"/>
              </w:rPr>
              <w:t>Vabysmo</w:t>
            </w:r>
          </w:p>
        </w:tc>
      </w:tr>
      <w:tr w:rsidR="00D5438C" w:rsidRPr="009A63E2" w14:paraId="19E5786B" w14:textId="77777777" w:rsidTr="00115C14">
        <w:trPr>
          <w:trHeight w:val="20"/>
        </w:trPr>
        <w:tc>
          <w:tcPr>
            <w:tcW w:w="901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6DF1E3" w14:textId="77777777" w:rsidR="00D5438C" w:rsidRPr="009A63E2" w:rsidRDefault="00D5438C" w:rsidP="00115C14">
            <w:pPr>
              <w:rPr>
                <w:rFonts w:ascii="Arial Narrow" w:hAnsi="Arial Narrow"/>
                <w:sz w:val="18"/>
                <w:szCs w:val="18"/>
              </w:rPr>
            </w:pPr>
          </w:p>
        </w:tc>
      </w:tr>
      <w:tr w:rsidR="00D5438C" w:rsidRPr="009A63E2" w14:paraId="0C7967ED" w14:textId="77777777" w:rsidTr="00115C14">
        <w:trPr>
          <w:trHeight w:val="20"/>
        </w:trPr>
        <w:tc>
          <w:tcPr>
            <w:tcW w:w="1271"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6DF2179B" w14:textId="557E1537" w:rsidR="00D5438C" w:rsidRPr="009A63E2" w:rsidRDefault="00D5438C" w:rsidP="00115C14">
            <w:pPr>
              <w:jc w:val="center"/>
              <w:rPr>
                <w:rFonts w:ascii="Arial Narrow" w:hAnsi="Arial Narrow"/>
                <w:b/>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B8084F3" w14:textId="77777777" w:rsidR="00D5438C" w:rsidRPr="009A63E2" w:rsidRDefault="00D5438C" w:rsidP="00115C14">
            <w:pPr>
              <w:keepLines/>
              <w:rPr>
                <w:rFonts w:ascii="Arial Narrow" w:hAnsi="Arial Narrow"/>
                <w:sz w:val="18"/>
                <w:szCs w:val="18"/>
              </w:rPr>
            </w:pPr>
            <w:r w:rsidRPr="009A63E2">
              <w:rPr>
                <w:rFonts w:ascii="Arial Narrow" w:hAnsi="Arial Narrow"/>
                <w:b/>
                <w:sz w:val="18"/>
                <w:szCs w:val="18"/>
              </w:rPr>
              <w:t xml:space="preserve">Category / Program: </w:t>
            </w:r>
            <w:r w:rsidRPr="009A63E2">
              <w:rPr>
                <w:rFonts w:ascii="Arial Narrow" w:hAnsi="Arial Narrow"/>
                <w:sz w:val="18"/>
                <w:szCs w:val="18"/>
              </w:rPr>
              <w:t>GENERAL – General Schedule (Code GE)</w:t>
            </w:r>
            <w:r w:rsidRPr="009A63E2">
              <w:rPr>
                <w:rFonts w:ascii="Arial Narrow" w:hAnsi="Arial Narrow"/>
                <w:color w:val="FF0000"/>
                <w:sz w:val="18"/>
                <w:szCs w:val="18"/>
              </w:rPr>
              <w:t xml:space="preserve"> </w:t>
            </w:r>
          </w:p>
        </w:tc>
      </w:tr>
      <w:tr w:rsidR="00D5438C" w:rsidRPr="009A63E2" w14:paraId="17930F72" w14:textId="77777777" w:rsidTr="00115C14">
        <w:trPr>
          <w:trHeight w:val="20"/>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28949623" w14:textId="77777777" w:rsidR="00D5438C" w:rsidRPr="009A63E2" w:rsidRDefault="00D5438C" w:rsidP="00115C14">
            <w:pPr>
              <w:rPr>
                <w:rFonts w:ascii="Arial Narrow" w:hAnsi="Arial Narrow"/>
                <w:b/>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750888A" w14:textId="77777777" w:rsidR="00D5438C" w:rsidRPr="009A63E2" w:rsidRDefault="00D5438C" w:rsidP="00115C14">
            <w:pPr>
              <w:keepLines/>
              <w:rPr>
                <w:rFonts w:ascii="Arial Narrow" w:hAnsi="Arial Narrow"/>
                <w:b/>
                <w:sz w:val="18"/>
                <w:szCs w:val="18"/>
              </w:rPr>
            </w:pPr>
            <w:r w:rsidRPr="009A63E2">
              <w:rPr>
                <w:rFonts w:ascii="Arial Narrow" w:hAnsi="Arial Narrow"/>
                <w:b/>
                <w:sz w:val="18"/>
                <w:szCs w:val="18"/>
              </w:rPr>
              <w:t xml:space="preserve">Prescriber type: </w:t>
            </w:r>
            <w:r w:rsidRPr="009A63E2">
              <w:rPr>
                <w:rFonts w:ascii="Arial Narrow" w:hAnsi="Arial Narrow"/>
                <w:sz w:val="18"/>
                <w:szCs w:val="18"/>
              </w:rPr>
              <w:fldChar w:fldCharType="begin">
                <w:ffData>
                  <w:name w:val=""/>
                  <w:enabled/>
                  <w:calcOnExit w:val="0"/>
                  <w:checkBox>
                    <w:sizeAuto/>
                    <w:default w:val="1"/>
                  </w:checkBox>
                </w:ffData>
              </w:fldChar>
            </w:r>
            <w:r w:rsidRPr="009A63E2">
              <w:rPr>
                <w:rFonts w:ascii="Arial Narrow" w:hAnsi="Arial Narrow"/>
                <w:sz w:val="18"/>
                <w:szCs w:val="18"/>
              </w:rPr>
              <w:instrText xml:space="preserve"> FORMCHECKBOX </w:instrText>
            </w:r>
            <w:r w:rsidR="00786949">
              <w:rPr>
                <w:rFonts w:ascii="Arial Narrow" w:hAnsi="Arial Narrow"/>
                <w:sz w:val="18"/>
                <w:szCs w:val="18"/>
              </w:rPr>
            </w:r>
            <w:r w:rsidR="00786949">
              <w:rPr>
                <w:rFonts w:ascii="Arial Narrow" w:hAnsi="Arial Narrow"/>
                <w:sz w:val="18"/>
                <w:szCs w:val="18"/>
              </w:rPr>
              <w:fldChar w:fldCharType="separate"/>
            </w:r>
            <w:r w:rsidRPr="009A63E2">
              <w:rPr>
                <w:rFonts w:ascii="Arial Narrow" w:hAnsi="Arial Narrow"/>
                <w:sz w:val="18"/>
                <w:szCs w:val="18"/>
              </w:rPr>
              <w:fldChar w:fldCharType="end"/>
            </w:r>
            <w:r w:rsidRPr="009A63E2">
              <w:rPr>
                <w:rFonts w:ascii="Arial Narrow" w:hAnsi="Arial Narrow"/>
                <w:sz w:val="18"/>
                <w:szCs w:val="18"/>
              </w:rPr>
              <w:t xml:space="preserve">Medical Practitioners </w:t>
            </w:r>
          </w:p>
        </w:tc>
      </w:tr>
      <w:tr w:rsidR="00D5438C" w:rsidRPr="009A63E2" w14:paraId="76F508B2" w14:textId="77777777" w:rsidTr="00115C14">
        <w:trPr>
          <w:trHeight w:val="20"/>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7FC43ECF" w14:textId="77777777" w:rsidR="00D5438C" w:rsidRPr="009A63E2" w:rsidRDefault="00D5438C" w:rsidP="00115C14">
            <w:pPr>
              <w:rPr>
                <w:rFonts w:ascii="Arial Narrow" w:hAnsi="Arial Narrow"/>
                <w:b/>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AA8675" w14:textId="0069D32D" w:rsidR="00D5438C" w:rsidRPr="009A63E2" w:rsidRDefault="00D5438C" w:rsidP="001711AA">
            <w:pPr>
              <w:keepLines/>
              <w:rPr>
                <w:rFonts w:ascii="Arial Narrow" w:eastAsia="Calibri" w:hAnsi="Arial Narrow"/>
                <w:color w:val="FF0000"/>
                <w:sz w:val="18"/>
                <w:szCs w:val="18"/>
              </w:rPr>
            </w:pPr>
            <w:r w:rsidRPr="009A63E2">
              <w:rPr>
                <w:rFonts w:ascii="Arial Narrow" w:hAnsi="Arial Narrow"/>
                <w:b/>
                <w:sz w:val="18"/>
                <w:szCs w:val="18"/>
              </w:rPr>
              <w:t xml:space="preserve">Restriction type: </w:t>
            </w:r>
            <w:r w:rsidRPr="009A63E2">
              <w:rPr>
                <w:rFonts w:ascii="Arial Narrow" w:eastAsia="Calibri" w:hAnsi="Arial Narrow"/>
                <w:sz w:val="18"/>
                <w:szCs w:val="18"/>
              </w:rPr>
              <w:fldChar w:fldCharType="begin">
                <w:ffData>
                  <w:name w:val=""/>
                  <w:enabled/>
                  <w:calcOnExit w:val="0"/>
                  <w:checkBox>
                    <w:sizeAuto/>
                    <w:default w:val="1"/>
                  </w:checkBox>
                </w:ffData>
              </w:fldChar>
            </w:r>
            <w:r w:rsidRPr="009A63E2">
              <w:rPr>
                <w:rFonts w:ascii="Arial Narrow" w:eastAsia="Calibri" w:hAnsi="Arial Narrow"/>
                <w:sz w:val="18"/>
                <w:szCs w:val="18"/>
              </w:rPr>
              <w:instrText xml:space="preserve"> FORMCHECKBOX </w:instrText>
            </w:r>
            <w:r w:rsidR="00786949">
              <w:rPr>
                <w:rFonts w:ascii="Arial Narrow" w:eastAsia="Calibri" w:hAnsi="Arial Narrow"/>
                <w:sz w:val="18"/>
                <w:szCs w:val="18"/>
              </w:rPr>
            </w:r>
            <w:r w:rsidR="00786949">
              <w:rPr>
                <w:rFonts w:ascii="Arial Narrow" w:eastAsia="Calibri" w:hAnsi="Arial Narrow"/>
                <w:sz w:val="18"/>
                <w:szCs w:val="18"/>
              </w:rPr>
              <w:fldChar w:fldCharType="separate"/>
            </w:r>
            <w:r w:rsidRPr="009A63E2">
              <w:rPr>
                <w:rFonts w:ascii="Arial Narrow" w:eastAsia="Calibri" w:hAnsi="Arial Narrow"/>
                <w:sz w:val="18"/>
                <w:szCs w:val="18"/>
              </w:rPr>
              <w:fldChar w:fldCharType="end"/>
            </w:r>
            <w:r w:rsidRPr="009A63E2">
              <w:rPr>
                <w:rFonts w:ascii="Arial Narrow" w:eastAsia="Calibri" w:hAnsi="Arial Narrow"/>
                <w:sz w:val="18"/>
                <w:szCs w:val="18"/>
              </w:rPr>
              <w:t xml:space="preserve">Authority Required </w:t>
            </w:r>
            <w:r w:rsidRPr="009A63E2">
              <w:rPr>
                <w:rFonts w:ascii="Arial Narrow" w:eastAsia="Calibri" w:hAnsi="Arial Narrow"/>
                <w:strike/>
                <w:sz w:val="18"/>
                <w:szCs w:val="18"/>
              </w:rPr>
              <w:t>–</w:t>
            </w:r>
            <w:r w:rsidR="001711AA">
              <w:rPr>
                <w:rFonts w:ascii="Arial Narrow" w:eastAsia="Calibri" w:hAnsi="Arial Narrow"/>
                <w:strike/>
                <w:sz w:val="18"/>
                <w:szCs w:val="18"/>
              </w:rPr>
              <w:t xml:space="preserve"> </w:t>
            </w:r>
            <w:r w:rsidRPr="001711AA">
              <w:rPr>
                <w:rFonts w:ascii="Arial Narrow" w:eastAsia="Calibri" w:hAnsi="Arial Narrow"/>
                <w:iCs/>
                <w:sz w:val="18"/>
                <w:szCs w:val="18"/>
              </w:rPr>
              <w:t>Written</w:t>
            </w:r>
          </w:p>
        </w:tc>
      </w:tr>
      <w:tr w:rsidR="00D5438C" w:rsidRPr="009A63E2" w14:paraId="2AE43EE8" w14:textId="77777777" w:rsidTr="00115C14">
        <w:trPr>
          <w:trHeight w:val="20"/>
        </w:trPr>
        <w:tc>
          <w:tcPr>
            <w:tcW w:w="42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extDirection w:val="btLr"/>
            <w:hideMark/>
          </w:tcPr>
          <w:p w14:paraId="315B9ED5" w14:textId="38B66F31" w:rsidR="00D5438C" w:rsidRPr="009A63E2" w:rsidRDefault="00D5438C" w:rsidP="00115C14">
            <w:pPr>
              <w:ind w:left="113" w:right="113"/>
              <w:jc w:val="cente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E9291F" w14:textId="75A15F66"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DB58A2" w14:textId="77777777" w:rsidR="00D5438C" w:rsidRPr="009A63E2" w:rsidRDefault="00D5438C" w:rsidP="00115C14">
            <w:pPr>
              <w:rPr>
                <w:sz w:val="18"/>
                <w:szCs w:val="18"/>
              </w:rPr>
            </w:pPr>
            <w:r w:rsidRPr="009A63E2">
              <w:rPr>
                <w:rFonts w:ascii="Arial Narrow" w:hAnsi="Arial Narrow"/>
                <w:b/>
                <w:bCs/>
                <w:color w:val="333333"/>
                <w:sz w:val="18"/>
                <w:szCs w:val="18"/>
              </w:rPr>
              <w:t xml:space="preserve">Administrative Advice: </w:t>
            </w:r>
            <w:r w:rsidRPr="009A63E2">
              <w:rPr>
                <w:rFonts w:ascii="Arial Narrow" w:eastAsiaTheme="majorEastAsia" w:hAnsi="Arial Narrow" w:cstheme="majorBidi"/>
                <w:bCs/>
                <w:sz w:val="18"/>
                <w:szCs w:val="18"/>
              </w:rPr>
              <w:t>Special Pricing Arrangements apply.</w:t>
            </w:r>
          </w:p>
        </w:tc>
      </w:tr>
      <w:tr w:rsidR="00D5438C" w:rsidRPr="009A63E2" w14:paraId="2588BC8B" w14:textId="77777777" w:rsidTr="00115C14">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14E0E05" w14:textId="77777777" w:rsidR="00D5438C" w:rsidRPr="009A63E2" w:rsidRDefault="00D5438C" w:rsidP="00115C14">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A7C9115" w14:textId="4AD5BFE5"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D6C679" w14:textId="77777777" w:rsidR="00D5438C" w:rsidRPr="009A63E2" w:rsidRDefault="00D5438C" w:rsidP="00115C14">
            <w:pPr>
              <w:rPr>
                <w:sz w:val="18"/>
                <w:szCs w:val="18"/>
              </w:rPr>
            </w:pPr>
            <w:r w:rsidRPr="009A63E2">
              <w:rPr>
                <w:rFonts w:ascii="Arial Narrow" w:hAnsi="Arial Narrow"/>
                <w:b/>
                <w:bCs/>
                <w:color w:val="333333"/>
                <w:sz w:val="18"/>
                <w:szCs w:val="18"/>
              </w:rPr>
              <w:t xml:space="preserve">Administrative Advice: </w:t>
            </w:r>
            <w:r w:rsidRPr="009A63E2">
              <w:rPr>
                <w:rFonts w:ascii="Arial Narrow" w:eastAsiaTheme="majorEastAsia" w:hAnsi="Arial Narrow" w:cstheme="majorBidi"/>
                <w:bCs/>
                <w:sz w:val="18"/>
                <w:szCs w:val="18"/>
              </w:rPr>
              <w:t>No increase in the maximum number of repeats may be authorised.</w:t>
            </w:r>
          </w:p>
        </w:tc>
      </w:tr>
      <w:tr w:rsidR="00D5438C" w:rsidRPr="009A63E2" w14:paraId="77301F5E" w14:textId="77777777" w:rsidTr="00115C14">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9B5D6E6" w14:textId="77777777" w:rsidR="00D5438C" w:rsidRPr="009A63E2" w:rsidRDefault="00D5438C" w:rsidP="00115C14">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01E416" w14:textId="052F8724"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397F21E" w14:textId="77777777" w:rsidR="00D5438C" w:rsidRPr="009A63E2" w:rsidRDefault="00D5438C" w:rsidP="00115C14">
            <w:pPr>
              <w:rPr>
                <w:sz w:val="18"/>
                <w:szCs w:val="18"/>
              </w:rPr>
            </w:pPr>
            <w:r w:rsidRPr="009A63E2">
              <w:rPr>
                <w:rFonts w:ascii="Arial Narrow" w:hAnsi="Arial Narrow"/>
                <w:b/>
                <w:bCs/>
                <w:color w:val="333333"/>
                <w:sz w:val="18"/>
                <w:szCs w:val="18"/>
              </w:rPr>
              <w:t xml:space="preserve">Administrative Advice: </w:t>
            </w:r>
            <w:r w:rsidRPr="009A63E2">
              <w:rPr>
                <w:rFonts w:ascii="Arial Narrow" w:eastAsiaTheme="majorEastAsia" w:hAnsi="Arial Narrow" w:cstheme="majorBidi"/>
                <w:bCs/>
                <w:sz w:val="18"/>
                <w:szCs w:val="18"/>
              </w:rPr>
              <w:t>No increase in the maximum quantity or number of units may be authorised for applications for treatment of one eye.</w:t>
            </w:r>
          </w:p>
        </w:tc>
      </w:tr>
      <w:tr w:rsidR="00D5438C" w:rsidRPr="009A63E2" w14:paraId="6BB4939D" w14:textId="77777777" w:rsidTr="00115C14">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C305B61" w14:textId="77777777" w:rsidR="00D5438C" w:rsidRPr="009A63E2" w:rsidRDefault="00D5438C" w:rsidP="00115C14">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2E4007" w14:textId="0B60267B"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75B1154" w14:textId="77777777" w:rsidR="00D5438C" w:rsidRPr="009A63E2" w:rsidRDefault="00D5438C" w:rsidP="00115C14">
            <w:pPr>
              <w:rPr>
                <w:sz w:val="18"/>
                <w:szCs w:val="18"/>
              </w:rPr>
            </w:pPr>
            <w:r w:rsidRPr="009A63E2">
              <w:rPr>
                <w:rFonts w:ascii="Arial Narrow" w:hAnsi="Arial Narrow"/>
                <w:b/>
                <w:bCs/>
                <w:color w:val="333333"/>
                <w:sz w:val="18"/>
                <w:szCs w:val="18"/>
              </w:rPr>
              <w:t xml:space="preserve">Administrative Advice: </w:t>
            </w:r>
            <w:r w:rsidRPr="009A63E2">
              <w:rPr>
                <w:rFonts w:ascii="Arial Narrow" w:eastAsiaTheme="majorEastAsia" w:hAnsi="Arial Narrow" w:cstheme="majorBidi"/>
                <w:bCs/>
                <w:sz w:val="18"/>
                <w:szCs w:val="18"/>
              </w:rPr>
              <w:t>Where both eyes are affected by the condition, a quantity of 2 units can be requested on the same authority prescription form.</w:t>
            </w:r>
          </w:p>
        </w:tc>
      </w:tr>
      <w:tr w:rsidR="00D5438C" w:rsidRPr="009A63E2" w14:paraId="3D4B052C" w14:textId="77777777" w:rsidTr="00115C14">
        <w:trPr>
          <w:trHeight w:val="2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098FCE8C" w14:textId="77777777" w:rsidR="00D5438C" w:rsidRPr="009A63E2" w:rsidRDefault="00D5438C" w:rsidP="00115C14">
            <w:pPr>
              <w:rPr>
                <w:rFonts w:ascii="Arial Narrow" w:hAnsi="Arial Narrow"/>
                <w:sz w:val="18"/>
                <w:szCs w:val="18"/>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CF38289" w14:textId="02B0EB38"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E3AC04" w14:textId="77777777" w:rsidR="00D5438C" w:rsidRPr="009A63E2" w:rsidRDefault="00D5438C" w:rsidP="00115C14">
            <w:pPr>
              <w:rPr>
                <w:rFonts w:ascii="Arial Narrow" w:hAnsi="Arial Narrow"/>
                <w:b/>
                <w:sz w:val="18"/>
                <w:szCs w:val="18"/>
                <w:u w:val="single"/>
              </w:rPr>
            </w:pPr>
            <w:r w:rsidRPr="009A63E2">
              <w:rPr>
                <w:rFonts w:ascii="Arial Narrow" w:hAnsi="Arial Narrow"/>
                <w:b/>
                <w:bCs/>
                <w:color w:val="333333"/>
                <w:sz w:val="18"/>
                <w:szCs w:val="18"/>
              </w:rPr>
              <w:t xml:space="preserve">Administrative Advice: </w:t>
            </w:r>
            <w:r w:rsidRPr="009A63E2">
              <w:rPr>
                <w:rFonts w:ascii="Arial Narrow" w:eastAsiaTheme="majorEastAsia" w:hAnsi="Arial Narrow" w:cstheme="majorBidi"/>
                <w:bCs/>
                <w:sz w:val="18"/>
                <w:szCs w:val="18"/>
              </w:rPr>
              <w:t>Pharmaceutical benefits that have the form faricimab 0.24 mL injection vial and pharmaceutical benefits that have the form faricimab 0.2 mL injection syringe are equivalent for the purposes of substitution.</w:t>
            </w:r>
          </w:p>
        </w:tc>
      </w:tr>
      <w:tr w:rsidR="00D5438C" w:rsidRPr="009A63E2" w14:paraId="1572FB47"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123C29" w14:textId="583C6F1A" w:rsidR="00D5438C" w:rsidRPr="009A63E2" w:rsidRDefault="00D5438C" w:rsidP="00115C14">
            <w:pPr>
              <w:keepLines/>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9A95D6" w14:textId="77777777" w:rsidR="00D5438C" w:rsidRPr="009A63E2" w:rsidRDefault="00D5438C" w:rsidP="00115C14">
            <w:pPr>
              <w:keepLines/>
              <w:rPr>
                <w:rFonts w:ascii="Arial Narrow" w:hAnsi="Arial Narrow"/>
                <w:color w:val="333333"/>
                <w:sz w:val="18"/>
                <w:szCs w:val="18"/>
              </w:rPr>
            </w:pPr>
            <w:r w:rsidRPr="009A63E2">
              <w:rPr>
                <w:rFonts w:ascii="Arial Narrow" w:hAnsi="Arial Narrow"/>
                <w:b/>
                <w:bCs/>
                <w:color w:val="333333"/>
                <w:sz w:val="18"/>
                <w:szCs w:val="18"/>
              </w:rPr>
              <w:t>Indication:</w:t>
            </w:r>
            <w:r w:rsidRPr="009A63E2">
              <w:rPr>
                <w:rFonts w:ascii="Arial Narrow" w:hAnsi="Arial Narrow"/>
                <w:color w:val="333333"/>
                <w:sz w:val="18"/>
                <w:szCs w:val="18"/>
              </w:rPr>
              <w:t xml:space="preserve"> </w:t>
            </w:r>
            <w:r w:rsidRPr="009A63E2">
              <w:rPr>
                <w:rFonts w:ascii="Arial Narrow" w:eastAsia="Calibri" w:hAnsi="Arial Narrow"/>
                <w:sz w:val="18"/>
                <w:szCs w:val="18"/>
              </w:rPr>
              <w:t>Subfoveal choroidal neovascularisation (CNV)</w:t>
            </w:r>
          </w:p>
        </w:tc>
      </w:tr>
      <w:tr w:rsidR="00D5438C" w:rsidRPr="009A63E2" w14:paraId="42A4802E"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71E96AD" w14:textId="77777777" w:rsidR="00D5438C" w:rsidRPr="009A63E2" w:rsidRDefault="00D5438C" w:rsidP="00115C14">
            <w:pP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875A6A" w14:textId="77777777" w:rsidR="00D5438C" w:rsidRPr="009A63E2" w:rsidRDefault="00D5438C" w:rsidP="00115C14">
            <w:pPr>
              <w:rPr>
                <w:rFonts w:ascii="Arial Narrow" w:hAnsi="Arial Narrow"/>
                <w:sz w:val="18"/>
                <w:szCs w:val="18"/>
              </w:rPr>
            </w:pPr>
            <w:r w:rsidRPr="009A63E2">
              <w:rPr>
                <w:rFonts w:ascii="Arial Narrow" w:hAnsi="Arial Narrow"/>
                <w:b/>
                <w:bCs/>
                <w:color w:val="333333"/>
                <w:sz w:val="18"/>
                <w:szCs w:val="18"/>
              </w:rPr>
              <w:t>Treatment Phase:</w:t>
            </w:r>
            <w:r w:rsidRPr="009A63E2">
              <w:rPr>
                <w:rFonts w:ascii="Arial Narrow" w:hAnsi="Arial Narrow"/>
                <w:color w:val="FF0000"/>
                <w:sz w:val="18"/>
                <w:szCs w:val="18"/>
              </w:rPr>
              <w:t xml:space="preserve"> </w:t>
            </w:r>
            <w:r w:rsidRPr="009A63E2">
              <w:rPr>
                <w:rFonts w:ascii="Arial Narrow" w:eastAsia="Calibri" w:hAnsi="Arial Narrow"/>
                <w:sz w:val="18"/>
                <w:szCs w:val="18"/>
              </w:rPr>
              <w:t>Initial treatment</w:t>
            </w:r>
          </w:p>
        </w:tc>
      </w:tr>
      <w:tr w:rsidR="00D5438C" w:rsidRPr="009A63E2" w14:paraId="382CE57D"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D63F4D" w14:textId="217F1549"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47379A" w14:textId="77777777" w:rsidR="00D5438C" w:rsidRPr="009A63E2" w:rsidRDefault="00D5438C" w:rsidP="00115C14">
            <w:pPr>
              <w:rPr>
                <w:rFonts w:ascii="Arial Narrow" w:hAnsi="Arial Narrow"/>
                <w:b/>
                <w:bCs/>
                <w:color w:val="333333"/>
                <w:sz w:val="18"/>
                <w:szCs w:val="18"/>
              </w:rPr>
            </w:pPr>
            <w:r w:rsidRPr="009A63E2">
              <w:rPr>
                <w:rFonts w:ascii="Arial Narrow" w:hAnsi="Arial Narrow"/>
                <w:b/>
                <w:bCs/>
                <w:color w:val="333333"/>
                <w:sz w:val="18"/>
                <w:szCs w:val="18"/>
              </w:rPr>
              <w:t>Treatment criteria:</w:t>
            </w:r>
          </w:p>
        </w:tc>
      </w:tr>
      <w:tr w:rsidR="00D5438C" w:rsidRPr="009A63E2" w14:paraId="3D78069B"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6CBE62" w14:textId="23605E06"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D08480" w14:textId="77777777" w:rsidR="00D5438C" w:rsidRPr="009A63E2" w:rsidRDefault="00D5438C" w:rsidP="00115C14">
            <w:pPr>
              <w:rPr>
                <w:rFonts w:ascii="Arial Narrow" w:hAnsi="Arial Narrow"/>
                <w:color w:val="333333"/>
                <w:sz w:val="18"/>
                <w:szCs w:val="18"/>
              </w:rPr>
            </w:pPr>
            <w:r w:rsidRPr="009A63E2">
              <w:rPr>
                <w:rFonts w:ascii="Arial Narrow" w:hAnsi="Arial Narrow"/>
                <w:color w:val="333333"/>
                <w:sz w:val="18"/>
                <w:szCs w:val="18"/>
              </w:rPr>
              <w:t>Must be treated by an ophthalmologist or by an accredited ophthalmology registrar in consultation with an ophthalmologist</w:t>
            </w:r>
          </w:p>
        </w:tc>
      </w:tr>
      <w:tr w:rsidR="00D5438C" w:rsidRPr="009A63E2" w14:paraId="1A350D15"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A2358F" w14:textId="77777777"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ED9334" w14:textId="77777777" w:rsidR="00D5438C" w:rsidRPr="009A63E2" w:rsidRDefault="00D5438C" w:rsidP="00115C14">
            <w:pPr>
              <w:rPr>
                <w:rFonts w:ascii="Arial Narrow" w:hAnsi="Arial Narrow"/>
                <w:color w:val="333333"/>
                <w:sz w:val="18"/>
                <w:szCs w:val="18"/>
              </w:rPr>
            </w:pPr>
            <w:r w:rsidRPr="009A63E2">
              <w:rPr>
                <w:rFonts w:ascii="Arial Narrow" w:hAnsi="Arial Narrow"/>
                <w:b/>
                <w:bCs/>
                <w:color w:val="333333"/>
                <w:sz w:val="18"/>
                <w:szCs w:val="18"/>
              </w:rPr>
              <w:t>AND</w:t>
            </w:r>
          </w:p>
        </w:tc>
      </w:tr>
      <w:tr w:rsidR="00D5438C" w:rsidRPr="009A63E2" w14:paraId="74DF31E7"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439448" w14:textId="4303D11D"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9C43BB" w14:textId="77777777" w:rsidR="00D5438C" w:rsidRPr="009A63E2" w:rsidRDefault="00D5438C" w:rsidP="00115C14">
            <w:pPr>
              <w:pStyle w:val="TableText"/>
              <w:keepNext w:val="0"/>
              <w:spacing w:line="256" w:lineRule="auto"/>
              <w:rPr>
                <w:rFonts w:cs="Arial"/>
                <w:sz w:val="18"/>
                <w:szCs w:val="18"/>
                <w:lang w:eastAsia="en-US"/>
              </w:rPr>
            </w:pPr>
            <w:r w:rsidRPr="009A63E2">
              <w:rPr>
                <w:rFonts w:cs="Arial"/>
                <w:b/>
                <w:bCs w:val="0"/>
                <w:sz w:val="18"/>
                <w:szCs w:val="18"/>
                <w:lang w:eastAsia="en-US"/>
              </w:rPr>
              <w:t>Clinical criteria:</w:t>
            </w:r>
            <w:r w:rsidRPr="009A63E2">
              <w:rPr>
                <w:rFonts w:cs="Arial"/>
                <w:sz w:val="18"/>
                <w:szCs w:val="18"/>
                <w:lang w:eastAsia="en-US"/>
              </w:rPr>
              <w:t xml:space="preserve"> </w:t>
            </w:r>
          </w:p>
        </w:tc>
      </w:tr>
      <w:tr w:rsidR="00D5438C" w:rsidRPr="009A63E2" w14:paraId="4CF7EB2A"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8A5265" w14:textId="047A2393"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87C0B0" w14:textId="77777777" w:rsidR="00D5438C" w:rsidRPr="009A63E2" w:rsidRDefault="00D5438C" w:rsidP="00115C14">
            <w:pPr>
              <w:pStyle w:val="TableText"/>
              <w:keepNext w:val="0"/>
              <w:spacing w:line="256" w:lineRule="auto"/>
              <w:rPr>
                <w:rFonts w:cs="Arial"/>
                <w:b/>
                <w:bCs w:val="0"/>
                <w:sz w:val="18"/>
                <w:szCs w:val="18"/>
                <w:lang w:eastAsia="en-US"/>
              </w:rPr>
            </w:pPr>
            <w:r w:rsidRPr="009A63E2">
              <w:rPr>
                <w:rFonts w:cs="Arial"/>
                <w:sz w:val="18"/>
                <w:szCs w:val="18"/>
                <w:lang w:eastAsia="en-US"/>
              </w:rPr>
              <w:t>The condition must be due to age-related macular degeneration (AMD)</w:t>
            </w:r>
          </w:p>
        </w:tc>
      </w:tr>
      <w:tr w:rsidR="00D5438C" w:rsidRPr="009A63E2" w14:paraId="420C7CF3"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E05922F" w14:textId="77777777" w:rsidR="00D5438C" w:rsidRPr="009A63E2" w:rsidRDefault="00D5438C" w:rsidP="00115C14">
            <w:pPr>
              <w:rPr>
                <w:b/>
                <w:bCs/>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6C5EC72" w14:textId="77777777" w:rsidR="00D5438C" w:rsidRPr="009A63E2" w:rsidRDefault="00D5438C" w:rsidP="00115C14">
            <w:pPr>
              <w:rPr>
                <w:rFonts w:ascii="Arial Narrow" w:hAnsi="Arial Narrow"/>
                <w:color w:val="333333"/>
                <w:sz w:val="18"/>
                <w:szCs w:val="18"/>
              </w:rPr>
            </w:pPr>
            <w:r w:rsidRPr="009A63E2">
              <w:rPr>
                <w:rFonts w:ascii="Arial Narrow" w:hAnsi="Arial Narrow"/>
                <w:b/>
                <w:bCs/>
                <w:color w:val="333333"/>
                <w:sz w:val="18"/>
                <w:szCs w:val="18"/>
              </w:rPr>
              <w:t>AND</w:t>
            </w:r>
          </w:p>
        </w:tc>
      </w:tr>
      <w:tr w:rsidR="00D5438C" w:rsidRPr="009A63E2" w14:paraId="4290BEA3"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223E35" w14:textId="5CB3704E"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0B95F7A" w14:textId="77777777" w:rsidR="00D5438C" w:rsidRPr="009A63E2" w:rsidRDefault="00D5438C" w:rsidP="00115C14">
            <w:pPr>
              <w:rPr>
                <w:rFonts w:ascii="Arial Narrow" w:hAnsi="Arial Narrow"/>
                <w:b/>
                <w:bCs/>
                <w:color w:val="333333"/>
                <w:sz w:val="18"/>
                <w:szCs w:val="18"/>
              </w:rPr>
            </w:pPr>
            <w:r w:rsidRPr="009A63E2">
              <w:rPr>
                <w:rFonts w:ascii="Arial Narrow" w:hAnsi="Arial Narrow"/>
                <w:b/>
                <w:bCs/>
                <w:color w:val="333333"/>
                <w:sz w:val="18"/>
                <w:szCs w:val="18"/>
              </w:rPr>
              <w:t>Clinical criteria:</w:t>
            </w:r>
            <w:r w:rsidRPr="009A63E2">
              <w:rPr>
                <w:sz w:val="18"/>
                <w:szCs w:val="18"/>
              </w:rPr>
              <w:t xml:space="preserve"> </w:t>
            </w:r>
          </w:p>
        </w:tc>
      </w:tr>
      <w:tr w:rsidR="00D5438C" w:rsidRPr="009A63E2" w14:paraId="093DD428"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F7121E4" w14:textId="69E463D4"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2E0258" w14:textId="77777777" w:rsidR="00D5438C" w:rsidRPr="009A63E2" w:rsidRDefault="00D5438C" w:rsidP="00115C14">
            <w:pPr>
              <w:rPr>
                <w:rFonts w:ascii="Arial Narrow" w:eastAsiaTheme="majorEastAsia" w:hAnsi="Arial Narrow"/>
                <w:bCs/>
                <w:sz w:val="18"/>
                <w:szCs w:val="18"/>
              </w:rPr>
            </w:pPr>
            <w:r w:rsidRPr="009A63E2">
              <w:rPr>
                <w:rFonts w:ascii="Arial Narrow" w:eastAsiaTheme="majorEastAsia" w:hAnsi="Arial Narrow"/>
                <w:bCs/>
                <w:sz w:val="18"/>
                <w:szCs w:val="18"/>
              </w:rPr>
              <w:t>The condition must be diagnosed by optical coherence tomography; or</w:t>
            </w:r>
          </w:p>
          <w:p w14:paraId="0A1CADA2" w14:textId="77777777" w:rsidR="00D5438C" w:rsidRPr="009A63E2" w:rsidRDefault="00D5438C" w:rsidP="00115C14">
            <w:pPr>
              <w:rPr>
                <w:rFonts w:ascii="Arial Narrow" w:hAnsi="Arial Narrow"/>
                <w:color w:val="333333"/>
                <w:sz w:val="18"/>
                <w:szCs w:val="18"/>
              </w:rPr>
            </w:pPr>
            <w:r w:rsidRPr="009A63E2">
              <w:rPr>
                <w:rFonts w:ascii="Arial Narrow" w:hAnsi="Arial Narrow"/>
                <w:color w:val="333333"/>
                <w:sz w:val="18"/>
                <w:szCs w:val="18"/>
              </w:rPr>
              <w:t>The condition must be diagnosed by fluorescein angiography</w:t>
            </w:r>
          </w:p>
        </w:tc>
      </w:tr>
      <w:tr w:rsidR="00D5438C" w:rsidRPr="009A63E2" w14:paraId="13FF6E79"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00ADC4" w14:textId="77777777"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170AA0" w14:textId="77777777" w:rsidR="00D5438C" w:rsidRPr="009A63E2" w:rsidRDefault="00D5438C" w:rsidP="00115C14">
            <w:pPr>
              <w:rPr>
                <w:rFonts w:ascii="Arial Narrow" w:hAnsi="Arial Narrow"/>
                <w:b/>
                <w:bCs/>
                <w:color w:val="333333"/>
                <w:sz w:val="18"/>
                <w:szCs w:val="18"/>
              </w:rPr>
            </w:pPr>
            <w:r w:rsidRPr="009A63E2">
              <w:rPr>
                <w:rFonts w:ascii="Arial Narrow" w:hAnsi="Arial Narrow"/>
                <w:b/>
                <w:bCs/>
                <w:color w:val="333333"/>
                <w:sz w:val="18"/>
                <w:szCs w:val="18"/>
              </w:rPr>
              <w:t>AND</w:t>
            </w:r>
          </w:p>
        </w:tc>
      </w:tr>
      <w:tr w:rsidR="00D5438C" w:rsidRPr="009A63E2" w14:paraId="53192D26"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3DE356" w14:textId="79D6A8BC"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4729BD" w14:textId="77777777" w:rsidR="00D5438C" w:rsidRPr="009A63E2" w:rsidRDefault="00D5438C" w:rsidP="00115C14">
            <w:pPr>
              <w:rPr>
                <w:rFonts w:ascii="Arial Narrow" w:hAnsi="Arial Narrow"/>
                <w:color w:val="333333"/>
                <w:sz w:val="18"/>
                <w:szCs w:val="18"/>
              </w:rPr>
            </w:pPr>
            <w:r w:rsidRPr="009A63E2">
              <w:rPr>
                <w:rFonts w:ascii="Arial Narrow" w:hAnsi="Arial Narrow"/>
                <w:b/>
                <w:bCs/>
                <w:color w:val="333333"/>
                <w:sz w:val="18"/>
                <w:szCs w:val="18"/>
              </w:rPr>
              <w:t>Clinical criteria:</w:t>
            </w:r>
          </w:p>
        </w:tc>
      </w:tr>
      <w:tr w:rsidR="00D5438C" w:rsidRPr="009A63E2" w14:paraId="38D62DEC"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7E5DD74" w14:textId="3B1423A4"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86D6C08" w14:textId="77777777" w:rsidR="00D5438C" w:rsidRPr="009A63E2" w:rsidRDefault="00D5438C" w:rsidP="00115C14">
            <w:pPr>
              <w:rPr>
                <w:rFonts w:ascii="Arial Narrow" w:hAnsi="Arial Narrow"/>
                <w:b/>
                <w:bCs/>
                <w:color w:val="333333"/>
                <w:sz w:val="18"/>
                <w:szCs w:val="18"/>
              </w:rPr>
            </w:pPr>
            <w:r w:rsidRPr="009A63E2">
              <w:rPr>
                <w:rFonts w:ascii="Arial Narrow" w:eastAsiaTheme="majorEastAsia" w:hAnsi="Arial Narrow"/>
                <w:bCs/>
                <w:sz w:val="18"/>
                <w:szCs w:val="18"/>
              </w:rPr>
              <w:t>The treatment must be the sole PBS-subsidised therapy for this condition</w:t>
            </w:r>
          </w:p>
        </w:tc>
      </w:tr>
      <w:tr w:rsidR="00D5438C" w:rsidRPr="009A63E2" w14:paraId="58FD5DAE"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BAC875C" w14:textId="0EA8216C"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D198FA" w14:textId="77777777" w:rsidR="00D5438C" w:rsidRPr="009A63E2" w:rsidRDefault="00D5438C" w:rsidP="00115C14">
            <w:pPr>
              <w:rPr>
                <w:rFonts w:ascii="Arial Narrow" w:eastAsiaTheme="majorEastAsia" w:hAnsi="Arial Narrow"/>
                <w:b/>
                <w:sz w:val="18"/>
                <w:szCs w:val="18"/>
              </w:rPr>
            </w:pPr>
            <w:r w:rsidRPr="009A63E2">
              <w:rPr>
                <w:rFonts w:ascii="Arial Narrow" w:eastAsiaTheme="majorEastAsia" w:hAnsi="Arial Narrow"/>
                <w:b/>
                <w:sz w:val="18"/>
                <w:szCs w:val="18"/>
              </w:rPr>
              <w:t>Prescribing Instructions:</w:t>
            </w:r>
          </w:p>
          <w:p w14:paraId="27E6B6BE" w14:textId="77777777" w:rsidR="00D5438C" w:rsidRPr="009A63E2" w:rsidRDefault="00D5438C" w:rsidP="00115C14">
            <w:pPr>
              <w:rPr>
                <w:rFonts w:ascii="Arial Narrow" w:eastAsiaTheme="majorEastAsia" w:hAnsi="Arial Narrow"/>
                <w:bCs/>
                <w:sz w:val="18"/>
                <w:szCs w:val="18"/>
              </w:rPr>
            </w:pPr>
            <w:r w:rsidRPr="009A63E2">
              <w:rPr>
                <w:rFonts w:ascii="Arial Narrow" w:eastAsiaTheme="majorEastAsia" w:hAnsi="Arial Narrow"/>
                <w:bCs/>
                <w:sz w:val="18"/>
                <w:szCs w:val="18"/>
              </w:rPr>
              <w:t>Authority approval for initial treatment of each eye must be sought.</w:t>
            </w:r>
          </w:p>
        </w:tc>
      </w:tr>
      <w:tr w:rsidR="00D5438C" w:rsidRPr="009A63E2" w14:paraId="2061B639"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FFC111" w14:textId="6316F3B7" w:rsidR="00D5438C" w:rsidRPr="009A63E2" w:rsidRDefault="00D5438C" w:rsidP="00115C14">
            <w:pPr>
              <w:jc w:val="center"/>
              <w:rPr>
                <w:rFonts w:ascii="Arial Narrow" w:hAnsi="Arial Narrow"/>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9E6F63" w14:textId="77777777" w:rsidR="00D5438C" w:rsidRPr="009A63E2" w:rsidRDefault="00D5438C" w:rsidP="00115C14">
            <w:pPr>
              <w:pStyle w:val="TableText"/>
              <w:spacing w:line="256" w:lineRule="auto"/>
              <w:rPr>
                <w:sz w:val="18"/>
                <w:szCs w:val="18"/>
                <w:lang w:eastAsia="en-US"/>
              </w:rPr>
            </w:pPr>
            <w:r w:rsidRPr="009A63E2">
              <w:rPr>
                <w:rFonts w:eastAsia="Times New Roman"/>
                <w:b/>
                <w:bCs w:val="0"/>
                <w:color w:val="333333"/>
                <w:sz w:val="18"/>
                <w:szCs w:val="18"/>
                <w:lang w:eastAsia="en-US"/>
              </w:rPr>
              <w:t xml:space="preserve">Prescribing Instructions: </w:t>
            </w:r>
            <w:r w:rsidRPr="009A63E2">
              <w:rPr>
                <w:rFonts w:eastAsia="Times New Roman"/>
                <w:b/>
                <w:bCs w:val="0"/>
                <w:color w:val="333333"/>
                <w:sz w:val="18"/>
                <w:szCs w:val="18"/>
                <w:lang w:eastAsia="en-US"/>
              </w:rPr>
              <w:br/>
            </w:r>
            <w:r w:rsidRPr="009A63E2">
              <w:rPr>
                <w:sz w:val="18"/>
                <w:szCs w:val="18"/>
                <w:lang w:eastAsia="en-US"/>
              </w:rPr>
              <w:t>The first authority application for each eye must be made in writing.</w:t>
            </w:r>
          </w:p>
          <w:p w14:paraId="2923E403" w14:textId="77777777" w:rsidR="00D5438C" w:rsidRPr="009A63E2" w:rsidRDefault="00D5438C" w:rsidP="00115C14">
            <w:pPr>
              <w:pStyle w:val="TableText"/>
              <w:spacing w:line="256" w:lineRule="auto"/>
              <w:rPr>
                <w:sz w:val="18"/>
                <w:szCs w:val="18"/>
                <w:lang w:eastAsia="en-US"/>
              </w:rPr>
            </w:pPr>
            <w:r w:rsidRPr="009A63E2">
              <w:rPr>
                <w:sz w:val="18"/>
                <w:szCs w:val="18"/>
                <w:lang w:eastAsia="en-US"/>
              </w:rPr>
              <w:t>A written application must include:</w:t>
            </w:r>
          </w:p>
          <w:p w14:paraId="60EEFFA9" w14:textId="77777777" w:rsidR="00D5438C" w:rsidRPr="009A63E2" w:rsidRDefault="00D5438C" w:rsidP="00115C14">
            <w:pPr>
              <w:pStyle w:val="TableText"/>
              <w:spacing w:line="256" w:lineRule="auto"/>
              <w:rPr>
                <w:sz w:val="18"/>
                <w:szCs w:val="18"/>
                <w:lang w:eastAsia="en-US"/>
              </w:rPr>
            </w:pPr>
            <w:r w:rsidRPr="009A63E2">
              <w:rPr>
                <w:sz w:val="18"/>
                <w:szCs w:val="18"/>
                <w:lang w:eastAsia="en-US"/>
              </w:rPr>
              <w:t>a) a completed authority prescription form;</w:t>
            </w:r>
          </w:p>
          <w:p w14:paraId="4BD2D58E" w14:textId="77777777" w:rsidR="00D5438C" w:rsidRPr="009A63E2" w:rsidRDefault="00D5438C" w:rsidP="00115C14">
            <w:pPr>
              <w:pStyle w:val="TableText"/>
              <w:spacing w:line="256" w:lineRule="auto"/>
              <w:rPr>
                <w:sz w:val="18"/>
                <w:szCs w:val="18"/>
                <w:lang w:eastAsia="en-US"/>
              </w:rPr>
            </w:pPr>
            <w:r w:rsidRPr="009A63E2">
              <w:rPr>
                <w:sz w:val="18"/>
                <w:szCs w:val="18"/>
                <w:lang w:eastAsia="en-US"/>
              </w:rPr>
              <w:t>b) a completed Subfoveal Choroidal Neovascularisation (CNV) - PBS Supporting Information Form; and</w:t>
            </w:r>
          </w:p>
          <w:p w14:paraId="72577649" w14:textId="77777777" w:rsidR="00D5438C" w:rsidRPr="009A63E2" w:rsidRDefault="00D5438C" w:rsidP="00115C14">
            <w:pPr>
              <w:pStyle w:val="TableText"/>
              <w:keepNext w:val="0"/>
              <w:spacing w:line="256" w:lineRule="auto"/>
              <w:rPr>
                <w:sz w:val="18"/>
                <w:szCs w:val="18"/>
                <w:lang w:eastAsia="en-US"/>
              </w:rPr>
            </w:pPr>
            <w:r w:rsidRPr="009A63E2">
              <w:rPr>
                <w:sz w:val="18"/>
                <w:szCs w:val="18"/>
                <w:lang w:eastAsia="en-US"/>
              </w:rPr>
              <w:t>c) a copy of the optical coherence tomography or fluorescein angiogram report.</w:t>
            </w:r>
          </w:p>
        </w:tc>
      </w:tr>
      <w:tr w:rsidR="00D5438C" w:rsidRPr="009A63E2" w14:paraId="11B92066" w14:textId="77777777" w:rsidTr="00115C14">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975AE9" w14:textId="002E0195" w:rsidR="00D5438C" w:rsidRPr="001711AA" w:rsidRDefault="00D5438C" w:rsidP="00115C14">
            <w:pPr>
              <w:jc w:val="center"/>
              <w:rPr>
                <w:rFonts w:ascii="Arial Narrow" w:hAnsi="Arial Narrow"/>
                <w:iCs/>
                <w:color w:val="333333"/>
                <w:sz w:val="18"/>
                <w:szCs w:val="18"/>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876925" w14:textId="77777777" w:rsidR="00D5438C" w:rsidRPr="001711AA" w:rsidRDefault="00D5438C" w:rsidP="00115C14">
            <w:pPr>
              <w:autoSpaceDE w:val="0"/>
              <w:autoSpaceDN w:val="0"/>
              <w:adjustRightInd w:val="0"/>
              <w:jc w:val="left"/>
              <w:rPr>
                <w:rFonts w:ascii="Arial Narrow" w:hAnsi="Arial Narrow"/>
                <w:iCs/>
                <w:sz w:val="18"/>
                <w:szCs w:val="18"/>
              </w:rPr>
            </w:pPr>
            <w:r w:rsidRPr="001711AA">
              <w:rPr>
                <w:rFonts w:ascii="Arial Narrow" w:hAnsi="Arial Narrow"/>
                <w:b/>
                <w:iCs/>
                <w:color w:val="333333"/>
                <w:sz w:val="18"/>
                <w:szCs w:val="18"/>
              </w:rPr>
              <w:t xml:space="preserve">Administrative Advice: </w:t>
            </w:r>
            <w:r w:rsidRPr="001711AA">
              <w:rPr>
                <w:rFonts w:ascii="Arial Narrow" w:hAnsi="Arial Narrow"/>
                <w:b/>
                <w:iCs/>
                <w:color w:val="333333"/>
                <w:sz w:val="18"/>
                <w:szCs w:val="18"/>
              </w:rPr>
              <w:br/>
            </w:r>
            <w:r w:rsidRPr="001711AA">
              <w:rPr>
                <w:rFonts w:ascii="Arial Narrow" w:hAnsi="Arial Narrow"/>
                <w:iCs/>
                <w:sz w:val="18"/>
                <w:szCs w:val="18"/>
              </w:rPr>
              <w:t>Any queries concerning the arrangements to prescribe may be directed to Services Australia on 1800 700 270 (hours of operation 8 a.m. to 5 p.m. Monday to Friday).</w:t>
            </w:r>
          </w:p>
          <w:p w14:paraId="2BD99BBE" w14:textId="77777777" w:rsidR="00D5438C" w:rsidRPr="001711AA" w:rsidRDefault="00D5438C" w:rsidP="00115C14">
            <w:pPr>
              <w:autoSpaceDE w:val="0"/>
              <w:autoSpaceDN w:val="0"/>
              <w:adjustRightInd w:val="0"/>
              <w:rPr>
                <w:rFonts w:ascii="Arial Narrow" w:hAnsi="Arial Narrow"/>
                <w:iCs/>
                <w:sz w:val="18"/>
                <w:szCs w:val="18"/>
              </w:rPr>
            </w:pPr>
            <w:r w:rsidRPr="001711AA">
              <w:rPr>
                <w:rFonts w:ascii="Arial Narrow" w:hAnsi="Arial Narrow"/>
                <w:iCs/>
                <w:sz w:val="18"/>
                <w:szCs w:val="18"/>
              </w:rPr>
              <w:t>Prescribing information (including Authority Application forms and other relevant documentation as applicable) is available on the Services Australia website at www.servicesaustralia.gov.au</w:t>
            </w:r>
          </w:p>
          <w:p w14:paraId="56387FB2" w14:textId="77777777" w:rsidR="00D5438C" w:rsidRPr="001711AA" w:rsidRDefault="00D5438C" w:rsidP="00115C14">
            <w:pPr>
              <w:autoSpaceDE w:val="0"/>
              <w:autoSpaceDN w:val="0"/>
              <w:adjustRightInd w:val="0"/>
              <w:rPr>
                <w:rFonts w:ascii="Arial Narrow" w:hAnsi="Arial Narrow"/>
                <w:iCs/>
                <w:sz w:val="18"/>
                <w:szCs w:val="18"/>
              </w:rPr>
            </w:pPr>
            <w:r w:rsidRPr="001711AA">
              <w:rPr>
                <w:rFonts w:ascii="Arial Narrow" w:hAnsi="Arial Narrow"/>
                <w:iCs/>
                <w:sz w:val="18"/>
                <w:szCs w:val="18"/>
              </w:rPr>
              <w:t>Applications for authority to prescribe should be submitted online using the form upload facility in Health Professional Online Services (HPOS) at www.servicesaustralia.gov.au/hpos</w:t>
            </w:r>
          </w:p>
          <w:p w14:paraId="5087A7EE" w14:textId="77777777" w:rsidR="00D5438C" w:rsidRPr="001711AA" w:rsidRDefault="00D5438C" w:rsidP="00115C14">
            <w:pPr>
              <w:autoSpaceDE w:val="0"/>
              <w:autoSpaceDN w:val="0"/>
              <w:adjustRightInd w:val="0"/>
              <w:rPr>
                <w:rFonts w:ascii="Arial Narrow" w:hAnsi="Arial Narrow"/>
                <w:iCs/>
                <w:sz w:val="18"/>
                <w:szCs w:val="18"/>
              </w:rPr>
            </w:pPr>
            <w:r w:rsidRPr="001711AA">
              <w:rPr>
                <w:rFonts w:ascii="Arial Narrow" w:hAnsi="Arial Narrow"/>
                <w:iCs/>
                <w:sz w:val="18"/>
                <w:szCs w:val="18"/>
              </w:rPr>
              <w:t>Or mailed to:</w:t>
            </w:r>
          </w:p>
          <w:p w14:paraId="7F422E3F" w14:textId="77777777" w:rsidR="00D5438C" w:rsidRPr="001711AA" w:rsidRDefault="00D5438C" w:rsidP="00115C14">
            <w:pPr>
              <w:autoSpaceDE w:val="0"/>
              <w:autoSpaceDN w:val="0"/>
              <w:adjustRightInd w:val="0"/>
              <w:rPr>
                <w:rFonts w:ascii="Arial Narrow" w:hAnsi="Arial Narrow"/>
                <w:iCs/>
                <w:sz w:val="18"/>
                <w:szCs w:val="18"/>
              </w:rPr>
            </w:pPr>
            <w:r w:rsidRPr="001711AA">
              <w:rPr>
                <w:rFonts w:ascii="Arial Narrow" w:hAnsi="Arial Narrow"/>
                <w:iCs/>
                <w:sz w:val="18"/>
                <w:szCs w:val="18"/>
              </w:rPr>
              <w:t>Services Australia</w:t>
            </w:r>
          </w:p>
          <w:p w14:paraId="28F53075" w14:textId="77777777" w:rsidR="00D5438C" w:rsidRPr="001711AA" w:rsidRDefault="00D5438C" w:rsidP="00115C14">
            <w:pPr>
              <w:autoSpaceDE w:val="0"/>
              <w:autoSpaceDN w:val="0"/>
              <w:adjustRightInd w:val="0"/>
              <w:rPr>
                <w:rFonts w:ascii="Arial Narrow" w:hAnsi="Arial Narrow"/>
                <w:iCs/>
                <w:sz w:val="18"/>
                <w:szCs w:val="18"/>
              </w:rPr>
            </w:pPr>
            <w:r w:rsidRPr="001711AA">
              <w:rPr>
                <w:rFonts w:ascii="Arial Narrow" w:hAnsi="Arial Narrow"/>
                <w:iCs/>
                <w:sz w:val="18"/>
                <w:szCs w:val="18"/>
              </w:rPr>
              <w:t>Complex Drugs</w:t>
            </w:r>
          </w:p>
          <w:p w14:paraId="6150BEDC" w14:textId="77777777" w:rsidR="00D5438C" w:rsidRPr="001711AA" w:rsidRDefault="00D5438C" w:rsidP="00115C14">
            <w:pPr>
              <w:autoSpaceDE w:val="0"/>
              <w:autoSpaceDN w:val="0"/>
              <w:adjustRightInd w:val="0"/>
              <w:rPr>
                <w:rFonts w:ascii="Arial Narrow" w:hAnsi="Arial Narrow"/>
                <w:iCs/>
                <w:sz w:val="18"/>
                <w:szCs w:val="18"/>
              </w:rPr>
            </w:pPr>
            <w:r w:rsidRPr="001711AA">
              <w:rPr>
                <w:rFonts w:ascii="Arial Narrow" w:hAnsi="Arial Narrow"/>
                <w:iCs/>
                <w:sz w:val="18"/>
                <w:szCs w:val="18"/>
              </w:rPr>
              <w:t>Reply Paid 9826</w:t>
            </w:r>
          </w:p>
          <w:p w14:paraId="71B6ED43" w14:textId="77777777" w:rsidR="00D5438C" w:rsidRPr="001711AA" w:rsidRDefault="00D5438C" w:rsidP="00115C14">
            <w:pPr>
              <w:autoSpaceDE w:val="0"/>
              <w:autoSpaceDN w:val="0"/>
              <w:adjustRightInd w:val="0"/>
              <w:rPr>
                <w:rFonts w:ascii="Arial Narrow" w:hAnsi="Arial Narrow" w:cs="Arial Narrow"/>
                <w:iCs/>
                <w:color w:val="FF0000"/>
                <w:sz w:val="18"/>
                <w:szCs w:val="18"/>
              </w:rPr>
            </w:pPr>
            <w:r w:rsidRPr="001711AA">
              <w:rPr>
                <w:rFonts w:ascii="Arial Narrow" w:hAnsi="Arial Narrow"/>
                <w:iCs/>
                <w:sz w:val="18"/>
                <w:szCs w:val="18"/>
              </w:rPr>
              <w:t>HOBART TAS 7001</w:t>
            </w:r>
          </w:p>
        </w:tc>
      </w:tr>
    </w:tbl>
    <w:p w14:paraId="061CA2AE" w14:textId="77777777" w:rsidR="00D5438C" w:rsidRPr="009A63E2" w:rsidRDefault="00D5438C" w:rsidP="00D5438C"/>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666"/>
        <w:gridCol w:w="811"/>
        <w:gridCol w:w="811"/>
        <w:gridCol w:w="810"/>
        <w:gridCol w:w="811"/>
        <w:gridCol w:w="1880"/>
      </w:tblGrid>
      <w:tr w:rsidR="00D5438C" w:rsidRPr="009A63E2" w14:paraId="0B470212" w14:textId="77777777" w:rsidTr="00115C14">
        <w:trPr>
          <w:cantSplit/>
          <w:trHeight w:val="20"/>
        </w:trPr>
        <w:tc>
          <w:tcPr>
            <w:tcW w:w="3937" w:type="dxa"/>
            <w:gridSpan w:val="2"/>
            <w:tcBorders>
              <w:top w:val="single" w:sz="4" w:space="0" w:color="auto"/>
              <w:left w:val="single" w:sz="4" w:space="0" w:color="auto"/>
              <w:bottom w:val="single" w:sz="4" w:space="0" w:color="auto"/>
              <w:right w:val="single" w:sz="4" w:space="0" w:color="auto"/>
            </w:tcBorders>
            <w:vAlign w:val="center"/>
            <w:hideMark/>
          </w:tcPr>
          <w:p w14:paraId="1399947A" w14:textId="77777777" w:rsidR="00D5438C" w:rsidRPr="009A63E2" w:rsidRDefault="00D5438C" w:rsidP="00115C14">
            <w:pPr>
              <w:keepLines/>
              <w:rPr>
                <w:rFonts w:ascii="Arial Narrow" w:hAnsi="Arial Narrow"/>
                <w:b/>
                <w:bCs/>
                <w:iCs/>
                <w:sz w:val="18"/>
                <w:szCs w:val="18"/>
              </w:rPr>
            </w:pPr>
            <w:r w:rsidRPr="009A63E2">
              <w:rPr>
                <w:rFonts w:ascii="Arial Narrow" w:hAnsi="Arial Narrow"/>
                <w:b/>
                <w:bCs/>
                <w:iCs/>
                <w:sz w:val="18"/>
                <w:szCs w:val="18"/>
              </w:rPr>
              <w:t>MEDICINAL PRODUCT</w:t>
            </w:r>
          </w:p>
          <w:p w14:paraId="05E1C6B1" w14:textId="77777777" w:rsidR="00D5438C" w:rsidRPr="009A63E2" w:rsidRDefault="00D5438C" w:rsidP="00115C14">
            <w:pPr>
              <w:keepLines/>
              <w:rPr>
                <w:rFonts w:ascii="Arial Narrow" w:hAnsi="Arial Narrow"/>
                <w:b/>
                <w:iCs/>
                <w:sz w:val="18"/>
                <w:szCs w:val="18"/>
              </w:rPr>
            </w:pPr>
            <w:r w:rsidRPr="009A63E2">
              <w:rPr>
                <w:rFonts w:ascii="Arial Narrow" w:hAnsi="Arial Narrow"/>
                <w:b/>
                <w:bCs/>
                <w:iCs/>
                <w:sz w:val="18"/>
                <w:szCs w:val="18"/>
              </w:rPr>
              <w:t>medicinal product pack</w:t>
            </w:r>
          </w:p>
        </w:tc>
        <w:tc>
          <w:tcPr>
            <w:tcW w:w="811" w:type="dxa"/>
            <w:tcBorders>
              <w:top w:val="single" w:sz="4" w:space="0" w:color="auto"/>
              <w:left w:val="single" w:sz="4" w:space="0" w:color="auto"/>
              <w:bottom w:val="single" w:sz="4" w:space="0" w:color="auto"/>
              <w:right w:val="single" w:sz="4" w:space="0" w:color="auto"/>
            </w:tcBorders>
            <w:vAlign w:val="center"/>
            <w:hideMark/>
          </w:tcPr>
          <w:p w14:paraId="41903AE2" w14:textId="77777777" w:rsidR="00D5438C" w:rsidRPr="009A63E2" w:rsidRDefault="00D5438C" w:rsidP="00115C14">
            <w:pPr>
              <w:keepLines/>
              <w:jc w:val="center"/>
              <w:rPr>
                <w:rFonts w:ascii="Arial Narrow" w:hAnsi="Arial Narrow"/>
                <w:b/>
                <w:iCs/>
                <w:sz w:val="18"/>
                <w:szCs w:val="18"/>
              </w:rPr>
            </w:pPr>
            <w:r w:rsidRPr="009A63E2">
              <w:rPr>
                <w:rFonts w:ascii="Arial Narrow" w:hAnsi="Arial Narrow"/>
                <w:b/>
                <w:iCs/>
                <w:sz w:val="18"/>
                <w:szCs w:val="18"/>
              </w:rPr>
              <w:t>PBS item code</w:t>
            </w:r>
          </w:p>
        </w:tc>
        <w:tc>
          <w:tcPr>
            <w:tcW w:w="811" w:type="dxa"/>
            <w:tcBorders>
              <w:top w:val="single" w:sz="4" w:space="0" w:color="auto"/>
              <w:left w:val="single" w:sz="4" w:space="0" w:color="auto"/>
              <w:bottom w:val="single" w:sz="4" w:space="0" w:color="auto"/>
              <w:right w:val="single" w:sz="4" w:space="0" w:color="auto"/>
            </w:tcBorders>
            <w:vAlign w:val="center"/>
            <w:hideMark/>
          </w:tcPr>
          <w:p w14:paraId="552FCDFC" w14:textId="77777777" w:rsidR="00D5438C" w:rsidRPr="009A63E2" w:rsidRDefault="00D5438C" w:rsidP="00115C14">
            <w:pPr>
              <w:keepLines/>
              <w:jc w:val="center"/>
              <w:rPr>
                <w:rFonts w:ascii="Arial Narrow" w:hAnsi="Arial Narrow"/>
                <w:b/>
                <w:iCs/>
                <w:sz w:val="18"/>
                <w:szCs w:val="18"/>
              </w:rPr>
            </w:pPr>
            <w:r w:rsidRPr="009A63E2">
              <w:rPr>
                <w:rFonts w:ascii="Arial Narrow" w:hAnsi="Arial Narrow"/>
                <w:b/>
                <w:iCs/>
                <w:sz w:val="18"/>
                <w:szCs w:val="18"/>
              </w:rPr>
              <w:t>Max. qty packs</w:t>
            </w:r>
          </w:p>
        </w:tc>
        <w:tc>
          <w:tcPr>
            <w:tcW w:w="810" w:type="dxa"/>
            <w:tcBorders>
              <w:top w:val="single" w:sz="4" w:space="0" w:color="auto"/>
              <w:left w:val="single" w:sz="4" w:space="0" w:color="auto"/>
              <w:bottom w:val="single" w:sz="4" w:space="0" w:color="auto"/>
              <w:right w:val="single" w:sz="4" w:space="0" w:color="auto"/>
            </w:tcBorders>
            <w:vAlign w:val="center"/>
            <w:hideMark/>
          </w:tcPr>
          <w:p w14:paraId="25FE2D3E" w14:textId="77777777" w:rsidR="00D5438C" w:rsidRPr="009A63E2" w:rsidRDefault="00D5438C" w:rsidP="00115C14">
            <w:pPr>
              <w:keepLines/>
              <w:jc w:val="center"/>
              <w:rPr>
                <w:rFonts w:ascii="Arial Narrow" w:hAnsi="Arial Narrow"/>
                <w:b/>
                <w:iCs/>
                <w:sz w:val="18"/>
                <w:szCs w:val="18"/>
              </w:rPr>
            </w:pPr>
            <w:r w:rsidRPr="009A63E2">
              <w:rPr>
                <w:rFonts w:ascii="Arial Narrow" w:hAnsi="Arial Narrow"/>
                <w:b/>
                <w:iCs/>
                <w:sz w:val="18"/>
                <w:szCs w:val="18"/>
              </w:rPr>
              <w:t>Max. qty units</w:t>
            </w:r>
          </w:p>
        </w:tc>
        <w:tc>
          <w:tcPr>
            <w:tcW w:w="811" w:type="dxa"/>
            <w:tcBorders>
              <w:top w:val="single" w:sz="4" w:space="0" w:color="auto"/>
              <w:left w:val="single" w:sz="4" w:space="0" w:color="auto"/>
              <w:bottom w:val="single" w:sz="4" w:space="0" w:color="auto"/>
              <w:right w:val="single" w:sz="4" w:space="0" w:color="auto"/>
            </w:tcBorders>
            <w:vAlign w:val="center"/>
            <w:hideMark/>
          </w:tcPr>
          <w:p w14:paraId="231A5E32" w14:textId="77777777" w:rsidR="00D5438C" w:rsidRPr="009A63E2" w:rsidRDefault="00D5438C" w:rsidP="00115C14">
            <w:pPr>
              <w:keepLines/>
              <w:jc w:val="center"/>
              <w:rPr>
                <w:rFonts w:ascii="Arial Narrow" w:hAnsi="Arial Narrow"/>
                <w:b/>
                <w:iCs/>
                <w:sz w:val="18"/>
                <w:szCs w:val="18"/>
              </w:rPr>
            </w:pPr>
            <w:r w:rsidRPr="009A63E2">
              <w:rPr>
                <w:rFonts w:ascii="Arial Narrow" w:hAnsi="Arial Narrow"/>
                <w:b/>
                <w:iCs/>
                <w:sz w:val="18"/>
                <w:szCs w:val="18"/>
              </w:rPr>
              <w:t>№.of</w:t>
            </w:r>
          </w:p>
          <w:p w14:paraId="459C6042" w14:textId="77777777" w:rsidR="00D5438C" w:rsidRPr="009A63E2" w:rsidRDefault="00D5438C" w:rsidP="00115C14">
            <w:pPr>
              <w:keepLines/>
              <w:jc w:val="center"/>
              <w:rPr>
                <w:rFonts w:ascii="Arial Narrow" w:hAnsi="Arial Narrow"/>
                <w:b/>
                <w:iCs/>
                <w:sz w:val="18"/>
                <w:szCs w:val="18"/>
              </w:rPr>
            </w:pPr>
            <w:r w:rsidRPr="009A63E2">
              <w:rPr>
                <w:rFonts w:ascii="Arial Narrow" w:hAnsi="Arial Narrow"/>
                <w:b/>
                <w:iCs/>
                <w:sz w:val="18"/>
                <w:szCs w:val="18"/>
              </w:rPr>
              <w:t>Rpts</w:t>
            </w:r>
          </w:p>
        </w:tc>
        <w:tc>
          <w:tcPr>
            <w:tcW w:w="1880" w:type="dxa"/>
            <w:tcBorders>
              <w:top w:val="single" w:sz="4" w:space="0" w:color="auto"/>
              <w:left w:val="single" w:sz="4" w:space="0" w:color="auto"/>
              <w:bottom w:val="single" w:sz="4" w:space="0" w:color="auto"/>
              <w:right w:val="single" w:sz="4" w:space="0" w:color="auto"/>
            </w:tcBorders>
            <w:vAlign w:val="center"/>
            <w:hideMark/>
          </w:tcPr>
          <w:p w14:paraId="1B259161" w14:textId="77777777" w:rsidR="00D5438C" w:rsidRPr="009A63E2" w:rsidRDefault="00D5438C" w:rsidP="00115C14">
            <w:pPr>
              <w:keepLines/>
              <w:rPr>
                <w:rFonts w:ascii="Arial Narrow" w:hAnsi="Arial Narrow"/>
                <w:b/>
                <w:iCs/>
                <w:sz w:val="18"/>
                <w:szCs w:val="18"/>
                <w:lang w:val="fr-FR"/>
              </w:rPr>
            </w:pPr>
            <w:r w:rsidRPr="009A63E2">
              <w:rPr>
                <w:rFonts w:ascii="Arial Narrow" w:hAnsi="Arial Narrow"/>
                <w:b/>
                <w:iCs/>
                <w:sz w:val="18"/>
                <w:szCs w:val="18"/>
              </w:rPr>
              <w:t>Available brands</w:t>
            </w:r>
          </w:p>
        </w:tc>
      </w:tr>
      <w:tr w:rsidR="00D5438C" w:rsidRPr="009A63E2" w14:paraId="7CFB9705" w14:textId="77777777" w:rsidTr="00115C14">
        <w:trPr>
          <w:cantSplit/>
          <w:trHeight w:val="20"/>
        </w:trPr>
        <w:tc>
          <w:tcPr>
            <w:tcW w:w="9060" w:type="dxa"/>
            <w:gridSpan w:val="7"/>
            <w:tcBorders>
              <w:top w:val="single" w:sz="4" w:space="0" w:color="auto"/>
              <w:left w:val="single" w:sz="4" w:space="0" w:color="auto"/>
              <w:bottom w:val="single" w:sz="4" w:space="0" w:color="auto"/>
              <w:right w:val="single" w:sz="4" w:space="0" w:color="auto"/>
            </w:tcBorders>
            <w:vAlign w:val="center"/>
            <w:hideMark/>
          </w:tcPr>
          <w:p w14:paraId="3E27191F" w14:textId="77777777" w:rsidR="00D5438C" w:rsidRPr="001711AA" w:rsidRDefault="00D5438C" w:rsidP="00115C14">
            <w:pPr>
              <w:pStyle w:val="TableText"/>
              <w:keepNext w:val="0"/>
              <w:spacing w:line="256" w:lineRule="auto"/>
              <w:rPr>
                <w:rFonts w:cs="Times New Roman"/>
                <w:iCs/>
                <w:sz w:val="18"/>
                <w:szCs w:val="18"/>
                <w:lang w:eastAsia="en-US"/>
              </w:rPr>
            </w:pPr>
            <w:r w:rsidRPr="001711AA">
              <w:rPr>
                <w:iCs/>
                <w:smallCaps/>
                <w:sz w:val="18"/>
                <w:szCs w:val="18"/>
                <w:lang w:eastAsia="en-US"/>
              </w:rPr>
              <w:t>FARICIMAB</w:t>
            </w:r>
          </w:p>
        </w:tc>
      </w:tr>
      <w:tr w:rsidR="00D5438C" w:rsidRPr="009A63E2" w14:paraId="1602C94C" w14:textId="77777777" w:rsidTr="00115C14">
        <w:trPr>
          <w:cantSplit/>
          <w:trHeight w:val="20"/>
        </w:trPr>
        <w:tc>
          <w:tcPr>
            <w:tcW w:w="3937" w:type="dxa"/>
            <w:gridSpan w:val="2"/>
            <w:tcBorders>
              <w:top w:val="single" w:sz="4" w:space="0" w:color="auto"/>
              <w:left w:val="single" w:sz="4" w:space="0" w:color="auto"/>
              <w:bottom w:val="single" w:sz="4" w:space="0" w:color="auto"/>
              <w:right w:val="single" w:sz="4" w:space="0" w:color="auto"/>
            </w:tcBorders>
            <w:vAlign w:val="center"/>
          </w:tcPr>
          <w:p w14:paraId="5ADD9612" w14:textId="77777777" w:rsidR="00D5438C" w:rsidRPr="009A63E2" w:rsidRDefault="00D5438C" w:rsidP="00115C14">
            <w:pPr>
              <w:pStyle w:val="TableText"/>
              <w:keepNext w:val="0"/>
              <w:spacing w:line="256" w:lineRule="auto"/>
              <w:rPr>
                <w:iCs/>
                <w:sz w:val="18"/>
                <w:szCs w:val="18"/>
                <w:lang w:eastAsia="en-US"/>
              </w:rPr>
            </w:pPr>
            <w:r w:rsidRPr="009A63E2">
              <w:rPr>
                <w:iCs/>
                <w:sz w:val="18"/>
                <w:szCs w:val="18"/>
                <w:lang w:eastAsia="en-US"/>
              </w:rPr>
              <w:t>faricimab 28.8 mg / 0.24 mL solution for injection, vial</w:t>
            </w:r>
          </w:p>
          <w:p w14:paraId="01D3291A" w14:textId="77777777" w:rsidR="00D5438C" w:rsidRPr="009A63E2" w:rsidRDefault="00D5438C" w:rsidP="00115C14">
            <w:pPr>
              <w:keepLines/>
              <w:rPr>
                <w:rFonts w:ascii="Arial Narrow" w:hAnsi="Arial Narrow"/>
                <w:iCs/>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1CDC87E4" w14:textId="77777777" w:rsidR="00D5438C" w:rsidRPr="009A63E2" w:rsidRDefault="00D5438C" w:rsidP="00115C14">
            <w:pPr>
              <w:keepLines/>
              <w:jc w:val="center"/>
              <w:rPr>
                <w:rFonts w:ascii="Arial Narrow" w:hAnsi="Arial Narrow"/>
                <w:i/>
                <w:iCs/>
                <w:sz w:val="18"/>
                <w:szCs w:val="18"/>
              </w:rPr>
            </w:pPr>
            <w:r w:rsidRPr="009A63E2">
              <w:rPr>
                <w:rFonts w:ascii="Arial Narrow" w:hAnsi="Arial Narrow"/>
                <w:i/>
                <w:iCs/>
                <w:sz w:val="18"/>
                <w:szCs w:val="18"/>
              </w:rPr>
              <w:t>NEW</w:t>
            </w:r>
          </w:p>
        </w:tc>
        <w:tc>
          <w:tcPr>
            <w:tcW w:w="811" w:type="dxa"/>
            <w:tcBorders>
              <w:top w:val="single" w:sz="4" w:space="0" w:color="auto"/>
              <w:left w:val="single" w:sz="4" w:space="0" w:color="auto"/>
              <w:bottom w:val="single" w:sz="4" w:space="0" w:color="auto"/>
              <w:right w:val="single" w:sz="4" w:space="0" w:color="auto"/>
            </w:tcBorders>
            <w:vAlign w:val="center"/>
            <w:hideMark/>
          </w:tcPr>
          <w:p w14:paraId="5355E735" w14:textId="77777777" w:rsidR="00D5438C" w:rsidRPr="009A63E2" w:rsidRDefault="00D5438C" w:rsidP="00115C14">
            <w:pPr>
              <w:keepLines/>
              <w:jc w:val="center"/>
              <w:rPr>
                <w:rFonts w:ascii="Arial Narrow" w:hAnsi="Arial Narrow"/>
                <w:iCs/>
                <w:sz w:val="18"/>
                <w:szCs w:val="18"/>
              </w:rPr>
            </w:pPr>
            <w:r w:rsidRPr="009A63E2">
              <w:rPr>
                <w:rFonts w:ascii="Arial Narrow" w:hAnsi="Arial Narrow"/>
                <w:iCs/>
                <w:sz w:val="18"/>
                <w:szCs w:val="1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2193C1A2" w14:textId="77777777" w:rsidR="00D5438C" w:rsidRPr="009A63E2" w:rsidRDefault="00D5438C" w:rsidP="00115C14">
            <w:pPr>
              <w:keepLines/>
              <w:jc w:val="center"/>
              <w:rPr>
                <w:rFonts w:ascii="Arial Narrow" w:hAnsi="Arial Narrow"/>
                <w:iCs/>
                <w:sz w:val="18"/>
                <w:szCs w:val="18"/>
              </w:rPr>
            </w:pPr>
            <w:r w:rsidRPr="009A63E2">
              <w:rPr>
                <w:rFonts w:ascii="Arial Narrow" w:hAnsi="Arial Narrow"/>
                <w:iCs/>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C78347A" w14:textId="68F0911C" w:rsidR="00D5438C" w:rsidRPr="001711AA" w:rsidRDefault="001711AA" w:rsidP="00115C14">
            <w:pPr>
              <w:keepLines/>
              <w:jc w:val="center"/>
              <w:rPr>
                <w:rFonts w:ascii="Arial Narrow" w:hAnsi="Arial Narrow"/>
                <w:i/>
                <w:iCs/>
                <w:sz w:val="18"/>
                <w:szCs w:val="18"/>
              </w:rPr>
            </w:pPr>
            <w:r w:rsidRPr="001711AA">
              <w:rPr>
                <w:rFonts w:ascii="Arial Narrow" w:hAnsi="Arial Narrow"/>
                <w:iCs/>
                <w:sz w:val="18"/>
                <w:szCs w:val="18"/>
              </w:rPr>
              <w:t>2</w:t>
            </w:r>
          </w:p>
        </w:tc>
        <w:tc>
          <w:tcPr>
            <w:tcW w:w="1880" w:type="dxa"/>
            <w:tcBorders>
              <w:top w:val="single" w:sz="4" w:space="0" w:color="auto"/>
              <w:left w:val="single" w:sz="4" w:space="0" w:color="auto"/>
              <w:bottom w:val="single" w:sz="4" w:space="0" w:color="auto"/>
              <w:right w:val="single" w:sz="4" w:space="0" w:color="auto"/>
            </w:tcBorders>
            <w:vAlign w:val="center"/>
            <w:hideMark/>
          </w:tcPr>
          <w:p w14:paraId="6A81F0E1" w14:textId="77777777" w:rsidR="00D5438C" w:rsidRPr="009A63E2" w:rsidRDefault="00D5438C" w:rsidP="00115C14">
            <w:pPr>
              <w:keepLines/>
              <w:jc w:val="center"/>
              <w:rPr>
                <w:rFonts w:ascii="Arial Narrow" w:eastAsiaTheme="majorEastAsia" w:hAnsi="Arial Narrow" w:cstheme="majorBidi"/>
                <w:bCs/>
                <w:iCs/>
                <w:sz w:val="18"/>
                <w:szCs w:val="18"/>
              </w:rPr>
            </w:pPr>
            <w:r w:rsidRPr="009A63E2">
              <w:rPr>
                <w:rFonts w:ascii="Arial Narrow" w:eastAsiaTheme="majorEastAsia" w:hAnsi="Arial Narrow" w:cstheme="majorBidi"/>
                <w:bCs/>
                <w:iCs/>
                <w:sz w:val="18"/>
                <w:szCs w:val="18"/>
              </w:rPr>
              <w:t>Vabysmo</w:t>
            </w:r>
          </w:p>
        </w:tc>
      </w:tr>
      <w:tr w:rsidR="00D5438C" w:rsidRPr="009A63E2" w14:paraId="33354DA1" w14:textId="77777777" w:rsidTr="00115C14">
        <w:trPr>
          <w:cantSplit/>
          <w:trHeight w:val="20"/>
        </w:trPr>
        <w:tc>
          <w:tcPr>
            <w:tcW w:w="3937" w:type="dxa"/>
            <w:gridSpan w:val="2"/>
            <w:tcBorders>
              <w:top w:val="single" w:sz="4" w:space="0" w:color="auto"/>
              <w:left w:val="single" w:sz="4" w:space="0" w:color="auto"/>
              <w:bottom w:val="single" w:sz="4" w:space="0" w:color="auto"/>
              <w:right w:val="single" w:sz="4" w:space="0" w:color="auto"/>
            </w:tcBorders>
            <w:vAlign w:val="center"/>
            <w:hideMark/>
          </w:tcPr>
          <w:p w14:paraId="03F12F1F" w14:textId="77777777" w:rsidR="00D5438C" w:rsidRPr="009A63E2" w:rsidRDefault="00D5438C" w:rsidP="00115C14">
            <w:pPr>
              <w:keepLines/>
              <w:rPr>
                <w:rFonts w:ascii="Arial Narrow" w:hAnsi="Arial Narrow"/>
                <w:iCs/>
                <w:sz w:val="18"/>
                <w:szCs w:val="18"/>
              </w:rPr>
            </w:pPr>
            <w:r w:rsidRPr="009A63E2">
              <w:rPr>
                <w:rFonts w:ascii="Arial Narrow" w:hAnsi="Arial Narrow"/>
                <w:iCs/>
                <w:sz w:val="18"/>
                <w:szCs w:val="18"/>
              </w:rPr>
              <w:t>faricimab 24.0 mg / 0.2 mL solution for injection, pre-filled syringe</w:t>
            </w:r>
          </w:p>
        </w:tc>
        <w:tc>
          <w:tcPr>
            <w:tcW w:w="811" w:type="dxa"/>
            <w:tcBorders>
              <w:top w:val="single" w:sz="4" w:space="0" w:color="auto"/>
              <w:left w:val="single" w:sz="4" w:space="0" w:color="auto"/>
              <w:bottom w:val="single" w:sz="4" w:space="0" w:color="auto"/>
              <w:right w:val="single" w:sz="4" w:space="0" w:color="auto"/>
            </w:tcBorders>
            <w:vAlign w:val="center"/>
            <w:hideMark/>
          </w:tcPr>
          <w:p w14:paraId="56A968D0" w14:textId="77777777" w:rsidR="00D5438C" w:rsidRPr="009A63E2" w:rsidRDefault="00D5438C" w:rsidP="00115C14">
            <w:pPr>
              <w:keepLines/>
              <w:jc w:val="center"/>
              <w:rPr>
                <w:rFonts w:ascii="Arial Narrow" w:hAnsi="Arial Narrow"/>
                <w:i/>
                <w:iCs/>
                <w:sz w:val="18"/>
                <w:szCs w:val="18"/>
              </w:rPr>
            </w:pPr>
            <w:r w:rsidRPr="009A63E2">
              <w:rPr>
                <w:rFonts w:ascii="Arial Narrow" w:hAnsi="Arial Narrow"/>
                <w:i/>
                <w:iCs/>
                <w:sz w:val="18"/>
                <w:szCs w:val="18"/>
              </w:rPr>
              <w:t>NEW</w:t>
            </w:r>
          </w:p>
        </w:tc>
        <w:tc>
          <w:tcPr>
            <w:tcW w:w="811" w:type="dxa"/>
            <w:tcBorders>
              <w:top w:val="single" w:sz="4" w:space="0" w:color="auto"/>
              <w:left w:val="single" w:sz="4" w:space="0" w:color="auto"/>
              <w:bottom w:val="single" w:sz="4" w:space="0" w:color="auto"/>
              <w:right w:val="single" w:sz="4" w:space="0" w:color="auto"/>
            </w:tcBorders>
            <w:vAlign w:val="center"/>
            <w:hideMark/>
          </w:tcPr>
          <w:p w14:paraId="3C26E860" w14:textId="77777777" w:rsidR="00D5438C" w:rsidRPr="009A63E2" w:rsidRDefault="00D5438C" w:rsidP="00115C14">
            <w:pPr>
              <w:keepLines/>
              <w:jc w:val="center"/>
              <w:rPr>
                <w:rFonts w:ascii="Arial Narrow" w:hAnsi="Arial Narrow"/>
                <w:iCs/>
                <w:sz w:val="18"/>
                <w:szCs w:val="18"/>
              </w:rPr>
            </w:pPr>
            <w:r w:rsidRPr="009A63E2">
              <w:rPr>
                <w:rFonts w:ascii="Arial Narrow" w:hAnsi="Arial Narrow"/>
                <w:iCs/>
                <w:sz w:val="18"/>
                <w:szCs w:val="18"/>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3BAD8B88" w14:textId="77777777" w:rsidR="00D5438C" w:rsidRPr="009A63E2" w:rsidRDefault="00D5438C" w:rsidP="00115C14">
            <w:pPr>
              <w:keepLines/>
              <w:jc w:val="center"/>
              <w:rPr>
                <w:rFonts w:ascii="Arial Narrow" w:hAnsi="Arial Narrow"/>
                <w:iCs/>
                <w:sz w:val="18"/>
                <w:szCs w:val="18"/>
              </w:rPr>
            </w:pPr>
            <w:r w:rsidRPr="009A63E2">
              <w:rPr>
                <w:rFonts w:ascii="Arial Narrow" w:hAnsi="Arial Narrow"/>
                <w:iCs/>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0BCEC663" w14:textId="0F905C14" w:rsidR="00D5438C" w:rsidRPr="001711AA" w:rsidRDefault="001711AA" w:rsidP="001711AA">
            <w:pPr>
              <w:keepLines/>
              <w:jc w:val="center"/>
              <w:rPr>
                <w:rFonts w:ascii="Arial Narrow" w:hAnsi="Arial Narrow"/>
                <w:i/>
                <w:iCs/>
                <w:sz w:val="18"/>
                <w:szCs w:val="18"/>
              </w:rPr>
            </w:pPr>
            <w:r w:rsidRPr="001711AA">
              <w:rPr>
                <w:rFonts w:ascii="Arial Narrow" w:hAnsi="Arial Narrow"/>
                <w:iCs/>
                <w:sz w:val="18"/>
                <w:szCs w:val="18"/>
              </w:rPr>
              <w:t>2</w:t>
            </w:r>
          </w:p>
        </w:tc>
        <w:tc>
          <w:tcPr>
            <w:tcW w:w="1880" w:type="dxa"/>
            <w:tcBorders>
              <w:top w:val="single" w:sz="4" w:space="0" w:color="auto"/>
              <w:left w:val="single" w:sz="4" w:space="0" w:color="auto"/>
              <w:bottom w:val="single" w:sz="4" w:space="0" w:color="auto"/>
              <w:right w:val="single" w:sz="4" w:space="0" w:color="auto"/>
            </w:tcBorders>
            <w:vAlign w:val="center"/>
            <w:hideMark/>
          </w:tcPr>
          <w:p w14:paraId="169D7F9C" w14:textId="77777777" w:rsidR="00D5438C" w:rsidRPr="009A63E2" w:rsidRDefault="00D5438C" w:rsidP="00115C14">
            <w:pPr>
              <w:keepLines/>
              <w:jc w:val="center"/>
              <w:rPr>
                <w:rFonts w:ascii="Arial Narrow" w:eastAsiaTheme="majorEastAsia" w:hAnsi="Arial Narrow" w:cstheme="majorBidi"/>
                <w:bCs/>
                <w:iCs/>
                <w:sz w:val="18"/>
                <w:szCs w:val="18"/>
              </w:rPr>
            </w:pPr>
            <w:r w:rsidRPr="009A63E2">
              <w:rPr>
                <w:rFonts w:ascii="Arial Narrow" w:eastAsiaTheme="majorEastAsia" w:hAnsi="Arial Narrow" w:cstheme="majorBidi"/>
                <w:bCs/>
                <w:iCs/>
                <w:sz w:val="18"/>
                <w:szCs w:val="18"/>
              </w:rPr>
              <w:t>Vabysmo</w:t>
            </w:r>
          </w:p>
        </w:tc>
      </w:tr>
      <w:tr w:rsidR="00D5438C" w:rsidRPr="009A63E2" w14:paraId="7231FEE8" w14:textId="77777777" w:rsidTr="00115C14">
        <w:trPr>
          <w:trHeight w:val="20"/>
        </w:trPr>
        <w:tc>
          <w:tcPr>
            <w:tcW w:w="9060"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EFD7AE" w14:textId="77777777" w:rsidR="00D5438C" w:rsidRPr="009A63E2" w:rsidRDefault="00D5438C" w:rsidP="00115C14">
            <w:pPr>
              <w:rPr>
                <w:rFonts w:ascii="Arial Narrow" w:hAnsi="Arial Narrow"/>
                <w:sz w:val="18"/>
                <w:szCs w:val="18"/>
              </w:rPr>
            </w:pPr>
          </w:p>
        </w:tc>
      </w:tr>
      <w:tr w:rsidR="00D5438C" w:rsidRPr="009A63E2" w14:paraId="1C238AC1" w14:textId="77777777" w:rsidTr="00115C14">
        <w:trPr>
          <w:cantSplit/>
          <w:trHeight w:val="20"/>
        </w:trPr>
        <w:tc>
          <w:tcPr>
            <w:tcW w:w="127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CA531E" w14:textId="0583E2CF"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E3904D" w14:textId="77777777" w:rsidR="00D5438C" w:rsidRPr="009A63E2" w:rsidRDefault="00D5438C" w:rsidP="00115C14">
            <w:pPr>
              <w:rPr>
                <w:rFonts w:ascii="Arial Narrow" w:hAnsi="Arial Narrow"/>
                <w:b/>
                <w:bCs/>
                <w:sz w:val="18"/>
                <w:szCs w:val="18"/>
              </w:rPr>
            </w:pPr>
            <w:r w:rsidRPr="009A63E2">
              <w:rPr>
                <w:rFonts w:ascii="Arial Narrow" w:hAnsi="Arial Narrow"/>
                <w:b/>
                <w:sz w:val="18"/>
                <w:szCs w:val="18"/>
              </w:rPr>
              <w:t xml:space="preserve">Category / Program: </w:t>
            </w:r>
            <w:r w:rsidRPr="009A63E2">
              <w:rPr>
                <w:rFonts w:ascii="Arial Narrow" w:hAnsi="Arial Narrow"/>
                <w:sz w:val="18"/>
                <w:szCs w:val="18"/>
              </w:rPr>
              <w:t>GENERAL – General Schedule (Code GE)</w:t>
            </w:r>
          </w:p>
        </w:tc>
      </w:tr>
      <w:tr w:rsidR="00D5438C" w:rsidRPr="009A63E2" w14:paraId="2C6E8F8C" w14:textId="77777777" w:rsidTr="00115C14">
        <w:trPr>
          <w:cantSplit/>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A8ECB1C" w14:textId="77777777" w:rsidR="00D5438C" w:rsidRPr="009A63E2" w:rsidRDefault="00D5438C" w:rsidP="00115C14">
            <w:pP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3129F1A" w14:textId="77777777" w:rsidR="00D5438C" w:rsidRPr="009A63E2" w:rsidRDefault="00D5438C" w:rsidP="00115C14">
            <w:pPr>
              <w:rPr>
                <w:rFonts w:ascii="Arial Narrow" w:hAnsi="Arial Narrow"/>
                <w:b/>
                <w:bCs/>
                <w:sz w:val="18"/>
                <w:szCs w:val="18"/>
              </w:rPr>
            </w:pPr>
            <w:r w:rsidRPr="009A63E2">
              <w:rPr>
                <w:rFonts w:ascii="Arial Narrow" w:hAnsi="Arial Narrow"/>
                <w:b/>
                <w:sz w:val="18"/>
                <w:szCs w:val="18"/>
              </w:rPr>
              <w:t xml:space="preserve">Prescriber type: </w:t>
            </w:r>
            <w:r w:rsidRPr="009A63E2">
              <w:rPr>
                <w:rFonts w:ascii="Arial Narrow" w:hAnsi="Arial Narrow"/>
                <w:sz w:val="18"/>
                <w:szCs w:val="18"/>
              </w:rPr>
              <w:fldChar w:fldCharType="begin">
                <w:ffData>
                  <w:name w:val=""/>
                  <w:enabled/>
                  <w:calcOnExit w:val="0"/>
                  <w:checkBox>
                    <w:sizeAuto/>
                    <w:default w:val="1"/>
                  </w:checkBox>
                </w:ffData>
              </w:fldChar>
            </w:r>
            <w:r w:rsidRPr="009A63E2">
              <w:rPr>
                <w:rFonts w:ascii="Arial Narrow" w:hAnsi="Arial Narrow"/>
                <w:sz w:val="18"/>
                <w:szCs w:val="18"/>
              </w:rPr>
              <w:instrText xml:space="preserve"> FORMCHECKBOX </w:instrText>
            </w:r>
            <w:r w:rsidR="00786949">
              <w:rPr>
                <w:rFonts w:ascii="Arial Narrow" w:hAnsi="Arial Narrow"/>
                <w:sz w:val="18"/>
                <w:szCs w:val="18"/>
              </w:rPr>
            </w:r>
            <w:r w:rsidR="00786949">
              <w:rPr>
                <w:rFonts w:ascii="Arial Narrow" w:hAnsi="Arial Narrow"/>
                <w:sz w:val="18"/>
                <w:szCs w:val="18"/>
              </w:rPr>
              <w:fldChar w:fldCharType="separate"/>
            </w:r>
            <w:r w:rsidRPr="009A63E2">
              <w:rPr>
                <w:rFonts w:ascii="Arial Narrow" w:hAnsi="Arial Narrow"/>
                <w:sz w:val="18"/>
                <w:szCs w:val="18"/>
              </w:rPr>
              <w:fldChar w:fldCharType="end"/>
            </w:r>
            <w:r w:rsidRPr="009A63E2">
              <w:rPr>
                <w:rFonts w:ascii="Arial Narrow" w:hAnsi="Arial Narrow"/>
                <w:sz w:val="18"/>
                <w:szCs w:val="18"/>
              </w:rPr>
              <w:t>Medical</w:t>
            </w:r>
          </w:p>
        </w:tc>
      </w:tr>
      <w:tr w:rsidR="00D5438C" w:rsidRPr="009A63E2" w14:paraId="200D42EB" w14:textId="77777777" w:rsidTr="00115C14">
        <w:trPr>
          <w:cantSplit/>
          <w:trHeight w:val="2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885C54D" w14:textId="77777777" w:rsidR="00D5438C" w:rsidRPr="009A63E2" w:rsidRDefault="00D5438C" w:rsidP="00115C14">
            <w:pP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EEF3D7" w14:textId="5BEA4DD7" w:rsidR="00D5438C" w:rsidRPr="009A63E2" w:rsidRDefault="00D5438C" w:rsidP="001711AA">
            <w:pPr>
              <w:rPr>
                <w:rFonts w:ascii="Arial Narrow" w:hAnsi="Arial Narrow"/>
                <w:b/>
                <w:bCs/>
                <w:sz w:val="18"/>
                <w:szCs w:val="18"/>
              </w:rPr>
            </w:pPr>
            <w:r w:rsidRPr="009A63E2">
              <w:rPr>
                <w:rFonts w:ascii="Arial Narrow" w:hAnsi="Arial Narrow"/>
                <w:b/>
                <w:sz w:val="18"/>
                <w:szCs w:val="18"/>
              </w:rPr>
              <w:t xml:space="preserve">Restriction type: </w:t>
            </w:r>
            <w:r w:rsidRPr="009A63E2">
              <w:rPr>
                <w:rFonts w:ascii="Arial Narrow" w:eastAsia="Calibri" w:hAnsi="Arial Narrow"/>
                <w:sz w:val="18"/>
                <w:szCs w:val="18"/>
              </w:rPr>
              <w:fldChar w:fldCharType="begin">
                <w:ffData>
                  <w:name w:val=""/>
                  <w:enabled/>
                  <w:calcOnExit w:val="0"/>
                  <w:checkBox>
                    <w:sizeAuto/>
                    <w:default w:val="1"/>
                  </w:checkBox>
                </w:ffData>
              </w:fldChar>
            </w:r>
            <w:r w:rsidRPr="009A63E2">
              <w:rPr>
                <w:rFonts w:ascii="Arial Narrow" w:eastAsia="Calibri" w:hAnsi="Arial Narrow"/>
                <w:sz w:val="18"/>
                <w:szCs w:val="18"/>
              </w:rPr>
              <w:instrText xml:space="preserve"> FORMCHECKBOX </w:instrText>
            </w:r>
            <w:r w:rsidR="00786949">
              <w:rPr>
                <w:rFonts w:ascii="Arial Narrow" w:eastAsia="Calibri" w:hAnsi="Arial Narrow"/>
                <w:sz w:val="18"/>
                <w:szCs w:val="18"/>
              </w:rPr>
            </w:r>
            <w:r w:rsidR="00786949">
              <w:rPr>
                <w:rFonts w:ascii="Arial Narrow" w:eastAsia="Calibri" w:hAnsi="Arial Narrow"/>
                <w:sz w:val="18"/>
                <w:szCs w:val="18"/>
              </w:rPr>
              <w:fldChar w:fldCharType="separate"/>
            </w:r>
            <w:r w:rsidRPr="009A63E2">
              <w:rPr>
                <w:rFonts w:ascii="Arial Narrow" w:eastAsia="Calibri" w:hAnsi="Arial Narrow"/>
                <w:sz w:val="18"/>
                <w:szCs w:val="18"/>
              </w:rPr>
              <w:fldChar w:fldCharType="end"/>
            </w:r>
            <w:r w:rsidRPr="009A63E2">
              <w:rPr>
                <w:rFonts w:ascii="Arial Narrow" w:eastAsia="Calibri" w:hAnsi="Arial Narrow"/>
                <w:sz w:val="18"/>
                <w:szCs w:val="18"/>
              </w:rPr>
              <w:t xml:space="preserve">Authority Required – </w:t>
            </w:r>
            <w:r w:rsidRPr="001711AA">
              <w:rPr>
                <w:rFonts w:ascii="Arial Narrow" w:eastAsia="Calibri" w:hAnsi="Arial Narrow"/>
                <w:iCs/>
                <w:sz w:val="18"/>
                <w:szCs w:val="18"/>
              </w:rPr>
              <w:t>(STREAMLINED)</w:t>
            </w:r>
            <w:r w:rsidRPr="009A63E2">
              <w:rPr>
                <w:rFonts w:ascii="Arial Narrow" w:eastAsia="Calibri" w:hAnsi="Arial Narrow"/>
                <w:i/>
                <w:iCs/>
                <w:sz w:val="18"/>
                <w:szCs w:val="18"/>
              </w:rPr>
              <w:t xml:space="preserve"> </w:t>
            </w:r>
          </w:p>
        </w:tc>
      </w:tr>
      <w:tr w:rsidR="00D5438C" w:rsidRPr="009A63E2" w14:paraId="41BEECB7"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7CCF39C" w14:textId="2FA0C258"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AA7107" w14:textId="77777777" w:rsidR="00D5438C" w:rsidRPr="009A63E2" w:rsidRDefault="00D5438C" w:rsidP="00115C14">
            <w:pPr>
              <w:rPr>
                <w:rFonts w:ascii="Arial Narrow" w:hAnsi="Arial Narrow"/>
                <w:b/>
                <w:bCs/>
                <w:sz w:val="18"/>
                <w:szCs w:val="18"/>
              </w:rPr>
            </w:pPr>
            <w:r w:rsidRPr="009A63E2">
              <w:rPr>
                <w:rFonts w:ascii="Arial Narrow" w:hAnsi="Arial Narrow"/>
                <w:b/>
                <w:bCs/>
                <w:sz w:val="18"/>
                <w:szCs w:val="18"/>
              </w:rPr>
              <w:t>Indication:</w:t>
            </w:r>
            <w:r w:rsidRPr="009A63E2">
              <w:rPr>
                <w:rFonts w:ascii="Arial Narrow" w:hAnsi="Arial Narrow"/>
                <w:sz w:val="18"/>
                <w:szCs w:val="18"/>
              </w:rPr>
              <w:t xml:space="preserve"> </w:t>
            </w:r>
            <w:r w:rsidRPr="009A63E2">
              <w:rPr>
                <w:rFonts w:ascii="Arial Narrow" w:eastAsia="Calibri" w:hAnsi="Arial Narrow"/>
                <w:sz w:val="18"/>
                <w:szCs w:val="18"/>
              </w:rPr>
              <w:t>Subfoveal choroidal neovascularisation (CNV)</w:t>
            </w:r>
          </w:p>
        </w:tc>
      </w:tr>
      <w:tr w:rsidR="00D5438C" w:rsidRPr="009A63E2" w14:paraId="594AAA77"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8BF3C8" w14:textId="77777777"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8142E8E" w14:textId="77777777" w:rsidR="00D5438C" w:rsidRPr="009A63E2" w:rsidRDefault="00D5438C" w:rsidP="00115C14">
            <w:pPr>
              <w:rPr>
                <w:rFonts w:ascii="Arial Narrow" w:hAnsi="Arial Narrow"/>
                <w:b/>
                <w:bCs/>
                <w:i/>
                <w:iCs/>
                <w:sz w:val="18"/>
                <w:szCs w:val="18"/>
              </w:rPr>
            </w:pPr>
            <w:r w:rsidRPr="009A63E2">
              <w:rPr>
                <w:rFonts w:ascii="Arial Narrow" w:hAnsi="Arial Narrow"/>
                <w:b/>
                <w:bCs/>
                <w:sz w:val="18"/>
                <w:szCs w:val="18"/>
              </w:rPr>
              <w:t xml:space="preserve">Treatment Phase: </w:t>
            </w:r>
            <w:r w:rsidRPr="009A63E2">
              <w:rPr>
                <w:rFonts w:ascii="Arial Narrow" w:hAnsi="Arial Narrow"/>
                <w:sz w:val="18"/>
                <w:szCs w:val="18"/>
              </w:rPr>
              <w:t>Continuing treatment</w:t>
            </w:r>
          </w:p>
        </w:tc>
      </w:tr>
      <w:tr w:rsidR="00D5438C" w:rsidRPr="009A63E2" w14:paraId="7CEB9F11"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7A8FDE" w14:textId="454C64B6"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8EDFC10" w14:textId="77777777" w:rsidR="00D5438C" w:rsidRPr="009A63E2" w:rsidRDefault="00D5438C" w:rsidP="00115C14">
            <w:pPr>
              <w:rPr>
                <w:rFonts w:ascii="Arial Narrow" w:hAnsi="Arial Narrow"/>
                <w:b/>
                <w:bCs/>
                <w:sz w:val="18"/>
                <w:szCs w:val="18"/>
              </w:rPr>
            </w:pPr>
            <w:r w:rsidRPr="009A63E2">
              <w:rPr>
                <w:rFonts w:ascii="Arial Narrow" w:hAnsi="Arial Narrow"/>
                <w:b/>
                <w:bCs/>
                <w:sz w:val="18"/>
                <w:szCs w:val="18"/>
              </w:rPr>
              <w:t>Treatment criteria:</w:t>
            </w:r>
          </w:p>
        </w:tc>
      </w:tr>
      <w:tr w:rsidR="00D5438C" w:rsidRPr="009A63E2" w14:paraId="022C252A"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6424449" w14:textId="1EC0838B"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742A120" w14:textId="77777777" w:rsidR="00D5438C" w:rsidRPr="009A63E2" w:rsidRDefault="00D5438C" w:rsidP="00115C14">
            <w:pPr>
              <w:rPr>
                <w:rFonts w:ascii="Arial Narrow" w:hAnsi="Arial Narrow"/>
                <w:b/>
                <w:bCs/>
                <w:sz w:val="18"/>
                <w:szCs w:val="18"/>
              </w:rPr>
            </w:pPr>
            <w:r w:rsidRPr="009A63E2">
              <w:rPr>
                <w:rFonts w:ascii="Arial Narrow" w:hAnsi="Arial Narrow"/>
                <w:sz w:val="18"/>
                <w:szCs w:val="18"/>
              </w:rPr>
              <w:t>Must be treated by an ophthalmologist or by an accredited ophthalmology registrar in consultation with an ophthalmologist</w:t>
            </w:r>
          </w:p>
        </w:tc>
      </w:tr>
      <w:tr w:rsidR="00D5438C" w:rsidRPr="009A63E2" w14:paraId="4EC73E3A"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9A7C3E" w14:textId="77777777"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B9D5B60" w14:textId="77777777" w:rsidR="00D5438C" w:rsidRPr="009A63E2" w:rsidRDefault="00D5438C" w:rsidP="00115C14">
            <w:pPr>
              <w:rPr>
                <w:rFonts w:ascii="Arial Narrow" w:hAnsi="Arial Narrow"/>
                <w:sz w:val="18"/>
                <w:szCs w:val="18"/>
              </w:rPr>
            </w:pPr>
            <w:r w:rsidRPr="009A63E2">
              <w:rPr>
                <w:rFonts w:ascii="Arial Narrow" w:hAnsi="Arial Narrow"/>
                <w:b/>
                <w:bCs/>
                <w:sz w:val="18"/>
                <w:szCs w:val="18"/>
              </w:rPr>
              <w:t>AND</w:t>
            </w:r>
          </w:p>
        </w:tc>
      </w:tr>
      <w:tr w:rsidR="00D5438C" w:rsidRPr="009A63E2" w14:paraId="3D6549AD"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AB146E" w14:textId="5A8334C6"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3BA63D" w14:textId="77777777" w:rsidR="00D5438C" w:rsidRPr="009A63E2" w:rsidRDefault="00D5438C" w:rsidP="00115C14">
            <w:pPr>
              <w:rPr>
                <w:rFonts w:ascii="Arial Narrow" w:hAnsi="Arial Narrow"/>
                <w:b/>
                <w:bCs/>
                <w:sz w:val="18"/>
                <w:szCs w:val="18"/>
              </w:rPr>
            </w:pPr>
            <w:r w:rsidRPr="009A63E2">
              <w:rPr>
                <w:rFonts w:ascii="Arial Narrow" w:hAnsi="Arial Narrow"/>
                <w:b/>
                <w:sz w:val="18"/>
                <w:szCs w:val="18"/>
              </w:rPr>
              <w:t>Clinical criteria:</w:t>
            </w:r>
            <w:r w:rsidRPr="009A63E2">
              <w:rPr>
                <w:rFonts w:ascii="Arial Narrow" w:hAnsi="Arial Narrow"/>
                <w:sz w:val="18"/>
                <w:szCs w:val="18"/>
              </w:rPr>
              <w:t xml:space="preserve"> </w:t>
            </w:r>
          </w:p>
        </w:tc>
      </w:tr>
      <w:tr w:rsidR="00D5438C" w:rsidRPr="009A63E2" w14:paraId="6A4A0176"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C851AE" w14:textId="768C827E"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F26644" w14:textId="77777777" w:rsidR="00D5438C" w:rsidRPr="009A63E2" w:rsidRDefault="00D5438C" w:rsidP="00115C14">
            <w:pPr>
              <w:rPr>
                <w:rFonts w:ascii="Arial Narrow" w:hAnsi="Arial Narrow"/>
                <w:b/>
                <w:bCs/>
                <w:sz w:val="18"/>
                <w:szCs w:val="18"/>
              </w:rPr>
            </w:pPr>
            <w:r w:rsidRPr="009A63E2">
              <w:rPr>
                <w:rFonts w:ascii="Arial Narrow" w:hAnsi="Arial Narrow"/>
                <w:sz w:val="18"/>
                <w:szCs w:val="18"/>
              </w:rPr>
              <w:t>The condition must be due to age-related macular degeneration (AMD)</w:t>
            </w:r>
          </w:p>
        </w:tc>
      </w:tr>
      <w:tr w:rsidR="00D5438C" w:rsidRPr="009A63E2" w14:paraId="138CCFDE"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270600" w14:textId="77777777"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1E0AAF" w14:textId="77777777" w:rsidR="00D5438C" w:rsidRPr="009A63E2" w:rsidRDefault="00D5438C" w:rsidP="00115C14">
            <w:pPr>
              <w:rPr>
                <w:rFonts w:ascii="Arial Narrow" w:hAnsi="Arial Narrow"/>
                <w:b/>
                <w:bCs/>
                <w:sz w:val="18"/>
                <w:szCs w:val="18"/>
              </w:rPr>
            </w:pPr>
            <w:r w:rsidRPr="009A63E2">
              <w:rPr>
                <w:rFonts w:ascii="Arial Narrow" w:hAnsi="Arial Narrow"/>
                <w:b/>
                <w:bCs/>
                <w:sz w:val="18"/>
                <w:szCs w:val="18"/>
              </w:rPr>
              <w:t>AND</w:t>
            </w:r>
          </w:p>
        </w:tc>
      </w:tr>
      <w:tr w:rsidR="00D5438C" w:rsidRPr="009A63E2" w14:paraId="30402E40"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C0F2788" w14:textId="07771191"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6C4282" w14:textId="77777777" w:rsidR="00D5438C" w:rsidRPr="009A63E2" w:rsidRDefault="00D5438C" w:rsidP="00115C14">
            <w:pPr>
              <w:rPr>
                <w:rFonts w:ascii="Arial Narrow" w:hAnsi="Arial Narrow"/>
                <w:b/>
                <w:bCs/>
                <w:sz w:val="18"/>
                <w:szCs w:val="18"/>
              </w:rPr>
            </w:pPr>
            <w:r w:rsidRPr="009A63E2">
              <w:rPr>
                <w:rFonts w:ascii="Arial Narrow" w:hAnsi="Arial Narrow"/>
                <w:b/>
                <w:bCs/>
                <w:sz w:val="18"/>
                <w:szCs w:val="18"/>
              </w:rPr>
              <w:t>Clinical criteria:</w:t>
            </w:r>
            <w:r w:rsidRPr="009A63E2">
              <w:rPr>
                <w:rFonts w:ascii="Arial Narrow" w:hAnsi="Arial Narrow"/>
                <w:sz w:val="18"/>
                <w:szCs w:val="18"/>
              </w:rPr>
              <w:t xml:space="preserve"> </w:t>
            </w:r>
          </w:p>
        </w:tc>
      </w:tr>
      <w:tr w:rsidR="00D5438C" w:rsidRPr="009A63E2" w14:paraId="57A5D61F"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3B097E" w14:textId="7DE98977"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E8021C" w14:textId="77777777" w:rsidR="00D5438C" w:rsidRPr="009A63E2" w:rsidRDefault="00D5438C" w:rsidP="00115C14">
            <w:pPr>
              <w:rPr>
                <w:rFonts w:ascii="Arial Narrow" w:hAnsi="Arial Narrow"/>
                <w:b/>
                <w:bCs/>
                <w:sz w:val="18"/>
                <w:szCs w:val="18"/>
              </w:rPr>
            </w:pPr>
            <w:r w:rsidRPr="009A63E2">
              <w:rPr>
                <w:rFonts w:ascii="Arial Narrow" w:hAnsi="Arial Narrow"/>
                <w:sz w:val="18"/>
                <w:szCs w:val="18"/>
              </w:rPr>
              <w:t>The treatment must be the sole PBS-subsidised therapy for this condition</w:t>
            </w:r>
          </w:p>
        </w:tc>
      </w:tr>
      <w:tr w:rsidR="00D5438C" w:rsidRPr="009A63E2" w14:paraId="2CACCD41"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1436F6" w14:textId="77777777"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8D2AB8" w14:textId="77777777" w:rsidR="00D5438C" w:rsidRPr="009A63E2" w:rsidRDefault="00D5438C" w:rsidP="00115C14">
            <w:pPr>
              <w:rPr>
                <w:rFonts w:ascii="Arial Narrow" w:hAnsi="Arial Narrow"/>
                <w:b/>
                <w:bCs/>
                <w:sz w:val="18"/>
                <w:szCs w:val="18"/>
              </w:rPr>
            </w:pPr>
            <w:r w:rsidRPr="009A63E2">
              <w:rPr>
                <w:rFonts w:ascii="Arial Narrow" w:hAnsi="Arial Narrow"/>
                <w:b/>
                <w:bCs/>
                <w:sz w:val="18"/>
                <w:szCs w:val="18"/>
              </w:rPr>
              <w:t>AND</w:t>
            </w:r>
          </w:p>
        </w:tc>
      </w:tr>
      <w:tr w:rsidR="00D5438C" w:rsidRPr="009A63E2" w14:paraId="7C2899C9"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C4B0C8D" w14:textId="034B975D"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2D8A89" w14:textId="77777777" w:rsidR="00D5438C" w:rsidRPr="009A63E2" w:rsidRDefault="00D5438C" w:rsidP="00115C14">
            <w:pPr>
              <w:rPr>
                <w:rFonts w:ascii="Arial Narrow" w:hAnsi="Arial Narrow"/>
                <w:b/>
                <w:bCs/>
                <w:sz w:val="18"/>
                <w:szCs w:val="18"/>
              </w:rPr>
            </w:pPr>
            <w:r w:rsidRPr="009A63E2">
              <w:rPr>
                <w:rFonts w:ascii="Arial Narrow" w:hAnsi="Arial Narrow"/>
                <w:b/>
                <w:bCs/>
                <w:sz w:val="18"/>
                <w:szCs w:val="18"/>
              </w:rPr>
              <w:t>Clinical criteria:</w:t>
            </w:r>
          </w:p>
        </w:tc>
      </w:tr>
      <w:tr w:rsidR="00D5438C" w:rsidRPr="009A63E2" w14:paraId="03A02969"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CA0A310" w14:textId="05FA8B74" w:rsidR="00D5438C" w:rsidRPr="009A63E2" w:rsidRDefault="00D5438C" w:rsidP="00115C14">
            <w:pPr>
              <w:jc w:val="center"/>
              <w:rPr>
                <w:rFonts w:ascii="Arial Narrow" w:hAnsi="Arial Narrow"/>
                <w:sz w:val="18"/>
                <w:szCs w:val="18"/>
              </w:rPr>
            </w:pPr>
          </w:p>
        </w:tc>
        <w:tc>
          <w:tcPr>
            <w:tcW w:w="778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99C7E24" w14:textId="77777777" w:rsidR="00D5438C" w:rsidRPr="009A63E2" w:rsidRDefault="00D5438C" w:rsidP="00115C14">
            <w:pPr>
              <w:rPr>
                <w:rFonts w:ascii="Arial Narrow" w:hAnsi="Arial Narrow"/>
                <w:b/>
                <w:bCs/>
                <w:sz w:val="18"/>
                <w:szCs w:val="18"/>
              </w:rPr>
            </w:pPr>
            <w:r w:rsidRPr="009A63E2">
              <w:rPr>
                <w:rFonts w:ascii="Arial Narrow" w:hAnsi="Arial Narrow"/>
                <w:sz w:val="18"/>
                <w:szCs w:val="18"/>
              </w:rPr>
              <w:t>Patient must have previously been granted an authority prescription for the same eye</w:t>
            </w:r>
          </w:p>
        </w:tc>
      </w:tr>
    </w:tbl>
    <w:p w14:paraId="535FA59B" w14:textId="77777777" w:rsidR="00D5438C" w:rsidRPr="009A63E2" w:rsidRDefault="00D5438C" w:rsidP="00D5438C"/>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667"/>
        <w:gridCol w:w="810"/>
        <w:gridCol w:w="811"/>
        <w:gridCol w:w="810"/>
        <w:gridCol w:w="811"/>
        <w:gridCol w:w="1880"/>
      </w:tblGrid>
      <w:tr w:rsidR="00D5438C" w:rsidRPr="009A63E2" w14:paraId="397F4198" w14:textId="77777777" w:rsidTr="00115C14">
        <w:trPr>
          <w:cantSplit/>
          <w:trHeight w:val="20"/>
        </w:trPr>
        <w:tc>
          <w:tcPr>
            <w:tcW w:w="3939" w:type="dxa"/>
            <w:gridSpan w:val="2"/>
            <w:tcBorders>
              <w:top w:val="single" w:sz="4" w:space="0" w:color="auto"/>
              <w:left w:val="single" w:sz="4" w:space="0" w:color="auto"/>
              <w:bottom w:val="single" w:sz="4" w:space="0" w:color="auto"/>
              <w:right w:val="single" w:sz="4" w:space="0" w:color="auto"/>
            </w:tcBorders>
            <w:vAlign w:val="center"/>
            <w:hideMark/>
          </w:tcPr>
          <w:p w14:paraId="17610A8C" w14:textId="77777777" w:rsidR="00D5438C" w:rsidRPr="009A63E2" w:rsidRDefault="00D5438C" w:rsidP="00115C14">
            <w:pPr>
              <w:keepLines/>
              <w:rPr>
                <w:rFonts w:ascii="Arial Narrow" w:hAnsi="Arial Narrow"/>
                <w:b/>
                <w:bCs/>
                <w:iCs/>
                <w:sz w:val="18"/>
                <w:szCs w:val="18"/>
              </w:rPr>
            </w:pPr>
            <w:r w:rsidRPr="009A63E2">
              <w:rPr>
                <w:rFonts w:ascii="Arial Narrow" w:hAnsi="Arial Narrow"/>
                <w:b/>
                <w:bCs/>
                <w:iCs/>
                <w:sz w:val="18"/>
                <w:szCs w:val="18"/>
              </w:rPr>
              <w:t>MEDICINAL PRODUCT</w:t>
            </w:r>
          </w:p>
          <w:p w14:paraId="00DE4B2B" w14:textId="77777777" w:rsidR="00D5438C" w:rsidRPr="009A63E2" w:rsidRDefault="00D5438C" w:rsidP="00115C14">
            <w:pPr>
              <w:keepLines/>
              <w:rPr>
                <w:rFonts w:ascii="Arial Narrow" w:hAnsi="Arial Narrow"/>
                <w:b/>
                <w:iCs/>
                <w:sz w:val="18"/>
                <w:szCs w:val="18"/>
              </w:rPr>
            </w:pPr>
            <w:r w:rsidRPr="009A63E2">
              <w:rPr>
                <w:rFonts w:ascii="Arial Narrow" w:hAnsi="Arial Narrow"/>
                <w:b/>
                <w:bCs/>
                <w:iCs/>
                <w:sz w:val="18"/>
                <w:szCs w:val="18"/>
              </w:rPr>
              <w:t>medicinal product pack</w:t>
            </w:r>
          </w:p>
        </w:tc>
        <w:tc>
          <w:tcPr>
            <w:tcW w:w="811" w:type="dxa"/>
            <w:tcBorders>
              <w:top w:val="single" w:sz="4" w:space="0" w:color="auto"/>
              <w:left w:val="single" w:sz="4" w:space="0" w:color="auto"/>
              <w:bottom w:val="single" w:sz="4" w:space="0" w:color="auto"/>
              <w:right w:val="single" w:sz="4" w:space="0" w:color="auto"/>
            </w:tcBorders>
            <w:vAlign w:val="center"/>
            <w:hideMark/>
          </w:tcPr>
          <w:p w14:paraId="6AF66DD6" w14:textId="77777777" w:rsidR="00D5438C" w:rsidRPr="009A63E2" w:rsidRDefault="00D5438C" w:rsidP="00115C14">
            <w:pPr>
              <w:keepLines/>
              <w:jc w:val="center"/>
              <w:rPr>
                <w:rFonts w:ascii="Arial Narrow" w:hAnsi="Arial Narrow"/>
                <w:b/>
                <w:iCs/>
                <w:sz w:val="18"/>
                <w:szCs w:val="18"/>
              </w:rPr>
            </w:pPr>
            <w:r w:rsidRPr="009A63E2">
              <w:rPr>
                <w:rFonts w:ascii="Arial Narrow" w:hAnsi="Arial Narrow"/>
                <w:b/>
                <w:iCs/>
                <w:sz w:val="18"/>
                <w:szCs w:val="18"/>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0AE093F2" w14:textId="77777777" w:rsidR="00D5438C" w:rsidRPr="009A63E2" w:rsidRDefault="00D5438C" w:rsidP="00115C14">
            <w:pPr>
              <w:keepLines/>
              <w:jc w:val="center"/>
              <w:rPr>
                <w:rFonts w:ascii="Arial Narrow" w:hAnsi="Arial Narrow"/>
                <w:b/>
                <w:iCs/>
                <w:sz w:val="18"/>
                <w:szCs w:val="18"/>
              </w:rPr>
            </w:pPr>
            <w:r w:rsidRPr="009A63E2">
              <w:rPr>
                <w:rFonts w:ascii="Arial Narrow" w:hAnsi="Arial Narrow"/>
                <w:b/>
                <w:iCs/>
                <w:sz w:val="18"/>
                <w:szCs w:val="18"/>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64986AD3" w14:textId="77777777" w:rsidR="00D5438C" w:rsidRPr="009A63E2" w:rsidRDefault="00D5438C" w:rsidP="00115C14">
            <w:pPr>
              <w:keepLines/>
              <w:jc w:val="center"/>
              <w:rPr>
                <w:rFonts w:ascii="Arial Narrow" w:hAnsi="Arial Narrow"/>
                <w:b/>
                <w:iCs/>
                <w:sz w:val="18"/>
                <w:szCs w:val="18"/>
              </w:rPr>
            </w:pPr>
            <w:r w:rsidRPr="009A63E2">
              <w:rPr>
                <w:rFonts w:ascii="Arial Narrow" w:hAnsi="Arial Narrow"/>
                <w:b/>
                <w:iCs/>
                <w:sz w:val="18"/>
                <w:szCs w:val="18"/>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46471E88" w14:textId="77777777" w:rsidR="00D5438C" w:rsidRPr="009A63E2" w:rsidRDefault="00D5438C" w:rsidP="00115C14">
            <w:pPr>
              <w:keepLines/>
              <w:jc w:val="center"/>
              <w:rPr>
                <w:rFonts w:ascii="Arial Narrow" w:hAnsi="Arial Narrow"/>
                <w:b/>
                <w:iCs/>
                <w:sz w:val="18"/>
                <w:szCs w:val="18"/>
              </w:rPr>
            </w:pPr>
            <w:r w:rsidRPr="009A63E2">
              <w:rPr>
                <w:rFonts w:ascii="Arial Narrow" w:hAnsi="Arial Narrow"/>
                <w:b/>
                <w:iCs/>
                <w:sz w:val="18"/>
                <w:szCs w:val="18"/>
              </w:rPr>
              <w:t>№.of</w:t>
            </w:r>
          </w:p>
          <w:p w14:paraId="316B273E" w14:textId="77777777" w:rsidR="00D5438C" w:rsidRPr="009A63E2" w:rsidRDefault="00D5438C" w:rsidP="00115C14">
            <w:pPr>
              <w:keepLines/>
              <w:jc w:val="center"/>
              <w:rPr>
                <w:rFonts w:ascii="Arial Narrow" w:hAnsi="Arial Narrow"/>
                <w:b/>
                <w:iCs/>
                <w:sz w:val="18"/>
                <w:szCs w:val="18"/>
              </w:rPr>
            </w:pPr>
            <w:r w:rsidRPr="009A63E2">
              <w:rPr>
                <w:rFonts w:ascii="Arial Narrow" w:hAnsi="Arial Narrow"/>
                <w:b/>
                <w:iCs/>
                <w:sz w:val="18"/>
                <w:szCs w:val="18"/>
              </w:rPr>
              <w:t>Rpts</w:t>
            </w:r>
          </w:p>
        </w:tc>
        <w:tc>
          <w:tcPr>
            <w:tcW w:w="1882" w:type="dxa"/>
            <w:tcBorders>
              <w:top w:val="single" w:sz="4" w:space="0" w:color="auto"/>
              <w:left w:val="single" w:sz="4" w:space="0" w:color="auto"/>
              <w:bottom w:val="single" w:sz="4" w:space="0" w:color="auto"/>
              <w:right w:val="single" w:sz="4" w:space="0" w:color="auto"/>
            </w:tcBorders>
            <w:vAlign w:val="center"/>
            <w:hideMark/>
          </w:tcPr>
          <w:p w14:paraId="76CD3536" w14:textId="77777777" w:rsidR="00D5438C" w:rsidRPr="009A63E2" w:rsidRDefault="00D5438C" w:rsidP="00115C14">
            <w:pPr>
              <w:keepLines/>
              <w:rPr>
                <w:rFonts w:ascii="Arial Narrow" w:hAnsi="Arial Narrow"/>
                <w:b/>
                <w:iCs/>
                <w:sz w:val="18"/>
                <w:szCs w:val="18"/>
                <w:lang w:val="fr-FR"/>
              </w:rPr>
            </w:pPr>
            <w:r w:rsidRPr="009A63E2">
              <w:rPr>
                <w:rFonts w:ascii="Arial Narrow" w:hAnsi="Arial Narrow"/>
                <w:b/>
                <w:iCs/>
                <w:sz w:val="18"/>
                <w:szCs w:val="18"/>
              </w:rPr>
              <w:t>Available brands</w:t>
            </w:r>
          </w:p>
        </w:tc>
      </w:tr>
      <w:tr w:rsidR="00D5438C" w:rsidRPr="009A63E2" w14:paraId="54D0F985" w14:textId="77777777" w:rsidTr="00115C14">
        <w:trPr>
          <w:cantSplit/>
          <w:trHeight w:val="20"/>
        </w:trPr>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62042A20" w14:textId="77777777" w:rsidR="00D5438C" w:rsidRPr="009A63E2" w:rsidRDefault="00D5438C" w:rsidP="00115C14">
            <w:pPr>
              <w:pStyle w:val="TableText"/>
              <w:keepNext w:val="0"/>
              <w:spacing w:line="256" w:lineRule="auto"/>
              <w:rPr>
                <w:rFonts w:cs="Times New Roman"/>
                <w:iCs/>
                <w:sz w:val="18"/>
                <w:szCs w:val="18"/>
                <w:lang w:eastAsia="en-US"/>
              </w:rPr>
            </w:pPr>
            <w:r w:rsidRPr="009A63E2">
              <w:rPr>
                <w:iCs/>
                <w:smallCaps/>
                <w:sz w:val="18"/>
                <w:szCs w:val="18"/>
                <w:lang w:eastAsia="en-US"/>
              </w:rPr>
              <w:t>FARICIMAB</w:t>
            </w:r>
          </w:p>
        </w:tc>
      </w:tr>
      <w:tr w:rsidR="00D5438C" w:rsidRPr="009A63E2" w14:paraId="4D864481" w14:textId="77777777" w:rsidTr="00115C14">
        <w:trPr>
          <w:cantSplit/>
          <w:trHeight w:val="20"/>
        </w:trPr>
        <w:tc>
          <w:tcPr>
            <w:tcW w:w="3939" w:type="dxa"/>
            <w:gridSpan w:val="2"/>
            <w:tcBorders>
              <w:top w:val="single" w:sz="4" w:space="0" w:color="auto"/>
              <w:left w:val="single" w:sz="4" w:space="0" w:color="auto"/>
              <w:bottom w:val="single" w:sz="4" w:space="0" w:color="auto"/>
              <w:right w:val="single" w:sz="4" w:space="0" w:color="auto"/>
            </w:tcBorders>
            <w:vAlign w:val="center"/>
          </w:tcPr>
          <w:p w14:paraId="700152BB" w14:textId="77777777" w:rsidR="00D5438C" w:rsidRPr="009A63E2" w:rsidRDefault="00D5438C" w:rsidP="00115C14">
            <w:pPr>
              <w:pStyle w:val="TableText"/>
              <w:keepNext w:val="0"/>
              <w:spacing w:line="256" w:lineRule="auto"/>
              <w:rPr>
                <w:iCs/>
                <w:sz w:val="18"/>
                <w:szCs w:val="18"/>
                <w:lang w:eastAsia="en-US"/>
              </w:rPr>
            </w:pPr>
            <w:r w:rsidRPr="009A63E2">
              <w:rPr>
                <w:iCs/>
                <w:sz w:val="18"/>
                <w:szCs w:val="18"/>
                <w:lang w:eastAsia="en-US"/>
              </w:rPr>
              <w:t>faricimab 28.8 mg / 0.24 mL solution for injection, vial</w:t>
            </w:r>
          </w:p>
          <w:p w14:paraId="7DCFD3F4" w14:textId="77777777" w:rsidR="00D5438C" w:rsidRPr="009A63E2" w:rsidRDefault="00D5438C" w:rsidP="00115C14">
            <w:pPr>
              <w:keepLines/>
              <w:rPr>
                <w:rFonts w:ascii="Arial Narrow" w:hAnsi="Arial Narrow"/>
                <w:iCs/>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290339F1" w14:textId="77777777" w:rsidR="00D5438C" w:rsidRPr="009A63E2" w:rsidRDefault="00D5438C" w:rsidP="00115C14">
            <w:pPr>
              <w:keepLines/>
              <w:jc w:val="center"/>
              <w:rPr>
                <w:rFonts w:ascii="Arial Narrow" w:hAnsi="Arial Narrow"/>
                <w:iCs/>
                <w:sz w:val="18"/>
                <w:szCs w:val="18"/>
              </w:rPr>
            </w:pPr>
            <w:r w:rsidRPr="009A63E2">
              <w:rPr>
                <w:rFonts w:ascii="Arial Narrow" w:hAnsi="Arial Narrow"/>
                <w:iCs/>
                <w:sz w:val="18"/>
                <w:szCs w:val="18"/>
              </w:rPr>
              <w:t>NEW</w:t>
            </w:r>
          </w:p>
        </w:tc>
        <w:tc>
          <w:tcPr>
            <w:tcW w:w="812" w:type="dxa"/>
            <w:tcBorders>
              <w:top w:val="single" w:sz="4" w:space="0" w:color="auto"/>
              <w:left w:val="single" w:sz="4" w:space="0" w:color="auto"/>
              <w:bottom w:val="single" w:sz="4" w:space="0" w:color="auto"/>
              <w:right w:val="single" w:sz="4" w:space="0" w:color="auto"/>
            </w:tcBorders>
            <w:vAlign w:val="center"/>
            <w:hideMark/>
          </w:tcPr>
          <w:p w14:paraId="7BD2A797" w14:textId="77777777" w:rsidR="00D5438C" w:rsidRPr="009A63E2" w:rsidRDefault="00D5438C" w:rsidP="00115C14">
            <w:pPr>
              <w:keepLines/>
              <w:jc w:val="center"/>
              <w:rPr>
                <w:rFonts w:ascii="Arial Narrow" w:hAnsi="Arial Narrow"/>
                <w:iCs/>
                <w:sz w:val="18"/>
                <w:szCs w:val="18"/>
              </w:rPr>
            </w:pPr>
            <w:r w:rsidRPr="009A63E2">
              <w:rPr>
                <w:rFonts w:ascii="Arial Narrow" w:hAnsi="Arial Narrow"/>
                <w:iCs/>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5B745247" w14:textId="77777777" w:rsidR="00D5438C" w:rsidRPr="009A63E2" w:rsidRDefault="00D5438C" w:rsidP="00115C14">
            <w:pPr>
              <w:keepLines/>
              <w:jc w:val="center"/>
              <w:rPr>
                <w:rFonts w:ascii="Arial Narrow" w:hAnsi="Arial Narrow"/>
                <w:iCs/>
                <w:sz w:val="18"/>
                <w:szCs w:val="18"/>
              </w:rPr>
            </w:pPr>
            <w:r w:rsidRPr="009A63E2">
              <w:rPr>
                <w:rFonts w:ascii="Arial Narrow" w:hAnsi="Arial Narrow"/>
                <w:iCs/>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1885428A" w14:textId="7B35329B" w:rsidR="00D5438C" w:rsidRPr="001711AA" w:rsidRDefault="001711AA" w:rsidP="00115C14">
            <w:pPr>
              <w:keepLines/>
              <w:jc w:val="center"/>
              <w:rPr>
                <w:rFonts w:ascii="Arial Narrow" w:hAnsi="Arial Narrow"/>
                <w:iCs/>
                <w:sz w:val="18"/>
                <w:szCs w:val="18"/>
              </w:rPr>
            </w:pPr>
            <w:r w:rsidRPr="001711AA">
              <w:rPr>
                <w:rFonts w:ascii="Arial Narrow" w:hAnsi="Arial Narrow"/>
                <w:iCs/>
                <w:sz w:val="18"/>
                <w:szCs w:val="18"/>
              </w:rPr>
              <w:t>2</w:t>
            </w:r>
          </w:p>
        </w:tc>
        <w:tc>
          <w:tcPr>
            <w:tcW w:w="1882" w:type="dxa"/>
            <w:tcBorders>
              <w:top w:val="single" w:sz="4" w:space="0" w:color="auto"/>
              <w:left w:val="single" w:sz="4" w:space="0" w:color="auto"/>
              <w:bottom w:val="single" w:sz="4" w:space="0" w:color="auto"/>
              <w:right w:val="single" w:sz="4" w:space="0" w:color="auto"/>
            </w:tcBorders>
            <w:vAlign w:val="center"/>
            <w:hideMark/>
          </w:tcPr>
          <w:p w14:paraId="4B566C51" w14:textId="77777777" w:rsidR="00D5438C" w:rsidRPr="009A63E2" w:rsidRDefault="00D5438C" w:rsidP="00115C14">
            <w:pPr>
              <w:keepLines/>
              <w:jc w:val="center"/>
              <w:rPr>
                <w:rFonts w:ascii="Arial Narrow" w:eastAsiaTheme="majorEastAsia" w:hAnsi="Arial Narrow" w:cstheme="majorBidi"/>
                <w:bCs/>
                <w:iCs/>
                <w:sz w:val="18"/>
                <w:szCs w:val="18"/>
              </w:rPr>
            </w:pPr>
            <w:r w:rsidRPr="009A63E2">
              <w:rPr>
                <w:rFonts w:ascii="Arial Narrow" w:eastAsiaTheme="majorEastAsia" w:hAnsi="Arial Narrow" w:cstheme="majorBidi"/>
                <w:bCs/>
                <w:iCs/>
                <w:sz w:val="18"/>
                <w:szCs w:val="18"/>
              </w:rPr>
              <w:t>Vabysmo</w:t>
            </w:r>
          </w:p>
        </w:tc>
      </w:tr>
      <w:tr w:rsidR="00D5438C" w:rsidRPr="009A63E2" w14:paraId="296C8E99" w14:textId="77777777" w:rsidTr="00115C14">
        <w:trPr>
          <w:cantSplit/>
          <w:trHeight w:val="20"/>
        </w:trPr>
        <w:tc>
          <w:tcPr>
            <w:tcW w:w="3939" w:type="dxa"/>
            <w:gridSpan w:val="2"/>
            <w:tcBorders>
              <w:top w:val="single" w:sz="4" w:space="0" w:color="auto"/>
              <w:left w:val="single" w:sz="4" w:space="0" w:color="auto"/>
              <w:bottom w:val="single" w:sz="4" w:space="0" w:color="auto"/>
              <w:right w:val="single" w:sz="4" w:space="0" w:color="auto"/>
            </w:tcBorders>
            <w:vAlign w:val="center"/>
            <w:hideMark/>
          </w:tcPr>
          <w:p w14:paraId="32FEE3FA" w14:textId="77777777" w:rsidR="00D5438C" w:rsidRPr="009A63E2" w:rsidRDefault="00D5438C" w:rsidP="00115C14">
            <w:pPr>
              <w:keepLines/>
              <w:rPr>
                <w:rFonts w:ascii="Arial Narrow" w:hAnsi="Arial Narrow"/>
                <w:iCs/>
                <w:sz w:val="18"/>
                <w:szCs w:val="18"/>
              </w:rPr>
            </w:pPr>
            <w:r w:rsidRPr="009A63E2">
              <w:rPr>
                <w:rFonts w:ascii="Arial Narrow" w:hAnsi="Arial Narrow"/>
                <w:iCs/>
                <w:sz w:val="18"/>
                <w:szCs w:val="18"/>
              </w:rPr>
              <w:t>faricimab 24.0 mg / 0.2 mL solution for injection, pre-filled syringe</w:t>
            </w:r>
          </w:p>
        </w:tc>
        <w:tc>
          <w:tcPr>
            <w:tcW w:w="811" w:type="dxa"/>
            <w:tcBorders>
              <w:top w:val="single" w:sz="4" w:space="0" w:color="auto"/>
              <w:left w:val="single" w:sz="4" w:space="0" w:color="auto"/>
              <w:bottom w:val="single" w:sz="4" w:space="0" w:color="auto"/>
              <w:right w:val="single" w:sz="4" w:space="0" w:color="auto"/>
            </w:tcBorders>
            <w:vAlign w:val="center"/>
            <w:hideMark/>
          </w:tcPr>
          <w:p w14:paraId="777CC2DC" w14:textId="77777777" w:rsidR="00D5438C" w:rsidRPr="009A63E2" w:rsidRDefault="00D5438C" w:rsidP="00115C14">
            <w:pPr>
              <w:keepLines/>
              <w:jc w:val="center"/>
              <w:rPr>
                <w:rFonts w:ascii="Arial Narrow" w:hAnsi="Arial Narrow"/>
                <w:iCs/>
                <w:sz w:val="18"/>
                <w:szCs w:val="18"/>
              </w:rPr>
            </w:pPr>
            <w:r w:rsidRPr="009A63E2">
              <w:rPr>
                <w:rFonts w:ascii="Arial Narrow" w:hAnsi="Arial Narrow"/>
                <w:iCs/>
                <w:sz w:val="18"/>
                <w:szCs w:val="18"/>
              </w:rPr>
              <w:t>NEW</w:t>
            </w:r>
          </w:p>
        </w:tc>
        <w:tc>
          <w:tcPr>
            <w:tcW w:w="812" w:type="dxa"/>
            <w:tcBorders>
              <w:top w:val="single" w:sz="4" w:space="0" w:color="auto"/>
              <w:left w:val="single" w:sz="4" w:space="0" w:color="auto"/>
              <w:bottom w:val="single" w:sz="4" w:space="0" w:color="auto"/>
              <w:right w:val="single" w:sz="4" w:space="0" w:color="auto"/>
            </w:tcBorders>
            <w:vAlign w:val="center"/>
            <w:hideMark/>
          </w:tcPr>
          <w:p w14:paraId="084C7859" w14:textId="77777777" w:rsidR="00D5438C" w:rsidRPr="009A63E2" w:rsidRDefault="00D5438C" w:rsidP="00115C14">
            <w:pPr>
              <w:keepLines/>
              <w:jc w:val="center"/>
              <w:rPr>
                <w:rFonts w:ascii="Arial Narrow" w:hAnsi="Arial Narrow"/>
                <w:iCs/>
                <w:sz w:val="18"/>
                <w:szCs w:val="18"/>
              </w:rPr>
            </w:pPr>
            <w:r w:rsidRPr="009A63E2">
              <w:rPr>
                <w:rFonts w:ascii="Arial Narrow" w:hAnsi="Arial Narrow"/>
                <w:iCs/>
                <w:sz w:val="18"/>
                <w:szCs w:val="18"/>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78B19CB6" w14:textId="77777777" w:rsidR="00D5438C" w:rsidRPr="009A63E2" w:rsidRDefault="00D5438C" w:rsidP="00115C14">
            <w:pPr>
              <w:keepLines/>
              <w:jc w:val="center"/>
              <w:rPr>
                <w:rFonts w:ascii="Arial Narrow" w:hAnsi="Arial Narrow"/>
                <w:iCs/>
                <w:sz w:val="18"/>
                <w:szCs w:val="18"/>
              </w:rPr>
            </w:pPr>
            <w:r w:rsidRPr="009A63E2">
              <w:rPr>
                <w:rFonts w:ascii="Arial Narrow" w:hAnsi="Arial Narrow"/>
                <w:iCs/>
                <w:sz w:val="18"/>
                <w:szCs w:val="18"/>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50D5DCAA" w14:textId="7B0613BB" w:rsidR="00D5438C" w:rsidRPr="001711AA" w:rsidRDefault="001711AA" w:rsidP="00115C14">
            <w:pPr>
              <w:keepLines/>
              <w:jc w:val="center"/>
              <w:rPr>
                <w:rFonts w:ascii="Arial Narrow" w:hAnsi="Arial Narrow"/>
                <w:iCs/>
                <w:sz w:val="18"/>
                <w:szCs w:val="18"/>
              </w:rPr>
            </w:pPr>
            <w:r w:rsidRPr="001711AA">
              <w:rPr>
                <w:rFonts w:ascii="Arial Narrow" w:hAnsi="Arial Narrow"/>
                <w:iCs/>
                <w:sz w:val="18"/>
                <w:szCs w:val="18"/>
              </w:rPr>
              <w:t>2</w:t>
            </w:r>
          </w:p>
        </w:tc>
        <w:tc>
          <w:tcPr>
            <w:tcW w:w="1882" w:type="dxa"/>
            <w:tcBorders>
              <w:top w:val="single" w:sz="4" w:space="0" w:color="auto"/>
              <w:left w:val="single" w:sz="4" w:space="0" w:color="auto"/>
              <w:bottom w:val="single" w:sz="4" w:space="0" w:color="auto"/>
              <w:right w:val="single" w:sz="4" w:space="0" w:color="auto"/>
            </w:tcBorders>
            <w:vAlign w:val="center"/>
            <w:hideMark/>
          </w:tcPr>
          <w:p w14:paraId="377F4AFD" w14:textId="77777777" w:rsidR="00D5438C" w:rsidRPr="009A63E2" w:rsidRDefault="00D5438C" w:rsidP="00115C14">
            <w:pPr>
              <w:keepLines/>
              <w:jc w:val="center"/>
              <w:rPr>
                <w:rFonts w:ascii="Arial Narrow" w:eastAsiaTheme="majorEastAsia" w:hAnsi="Arial Narrow" w:cstheme="majorBidi"/>
                <w:bCs/>
                <w:iCs/>
                <w:sz w:val="18"/>
                <w:szCs w:val="18"/>
              </w:rPr>
            </w:pPr>
            <w:r w:rsidRPr="009A63E2">
              <w:rPr>
                <w:rFonts w:ascii="Arial Narrow" w:eastAsiaTheme="majorEastAsia" w:hAnsi="Arial Narrow" w:cstheme="majorBidi"/>
                <w:bCs/>
                <w:iCs/>
                <w:sz w:val="18"/>
                <w:szCs w:val="18"/>
              </w:rPr>
              <w:t>Vabysmo</w:t>
            </w:r>
          </w:p>
        </w:tc>
      </w:tr>
      <w:tr w:rsidR="00D5438C" w:rsidRPr="009A63E2" w14:paraId="61C3A068" w14:textId="77777777" w:rsidTr="00115C14">
        <w:trPr>
          <w:cantSplit/>
          <w:trHeight w:val="20"/>
        </w:trPr>
        <w:tc>
          <w:tcPr>
            <w:tcW w:w="906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4A75062" w14:textId="4A1F0A3B" w:rsidR="00D5438C" w:rsidRPr="009A63E2" w:rsidRDefault="00D5438C" w:rsidP="00115C14">
            <w:pPr>
              <w:rPr>
                <w:rFonts w:ascii="Arial Narrow" w:hAnsi="Arial Narrow"/>
                <w:b/>
                <w:bCs/>
                <w:color w:val="333333"/>
                <w:sz w:val="18"/>
                <w:szCs w:val="18"/>
              </w:rPr>
            </w:pPr>
          </w:p>
        </w:tc>
      </w:tr>
      <w:tr w:rsidR="00D5438C" w:rsidRPr="009A63E2" w14:paraId="05BBA5AB" w14:textId="77777777" w:rsidTr="00115C14">
        <w:trPr>
          <w:cantSplit/>
          <w:trHeight w:val="20"/>
        </w:trPr>
        <w:tc>
          <w:tcPr>
            <w:tcW w:w="127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8EDA9B2" w14:textId="3BC34454"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093EB6E" w14:textId="77777777" w:rsidR="00D5438C" w:rsidRPr="009A63E2" w:rsidRDefault="00D5438C" w:rsidP="00115C14">
            <w:pPr>
              <w:rPr>
                <w:rFonts w:ascii="Arial Narrow" w:hAnsi="Arial Narrow"/>
                <w:b/>
                <w:bCs/>
                <w:color w:val="333333"/>
                <w:sz w:val="18"/>
                <w:szCs w:val="18"/>
              </w:rPr>
            </w:pPr>
            <w:r w:rsidRPr="009A63E2">
              <w:rPr>
                <w:rFonts w:ascii="Arial Narrow" w:hAnsi="Arial Narrow"/>
                <w:b/>
                <w:sz w:val="18"/>
                <w:szCs w:val="18"/>
              </w:rPr>
              <w:t xml:space="preserve">Category / Program: </w:t>
            </w:r>
            <w:r w:rsidRPr="009A63E2">
              <w:rPr>
                <w:rFonts w:ascii="Arial Narrow" w:hAnsi="Arial Narrow"/>
                <w:sz w:val="18"/>
                <w:szCs w:val="18"/>
              </w:rPr>
              <w:t>GENERAL – General Schedule (Code GE)</w:t>
            </w:r>
          </w:p>
        </w:tc>
      </w:tr>
      <w:tr w:rsidR="00D5438C" w:rsidRPr="009A63E2" w14:paraId="1ED7A2A6" w14:textId="77777777" w:rsidTr="00115C14">
        <w:trPr>
          <w:cantSplit/>
          <w:trHeight w:val="20"/>
        </w:trPr>
        <w:tc>
          <w:tcPr>
            <w:tcW w:w="9067" w:type="dxa"/>
            <w:vMerge/>
            <w:tcBorders>
              <w:top w:val="single" w:sz="4" w:space="0" w:color="auto"/>
              <w:left w:val="single" w:sz="4" w:space="0" w:color="auto"/>
              <w:bottom w:val="single" w:sz="4" w:space="0" w:color="auto"/>
              <w:right w:val="single" w:sz="4" w:space="0" w:color="auto"/>
            </w:tcBorders>
            <w:vAlign w:val="center"/>
            <w:hideMark/>
          </w:tcPr>
          <w:p w14:paraId="0ACF4846" w14:textId="77777777" w:rsidR="00D5438C" w:rsidRPr="009A63E2" w:rsidRDefault="00D5438C" w:rsidP="00115C14">
            <w:pP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D144CEB" w14:textId="77777777" w:rsidR="00D5438C" w:rsidRPr="009A63E2" w:rsidRDefault="00D5438C" w:rsidP="00115C14">
            <w:pPr>
              <w:rPr>
                <w:rFonts w:ascii="Arial Narrow" w:hAnsi="Arial Narrow"/>
                <w:b/>
                <w:bCs/>
                <w:color w:val="333333"/>
                <w:sz w:val="18"/>
                <w:szCs w:val="18"/>
              </w:rPr>
            </w:pPr>
            <w:r w:rsidRPr="009A63E2">
              <w:rPr>
                <w:rFonts w:ascii="Arial Narrow" w:hAnsi="Arial Narrow"/>
                <w:b/>
                <w:sz w:val="18"/>
                <w:szCs w:val="18"/>
              </w:rPr>
              <w:t xml:space="preserve">Prescriber type: </w:t>
            </w:r>
            <w:r w:rsidRPr="009A63E2">
              <w:rPr>
                <w:rFonts w:ascii="Arial Narrow" w:hAnsi="Arial Narrow"/>
                <w:sz w:val="18"/>
                <w:szCs w:val="18"/>
              </w:rPr>
              <w:fldChar w:fldCharType="begin">
                <w:ffData>
                  <w:name w:val=""/>
                  <w:enabled/>
                  <w:calcOnExit w:val="0"/>
                  <w:checkBox>
                    <w:sizeAuto/>
                    <w:default w:val="1"/>
                  </w:checkBox>
                </w:ffData>
              </w:fldChar>
            </w:r>
            <w:r w:rsidRPr="009A63E2">
              <w:rPr>
                <w:rFonts w:ascii="Arial Narrow" w:hAnsi="Arial Narrow"/>
                <w:sz w:val="18"/>
                <w:szCs w:val="18"/>
              </w:rPr>
              <w:instrText xml:space="preserve"> FORMCHECKBOX </w:instrText>
            </w:r>
            <w:r w:rsidR="00786949">
              <w:rPr>
                <w:rFonts w:ascii="Arial Narrow" w:hAnsi="Arial Narrow"/>
                <w:sz w:val="18"/>
                <w:szCs w:val="18"/>
              </w:rPr>
            </w:r>
            <w:r w:rsidR="00786949">
              <w:rPr>
                <w:rFonts w:ascii="Arial Narrow" w:hAnsi="Arial Narrow"/>
                <w:sz w:val="18"/>
                <w:szCs w:val="18"/>
              </w:rPr>
              <w:fldChar w:fldCharType="separate"/>
            </w:r>
            <w:r w:rsidRPr="009A63E2">
              <w:rPr>
                <w:rFonts w:ascii="Arial Narrow" w:hAnsi="Arial Narrow"/>
                <w:sz w:val="18"/>
                <w:szCs w:val="18"/>
              </w:rPr>
              <w:fldChar w:fldCharType="end"/>
            </w:r>
            <w:r w:rsidRPr="009A63E2">
              <w:rPr>
                <w:rFonts w:ascii="Arial Narrow" w:hAnsi="Arial Narrow"/>
                <w:sz w:val="18"/>
                <w:szCs w:val="18"/>
              </w:rPr>
              <w:t>Medical</w:t>
            </w:r>
          </w:p>
        </w:tc>
      </w:tr>
      <w:tr w:rsidR="00D5438C" w:rsidRPr="009A63E2" w14:paraId="6A2FA110" w14:textId="77777777" w:rsidTr="00115C14">
        <w:trPr>
          <w:cantSplit/>
          <w:trHeight w:val="20"/>
        </w:trPr>
        <w:tc>
          <w:tcPr>
            <w:tcW w:w="9067" w:type="dxa"/>
            <w:vMerge/>
            <w:tcBorders>
              <w:top w:val="single" w:sz="4" w:space="0" w:color="auto"/>
              <w:left w:val="single" w:sz="4" w:space="0" w:color="auto"/>
              <w:bottom w:val="single" w:sz="4" w:space="0" w:color="auto"/>
              <w:right w:val="single" w:sz="4" w:space="0" w:color="auto"/>
            </w:tcBorders>
            <w:vAlign w:val="center"/>
            <w:hideMark/>
          </w:tcPr>
          <w:p w14:paraId="51877486" w14:textId="77777777" w:rsidR="00D5438C" w:rsidRPr="009A63E2" w:rsidRDefault="00D5438C" w:rsidP="00115C14">
            <w:pP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8E17B0" w14:textId="77777777" w:rsidR="00D5438C" w:rsidRPr="009A63E2" w:rsidRDefault="00D5438C" w:rsidP="00115C14">
            <w:pPr>
              <w:rPr>
                <w:rFonts w:ascii="Arial Narrow" w:hAnsi="Arial Narrow"/>
                <w:b/>
                <w:bCs/>
                <w:color w:val="333333"/>
                <w:sz w:val="18"/>
                <w:szCs w:val="18"/>
              </w:rPr>
            </w:pPr>
            <w:r w:rsidRPr="009A63E2">
              <w:rPr>
                <w:rFonts w:ascii="Arial Narrow" w:hAnsi="Arial Narrow"/>
                <w:b/>
                <w:sz w:val="18"/>
                <w:szCs w:val="18"/>
              </w:rPr>
              <w:t xml:space="preserve">Restriction type: </w:t>
            </w:r>
            <w:r w:rsidRPr="009A63E2">
              <w:rPr>
                <w:rFonts w:ascii="Arial Narrow" w:eastAsia="Calibri" w:hAnsi="Arial Narrow"/>
                <w:sz w:val="18"/>
                <w:szCs w:val="18"/>
              </w:rPr>
              <w:fldChar w:fldCharType="begin">
                <w:ffData>
                  <w:name w:val=""/>
                  <w:enabled/>
                  <w:calcOnExit w:val="0"/>
                  <w:checkBox>
                    <w:sizeAuto/>
                    <w:default w:val="1"/>
                  </w:checkBox>
                </w:ffData>
              </w:fldChar>
            </w:r>
            <w:r w:rsidRPr="009A63E2">
              <w:rPr>
                <w:rFonts w:ascii="Arial Narrow" w:eastAsia="Calibri" w:hAnsi="Arial Narrow"/>
                <w:sz w:val="18"/>
                <w:szCs w:val="18"/>
              </w:rPr>
              <w:instrText xml:space="preserve"> FORMCHECKBOX </w:instrText>
            </w:r>
            <w:r w:rsidR="00786949">
              <w:rPr>
                <w:rFonts w:ascii="Arial Narrow" w:eastAsia="Calibri" w:hAnsi="Arial Narrow"/>
                <w:sz w:val="18"/>
                <w:szCs w:val="18"/>
              </w:rPr>
            </w:r>
            <w:r w:rsidR="00786949">
              <w:rPr>
                <w:rFonts w:ascii="Arial Narrow" w:eastAsia="Calibri" w:hAnsi="Arial Narrow"/>
                <w:sz w:val="18"/>
                <w:szCs w:val="18"/>
              </w:rPr>
              <w:fldChar w:fldCharType="separate"/>
            </w:r>
            <w:r w:rsidRPr="009A63E2">
              <w:rPr>
                <w:rFonts w:ascii="Arial Narrow" w:eastAsia="Calibri" w:hAnsi="Arial Narrow"/>
                <w:sz w:val="18"/>
                <w:szCs w:val="18"/>
              </w:rPr>
              <w:fldChar w:fldCharType="end"/>
            </w:r>
            <w:r w:rsidRPr="009A63E2">
              <w:rPr>
                <w:rFonts w:ascii="Arial Narrow" w:eastAsia="Calibri" w:hAnsi="Arial Narrow"/>
                <w:sz w:val="18"/>
                <w:szCs w:val="18"/>
              </w:rPr>
              <w:t>Authority Required – Written</w:t>
            </w:r>
          </w:p>
        </w:tc>
      </w:tr>
      <w:tr w:rsidR="00D5438C" w:rsidRPr="009A63E2" w14:paraId="263EFCBE"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042D2C1" w14:textId="4D211CDD"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E9C1E30" w14:textId="77777777" w:rsidR="00D5438C" w:rsidRPr="009A63E2" w:rsidRDefault="00D5438C" w:rsidP="00115C14">
            <w:pPr>
              <w:rPr>
                <w:rFonts w:ascii="Arial Narrow" w:hAnsi="Arial Narrow"/>
                <w:b/>
                <w:bCs/>
                <w:color w:val="333333"/>
                <w:sz w:val="18"/>
                <w:szCs w:val="18"/>
              </w:rPr>
            </w:pPr>
            <w:r w:rsidRPr="009A63E2">
              <w:rPr>
                <w:rFonts w:ascii="Arial Narrow" w:hAnsi="Arial Narrow"/>
                <w:b/>
                <w:bCs/>
                <w:color w:val="333333"/>
                <w:sz w:val="18"/>
                <w:szCs w:val="18"/>
              </w:rPr>
              <w:t>Indication:</w:t>
            </w:r>
            <w:r w:rsidRPr="009A63E2">
              <w:rPr>
                <w:rFonts w:ascii="Arial Narrow" w:hAnsi="Arial Narrow"/>
                <w:color w:val="333333"/>
                <w:sz w:val="18"/>
                <w:szCs w:val="18"/>
              </w:rPr>
              <w:t xml:space="preserve"> </w:t>
            </w:r>
            <w:r w:rsidRPr="009A63E2">
              <w:rPr>
                <w:rFonts w:ascii="Arial Narrow" w:eastAsia="Calibri" w:hAnsi="Arial Narrow"/>
                <w:sz w:val="18"/>
                <w:szCs w:val="18"/>
              </w:rPr>
              <w:t>Subfoveal choroidal neovascularisation (CNV)</w:t>
            </w:r>
          </w:p>
        </w:tc>
      </w:tr>
      <w:tr w:rsidR="00D5438C" w:rsidRPr="009A63E2" w14:paraId="6C085902"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72CEAD" w14:textId="77777777"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46FB1E5" w14:textId="77777777" w:rsidR="00D5438C" w:rsidRPr="001711AA" w:rsidRDefault="00D5438C" w:rsidP="00115C14">
            <w:pPr>
              <w:rPr>
                <w:rFonts w:ascii="Arial Narrow" w:hAnsi="Arial Narrow"/>
                <w:b/>
                <w:bCs/>
                <w:iCs/>
                <w:color w:val="333333"/>
                <w:sz w:val="18"/>
                <w:szCs w:val="18"/>
              </w:rPr>
            </w:pPr>
            <w:r w:rsidRPr="001711AA">
              <w:rPr>
                <w:rFonts w:ascii="Arial Narrow" w:hAnsi="Arial Narrow"/>
                <w:b/>
                <w:bCs/>
                <w:iCs/>
                <w:color w:val="333333"/>
                <w:sz w:val="18"/>
                <w:szCs w:val="18"/>
              </w:rPr>
              <w:t xml:space="preserve">Treatment Phase: </w:t>
            </w:r>
            <w:r w:rsidRPr="001711AA">
              <w:rPr>
                <w:rFonts w:ascii="Arial Narrow" w:hAnsi="Arial Narrow"/>
                <w:iCs/>
                <w:sz w:val="18"/>
                <w:szCs w:val="18"/>
              </w:rPr>
              <w:t>Transitioning from non-PBS to PBS-subsidised treatment - Grandfather arrangements</w:t>
            </w:r>
          </w:p>
        </w:tc>
      </w:tr>
      <w:tr w:rsidR="00D5438C" w:rsidRPr="009A63E2" w14:paraId="094C1FD1"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4B921F" w14:textId="0A5D15AB"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31746C" w14:textId="77777777" w:rsidR="00D5438C" w:rsidRPr="009A63E2" w:rsidRDefault="00D5438C" w:rsidP="00115C14">
            <w:pPr>
              <w:rPr>
                <w:rFonts w:ascii="Arial Narrow" w:hAnsi="Arial Narrow"/>
                <w:b/>
                <w:bCs/>
                <w:color w:val="333333"/>
                <w:sz w:val="18"/>
                <w:szCs w:val="18"/>
              </w:rPr>
            </w:pPr>
            <w:r w:rsidRPr="009A63E2">
              <w:rPr>
                <w:rFonts w:ascii="Arial Narrow" w:hAnsi="Arial Narrow"/>
                <w:b/>
                <w:bCs/>
                <w:color w:val="333333"/>
                <w:sz w:val="18"/>
                <w:szCs w:val="18"/>
              </w:rPr>
              <w:t>Treatment criteria:</w:t>
            </w:r>
          </w:p>
        </w:tc>
      </w:tr>
      <w:tr w:rsidR="00D5438C" w:rsidRPr="009A63E2" w14:paraId="4AC68115"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86D3A77" w14:textId="3014EA42"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68C126" w14:textId="77777777" w:rsidR="00D5438C" w:rsidRPr="009A63E2" w:rsidRDefault="00D5438C" w:rsidP="00115C14">
            <w:pPr>
              <w:rPr>
                <w:rFonts w:ascii="Arial Narrow" w:hAnsi="Arial Narrow"/>
                <w:b/>
                <w:bCs/>
                <w:color w:val="333333"/>
                <w:sz w:val="18"/>
                <w:szCs w:val="18"/>
              </w:rPr>
            </w:pPr>
            <w:r w:rsidRPr="009A63E2">
              <w:rPr>
                <w:rFonts w:ascii="Arial Narrow" w:hAnsi="Arial Narrow"/>
                <w:color w:val="333333"/>
                <w:sz w:val="18"/>
                <w:szCs w:val="18"/>
              </w:rPr>
              <w:t>Must be treated by an ophthalmologist or by an accredited ophthalmology registrar in consultation with an ophthalmologist</w:t>
            </w:r>
          </w:p>
        </w:tc>
      </w:tr>
      <w:tr w:rsidR="00D5438C" w:rsidRPr="009A63E2" w14:paraId="6E6903C2"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52D7E6" w14:textId="77777777"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316127" w14:textId="77777777" w:rsidR="00D5438C" w:rsidRPr="009A63E2" w:rsidRDefault="00D5438C" w:rsidP="00115C14">
            <w:pPr>
              <w:rPr>
                <w:rFonts w:ascii="Arial Narrow" w:hAnsi="Arial Narrow"/>
                <w:color w:val="333333"/>
                <w:sz w:val="18"/>
                <w:szCs w:val="18"/>
              </w:rPr>
            </w:pPr>
            <w:r w:rsidRPr="009A63E2">
              <w:rPr>
                <w:rFonts w:ascii="Arial Narrow" w:hAnsi="Arial Narrow"/>
                <w:b/>
                <w:bCs/>
                <w:color w:val="333333"/>
                <w:sz w:val="18"/>
                <w:szCs w:val="18"/>
              </w:rPr>
              <w:t>AND</w:t>
            </w:r>
          </w:p>
        </w:tc>
      </w:tr>
      <w:tr w:rsidR="00D5438C" w:rsidRPr="009A63E2" w14:paraId="212F1EAE"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DC22D93" w14:textId="2D6BB51A"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5B433C" w14:textId="77777777" w:rsidR="00D5438C" w:rsidRPr="009A63E2" w:rsidRDefault="00D5438C" w:rsidP="00115C14">
            <w:pPr>
              <w:rPr>
                <w:rFonts w:ascii="Arial Narrow" w:hAnsi="Arial Narrow"/>
                <w:b/>
                <w:bCs/>
                <w:color w:val="333333"/>
                <w:sz w:val="18"/>
                <w:szCs w:val="18"/>
              </w:rPr>
            </w:pPr>
            <w:r w:rsidRPr="009A63E2">
              <w:rPr>
                <w:rFonts w:ascii="Arial Narrow" w:hAnsi="Arial Narrow"/>
                <w:b/>
                <w:sz w:val="18"/>
                <w:szCs w:val="18"/>
              </w:rPr>
              <w:t>Clinical criteria:</w:t>
            </w:r>
            <w:r w:rsidRPr="009A63E2">
              <w:rPr>
                <w:rFonts w:ascii="Arial Narrow" w:hAnsi="Arial Narrow"/>
                <w:sz w:val="18"/>
                <w:szCs w:val="18"/>
              </w:rPr>
              <w:t xml:space="preserve"> </w:t>
            </w:r>
          </w:p>
        </w:tc>
      </w:tr>
      <w:tr w:rsidR="00D5438C" w:rsidRPr="009A63E2" w14:paraId="2E62C199"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7B8B06F" w14:textId="180F7918"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3556724" w14:textId="77777777" w:rsidR="00D5438C" w:rsidRPr="009A63E2" w:rsidRDefault="00D5438C" w:rsidP="00115C14">
            <w:pPr>
              <w:rPr>
                <w:rFonts w:ascii="Arial Narrow" w:hAnsi="Arial Narrow"/>
                <w:b/>
                <w:bCs/>
                <w:color w:val="333333"/>
                <w:sz w:val="18"/>
                <w:szCs w:val="18"/>
              </w:rPr>
            </w:pPr>
            <w:r w:rsidRPr="009A63E2">
              <w:rPr>
                <w:rFonts w:ascii="Arial Narrow" w:hAnsi="Arial Narrow"/>
                <w:sz w:val="18"/>
                <w:szCs w:val="18"/>
              </w:rPr>
              <w:t>The condition must be due to age-related macular degeneration (AMD)</w:t>
            </w:r>
          </w:p>
        </w:tc>
      </w:tr>
      <w:tr w:rsidR="00D5438C" w:rsidRPr="009A63E2" w14:paraId="64048F27"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A9C541" w14:textId="77777777"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010AB5" w14:textId="77777777" w:rsidR="00D5438C" w:rsidRPr="009A63E2" w:rsidRDefault="00D5438C" w:rsidP="00115C14">
            <w:pPr>
              <w:rPr>
                <w:rFonts w:ascii="Arial Narrow" w:hAnsi="Arial Narrow"/>
                <w:b/>
                <w:bCs/>
                <w:color w:val="333333"/>
                <w:sz w:val="18"/>
                <w:szCs w:val="18"/>
              </w:rPr>
            </w:pPr>
            <w:r w:rsidRPr="009A63E2">
              <w:rPr>
                <w:rFonts w:ascii="Arial Narrow" w:hAnsi="Arial Narrow"/>
                <w:b/>
                <w:bCs/>
                <w:color w:val="333333"/>
                <w:sz w:val="18"/>
                <w:szCs w:val="18"/>
              </w:rPr>
              <w:t>AND</w:t>
            </w:r>
          </w:p>
        </w:tc>
      </w:tr>
      <w:tr w:rsidR="00D5438C" w:rsidRPr="009A63E2" w14:paraId="1E9F03E9"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DF4BD5C" w14:textId="24A54E9C"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11455E" w14:textId="77777777" w:rsidR="00D5438C" w:rsidRPr="009A63E2" w:rsidRDefault="00D5438C" w:rsidP="00115C14">
            <w:pPr>
              <w:rPr>
                <w:rFonts w:ascii="Arial Narrow" w:hAnsi="Arial Narrow"/>
                <w:b/>
                <w:bCs/>
                <w:color w:val="333333"/>
                <w:sz w:val="18"/>
                <w:szCs w:val="18"/>
              </w:rPr>
            </w:pPr>
            <w:r w:rsidRPr="009A63E2">
              <w:rPr>
                <w:rFonts w:ascii="Arial Narrow" w:hAnsi="Arial Narrow"/>
                <w:b/>
                <w:bCs/>
                <w:color w:val="333333"/>
                <w:sz w:val="18"/>
                <w:szCs w:val="18"/>
              </w:rPr>
              <w:t>Clinical criteria:</w:t>
            </w:r>
            <w:r w:rsidRPr="009A63E2">
              <w:rPr>
                <w:rFonts w:ascii="Arial Narrow" w:hAnsi="Arial Narrow"/>
                <w:sz w:val="18"/>
                <w:szCs w:val="18"/>
              </w:rPr>
              <w:t xml:space="preserve"> </w:t>
            </w:r>
          </w:p>
        </w:tc>
      </w:tr>
      <w:tr w:rsidR="00D5438C" w:rsidRPr="009A63E2" w14:paraId="6BD3DC93"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EE43E41" w14:textId="5640B18F"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5352073" w14:textId="77777777" w:rsidR="00D5438C" w:rsidRPr="009A63E2" w:rsidRDefault="00D5438C" w:rsidP="00115C14">
            <w:pPr>
              <w:rPr>
                <w:rFonts w:ascii="Arial Narrow" w:eastAsiaTheme="majorEastAsia" w:hAnsi="Arial Narrow"/>
                <w:bCs/>
                <w:sz w:val="18"/>
                <w:szCs w:val="18"/>
              </w:rPr>
            </w:pPr>
            <w:r w:rsidRPr="009A63E2">
              <w:rPr>
                <w:rFonts w:ascii="Arial Narrow" w:eastAsiaTheme="majorEastAsia" w:hAnsi="Arial Narrow"/>
                <w:bCs/>
                <w:sz w:val="18"/>
                <w:szCs w:val="18"/>
              </w:rPr>
              <w:t>The condition must be diagnosed by optical coherence tomography; or</w:t>
            </w:r>
          </w:p>
          <w:p w14:paraId="722AB7A3" w14:textId="77777777" w:rsidR="00D5438C" w:rsidRPr="009A63E2" w:rsidRDefault="00D5438C" w:rsidP="00115C14">
            <w:pPr>
              <w:rPr>
                <w:rFonts w:ascii="Arial Narrow" w:hAnsi="Arial Narrow"/>
                <w:b/>
                <w:bCs/>
                <w:sz w:val="18"/>
                <w:szCs w:val="18"/>
              </w:rPr>
            </w:pPr>
            <w:r w:rsidRPr="009A63E2">
              <w:rPr>
                <w:rFonts w:ascii="Arial Narrow" w:hAnsi="Arial Narrow"/>
                <w:sz w:val="18"/>
                <w:szCs w:val="18"/>
              </w:rPr>
              <w:t>The condition must be diagnosed by fluorescein angiography</w:t>
            </w:r>
          </w:p>
        </w:tc>
      </w:tr>
      <w:tr w:rsidR="00D5438C" w:rsidRPr="009A63E2" w14:paraId="78452769"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C1F70D" w14:textId="77777777"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12F8D1B" w14:textId="77777777" w:rsidR="00D5438C" w:rsidRPr="009A63E2" w:rsidRDefault="00D5438C" w:rsidP="00115C14">
            <w:pPr>
              <w:rPr>
                <w:rFonts w:ascii="Arial Narrow" w:hAnsi="Arial Narrow"/>
                <w:b/>
                <w:bCs/>
                <w:sz w:val="18"/>
                <w:szCs w:val="18"/>
              </w:rPr>
            </w:pPr>
            <w:r w:rsidRPr="009A63E2">
              <w:rPr>
                <w:rFonts w:ascii="Arial Narrow" w:hAnsi="Arial Narrow"/>
                <w:b/>
                <w:bCs/>
                <w:sz w:val="18"/>
                <w:szCs w:val="18"/>
              </w:rPr>
              <w:t>AND</w:t>
            </w:r>
          </w:p>
        </w:tc>
      </w:tr>
      <w:tr w:rsidR="00D5438C" w:rsidRPr="009A63E2" w14:paraId="3C2E0C70"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05E8D9" w14:textId="0AE8A5E0"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DC2907E" w14:textId="77777777" w:rsidR="00D5438C" w:rsidRPr="009A63E2" w:rsidRDefault="00D5438C" w:rsidP="00115C14">
            <w:pPr>
              <w:rPr>
                <w:rFonts w:ascii="Arial Narrow" w:hAnsi="Arial Narrow"/>
                <w:b/>
                <w:bCs/>
                <w:sz w:val="18"/>
                <w:szCs w:val="18"/>
              </w:rPr>
            </w:pPr>
            <w:r w:rsidRPr="009A63E2">
              <w:rPr>
                <w:rFonts w:ascii="Arial Narrow" w:hAnsi="Arial Narrow"/>
                <w:b/>
                <w:bCs/>
                <w:sz w:val="18"/>
                <w:szCs w:val="18"/>
              </w:rPr>
              <w:t>Clinical criteria:</w:t>
            </w:r>
          </w:p>
        </w:tc>
      </w:tr>
      <w:tr w:rsidR="00D5438C" w:rsidRPr="009A63E2" w14:paraId="0ED48FE6"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D9FF649" w14:textId="1A303D92"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B820F2" w14:textId="77777777" w:rsidR="00D5438C" w:rsidRPr="009A63E2" w:rsidRDefault="00D5438C" w:rsidP="00115C14">
            <w:pPr>
              <w:rPr>
                <w:rFonts w:ascii="Arial Narrow" w:hAnsi="Arial Narrow"/>
                <w:b/>
                <w:bCs/>
                <w:sz w:val="18"/>
                <w:szCs w:val="18"/>
              </w:rPr>
            </w:pPr>
            <w:r w:rsidRPr="009A63E2">
              <w:rPr>
                <w:rFonts w:ascii="Arial Narrow" w:hAnsi="Arial Narrow"/>
                <w:sz w:val="18"/>
                <w:szCs w:val="18"/>
              </w:rPr>
              <w:t>Patient must have received non-PBS subsidised treatment with this drug for this condition prior to [listing date]</w:t>
            </w:r>
          </w:p>
        </w:tc>
      </w:tr>
      <w:tr w:rsidR="00D5438C" w:rsidRPr="009A63E2" w14:paraId="6436FC46"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BA135F0" w14:textId="77777777"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29EE153" w14:textId="77777777" w:rsidR="00D5438C" w:rsidRPr="009A63E2" w:rsidRDefault="00D5438C" w:rsidP="00115C14">
            <w:pPr>
              <w:rPr>
                <w:rFonts w:ascii="Arial Narrow" w:hAnsi="Arial Narrow"/>
                <w:b/>
                <w:bCs/>
                <w:sz w:val="18"/>
                <w:szCs w:val="18"/>
              </w:rPr>
            </w:pPr>
            <w:r w:rsidRPr="009A63E2">
              <w:rPr>
                <w:rFonts w:ascii="Arial Narrow" w:hAnsi="Arial Narrow"/>
                <w:b/>
                <w:bCs/>
                <w:sz w:val="18"/>
                <w:szCs w:val="18"/>
              </w:rPr>
              <w:t>AND</w:t>
            </w:r>
          </w:p>
        </w:tc>
      </w:tr>
      <w:tr w:rsidR="00D5438C" w:rsidRPr="009A63E2" w14:paraId="1C700191"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790271" w14:textId="47B6D08C"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5F69F0" w14:textId="77777777" w:rsidR="00D5438C" w:rsidRPr="009A63E2" w:rsidRDefault="00D5438C" w:rsidP="00115C14">
            <w:pPr>
              <w:rPr>
                <w:rFonts w:ascii="Arial Narrow" w:hAnsi="Arial Narrow"/>
                <w:b/>
                <w:bCs/>
                <w:sz w:val="18"/>
                <w:szCs w:val="18"/>
              </w:rPr>
            </w:pPr>
            <w:r w:rsidRPr="009A63E2">
              <w:rPr>
                <w:rFonts w:ascii="Arial Narrow" w:hAnsi="Arial Narrow"/>
                <w:b/>
                <w:bCs/>
                <w:sz w:val="18"/>
                <w:szCs w:val="18"/>
              </w:rPr>
              <w:t>Clinical criteria:</w:t>
            </w:r>
          </w:p>
        </w:tc>
      </w:tr>
      <w:tr w:rsidR="00D5438C" w:rsidRPr="009A63E2" w14:paraId="743FC0F6"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F8E84D" w14:textId="4B6B61C7" w:rsidR="00D5438C" w:rsidRPr="009A63E2" w:rsidRDefault="00D5438C" w:rsidP="00115C14">
            <w:pPr>
              <w:jc w:val="center"/>
              <w:rPr>
                <w:rFonts w:ascii="Arial Narrow" w:hAnsi="Arial Narrow"/>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F49688" w14:textId="77777777" w:rsidR="00D5438C" w:rsidRPr="009A63E2" w:rsidRDefault="00D5438C" w:rsidP="00115C14">
            <w:pPr>
              <w:rPr>
                <w:rFonts w:ascii="Arial Narrow" w:hAnsi="Arial Narrow"/>
                <w:b/>
                <w:bCs/>
                <w:sz w:val="18"/>
                <w:szCs w:val="18"/>
              </w:rPr>
            </w:pPr>
            <w:r w:rsidRPr="009A63E2">
              <w:rPr>
                <w:rFonts w:ascii="Arial Narrow" w:eastAsiaTheme="majorEastAsia" w:hAnsi="Arial Narrow"/>
                <w:bCs/>
                <w:sz w:val="18"/>
                <w:szCs w:val="18"/>
              </w:rPr>
              <w:t>The treatment must be the sole PBS-subsidised therapy for this condition</w:t>
            </w:r>
          </w:p>
        </w:tc>
      </w:tr>
      <w:tr w:rsidR="00D5438C" w:rsidRPr="009A63E2" w14:paraId="743FF507"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DA8A3D" w14:textId="7192DDBD" w:rsidR="00D5438C" w:rsidRPr="001711AA" w:rsidRDefault="00D5438C" w:rsidP="00115C14">
            <w:pPr>
              <w:jc w:val="center"/>
              <w:rPr>
                <w:rFonts w:ascii="Arial Narrow" w:hAnsi="Arial Narrow"/>
                <w:iCs/>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6F61D26" w14:textId="77777777" w:rsidR="00D5438C" w:rsidRPr="001711AA" w:rsidRDefault="00D5438C" w:rsidP="00115C14">
            <w:pPr>
              <w:rPr>
                <w:rFonts w:ascii="Arial Narrow" w:eastAsiaTheme="majorEastAsia" w:hAnsi="Arial Narrow"/>
                <w:b/>
                <w:iCs/>
                <w:sz w:val="18"/>
                <w:szCs w:val="18"/>
              </w:rPr>
            </w:pPr>
            <w:r w:rsidRPr="001711AA">
              <w:rPr>
                <w:rFonts w:ascii="Arial Narrow" w:eastAsiaTheme="majorEastAsia" w:hAnsi="Arial Narrow"/>
                <w:b/>
                <w:iCs/>
                <w:sz w:val="18"/>
                <w:szCs w:val="18"/>
              </w:rPr>
              <w:t xml:space="preserve">Administrative Advice: </w:t>
            </w:r>
          </w:p>
          <w:p w14:paraId="5AC93696" w14:textId="77777777" w:rsidR="00D5438C" w:rsidRPr="001711AA" w:rsidRDefault="00D5438C" w:rsidP="00115C14">
            <w:pPr>
              <w:rPr>
                <w:rFonts w:ascii="Arial Narrow" w:eastAsiaTheme="majorEastAsia" w:hAnsi="Arial Narrow"/>
                <w:bCs/>
                <w:iCs/>
                <w:sz w:val="18"/>
                <w:szCs w:val="18"/>
              </w:rPr>
            </w:pPr>
            <w:r w:rsidRPr="001711AA">
              <w:rPr>
                <w:rFonts w:ascii="Arial Narrow" w:eastAsiaTheme="majorEastAsia" w:hAnsi="Arial Narrow"/>
                <w:bCs/>
                <w:iCs/>
                <w:sz w:val="18"/>
                <w:szCs w:val="18"/>
              </w:rPr>
              <w:t>This grandfather restriction will cease to operate from 12 months after the date specified in the clinical criteria.</w:t>
            </w:r>
          </w:p>
        </w:tc>
      </w:tr>
      <w:tr w:rsidR="00D5438C" w:rsidRPr="009A63E2" w14:paraId="7B547627" w14:textId="77777777" w:rsidTr="001711AA">
        <w:trPr>
          <w:cantSplit/>
          <w:trHeight w:val="294"/>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A7F3E5" w14:textId="2A51A2AF" w:rsidR="00D5438C" w:rsidRPr="001711AA" w:rsidRDefault="00D5438C" w:rsidP="00115C14">
            <w:pPr>
              <w:jc w:val="center"/>
              <w:rPr>
                <w:rFonts w:ascii="Arial Narrow" w:hAnsi="Arial Narrow"/>
                <w:iCs/>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A4476D3" w14:textId="77777777" w:rsidR="00D5438C" w:rsidRPr="001711AA" w:rsidRDefault="00D5438C" w:rsidP="00115C14">
            <w:pPr>
              <w:pStyle w:val="TableText"/>
              <w:keepNext w:val="0"/>
              <w:spacing w:line="256" w:lineRule="auto"/>
              <w:rPr>
                <w:b/>
                <w:bCs w:val="0"/>
                <w:iCs/>
                <w:sz w:val="18"/>
                <w:szCs w:val="18"/>
                <w:lang w:eastAsia="en-US"/>
              </w:rPr>
            </w:pPr>
            <w:r w:rsidRPr="001711AA">
              <w:rPr>
                <w:b/>
                <w:bCs w:val="0"/>
                <w:iCs/>
                <w:sz w:val="18"/>
                <w:szCs w:val="18"/>
                <w:lang w:eastAsia="en-US"/>
              </w:rPr>
              <w:t xml:space="preserve">Administrative Advice: </w:t>
            </w:r>
          </w:p>
          <w:p w14:paraId="3F8F664D" w14:textId="77777777" w:rsidR="00D5438C" w:rsidRPr="001711AA" w:rsidRDefault="00D5438C" w:rsidP="00115C14">
            <w:pPr>
              <w:pStyle w:val="TableText"/>
              <w:keepNext w:val="0"/>
              <w:spacing w:line="256" w:lineRule="auto"/>
              <w:rPr>
                <w:rFonts w:eastAsia="Times New Roman"/>
                <w:b/>
                <w:bCs w:val="0"/>
                <w:iCs/>
                <w:color w:val="333333"/>
                <w:sz w:val="18"/>
                <w:szCs w:val="18"/>
                <w:lang w:eastAsia="en-US"/>
              </w:rPr>
            </w:pPr>
            <w:r w:rsidRPr="001711AA">
              <w:rPr>
                <w:iCs/>
                <w:sz w:val="18"/>
                <w:szCs w:val="18"/>
                <w:lang w:eastAsia="en-US"/>
              </w:rPr>
              <w:t>Patients may qualify for PBS-subsidised treatment under this restriction once only per eye. For continuing PBS-subsidised treatment, a 'Grandfathered' patient must qualify under the 'Continuing treatment' criteria.</w:t>
            </w:r>
          </w:p>
        </w:tc>
      </w:tr>
      <w:tr w:rsidR="00D5438C" w14:paraId="301DD692" w14:textId="77777777" w:rsidTr="00115C14">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245C2BB" w14:textId="18DAD357" w:rsidR="00D5438C" w:rsidRPr="001711AA" w:rsidRDefault="00D5438C" w:rsidP="00115C14">
            <w:pPr>
              <w:jc w:val="center"/>
              <w:rPr>
                <w:rFonts w:ascii="Arial Narrow" w:hAnsi="Arial Narrow"/>
                <w:iCs/>
                <w:color w:val="333333"/>
                <w:sz w:val="18"/>
                <w:szCs w:val="18"/>
              </w:rPr>
            </w:pPr>
          </w:p>
        </w:tc>
        <w:tc>
          <w:tcPr>
            <w:tcW w:w="779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94C76D7" w14:textId="77777777" w:rsidR="00D5438C" w:rsidRPr="001711AA" w:rsidRDefault="00D5438C" w:rsidP="00115C14">
            <w:pPr>
              <w:pStyle w:val="TableText"/>
              <w:keepNext w:val="0"/>
              <w:spacing w:line="256" w:lineRule="auto"/>
              <w:rPr>
                <w:iCs/>
                <w:sz w:val="18"/>
                <w:szCs w:val="18"/>
                <w:lang w:eastAsia="en-US"/>
              </w:rPr>
            </w:pPr>
            <w:r w:rsidRPr="001711AA">
              <w:rPr>
                <w:rFonts w:eastAsia="Times New Roman"/>
                <w:b/>
                <w:bCs w:val="0"/>
                <w:iCs/>
                <w:color w:val="333333"/>
                <w:sz w:val="18"/>
                <w:szCs w:val="18"/>
                <w:lang w:eastAsia="en-US"/>
              </w:rPr>
              <w:t xml:space="preserve">Prescribing Instructions: </w:t>
            </w:r>
          </w:p>
          <w:p w14:paraId="05782080" w14:textId="77777777" w:rsidR="00D5438C" w:rsidRPr="001711AA" w:rsidRDefault="00D5438C" w:rsidP="00115C14">
            <w:pPr>
              <w:pStyle w:val="TableText"/>
              <w:keepNext w:val="0"/>
              <w:spacing w:line="256" w:lineRule="auto"/>
              <w:rPr>
                <w:iCs/>
                <w:sz w:val="18"/>
                <w:szCs w:val="18"/>
                <w:lang w:eastAsia="en-US"/>
              </w:rPr>
            </w:pPr>
            <w:r w:rsidRPr="001711AA">
              <w:rPr>
                <w:iCs/>
                <w:sz w:val="18"/>
                <w:szCs w:val="18"/>
                <w:lang w:eastAsia="en-US"/>
              </w:rPr>
              <w:t>The first authority application for each eye must be made in writing.</w:t>
            </w:r>
          </w:p>
          <w:p w14:paraId="6C8394DB" w14:textId="77777777" w:rsidR="00D5438C" w:rsidRPr="001711AA" w:rsidRDefault="00D5438C" w:rsidP="00115C14">
            <w:pPr>
              <w:pStyle w:val="TableText"/>
              <w:keepNext w:val="0"/>
              <w:spacing w:line="256" w:lineRule="auto"/>
              <w:rPr>
                <w:iCs/>
                <w:sz w:val="18"/>
                <w:szCs w:val="18"/>
                <w:lang w:eastAsia="en-US"/>
              </w:rPr>
            </w:pPr>
            <w:r w:rsidRPr="001711AA">
              <w:rPr>
                <w:iCs/>
                <w:sz w:val="18"/>
                <w:szCs w:val="18"/>
                <w:lang w:eastAsia="en-US"/>
              </w:rPr>
              <w:t>A written application must include:</w:t>
            </w:r>
          </w:p>
          <w:p w14:paraId="0EF284E8" w14:textId="77777777" w:rsidR="00D5438C" w:rsidRPr="001711AA" w:rsidRDefault="00D5438C" w:rsidP="00115C14">
            <w:pPr>
              <w:pStyle w:val="TableText"/>
              <w:keepNext w:val="0"/>
              <w:spacing w:line="256" w:lineRule="auto"/>
              <w:rPr>
                <w:iCs/>
                <w:sz w:val="18"/>
                <w:szCs w:val="18"/>
                <w:lang w:eastAsia="en-US"/>
              </w:rPr>
            </w:pPr>
            <w:r w:rsidRPr="001711AA">
              <w:rPr>
                <w:iCs/>
                <w:sz w:val="18"/>
                <w:szCs w:val="18"/>
                <w:lang w:eastAsia="en-US"/>
              </w:rPr>
              <w:t>a) a completed authority prescription form;</w:t>
            </w:r>
          </w:p>
          <w:p w14:paraId="08E168C3" w14:textId="6A3B39D1" w:rsidR="00D5438C" w:rsidRPr="001711AA" w:rsidRDefault="00D5438C" w:rsidP="00115C14">
            <w:pPr>
              <w:pStyle w:val="TableText"/>
              <w:keepNext w:val="0"/>
              <w:spacing w:line="256" w:lineRule="auto"/>
              <w:rPr>
                <w:iCs/>
                <w:sz w:val="18"/>
                <w:szCs w:val="18"/>
                <w:lang w:eastAsia="en-US"/>
              </w:rPr>
            </w:pPr>
            <w:r w:rsidRPr="001711AA">
              <w:rPr>
                <w:iCs/>
                <w:sz w:val="18"/>
                <w:szCs w:val="18"/>
                <w:lang w:eastAsia="en-US"/>
              </w:rPr>
              <w:t>b) a completed Subfoveal Choroidal Neovascularisation (CNV) - PBS Supporting Information Form; and</w:t>
            </w:r>
          </w:p>
          <w:p w14:paraId="4A7CC852" w14:textId="77777777" w:rsidR="00D5438C" w:rsidRPr="001711AA" w:rsidRDefault="00D5438C" w:rsidP="00115C14">
            <w:pPr>
              <w:pStyle w:val="TableText"/>
              <w:keepNext w:val="0"/>
              <w:spacing w:line="256" w:lineRule="auto"/>
              <w:rPr>
                <w:rFonts w:eastAsia="Times New Roman"/>
                <w:b/>
                <w:bCs w:val="0"/>
                <w:iCs/>
                <w:color w:val="333333"/>
                <w:sz w:val="18"/>
                <w:szCs w:val="18"/>
                <w:lang w:eastAsia="en-US"/>
              </w:rPr>
            </w:pPr>
            <w:r w:rsidRPr="001711AA">
              <w:rPr>
                <w:iCs/>
                <w:sz w:val="18"/>
                <w:szCs w:val="18"/>
                <w:lang w:eastAsia="en-US"/>
              </w:rPr>
              <w:t>c) a copy of the optical coherence tomography or fluorescein angiogram report.</w:t>
            </w:r>
          </w:p>
        </w:tc>
      </w:tr>
    </w:tbl>
    <w:p w14:paraId="71DA4C74" w14:textId="77777777" w:rsidR="00755BDA" w:rsidRPr="00755BDA" w:rsidRDefault="00755BDA" w:rsidP="00D46FFE">
      <w:pPr>
        <w:widowControl w:val="0"/>
        <w:rPr>
          <w:rFonts w:asciiTheme="minorHAnsi" w:hAnsiTheme="minorHAnsi"/>
          <w:bCs/>
          <w:snapToGrid w:val="0"/>
        </w:rPr>
      </w:pPr>
    </w:p>
    <w:p w14:paraId="522A049A" w14:textId="1DEA7A30" w:rsidR="00C62209" w:rsidRDefault="00D46FFE" w:rsidP="00D46FFE">
      <w:pPr>
        <w:widowControl w:val="0"/>
        <w:rPr>
          <w:rFonts w:asciiTheme="minorHAnsi" w:hAnsiTheme="minorHAnsi"/>
          <w:b/>
          <w:bCs/>
          <w:i/>
          <w:szCs w:val="22"/>
        </w:rPr>
      </w:pPr>
      <w:r w:rsidRPr="00BB6D30">
        <w:rPr>
          <w:rFonts w:asciiTheme="minorHAnsi" w:hAnsiTheme="minorHAnsi"/>
          <w:b/>
          <w:bCs/>
          <w:i/>
          <w:szCs w:val="22"/>
        </w:rPr>
        <w:t>This restriction may be subject to further review. Should there be any changes made to the restriction the sponsor will be informed</w:t>
      </w:r>
      <w:bookmarkEnd w:id="39"/>
    </w:p>
    <w:p w14:paraId="0D922F4D" w14:textId="4FEA54D7" w:rsidR="00C62209" w:rsidRDefault="00C62209" w:rsidP="00C62209">
      <w:pPr>
        <w:pStyle w:val="2-SectionHeading"/>
        <w:rPr>
          <w:bCs/>
          <w:lang w:val="en-GB"/>
        </w:rPr>
      </w:pPr>
      <w:r w:rsidRPr="00C07617">
        <w:t>Context for Decision</w:t>
      </w:r>
    </w:p>
    <w:p w14:paraId="3C2D51DF" w14:textId="77777777" w:rsidR="00C62209" w:rsidRPr="007129F2" w:rsidRDefault="00C62209" w:rsidP="00C949E0">
      <w:pPr>
        <w:pStyle w:val="ExecSumBodyText"/>
        <w:numPr>
          <w:ilvl w:val="0"/>
          <w:numId w:val="0"/>
        </w:numPr>
        <w:ind w:left="720"/>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1AABAFE" w14:textId="4C7C9623" w:rsidR="00C62209" w:rsidRPr="00C07617" w:rsidRDefault="00C62209" w:rsidP="00C62209">
      <w:pPr>
        <w:pStyle w:val="2-SectionHeading"/>
      </w:pPr>
      <w:r>
        <w:t>Sponsor’s Comment</w:t>
      </w:r>
    </w:p>
    <w:p w14:paraId="2D78F019" w14:textId="036CA4B3" w:rsidR="009438B4" w:rsidRDefault="009438B4" w:rsidP="00C949E0">
      <w:pPr>
        <w:pStyle w:val="ExecSumBodyText"/>
        <w:numPr>
          <w:ilvl w:val="0"/>
          <w:numId w:val="0"/>
        </w:numPr>
        <w:ind w:left="720"/>
        <w:rPr>
          <w:lang w:val="en-GB"/>
        </w:rPr>
      </w:pPr>
      <w:r w:rsidRPr="002B42D4">
        <w:rPr>
          <w:lang w:val="en-GB"/>
        </w:rPr>
        <w:t xml:space="preserve">Roche welcomes the PBAC’s decision to recommend </w:t>
      </w:r>
      <w:r>
        <w:rPr>
          <w:lang w:val="en-GB"/>
        </w:rPr>
        <w:t>faricimab</w:t>
      </w:r>
      <w:r w:rsidRPr="002B42D4">
        <w:rPr>
          <w:lang w:val="en-GB"/>
        </w:rPr>
        <w:t xml:space="preserve"> for the treatment of patients with </w:t>
      </w:r>
      <w:r>
        <w:rPr>
          <w:lang w:val="en-GB"/>
        </w:rPr>
        <w:t>neovascular age-related macular degeneration.</w:t>
      </w:r>
    </w:p>
    <w:p w14:paraId="542E4176" w14:textId="50B1F869" w:rsidR="00C62209" w:rsidRPr="00755BDA" w:rsidRDefault="009438B4" w:rsidP="00755BDA">
      <w:pPr>
        <w:pStyle w:val="ExecSumBodyText"/>
        <w:numPr>
          <w:ilvl w:val="0"/>
          <w:numId w:val="0"/>
        </w:numPr>
        <w:ind w:left="720"/>
      </w:pPr>
      <w:r w:rsidRPr="002B42D4">
        <w:rPr>
          <w:lang w:val="en-GB"/>
        </w:rPr>
        <w:t>Roche are working with the Department of Health</w:t>
      </w:r>
      <w:r>
        <w:rPr>
          <w:lang w:val="en-GB"/>
        </w:rPr>
        <w:t xml:space="preserve"> </w:t>
      </w:r>
      <w:r w:rsidRPr="002B42D4">
        <w:rPr>
          <w:lang w:val="en-GB"/>
        </w:rPr>
        <w:t>towards a PBS listing at the earliest opportunity.</w:t>
      </w:r>
    </w:p>
    <w:sectPr w:rsidR="00C62209" w:rsidRPr="00755BDA" w:rsidSect="00251006">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21631" w14:textId="77777777" w:rsidR="00786949" w:rsidRDefault="00786949" w:rsidP="00124A51">
      <w:r>
        <w:separator/>
      </w:r>
    </w:p>
    <w:p w14:paraId="094A3A22" w14:textId="77777777" w:rsidR="00786949" w:rsidRDefault="00786949"/>
  </w:endnote>
  <w:endnote w:type="continuationSeparator" w:id="0">
    <w:p w14:paraId="741DF154" w14:textId="77777777" w:rsidR="00786949" w:rsidRDefault="00786949" w:rsidP="00124A51">
      <w:r>
        <w:continuationSeparator/>
      </w:r>
    </w:p>
    <w:p w14:paraId="3BC02644" w14:textId="77777777" w:rsidR="00786949" w:rsidRDefault="00786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B5F49" w14:textId="77777777" w:rsidR="00786949" w:rsidRDefault="00786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7605251"/>
      <w:docPartObj>
        <w:docPartGallery w:val="Page Numbers (Bottom of Page)"/>
        <w:docPartUnique/>
      </w:docPartObj>
    </w:sdtPr>
    <w:sdtEndPr>
      <w:rPr>
        <w:b/>
        <w:bCs/>
        <w:noProof/>
      </w:rPr>
    </w:sdtEndPr>
    <w:sdtContent>
      <w:p w14:paraId="10340E92" w14:textId="77777777" w:rsidR="00FC490F" w:rsidRDefault="00FC490F">
        <w:pPr>
          <w:pStyle w:val="Footer"/>
          <w:jc w:val="center"/>
        </w:pPr>
      </w:p>
      <w:p w14:paraId="5F6A8A64" w14:textId="127AE872" w:rsidR="00786949" w:rsidRPr="000D17EF" w:rsidRDefault="00786949">
        <w:pPr>
          <w:pStyle w:val="Footer"/>
          <w:jc w:val="center"/>
          <w:rPr>
            <w:b/>
            <w:bCs/>
          </w:rPr>
        </w:pPr>
        <w:r w:rsidRPr="000D17EF">
          <w:rPr>
            <w:b/>
            <w:bCs/>
          </w:rPr>
          <w:fldChar w:fldCharType="begin"/>
        </w:r>
        <w:r w:rsidRPr="000D17EF">
          <w:rPr>
            <w:b/>
            <w:bCs/>
          </w:rPr>
          <w:instrText xml:space="preserve"> PAGE   \* MERGEFORMAT </w:instrText>
        </w:r>
        <w:r w:rsidRPr="000D17EF">
          <w:rPr>
            <w:b/>
            <w:bCs/>
          </w:rPr>
          <w:fldChar w:fldCharType="separate"/>
        </w:r>
        <w:r>
          <w:rPr>
            <w:b/>
            <w:bCs/>
            <w:noProof/>
          </w:rPr>
          <w:t>27</w:t>
        </w:r>
        <w:r w:rsidRPr="000D17EF">
          <w:rPr>
            <w:b/>
            <w:bCs/>
            <w:noProof/>
          </w:rPr>
          <w:fldChar w:fldCharType="end"/>
        </w:r>
      </w:p>
    </w:sdtContent>
  </w:sdt>
  <w:p w14:paraId="1F0493E5" w14:textId="01BA3406" w:rsidR="00786949" w:rsidRPr="000D17EF" w:rsidRDefault="00786949" w:rsidP="002D21EA">
    <w:pPr>
      <w:pStyle w:val="Footer"/>
      <w:jc w:val="cen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4465C" w14:textId="77777777" w:rsidR="00786949" w:rsidRDefault="00786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A6898" w14:textId="77777777" w:rsidR="00786949" w:rsidRDefault="00786949" w:rsidP="00124A51">
      <w:r>
        <w:separator/>
      </w:r>
    </w:p>
    <w:p w14:paraId="7BBB7126" w14:textId="77777777" w:rsidR="00786949" w:rsidRDefault="00786949"/>
  </w:footnote>
  <w:footnote w:type="continuationSeparator" w:id="0">
    <w:p w14:paraId="0B6FC8FF" w14:textId="77777777" w:rsidR="00786949" w:rsidRDefault="00786949" w:rsidP="00124A51">
      <w:r>
        <w:continuationSeparator/>
      </w:r>
    </w:p>
    <w:p w14:paraId="5A7E9688" w14:textId="77777777" w:rsidR="00786949" w:rsidRDefault="00786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85935" w14:textId="77777777" w:rsidR="00786949" w:rsidRDefault="00786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75E68" w14:textId="568FB3DF" w:rsidR="00786949" w:rsidRPr="00056684" w:rsidRDefault="00786949" w:rsidP="000D17EF">
    <w:pPr>
      <w:pStyle w:val="Header"/>
      <w:keepNext/>
      <w:ind w:left="360"/>
      <w:jc w:val="center"/>
      <w:rPr>
        <w:rFonts w:asciiTheme="minorHAnsi" w:hAnsiTheme="minorHAnsi"/>
        <w:i/>
        <w:color w:val="808080"/>
      </w:rPr>
    </w:pPr>
    <w:bookmarkStart w:id="41"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May 2022</w:t>
    </w:r>
    <w:r w:rsidRPr="00056684">
      <w:rPr>
        <w:rFonts w:asciiTheme="minorHAnsi" w:hAnsiTheme="minorHAnsi"/>
        <w:i/>
        <w:color w:val="808080"/>
      </w:rPr>
      <w:t xml:space="preserve"> PBAC </w:t>
    </w:r>
    <w:r>
      <w:rPr>
        <w:rFonts w:asciiTheme="minorHAnsi" w:hAnsiTheme="minorHAnsi"/>
        <w:i/>
        <w:color w:val="808080"/>
      </w:rPr>
      <w:t xml:space="preserve">Intracycle </w:t>
    </w:r>
    <w:r w:rsidRPr="00056684">
      <w:rPr>
        <w:rFonts w:asciiTheme="minorHAnsi" w:hAnsiTheme="minorHAnsi"/>
        <w:i/>
        <w:color w:val="808080"/>
      </w:rPr>
      <w:t>Meeting</w:t>
    </w:r>
  </w:p>
  <w:bookmarkEnd w:id="41"/>
  <w:p w14:paraId="01F0AB46" w14:textId="77777777" w:rsidR="00786949" w:rsidRDefault="007869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B7924" w14:textId="77777777" w:rsidR="00786949" w:rsidRDefault="00786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F392EC46"/>
    <w:lvl w:ilvl="0">
      <w:start w:val="1"/>
      <w:numFmt w:val="lowerLetter"/>
      <w:lvlText w:val="(%1)"/>
      <w:lvlJc w:val="left"/>
      <w:pPr>
        <w:tabs>
          <w:tab w:val="num" w:pos="360"/>
        </w:tabs>
        <w:ind w:left="360" w:hanging="360"/>
      </w:p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472F6A"/>
    <w:multiLevelType w:val="hybridMultilevel"/>
    <w:tmpl w:val="79BA604E"/>
    <w:lvl w:ilvl="0" w:tplc="85E07D1E">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8A2655"/>
    <w:multiLevelType w:val="hybridMultilevel"/>
    <w:tmpl w:val="EB8AB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2F2FD0"/>
    <w:multiLevelType w:val="hybridMultilevel"/>
    <w:tmpl w:val="5F001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D61166"/>
    <w:multiLevelType w:val="hybridMultilevel"/>
    <w:tmpl w:val="63DE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D302F1"/>
    <w:multiLevelType w:val="hybridMultilevel"/>
    <w:tmpl w:val="2684E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2128C5"/>
    <w:multiLevelType w:val="hybridMultilevel"/>
    <w:tmpl w:val="A21C9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B6274A"/>
    <w:multiLevelType w:val="hybridMultilevel"/>
    <w:tmpl w:val="36829262"/>
    <w:lvl w:ilvl="0" w:tplc="435437DC">
      <w:start w:val="1"/>
      <w:numFmt w:val="decimal"/>
      <w:lvlText w:val="%1."/>
      <w:lvlJc w:val="left"/>
      <w:pPr>
        <w:ind w:left="720" w:hanging="360"/>
      </w:pPr>
      <w:rPr>
        <w:rFonts w:hint="default"/>
        <w:b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D20F07"/>
    <w:multiLevelType w:val="hybridMultilevel"/>
    <w:tmpl w:val="4F3E8532"/>
    <w:lvl w:ilvl="0" w:tplc="32069BBA">
      <w:start w:val="1"/>
      <w:numFmt w:val="bullet"/>
      <w:lvlText w:val=""/>
      <w:lvlJc w:val="left"/>
      <w:pPr>
        <w:tabs>
          <w:tab w:val="num" w:pos="720"/>
        </w:tabs>
        <w:ind w:left="720" w:hanging="360"/>
      </w:pPr>
      <w:rPr>
        <w:rFonts w:ascii="Wingdings" w:hAnsi="Wingdings" w:hint="default"/>
      </w:rPr>
    </w:lvl>
    <w:lvl w:ilvl="1" w:tplc="C1C2E6B0">
      <w:start w:val="142"/>
      <w:numFmt w:val="bullet"/>
      <w:lvlText w:val=""/>
      <w:lvlJc w:val="left"/>
      <w:pPr>
        <w:tabs>
          <w:tab w:val="num" w:pos="1440"/>
        </w:tabs>
        <w:ind w:left="1440" w:hanging="360"/>
      </w:pPr>
      <w:rPr>
        <w:rFonts w:ascii="Wingdings" w:hAnsi="Wingdings" w:hint="default"/>
      </w:rPr>
    </w:lvl>
    <w:lvl w:ilvl="2" w:tplc="6EC6388A" w:tentative="1">
      <w:start w:val="1"/>
      <w:numFmt w:val="bullet"/>
      <w:lvlText w:val=""/>
      <w:lvlJc w:val="left"/>
      <w:pPr>
        <w:tabs>
          <w:tab w:val="num" w:pos="2160"/>
        </w:tabs>
        <w:ind w:left="2160" w:hanging="360"/>
      </w:pPr>
      <w:rPr>
        <w:rFonts w:ascii="Wingdings" w:hAnsi="Wingdings" w:hint="default"/>
      </w:rPr>
    </w:lvl>
    <w:lvl w:ilvl="3" w:tplc="7B36346A" w:tentative="1">
      <w:start w:val="1"/>
      <w:numFmt w:val="bullet"/>
      <w:lvlText w:val=""/>
      <w:lvlJc w:val="left"/>
      <w:pPr>
        <w:tabs>
          <w:tab w:val="num" w:pos="2880"/>
        </w:tabs>
        <w:ind w:left="2880" w:hanging="360"/>
      </w:pPr>
      <w:rPr>
        <w:rFonts w:ascii="Wingdings" w:hAnsi="Wingdings" w:hint="default"/>
      </w:rPr>
    </w:lvl>
    <w:lvl w:ilvl="4" w:tplc="21F2A90E" w:tentative="1">
      <w:start w:val="1"/>
      <w:numFmt w:val="bullet"/>
      <w:lvlText w:val=""/>
      <w:lvlJc w:val="left"/>
      <w:pPr>
        <w:tabs>
          <w:tab w:val="num" w:pos="3600"/>
        </w:tabs>
        <w:ind w:left="3600" w:hanging="360"/>
      </w:pPr>
      <w:rPr>
        <w:rFonts w:ascii="Wingdings" w:hAnsi="Wingdings" w:hint="default"/>
      </w:rPr>
    </w:lvl>
    <w:lvl w:ilvl="5" w:tplc="07140CF0" w:tentative="1">
      <w:start w:val="1"/>
      <w:numFmt w:val="bullet"/>
      <w:lvlText w:val=""/>
      <w:lvlJc w:val="left"/>
      <w:pPr>
        <w:tabs>
          <w:tab w:val="num" w:pos="4320"/>
        </w:tabs>
        <w:ind w:left="4320" w:hanging="360"/>
      </w:pPr>
      <w:rPr>
        <w:rFonts w:ascii="Wingdings" w:hAnsi="Wingdings" w:hint="default"/>
      </w:rPr>
    </w:lvl>
    <w:lvl w:ilvl="6" w:tplc="D28CECDC" w:tentative="1">
      <w:start w:val="1"/>
      <w:numFmt w:val="bullet"/>
      <w:lvlText w:val=""/>
      <w:lvlJc w:val="left"/>
      <w:pPr>
        <w:tabs>
          <w:tab w:val="num" w:pos="5040"/>
        </w:tabs>
        <w:ind w:left="5040" w:hanging="360"/>
      </w:pPr>
      <w:rPr>
        <w:rFonts w:ascii="Wingdings" w:hAnsi="Wingdings" w:hint="default"/>
      </w:rPr>
    </w:lvl>
    <w:lvl w:ilvl="7" w:tplc="3816F2B8" w:tentative="1">
      <w:start w:val="1"/>
      <w:numFmt w:val="bullet"/>
      <w:lvlText w:val=""/>
      <w:lvlJc w:val="left"/>
      <w:pPr>
        <w:tabs>
          <w:tab w:val="num" w:pos="5760"/>
        </w:tabs>
        <w:ind w:left="5760" w:hanging="360"/>
      </w:pPr>
      <w:rPr>
        <w:rFonts w:ascii="Wingdings" w:hAnsi="Wingdings" w:hint="default"/>
      </w:rPr>
    </w:lvl>
    <w:lvl w:ilvl="8" w:tplc="15CEE0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80B49"/>
    <w:multiLevelType w:val="hybridMultilevel"/>
    <w:tmpl w:val="60423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CD44D8"/>
    <w:multiLevelType w:val="multilevel"/>
    <w:tmpl w:val="C06EB96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442297"/>
    <w:multiLevelType w:val="hybridMultilevel"/>
    <w:tmpl w:val="9AC604C6"/>
    <w:lvl w:ilvl="0" w:tplc="70EED572">
      <w:start w:val="1"/>
      <w:numFmt w:val="bullet"/>
      <w:pStyle w:val="Bulletpoin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848B1"/>
    <w:multiLevelType w:val="multilevel"/>
    <w:tmpl w:val="CB12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333554"/>
    <w:multiLevelType w:val="hybridMultilevel"/>
    <w:tmpl w:val="7B54E324"/>
    <w:lvl w:ilvl="0" w:tplc="FC18B092">
      <w:start w:val="1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911B9C"/>
    <w:multiLevelType w:val="hybridMultilevel"/>
    <w:tmpl w:val="F06A97DE"/>
    <w:lvl w:ilvl="0" w:tplc="FD9CFF8A">
      <w:numFmt w:val="bullet"/>
      <w:lvlText w:val="-"/>
      <w:lvlJc w:val="left"/>
      <w:pPr>
        <w:ind w:left="1932" w:hanging="360"/>
      </w:pPr>
      <w:rPr>
        <w:rFonts w:ascii="Times New Roman" w:eastAsia="Times New Roman" w:hAnsi="Times New Roman" w:cs="Times New Roman" w:hint="default"/>
      </w:rPr>
    </w:lvl>
    <w:lvl w:ilvl="1" w:tplc="0C090003">
      <w:start w:val="1"/>
      <w:numFmt w:val="bullet"/>
      <w:lvlText w:val="o"/>
      <w:lvlJc w:val="left"/>
      <w:pPr>
        <w:ind w:left="2652" w:hanging="360"/>
      </w:pPr>
      <w:rPr>
        <w:rFonts w:ascii="Courier New" w:hAnsi="Courier New" w:cs="Courier New" w:hint="default"/>
      </w:rPr>
    </w:lvl>
    <w:lvl w:ilvl="2" w:tplc="0C090005" w:tentative="1">
      <w:start w:val="1"/>
      <w:numFmt w:val="bullet"/>
      <w:lvlText w:val=""/>
      <w:lvlJc w:val="left"/>
      <w:pPr>
        <w:ind w:left="3372" w:hanging="360"/>
      </w:pPr>
      <w:rPr>
        <w:rFonts w:ascii="Wingdings" w:hAnsi="Wingdings" w:hint="default"/>
      </w:rPr>
    </w:lvl>
    <w:lvl w:ilvl="3" w:tplc="0C090001" w:tentative="1">
      <w:start w:val="1"/>
      <w:numFmt w:val="bullet"/>
      <w:lvlText w:val=""/>
      <w:lvlJc w:val="left"/>
      <w:pPr>
        <w:ind w:left="4092" w:hanging="360"/>
      </w:pPr>
      <w:rPr>
        <w:rFonts w:ascii="Symbol" w:hAnsi="Symbol" w:hint="default"/>
      </w:rPr>
    </w:lvl>
    <w:lvl w:ilvl="4" w:tplc="0C090003" w:tentative="1">
      <w:start w:val="1"/>
      <w:numFmt w:val="bullet"/>
      <w:lvlText w:val="o"/>
      <w:lvlJc w:val="left"/>
      <w:pPr>
        <w:ind w:left="4812" w:hanging="360"/>
      </w:pPr>
      <w:rPr>
        <w:rFonts w:ascii="Courier New" w:hAnsi="Courier New" w:cs="Courier New" w:hint="default"/>
      </w:rPr>
    </w:lvl>
    <w:lvl w:ilvl="5" w:tplc="0C090005" w:tentative="1">
      <w:start w:val="1"/>
      <w:numFmt w:val="bullet"/>
      <w:lvlText w:val=""/>
      <w:lvlJc w:val="left"/>
      <w:pPr>
        <w:ind w:left="5532" w:hanging="360"/>
      </w:pPr>
      <w:rPr>
        <w:rFonts w:ascii="Wingdings" w:hAnsi="Wingdings" w:hint="default"/>
      </w:rPr>
    </w:lvl>
    <w:lvl w:ilvl="6" w:tplc="0C090001" w:tentative="1">
      <w:start w:val="1"/>
      <w:numFmt w:val="bullet"/>
      <w:lvlText w:val=""/>
      <w:lvlJc w:val="left"/>
      <w:pPr>
        <w:ind w:left="6252" w:hanging="360"/>
      </w:pPr>
      <w:rPr>
        <w:rFonts w:ascii="Symbol" w:hAnsi="Symbol" w:hint="default"/>
      </w:rPr>
    </w:lvl>
    <w:lvl w:ilvl="7" w:tplc="0C090003" w:tentative="1">
      <w:start w:val="1"/>
      <w:numFmt w:val="bullet"/>
      <w:lvlText w:val="o"/>
      <w:lvlJc w:val="left"/>
      <w:pPr>
        <w:ind w:left="6972" w:hanging="360"/>
      </w:pPr>
      <w:rPr>
        <w:rFonts w:ascii="Courier New" w:hAnsi="Courier New" w:cs="Courier New" w:hint="default"/>
      </w:rPr>
    </w:lvl>
    <w:lvl w:ilvl="8" w:tplc="0C090005" w:tentative="1">
      <w:start w:val="1"/>
      <w:numFmt w:val="bullet"/>
      <w:lvlText w:val=""/>
      <w:lvlJc w:val="left"/>
      <w:pPr>
        <w:ind w:left="7692" w:hanging="360"/>
      </w:pPr>
      <w:rPr>
        <w:rFonts w:ascii="Wingdings" w:hAnsi="Wingding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6033F78"/>
    <w:multiLevelType w:val="hybridMultilevel"/>
    <w:tmpl w:val="0BB0B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E84D02"/>
    <w:multiLevelType w:val="hybridMultilevel"/>
    <w:tmpl w:val="FC2CC5E0"/>
    <w:lvl w:ilvl="0" w:tplc="07025B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5515F5"/>
    <w:multiLevelType w:val="hybridMultilevel"/>
    <w:tmpl w:val="0CF8C6E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257BA2"/>
    <w:multiLevelType w:val="hybridMultilevel"/>
    <w:tmpl w:val="8D22F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AC4DEF"/>
    <w:multiLevelType w:val="hybridMultilevel"/>
    <w:tmpl w:val="F8C0764C"/>
    <w:lvl w:ilvl="0" w:tplc="D442A5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1"/>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18"/>
  </w:num>
  <w:num w:numId="9">
    <w:abstractNumId w:val="11"/>
  </w:num>
  <w:num w:numId="10">
    <w:abstractNumId w:val="22"/>
  </w:num>
  <w:num w:numId="11">
    <w:abstractNumId w:val="9"/>
  </w:num>
  <w:num w:numId="12">
    <w:abstractNumId w:val="3"/>
  </w:num>
  <w:num w:numId="13">
    <w:abstractNumId w:val="8"/>
  </w:num>
  <w:num w:numId="14">
    <w:abstractNumId w:val="21"/>
  </w:num>
  <w:num w:numId="15">
    <w:abstractNumId w:val="28"/>
  </w:num>
  <w:num w:numId="16">
    <w:abstractNumId w:val="28"/>
  </w:num>
  <w:num w:numId="17">
    <w:abstractNumId w:val="24"/>
  </w:num>
  <w:num w:numId="18">
    <w:abstractNumId w:val="29"/>
  </w:num>
  <w:num w:numId="19">
    <w:abstractNumId w:val="16"/>
  </w:num>
  <w:num w:numId="20">
    <w:abstractNumId w:val="28"/>
  </w:num>
  <w:num w:numId="21">
    <w:abstractNumId w:val="28"/>
  </w:num>
  <w:num w:numId="22">
    <w:abstractNumId w:val="28"/>
  </w:num>
  <w:num w:numId="23">
    <w:abstractNumId w:val="28"/>
  </w:num>
  <w:num w:numId="24">
    <w:abstractNumId w:val="30"/>
  </w:num>
  <w:num w:numId="25">
    <w:abstractNumId w:val="7"/>
  </w:num>
  <w:num w:numId="26">
    <w:abstractNumId w:val="28"/>
  </w:num>
  <w:num w:numId="27">
    <w:abstractNumId w:val="28"/>
  </w:num>
  <w:num w:numId="28">
    <w:abstractNumId w:val="28"/>
  </w:num>
  <w:num w:numId="29">
    <w:abstractNumId w:val="28"/>
  </w:num>
  <w:num w:numId="30">
    <w:abstractNumId w:val="4"/>
  </w:num>
  <w:num w:numId="31">
    <w:abstractNumId w:val="19"/>
  </w:num>
  <w:num w:numId="32">
    <w:abstractNumId w:val="20"/>
  </w:num>
  <w:num w:numId="33">
    <w:abstractNumId w:val="6"/>
  </w:num>
  <w:num w:numId="34">
    <w:abstractNumId w:val="2"/>
  </w:num>
  <w:num w:numId="35">
    <w:abstractNumId w:val="12"/>
  </w:num>
  <w:num w:numId="36">
    <w:abstractNumId w:val="13"/>
  </w:num>
  <w:num w:numId="37">
    <w:abstractNumId w:val="10"/>
  </w:num>
  <w:num w:numId="3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0"/>
  </w:num>
  <w:num w:numId="41">
    <w:abstractNumId w:val="28"/>
  </w:num>
  <w:num w:numId="42">
    <w:abstractNumId w:val="28"/>
  </w:num>
  <w:num w:numId="43">
    <w:abstractNumId w:val="28"/>
  </w:num>
  <w:num w:numId="44">
    <w:abstractNumId w:val="27"/>
  </w:num>
  <w:num w:numId="45">
    <w:abstractNumId w:val="14"/>
  </w:num>
  <w:num w:numId="4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FE1"/>
    <w:rsid w:val="0000110B"/>
    <w:rsid w:val="0000163C"/>
    <w:rsid w:val="00002EA9"/>
    <w:rsid w:val="00003499"/>
    <w:rsid w:val="000039B7"/>
    <w:rsid w:val="00003B94"/>
    <w:rsid w:val="000048F7"/>
    <w:rsid w:val="0000620A"/>
    <w:rsid w:val="0000639A"/>
    <w:rsid w:val="000065AD"/>
    <w:rsid w:val="0001062B"/>
    <w:rsid w:val="00010ED6"/>
    <w:rsid w:val="00012637"/>
    <w:rsid w:val="00013247"/>
    <w:rsid w:val="00013B4C"/>
    <w:rsid w:val="000152A5"/>
    <w:rsid w:val="000157E0"/>
    <w:rsid w:val="00015886"/>
    <w:rsid w:val="000162EF"/>
    <w:rsid w:val="0001788C"/>
    <w:rsid w:val="00017F29"/>
    <w:rsid w:val="000207C9"/>
    <w:rsid w:val="0002225F"/>
    <w:rsid w:val="00023763"/>
    <w:rsid w:val="000241F8"/>
    <w:rsid w:val="00024219"/>
    <w:rsid w:val="000244A0"/>
    <w:rsid w:val="00024EDB"/>
    <w:rsid w:val="0002543B"/>
    <w:rsid w:val="000259D4"/>
    <w:rsid w:val="000274B8"/>
    <w:rsid w:val="00031117"/>
    <w:rsid w:val="00031265"/>
    <w:rsid w:val="000326F3"/>
    <w:rsid w:val="00033863"/>
    <w:rsid w:val="00035DA1"/>
    <w:rsid w:val="00035DC0"/>
    <w:rsid w:val="00036829"/>
    <w:rsid w:val="00037914"/>
    <w:rsid w:val="000400B5"/>
    <w:rsid w:val="00040895"/>
    <w:rsid w:val="00040AE9"/>
    <w:rsid w:val="000435EE"/>
    <w:rsid w:val="00043C37"/>
    <w:rsid w:val="00044971"/>
    <w:rsid w:val="00045017"/>
    <w:rsid w:val="00045A2B"/>
    <w:rsid w:val="0004698F"/>
    <w:rsid w:val="000469DF"/>
    <w:rsid w:val="000474A6"/>
    <w:rsid w:val="000500EF"/>
    <w:rsid w:val="000519F9"/>
    <w:rsid w:val="00053555"/>
    <w:rsid w:val="000539D0"/>
    <w:rsid w:val="00054621"/>
    <w:rsid w:val="000546D7"/>
    <w:rsid w:val="0005470D"/>
    <w:rsid w:val="00055083"/>
    <w:rsid w:val="00055706"/>
    <w:rsid w:val="00056A85"/>
    <w:rsid w:val="00056ECF"/>
    <w:rsid w:val="0005721B"/>
    <w:rsid w:val="0005772D"/>
    <w:rsid w:val="0005784A"/>
    <w:rsid w:val="00060361"/>
    <w:rsid w:val="00060481"/>
    <w:rsid w:val="000604DF"/>
    <w:rsid w:val="000611E2"/>
    <w:rsid w:val="000653B5"/>
    <w:rsid w:val="00065515"/>
    <w:rsid w:val="00066360"/>
    <w:rsid w:val="0006658B"/>
    <w:rsid w:val="0006681F"/>
    <w:rsid w:val="00066AF8"/>
    <w:rsid w:val="0006791D"/>
    <w:rsid w:val="0007050D"/>
    <w:rsid w:val="00071248"/>
    <w:rsid w:val="00071769"/>
    <w:rsid w:val="00071FF6"/>
    <w:rsid w:val="000720B9"/>
    <w:rsid w:val="00072549"/>
    <w:rsid w:val="00072DE2"/>
    <w:rsid w:val="000731E0"/>
    <w:rsid w:val="0007325E"/>
    <w:rsid w:val="000737F7"/>
    <w:rsid w:val="00074E89"/>
    <w:rsid w:val="00075BED"/>
    <w:rsid w:val="0007672F"/>
    <w:rsid w:val="00076B24"/>
    <w:rsid w:val="00076B54"/>
    <w:rsid w:val="000774F0"/>
    <w:rsid w:val="00080909"/>
    <w:rsid w:val="000812CA"/>
    <w:rsid w:val="00081E63"/>
    <w:rsid w:val="0008258D"/>
    <w:rsid w:val="000838F6"/>
    <w:rsid w:val="00083E99"/>
    <w:rsid w:val="00084FA8"/>
    <w:rsid w:val="000856AA"/>
    <w:rsid w:val="000856C5"/>
    <w:rsid w:val="00085C31"/>
    <w:rsid w:val="0008689D"/>
    <w:rsid w:val="000902D9"/>
    <w:rsid w:val="00090C7E"/>
    <w:rsid w:val="00091241"/>
    <w:rsid w:val="00091427"/>
    <w:rsid w:val="000916D8"/>
    <w:rsid w:val="000925CC"/>
    <w:rsid w:val="00092600"/>
    <w:rsid w:val="0009262B"/>
    <w:rsid w:val="000926C6"/>
    <w:rsid w:val="00093310"/>
    <w:rsid w:val="0009445C"/>
    <w:rsid w:val="0009466D"/>
    <w:rsid w:val="00095200"/>
    <w:rsid w:val="000953EE"/>
    <w:rsid w:val="00095B28"/>
    <w:rsid w:val="00095E84"/>
    <w:rsid w:val="00095FE5"/>
    <w:rsid w:val="00096284"/>
    <w:rsid w:val="000969E9"/>
    <w:rsid w:val="00097F62"/>
    <w:rsid w:val="000A09E0"/>
    <w:rsid w:val="000A0B97"/>
    <w:rsid w:val="000A1BC0"/>
    <w:rsid w:val="000A42AB"/>
    <w:rsid w:val="000A5F5E"/>
    <w:rsid w:val="000A6039"/>
    <w:rsid w:val="000A7453"/>
    <w:rsid w:val="000A7D08"/>
    <w:rsid w:val="000B0121"/>
    <w:rsid w:val="000B0670"/>
    <w:rsid w:val="000B0E75"/>
    <w:rsid w:val="000B2679"/>
    <w:rsid w:val="000B2946"/>
    <w:rsid w:val="000B2DCB"/>
    <w:rsid w:val="000B4A63"/>
    <w:rsid w:val="000B5CE0"/>
    <w:rsid w:val="000B5E4B"/>
    <w:rsid w:val="000B6142"/>
    <w:rsid w:val="000B620B"/>
    <w:rsid w:val="000B6CAC"/>
    <w:rsid w:val="000B7612"/>
    <w:rsid w:val="000B7775"/>
    <w:rsid w:val="000B78AE"/>
    <w:rsid w:val="000C35FA"/>
    <w:rsid w:val="000C3DF9"/>
    <w:rsid w:val="000C4340"/>
    <w:rsid w:val="000C6713"/>
    <w:rsid w:val="000D070B"/>
    <w:rsid w:val="000D0D05"/>
    <w:rsid w:val="000D17EF"/>
    <w:rsid w:val="000D1BFC"/>
    <w:rsid w:val="000D1D5D"/>
    <w:rsid w:val="000D1F7B"/>
    <w:rsid w:val="000D281A"/>
    <w:rsid w:val="000D2848"/>
    <w:rsid w:val="000D2B17"/>
    <w:rsid w:val="000D326A"/>
    <w:rsid w:val="000D363C"/>
    <w:rsid w:val="000D36E6"/>
    <w:rsid w:val="000D4853"/>
    <w:rsid w:val="000D51FB"/>
    <w:rsid w:val="000D5910"/>
    <w:rsid w:val="000D5A7C"/>
    <w:rsid w:val="000D68C3"/>
    <w:rsid w:val="000D6C1B"/>
    <w:rsid w:val="000E0640"/>
    <w:rsid w:val="000E135D"/>
    <w:rsid w:val="000E217A"/>
    <w:rsid w:val="000E2217"/>
    <w:rsid w:val="000E2EE1"/>
    <w:rsid w:val="000E305B"/>
    <w:rsid w:val="000E354A"/>
    <w:rsid w:val="000E4133"/>
    <w:rsid w:val="000E47EF"/>
    <w:rsid w:val="000E568A"/>
    <w:rsid w:val="000E7530"/>
    <w:rsid w:val="000E7F13"/>
    <w:rsid w:val="000F00BA"/>
    <w:rsid w:val="000F0E8A"/>
    <w:rsid w:val="000F1A5A"/>
    <w:rsid w:val="000F2934"/>
    <w:rsid w:val="000F316A"/>
    <w:rsid w:val="000F3C74"/>
    <w:rsid w:val="000F4BB8"/>
    <w:rsid w:val="000F4EDA"/>
    <w:rsid w:val="000F4FA9"/>
    <w:rsid w:val="000F53FB"/>
    <w:rsid w:val="000F54C8"/>
    <w:rsid w:val="000F5A3B"/>
    <w:rsid w:val="000F647D"/>
    <w:rsid w:val="000F7127"/>
    <w:rsid w:val="000F7B54"/>
    <w:rsid w:val="001006DE"/>
    <w:rsid w:val="00100F8A"/>
    <w:rsid w:val="00102152"/>
    <w:rsid w:val="00102488"/>
    <w:rsid w:val="00103099"/>
    <w:rsid w:val="0010452E"/>
    <w:rsid w:val="00105048"/>
    <w:rsid w:val="00105AE2"/>
    <w:rsid w:val="001060C6"/>
    <w:rsid w:val="00106B01"/>
    <w:rsid w:val="00106B80"/>
    <w:rsid w:val="00107A4F"/>
    <w:rsid w:val="0011032E"/>
    <w:rsid w:val="0011348B"/>
    <w:rsid w:val="00113581"/>
    <w:rsid w:val="0011478C"/>
    <w:rsid w:val="00115982"/>
    <w:rsid w:val="00115B6F"/>
    <w:rsid w:val="00115C14"/>
    <w:rsid w:val="00116C53"/>
    <w:rsid w:val="0011781C"/>
    <w:rsid w:val="00120DEF"/>
    <w:rsid w:val="001214C2"/>
    <w:rsid w:val="00121799"/>
    <w:rsid w:val="001219AC"/>
    <w:rsid w:val="00121FA0"/>
    <w:rsid w:val="001222FC"/>
    <w:rsid w:val="00123902"/>
    <w:rsid w:val="00123ABB"/>
    <w:rsid w:val="00124A51"/>
    <w:rsid w:val="00126621"/>
    <w:rsid w:val="00126B1D"/>
    <w:rsid w:val="00127EC9"/>
    <w:rsid w:val="001301E9"/>
    <w:rsid w:val="00131D82"/>
    <w:rsid w:val="001323A7"/>
    <w:rsid w:val="00132B22"/>
    <w:rsid w:val="00133BA0"/>
    <w:rsid w:val="00133D36"/>
    <w:rsid w:val="0013409D"/>
    <w:rsid w:val="0013454A"/>
    <w:rsid w:val="001351E3"/>
    <w:rsid w:val="00137645"/>
    <w:rsid w:val="00137A32"/>
    <w:rsid w:val="0014015A"/>
    <w:rsid w:val="00140E99"/>
    <w:rsid w:val="00141AC0"/>
    <w:rsid w:val="00141D3A"/>
    <w:rsid w:val="00142A2D"/>
    <w:rsid w:val="00143524"/>
    <w:rsid w:val="00143F67"/>
    <w:rsid w:val="0014401E"/>
    <w:rsid w:val="00144327"/>
    <w:rsid w:val="001452E7"/>
    <w:rsid w:val="00145540"/>
    <w:rsid w:val="001455AA"/>
    <w:rsid w:val="001456B0"/>
    <w:rsid w:val="00145C69"/>
    <w:rsid w:val="001463B1"/>
    <w:rsid w:val="00146921"/>
    <w:rsid w:val="0015038E"/>
    <w:rsid w:val="00150F16"/>
    <w:rsid w:val="00152FC7"/>
    <w:rsid w:val="00153225"/>
    <w:rsid w:val="00155128"/>
    <w:rsid w:val="00156F8F"/>
    <w:rsid w:val="00157130"/>
    <w:rsid w:val="001576B1"/>
    <w:rsid w:val="0016047B"/>
    <w:rsid w:val="001608EB"/>
    <w:rsid w:val="0016096B"/>
    <w:rsid w:val="00160A4C"/>
    <w:rsid w:val="001615A4"/>
    <w:rsid w:val="00162913"/>
    <w:rsid w:val="001637FA"/>
    <w:rsid w:val="00163EFF"/>
    <w:rsid w:val="00163F66"/>
    <w:rsid w:val="00164A37"/>
    <w:rsid w:val="001652DA"/>
    <w:rsid w:val="0016587C"/>
    <w:rsid w:val="001661FB"/>
    <w:rsid w:val="001663B7"/>
    <w:rsid w:val="00166D5E"/>
    <w:rsid w:val="001671A0"/>
    <w:rsid w:val="0016767F"/>
    <w:rsid w:val="001676A1"/>
    <w:rsid w:val="00167ADE"/>
    <w:rsid w:val="001700BC"/>
    <w:rsid w:val="001711AA"/>
    <w:rsid w:val="001716B3"/>
    <w:rsid w:val="00171C8F"/>
    <w:rsid w:val="00172410"/>
    <w:rsid w:val="00173565"/>
    <w:rsid w:val="00173B07"/>
    <w:rsid w:val="00174A07"/>
    <w:rsid w:val="001751FA"/>
    <w:rsid w:val="001800A5"/>
    <w:rsid w:val="00180182"/>
    <w:rsid w:val="00180563"/>
    <w:rsid w:val="00180AD3"/>
    <w:rsid w:val="00180DBA"/>
    <w:rsid w:val="00180F94"/>
    <w:rsid w:val="001816E2"/>
    <w:rsid w:val="00181D9C"/>
    <w:rsid w:val="00184B0E"/>
    <w:rsid w:val="00184F75"/>
    <w:rsid w:val="00185013"/>
    <w:rsid w:val="00185168"/>
    <w:rsid w:val="001861DD"/>
    <w:rsid w:val="00187114"/>
    <w:rsid w:val="00187505"/>
    <w:rsid w:val="0018752F"/>
    <w:rsid w:val="00187768"/>
    <w:rsid w:val="001924C4"/>
    <w:rsid w:val="00193838"/>
    <w:rsid w:val="00194AD8"/>
    <w:rsid w:val="00195222"/>
    <w:rsid w:val="00196404"/>
    <w:rsid w:val="00196D70"/>
    <w:rsid w:val="00196FF1"/>
    <w:rsid w:val="001975D8"/>
    <w:rsid w:val="00197E65"/>
    <w:rsid w:val="001A070E"/>
    <w:rsid w:val="001A145B"/>
    <w:rsid w:val="001A178E"/>
    <w:rsid w:val="001A1EFD"/>
    <w:rsid w:val="001A2DB3"/>
    <w:rsid w:val="001A33F3"/>
    <w:rsid w:val="001A43FA"/>
    <w:rsid w:val="001A47C5"/>
    <w:rsid w:val="001A48EC"/>
    <w:rsid w:val="001A59FB"/>
    <w:rsid w:val="001A5E9E"/>
    <w:rsid w:val="001A6354"/>
    <w:rsid w:val="001A6366"/>
    <w:rsid w:val="001A679F"/>
    <w:rsid w:val="001A743D"/>
    <w:rsid w:val="001A7821"/>
    <w:rsid w:val="001A7AE8"/>
    <w:rsid w:val="001B071B"/>
    <w:rsid w:val="001B1565"/>
    <w:rsid w:val="001B1884"/>
    <w:rsid w:val="001B204E"/>
    <w:rsid w:val="001B2372"/>
    <w:rsid w:val="001B3443"/>
    <w:rsid w:val="001B4D20"/>
    <w:rsid w:val="001B51C1"/>
    <w:rsid w:val="001B59D7"/>
    <w:rsid w:val="001B5A1C"/>
    <w:rsid w:val="001B5A6B"/>
    <w:rsid w:val="001B619B"/>
    <w:rsid w:val="001C0CF5"/>
    <w:rsid w:val="001C120F"/>
    <w:rsid w:val="001C23B0"/>
    <w:rsid w:val="001C2A9B"/>
    <w:rsid w:val="001C4299"/>
    <w:rsid w:val="001C4397"/>
    <w:rsid w:val="001C4874"/>
    <w:rsid w:val="001C5F94"/>
    <w:rsid w:val="001C627C"/>
    <w:rsid w:val="001C6A4E"/>
    <w:rsid w:val="001C6E66"/>
    <w:rsid w:val="001D0243"/>
    <w:rsid w:val="001D0532"/>
    <w:rsid w:val="001D0973"/>
    <w:rsid w:val="001D1100"/>
    <w:rsid w:val="001D1391"/>
    <w:rsid w:val="001D148E"/>
    <w:rsid w:val="001D1995"/>
    <w:rsid w:val="001D25D7"/>
    <w:rsid w:val="001D366D"/>
    <w:rsid w:val="001D48E9"/>
    <w:rsid w:val="001D4FFD"/>
    <w:rsid w:val="001D50B2"/>
    <w:rsid w:val="001D7645"/>
    <w:rsid w:val="001E0A4F"/>
    <w:rsid w:val="001E1E86"/>
    <w:rsid w:val="001E238E"/>
    <w:rsid w:val="001E2483"/>
    <w:rsid w:val="001E2B1E"/>
    <w:rsid w:val="001E2CFF"/>
    <w:rsid w:val="001E2E17"/>
    <w:rsid w:val="001E2EA2"/>
    <w:rsid w:val="001E2F24"/>
    <w:rsid w:val="001E30D4"/>
    <w:rsid w:val="001E34DF"/>
    <w:rsid w:val="001E39E8"/>
    <w:rsid w:val="001E52EB"/>
    <w:rsid w:val="001E5DC2"/>
    <w:rsid w:val="001E61D2"/>
    <w:rsid w:val="001E6719"/>
    <w:rsid w:val="001E6BEF"/>
    <w:rsid w:val="001E7354"/>
    <w:rsid w:val="001E740C"/>
    <w:rsid w:val="001F0828"/>
    <w:rsid w:val="001F0DE2"/>
    <w:rsid w:val="001F1010"/>
    <w:rsid w:val="001F1235"/>
    <w:rsid w:val="001F1CB3"/>
    <w:rsid w:val="001F22A5"/>
    <w:rsid w:val="001F26BE"/>
    <w:rsid w:val="001F38B5"/>
    <w:rsid w:val="001F4081"/>
    <w:rsid w:val="001F43FD"/>
    <w:rsid w:val="001F484F"/>
    <w:rsid w:val="001F562D"/>
    <w:rsid w:val="001F6D9D"/>
    <w:rsid w:val="001F712A"/>
    <w:rsid w:val="001F7361"/>
    <w:rsid w:val="00200D14"/>
    <w:rsid w:val="00200EF8"/>
    <w:rsid w:val="002011B0"/>
    <w:rsid w:val="002023A0"/>
    <w:rsid w:val="00203181"/>
    <w:rsid w:val="00203682"/>
    <w:rsid w:val="00203783"/>
    <w:rsid w:val="0020385F"/>
    <w:rsid w:val="00204928"/>
    <w:rsid w:val="002068A0"/>
    <w:rsid w:val="00206E63"/>
    <w:rsid w:val="00207021"/>
    <w:rsid w:val="0020732F"/>
    <w:rsid w:val="00207D00"/>
    <w:rsid w:val="002105C1"/>
    <w:rsid w:val="00210CD9"/>
    <w:rsid w:val="00210E03"/>
    <w:rsid w:val="002127D4"/>
    <w:rsid w:val="00212A3B"/>
    <w:rsid w:val="00212B07"/>
    <w:rsid w:val="00213254"/>
    <w:rsid w:val="00213787"/>
    <w:rsid w:val="00213EF5"/>
    <w:rsid w:val="00214E52"/>
    <w:rsid w:val="00216BA3"/>
    <w:rsid w:val="00216BF5"/>
    <w:rsid w:val="00217223"/>
    <w:rsid w:val="00220B2D"/>
    <w:rsid w:val="00220F7A"/>
    <w:rsid w:val="002212B4"/>
    <w:rsid w:val="00221D27"/>
    <w:rsid w:val="00221DF3"/>
    <w:rsid w:val="00223B49"/>
    <w:rsid w:val="00223D5A"/>
    <w:rsid w:val="002248BF"/>
    <w:rsid w:val="00224DD4"/>
    <w:rsid w:val="00227020"/>
    <w:rsid w:val="002278A0"/>
    <w:rsid w:val="00230067"/>
    <w:rsid w:val="002309CC"/>
    <w:rsid w:val="00230DB1"/>
    <w:rsid w:val="00231599"/>
    <w:rsid w:val="00231666"/>
    <w:rsid w:val="00231D1D"/>
    <w:rsid w:val="0023209F"/>
    <w:rsid w:val="00233C01"/>
    <w:rsid w:val="0023413C"/>
    <w:rsid w:val="0023430A"/>
    <w:rsid w:val="00234388"/>
    <w:rsid w:val="002346F0"/>
    <w:rsid w:val="0023629D"/>
    <w:rsid w:val="00236CAB"/>
    <w:rsid w:val="00237255"/>
    <w:rsid w:val="00237ACA"/>
    <w:rsid w:val="002401B6"/>
    <w:rsid w:val="002424AF"/>
    <w:rsid w:val="00243418"/>
    <w:rsid w:val="002439DC"/>
    <w:rsid w:val="002441D2"/>
    <w:rsid w:val="00244DC8"/>
    <w:rsid w:val="00245808"/>
    <w:rsid w:val="00245883"/>
    <w:rsid w:val="002458BA"/>
    <w:rsid w:val="00245CE9"/>
    <w:rsid w:val="00245EBB"/>
    <w:rsid w:val="002462FD"/>
    <w:rsid w:val="0024636C"/>
    <w:rsid w:val="00246D93"/>
    <w:rsid w:val="00247776"/>
    <w:rsid w:val="00247925"/>
    <w:rsid w:val="00247F12"/>
    <w:rsid w:val="002509E5"/>
    <w:rsid w:val="00250D58"/>
    <w:rsid w:val="00251006"/>
    <w:rsid w:val="002524D5"/>
    <w:rsid w:val="00252B32"/>
    <w:rsid w:val="00253B1D"/>
    <w:rsid w:val="00254404"/>
    <w:rsid w:val="00254DCF"/>
    <w:rsid w:val="0025534B"/>
    <w:rsid w:val="00255966"/>
    <w:rsid w:val="00255A2E"/>
    <w:rsid w:val="00255BB7"/>
    <w:rsid w:val="002571A5"/>
    <w:rsid w:val="00257297"/>
    <w:rsid w:val="00257541"/>
    <w:rsid w:val="00257A39"/>
    <w:rsid w:val="00257AC4"/>
    <w:rsid w:val="00257E28"/>
    <w:rsid w:val="0026100E"/>
    <w:rsid w:val="00261A2A"/>
    <w:rsid w:val="00261EEF"/>
    <w:rsid w:val="00262A1A"/>
    <w:rsid w:val="00262A87"/>
    <w:rsid w:val="00262D30"/>
    <w:rsid w:val="002646E3"/>
    <w:rsid w:val="00264D26"/>
    <w:rsid w:val="0026588D"/>
    <w:rsid w:val="00265B54"/>
    <w:rsid w:val="00265BEC"/>
    <w:rsid w:val="00265E3A"/>
    <w:rsid w:val="00267642"/>
    <w:rsid w:val="00267AEA"/>
    <w:rsid w:val="002700E6"/>
    <w:rsid w:val="00270B5D"/>
    <w:rsid w:val="002711B3"/>
    <w:rsid w:val="00271ED5"/>
    <w:rsid w:val="00271FA9"/>
    <w:rsid w:val="0027294B"/>
    <w:rsid w:val="00272EC5"/>
    <w:rsid w:val="00273EB4"/>
    <w:rsid w:val="00274682"/>
    <w:rsid w:val="0027490A"/>
    <w:rsid w:val="00275C24"/>
    <w:rsid w:val="00275C5A"/>
    <w:rsid w:val="00275F78"/>
    <w:rsid w:val="00276B17"/>
    <w:rsid w:val="00280129"/>
    <w:rsid w:val="00280B42"/>
    <w:rsid w:val="00281014"/>
    <w:rsid w:val="00281F3E"/>
    <w:rsid w:val="00282827"/>
    <w:rsid w:val="00283B2E"/>
    <w:rsid w:val="00284197"/>
    <w:rsid w:val="00284DCE"/>
    <w:rsid w:val="0028508E"/>
    <w:rsid w:val="002853E6"/>
    <w:rsid w:val="0028665D"/>
    <w:rsid w:val="002901A6"/>
    <w:rsid w:val="00290772"/>
    <w:rsid w:val="00292998"/>
    <w:rsid w:val="00293741"/>
    <w:rsid w:val="00295A22"/>
    <w:rsid w:val="002A0625"/>
    <w:rsid w:val="002A14AB"/>
    <w:rsid w:val="002A29E3"/>
    <w:rsid w:val="002A2ADE"/>
    <w:rsid w:val="002A2F50"/>
    <w:rsid w:val="002A3FD8"/>
    <w:rsid w:val="002A3FF8"/>
    <w:rsid w:val="002A40E8"/>
    <w:rsid w:val="002A44E5"/>
    <w:rsid w:val="002A457A"/>
    <w:rsid w:val="002A66FE"/>
    <w:rsid w:val="002A679D"/>
    <w:rsid w:val="002A7143"/>
    <w:rsid w:val="002B05A1"/>
    <w:rsid w:val="002B09A4"/>
    <w:rsid w:val="002B09DD"/>
    <w:rsid w:val="002B18E0"/>
    <w:rsid w:val="002B1C1F"/>
    <w:rsid w:val="002B1E28"/>
    <w:rsid w:val="002B355A"/>
    <w:rsid w:val="002B432F"/>
    <w:rsid w:val="002B4D3A"/>
    <w:rsid w:val="002B62B3"/>
    <w:rsid w:val="002B652D"/>
    <w:rsid w:val="002B66AA"/>
    <w:rsid w:val="002B6754"/>
    <w:rsid w:val="002B6CCE"/>
    <w:rsid w:val="002B794F"/>
    <w:rsid w:val="002C0DB5"/>
    <w:rsid w:val="002C2510"/>
    <w:rsid w:val="002C2775"/>
    <w:rsid w:val="002C27C1"/>
    <w:rsid w:val="002C3BCC"/>
    <w:rsid w:val="002C44E3"/>
    <w:rsid w:val="002C497B"/>
    <w:rsid w:val="002C4C4E"/>
    <w:rsid w:val="002C5099"/>
    <w:rsid w:val="002C528E"/>
    <w:rsid w:val="002C5889"/>
    <w:rsid w:val="002C6545"/>
    <w:rsid w:val="002C71CE"/>
    <w:rsid w:val="002D00B1"/>
    <w:rsid w:val="002D0362"/>
    <w:rsid w:val="002D08F8"/>
    <w:rsid w:val="002D21EA"/>
    <w:rsid w:val="002D25A5"/>
    <w:rsid w:val="002D3FB4"/>
    <w:rsid w:val="002D4D48"/>
    <w:rsid w:val="002D554A"/>
    <w:rsid w:val="002D575E"/>
    <w:rsid w:val="002D577C"/>
    <w:rsid w:val="002D6431"/>
    <w:rsid w:val="002D66E7"/>
    <w:rsid w:val="002D6735"/>
    <w:rsid w:val="002D7ABA"/>
    <w:rsid w:val="002E1071"/>
    <w:rsid w:val="002E15B9"/>
    <w:rsid w:val="002E1A16"/>
    <w:rsid w:val="002E1D2C"/>
    <w:rsid w:val="002E2158"/>
    <w:rsid w:val="002E289C"/>
    <w:rsid w:val="002E4097"/>
    <w:rsid w:val="002E40C0"/>
    <w:rsid w:val="002E4F02"/>
    <w:rsid w:val="002E6A18"/>
    <w:rsid w:val="002E7722"/>
    <w:rsid w:val="002E7B03"/>
    <w:rsid w:val="002F07BA"/>
    <w:rsid w:val="002F0DA9"/>
    <w:rsid w:val="002F1014"/>
    <w:rsid w:val="002F2B78"/>
    <w:rsid w:val="002F2CD8"/>
    <w:rsid w:val="002F2E84"/>
    <w:rsid w:val="002F3CD4"/>
    <w:rsid w:val="002F48ED"/>
    <w:rsid w:val="002F5F3B"/>
    <w:rsid w:val="002F643C"/>
    <w:rsid w:val="002F71C0"/>
    <w:rsid w:val="002F74F1"/>
    <w:rsid w:val="002F78D2"/>
    <w:rsid w:val="00301017"/>
    <w:rsid w:val="0030155F"/>
    <w:rsid w:val="00302339"/>
    <w:rsid w:val="003026F0"/>
    <w:rsid w:val="00302952"/>
    <w:rsid w:val="0030422B"/>
    <w:rsid w:val="003044E8"/>
    <w:rsid w:val="0030587B"/>
    <w:rsid w:val="00306A92"/>
    <w:rsid w:val="00306D98"/>
    <w:rsid w:val="003073B1"/>
    <w:rsid w:val="0030772F"/>
    <w:rsid w:val="0030786C"/>
    <w:rsid w:val="00307CAE"/>
    <w:rsid w:val="0031031A"/>
    <w:rsid w:val="00310981"/>
    <w:rsid w:val="00310A71"/>
    <w:rsid w:val="00310AED"/>
    <w:rsid w:val="003124D9"/>
    <w:rsid w:val="00312594"/>
    <w:rsid w:val="003136B0"/>
    <w:rsid w:val="00314777"/>
    <w:rsid w:val="00315498"/>
    <w:rsid w:val="00316474"/>
    <w:rsid w:val="00317751"/>
    <w:rsid w:val="0032026C"/>
    <w:rsid w:val="00320664"/>
    <w:rsid w:val="003216AA"/>
    <w:rsid w:val="003218B9"/>
    <w:rsid w:val="00321FB7"/>
    <w:rsid w:val="00322107"/>
    <w:rsid w:val="00322355"/>
    <w:rsid w:val="00322846"/>
    <w:rsid w:val="00322C1E"/>
    <w:rsid w:val="003258C0"/>
    <w:rsid w:val="0032626C"/>
    <w:rsid w:val="003262D4"/>
    <w:rsid w:val="00326817"/>
    <w:rsid w:val="00326DA7"/>
    <w:rsid w:val="003270E4"/>
    <w:rsid w:val="00327AB8"/>
    <w:rsid w:val="003303B6"/>
    <w:rsid w:val="00330DAA"/>
    <w:rsid w:val="00330F5C"/>
    <w:rsid w:val="00331A0C"/>
    <w:rsid w:val="00331FC9"/>
    <w:rsid w:val="00332346"/>
    <w:rsid w:val="00332F58"/>
    <w:rsid w:val="0033483C"/>
    <w:rsid w:val="00336465"/>
    <w:rsid w:val="003366C9"/>
    <w:rsid w:val="00336929"/>
    <w:rsid w:val="003371B0"/>
    <w:rsid w:val="00340DF1"/>
    <w:rsid w:val="00341729"/>
    <w:rsid w:val="00341ED1"/>
    <w:rsid w:val="00343748"/>
    <w:rsid w:val="00343AB7"/>
    <w:rsid w:val="003453AD"/>
    <w:rsid w:val="0034589D"/>
    <w:rsid w:val="003517D3"/>
    <w:rsid w:val="003517F9"/>
    <w:rsid w:val="00351BA9"/>
    <w:rsid w:val="00353E4A"/>
    <w:rsid w:val="00354B35"/>
    <w:rsid w:val="00354F64"/>
    <w:rsid w:val="0035620E"/>
    <w:rsid w:val="0035662D"/>
    <w:rsid w:val="0035739E"/>
    <w:rsid w:val="003577E3"/>
    <w:rsid w:val="00360345"/>
    <w:rsid w:val="00361A05"/>
    <w:rsid w:val="00361DDC"/>
    <w:rsid w:val="003624C4"/>
    <w:rsid w:val="003624F3"/>
    <w:rsid w:val="003638D7"/>
    <w:rsid w:val="00363B00"/>
    <w:rsid w:val="003654AC"/>
    <w:rsid w:val="003658DB"/>
    <w:rsid w:val="0037006E"/>
    <w:rsid w:val="003710CF"/>
    <w:rsid w:val="003721C7"/>
    <w:rsid w:val="0037358A"/>
    <w:rsid w:val="003750F6"/>
    <w:rsid w:val="00375DD6"/>
    <w:rsid w:val="003760FC"/>
    <w:rsid w:val="00376C86"/>
    <w:rsid w:val="00376D6A"/>
    <w:rsid w:val="00377D22"/>
    <w:rsid w:val="00380578"/>
    <w:rsid w:val="003819B0"/>
    <w:rsid w:val="0038365C"/>
    <w:rsid w:val="0038369B"/>
    <w:rsid w:val="00383B78"/>
    <w:rsid w:val="00385A9D"/>
    <w:rsid w:val="003862B2"/>
    <w:rsid w:val="0038744C"/>
    <w:rsid w:val="003902B1"/>
    <w:rsid w:val="003903DB"/>
    <w:rsid w:val="0039179C"/>
    <w:rsid w:val="00391899"/>
    <w:rsid w:val="00391984"/>
    <w:rsid w:val="003932A0"/>
    <w:rsid w:val="00393EE6"/>
    <w:rsid w:val="003948F2"/>
    <w:rsid w:val="00395546"/>
    <w:rsid w:val="00395644"/>
    <w:rsid w:val="00395EF5"/>
    <w:rsid w:val="00396165"/>
    <w:rsid w:val="00396896"/>
    <w:rsid w:val="00396FD0"/>
    <w:rsid w:val="003A1A7A"/>
    <w:rsid w:val="003A1CB0"/>
    <w:rsid w:val="003A2392"/>
    <w:rsid w:val="003A2831"/>
    <w:rsid w:val="003A2EAD"/>
    <w:rsid w:val="003A3CB6"/>
    <w:rsid w:val="003A3ED1"/>
    <w:rsid w:val="003A44DB"/>
    <w:rsid w:val="003A66A1"/>
    <w:rsid w:val="003B05E9"/>
    <w:rsid w:val="003B17E8"/>
    <w:rsid w:val="003B241B"/>
    <w:rsid w:val="003B3448"/>
    <w:rsid w:val="003B383C"/>
    <w:rsid w:val="003B3971"/>
    <w:rsid w:val="003B3D8A"/>
    <w:rsid w:val="003B55D1"/>
    <w:rsid w:val="003B58BA"/>
    <w:rsid w:val="003B5B61"/>
    <w:rsid w:val="003B5B9D"/>
    <w:rsid w:val="003B6B3F"/>
    <w:rsid w:val="003B6BC8"/>
    <w:rsid w:val="003B7216"/>
    <w:rsid w:val="003C03F8"/>
    <w:rsid w:val="003C0BFA"/>
    <w:rsid w:val="003C1654"/>
    <w:rsid w:val="003C1CA5"/>
    <w:rsid w:val="003C2F1A"/>
    <w:rsid w:val="003C41BD"/>
    <w:rsid w:val="003C4A91"/>
    <w:rsid w:val="003C5542"/>
    <w:rsid w:val="003C66BA"/>
    <w:rsid w:val="003C7D19"/>
    <w:rsid w:val="003C7D2F"/>
    <w:rsid w:val="003D01F1"/>
    <w:rsid w:val="003D1828"/>
    <w:rsid w:val="003D1DE4"/>
    <w:rsid w:val="003D1E9A"/>
    <w:rsid w:val="003D1FD8"/>
    <w:rsid w:val="003D23A2"/>
    <w:rsid w:val="003D2422"/>
    <w:rsid w:val="003D39A1"/>
    <w:rsid w:val="003D3FBF"/>
    <w:rsid w:val="003D4A30"/>
    <w:rsid w:val="003D6AC9"/>
    <w:rsid w:val="003D6BD8"/>
    <w:rsid w:val="003D7100"/>
    <w:rsid w:val="003D72C8"/>
    <w:rsid w:val="003D7452"/>
    <w:rsid w:val="003D79BB"/>
    <w:rsid w:val="003D7C98"/>
    <w:rsid w:val="003D7D9D"/>
    <w:rsid w:val="003E0543"/>
    <w:rsid w:val="003E05E8"/>
    <w:rsid w:val="003E1516"/>
    <w:rsid w:val="003E1AB7"/>
    <w:rsid w:val="003E2C83"/>
    <w:rsid w:val="003E35E2"/>
    <w:rsid w:val="003E3AD3"/>
    <w:rsid w:val="003E415D"/>
    <w:rsid w:val="003E4DE4"/>
    <w:rsid w:val="003E516F"/>
    <w:rsid w:val="003E6373"/>
    <w:rsid w:val="003E749E"/>
    <w:rsid w:val="003F14EE"/>
    <w:rsid w:val="003F2337"/>
    <w:rsid w:val="003F2CAA"/>
    <w:rsid w:val="003F39E7"/>
    <w:rsid w:val="003F3F7D"/>
    <w:rsid w:val="003F4156"/>
    <w:rsid w:val="003F45DC"/>
    <w:rsid w:val="003F5824"/>
    <w:rsid w:val="003F5ADF"/>
    <w:rsid w:val="003F659A"/>
    <w:rsid w:val="003F7C4D"/>
    <w:rsid w:val="00400B29"/>
    <w:rsid w:val="004024C8"/>
    <w:rsid w:val="0040504B"/>
    <w:rsid w:val="004059F4"/>
    <w:rsid w:val="00405DAB"/>
    <w:rsid w:val="004062A7"/>
    <w:rsid w:val="00406BB5"/>
    <w:rsid w:val="00407FE5"/>
    <w:rsid w:val="00410083"/>
    <w:rsid w:val="004101B0"/>
    <w:rsid w:val="00410326"/>
    <w:rsid w:val="00410708"/>
    <w:rsid w:val="00410EC7"/>
    <w:rsid w:val="00411B39"/>
    <w:rsid w:val="004127A7"/>
    <w:rsid w:val="00413A1E"/>
    <w:rsid w:val="00413E81"/>
    <w:rsid w:val="00414476"/>
    <w:rsid w:val="00414C2E"/>
    <w:rsid w:val="00414E14"/>
    <w:rsid w:val="004150AA"/>
    <w:rsid w:val="004151CF"/>
    <w:rsid w:val="00415299"/>
    <w:rsid w:val="00415EF4"/>
    <w:rsid w:val="00416364"/>
    <w:rsid w:val="00416706"/>
    <w:rsid w:val="0042047F"/>
    <w:rsid w:val="004204E9"/>
    <w:rsid w:val="004204F3"/>
    <w:rsid w:val="00420AA6"/>
    <w:rsid w:val="00420AA9"/>
    <w:rsid w:val="00420B9F"/>
    <w:rsid w:val="00420C97"/>
    <w:rsid w:val="004213C0"/>
    <w:rsid w:val="0042192C"/>
    <w:rsid w:val="00422260"/>
    <w:rsid w:val="00423197"/>
    <w:rsid w:val="00423234"/>
    <w:rsid w:val="00423BAA"/>
    <w:rsid w:val="0042413F"/>
    <w:rsid w:val="004247CA"/>
    <w:rsid w:val="004271E8"/>
    <w:rsid w:val="004274DC"/>
    <w:rsid w:val="0042792D"/>
    <w:rsid w:val="004313FA"/>
    <w:rsid w:val="004319F8"/>
    <w:rsid w:val="00431D79"/>
    <w:rsid w:val="00431E55"/>
    <w:rsid w:val="00431F37"/>
    <w:rsid w:val="004321F6"/>
    <w:rsid w:val="0043264E"/>
    <w:rsid w:val="004326E9"/>
    <w:rsid w:val="00433044"/>
    <w:rsid w:val="004338FC"/>
    <w:rsid w:val="00434088"/>
    <w:rsid w:val="00434BD9"/>
    <w:rsid w:val="004350EE"/>
    <w:rsid w:val="004375B9"/>
    <w:rsid w:val="00437FFA"/>
    <w:rsid w:val="004428D0"/>
    <w:rsid w:val="00443574"/>
    <w:rsid w:val="00443BF6"/>
    <w:rsid w:val="00444185"/>
    <w:rsid w:val="004443A7"/>
    <w:rsid w:val="0044442C"/>
    <w:rsid w:val="00445941"/>
    <w:rsid w:val="004464EB"/>
    <w:rsid w:val="004468CA"/>
    <w:rsid w:val="00447D26"/>
    <w:rsid w:val="00447DFC"/>
    <w:rsid w:val="0045029A"/>
    <w:rsid w:val="0045131F"/>
    <w:rsid w:val="004519FC"/>
    <w:rsid w:val="004533B1"/>
    <w:rsid w:val="00454202"/>
    <w:rsid w:val="004558E5"/>
    <w:rsid w:val="00455D45"/>
    <w:rsid w:val="00455E2C"/>
    <w:rsid w:val="0045644B"/>
    <w:rsid w:val="0045652C"/>
    <w:rsid w:val="004577A3"/>
    <w:rsid w:val="00457A83"/>
    <w:rsid w:val="004603DA"/>
    <w:rsid w:val="004604EB"/>
    <w:rsid w:val="0046150A"/>
    <w:rsid w:val="00462D4F"/>
    <w:rsid w:val="00463544"/>
    <w:rsid w:val="00463F4D"/>
    <w:rsid w:val="004640FB"/>
    <w:rsid w:val="00464595"/>
    <w:rsid w:val="00465084"/>
    <w:rsid w:val="004658B5"/>
    <w:rsid w:val="00465E46"/>
    <w:rsid w:val="00467412"/>
    <w:rsid w:val="00471EA5"/>
    <w:rsid w:val="00471EBA"/>
    <w:rsid w:val="00472A79"/>
    <w:rsid w:val="00472F7A"/>
    <w:rsid w:val="004738D0"/>
    <w:rsid w:val="00473B43"/>
    <w:rsid w:val="00473F19"/>
    <w:rsid w:val="00474372"/>
    <w:rsid w:val="00474CF3"/>
    <w:rsid w:val="00475E22"/>
    <w:rsid w:val="00475FA9"/>
    <w:rsid w:val="00476BE6"/>
    <w:rsid w:val="004803F7"/>
    <w:rsid w:val="0048088E"/>
    <w:rsid w:val="00480BCE"/>
    <w:rsid w:val="00480F2B"/>
    <w:rsid w:val="00482720"/>
    <w:rsid w:val="004830B5"/>
    <w:rsid w:val="004835E7"/>
    <w:rsid w:val="00485200"/>
    <w:rsid w:val="00485D91"/>
    <w:rsid w:val="004867E2"/>
    <w:rsid w:val="00487AA3"/>
    <w:rsid w:val="004906D6"/>
    <w:rsid w:val="00490B17"/>
    <w:rsid w:val="00491684"/>
    <w:rsid w:val="00491B3A"/>
    <w:rsid w:val="00492CFD"/>
    <w:rsid w:val="00494207"/>
    <w:rsid w:val="0049422A"/>
    <w:rsid w:val="00494527"/>
    <w:rsid w:val="00494779"/>
    <w:rsid w:val="00494DD5"/>
    <w:rsid w:val="004957DE"/>
    <w:rsid w:val="00495BFA"/>
    <w:rsid w:val="004962D2"/>
    <w:rsid w:val="00496D31"/>
    <w:rsid w:val="00496E6D"/>
    <w:rsid w:val="0049781B"/>
    <w:rsid w:val="004A0DA1"/>
    <w:rsid w:val="004A13D6"/>
    <w:rsid w:val="004A14BD"/>
    <w:rsid w:val="004A35F6"/>
    <w:rsid w:val="004A3CCE"/>
    <w:rsid w:val="004A52E9"/>
    <w:rsid w:val="004A541E"/>
    <w:rsid w:val="004A5940"/>
    <w:rsid w:val="004A6040"/>
    <w:rsid w:val="004A62B6"/>
    <w:rsid w:val="004A6597"/>
    <w:rsid w:val="004A7848"/>
    <w:rsid w:val="004A7B06"/>
    <w:rsid w:val="004B1CB4"/>
    <w:rsid w:val="004B1D7E"/>
    <w:rsid w:val="004B1EA3"/>
    <w:rsid w:val="004B2883"/>
    <w:rsid w:val="004B2AE8"/>
    <w:rsid w:val="004B2F18"/>
    <w:rsid w:val="004B3985"/>
    <w:rsid w:val="004B3D1E"/>
    <w:rsid w:val="004B3DDB"/>
    <w:rsid w:val="004B44FD"/>
    <w:rsid w:val="004B5CFC"/>
    <w:rsid w:val="004B662C"/>
    <w:rsid w:val="004B6F79"/>
    <w:rsid w:val="004B774D"/>
    <w:rsid w:val="004C0823"/>
    <w:rsid w:val="004C099B"/>
    <w:rsid w:val="004C1A46"/>
    <w:rsid w:val="004C311A"/>
    <w:rsid w:val="004C3AE3"/>
    <w:rsid w:val="004C3D2F"/>
    <w:rsid w:val="004C3F1F"/>
    <w:rsid w:val="004C479D"/>
    <w:rsid w:val="004C4A8A"/>
    <w:rsid w:val="004C4AED"/>
    <w:rsid w:val="004C7B07"/>
    <w:rsid w:val="004D0AD4"/>
    <w:rsid w:val="004D1B48"/>
    <w:rsid w:val="004D2C2D"/>
    <w:rsid w:val="004D44D8"/>
    <w:rsid w:val="004D52B1"/>
    <w:rsid w:val="004D5408"/>
    <w:rsid w:val="004D5F6A"/>
    <w:rsid w:val="004D6897"/>
    <w:rsid w:val="004D69B5"/>
    <w:rsid w:val="004D7227"/>
    <w:rsid w:val="004E0498"/>
    <w:rsid w:val="004E0E7F"/>
    <w:rsid w:val="004E0EB8"/>
    <w:rsid w:val="004E18E9"/>
    <w:rsid w:val="004E27A5"/>
    <w:rsid w:val="004E2A0A"/>
    <w:rsid w:val="004E2ADC"/>
    <w:rsid w:val="004E3EC4"/>
    <w:rsid w:val="004E3FA8"/>
    <w:rsid w:val="004E43B2"/>
    <w:rsid w:val="004E4BCD"/>
    <w:rsid w:val="004E5069"/>
    <w:rsid w:val="004E5D17"/>
    <w:rsid w:val="004E5F4A"/>
    <w:rsid w:val="004E6667"/>
    <w:rsid w:val="004E6C06"/>
    <w:rsid w:val="004E7EEF"/>
    <w:rsid w:val="004F115F"/>
    <w:rsid w:val="004F1423"/>
    <w:rsid w:val="004F19B6"/>
    <w:rsid w:val="004F1D02"/>
    <w:rsid w:val="004F1EC5"/>
    <w:rsid w:val="004F1F88"/>
    <w:rsid w:val="004F25E2"/>
    <w:rsid w:val="004F2679"/>
    <w:rsid w:val="004F29EC"/>
    <w:rsid w:val="004F2F09"/>
    <w:rsid w:val="004F2F21"/>
    <w:rsid w:val="004F3DE5"/>
    <w:rsid w:val="004F58F3"/>
    <w:rsid w:val="004F6913"/>
    <w:rsid w:val="004F7865"/>
    <w:rsid w:val="004F7FB1"/>
    <w:rsid w:val="00501258"/>
    <w:rsid w:val="0050174E"/>
    <w:rsid w:val="00501854"/>
    <w:rsid w:val="00501E9A"/>
    <w:rsid w:val="0050219B"/>
    <w:rsid w:val="00503F17"/>
    <w:rsid w:val="00506928"/>
    <w:rsid w:val="00506DA2"/>
    <w:rsid w:val="005077EF"/>
    <w:rsid w:val="00510789"/>
    <w:rsid w:val="00510F2A"/>
    <w:rsid w:val="0051172C"/>
    <w:rsid w:val="00511AD5"/>
    <w:rsid w:val="00511C82"/>
    <w:rsid w:val="00511DC7"/>
    <w:rsid w:val="00512C0E"/>
    <w:rsid w:val="005142C5"/>
    <w:rsid w:val="0051501B"/>
    <w:rsid w:val="005152B5"/>
    <w:rsid w:val="005153E8"/>
    <w:rsid w:val="005155D2"/>
    <w:rsid w:val="005162DE"/>
    <w:rsid w:val="00517A4E"/>
    <w:rsid w:val="00517F2E"/>
    <w:rsid w:val="0052123C"/>
    <w:rsid w:val="00521319"/>
    <w:rsid w:val="00522BC8"/>
    <w:rsid w:val="00523C28"/>
    <w:rsid w:val="00523DCF"/>
    <w:rsid w:val="00524837"/>
    <w:rsid w:val="00524B28"/>
    <w:rsid w:val="00526E32"/>
    <w:rsid w:val="005274B2"/>
    <w:rsid w:val="00527E42"/>
    <w:rsid w:val="0053019D"/>
    <w:rsid w:val="00530EC6"/>
    <w:rsid w:val="0053176B"/>
    <w:rsid w:val="00532381"/>
    <w:rsid w:val="005338FB"/>
    <w:rsid w:val="00534B76"/>
    <w:rsid w:val="00535259"/>
    <w:rsid w:val="00536F42"/>
    <w:rsid w:val="00537182"/>
    <w:rsid w:val="005408F3"/>
    <w:rsid w:val="0054150D"/>
    <w:rsid w:val="00541EDD"/>
    <w:rsid w:val="00542023"/>
    <w:rsid w:val="00542743"/>
    <w:rsid w:val="00542C2D"/>
    <w:rsid w:val="00543059"/>
    <w:rsid w:val="0054307F"/>
    <w:rsid w:val="00543B45"/>
    <w:rsid w:val="00547366"/>
    <w:rsid w:val="005478BD"/>
    <w:rsid w:val="005479E3"/>
    <w:rsid w:val="00550478"/>
    <w:rsid w:val="00550BDA"/>
    <w:rsid w:val="00551985"/>
    <w:rsid w:val="00551F5F"/>
    <w:rsid w:val="00552BD3"/>
    <w:rsid w:val="005532A0"/>
    <w:rsid w:val="00553BA2"/>
    <w:rsid w:val="00554347"/>
    <w:rsid w:val="005543D5"/>
    <w:rsid w:val="00555109"/>
    <w:rsid w:val="005557D6"/>
    <w:rsid w:val="005563DE"/>
    <w:rsid w:val="00556B35"/>
    <w:rsid w:val="0055741A"/>
    <w:rsid w:val="005575E4"/>
    <w:rsid w:val="00557F4E"/>
    <w:rsid w:val="00560905"/>
    <w:rsid w:val="005609B6"/>
    <w:rsid w:val="005611B7"/>
    <w:rsid w:val="005618D4"/>
    <w:rsid w:val="00562182"/>
    <w:rsid w:val="0056316C"/>
    <w:rsid w:val="00563455"/>
    <w:rsid w:val="005644FD"/>
    <w:rsid w:val="00565DF0"/>
    <w:rsid w:val="00566216"/>
    <w:rsid w:val="00566430"/>
    <w:rsid w:val="0056696F"/>
    <w:rsid w:val="00570794"/>
    <w:rsid w:val="00570AE7"/>
    <w:rsid w:val="00570DAB"/>
    <w:rsid w:val="00571E7A"/>
    <w:rsid w:val="00571F1F"/>
    <w:rsid w:val="00571F47"/>
    <w:rsid w:val="00572269"/>
    <w:rsid w:val="0057244A"/>
    <w:rsid w:val="00572974"/>
    <w:rsid w:val="0057298C"/>
    <w:rsid w:val="00572F26"/>
    <w:rsid w:val="00573289"/>
    <w:rsid w:val="00573590"/>
    <w:rsid w:val="005750C5"/>
    <w:rsid w:val="005752DE"/>
    <w:rsid w:val="0057558D"/>
    <w:rsid w:val="00575D8D"/>
    <w:rsid w:val="00576057"/>
    <w:rsid w:val="00576972"/>
    <w:rsid w:val="005779CF"/>
    <w:rsid w:val="00580E1E"/>
    <w:rsid w:val="00581753"/>
    <w:rsid w:val="00583699"/>
    <w:rsid w:val="005852BA"/>
    <w:rsid w:val="00585A88"/>
    <w:rsid w:val="00585CDD"/>
    <w:rsid w:val="005861CA"/>
    <w:rsid w:val="005868B7"/>
    <w:rsid w:val="00587058"/>
    <w:rsid w:val="00587413"/>
    <w:rsid w:val="00591957"/>
    <w:rsid w:val="00591EC1"/>
    <w:rsid w:val="00593779"/>
    <w:rsid w:val="0059446B"/>
    <w:rsid w:val="0059658A"/>
    <w:rsid w:val="005971EF"/>
    <w:rsid w:val="00597880"/>
    <w:rsid w:val="00597BF9"/>
    <w:rsid w:val="005A0EA9"/>
    <w:rsid w:val="005A309A"/>
    <w:rsid w:val="005A356C"/>
    <w:rsid w:val="005A373D"/>
    <w:rsid w:val="005A41B2"/>
    <w:rsid w:val="005A4F2D"/>
    <w:rsid w:val="005A4FE5"/>
    <w:rsid w:val="005A6EF2"/>
    <w:rsid w:val="005B0011"/>
    <w:rsid w:val="005B0B58"/>
    <w:rsid w:val="005B1F0A"/>
    <w:rsid w:val="005B2617"/>
    <w:rsid w:val="005B2FEE"/>
    <w:rsid w:val="005B3BED"/>
    <w:rsid w:val="005B4DA9"/>
    <w:rsid w:val="005B4E53"/>
    <w:rsid w:val="005B5857"/>
    <w:rsid w:val="005B5A09"/>
    <w:rsid w:val="005B660C"/>
    <w:rsid w:val="005B6AEC"/>
    <w:rsid w:val="005B7071"/>
    <w:rsid w:val="005C0348"/>
    <w:rsid w:val="005C0D10"/>
    <w:rsid w:val="005C197B"/>
    <w:rsid w:val="005C1B83"/>
    <w:rsid w:val="005C25FF"/>
    <w:rsid w:val="005C2D55"/>
    <w:rsid w:val="005C2F0C"/>
    <w:rsid w:val="005C346B"/>
    <w:rsid w:val="005C3DE6"/>
    <w:rsid w:val="005C4ACE"/>
    <w:rsid w:val="005C4F62"/>
    <w:rsid w:val="005C5A6B"/>
    <w:rsid w:val="005C5EF2"/>
    <w:rsid w:val="005C697F"/>
    <w:rsid w:val="005C75CE"/>
    <w:rsid w:val="005D044D"/>
    <w:rsid w:val="005D06C6"/>
    <w:rsid w:val="005D0ABD"/>
    <w:rsid w:val="005D0DC6"/>
    <w:rsid w:val="005D18AD"/>
    <w:rsid w:val="005D1E48"/>
    <w:rsid w:val="005D1F2E"/>
    <w:rsid w:val="005D2698"/>
    <w:rsid w:val="005D26B4"/>
    <w:rsid w:val="005D4233"/>
    <w:rsid w:val="005D43D7"/>
    <w:rsid w:val="005D4994"/>
    <w:rsid w:val="005D6824"/>
    <w:rsid w:val="005D74B3"/>
    <w:rsid w:val="005E183E"/>
    <w:rsid w:val="005E20FB"/>
    <w:rsid w:val="005E43C6"/>
    <w:rsid w:val="005E56AC"/>
    <w:rsid w:val="005E6997"/>
    <w:rsid w:val="005E6CBC"/>
    <w:rsid w:val="005E72FF"/>
    <w:rsid w:val="005E73C0"/>
    <w:rsid w:val="005E7893"/>
    <w:rsid w:val="005F003A"/>
    <w:rsid w:val="005F17F9"/>
    <w:rsid w:val="005F2706"/>
    <w:rsid w:val="005F5343"/>
    <w:rsid w:val="005F549C"/>
    <w:rsid w:val="005F55F7"/>
    <w:rsid w:val="005F6A8F"/>
    <w:rsid w:val="005F6BB7"/>
    <w:rsid w:val="005F7588"/>
    <w:rsid w:val="00602FDB"/>
    <w:rsid w:val="0060369C"/>
    <w:rsid w:val="00603DB9"/>
    <w:rsid w:val="0060499A"/>
    <w:rsid w:val="00604B21"/>
    <w:rsid w:val="00606FA5"/>
    <w:rsid w:val="00606FBA"/>
    <w:rsid w:val="00607669"/>
    <w:rsid w:val="006076F4"/>
    <w:rsid w:val="00607AFD"/>
    <w:rsid w:val="00607FF5"/>
    <w:rsid w:val="006103B8"/>
    <w:rsid w:val="00612F97"/>
    <w:rsid w:val="0061345D"/>
    <w:rsid w:val="00614FF4"/>
    <w:rsid w:val="006153CA"/>
    <w:rsid w:val="0061549B"/>
    <w:rsid w:val="006163CF"/>
    <w:rsid w:val="00616802"/>
    <w:rsid w:val="0061689B"/>
    <w:rsid w:val="00617E12"/>
    <w:rsid w:val="0062019E"/>
    <w:rsid w:val="00620C25"/>
    <w:rsid w:val="00621477"/>
    <w:rsid w:val="0062195F"/>
    <w:rsid w:val="006219CE"/>
    <w:rsid w:val="00621ADA"/>
    <w:rsid w:val="00623965"/>
    <w:rsid w:val="00623CC6"/>
    <w:rsid w:val="00623F7B"/>
    <w:rsid w:val="0062418D"/>
    <w:rsid w:val="00624FE6"/>
    <w:rsid w:val="0062553F"/>
    <w:rsid w:val="00625BFC"/>
    <w:rsid w:val="00625F3D"/>
    <w:rsid w:val="006263FD"/>
    <w:rsid w:val="0063081D"/>
    <w:rsid w:val="0063158F"/>
    <w:rsid w:val="006316B8"/>
    <w:rsid w:val="006318C2"/>
    <w:rsid w:val="00631D6B"/>
    <w:rsid w:val="00632183"/>
    <w:rsid w:val="006330A1"/>
    <w:rsid w:val="00634000"/>
    <w:rsid w:val="0063472D"/>
    <w:rsid w:val="0063479F"/>
    <w:rsid w:val="00634A04"/>
    <w:rsid w:val="006353F0"/>
    <w:rsid w:val="006357B5"/>
    <w:rsid w:val="006359AC"/>
    <w:rsid w:val="006364A1"/>
    <w:rsid w:val="006366EE"/>
    <w:rsid w:val="0063678E"/>
    <w:rsid w:val="00637631"/>
    <w:rsid w:val="00637BFD"/>
    <w:rsid w:val="00640892"/>
    <w:rsid w:val="006409CD"/>
    <w:rsid w:val="00641143"/>
    <w:rsid w:val="00641403"/>
    <w:rsid w:val="00641C4E"/>
    <w:rsid w:val="00641FB3"/>
    <w:rsid w:val="006420A7"/>
    <w:rsid w:val="0064434C"/>
    <w:rsid w:val="006444F6"/>
    <w:rsid w:val="00644FC8"/>
    <w:rsid w:val="00646F6F"/>
    <w:rsid w:val="006471CC"/>
    <w:rsid w:val="006477D0"/>
    <w:rsid w:val="00647A29"/>
    <w:rsid w:val="006503F8"/>
    <w:rsid w:val="0065079F"/>
    <w:rsid w:val="006507C5"/>
    <w:rsid w:val="006514FB"/>
    <w:rsid w:val="0065166D"/>
    <w:rsid w:val="00652A28"/>
    <w:rsid w:val="0065379F"/>
    <w:rsid w:val="00656188"/>
    <w:rsid w:val="006569A0"/>
    <w:rsid w:val="0065715A"/>
    <w:rsid w:val="00657C5E"/>
    <w:rsid w:val="006601D1"/>
    <w:rsid w:val="006610F1"/>
    <w:rsid w:val="00661987"/>
    <w:rsid w:val="00661C6B"/>
    <w:rsid w:val="00663682"/>
    <w:rsid w:val="00664DA6"/>
    <w:rsid w:val="00671004"/>
    <w:rsid w:val="00671252"/>
    <w:rsid w:val="00671D87"/>
    <w:rsid w:val="006725D5"/>
    <w:rsid w:val="00672646"/>
    <w:rsid w:val="00672C70"/>
    <w:rsid w:val="00673A7A"/>
    <w:rsid w:val="00674E42"/>
    <w:rsid w:val="006778F4"/>
    <w:rsid w:val="006813F8"/>
    <w:rsid w:val="00682112"/>
    <w:rsid w:val="00682BA6"/>
    <w:rsid w:val="00684956"/>
    <w:rsid w:val="0068582D"/>
    <w:rsid w:val="0068624C"/>
    <w:rsid w:val="00686957"/>
    <w:rsid w:val="006872BA"/>
    <w:rsid w:val="006875F2"/>
    <w:rsid w:val="006902CF"/>
    <w:rsid w:val="00690795"/>
    <w:rsid w:val="00690D72"/>
    <w:rsid w:val="00691648"/>
    <w:rsid w:val="006917D7"/>
    <w:rsid w:val="0069434C"/>
    <w:rsid w:val="00694F44"/>
    <w:rsid w:val="00696089"/>
    <w:rsid w:val="00696383"/>
    <w:rsid w:val="00696F51"/>
    <w:rsid w:val="006979A5"/>
    <w:rsid w:val="006A1208"/>
    <w:rsid w:val="006A2EA7"/>
    <w:rsid w:val="006A3094"/>
    <w:rsid w:val="006A4130"/>
    <w:rsid w:val="006A481A"/>
    <w:rsid w:val="006A4EE3"/>
    <w:rsid w:val="006A5260"/>
    <w:rsid w:val="006A690E"/>
    <w:rsid w:val="006A6B99"/>
    <w:rsid w:val="006A77B7"/>
    <w:rsid w:val="006A7E5F"/>
    <w:rsid w:val="006B261B"/>
    <w:rsid w:val="006B27E1"/>
    <w:rsid w:val="006B2C90"/>
    <w:rsid w:val="006B357A"/>
    <w:rsid w:val="006B35E6"/>
    <w:rsid w:val="006B465A"/>
    <w:rsid w:val="006B5568"/>
    <w:rsid w:val="006B57E7"/>
    <w:rsid w:val="006B5855"/>
    <w:rsid w:val="006B5D0D"/>
    <w:rsid w:val="006B60A6"/>
    <w:rsid w:val="006B6DD0"/>
    <w:rsid w:val="006B796E"/>
    <w:rsid w:val="006C0399"/>
    <w:rsid w:val="006C0506"/>
    <w:rsid w:val="006C171F"/>
    <w:rsid w:val="006C2560"/>
    <w:rsid w:val="006C2A4B"/>
    <w:rsid w:val="006C2A8E"/>
    <w:rsid w:val="006C2B4C"/>
    <w:rsid w:val="006C2BD2"/>
    <w:rsid w:val="006C3255"/>
    <w:rsid w:val="006C3C40"/>
    <w:rsid w:val="006C3F26"/>
    <w:rsid w:val="006C4DFF"/>
    <w:rsid w:val="006C553E"/>
    <w:rsid w:val="006C5AA3"/>
    <w:rsid w:val="006C5C4A"/>
    <w:rsid w:val="006C5FBB"/>
    <w:rsid w:val="006C6729"/>
    <w:rsid w:val="006C6A59"/>
    <w:rsid w:val="006C77DF"/>
    <w:rsid w:val="006C7AC0"/>
    <w:rsid w:val="006D0D17"/>
    <w:rsid w:val="006D23AF"/>
    <w:rsid w:val="006D284B"/>
    <w:rsid w:val="006D3656"/>
    <w:rsid w:val="006D3C7D"/>
    <w:rsid w:val="006D4152"/>
    <w:rsid w:val="006D4659"/>
    <w:rsid w:val="006D47C4"/>
    <w:rsid w:val="006D5D5F"/>
    <w:rsid w:val="006D6386"/>
    <w:rsid w:val="006D68FB"/>
    <w:rsid w:val="006D7FD6"/>
    <w:rsid w:val="006E05ED"/>
    <w:rsid w:val="006E1765"/>
    <w:rsid w:val="006E2868"/>
    <w:rsid w:val="006E62BF"/>
    <w:rsid w:val="006E6C9D"/>
    <w:rsid w:val="006E7BDC"/>
    <w:rsid w:val="006F021B"/>
    <w:rsid w:val="006F045C"/>
    <w:rsid w:val="006F0D23"/>
    <w:rsid w:val="006F1490"/>
    <w:rsid w:val="006F1AF1"/>
    <w:rsid w:val="006F306C"/>
    <w:rsid w:val="006F5D33"/>
    <w:rsid w:val="006F63A5"/>
    <w:rsid w:val="006F63E7"/>
    <w:rsid w:val="006F7388"/>
    <w:rsid w:val="00700CA4"/>
    <w:rsid w:val="00700DBA"/>
    <w:rsid w:val="0070142B"/>
    <w:rsid w:val="00701CF4"/>
    <w:rsid w:val="00701FEB"/>
    <w:rsid w:val="0070276E"/>
    <w:rsid w:val="00702F8F"/>
    <w:rsid w:val="00703670"/>
    <w:rsid w:val="00704529"/>
    <w:rsid w:val="00704EFD"/>
    <w:rsid w:val="00705BEB"/>
    <w:rsid w:val="007079FC"/>
    <w:rsid w:val="00710344"/>
    <w:rsid w:val="007107DC"/>
    <w:rsid w:val="00711204"/>
    <w:rsid w:val="00711536"/>
    <w:rsid w:val="00711A36"/>
    <w:rsid w:val="00713CA4"/>
    <w:rsid w:val="0071465B"/>
    <w:rsid w:val="00714C26"/>
    <w:rsid w:val="0071529C"/>
    <w:rsid w:val="007156C3"/>
    <w:rsid w:val="007164D4"/>
    <w:rsid w:val="007170DA"/>
    <w:rsid w:val="007172AD"/>
    <w:rsid w:val="00720801"/>
    <w:rsid w:val="00721487"/>
    <w:rsid w:val="007216B9"/>
    <w:rsid w:val="00721D73"/>
    <w:rsid w:val="00722B1B"/>
    <w:rsid w:val="00722D47"/>
    <w:rsid w:val="00723C84"/>
    <w:rsid w:val="0072416F"/>
    <w:rsid w:val="007245B2"/>
    <w:rsid w:val="00724717"/>
    <w:rsid w:val="00724CD5"/>
    <w:rsid w:val="0072528E"/>
    <w:rsid w:val="00725B0E"/>
    <w:rsid w:val="00725FA9"/>
    <w:rsid w:val="0072605F"/>
    <w:rsid w:val="007275BB"/>
    <w:rsid w:val="0072788E"/>
    <w:rsid w:val="00727C94"/>
    <w:rsid w:val="00727D67"/>
    <w:rsid w:val="007307A5"/>
    <w:rsid w:val="00731B0A"/>
    <w:rsid w:val="00731CC9"/>
    <w:rsid w:val="00731EAE"/>
    <w:rsid w:val="00733073"/>
    <w:rsid w:val="00733DB0"/>
    <w:rsid w:val="00734907"/>
    <w:rsid w:val="00735033"/>
    <w:rsid w:val="0073515A"/>
    <w:rsid w:val="00735328"/>
    <w:rsid w:val="0073553D"/>
    <w:rsid w:val="0073685B"/>
    <w:rsid w:val="007374DC"/>
    <w:rsid w:val="00741CB8"/>
    <w:rsid w:val="00742010"/>
    <w:rsid w:val="00742CCC"/>
    <w:rsid w:val="00743630"/>
    <w:rsid w:val="00743C41"/>
    <w:rsid w:val="007449BF"/>
    <w:rsid w:val="007456A8"/>
    <w:rsid w:val="00746BC0"/>
    <w:rsid w:val="00746CC5"/>
    <w:rsid w:val="0074710A"/>
    <w:rsid w:val="00747253"/>
    <w:rsid w:val="007510B4"/>
    <w:rsid w:val="00751787"/>
    <w:rsid w:val="00751FE7"/>
    <w:rsid w:val="00752082"/>
    <w:rsid w:val="00752142"/>
    <w:rsid w:val="007523F9"/>
    <w:rsid w:val="0075357E"/>
    <w:rsid w:val="00755BDA"/>
    <w:rsid w:val="007567E7"/>
    <w:rsid w:val="0075680C"/>
    <w:rsid w:val="00756C61"/>
    <w:rsid w:val="007573E8"/>
    <w:rsid w:val="00760B5E"/>
    <w:rsid w:val="00760C4E"/>
    <w:rsid w:val="00760F9E"/>
    <w:rsid w:val="00761AD7"/>
    <w:rsid w:val="007627BE"/>
    <w:rsid w:val="007629B4"/>
    <w:rsid w:val="00763411"/>
    <w:rsid w:val="00764F03"/>
    <w:rsid w:val="00765B1A"/>
    <w:rsid w:val="00765C5A"/>
    <w:rsid w:val="0076691D"/>
    <w:rsid w:val="0077034E"/>
    <w:rsid w:val="007715B8"/>
    <w:rsid w:val="00771811"/>
    <w:rsid w:val="00774268"/>
    <w:rsid w:val="00776955"/>
    <w:rsid w:val="00777335"/>
    <w:rsid w:val="00777860"/>
    <w:rsid w:val="007843F2"/>
    <w:rsid w:val="00784790"/>
    <w:rsid w:val="00784A1B"/>
    <w:rsid w:val="00785A9F"/>
    <w:rsid w:val="007862D2"/>
    <w:rsid w:val="00786949"/>
    <w:rsid w:val="007871E1"/>
    <w:rsid w:val="007925DF"/>
    <w:rsid w:val="00792850"/>
    <w:rsid w:val="00792927"/>
    <w:rsid w:val="007935FA"/>
    <w:rsid w:val="007966A0"/>
    <w:rsid w:val="007977DC"/>
    <w:rsid w:val="007A03F6"/>
    <w:rsid w:val="007A08AA"/>
    <w:rsid w:val="007A0A12"/>
    <w:rsid w:val="007A132D"/>
    <w:rsid w:val="007A1345"/>
    <w:rsid w:val="007A2A47"/>
    <w:rsid w:val="007A2DDB"/>
    <w:rsid w:val="007A4B3C"/>
    <w:rsid w:val="007A5756"/>
    <w:rsid w:val="007A6933"/>
    <w:rsid w:val="007A70BA"/>
    <w:rsid w:val="007A72D4"/>
    <w:rsid w:val="007A7CC1"/>
    <w:rsid w:val="007B04A3"/>
    <w:rsid w:val="007B0D68"/>
    <w:rsid w:val="007B1149"/>
    <w:rsid w:val="007B120F"/>
    <w:rsid w:val="007B251D"/>
    <w:rsid w:val="007B389A"/>
    <w:rsid w:val="007B4F58"/>
    <w:rsid w:val="007B528D"/>
    <w:rsid w:val="007B638A"/>
    <w:rsid w:val="007B63CA"/>
    <w:rsid w:val="007B6ED3"/>
    <w:rsid w:val="007B77D1"/>
    <w:rsid w:val="007C0118"/>
    <w:rsid w:val="007C07C7"/>
    <w:rsid w:val="007C0B1C"/>
    <w:rsid w:val="007C19CB"/>
    <w:rsid w:val="007C1CD9"/>
    <w:rsid w:val="007C2E8D"/>
    <w:rsid w:val="007C32EF"/>
    <w:rsid w:val="007C361D"/>
    <w:rsid w:val="007C4B84"/>
    <w:rsid w:val="007C4E46"/>
    <w:rsid w:val="007C5285"/>
    <w:rsid w:val="007C615C"/>
    <w:rsid w:val="007C70FF"/>
    <w:rsid w:val="007C7C25"/>
    <w:rsid w:val="007D004F"/>
    <w:rsid w:val="007D09DA"/>
    <w:rsid w:val="007D0B38"/>
    <w:rsid w:val="007D1C1F"/>
    <w:rsid w:val="007D1E2B"/>
    <w:rsid w:val="007D208D"/>
    <w:rsid w:val="007D2F82"/>
    <w:rsid w:val="007D43CC"/>
    <w:rsid w:val="007D5440"/>
    <w:rsid w:val="007D69EB"/>
    <w:rsid w:val="007E056F"/>
    <w:rsid w:val="007E0CFA"/>
    <w:rsid w:val="007E128F"/>
    <w:rsid w:val="007E1B41"/>
    <w:rsid w:val="007E34E3"/>
    <w:rsid w:val="007E3A43"/>
    <w:rsid w:val="007E6977"/>
    <w:rsid w:val="007E6CBE"/>
    <w:rsid w:val="007F1017"/>
    <w:rsid w:val="007F3BBA"/>
    <w:rsid w:val="007F4A3F"/>
    <w:rsid w:val="007F4A61"/>
    <w:rsid w:val="007F5255"/>
    <w:rsid w:val="007F56CC"/>
    <w:rsid w:val="007F5E98"/>
    <w:rsid w:val="007F61C2"/>
    <w:rsid w:val="007F6B3F"/>
    <w:rsid w:val="007F746A"/>
    <w:rsid w:val="007F7805"/>
    <w:rsid w:val="00800B8E"/>
    <w:rsid w:val="008030F4"/>
    <w:rsid w:val="00803136"/>
    <w:rsid w:val="00803EBA"/>
    <w:rsid w:val="00803F9F"/>
    <w:rsid w:val="00805142"/>
    <w:rsid w:val="0080531D"/>
    <w:rsid w:val="008059E8"/>
    <w:rsid w:val="00805FCE"/>
    <w:rsid w:val="00806C9E"/>
    <w:rsid w:val="00807A8B"/>
    <w:rsid w:val="0081052F"/>
    <w:rsid w:val="00810F21"/>
    <w:rsid w:val="00811383"/>
    <w:rsid w:val="00812149"/>
    <w:rsid w:val="00812CAC"/>
    <w:rsid w:val="00813C16"/>
    <w:rsid w:val="00814C7B"/>
    <w:rsid w:val="00814FB4"/>
    <w:rsid w:val="008162B1"/>
    <w:rsid w:val="00816361"/>
    <w:rsid w:val="0081663F"/>
    <w:rsid w:val="008166EF"/>
    <w:rsid w:val="00816FEF"/>
    <w:rsid w:val="008170D7"/>
    <w:rsid w:val="0081754E"/>
    <w:rsid w:val="00817F37"/>
    <w:rsid w:val="0082027D"/>
    <w:rsid w:val="00820A8C"/>
    <w:rsid w:val="00820DC4"/>
    <w:rsid w:val="008215FB"/>
    <w:rsid w:val="008221A6"/>
    <w:rsid w:val="00822489"/>
    <w:rsid w:val="00823174"/>
    <w:rsid w:val="0082447F"/>
    <w:rsid w:val="00824F40"/>
    <w:rsid w:val="00825272"/>
    <w:rsid w:val="00825751"/>
    <w:rsid w:val="008264EB"/>
    <w:rsid w:val="00832C71"/>
    <w:rsid w:val="00833849"/>
    <w:rsid w:val="00833A76"/>
    <w:rsid w:val="00833B05"/>
    <w:rsid w:val="008340B0"/>
    <w:rsid w:val="00835105"/>
    <w:rsid w:val="0083579A"/>
    <w:rsid w:val="00836146"/>
    <w:rsid w:val="008362B4"/>
    <w:rsid w:val="0083714B"/>
    <w:rsid w:val="00840B53"/>
    <w:rsid w:val="00840CA2"/>
    <w:rsid w:val="008412D3"/>
    <w:rsid w:val="00842509"/>
    <w:rsid w:val="00843450"/>
    <w:rsid w:val="0084374F"/>
    <w:rsid w:val="00844A22"/>
    <w:rsid w:val="00845DDB"/>
    <w:rsid w:val="00846B85"/>
    <w:rsid w:val="00847703"/>
    <w:rsid w:val="00847D57"/>
    <w:rsid w:val="00847DF5"/>
    <w:rsid w:val="00850C56"/>
    <w:rsid w:val="00850FE0"/>
    <w:rsid w:val="0085193C"/>
    <w:rsid w:val="0085309D"/>
    <w:rsid w:val="0085310C"/>
    <w:rsid w:val="00853469"/>
    <w:rsid w:val="00855616"/>
    <w:rsid w:val="0085612D"/>
    <w:rsid w:val="0085650E"/>
    <w:rsid w:val="00856897"/>
    <w:rsid w:val="00856E9A"/>
    <w:rsid w:val="00857174"/>
    <w:rsid w:val="0085733C"/>
    <w:rsid w:val="00857E92"/>
    <w:rsid w:val="0086075D"/>
    <w:rsid w:val="00861210"/>
    <w:rsid w:val="00861C45"/>
    <w:rsid w:val="008621F4"/>
    <w:rsid w:val="00862502"/>
    <w:rsid w:val="00862CC1"/>
    <w:rsid w:val="00865BF4"/>
    <w:rsid w:val="008660D4"/>
    <w:rsid w:val="00866F58"/>
    <w:rsid w:val="00867238"/>
    <w:rsid w:val="00867250"/>
    <w:rsid w:val="008679B2"/>
    <w:rsid w:val="00867CFD"/>
    <w:rsid w:val="00870EFE"/>
    <w:rsid w:val="008711DB"/>
    <w:rsid w:val="00871FA9"/>
    <w:rsid w:val="008728E9"/>
    <w:rsid w:val="00873085"/>
    <w:rsid w:val="0087372A"/>
    <w:rsid w:val="00875FA5"/>
    <w:rsid w:val="008765F4"/>
    <w:rsid w:val="00876D44"/>
    <w:rsid w:val="00880120"/>
    <w:rsid w:val="00880AC2"/>
    <w:rsid w:val="00881EA4"/>
    <w:rsid w:val="008821B3"/>
    <w:rsid w:val="00882874"/>
    <w:rsid w:val="00882E3C"/>
    <w:rsid w:val="00883787"/>
    <w:rsid w:val="00883EC5"/>
    <w:rsid w:val="00884B30"/>
    <w:rsid w:val="008855E4"/>
    <w:rsid w:val="00886245"/>
    <w:rsid w:val="008862E6"/>
    <w:rsid w:val="00886CD2"/>
    <w:rsid w:val="00890C9A"/>
    <w:rsid w:val="008911C4"/>
    <w:rsid w:val="00891B56"/>
    <w:rsid w:val="00891C2F"/>
    <w:rsid w:val="00891E6F"/>
    <w:rsid w:val="0089275D"/>
    <w:rsid w:val="00892A36"/>
    <w:rsid w:val="00893239"/>
    <w:rsid w:val="008934D2"/>
    <w:rsid w:val="0089435C"/>
    <w:rsid w:val="00894489"/>
    <w:rsid w:val="00895C00"/>
    <w:rsid w:val="008963A5"/>
    <w:rsid w:val="00896985"/>
    <w:rsid w:val="00896D5D"/>
    <w:rsid w:val="008972AF"/>
    <w:rsid w:val="008977F3"/>
    <w:rsid w:val="008A00AD"/>
    <w:rsid w:val="008A02D8"/>
    <w:rsid w:val="008A05E1"/>
    <w:rsid w:val="008A0BDD"/>
    <w:rsid w:val="008A166A"/>
    <w:rsid w:val="008A1903"/>
    <w:rsid w:val="008A220A"/>
    <w:rsid w:val="008A2E31"/>
    <w:rsid w:val="008A3363"/>
    <w:rsid w:val="008A3371"/>
    <w:rsid w:val="008A3C3E"/>
    <w:rsid w:val="008A481E"/>
    <w:rsid w:val="008A5755"/>
    <w:rsid w:val="008A6B12"/>
    <w:rsid w:val="008A6D0C"/>
    <w:rsid w:val="008A79DE"/>
    <w:rsid w:val="008A7DBD"/>
    <w:rsid w:val="008B022A"/>
    <w:rsid w:val="008B0B4E"/>
    <w:rsid w:val="008B163C"/>
    <w:rsid w:val="008B1757"/>
    <w:rsid w:val="008B1A97"/>
    <w:rsid w:val="008B1AB0"/>
    <w:rsid w:val="008B365F"/>
    <w:rsid w:val="008B3704"/>
    <w:rsid w:val="008B55D4"/>
    <w:rsid w:val="008B7992"/>
    <w:rsid w:val="008B7D7E"/>
    <w:rsid w:val="008B7E00"/>
    <w:rsid w:val="008C0F98"/>
    <w:rsid w:val="008C28C6"/>
    <w:rsid w:val="008C3ABE"/>
    <w:rsid w:val="008C5610"/>
    <w:rsid w:val="008C5739"/>
    <w:rsid w:val="008C66FD"/>
    <w:rsid w:val="008C6B24"/>
    <w:rsid w:val="008C7ECB"/>
    <w:rsid w:val="008D0420"/>
    <w:rsid w:val="008D0BDC"/>
    <w:rsid w:val="008D1B6D"/>
    <w:rsid w:val="008D1EAE"/>
    <w:rsid w:val="008D37C5"/>
    <w:rsid w:val="008D3B86"/>
    <w:rsid w:val="008D4755"/>
    <w:rsid w:val="008D4C3D"/>
    <w:rsid w:val="008D5F8D"/>
    <w:rsid w:val="008D6619"/>
    <w:rsid w:val="008D6DDE"/>
    <w:rsid w:val="008D6E2A"/>
    <w:rsid w:val="008D743C"/>
    <w:rsid w:val="008D7807"/>
    <w:rsid w:val="008D7BF5"/>
    <w:rsid w:val="008E0902"/>
    <w:rsid w:val="008E0D3C"/>
    <w:rsid w:val="008E1B9E"/>
    <w:rsid w:val="008E1EF9"/>
    <w:rsid w:val="008E5159"/>
    <w:rsid w:val="008E55AB"/>
    <w:rsid w:val="008E7815"/>
    <w:rsid w:val="008F120A"/>
    <w:rsid w:val="008F1732"/>
    <w:rsid w:val="008F27E0"/>
    <w:rsid w:val="008F3429"/>
    <w:rsid w:val="008F48EB"/>
    <w:rsid w:val="008F4F0B"/>
    <w:rsid w:val="008F7893"/>
    <w:rsid w:val="0090170E"/>
    <w:rsid w:val="0090218A"/>
    <w:rsid w:val="0090241A"/>
    <w:rsid w:val="00902E92"/>
    <w:rsid w:val="009046C4"/>
    <w:rsid w:val="0090570B"/>
    <w:rsid w:val="00905F36"/>
    <w:rsid w:val="00905F61"/>
    <w:rsid w:val="009062A5"/>
    <w:rsid w:val="00907072"/>
    <w:rsid w:val="00907383"/>
    <w:rsid w:val="00910FA7"/>
    <w:rsid w:val="00911272"/>
    <w:rsid w:val="009135D6"/>
    <w:rsid w:val="00914C77"/>
    <w:rsid w:val="00915158"/>
    <w:rsid w:val="0091522F"/>
    <w:rsid w:val="00917418"/>
    <w:rsid w:val="0092128B"/>
    <w:rsid w:val="009213C6"/>
    <w:rsid w:val="00921A47"/>
    <w:rsid w:val="00921ACB"/>
    <w:rsid w:val="00921AEE"/>
    <w:rsid w:val="00922396"/>
    <w:rsid w:val="0092369B"/>
    <w:rsid w:val="00924F6A"/>
    <w:rsid w:val="00925959"/>
    <w:rsid w:val="00925F1B"/>
    <w:rsid w:val="00925F88"/>
    <w:rsid w:val="00926B40"/>
    <w:rsid w:val="0093011B"/>
    <w:rsid w:val="00930AF9"/>
    <w:rsid w:val="00933F80"/>
    <w:rsid w:val="00934988"/>
    <w:rsid w:val="00935FC5"/>
    <w:rsid w:val="00936634"/>
    <w:rsid w:val="00937089"/>
    <w:rsid w:val="009372C8"/>
    <w:rsid w:val="00937593"/>
    <w:rsid w:val="00940F49"/>
    <w:rsid w:val="0094277C"/>
    <w:rsid w:val="009433E1"/>
    <w:rsid w:val="00943573"/>
    <w:rsid w:val="009435FB"/>
    <w:rsid w:val="009438B4"/>
    <w:rsid w:val="00944F8A"/>
    <w:rsid w:val="00945ECA"/>
    <w:rsid w:val="00946947"/>
    <w:rsid w:val="009510A2"/>
    <w:rsid w:val="00952A4E"/>
    <w:rsid w:val="00953257"/>
    <w:rsid w:val="00953F3F"/>
    <w:rsid w:val="009540B1"/>
    <w:rsid w:val="00954147"/>
    <w:rsid w:val="0095474C"/>
    <w:rsid w:val="00954C64"/>
    <w:rsid w:val="009556C4"/>
    <w:rsid w:val="00956F74"/>
    <w:rsid w:val="00957E81"/>
    <w:rsid w:val="00957F33"/>
    <w:rsid w:val="00960022"/>
    <w:rsid w:val="0096007D"/>
    <w:rsid w:val="0096188B"/>
    <w:rsid w:val="00962CB9"/>
    <w:rsid w:val="00964312"/>
    <w:rsid w:val="009659CB"/>
    <w:rsid w:val="00965B8A"/>
    <w:rsid w:val="00965E0C"/>
    <w:rsid w:val="00965F2A"/>
    <w:rsid w:val="00966288"/>
    <w:rsid w:val="009663A9"/>
    <w:rsid w:val="0096676F"/>
    <w:rsid w:val="009667C0"/>
    <w:rsid w:val="00970094"/>
    <w:rsid w:val="0097071F"/>
    <w:rsid w:val="009717AC"/>
    <w:rsid w:val="009726AC"/>
    <w:rsid w:val="00972F28"/>
    <w:rsid w:val="009751C1"/>
    <w:rsid w:val="00975422"/>
    <w:rsid w:val="00975514"/>
    <w:rsid w:val="00975646"/>
    <w:rsid w:val="0097571A"/>
    <w:rsid w:val="009769E2"/>
    <w:rsid w:val="00976C2D"/>
    <w:rsid w:val="00977523"/>
    <w:rsid w:val="009779BF"/>
    <w:rsid w:val="00977F2E"/>
    <w:rsid w:val="00980335"/>
    <w:rsid w:val="00980692"/>
    <w:rsid w:val="009811F1"/>
    <w:rsid w:val="009822A0"/>
    <w:rsid w:val="00982E08"/>
    <w:rsid w:val="0098327B"/>
    <w:rsid w:val="00983E57"/>
    <w:rsid w:val="009846CB"/>
    <w:rsid w:val="00985DE2"/>
    <w:rsid w:val="00985E50"/>
    <w:rsid w:val="0098675D"/>
    <w:rsid w:val="0099058F"/>
    <w:rsid w:val="009912D7"/>
    <w:rsid w:val="00991452"/>
    <w:rsid w:val="009914F9"/>
    <w:rsid w:val="009916D2"/>
    <w:rsid w:val="00991DDD"/>
    <w:rsid w:val="009926E0"/>
    <w:rsid w:val="00992883"/>
    <w:rsid w:val="00992B1F"/>
    <w:rsid w:val="00992B8B"/>
    <w:rsid w:val="009930D5"/>
    <w:rsid w:val="009931BD"/>
    <w:rsid w:val="009941CB"/>
    <w:rsid w:val="0099451E"/>
    <w:rsid w:val="00995FDA"/>
    <w:rsid w:val="00996B1A"/>
    <w:rsid w:val="009A0FBE"/>
    <w:rsid w:val="009A272C"/>
    <w:rsid w:val="009A2DCC"/>
    <w:rsid w:val="009A4300"/>
    <w:rsid w:val="009A4DB2"/>
    <w:rsid w:val="009A5ABC"/>
    <w:rsid w:val="009A5E1D"/>
    <w:rsid w:val="009A5EC2"/>
    <w:rsid w:val="009A63E2"/>
    <w:rsid w:val="009A7F10"/>
    <w:rsid w:val="009A7FD4"/>
    <w:rsid w:val="009B0853"/>
    <w:rsid w:val="009B161B"/>
    <w:rsid w:val="009B1E7F"/>
    <w:rsid w:val="009B2D89"/>
    <w:rsid w:val="009B36E8"/>
    <w:rsid w:val="009B3E26"/>
    <w:rsid w:val="009B51F5"/>
    <w:rsid w:val="009B7FD4"/>
    <w:rsid w:val="009C04F3"/>
    <w:rsid w:val="009C0813"/>
    <w:rsid w:val="009C16DF"/>
    <w:rsid w:val="009C3602"/>
    <w:rsid w:val="009C3706"/>
    <w:rsid w:val="009C3A3A"/>
    <w:rsid w:val="009C625E"/>
    <w:rsid w:val="009C6CEA"/>
    <w:rsid w:val="009C787D"/>
    <w:rsid w:val="009C7B85"/>
    <w:rsid w:val="009C7BF4"/>
    <w:rsid w:val="009D0254"/>
    <w:rsid w:val="009D1A64"/>
    <w:rsid w:val="009D3570"/>
    <w:rsid w:val="009D41A5"/>
    <w:rsid w:val="009D4A9B"/>
    <w:rsid w:val="009D4F97"/>
    <w:rsid w:val="009D5A9A"/>
    <w:rsid w:val="009D5B91"/>
    <w:rsid w:val="009D74E3"/>
    <w:rsid w:val="009D792E"/>
    <w:rsid w:val="009E056F"/>
    <w:rsid w:val="009E0DFE"/>
    <w:rsid w:val="009E0E22"/>
    <w:rsid w:val="009E13C2"/>
    <w:rsid w:val="009E15D7"/>
    <w:rsid w:val="009E2CA0"/>
    <w:rsid w:val="009E31F6"/>
    <w:rsid w:val="009E4C07"/>
    <w:rsid w:val="009E5DC7"/>
    <w:rsid w:val="009E6863"/>
    <w:rsid w:val="009E78C1"/>
    <w:rsid w:val="009E7CF6"/>
    <w:rsid w:val="009F0260"/>
    <w:rsid w:val="009F228E"/>
    <w:rsid w:val="009F24E2"/>
    <w:rsid w:val="009F27EE"/>
    <w:rsid w:val="009F3543"/>
    <w:rsid w:val="009F4474"/>
    <w:rsid w:val="009F4887"/>
    <w:rsid w:val="009F6B48"/>
    <w:rsid w:val="00A00108"/>
    <w:rsid w:val="00A00E27"/>
    <w:rsid w:val="00A01184"/>
    <w:rsid w:val="00A027D1"/>
    <w:rsid w:val="00A037C2"/>
    <w:rsid w:val="00A03D43"/>
    <w:rsid w:val="00A041C3"/>
    <w:rsid w:val="00A04380"/>
    <w:rsid w:val="00A044B8"/>
    <w:rsid w:val="00A05472"/>
    <w:rsid w:val="00A05987"/>
    <w:rsid w:val="00A05A72"/>
    <w:rsid w:val="00A05C32"/>
    <w:rsid w:val="00A0653F"/>
    <w:rsid w:val="00A07865"/>
    <w:rsid w:val="00A10633"/>
    <w:rsid w:val="00A10729"/>
    <w:rsid w:val="00A11CD0"/>
    <w:rsid w:val="00A12878"/>
    <w:rsid w:val="00A12D79"/>
    <w:rsid w:val="00A13948"/>
    <w:rsid w:val="00A13FAC"/>
    <w:rsid w:val="00A1439A"/>
    <w:rsid w:val="00A153CD"/>
    <w:rsid w:val="00A1555B"/>
    <w:rsid w:val="00A155C5"/>
    <w:rsid w:val="00A15E7A"/>
    <w:rsid w:val="00A16859"/>
    <w:rsid w:val="00A16ABB"/>
    <w:rsid w:val="00A16AD8"/>
    <w:rsid w:val="00A211C1"/>
    <w:rsid w:val="00A21C95"/>
    <w:rsid w:val="00A21CF3"/>
    <w:rsid w:val="00A226DD"/>
    <w:rsid w:val="00A240F2"/>
    <w:rsid w:val="00A24813"/>
    <w:rsid w:val="00A24A85"/>
    <w:rsid w:val="00A26491"/>
    <w:rsid w:val="00A26E16"/>
    <w:rsid w:val="00A270AF"/>
    <w:rsid w:val="00A27AEC"/>
    <w:rsid w:val="00A31A3D"/>
    <w:rsid w:val="00A320DB"/>
    <w:rsid w:val="00A334DA"/>
    <w:rsid w:val="00A33675"/>
    <w:rsid w:val="00A33710"/>
    <w:rsid w:val="00A33B7F"/>
    <w:rsid w:val="00A33CA5"/>
    <w:rsid w:val="00A35D16"/>
    <w:rsid w:val="00A37BCD"/>
    <w:rsid w:val="00A40459"/>
    <w:rsid w:val="00A41689"/>
    <w:rsid w:val="00A42592"/>
    <w:rsid w:val="00A43C59"/>
    <w:rsid w:val="00A43E1D"/>
    <w:rsid w:val="00A46EFA"/>
    <w:rsid w:val="00A4776A"/>
    <w:rsid w:val="00A50078"/>
    <w:rsid w:val="00A5069B"/>
    <w:rsid w:val="00A50ECD"/>
    <w:rsid w:val="00A518F3"/>
    <w:rsid w:val="00A52729"/>
    <w:rsid w:val="00A530D4"/>
    <w:rsid w:val="00A53675"/>
    <w:rsid w:val="00A54E22"/>
    <w:rsid w:val="00A55764"/>
    <w:rsid w:val="00A564D7"/>
    <w:rsid w:val="00A568C4"/>
    <w:rsid w:val="00A56B6A"/>
    <w:rsid w:val="00A57302"/>
    <w:rsid w:val="00A578DC"/>
    <w:rsid w:val="00A57D7C"/>
    <w:rsid w:val="00A6223A"/>
    <w:rsid w:val="00A62ACA"/>
    <w:rsid w:val="00A6379A"/>
    <w:rsid w:val="00A640E2"/>
    <w:rsid w:val="00A64D65"/>
    <w:rsid w:val="00A66C12"/>
    <w:rsid w:val="00A67133"/>
    <w:rsid w:val="00A6725B"/>
    <w:rsid w:val="00A677A1"/>
    <w:rsid w:val="00A70605"/>
    <w:rsid w:val="00A70DD3"/>
    <w:rsid w:val="00A71B57"/>
    <w:rsid w:val="00A72D6E"/>
    <w:rsid w:val="00A73134"/>
    <w:rsid w:val="00A73B3D"/>
    <w:rsid w:val="00A74B97"/>
    <w:rsid w:val="00A755B3"/>
    <w:rsid w:val="00A75672"/>
    <w:rsid w:val="00A75A69"/>
    <w:rsid w:val="00A76001"/>
    <w:rsid w:val="00A761CF"/>
    <w:rsid w:val="00A765E7"/>
    <w:rsid w:val="00A775F0"/>
    <w:rsid w:val="00A776BA"/>
    <w:rsid w:val="00A777B2"/>
    <w:rsid w:val="00A80BF1"/>
    <w:rsid w:val="00A814A2"/>
    <w:rsid w:val="00A817EC"/>
    <w:rsid w:val="00A8233A"/>
    <w:rsid w:val="00A82521"/>
    <w:rsid w:val="00A825D4"/>
    <w:rsid w:val="00A828F6"/>
    <w:rsid w:val="00A82B73"/>
    <w:rsid w:val="00A837C5"/>
    <w:rsid w:val="00A839D4"/>
    <w:rsid w:val="00A84C5B"/>
    <w:rsid w:val="00A85041"/>
    <w:rsid w:val="00A86E8B"/>
    <w:rsid w:val="00A87164"/>
    <w:rsid w:val="00A9026B"/>
    <w:rsid w:val="00A91220"/>
    <w:rsid w:val="00A916A4"/>
    <w:rsid w:val="00A91E60"/>
    <w:rsid w:val="00A924A9"/>
    <w:rsid w:val="00A93072"/>
    <w:rsid w:val="00A938BD"/>
    <w:rsid w:val="00A93953"/>
    <w:rsid w:val="00A93F42"/>
    <w:rsid w:val="00A951B4"/>
    <w:rsid w:val="00A95484"/>
    <w:rsid w:val="00A959D8"/>
    <w:rsid w:val="00A959F7"/>
    <w:rsid w:val="00AA113D"/>
    <w:rsid w:val="00AA2E52"/>
    <w:rsid w:val="00AA3C08"/>
    <w:rsid w:val="00AA5C8C"/>
    <w:rsid w:val="00AA6312"/>
    <w:rsid w:val="00AA683D"/>
    <w:rsid w:val="00AA6BD5"/>
    <w:rsid w:val="00AA6BD8"/>
    <w:rsid w:val="00AA6C7D"/>
    <w:rsid w:val="00AA70FB"/>
    <w:rsid w:val="00AA7FD6"/>
    <w:rsid w:val="00AB042A"/>
    <w:rsid w:val="00AB0F4F"/>
    <w:rsid w:val="00AB19EF"/>
    <w:rsid w:val="00AB2D34"/>
    <w:rsid w:val="00AB3388"/>
    <w:rsid w:val="00AB3430"/>
    <w:rsid w:val="00AB36CC"/>
    <w:rsid w:val="00AB37B9"/>
    <w:rsid w:val="00AB4AD1"/>
    <w:rsid w:val="00AB5490"/>
    <w:rsid w:val="00AB5535"/>
    <w:rsid w:val="00AB5603"/>
    <w:rsid w:val="00AB5CDB"/>
    <w:rsid w:val="00AB5E07"/>
    <w:rsid w:val="00AB6BF3"/>
    <w:rsid w:val="00AB7CFA"/>
    <w:rsid w:val="00AB7E45"/>
    <w:rsid w:val="00AC0145"/>
    <w:rsid w:val="00AC091E"/>
    <w:rsid w:val="00AC5B48"/>
    <w:rsid w:val="00AD01BE"/>
    <w:rsid w:val="00AD1450"/>
    <w:rsid w:val="00AD1AA7"/>
    <w:rsid w:val="00AD1B6B"/>
    <w:rsid w:val="00AD21B8"/>
    <w:rsid w:val="00AD31FE"/>
    <w:rsid w:val="00AD4466"/>
    <w:rsid w:val="00AD52BC"/>
    <w:rsid w:val="00AD6502"/>
    <w:rsid w:val="00AE006C"/>
    <w:rsid w:val="00AE02D0"/>
    <w:rsid w:val="00AE0695"/>
    <w:rsid w:val="00AE12A6"/>
    <w:rsid w:val="00AE32E3"/>
    <w:rsid w:val="00AE3788"/>
    <w:rsid w:val="00AE3E7E"/>
    <w:rsid w:val="00AE54F1"/>
    <w:rsid w:val="00AE6185"/>
    <w:rsid w:val="00AE735A"/>
    <w:rsid w:val="00AE7753"/>
    <w:rsid w:val="00AF05E6"/>
    <w:rsid w:val="00AF0CD1"/>
    <w:rsid w:val="00AF10E2"/>
    <w:rsid w:val="00AF1315"/>
    <w:rsid w:val="00AF19BF"/>
    <w:rsid w:val="00AF21DE"/>
    <w:rsid w:val="00AF2776"/>
    <w:rsid w:val="00AF2DC3"/>
    <w:rsid w:val="00AF4095"/>
    <w:rsid w:val="00AF4A40"/>
    <w:rsid w:val="00AF5A56"/>
    <w:rsid w:val="00AF7149"/>
    <w:rsid w:val="00AF7537"/>
    <w:rsid w:val="00B00806"/>
    <w:rsid w:val="00B033E5"/>
    <w:rsid w:val="00B03A63"/>
    <w:rsid w:val="00B0615E"/>
    <w:rsid w:val="00B061F1"/>
    <w:rsid w:val="00B062EB"/>
    <w:rsid w:val="00B076D9"/>
    <w:rsid w:val="00B10079"/>
    <w:rsid w:val="00B10B46"/>
    <w:rsid w:val="00B1171F"/>
    <w:rsid w:val="00B11EC3"/>
    <w:rsid w:val="00B14346"/>
    <w:rsid w:val="00B15BCA"/>
    <w:rsid w:val="00B1728A"/>
    <w:rsid w:val="00B17752"/>
    <w:rsid w:val="00B17796"/>
    <w:rsid w:val="00B17C3B"/>
    <w:rsid w:val="00B201A4"/>
    <w:rsid w:val="00B201D1"/>
    <w:rsid w:val="00B213A6"/>
    <w:rsid w:val="00B2173D"/>
    <w:rsid w:val="00B2195E"/>
    <w:rsid w:val="00B21B0F"/>
    <w:rsid w:val="00B235B0"/>
    <w:rsid w:val="00B24DF6"/>
    <w:rsid w:val="00B260D1"/>
    <w:rsid w:val="00B31634"/>
    <w:rsid w:val="00B317DD"/>
    <w:rsid w:val="00B34B22"/>
    <w:rsid w:val="00B34FE2"/>
    <w:rsid w:val="00B35166"/>
    <w:rsid w:val="00B357D8"/>
    <w:rsid w:val="00B35C7C"/>
    <w:rsid w:val="00B360F4"/>
    <w:rsid w:val="00B36A00"/>
    <w:rsid w:val="00B3774A"/>
    <w:rsid w:val="00B37BFC"/>
    <w:rsid w:val="00B40358"/>
    <w:rsid w:val="00B40AE3"/>
    <w:rsid w:val="00B41614"/>
    <w:rsid w:val="00B42507"/>
    <w:rsid w:val="00B42641"/>
    <w:rsid w:val="00B42851"/>
    <w:rsid w:val="00B42F80"/>
    <w:rsid w:val="00B435CB"/>
    <w:rsid w:val="00B45133"/>
    <w:rsid w:val="00B453E5"/>
    <w:rsid w:val="00B45481"/>
    <w:rsid w:val="00B46275"/>
    <w:rsid w:val="00B47519"/>
    <w:rsid w:val="00B475F3"/>
    <w:rsid w:val="00B476AA"/>
    <w:rsid w:val="00B47F5C"/>
    <w:rsid w:val="00B504EA"/>
    <w:rsid w:val="00B505C8"/>
    <w:rsid w:val="00B50DB8"/>
    <w:rsid w:val="00B51BBE"/>
    <w:rsid w:val="00B52815"/>
    <w:rsid w:val="00B53654"/>
    <w:rsid w:val="00B53905"/>
    <w:rsid w:val="00B53C62"/>
    <w:rsid w:val="00B5430A"/>
    <w:rsid w:val="00B54B43"/>
    <w:rsid w:val="00B54B5B"/>
    <w:rsid w:val="00B55216"/>
    <w:rsid w:val="00B5562E"/>
    <w:rsid w:val="00B55B77"/>
    <w:rsid w:val="00B55C09"/>
    <w:rsid w:val="00B55D65"/>
    <w:rsid w:val="00B56262"/>
    <w:rsid w:val="00B5655B"/>
    <w:rsid w:val="00B56F2B"/>
    <w:rsid w:val="00B57000"/>
    <w:rsid w:val="00B5700A"/>
    <w:rsid w:val="00B6037F"/>
    <w:rsid w:val="00B60939"/>
    <w:rsid w:val="00B60AFD"/>
    <w:rsid w:val="00B617D4"/>
    <w:rsid w:val="00B62715"/>
    <w:rsid w:val="00B630A3"/>
    <w:rsid w:val="00B64CE0"/>
    <w:rsid w:val="00B65611"/>
    <w:rsid w:val="00B65D2A"/>
    <w:rsid w:val="00B67212"/>
    <w:rsid w:val="00B67648"/>
    <w:rsid w:val="00B70AEE"/>
    <w:rsid w:val="00B70DCB"/>
    <w:rsid w:val="00B70E8E"/>
    <w:rsid w:val="00B71BE6"/>
    <w:rsid w:val="00B722D6"/>
    <w:rsid w:val="00B72F9E"/>
    <w:rsid w:val="00B74C64"/>
    <w:rsid w:val="00B757B6"/>
    <w:rsid w:val="00B7645B"/>
    <w:rsid w:val="00B7677B"/>
    <w:rsid w:val="00B76C92"/>
    <w:rsid w:val="00B8068A"/>
    <w:rsid w:val="00B80953"/>
    <w:rsid w:val="00B80A8E"/>
    <w:rsid w:val="00B818A4"/>
    <w:rsid w:val="00B81CAD"/>
    <w:rsid w:val="00B83E00"/>
    <w:rsid w:val="00B84117"/>
    <w:rsid w:val="00B858F0"/>
    <w:rsid w:val="00B85AA2"/>
    <w:rsid w:val="00B8649C"/>
    <w:rsid w:val="00B8695D"/>
    <w:rsid w:val="00B87E40"/>
    <w:rsid w:val="00B87F0A"/>
    <w:rsid w:val="00B90C76"/>
    <w:rsid w:val="00B91586"/>
    <w:rsid w:val="00B9223A"/>
    <w:rsid w:val="00B9262A"/>
    <w:rsid w:val="00B92D0B"/>
    <w:rsid w:val="00B9348F"/>
    <w:rsid w:val="00B93813"/>
    <w:rsid w:val="00B93E39"/>
    <w:rsid w:val="00B93ECE"/>
    <w:rsid w:val="00B93F99"/>
    <w:rsid w:val="00B94945"/>
    <w:rsid w:val="00B94DD6"/>
    <w:rsid w:val="00B94FF2"/>
    <w:rsid w:val="00B95174"/>
    <w:rsid w:val="00B95564"/>
    <w:rsid w:val="00B958C0"/>
    <w:rsid w:val="00B97DDF"/>
    <w:rsid w:val="00BA322D"/>
    <w:rsid w:val="00BA3769"/>
    <w:rsid w:val="00BA3D6F"/>
    <w:rsid w:val="00BA4E3A"/>
    <w:rsid w:val="00BA63FA"/>
    <w:rsid w:val="00BA69D4"/>
    <w:rsid w:val="00BA7BA6"/>
    <w:rsid w:val="00BA7C55"/>
    <w:rsid w:val="00BB00B3"/>
    <w:rsid w:val="00BB0816"/>
    <w:rsid w:val="00BB0B1E"/>
    <w:rsid w:val="00BB0BDD"/>
    <w:rsid w:val="00BB176C"/>
    <w:rsid w:val="00BB2A73"/>
    <w:rsid w:val="00BB3A45"/>
    <w:rsid w:val="00BB3F49"/>
    <w:rsid w:val="00BB434F"/>
    <w:rsid w:val="00BB4712"/>
    <w:rsid w:val="00BB4ACC"/>
    <w:rsid w:val="00BB4BFA"/>
    <w:rsid w:val="00BB6A0A"/>
    <w:rsid w:val="00BB703E"/>
    <w:rsid w:val="00BB732D"/>
    <w:rsid w:val="00BB7405"/>
    <w:rsid w:val="00BC1214"/>
    <w:rsid w:val="00BC124B"/>
    <w:rsid w:val="00BC1435"/>
    <w:rsid w:val="00BC3631"/>
    <w:rsid w:val="00BC3664"/>
    <w:rsid w:val="00BC4EBE"/>
    <w:rsid w:val="00BC5625"/>
    <w:rsid w:val="00BC591F"/>
    <w:rsid w:val="00BC6FB1"/>
    <w:rsid w:val="00BC7D6D"/>
    <w:rsid w:val="00BC7E43"/>
    <w:rsid w:val="00BD0B48"/>
    <w:rsid w:val="00BD1C88"/>
    <w:rsid w:val="00BD2108"/>
    <w:rsid w:val="00BD38AC"/>
    <w:rsid w:val="00BD53C9"/>
    <w:rsid w:val="00BD5473"/>
    <w:rsid w:val="00BD59B0"/>
    <w:rsid w:val="00BD68A3"/>
    <w:rsid w:val="00BD6938"/>
    <w:rsid w:val="00BD6CF3"/>
    <w:rsid w:val="00BD6FFA"/>
    <w:rsid w:val="00BD71FB"/>
    <w:rsid w:val="00BE05B7"/>
    <w:rsid w:val="00BE0ECA"/>
    <w:rsid w:val="00BE2180"/>
    <w:rsid w:val="00BE21F2"/>
    <w:rsid w:val="00BE22DD"/>
    <w:rsid w:val="00BE2FF3"/>
    <w:rsid w:val="00BE37AC"/>
    <w:rsid w:val="00BE4275"/>
    <w:rsid w:val="00BE59C1"/>
    <w:rsid w:val="00BE5B7B"/>
    <w:rsid w:val="00BE5E49"/>
    <w:rsid w:val="00BE61DB"/>
    <w:rsid w:val="00BE7044"/>
    <w:rsid w:val="00BF06AE"/>
    <w:rsid w:val="00BF0F95"/>
    <w:rsid w:val="00BF2433"/>
    <w:rsid w:val="00BF256D"/>
    <w:rsid w:val="00BF2A17"/>
    <w:rsid w:val="00BF2B95"/>
    <w:rsid w:val="00BF3DA4"/>
    <w:rsid w:val="00BF44AC"/>
    <w:rsid w:val="00BF61C9"/>
    <w:rsid w:val="00BF6C94"/>
    <w:rsid w:val="00BF7DB7"/>
    <w:rsid w:val="00BF7E6D"/>
    <w:rsid w:val="00C00424"/>
    <w:rsid w:val="00C00B10"/>
    <w:rsid w:val="00C00B90"/>
    <w:rsid w:val="00C00DA9"/>
    <w:rsid w:val="00C037CF"/>
    <w:rsid w:val="00C03C52"/>
    <w:rsid w:val="00C05CB2"/>
    <w:rsid w:val="00C06571"/>
    <w:rsid w:val="00C06BB8"/>
    <w:rsid w:val="00C07348"/>
    <w:rsid w:val="00C10FDF"/>
    <w:rsid w:val="00C113A7"/>
    <w:rsid w:val="00C1179F"/>
    <w:rsid w:val="00C12C14"/>
    <w:rsid w:val="00C12D26"/>
    <w:rsid w:val="00C138E9"/>
    <w:rsid w:val="00C14582"/>
    <w:rsid w:val="00C14930"/>
    <w:rsid w:val="00C15C25"/>
    <w:rsid w:val="00C15F04"/>
    <w:rsid w:val="00C179B3"/>
    <w:rsid w:val="00C17E3F"/>
    <w:rsid w:val="00C200AA"/>
    <w:rsid w:val="00C20C0A"/>
    <w:rsid w:val="00C20E94"/>
    <w:rsid w:val="00C21D14"/>
    <w:rsid w:val="00C237ED"/>
    <w:rsid w:val="00C23DAB"/>
    <w:rsid w:val="00C24632"/>
    <w:rsid w:val="00C246AD"/>
    <w:rsid w:val="00C25418"/>
    <w:rsid w:val="00C25D9C"/>
    <w:rsid w:val="00C26D41"/>
    <w:rsid w:val="00C2778B"/>
    <w:rsid w:val="00C2790E"/>
    <w:rsid w:val="00C30344"/>
    <w:rsid w:val="00C31649"/>
    <w:rsid w:val="00C31AA6"/>
    <w:rsid w:val="00C320DB"/>
    <w:rsid w:val="00C33D5E"/>
    <w:rsid w:val="00C3423B"/>
    <w:rsid w:val="00C3434C"/>
    <w:rsid w:val="00C34BA1"/>
    <w:rsid w:val="00C36054"/>
    <w:rsid w:val="00C364D0"/>
    <w:rsid w:val="00C40385"/>
    <w:rsid w:val="00C40967"/>
    <w:rsid w:val="00C4121D"/>
    <w:rsid w:val="00C41716"/>
    <w:rsid w:val="00C41768"/>
    <w:rsid w:val="00C43695"/>
    <w:rsid w:val="00C4528F"/>
    <w:rsid w:val="00C4536B"/>
    <w:rsid w:val="00C45BAD"/>
    <w:rsid w:val="00C4615C"/>
    <w:rsid w:val="00C47317"/>
    <w:rsid w:val="00C475AA"/>
    <w:rsid w:val="00C50969"/>
    <w:rsid w:val="00C50EA5"/>
    <w:rsid w:val="00C51A08"/>
    <w:rsid w:val="00C52502"/>
    <w:rsid w:val="00C53C98"/>
    <w:rsid w:val="00C53D47"/>
    <w:rsid w:val="00C55BFC"/>
    <w:rsid w:val="00C56DF6"/>
    <w:rsid w:val="00C56FCF"/>
    <w:rsid w:val="00C57154"/>
    <w:rsid w:val="00C576CA"/>
    <w:rsid w:val="00C57957"/>
    <w:rsid w:val="00C57B6C"/>
    <w:rsid w:val="00C57B83"/>
    <w:rsid w:val="00C6099C"/>
    <w:rsid w:val="00C60D54"/>
    <w:rsid w:val="00C61743"/>
    <w:rsid w:val="00C62209"/>
    <w:rsid w:val="00C628A6"/>
    <w:rsid w:val="00C63CB1"/>
    <w:rsid w:val="00C64344"/>
    <w:rsid w:val="00C648E5"/>
    <w:rsid w:val="00C64B77"/>
    <w:rsid w:val="00C65108"/>
    <w:rsid w:val="00C65576"/>
    <w:rsid w:val="00C656C4"/>
    <w:rsid w:val="00C65979"/>
    <w:rsid w:val="00C65E0C"/>
    <w:rsid w:val="00C66165"/>
    <w:rsid w:val="00C6673E"/>
    <w:rsid w:val="00C701B2"/>
    <w:rsid w:val="00C7060A"/>
    <w:rsid w:val="00C7151A"/>
    <w:rsid w:val="00C717E3"/>
    <w:rsid w:val="00C71F60"/>
    <w:rsid w:val="00C71FA6"/>
    <w:rsid w:val="00C72241"/>
    <w:rsid w:val="00C72855"/>
    <w:rsid w:val="00C7317F"/>
    <w:rsid w:val="00C738C3"/>
    <w:rsid w:val="00C73DD6"/>
    <w:rsid w:val="00C74EDD"/>
    <w:rsid w:val="00C750C8"/>
    <w:rsid w:val="00C7560F"/>
    <w:rsid w:val="00C76C4B"/>
    <w:rsid w:val="00C7790A"/>
    <w:rsid w:val="00C80A0E"/>
    <w:rsid w:val="00C80DF7"/>
    <w:rsid w:val="00C81FA6"/>
    <w:rsid w:val="00C8213F"/>
    <w:rsid w:val="00C8218E"/>
    <w:rsid w:val="00C82BF0"/>
    <w:rsid w:val="00C830A0"/>
    <w:rsid w:val="00C84490"/>
    <w:rsid w:val="00C85154"/>
    <w:rsid w:val="00C85983"/>
    <w:rsid w:val="00C8644E"/>
    <w:rsid w:val="00C86E8B"/>
    <w:rsid w:val="00C8797A"/>
    <w:rsid w:val="00C900B8"/>
    <w:rsid w:val="00C90C71"/>
    <w:rsid w:val="00C91C74"/>
    <w:rsid w:val="00C91FD1"/>
    <w:rsid w:val="00C931CF"/>
    <w:rsid w:val="00C938CF"/>
    <w:rsid w:val="00C94040"/>
    <w:rsid w:val="00C94053"/>
    <w:rsid w:val="00C9423F"/>
    <w:rsid w:val="00C9480A"/>
    <w:rsid w:val="00C949E0"/>
    <w:rsid w:val="00C95712"/>
    <w:rsid w:val="00C9624D"/>
    <w:rsid w:val="00C969DA"/>
    <w:rsid w:val="00C97F67"/>
    <w:rsid w:val="00CA0087"/>
    <w:rsid w:val="00CA145D"/>
    <w:rsid w:val="00CA1CF7"/>
    <w:rsid w:val="00CA234D"/>
    <w:rsid w:val="00CA2C77"/>
    <w:rsid w:val="00CA444F"/>
    <w:rsid w:val="00CA5245"/>
    <w:rsid w:val="00CA6A8B"/>
    <w:rsid w:val="00CA71F4"/>
    <w:rsid w:val="00CA741E"/>
    <w:rsid w:val="00CA791B"/>
    <w:rsid w:val="00CA7B09"/>
    <w:rsid w:val="00CA7CD9"/>
    <w:rsid w:val="00CB0088"/>
    <w:rsid w:val="00CB12A5"/>
    <w:rsid w:val="00CB1561"/>
    <w:rsid w:val="00CB1CAC"/>
    <w:rsid w:val="00CB2F2A"/>
    <w:rsid w:val="00CB45E3"/>
    <w:rsid w:val="00CB4D85"/>
    <w:rsid w:val="00CB4DB0"/>
    <w:rsid w:val="00CB53BC"/>
    <w:rsid w:val="00CB5715"/>
    <w:rsid w:val="00CB5B1A"/>
    <w:rsid w:val="00CB6B22"/>
    <w:rsid w:val="00CB7120"/>
    <w:rsid w:val="00CB7EFE"/>
    <w:rsid w:val="00CB7F5F"/>
    <w:rsid w:val="00CC0964"/>
    <w:rsid w:val="00CC1466"/>
    <w:rsid w:val="00CC1B39"/>
    <w:rsid w:val="00CC2CCC"/>
    <w:rsid w:val="00CC35EA"/>
    <w:rsid w:val="00CC3848"/>
    <w:rsid w:val="00CC436E"/>
    <w:rsid w:val="00CC5091"/>
    <w:rsid w:val="00CC782A"/>
    <w:rsid w:val="00CD2EDC"/>
    <w:rsid w:val="00CD36A5"/>
    <w:rsid w:val="00CD37BB"/>
    <w:rsid w:val="00CD3F77"/>
    <w:rsid w:val="00CD4B2A"/>
    <w:rsid w:val="00CD580E"/>
    <w:rsid w:val="00CD6691"/>
    <w:rsid w:val="00CD6991"/>
    <w:rsid w:val="00CD6ADC"/>
    <w:rsid w:val="00CD6FF6"/>
    <w:rsid w:val="00CD7193"/>
    <w:rsid w:val="00CE0357"/>
    <w:rsid w:val="00CE38C8"/>
    <w:rsid w:val="00CE3F03"/>
    <w:rsid w:val="00CE519A"/>
    <w:rsid w:val="00CE5396"/>
    <w:rsid w:val="00CE5C9D"/>
    <w:rsid w:val="00CE6274"/>
    <w:rsid w:val="00CE6E74"/>
    <w:rsid w:val="00CE77B6"/>
    <w:rsid w:val="00CF0B47"/>
    <w:rsid w:val="00CF1045"/>
    <w:rsid w:val="00CF1534"/>
    <w:rsid w:val="00CF2A8B"/>
    <w:rsid w:val="00CF2B8D"/>
    <w:rsid w:val="00CF3A84"/>
    <w:rsid w:val="00CF456B"/>
    <w:rsid w:val="00CF4C4C"/>
    <w:rsid w:val="00CF56DF"/>
    <w:rsid w:val="00CF5A22"/>
    <w:rsid w:val="00CF663D"/>
    <w:rsid w:val="00CF6CDB"/>
    <w:rsid w:val="00CF785F"/>
    <w:rsid w:val="00D00394"/>
    <w:rsid w:val="00D01B07"/>
    <w:rsid w:val="00D0262E"/>
    <w:rsid w:val="00D03987"/>
    <w:rsid w:val="00D03CD7"/>
    <w:rsid w:val="00D04882"/>
    <w:rsid w:val="00D053C6"/>
    <w:rsid w:val="00D05E3D"/>
    <w:rsid w:val="00D06139"/>
    <w:rsid w:val="00D063E1"/>
    <w:rsid w:val="00D06AA7"/>
    <w:rsid w:val="00D07C30"/>
    <w:rsid w:val="00D1006C"/>
    <w:rsid w:val="00D1028C"/>
    <w:rsid w:val="00D110BD"/>
    <w:rsid w:val="00D1187C"/>
    <w:rsid w:val="00D13341"/>
    <w:rsid w:val="00D13675"/>
    <w:rsid w:val="00D141E1"/>
    <w:rsid w:val="00D15314"/>
    <w:rsid w:val="00D161ED"/>
    <w:rsid w:val="00D17D6C"/>
    <w:rsid w:val="00D20026"/>
    <w:rsid w:val="00D21065"/>
    <w:rsid w:val="00D2155B"/>
    <w:rsid w:val="00D23015"/>
    <w:rsid w:val="00D23D11"/>
    <w:rsid w:val="00D244B6"/>
    <w:rsid w:val="00D2483D"/>
    <w:rsid w:val="00D259A3"/>
    <w:rsid w:val="00D26CC9"/>
    <w:rsid w:val="00D26FD9"/>
    <w:rsid w:val="00D27053"/>
    <w:rsid w:val="00D2754D"/>
    <w:rsid w:val="00D27B27"/>
    <w:rsid w:val="00D30B38"/>
    <w:rsid w:val="00D31232"/>
    <w:rsid w:val="00D33BE9"/>
    <w:rsid w:val="00D33F93"/>
    <w:rsid w:val="00D34771"/>
    <w:rsid w:val="00D34D29"/>
    <w:rsid w:val="00D357FF"/>
    <w:rsid w:val="00D35EAD"/>
    <w:rsid w:val="00D41967"/>
    <w:rsid w:val="00D424C7"/>
    <w:rsid w:val="00D43B2A"/>
    <w:rsid w:val="00D43D83"/>
    <w:rsid w:val="00D4575E"/>
    <w:rsid w:val="00D46FFE"/>
    <w:rsid w:val="00D47245"/>
    <w:rsid w:val="00D47575"/>
    <w:rsid w:val="00D47945"/>
    <w:rsid w:val="00D5243B"/>
    <w:rsid w:val="00D533EC"/>
    <w:rsid w:val="00D53BD1"/>
    <w:rsid w:val="00D54262"/>
    <w:rsid w:val="00D5438C"/>
    <w:rsid w:val="00D55738"/>
    <w:rsid w:val="00D55BF0"/>
    <w:rsid w:val="00D56A95"/>
    <w:rsid w:val="00D60BA6"/>
    <w:rsid w:val="00D61178"/>
    <w:rsid w:val="00D62E05"/>
    <w:rsid w:val="00D635FC"/>
    <w:rsid w:val="00D63650"/>
    <w:rsid w:val="00D63DD0"/>
    <w:rsid w:val="00D64EBC"/>
    <w:rsid w:val="00D66DD1"/>
    <w:rsid w:val="00D705FF"/>
    <w:rsid w:val="00D70F16"/>
    <w:rsid w:val="00D71D86"/>
    <w:rsid w:val="00D720CF"/>
    <w:rsid w:val="00D72F57"/>
    <w:rsid w:val="00D7446D"/>
    <w:rsid w:val="00D748C5"/>
    <w:rsid w:val="00D75D02"/>
    <w:rsid w:val="00D764BB"/>
    <w:rsid w:val="00D76A44"/>
    <w:rsid w:val="00D76ED2"/>
    <w:rsid w:val="00D77C58"/>
    <w:rsid w:val="00D804A6"/>
    <w:rsid w:val="00D815EF"/>
    <w:rsid w:val="00D81EB0"/>
    <w:rsid w:val="00D81F26"/>
    <w:rsid w:val="00D82C8F"/>
    <w:rsid w:val="00D85A73"/>
    <w:rsid w:val="00D86231"/>
    <w:rsid w:val="00D86A50"/>
    <w:rsid w:val="00D87425"/>
    <w:rsid w:val="00D87B8E"/>
    <w:rsid w:val="00D91923"/>
    <w:rsid w:val="00D91EFA"/>
    <w:rsid w:val="00D9203B"/>
    <w:rsid w:val="00D92DF8"/>
    <w:rsid w:val="00D93753"/>
    <w:rsid w:val="00D93D86"/>
    <w:rsid w:val="00D94A81"/>
    <w:rsid w:val="00D952E5"/>
    <w:rsid w:val="00D956B2"/>
    <w:rsid w:val="00D9584D"/>
    <w:rsid w:val="00D95B18"/>
    <w:rsid w:val="00DA1F96"/>
    <w:rsid w:val="00DA3167"/>
    <w:rsid w:val="00DA48C2"/>
    <w:rsid w:val="00DA4DC3"/>
    <w:rsid w:val="00DA621E"/>
    <w:rsid w:val="00DA77A5"/>
    <w:rsid w:val="00DA77C0"/>
    <w:rsid w:val="00DB0177"/>
    <w:rsid w:val="00DB3747"/>
    <w:rsid w:val="00DB3DBF"/>
    <w:rsid w:val="00DB484F"/>
    <w:rsid w:val="00DB6A8B"/>
    <w:rsid w:val="00DB7EEA"/>
    <w:rsid w:val="00DB7FA1"/>
    <w:rsid w:val="00DC04F6"/>
    <w:rsid w:val="00DC0690"/>
    <w:rsid w:val="00DC103B"/>
    <w:rsid w:val="00DC1D65"/>
    <w:rsid w:val="00DC350B"/>
    <w:rsid w:val="00DC3C57"/>
    <w:rsid w:val="00DC5501"/>
    <w:rsid w:val="00DC6125"/>
    <w:rsid w:val="00DC7154"/>
    <w:rsid w:val="00DC7DCD"/>
    <w:rsid w:val="00DC7E8A"/>
    <w:rsid w:val="00DD0F78"/>
    <w:rsid w:val="00DD1DCE"/>
    <w:rsid w:val="00DD273C"/>
    <w:rsid w:val="00DD3C39"/>
    <w:rsid w:val="00DD3F28"/>
    <w:rsid w:val="00DD4537"/>
    <w:rsid w:val="00DD4DC8"/>
    <w:rsid w:val="00DD4E15"/>
    <w:rsid w:val="00DD5AA9"/>
    <w:rsid w:val="00DD6A00"/>
    <w:rsid w:val="00DD7395"/>
    <w:rsid w:val="00DD7C09"/>
    <w:rsid w:val="00DE179E"/>
    <w:rsid w:val="00DE2304"/>
    <w:rsid w:val="00DE3138"/>
    <w:rsid w:val="00DE37F8"/>
    <w:rsid w:val="00DE42BD"/>
    <w:rsid w:val="00DE4876"/>
    <w:rsid w:val="00DE4C38"/>
    <w:rsid w:val="00DE4FCB"/>
    <w:rsid w:val="00DE5D07"/>
    <w:rsid w:val="00DE72A7"/>
    <w:rsid w:val="00DE7321"/>
    <w:rsid w:val="00DE76DA"/>
    <w:rsid w:val="00DE7832"/>
    <w:rsid w:val="00DF079C"/>
    <w:rsid w:val="00DF18FC"/>
    <w:rsid w:val="00DF4E9C"/>
    <w:rsid w:val="00DF525D"/>
    <w:rsid w:val="00DF5523"/>
    <w:rsid w:val="00DF5D2B"/>
    <w:rsid w:val="00DF5F58"/>
    <w:rsid w:val="00DF72F6"/>
    <w:rsid w:val="00DF789D"/>
    <w:rsid w:val="00E00C9C"/>
    <w:rsid w:val="00E00E8E"/>
    <w:rsid w:val="00E02862"/>
    <w:rsid w:val="00E029B3"/>
    <w:rsid w:val="00E02BF9"/>
    <w:rsid w:val="00E05010"/>
    <w:rsid w:val="00E05630"/>
    <w:rsid w:val="00E06753"/>
    <w:rsid w:val="00E06DBB"/>
    <w:rsid w:val="00E06FB1"/>
    <w:rsid w:val="00E07100"/>
    <w:rsid w:val="00E07FD5"/>
    <w:rsid w:val="00E10149"/>
    <w:rsid w:val="00E11063"/>
    <w:rsid w:val="00E11340"/>
    <w:rsid w:val="00E11352"/>
    <w:rsid w:val="00E11FE1"/>
    <w:rsid w:val="00E122A1"/>
    <w:rsid w:val="00E12C3C"/>
    <w:rsid w:val="00E13438"/>
    <w:rsid w:val="00E16372"/>
    <w:rsid w:val="00E1674B"/>
    <w:rsid w:val="00E1698D"/>
    <w:rsid w:val="00E16BAA"/>
    <w:rsid w:val="00E17B48"/>
    <w:rsid w:val="00E20E4D"/>
    <w:rsid w:val="00E20ED6"/>
    <w:rsid w:val="00E21358"/>
    <w:rsid w:val="00E214B1"/>
    <w:rsid w:val="00E2182C"/>
    <w:rsid w:val="00E2249B"/>
    <w:rsid w:val="00E22A0D"/>
    <w:rsid w:val="00E2390E"/>
    <w:rsid w:val="00E23D0C"/>
    <w:rsid w:val="00E244F6"/>
    <w:rsid w:val="00E24D77"/>
    <w:rsid w:val="00E24F04"/>
    <w:rsid w:val="00E2659D"/>
    <w:rsid w:val="00E2746F"/>
    <w:rsid w:val="00E2771E"/>
    <w:rsid w:val="00E30B4B"/>
    <w:rsid w:val="00E311EF"/>
    <w:rsid w:val="00E32180"/>
    <w:rsid w:val="00E32C1E"/>
    <w:rsid w:val="00E331D1"/>
    <w:rsid w:val="00E3379E"/>
    <w:rsid w:val="00E34948"/>
    <w:rsid w:val="00E36EFB"/>
    <w:rsid w:val="00E37569"/>
    <w:rsid w:val="00E37C8D"/>
    <w:rsid w:val="00E401B2"/>
    <w:rsid w:val="00E40C60"/>
    <w:rsid w:val="00E40F68"/>
    <w:rsid w:val="00E41272"/>
    <w:rsid w:val="00E41E30"/>
    <w:rsid w:val="00E42F73"/>
    <w:rsid w:val="00E43D70"/>
    <w:rsid w:val="00E456AA"/>
    <w:rsid w:val="00E466F3"/>
    <w:rsid w:val="00E473F7"/>
    <w:rsid w:val="00E47972"/>
    <w:rsid w:val="00E47B2C"/>
    <w:rsid w:val="00E51560"/>
    <w:rsid w:val="00E535B6"/>
    <w:rsid w:val="00E53FC8"/>
    <w:rsid w:val="00E54347"/>
    <w:rsid w:val="00E5449B"/>
    <w:rsid w:val="00E54D34"/>
    <w:rsid w:val="00E54E60"/>
    <w:rsid w:val="00E55424"/>
    <w:rsid w:val="00E55915"/>
    <w:rsid w:val="00E55BB5"/>
    <w:rsid w:val="00E56313"/>
    <w:rsid w:val="00E61081"/>
    <w:rsid w:val="00E610BD"/>
    <w:rsid w:val="00E644CB"/>
    <w:rsid w:val="00E6545B"/>
    <w:rsid w:val="00E65E79"/>
    <w:rsid w:val="00E662A2"/>
    <w:rsid w:val="00E6653C"/>
    <w:rsid w:val="00E66BA2"/>
    <w:rsid w:val="00E66CDE"/>
    <w:rsid w:val="00E67416"/>
    <w:rsid w:val="00E70089"/>
    <w:rsid w:val="00E713B4"/>
    <w:rsid w:val="00E718B6"/>
    <w:rsid w:val="00E723BA"/>
    <w:rsid w:val="00E72F41"/>
    <w:rsid w:val="00E73581"/>
    <w:rsid w:val="00E743F9"/>
    <w:rsid w:val="00E7599B"/>
    <w:rsid w:val="00E75A0E"/>
    <w:rsid w:val="00E75BEF"/>
    <w:rsid w:val="00E763EC"/>
    <w:rsid w:val="00E76B17"/>
    <w:rsid w:val="00E77000"/>
    <w:rsid w:val="00E806DB"/>
    <w:rsid w:val="00E833F7"/>
    <w:rsid w:val="00E83BDF"/>
    <w:rsid w:val="00E840A6"/>
    <w:rsid w:val="00E84231"/>
    <w:rsid w:val="00E84D22"/>
    <w:rsid w:val="00E86199"/>
    <w:rsid w:val="00E86C02"/>
    <w:rsid w:val="00E87A1D"/>
    <w:rsid w:val="00E9094A"/>
    <w:rsid w:val="00E90F96"/>
    <w:rsid w:val="00E91D35"/>
    <w:rsid w:val="00E926A5"/>
    <w:rsid w:val="00E93101"/>
    <w:rsid w:val="00E93B8B"/>
    <w:rsid w:val="00E9488F"/>
    <w:rsid w:val="00E969D4"/>
    <w:rsid w:val="00EA0908"/>
    <w:rsid w:val="00EA17C3"/>
    <w:rsid w:val="00EA2CAA"/>
    <w:rsid w:val="00EA3864"/>
    <w:rsid w:val="00EA5231"/>
    <w:rsid w:val="00EA5EA5"/>
    <w:rsid w:val="00EA5F7C"/>
    <w:rsid w:val="00EA7337"/>
    <w:rsid w:val="00EA781F"/>
    <w:rsid w:val="00EA7895"/>
    <w:rsid w:val="00EA7E34"/>
    <w:rsid w:val="00EA7F1C"/>
    <w:rsid w:val="00EB058A"/>
    <w:rsid w:val="00EB15B6"/>
    <w:rsid w:val="00EB1E58"/>
    <w:rsid w:val="00EB2E8C"/>
    <w:rsid w:val="00EB359E"/>
    <w:rsid w:val="00EB3D06"/>
    <w:rsid w:val="00EB4916"/>
    <w:rsid w:val="00EB4EFE"/>
    <w:rsid w:val="00EB525B"/>
    <w:rsid w:val="00EB5413"/>
    <w:rsid w:val="00EB544B"/>
    <w:rsid w:val="00EB6C80"/>
    <w:rsid w:val="00EB6DF9"/>
    <w:rsid w:val="00EC00C9"/>
    <w:rsid w:val="00EC0735"/>
    <w:rsid w:val="00EC0DD9"/>
    <w:rsid w:val="00EC2428"/>
    <w:rsid w:val="00EC2649"/>
    <w:rsid w:val="00EC31ED"/>
    <w:rsid w:val="00EC4E22"/>
    <w:rsid w:val="00EC5836"/>
    <w:rsid w:val="00EC5BE2"/>
    <w:rsid w:val="00EC5F63"/>
    <w:rsid w:val="00EC632A"/>
    <w:rsid w:val="00EC688C"/>
    <w:rsid w:val="00ED1D79"/>
    <w:rsid w:val="00ED2881"/>
    <w:rsid w:val="00ED3644"/>
    <w:rsid w:val="00ED57EA"/>
    <w:rsid w:val="00ED5BD4"/>
    <w:rsid w:val="00ED740D"/>
    <w:rsid w:val="00ED7C1F"/>
    <w:rsid w:val="00EE07D3"/>
    <w:rsid w:val="00EE1109"/>
    <w:rsid w:val="00EE1996"/>
    <w:rsid w:val="00EE19D1"/>
    <w:rsid w:val="00EE1C01"/>
    <w:rsid w:val="00EE22AF"/>
    <w:rsid w:val="00EE6EE5"/>
    <w:rsid w:val="00EE7334"/>
    <w:rsid w:val="00EE7B83"/>
    <w:rsid w:val="00EF0171"/>
    <w:rsid w:val="00EF055D"/>
    <w:rsid w:val="00EF1233"/>
    <w:rsid w:val="00EF1B25"/>
    <w:rsid w:val="00EF1DA0"/>
    <w:rsid w:val="00EF357A"/>
    <w:rsid w:val="00EF4252"/>
    <w:rsid w:val="00EF45C0"/>
    <w:rsid w:val="00EF4747"/>
    <w:rsid w:val="00EF4BF8"/>
    <w:rsid w:val="00EF5727"/>
    <w:rsid w:val="00EF574A"/>
    <w:rsid w:val="00EF5884"/>
    <w:rsid w:val="00EF5FC2"/>
    <w:rsid w:val="00F02253"/>
    <w:rsid w:val="00F03C2E"/>
    <w:rsid w:val="00F04A66"/>
    <w:rsid w:val="00F04B4B"/>
    <w:rsid w:val="00F050F7"/>
    <w:rsid w:val="00F0516C"/>
    <w:rsid w:val="00F0587F"/>
    <w:rsid w:val="00F06070"/>
    <w:rsid w:val="00F062E8"/>
    <w:rsid w:val="00F063A0"/>
    <w:rsid w:val="00F067A2"/>
    <w:rsid w:val="00F075E6"/>
    <w:rsid w:val="00F07B9E"/>
    <w:rsid w:val="00F1000C"/>
    <w:rsid w:val="00F10020"/>
    <w:rsid w:val="00F10A14"/>
    <w:rsid w:val="00F1116F"/>
    <w:rsid w:val="00F118EA"/>
    <w:rsid w:val="00F1263A"/>
    <w:rsid w:val="00F12660"/>
    <w:rsid w:val="00F13145"/>
    <w:rsid w:val="00F15B77"/>
    <w:rsid w:val="00F2414E"/>
    <w:rsid w:val="00F24837"/>
    <w:rsid w:val="00F2575F"/>
    <w:rsid w:val="00F26964"/>
    <w:rsid w:val="00F27565"/>
    <w:rsid w:val="00F310D4"/>
    <w:rsid w:val="00F312E2"/>
    <w:rsid w:val="00F31D5A"/>
    <w:rsid w:val="00F329D2"/>
    <w:rsid w:val="00F32BF8"/>
    <w:rsid w:val="00F33975"/>
    <w:rsid w:val="00F33DE9"/>
    <w:rsid w:val="00F34230"/>
    <w:rsid w:val="00F35E6D"/>
    <w:rsid w:val="00F3619A"/>
    <w:rsid w:val="00F3625D"/>
    <w:rsid w:val="00F364B2"/>
    <w:rsid w:val="00F36BFC"/>
    <w:rsid w:val="00F37734"/>
    <w:rsid w:val="00F3784B"/>
    <w:rsid w:val="00F37D3F"/>
    <w:rsid w:val="00F40407"/>
    <w:rsid w:val="00F40AAA"/>
    <w:rsid w:val="00F40BA7"/>
    <w:rsid w:val="00F40F9D"/>
    <w:rsid w:val="00F411DE"/>
    <w:rsid w:val="00F41ACD"/>
    <w:rsid w:val="00F41AF8"/>
    <w:rsid w:val="00F41E41"/>
    <w:rsid w:val="00F4203E"/>
    <w:rsid w:val="00F43FC6"/>
    <w:rsid w:val="00F45054"/>
    <w:rsid w:val="00F46085"/>
    <w:rsid w:val="00F4694E"/>
    <w:rsid w:val="00F46CB6"/>
    <w:rsid w:val="00F47074"/>
    <w:rsid w:val="00F4756D"/>
    <w:rsid w:val="00F47DBC"/>
    <w:rsid w:val="00F47DE8"/>
    <w:rsid w:val="00F52DEB"/>
    <w:rsid w:val="00F52DEF"/>
    <w:rsid w:val="00F542C1"/>
    <w:rsid w:val="00F544C2"/>
    <w:rsid w:val="00F55C63"/>
    <w:rsid w:val="00F55E73"/>
    <w:rsid w:val="00F55EDA"/>
    <w:rsid w:val="00F5678B"/>
    <w:rsid w:val="00F56C80"/>
    <w:rsid w:val="00F575A6"/>
    <w:rsid w:val="00F57790"/>
    <w:rsid w:val="00F57AC7"/>
    <w:rsid w:val="00F60092"/>
    <w:rsid w:val="00F606B5"/>
    <w:rsid w:val="00F61C18"/>
    <w:rsid w:val="00F63304"/>
    <w:rsid w:val="00F6401C"/>
    <w:rsid w:val="00F65F4B"/>
    <w:rsid w:val="00F67A69"/>
    <w:rsid w:val="00F67DAB"/>
    <w:rsid w:val="00F70BFF"/>
    <w:rsid w:val="00F70C9D"/>
    <w:rsid w:val="00F71DB9"/>
    <w:rsid w:val="00F7284A"/>
    <w:rsid w:val="00F74CD9"/>
    <w:rsid w:val="00F76705"/>
    <w:rsid w:val="00F7788D"/>
    <w:rsid w:val="00F802DF"/>
    <w:rsid w:val="00F80A7B"/>
    <w:rsid w:val="00F80E5D"/>
    <w:rsid w:val="00F80E66"/>
    <w:rsid w:val="00F81E78"/>
    <w:rsid w:val="00F81EA9"/>
    <w:rsid w:val="00F82A85"/>
    <w:rsid w:val="00F83797"/>
    <w:rsid w:val="00F83CB6"/>
    <w:rsid w:val="00F851CE"/>
    <w:rsid w:val="00F85E2B"/>
    <w:rsid w:val="00F867E2"/>
    <w:rsid w:val="00F879FC"/>
    <w:rsid w:val="00F90535"/>
    <w:rsid w:val="00F91219"/>
    <w:rsid w:val="00F91AAB"/>
    <w:rsid w:val="00F92444"/>
    <w:rsid w:val="00F93458"/>
    <w:rsid w:val="00F9393E"/>
    <w:rsid w:val="00F94C0B"/>
    <w:rsid w:val="00F952A1"/>
    <w:rsid w:val="00F95453"/>
    <w:rsid w:val="00F95D9E"/>
    <w:rsid w:val="00F96089"/>
    <w:rsid w:val="00F96FD0"/>
    <w:rsid w:val="00F97605"/>
    <w:rsid w:val="00F97A78"/>
    <w:rsid w:val="00F97E4E"/>
    <w:rsid w:val="00FA0B20"/>
    <w:rsid w:val="00FA1CE5"/>
    <w:rsid w:val="00FA24E7"/>
    <w:rsid w:val="00FA4002"/>
    <w:rsid w:val="00FA4155"/>
    <w:rsid w:val="00FA45AC"/>
    <w:rsid w:val="00FA54BE"/>
    <w:rsid w:val="00FA5EE6"/>
    <w:rsid w:val="00FA6353"/>
    <w:rsid w:val="00FA7540"/>
    <w:rsid w:val="00FA7956"/>
    <w:rsid w:val="00FA7DCA"/>
    <w:rsid w:val="00FB082A"/>
    <w:rsid w:val="00FB2FCB"/>
    <w:rsid w:val="00FB31A6"/>
    <w:rsid w:val="00FB3F43"/>
    <w:rsid w:val="00FB53F2"/>
    <w:rsid w:val="00FB7808"/>
    <w:rsid w:val="00FB7C55"/>
    <w:rsid w:val="00FC05F8"/>
    <w:rsid w:val="00FC1074"/>
    <w:rsid w:val="00FC1509"/>
    <w:rsid w:val="00FC1884"/>
    <w:rsid w:val="00FC371D"/>
    <w:rsid w:val="00FC3A2B"/>
    <w:rsid w:val="00FC3C36"/>
    <w:rsid w:val="00FC45F6"/>
    <w:rsid w:val="00FC490F"/>
    <w:rsid w:val="00FC5F0B"/>
    <w:rsid w:val="00FC63D0"/>
    <w:rsid w:val="00FC6478"/>
    <w:rsid w:val="00FD15B8"/>
    <w:rsid w:val="00FD2100"/>
    <w:rsid w:val="00FD2F93"/>
    <w:rsid w:val="00FD30E4"/>
    <w:rsid w:val="00FD436C"/>
    <w:rsid w:val="00FD446D"/>
    <w:rsid w:val="00FD4F2C"/>
    <w:rsid w:val="00FD51B6"/>
    <w:rsid w:val="00FD5A5F"/>
    <w:rsid w:val="00FD6394"/>
    <w:rsid w:val="00FD6A5E"/>
    <w:rsid w:val="00FE0859"/>
    <w:rsid w:val="00FE0E6C"/>
    <w:rsid w:val="00FE100D"/>
    <w:rsid w:val="00FE1CDC"/>
    <w:rsid w:val="00FE1F5F"/>
    <w:rsid w:val="00FE6334"/>
    <w:rsid w:val="00FE70C3"/>
    <w:rsid w:val="00FF0A27"/>
    <w:rsid w:val="00FF2AD9"/>
    <w:rsid w:val="00FF300F"/>
    <w:rsid w:val="00FF359F"/>
    <w:rsid w:val="00FF3DCF"/>
    <w:rsid w:val="00FF4850"/>
    <w:rsid w:val="00FF492C"/>
    <w:rsid w:val="00FF4A21"/>
    <w:rsid w:val="00FF5AA3"/>
    <w:rsid w:val="00FF5AD8"/>
    <w:rsid w:val="00FF5F93"/>
    <w:rsid w:val="00FF66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62D"/>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ListParagraph">
    <w:name w:val="List Paragraph"/>
    <w:aliases w:val="BulletPoints,Numbered para,Body Text Bullet Points,List Paragraph1,Bullet point,List Paragraph11,Recommendation,L,Bullet Point,Bulletr List Paragraph,Content descriptions,FooterText,List Bullet 1,List Paragraph2,List Paragraph21,Footnote"/>
    <w:basedOn w:val="Normal"/>
    <w:link w:val="ListParagraphChar"/>
    <w:uiPriority w:val="34"/>
    <w:qFormat/>
    <w:rsid w:val="000152A5"/>
    <w:pPr>
      <w:ind w:left="720"/>
      <w:contextualSpacing/>
    </w:pPr>
  </w:style>
  <w:style w:type="character" w:customStyle="1" w:styleId="ListParagraphChar">
    <w:name w:val="List Paragraph Char"/>
    <w:aliases w:val="BulletPoints Char,Numbered para Char,Body Text Bullet Points Char,List Paragraph1 Char,Bullet point Char,List Paragraph11 Char,Recommendation Char,L Char,Bullet Point Char,Bulletr List Paragraph Char,Content descriptions Char"/>
    <w:basedOn w:val="DefaultParagraphFont"/>
    <w:link w:val="ListParagraph"/>
    <w:uiPriority w:val="34"/>
    <w:qFormat/>
    <w:rsid w:val="000152A5"/>
    <w:rPr>
      <w:rFonts w:ascii="Calibri" w:hAnsi="Calibri" w:cs="Arial"/>
      <w:sz w:val="24"/>
      <w:szCs w:val="24"/>
    </w:rPr>
  </w:style>
  <w:style w:type="paragraph" w:customStyle="1" w:styleId="TableText0">
    <w:name w:val="TableText"/>
    <w:basedOn w:val="Normal"/>
    <w:link w:val="TableTextChar0"/>
    <w:uiPriority w:val="3"/>
    <w:qFormat/>
    <w:rsid w:val="009E15D7"/>
    <w:pPr>
      <w:spacing w:before="20" w:after="20"/>
      <w:jc w:val="left"/>
    </w:pPr>
    <w:rPr>
      <w:rFonts w:cs="Calibri"/>
      <w:bCs/>
      <w:sz w:val="20"/>
      <w:szCs w:val="20"/>
      <w:lang w:eastAsia="zh-CN"/>
    </w:rPr>
  </w:style>
  <w:style w:type="character" w:customStyle="1" w:styleId="TableTextChar0">
    <w:name w:val="TableText Char"/>
    <w:basedOn w:val="DefaultParagraphFont"/>
    <w:link w:val="TableText0"/>
    <w:uiPriority w:val="3"/>
    <w:rsid w:val="009E15D7"/>
    <w:rPr>
      <w:rFonts w:ascii="Calibri" w:hAnsi="Calibri" w:cs="Calibri"/>
      <w:bCs/>
      <w:lang w:eastAsia="zh-CN"/>
    </w:rPr>
  </w:style>
  <w:style w:type="character" w:styleId="CommentReference">
    <w:name w:val="annotation reference"/>
    <w:aliases w:val="Table Title"/>
    <w:basedOn w:val="DefaultParagraphFont"/>
    <w:uiPriority w:val="99"/>
    <w:unhideWhenUsed/>
    <w:rsid w:val="00197E65"/>
    <w:rPr>
      <w:sz w:val="16"/>
      <w:szCs w:val="16"/>
    </w:rPr>
  </w:style>
  <w:style w:type="paragraph" w:styleId="CommentText">
    <w:name w:val="annotation text"/>
    <w:basedOn w:val="Normal"/>
    <w:link w:val="CommentTextChar"/>
    <w:uiPriority w:val="99"/>
    <w:unhideWhenUsed/>
    <w:rsid w:val="00197E65"/>
    <w:rPr>
      <w:sz w:val="20"/>
      <w:szCs w:val="20"/>
    </w:rPr>
  </w:style>
  <w:style w:type="character" w:customStyle="1" w:styleId="CommentTextChar">
    <w:name w:val="Comment Text Char"/>
    <w:basedOn w:val="DefaultParagraphFont"/>
    <w:link w:val="CommentText"/>
    <w:uiPriority w:val="99"/>
    <w:rsid w:val="00197E65"/>
    <w:rPr>
      <w:rFonts w:ascii="Calibri" w:hAnsi="Calibri" w:cs="Arial"/>
    </w:rPr>
  </w:style>
  <w:style w:type="paragraph" w:styleId="CommentSubject">
    <w:name w:val="annotation subject"/>
    <w:basedOn w:val="CommentText"/>
    <w:next w:val="CommentText"/>
    <w:link w:val="CommentSubjectChar"/>
    <w:semiHidden/>
    <w:unhideWhenUsed/>
    <w:rsid w:val="00197E65"/>
    <w:rPr>
      <w:b/>
      <w:bCs/>
    </w:rPr>
  </w:style>
  <w:style w:type="character" w:customStyle="1" w:styleId="CommentSubjectChar">
    <w:name w:val="Comment Subject Char"/>
    <w:basedOn w:val="CommentTextChar"/>
    <w:link w:val="CommentSubject"/>
    <w:semiHidden/>
    <w:rsid w:val="00197E65"/>
    <w:rPr>
      <w:rFonts w:ascii="Calibri" w:hAnsi="Calibri" w:cs="Arial"/>
      <w:b/>
      <w:bCs/>
    </w:rPr>
  </w:style>
  <w:style w:type="paragraph" w:customStyle="1" w:styleId="TableHeading">
    <w:name w:val="Table Heading"/>
    <w:basedOn w:val="Normal"/>
    <w:link w:val="TableHeadingChar"/>
    <w:qFormat/>
    <w:rsid w:val="004468CA"/>
    <w:pPr>
      <w:keepNext/>
      <w:spacing w:after="60"/>
      <w:jc w:val="left"/>
    </w:pPr>
    <w:rPr>
      <w:rFonts w:ascii="Arial Narrow" w:eastAsiaTheme="minorHAnsi" w:hAnsi="Arial Narrow" w:cstheme="minorBidi"/>
      <w:b/>
      <w:sz w:val="20"/>
      <w:szCs w:val="22"/>
      <w:lang w:eastAsia="en-US"/>
    </w:rPr>
  </w:style>
  <w:style w:type="character" w:customStyle="1" w:styleId="TableHeadingChar">
    <w:name w:val="Table Heading Char"/>
    <w:link w:val="TableHeading"/>
    <w:rsid w:val="004468CA"/>
    <w:rPr>
      <w:rFonts w:ascii="Arial Narrow" w:eastAsiaTheme="minorHAnsi" w:hAnsi="Arial Narrow" w:cstheme="minorBidi"/>
      <w:b/>
      <w:szCs w:val="22"/>
      <w:lang w:eastAsia="en-US"/>
    </w:rPr>
  </w:style>
  <w:style w:type="paragraph" w:styleId="Header">
    <w:name w:val="header"/>
    <w:aliases w:val="Page Header,Header title,he=header,cntr/bld"/>
    <w:basedOn w:val="Normal"/>
    <w:link w:val="HeaderChar"/>
    <w:uiPriority w:val="99"/>
    <w:unhideWhenUsed/>
    <w:qFormat/>
    <w:rsid w:val="0018516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85168"/>
    <w:rPr>
      <w:rFonts w:ascii="Calibri" w:hAnsi="Calibri" w:cs="Arial"/>
      <w:sz w:val="24"/>
      <w:szCs w:val="24"/>
    </w:rPr>
  </w:style>
  <w:style w:type="paragraph" w:styleId="Footer">
    <w:name w:val="footer"/>
    <w:basedOn w:val="Normal"/>
    <w:link w:val="FooterChar"/>
    <w:uiPriority w:val="99"/>
    <w:unhideWhenUsed/>
    <w:rsid w:val="00185168"/>
    <w:pPr>
      <w:tabs>
        <w:tab w:val="center" w:pos="4513"/>
        <w:tab w:val="right" w:pos="9026"/>
      </w:tabs>
    </w:pPr>
  </w:style>
  <w:style w:type="character" w:customStyle="1" w:styleId="FooterChar">
    <w:name w:val="Footer Char"/>
    <w:basedOn w:val="DefaultParagraphFont"/>
    <w:link w:val="Footer"/>
    <w:uiPriority w:val="99"/>
    <w:rsid w:val="00185168"/>
    <w:rPr>
      <w:rFonts w:ascii="Calibri" w:hAnsi="Calibri" w:cs="Arial"/>
      <w:sz w:val="24"/>
      <w:szCs w:val="24"/>
    </w:rPr>
  </w:style>
  <w:style w:type="paragraph" w:styleId="Caption">
    <w:name w:val="caption"/>
    <w:aliases w:val="Table caption,Bayer Caption,IB Caption,Medical Caption,CSR Caption,Caption Char1,Caption Char Char,Medical Caption + Arial Narrow,Bayer Caption1,IB Caption1,Medical Caption1,Medical Caption + Arial Narrow1,Bayer Caption2,IB Caption2"/>
    <w:basedOn w:val="Tableheadingrow"/>
    <w:next w:val="Normal"/>
    <w:link w:val="CaptionChar"/>
    <w:unhideWhenUsed/>
    <w:qFormat/>
    <w:rsid w:val="0081052F"/>
  </w:style>
  <w:style w:type="character" w:customStyle="1" w:styleId="period">
    <w:name w:val="period"/>
    <w:basedOn w:val="DefaultParagraphFont"/>
    <w:rsid w:val="0049422A"/>
  </w:style>
  <w:style w:type="character" w:customStyle="1" w:styleId="cit">
    <w:name w:val="cit"/>
    <w:basedOn w:val="DefaultParagraphFont"/>
    <w:rsid w:val="0049422A"/>
  </w:style>
  <w:style w:type="character" w:customStyle="1" w:styleId="citation-doi">
    <w:name w:val="citation-doi"/>
    <w:basedOn w:val="DefaultParagraphFont"/>
    <w:rsid w:val="0049422A"/>
  </w:style>
  <w:style w:type="character" w:customStyle="1" w:styleId="ahead-of-print">
    <w:name w:val="ahead-of-print"/>
    <w:basedOn w:val="DefaultParagraphFont"/>
    <w:rsid w:val="0049422A"/>
  </w:style>
  <w:style w:type="character" w:customStyle="1" w:styleId="CaptionChar">
    <w:name w:val="Caption Char"/>
    <w:aliases w:val="Table caption Char,Bayer Caption Char,IB Caption Char,Medical Caption Char,CSR Caption Char,Caption Char1 Char,Caption Char Char Char,Medical Caption + Arial Narrow Char,Bayer Caption1 Char,IB Caption1 Char,Medical Caption1 Char"/>
    <w:basedOn w:val="DefaultParagraphFont"/>
    <w:link w:val="Caption"/>
    <w:rsid w:val="0081052F"/>
    <w:rPr>
      <w:rFonts w:ascii="Arial Narrow" w:eastAsiaTheme="majorEastAsia" w:hAnsi="Arial Narrow"/>
      <w:b/>
      <w:szCs w:val="24"/>
      <w:lang w:val="en-US"/>
    </w:rPr>
  </w:style>
  <w:style w:type="paragraph" w:customStyle="1" w:styleId="SourceNotes">
    <w:name w:val="SourceNotes"/>
    <w:basedOn w:val="Normal"/>
    <w:next w:val="Normal"/>
    <w:link w:val="SourceNotesChar"/>
    <w:uiPriority w:val="2"/>
    <w:rsid w:val="0062195F"/>
    <w:pPr>
      <w:tabs>
        <w:tab w:val="left" w:pos="1100"/>
      </w:tabs>
      <w:ind w:left="1100" w:hanging="1100"/>
      <w:jc w:val="left"/>
    </w:pPr>
    <w:rPr>
      <w:rFonts w:eastAsiaTheme="minorEastAsia" w:cstheme="minorBidi"/>
      <w:sz w:val="18"/>
      <w:szCs w:val="18"/>
      <w:lang w:eastAsia="en-US"/>
    </w:rPr>
  </w:style>
  <w:style w:type="character" w:customStyle="1" w:styleId="SourceNotesChar">
    <w:name w:val="SourceNotes Char"/>
    <w:basedOn w:val="DefaultParagraphFont"/>
    <w:link w:val="SourceNotes"/>
    <w:uiPriority w:val="2"/>
    <w:rsid w:val="0062195F"/>
    <w:rPr>
      <w:rFonts w:ascii="Calibri" w:eastAsiaTheme="minorEastAsia" w:hAnsi="Calibri" w:cstheme="minorBidi"/>
      <w:sz w:val="18"/>
      <w:szCs w:val="18"/>
      <w:lang w:eastAsia="en-US"/>
    </w:rPr>
  </w:style>
  <w:style w:type="paragraph" w:customStyle="1" w:styleId="Default">
    <w:name w:val="Default"/>
    <w:rsid w:val="00CA145D"/>
    <w:pPr>
      <w:autoSpaceDE w:val="0"/>
      <w:autoSpaceDN w:val="0"/>
      <w:adjustRightInd w:val="0"/>
    </w:pPr>
    <w:rPr>
      <w:color w:val="000000"/>
      <w:sz w:val="24"/>
      <w:szCs w:val="24"/>
      <w:lang w:val="en-US" w:eastAsia="en-US"/>
    </w:rPr>
  </w:style>
  <w:style w:type="paragraph" w:customStyle="1" w:styleId="BodyText11">
    <w:name w:val="Body Text +11"/>
    <w:link w:val="BodyText11Char"/>
    <w:qFormat/>
    <w:rsid w:val="00CC0964"/>
    <w:pPr>
      <w:spacing w:after="200" w:line="264" w:lineRule="auto"/>
      <w:jc w:val="both"/>
    </w:pPr>
    <w:rPr>
      <w:rFonts w:asciiTheme="minorHAnsi" w:eastAsiaTheme="minorEastAsia" w:hAnsiTheme="minorHAnsi" w:cstheme="minorBidi"/>
      <w:sz w:val="22"/>
      <w:szCs w:val="22"/>
      <w:lang w:eastAsia="zh-CN"/>
    </w:rPr>
  </w:style>
  <w:style w:type="character" w:customStyle="1" w:styleId="BodyText11Char">
    <w:name w:val="Body Text +11 Char"/>
    <w:basedOn w:val="DefaultParagraphFont"/>
    <w:link w:val="BodyText11"/>
    <w:rsid w:val="00CC0964"/>
    <w:rPr>
      <w:rFonts w:asciiTheme="minorHAnsi" w:eastAsiaTheme="minorEastAsia" w:hAnsiTheme="minorHAnsi" w:cstheme="minorBidi"/>
      <w:sz w:val="22"/>
      <w:szCs w:val="22"/>
      <w:lang w:eastAsia="zh-CN"/>
    </w:rPr>
  </w:style>
  <w:style w:type="paragraph" w:customStyle="1" w:styleId="Tabletext1">
    <w:name w:val="Table text"/>
    <w:basedOn w:val="Normal"/>
    <w:link w:val="TabletextChar1"/>
    <w:uiPriority w:val="2"/>
    <w:qFormat/>
    <w:rsid w:val="00850C56"/>
    <w:pPr>
      <w:jc w:val="left"/>
    </w:pPr>
    <w:rPr>
      <w:rFonts w:ascii="Arial Narrow" w:hAnsi="Arial Narrow" w:cs="Times New Roman"/>
      <w:snapToGrid w:val="0"/>
      <w:sz w:val="20"/>
    </w:rPr>
  </w:style>
  <w:style w:type="character" w:customStyle="1" w:styleId="TabletextChar1">
    <w:name w:val="Table text Char"/>
    <w:link w:val="Tabletext1"/>
    <w:uiPriority w:val="2"/>
    <w:rsid w:val="00850C56"/>
    <w:rPr>
      <w:rFonts w:ascii="Arial Narrow" w:hAnsi="Arial Narrow"/>
      <w:snapToGrid w:val="0"/>
      <w:szCs w:val="24"/>
    </w:rPr>
  </w:style>
  <w:style w:type="paragraph" w:customStyle="1" w:styleId="PBACHeading1">
    <w:name w:val="PBAC Heading 1"/>
    <w:qFormat/>
    <w:rsid w:val="004B1EA3"/>
    <w:pPr>
      <w:ind w:left="720" w:hanging="720"/>
      <w:outlineLvl w:val="0"/>
    </w:pPr>
    <w:rPr>
      <w:rFonts w:ascii="Calibri" w:hAnsi="Calibri" w:cs="Calibri"/>
      <w:b/>
      <w:snapToGrid w:val="0"/>
      <w:sz w:val="32"/>
      <w:szCs w:val="32"/>
      <w:lang w:eastAsia="en-US"/>
    </w:rPr>
  </w:style>
  <w:style w:type="paragraph" w:styleId="NoSpacing">
    <w:name w:val="No Spacing"/>
    <w:uiPriority w:val="1"/>
    <w:qFormat/>
    <w:rsid w:val="00704529"/>
    <w:rPr>
      <w:sz w:val="24"/>
      <w:szCs w:val="24"/>
      <w:lang w:eastAsia="en-US"/>
    </w:rPr>
  </w:style>
  <w:style w:type="paragraph" w:styleId="Subtitle">
    <w:name w:val="Subtitle"/>
    <w:basedOn w:val="Normal"/>
    <w:link w:val="SubtitleChar"/>
    <w:qFormat/>
    <w:rsid w:val="004C0823"/>
    <w:rPr>
      <w:rFonts w:ascii="Times New Roman" w:hAnsi="Times New Roman" w:cs="Times New Roman"/>
      <w:b/>
      <w:szCs w:val="20"/>
    </w:rPr>
  </w:style>
  <w:style w:type="character" w:customStyle="1" w:styleId="SubtitleChar">
    <w:name w:val="Subtitle Char"/>
    <w:basedOn w:val="DefaultParagraphFont"/>
    <w:link w:val="Subtitle"/>
    <w:rsid w:val="004C082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16766438">
      <w:bodyDiv w:val="1"/>
      <w:marLeft w:val="0"/>
      <w:marRight w:val="0"/>
      <w:marTop w:val="0"/>
      <w:marBottom w:val="0"/>
      <w:divBdr>
        <w:top w:val="none" w:sz="0" w:space="0" w:color="auto"/>
        <w:left w:val="none" w:sz="0" w:space="0" w:color="auto"/>
        <w:bottom w:val="none" w:sz="0" w:space="0" w:color="auto"/>
        <w:right w:val="none" w:sz="0" w:space="0" w:color="auto"/>
      </w:divBdr>
    </w:div>
    <w:div w:id="437877095">
      <w:bodyDiv w:val="1"/>
      <w:marLeft w:val="0"/>
      <w:marRight w:val="0"/>
      <w:marTop w:val="0"/>
      <w:marBottom w:val="0"/>
      <w:divBdr>
        <w:top w:val="none" w:sz="0" w:space="0" w:color="auto"/>
        <w:left w:val="none" w:sz="0" w:space="0" w:color="auto"/>
        <w:bottom w:val="none" w:sz="0" w:space="0" w:color="auto"/>
        <w:right w:val="none" w:sz="0" w:space="0" w:color="auto"/>
      </w:divBdr>
    </w:div>
    <w:div w:id="721057457">
      <w:bodyDiv w:val="1"/>
      <w:marLeft w:val="0"/>
      <w:marRight w:val="0"/>
      <w:marTop w:val="0"/>
      <w:marBottom w:val="0"/>
      <w:divBdr>
        <w:top w:val="none" w:sz="0" w:space="0" w:color="auto"/>
        <w:left w:val="none" w:sz="0" w:space="0" w:color="auto"/>
        <w:bottom w:val="none" w:sz="0" w:space="0" w:color="auto"/>
        <w:right w:val="none" w:sz="0" w:space="0" w:color="auto"/>
      </w:divBdr>
      <w:divsChild>
        <w:div w:id="1493059979">
          <w:marLeft w:val="360"/>
          <w:marRight w:val="0"/>
          <w:marTop w:val="200"/>
          <w:marBottom w:val="0"/>
          <w:divBdr>
            <w:top w:val="none" w:sz="0" w:space="0" w:color="auto"/>
            <w:left w:val="none" w:sz="0" w:space="0" w:color="auto"/>
            <w:bottom w:val="none" w:sz="0" w:space="0" w:color="auto"/>
            <w:right w:val="none" w:sz="0" w:space="0" w:color="auto"/>
          </w:divBdr>
        </w:div>
        <w:div w:id="217398666">
          <w:marLeft w:val="1080"/>
          <w:marRight w:val="0"/>
          <w:marTop w:val="100"/>
          <w:marBottom w:val="0"/>
          <w:divBdr>
            <w:top w:val="none" w:sz="0" w:space="0" w:color="auto"/>
            <w:left w:val="none" w:sz="0" w:space="0" w:color="auto"/>
            <w:bottom w:val="none" w:sz="0" w:space="0" w:color="auto"/>
            <w:right w:val="none" w:sz="0" w:space="0" w:color="auto"/>
          </w:divBdr>
        </w:div>
        <w:div w:id="1747920741">
          <w:marLeft w:val="1080"/>
          <w:marRight w:val="0"/>
          <w:marTop w:val="100"/>
          <w:marBottom w:val="0"/>
          <w:divBdr>
            <w:top w:val="none" w:sz="0" w:space="0" w:color="auto"/>
            <w:left w:val="none" w:sz="0" w:space="0" w:color="auto"/>
            <w:bottom w:val="none" w:sz="0" w:space="0" w:color="auto"/>
            <w:right w:val="none" w:sz="0" w:space="0" w:color="auto"/>
          </w:divBdr>
        </w:div>
        <w:div w:id="1609239210">
          <w:marLeft w:val="1080"/>
          <w:marRight w:val="0"/>
          <w:marTop w:val="100"/>
          <w:marBottom w:val="0"/>
          <w:divBdr>
            <w:top w:val="none" w:sz="0" w:space="0" w:color="auto"/>
            <w:left w:val="none" w:sz="0" w:space="0" w:color="auto"/>
            <w:bottom w:val="none" w:sz="0" w:space="0" w:color="auto"/>
            <w:right w:val="none" w:sz="0" w:space="0" w:color="auto"/>
          </w:divBdr>
        </w:div>
        <w:div w:id="1395205150">
          <w:marLeft w:val="1080"/>
          <w:marRight w:val="0"/>
          <w:marTop w:val="100"/>
          <w:marBottom w:val="0"/>
          <w:divBdr>
            <w:top w:val="none" w:sz="0" w:space="0" w:color="auto"/>
            <w:left w:val="none" w:sz="0" w:space="0" w:color="auto"/>
            <w:bottom w:val="none" w:sz="0" w:space="0" w:color="auto"/>
            <w:right w:val="none" w:sz="0" w:space="0" w:color="auto"/>
          </w:divBdr>
        </w:div>
        <w:div w:id="1812403915">
          <w:marLeft w:val="1080"/>
          <w:marRight w:val="0"/>
          <w:marTop w:val="100"/>
          <w:marBottom w:val="0"/>
          <w:divBdr>
            <w:top w:val="none" w:sz="0" w:space="0" w:color="auto"/>
            <w:left w:val="none" w:sz="0" w:space="0" w:color="auto"/>
            <w:bottom w:val="none" w:sz="0" w:space="0" w:color="auto"/>
            <w:right w:val="none" w:sz="0" w:space="0" w:color="auto"/>
          </w:divBdr>
        </w:div>
        <w:div w:id="1647200527">
          <w:marLeft w:val="1080"/>
          <w:marRight w:val="0"/>
          <w:marTop w:val="100"/>
          <w:marBottom w:val="0"/>
          <w:divBdr>
            <w:top w:val="none" w:sz="0" w:space="0" w:color="auto"/>
            <w:left w:val="none" w:sz="0" w:space="0" w:color="auto"/>
            <w:bottom w:val="none" w:sz="0" w:space="0" w:color="auto"/>
            <w:right w:val="none" w:sz="0" w:space="0" w:color="auto"/>
          </w:divBdr>
        </w:div>
        <w:div w:id="207767828">
          <w:marLeft w:val="360"/>
          <w:marRight w:val="0"/>
          <w:marTop w:val="200"/>
          <w:marBottom w:val="0"/>
          <w:divBdr>
            <w:top w:val="none" w:sz="0" w:space="0" w:color="auto"/>
            <w:left w:val="none" w:sz="0" w:space="0" w:color="auto"/>
            <w:bottom w:val="none" w:sz="0" w:space="0" w:color="auto"/>
            <w:right w:val="none" w:sz="0" w:space="0" w:color="auto"/>
          </w:divBdr>
        </w:div>
        <w:div w:id="1036391310">
          <w:marLeft w:val="1080"/>
          <w:marRight w:val="0"/>
          <w:marTop w:val="100"/>
          <w:marBottom w:val="0"/>
          <w:divBdr>
            <w:top w:val="none" w:sz="0" w:space="0" w:color="auto"/>
            <w:left w:val="none" w:sz="0" w:space="0" w:color="auto"/>
            <w:bottom w:val="none" w:sz="0" w:space="0" w:color="auto"/>
            <w:right w:val="none" w:sz="0" w:space="0" w:color="auto"/>
          </w:divBdr>
        </w:div>
        <w:div w:id="1292713382">
          <w:marLeft w:val="1080"/>
          <w:marRight w:val="0"/>
          <w:marTop w:val="100"/>
          <w:marBottom w:val="0"/>
          <w:divBdr>
            <w:top w:val="none" w:sz="0" w:space="0" w:color="auto"/>
            <w:left w:val="none" w:sz="0" w:space="0" w:color="auto"/>
            <w:bottom w:val="none" w:sz="0" w:space="0" w:color="auto"/>
            <w:right w:val="none" w:sz="0" w:space="0" w:color="auto"/>
          </w:divBdr>
        </w:div>
      </w:divsChild>
    </w:div>
    <w:div w:id="1145470878">
      <w:bodyDiv w:val="1"/>
      <w:marLeft w:val="0"/>
      <w:marRight w:val="0"/>
      <w:marTop w:val="0"/>
      <w:marBottom w:val="0"/>
      <w:divBdr>
        <w:top w:val="none" w:sz="0" w:space="0" w:color="auto"/>
        <w:left w:val="none" w:sz="0" w:space="0" w:color="auto"/>
        <w:bottom w:val="none" w:sz="0" w:space="0" w:color="auto"/>
        <w:right w:val="none" w:sz="0" w:space="0" w:color="auto"/>
      </w:divBdr>
      <w:divsChild>
        <w:div w:id="138806704">
          <w:marLeft w:val="0"/>
          <w:marRight w:val="0"/>
          <w:marTop w:val="0"/>
          <w:marBottom w:val="0"/>
          <w:divBdr>
            <w:top w:val="none" w:sz="0" w:space="0" w:color="auto"/>
            <w:left w:val="none" w:sz="0" w:space="0" w:color="auto"/>
            <w:bottom w:val="none" w:sz="0" w:space="0" w:color="auto"/>
            <w:right w:val="none" w:sz="0" w:space="0" w:color="auto"/>
          </w:divBdr>
          <w:divsChild>
            <w:div w:id="1764296434">
              <w:marLeft w:val="0"/>
              <w:marRight w:val="0"/>
              <w:marTop w:val="0"/>
              <w:marBottom w:val="0"/>
              <w:divBdr>
                <w:top w:val="none" w:sz="0" w:space="0" w:color="auto"/>
                <w:left w:val="none" w:sz="0" w:space="0" w:color="auto"/>
                <w:bottom w:val="none" w:sz="0" w:space="0" w:color="auto"/>
                <w:right w:val="none" w:sz="0" w:space="0" w:color="auto"/>
              </w:divBdr>
              <w:divsChild>
                <w:div w:id="2123062885">
                  <w:marLeft w:val="0"/>
                  <w:marRight w:val="0"/>
                  <w:marTop w:val="0"/>
                  <w:marBottom w:val="0"/>
                  <w:divBdr>
                    <w:top w:val="none" w:sz="0" w:space="0" w:color="auto"/>
                    <w:left w:val="none" w:sz="0" w:space="0" w:color="auto"/>
                    <w:bottom w:val="none" w:sz="0" w:space="0" w:color="auto"/>
                    <w:right w:val="none" w:sz="0" w:space="0" w:color="auto"/>
                  </w:divBdr>
                  <w:divsChild>
                    <w:div w:id="15122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0127">
      <w:bodyDiv w:val="1"/>
      <w:marLeft w:val="0"/>
      <w:marRight w:val="0"/>
      <w:marTop w:val="0"/>
      <w:marBottom w:val="0"/>
      <w:divBdr>
        <w:top w:val="none" w:sz="0" w:space="0" w:color="auto"/>
        <w:left w:val="none" w:sz="0" w:space="0" w:color="auto"/>
        <w:bottom w:val="none" w:sz="0" w:space="0" w:color="auto"/>
        <w:right w:val="none" w:sz="0" w:space="0" w:color="auto"/>
      </w:divBdr>
    </w:div>
    <w:div w:id="143682706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EF351-A60E-45D9-8B54-7314B33E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13143</Words>
  <Characters>73851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2022-08-25T01:29:00Z</dcterms:created>
  <dcterms:modified xsi:type="dcterms:W3CDTF">2022-08-25T02:11:00Z</dcterms:modified>
</cp:coreProperties>
</file>